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c7c0" w14:textId="ae3c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и постройки морских судов</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12 мая 2011 года № 273. Зарегистрирован в Министерстве юстиции Республики Казахстан 30 мая 2011 года № 6982.</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по инвестициям и развитию РК от 30.11.2017 </w:t>
      </w:r>
      <w:r>
        <w:rPr>
          <w:rFonts w:ascii="Times New Roman"/>
          <w:b w:val="false"/>
          <w:i w:val="false"/>
          <w:color w:val="ff0000"/>
          <w:sz w:val="28"/>
        </w:rPr>
        <w:t>№ 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48)</w:t>
      </w:r>
      <w:r>
        <w:rPr>
          <w:rFonts w:ascii="Times New Roman"/>
          <w:b w:val="false"/>
          <w:i w:val="false"/>
          <w:color w:val="000000"/>
          <w:sz w:val="28"/>
        </w:rPr>
        <w:t xml:space="preserve"> пункта 3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классификации и постройки морских судов.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по инвестициям и развитию РК от 30.11.2017 </w:t>
      </w:r>
      <w:r>
        <w:rPr>
          <w:rFonts w:ascii="Times New Roman"/>
          <w:b w:val="false"/>
          <w:i w:val="false"/>
          <w:color w:val="000000"/>
          <w:sz w:val="28"/>
        </w:rPr>
        <w:t>№ 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 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Бектуров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12 мая 2011 года № 273</w:t>
            </w:r>
          </w:p>
        </w:tc>
      </w:tr>
    </w:tbl>
    <w:bookmarkStart w:name="z7" w:id="5"/>
    <w:p>
      <w:pPr>
        <w:spacing w:after="0"/>
        <w:ind w:left="0"/>
        <w:jc w:val="left"/>
      </w:pPr>
      <w:r>
        <w:rPr>
          <w:rFonts w:ascii="Times New Roman"/>
          <w:b/>
          <w:i w:val="false"/>
          <w:color w:val="000000"/>
        </w:rPr>
        <w:t xml:space="preserve"> Правила классификации и постройки морских судов</w:t>
      </w:r>
    </w:p>
    <w:bookmarkEnd w:id="5"/>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по инвестициям и развитию РК от 30.11.2017 </w:t>
      </w:r>
      <w:r>
        <w:rPr>
          <w:rFonts w:ascii="Times New Roman"/>
          <w:b w:val="false"/>
          <w:i w:val="false"/>
          <w:color w:val="ff0000"/>
          <w:sz w:val="28"/>
        </w:rPr>
        <w:t>№ 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Часть 1. Общая часть</w:t>
      </w:r>
      <w:r>
        <w:br/>
      </w:r>
      <w:r>
        <w:rPr>
          <w:rFonts w:ascii="Times New Roman"/>
          <w:b/>
          <w:i w:val="false"/>
          <w:color w:val="000000"/>
        </w:rPr>
        <w:t>Раздел 1. Порядок классификации</w:t>
      </w:r>
    </w:p>
    <w:bookmarkEnd w:id="6"/>
    <w:bookmarkStart w:name="z10"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8"/>
    <w:p>
      <w:pPr>
        <w:spacing w:after="0"/>
        <w:ind w:left="0"/>
        <w:jc w:val="both"/>
      </w:pPr>
      <w:r>
        <w:rPr>
          <w:rFonts w:ascii="Times New Roman"/>
          <w:b w:val="false"/>
          <w:i w:val="false"/>
          <w:color w:val="000000"/>
          <w:sz w:val="28"/>
        </w:rPr>
        <w:t xml:space="preserve">
      1. Настоящие Правила классификации и постройки морских судов (далее -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17 января 2002 года "О торговом мореплавании" и определяют порядок классификации и постройки морских судов, включая требования к элементам, устройствам и снабжению при строительстве морских судов, а также холодильных установок на судах.</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по инвестициям и развитию РК от 30.11.2017 </w:t>
      </w:r>
      <w:r>
        <w:rPr>
          <w:rFonts w:ascii="Times New Roman"/>
          <w:b w:val="false"/>
          <w:i w:val="false"/>
          <w:color w:val="000000"/>
          <w:sz w:val="28"/>
        </w:rPr>
        <w:t>№ 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Классификационная деятельность Регистра судоходства включает в себя, рассмотрение и согласование технической документации на морские суда (далее - суда), техническое наблюдение за изготовлением материалов и изделий, постройкой судов с присвоением им класса, а также подтверждение, возобновление и восстановление класса на основании результатов освидетельствований за весь период эксплуатации каждого судна до его списания с оформлением и выдачей соответствующих документов.</w:t>
      </w:r>
    </w:p>
    <w:bookmarkEnd w:id="9"/>
    <w:bookmarkStart w:name="z13" w:id="10"/>
    <w:p>
      <w:pPr>
        <w:spacing w:after="0"/>
        <w:ind w:left="0"/>
        <w:jc w:val="both"/>
      </w:pPr>
      <w:r>
        <w:rPr>
          <w:rFonts w:ascii="Times New Roman"/>
          <w:b w:val="false"/>
          <w:i w:val="false"/>
          <w:color w:val="000000"/>
          <w:sz w:val="28"/>
        </w:rPr>
        <w:t>
      Для обеспечения безопасности судна, охраны человеческой жизни и предотвращения озоноразрушающего действия холодильных агентов на окружающую среду холодильные установки, устанавливаемые на классифицируемых Регистром судоходства судах подлежат освидетельствованию.</w:t>
      </w:r>
    </w:p>
    <w:bookmarkEnd w:id="10"/>
    <w:bookmarkStart w:name="z14"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Регистр судоходства</w:t>
      </w:r>
      <w:r>
        <w:rPr>
          <w:rFonts w:ascii="Times New Roman"/>
          <w:b w:val="false"/>
          <w:i w:val="false"/>
          <w:color w:val="000000"/>
          <w:sz w:val="28"/>
        </w:rPr>
        <w:t xml:space="preserve"> осуществляет классификацию следующих морских судов, морских стационарных платформ в постройке и эксплуатации:</w:t>
      </w:r>
    </w:p>
    <w:bookmarkEnd w:id="11"/>
    <w:bookmarkStart w:name="z15" w:id="12"/>
    <w:p>
      <w:pPr>
        <w:spacing w:after="0"/>
        <w:ind w:left="0"/>
        <w:jc w:val="both"/>
      </w:pPr>
      <w:r>
        <w:rPr>
          <w:rFonts w:ascii="Times New Roman"/>
          <w:b w:val="false"/>
          <w:i w:val="false"/>
          <w:color w:val="000000"/>
          <w:sz w:val="28"/>
        </w:rPr>
        <w:t>
      1) пассажирских и наливных судов, буксиров, судов, предназначенных для перевозки опасных грузов, морских прогулочных судов пассажировместимостью более 12 человек - независимо от мощности главных двигателей и валовой вместимости;</w:t>
      </w:r>
    </w:p>
    <w:bookmarkEnd w:id="12"/>
    <w:bookmarkStart w:name="z16" w:id="13"/>
    <w:p>
      <w:pPr>
        <w:spacing w:after="0"/>
        <w:ind w:left="0"/>
        <w:jc w:val="both"/>
      </w:pPr>
      <w:r>
        <w:rPr>
          <w:rFonts w:ascii="Times New Roman"/>
          <w:b w:val="false"/>
          <w:i w:val="false"/>
          <w:color w:val="000000"/>
          <w:sz w:val="28"/>
        </w:rPr>
        <w:t>
      2) самоходных судов, не указанных в подпункте 1) настоящего пункта, с мощностью главных двигателей 55 кВт и более;</w:t>
      </w:r>
    </w:p>
    <w:bookmarkEnd w:id="13"/>
    <w:bookmarkStart w:name="z17" w:id="14"/>
    <w:p>
      <w:pPr>
        <w:spacing w:after="0"/>
        <w:ind w:left="0"/>
        <w:jc w:val="both"/>
      </w:pPr>
      <w:r>
        <w:rPr>
          <w:rFonts w:ascii="Times New Roman"/>
          <w:b w:val="false"/>
          <w:i w:val="false"/>
          <w:color w:val="000000"/>
          <w:sz w:val="28"/>
        </w:rPr>
        <w:t>
      3) судов, не указанных в подпунктах 1) и 2) настоящего пункта, валовой вместимостью 80 и более, либо с суммарной мощностью первичных двигателей 100 кВт и более;</w:t>
      </w:r>
    </w:p>
    <w:bookmarkEnd w:id="14"/>
    <w:bookmarkStart w:name="z18" w:id="15"/>
    <w:p>
      <w:pPr>
        <w:spacing w:after="0"/>
        <w:ind w:left="0"/>
        <w:jc w:val="both"/>
      </w:pPr>
      <w:r>
        <w:rPr>
          <w:rFonts w:ascii="Times New Roman"/>
          <w:b w:val="false"/>
          <w:i w:val="false"/>
          <w:color w:val="000000"/>
          <w:sz w:val="28"/>
        </w:rPr>
        <w:t>
      4) морских стационарных платформ различного назначения.</w:t>
      </w:r>
    </w:p>
    <w:bookmarkEnd w:id="15"/>
    <w:bookmarkStart w:name="z19" w:id="16"/>
    <w:p>
      <w:pPr>
        <w:spacing w:after="0"/>
        <w:ind w:left="0"/>
        <w:jc w:val="both"/>
      </w:pPr>
      <w:r>
        <w:rPr>
          <w:rFonts w:ascii="Times New Roman"/>
          <w:b w:val="false"/>
          <w:i w:val="false"/>
          <w:color w:val="000000"/>
          <w:sz w:val="28"/>
        </w:rPr>
        <w:t>
      4. Регистр судоходства осуществляет классификацию холодильных установок в следующих случаях:</w:t>
      </w:r>
    </w:p>
    <w:bookmarkEnd w:id="16"/>
    <w:bookmarkStart w:name="z20" w:id="17"/>
    <w:p>
      <w:pPr>
        <w:spacing w:after="0"/>
        <w:ind w:left="0"/>
        <w:jc w:val="both"/>
      </w:pPr>
      <w:r>
        <w:rPr>
          <w:rFonts w:ascii="Times New Roman"/>
          <w:b w:val="false"/>
          <w:i w:val="false"/>
          <w:color w:val="000000"/>
          <w:sz w:val="28"/>
        </w:rPr>
        <w:t>
      1) если холодильные установки работают на холодильных агентах группы II в соответствии с приложением 1 настоящих Правил;</w:t>
      </w:r>
    </w:p>
    <w:bookmarkEnd w:id="17"/>
    <w:bookmarkStart w:name="z21" w:id="18"/>
    <w:p>
      <w:pPr>
        <w:spacing w:after="0"/>
        <w:ind w:left="0"/>
        <w:jc w:val="both"/>
      </w:pPr>
      <w:r>
        <w:rPr>
          <w:rFonts w:ascii="Times New Roman"/>
          <w:b w:val="false"/>
          <w:i w:val="false"/>
          <w:color w:val="000000"/>
          <w:sz w:val="28"/>
        </w:rPr>
        <w:t>
      2) если в состав холодильных установок, работающих на холодильных агентах группы I, входят компрессоры с теоретическим объемом всасывания, равным 125 м</w:t>
      </w:r>
      <w:r>
        <w:rPr>
          <w:rFonts w:ascii="Times New Roman"/>
          <w:b w:val="false"/>
          <w:i w:val="false"/>
          <w:color w:val="000000"/>
          <w:vertAlign w:val="superscript"/>
        </w:rPr>
        <w:t>3</w:t>
      </w:r>
      <w:r>
        <w:rPr>
          <w:rFonts w:ascii="Times New Roman"/>
          <w:b w:val="false"/>
          <w:i w:val="false"/>
          <w:color w:val="000000"/>
          <w:sz w:val="28"/>
        </w:rPr>
        <w:t>/ч и более;</w:t>
      </w:r>
    </w:p>
    <w:bookmarkEnd w:id="18"/>
    <w:bookmarkStart w:name="z22" w:id="19"/>
    <w:p>
      <w:pPr>
        <w:spacing w:after="0"/>
        <w:ind w:left="0"/>
        <w:jc w:val="both"/>
      </w:pPr>
      <w:r>
        <w:rPr>
          <w:rFonts w:ascii="Times New Roman"/>
          <w:b w:val="false"/>
          <w:i w:val="false"/>
          <w:color w:val="000000"/>
          <w:sz w:val="28"/>
        </w:rPr>
        <w:t>
      3) если холодильная установка обеспечивает функционирование систем, влияющих на безопасность судна.</w:t>
      </w:r>
    </w:p>
    <w:bookmarkEnd w:id="19"/>
    <w:bookmarkStart w:name="z23" w:id="20"/>
    <w:p>
      <w:pPr>
        <w:spacing w:after="0"/>
        <w:ind w:left="0"/>
        <w:jc w:val="both"/>
      </w:pPr>
      <w:r>
        <w:rPr>
          <w:rFonts w:ascii="Times New Roman"/>
          <w:b w:val="false"/>
          <w:i w:val="false"/>
          <w:color w:val="000000"/>
          <w:sz w:val="28"/>
        </w:rPr>
        <w:t>
      5. Технологические и специальные устройства судов рыболовных, кабельных, технического флота и специального назначения не подлежат освидетельствованию Регистром судоходства, за исключением оборудования, указанного в соответствующих нормах применяемых Правил.</w:t>
      </w:r>
    </w:p>
    <w:bookmarkEnd w:id="20"/>
    <w:bookmarkStart w:name="z24" w:id="21"/>
    <w:p>
      <w:pPr>
        <w:spacing w:after="0"/>
        <w:ind w:left="0"/>
        <w:jc w:val="both"/>
      </w:pPr>
      <w:r>
        <w:rPr>
          <w:rFonts w:ascii="Times New Roman"/>
          <w:b w:val="false"/>
          <w:i w:val="false"/>
          <w:color w:val="000000"/>
          <w:sz w:val="28"/>
        </w:rPr>
        <w:t>
      6. В настоящих Правилах применяются следующие понятия:</w:t>
      </w:r>
    </w:p>
    <w:bookmarkEnd w:id="21"/>
    <w:bookmarkStart w:name="z25" w:id="22"/>
    <w:p>
      <w:pPr>
        <w:spacing w:after="0"/>
        <w:ind w:left="0"/>
        <w:jc w:val="both"/>
      </w:pPr>
      <w:r>
        <w:rPr>
          <w:rFonts w:ascii="Times New Roman"/>
          <w:b w:val="false"/>
          <w:i w:val="false"/>
          <w:color w:val="000000"/>
          <w:sz w:val="28"/>
        </w:rPr>
        <w:t>
      1) лесовоз - сухогрузное судно, предназначенное для перевозки палубного лесного груза;</w:t>
      </w:r>
    </w:p>
    <w:bookmarkEnd w:id="22"/>
    <w:bookmarkStart w:name="z26" w:id="23"/>
    <w:p>
      <w:pPr>
        <w:spacing w:after="0"/>
        <w:ind w:left="0"/>
        <w:jc w:val="both"/>
      </w:pPr>
      <w:r>
        <w:rPr>
          <w:rFonts w:ascii="Times New Roman"/>
          <w:b w:val="false"/>
          <w:i w:val="false"/>
          <w:color w:val="000000"/>
          <w:sz w:val="28"/>
        </w:rPr>
        <w:t>
      2) навалочное судно - судно, в конструкцию которого входят одна палуба, бортовые подпалубные танки и бортовые скуловые танки в грузовых помещениях и которое предназначено преимущественно для перевозки навалочных грузов;</w:t>
      </w:r>
    </w:p>
    <w:bookmarkEnd w:id="23"/>
    <w:bookmarkStart w:name="z27" w:id="24"/>
    <w:p>
      <w:pPr>
        <w:spacing w:after="0"/>
        <w:ind w:left="0"/>
        <w:jc w:val="both"/>
      </w:pPr>
      <w:r>
        <w:rPr>
          <w:rFonts w:ascii="Times New Roman"/>
          <w:b w:val="false"/>
          <w:i w:val="false"/>
          <w:color w:val="000000"/>
          <w:sz w:val="28"/>
        </w:rPr>
        <w:t>
      3) спецперсонал - лица, не являющиеся членами экипажа, постоянно находящиеся на борту в связи с назначением судна (занятые добычей и обработкой живых ресурсов моря, научные, инженерно-технические работники, работники лабораторий, рабочие и другие);</w:t>
      </w:r>
    </w:p>
    <w:bookmarkEnd w:id="24"/>
    <w:bookmarkStart w:name="z28" w:id="25"/>
    <w:p>
      <w:pPr>
        <w:spacing w:after="0"/>
        <w:ind w:left="0"/>
        <w:jc w:val="both"/>
      </w:pPr>
      <w:r>
        <w:rPr>
          <w:rFonts w:ascii="Times New Roman"/>
          <w:b w:val="false"/>
          <w:i w:val="false"/>
          <w:color w:val="000000"/>
          <w:sz w:val="28"/>
        </w:rPr>
        <w:t xml:space="preserve">
      4) судно смешанного "река-море" плавания - самоходное грузовое судно, предназначенное для перевозок грузов по морским и внутренним водным путям (судно, которое по своим техническим характеристикам пригодно и в </w:t>
      </w:r>
      <w:r>
        <w:rPr>
          <w:rFonts w:ascii="Times New Roman"/>
          <w:b w:val="false"/>
          <w:i w:val="false"/>
          <w:color w:val="000000"/>
          <w:sz w:val="28"/>
        </w:rPr>
        <w:t xml:space="preserve"> установленном</w:t>
      </w:r>
      <w:r>
        <w:rPr>
          <w:rFonts w:ascii="Times New Roman"/>
          <w:b w:val="false"/>
          <w:i w:val="false"/>
          <w:color w:val="000000"/>
          <w:sz w:val="28"/>
        </w:rPr>
        <w:t xml:space="preserve"> порядке допущено к эксплуатации в целях судоходства по морским и внутренним водным путям);</w:t>
      </w:r>
    </w:p>
    <w:bookmarkEnd w:id="25"/>
    <w:bookmarkStart w:name="z29" w:id="26"/>
    <w:p>
      <w:pPr>
        <w:spacing w:after="0"/>
        <w:ind w:left="0"/>
        <w:jc w:val="both"/>
      </w:pPr>
      <w:r>
        <w:rPr>
          <w:rFonts w:ascii="Times New Roman"/>
          <w:b w:val="false"/>
          <w:i w:val="false"/>
          <w:color w:val="000000"/>
          <w:sz w:val="28"/>
        </w:rPr>
        <w:t>
      5) судно специального назначения - самоходное судно с механическим двигателем, которое в силу своего назначения имеет на борту специальный персонал более 12 человек, включая пассажиров (под указанными судами понимаются научно-исследовательские, экспедиционные, гидрографические, учебные суда, китобазы, рыбобазы и прочие суда, используемые для переработки живых ресурсов моря и не занятые их ловом);</w:t>
      </w:r>
    </w:p>
    <w:bookmarkEnd w:id="26"/>
    <w:bookmarkStart w:name="z30" w:id="27"/>
    <w:p>
      <w:pPr>
        <w:spacing w:after="0"/>
        <w:ind w:left="0"/>
        <w:jc w:val="both"/>
      </w:pPr>
      <w:r>
        <w:rPr>
          <w:rFonts w:ascii="Times New Roman"/>
          <w:b w:val="false"/>
          <w:i w:val="false"/>
          <w:color w:val="000000"/>
          <w:sz w:val="28"/>
        </w:rPr>
        <w:t>
      6) специальное рассмотрение - определение степени соответствия объекта технического наблюдения дополнительным требованиям;</w:t>
      </w:r>
    </w:p>
    <w:bookmarkEnd w:id="27"/>
    <w:bookmarkStart w:name="z31" w:id="28"/>
    <w:p>
      <w:pPr>
        <w:spacing w:after="0"/>
        <w:ind w:left="0"/>
        <w:jc w:val="both"/>
      </w:pPr>
      <w:r>
        <w:rPr>
          <w:rFonts w:ascii="Times New Roman"/>
          <w:b w:val="false"/>
          <w:i w:val="false"/>
          <w:color w:val="000000"/>
          <w:sz w:val="28"/>
        </w:rPr>
        <w:t xml:space="preserve">
      7) кормовой перпендикуляр - вертикальная линия в диаметральной плоскости судна, ограничивающая в кормовой оконечности длину судна </w:t>
      </w:r>
      <w:r>
        <w:rPr>
          <w:rFonts w:ascii="Times New Roman"/>
          <w:b w:val="false"/>
          <w:i/>
          <w:color w:val="000000"/>
          <w:sz w:val="28"/>
        </w:rPr>
        <w:t>L</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8) носовой перпендикуляр - вертикальная линия в диаметральной плоскости судна, проходящая через точку пересечения летней грузовой ватерлинии с передней кромкой форштевня;</w:t>
      </w:r>
    </w:p>
    <w:bookmarkEnd w:id="29"/>
    <w:bookmarkStart w:name="z33" w:id="30"/>
    <w:p>
      <w:pPr>
        <w:spacing w:after="0"/>
        <w:ind w:left="0"/>
        <w:jc w:val="both"/>
      </w:pPr>
      <w:r>
        <w:rPr>
          <w:rFonts w:ascii="Times New Roman"/>
          <w:b w:val="false"/>
          <w:i w:val="false"/>
          <w:color w:val="000000"/>
          <w:sz w:val="28"/>
        </w:rPr>
        <w:t>
      9) палуба переборок - палуба, до которой доведены главные поперечные водонепроницаемые переборки деления судна на отсеки;</w:t>
      </w:r>
    </w:p>
    <w:bookmarkEnd w:id="30"/>
    <w:bookmarkStart w:name="z34" w:id="31"/>
    <w:p>
      <w:pPr>
        <w:spacing w:after="0"/>
        <w:ind w:left="0"/>
        <w:jc w:val="both"/>
      </w:pPr>
      <w:r>
        <w:rPr>
          <w:rFonts w:ascii="Times New Roman"/>
          <w:b w:val="false"/>
          <w:i w:val="false"/>
          <w:color w:val="000000"/>
          <w:sz w:val="28"/>
        </w:rPr>
        <w:t>
      10) промежуточные шпангоуты - дополнительные шпангоуты, установленные между основными;</w:t>
      </w:r>
    </w:p>
    <w:bookmarkEnd w:id="31"/>
    <w:bookmarkStart w:name="z35" w:id="32"/>
    <w:p>
      <w:pPr>
        <w:spacing w:after="0"/>
        <w:ind w:left="0"/>
        <w:jc w:val="both"/>
      </w:pPr>
      <w:r>
        <w:rPr>
          <w:rFonts w:ascii="Times New Roman"/>
          <w:b w:val="false"/>
          <w:i w:val="false"/>
          <w:color w:val="000000"/>
          <w:sz w:val="28"/>
        </w:rPr>
        <w:t>
      11) аварийные ватерлинии - ватерлинии поврежденного судна после затопления соответствующих отдельных отсеков или их комбинаций, регламентированных частью 6 настоящих Правил;</w:t>
      </w:r>
    </w:p>
    <w:bookmarkEnd w:id="32"/>
    <w:bookmarkStart w:name="z36" w:id="33"/>
    <w:p>
      <w:pPr>
        <w:spacing w:after="0"/>
        <w:ind w:left="0"/>
        <w:jc w:val="both"/>
      </w:pPr>
      <w:r>
        <w:rPr>
          <w:rFonts w:ascii="Times New Roman"/>
          <w:b w:val="false"/>
          <w:i w:val="false"/>
          <w:color w:val="000000"/>
          <w:sz w:val="28"/>
        </w:rPr>
        <w:t>
      12) непроницаемый под напором - термин, относящийся к закрытиям отверстий и означающий, что при действии давления жидкости с указанным напором она через эти отверстия не проникает;</w:t>
      </w:r>
    </w:p>
    <w:bookmarkEnd w:id="33"/>
    <w:bookmarkStart w:name="z37" w:id="34"/>
    <w:p>
      <w:pPr>
        <w:spacing w:after="0"/>
        <w:ind w:left="0"/>
        <w:jc w:val="both"/>
      </w:pPr>
      <w:r>
        <w:rPr>
          <w:rFonts w:ascii="Times New Roman"/>
          <w:b w:val="false"/>
          <w:i w:val="false"/>
          <w:color w:val="000000"/>
          <w:sz w:val="28"/>
        </w:rPr>
        <w:t>
      13) открытая палуба - палуба, полностью открытая воздействию окружающей среды сверху и не менее чем с двух сторон;</w:t>
      </w:r>
    </w:p>
    <w:bookmarkEnd w:id="34"/>
    <w:bookmarkStart w:name="z38" w:id="35"/>
    <w:p>
      <w:pPr>
        <w:spacing w:after="0"/>
        <w:ind w:left="0"/>
        <w:jc w:val="both"/>
      </w:pPr>
      <w:r>
        <w:rPr>
          <w:rFonts w:ascii="Times New Roman"/>
          <w:b w:val="false"/>
          <w:i w:val="false"/>
          <w:color w:val="000000"/>
          <w:sz w:val="28"/>
        </w:rPr>
        <w:t xml:space="preserve">
      14) носовой и кормовой перпендикуляры - вертикальные линии в диаметральной плоскости, проходящие соответственно через носовой и кормовой конец длины судна </w:t>
      </w:r>
      <w:r>
        <w:rPr>
          <w:rFonts w:ascii="Times New Roman"/>
          <w:b w:val="false"/>
          <w:i/>
          <w:color w:val="000000"/>
          <w:sz w:val="28"/>
        </w:rPr>
        <w:t>L</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15) судно типа "А" - судно для перевозки только жидких грузов наливом;</w:t>
      </w:r>
    </w:p>
    <w:bookmarkEnd w:id="36"/>
    <w:bookmarkStart w:name="z40" w:id="37"/>
    <w:p>
      <w:pPr>
        <w:spacing w:after="0"/>
        <w:ind w:left="0"/>
        <w:jc w:val="both"/>
      </w:pPr>
      <w:r>
        <w:rPr>
          <w:rFonts w:ascii="Times New Roman"/>
          <w:b w:val="false"/>
          <w:i w:val="false"/>
          <w:color w:val="000000"/>
          <w:sz w:val="28"/>
        </w:rPr>
        <w:t>
      16) зерно - пшеница, кукуруза (маис), овес, рожь, ячмень, рис, сорго, семена бобовых и других культур и таковые в обработанном виде, если их свойства аналогичны свойствам зерна в натуральном виде;</w:t>
      </w:r>
    </w:p>
    <w:bookmarkEnd w:id="37"/>
    <w:bookmarkStart w:name="z41" w:id="38"/>
    <w:p>
      <w:pPr>
        <w:spacing w:after="0"/>
        <w:ind w:left="0"/>
        <w:jc w:val="both"/>
      </w:pPr>
      <w:r>
        <w:rPr>
          <w:rFonts w:ascii="Times New Roman"/>
          <w:b w:val="false"/>
          <w:i w:val="false"/>
          <w:color w:val="000000"/>
          <w:sz w:val="28"/>
        </w:rPr>
        <w:t>
      17) информация - Информация об остойчивости судна;</w:t>
      </w:r>
    </w:p>
    <w:bookmarkEnd w:id="38"/>
    <w:bookmarkStart w:name="z42" w:id="39"/>
    <w:p>
      <w:pPr>
        <w:spacing w:after="0"/>
        <w:ind w:left="0"/>
        <w:jc w:val="both"/>
      </w:pPr>
      <w:r>
        <w:rPr>
          <w:rFonts w:ascii="Times New Roman"/>
          <w:b w:val="false"/>
          <w:i w:val="false"/>
          <w:color w:val="000000"/>
          <w:sz w:val="28"/>
        </w:rPr>
        <w:t>
      18) отверстия, считающиеся открытыми - отверстия в верхней палубе или бортах корпуса, а также в палубах, бортах и переборках надстроек и рубок, устройства для закрывания которых в отношении непроницаемости при воздействии моря, прочности и надежности не отвечают требованиям подраздела 7 раздела 5 настоящих Правил. Малые отверстия, такие как забортные отверстия судовых систем и трубопроводов, фактически не влияющие на остойчивость при динамическом крене судна, не считаются открытыми;</w:t>
      </w:r>
    </w:p>
    <w:bookmarkEnd w:id="39"/>
    <w:bookmarkStart w:name="z43" w:id="40"/>
    <w:p>
      <w:pPr>
        <w:spacing w:after="0"/>
        <w:ind w:left="0"/>
        <w:jc w:val="both"/>
      </w:pPr>
      <w:r>
        <w:rPr>
          <w:rFonts w:ascii="Times New Roman"/>
          <w:b w:val="false"/>
          <w:i w:val="false"/>
          <w:color w:val="000000"/>
          <w:sz w:val="28"/>
        </w:rPr>
        <w:t>
      19) перегон - плавание судна вне пределов установленного ему района плавания;</w:t>
      </w:r>
    </w:p>
    <w:bookmarkEnd w:id="40"/>
    <w:bookmarkStart w:name="z44" w:id="41"/>
    <w:p>
      <w:pPr>
        <w:spacing w:after="0"/>
        <w:ind w:left="0"/>
        <w:jc w:val="both"/>
      </w:pPr>
      <w:r>
        <w:rPr>
          <w:rFonts w:ascii="Times New Roman"/>
          <w:b w:val="false"/>
          <w:i w:val="false"/>
          <w:color w:val="000000"/>
          <w:sz w:val="28"/>
        </w:rPr>
        <w:t>
      20) специальное устройство - система, постоянно установленная на судне для оперативной оценки его начальной остойчивости (креновые цистерны с указателями углов крена);</w:t>
      </w:r>
    </w:p>
    <w:bookmarkEnd w:id="41"/>
    <w:bookmarkStart w:name="z45" w:id="42"/>
    <w:p>
      <w:pPr>
        <w:spacing w:after="0"/>
        <w:ind w:left="0"/>
        <w:jc w:val="both"/>
      </w:pPr>
      <w:r>
        <w:rPr>
          <w:rFonts w:ascii="Times New Roman"/>
          <w:b w:val="false"/>
          <w:i w:val="false"/>
          <w:color w:val="000000"/>
          <w:sz w:val="28"/>
        </w:rPr>
        <w:t>
      21) аварийная ватерлиния - ватерлиния поврежденного судна после затопления одного или нескольких смежных отсеков;</w:t>
      </w:r>
    </w:p>
    <w:bookmarkEnd w:id="42"/>
    <w:bookmarkStart w:name="z46" w:id="43"/>
    <w:p>
      <w:pPr>
        <w:spacing w:after="0"/>
        <w:ind w:left="0"/>
        <w:jc w:val="both"/>
      </w:pPr>
      <w:r>
        <w:rPr>
          <w:rFonts w:ascii="Times New Roman"/>
          <w:b w:val="false"/>
          <w:i w:val="false"/>
          <w:color w:val="000000"/>
          <w:sz w:val="28"/>
        </w:rPr>
        <w:t>
      22) машинные помещения категории А - помещения и ведущие в них шахты, в которых расположены:</w:t>
      </w:r>
    </w:p>
    <w:bookmarkEnd w:id="43"/>
    <w:bookmarkStart w:name="z47" w:id="44"/>
    <w:p>
      <w:pPr>
        <w:spacing w:after="0"/>
        <w:ind w:left="0"/>
        <w:jc w:val="both"/>
      </w:pPr>
      <w:r>
        <w:rPr>
          <w:rFonts w:ascii="Times New Roman"/>
          <w:b w:val="false"/>
          <w:i w:val="false"/>
          <w:color w:val="000000"/>
          <w:sz w:val="28"/>
        </w:rPr>
        <w:t>
      двигатели внутреннего сгорания, используемые как главные механизмы;</w:t>
      </w:r>
    </w:p>
    <w:bookmarkEnd w:id="44"/>
    <w:bookmarkStart w:name="z48" w:id="45"/>
    <w:p>
      <w:pPr>
        <w:spacing w:after="0"/>
        <w:ind w:left="0"/>
        <w:jc w:val="both"/>
      </w:pPr>
      <w:r>
        <w:rPr>
          <w:rFonts w:ascii="Times New Roman"/>
          <w:b w:val="false"/>
          <w:i w:val="false"/>
          <w:color w:val="000000"/>
          <w:sz w:val="28"/>
        </w:rPr>
        <w:t>
      или двигатели внутреннего сгорания, используемые для других целей, если их суммарная мощность составляет не менее 375 кВт; или</w:t>
      </w:r>
    </w:p>
    <w:bookmarkEnd w:id="45"/>
    <w:bookmarkStart w:name="z49" w:id="46"/>
    <w:p>
      <w:pPr>
        <w:spacing w:after="0"/>
        <w:ind w:left="0"/>
        <w:jc w:val="both"/>
      </w:pPr>
      <w:r>
        <w:rPr>
          <w:rFonts w:ascii="Times New Roman"/>
          <w:b w:val="false"/>
          <w:i w:val="false"/>
          <w:color w:val="000000"/>
          <w:sz w:val="28"/>
        </w:rPr>
        <w:t>
      котлы, генераторы инертного газа, установки для сжигания мусора, работающие на жидком топливе, или установки жидкого топлива;</w:t>
      </w:r>
    </w:p>
    <w:bookmarkEnd w:id="46"/>
    <w:bookmarkStart w:name="z50" w:id="47"/>
    <w:p>
      <w:pPr>
        <w:spacing w:after="0"/>
        <w:ind w:left="0"/>
        <w:jc w:val="both"/>
      </w:pPr>
      <w:r>
        <w:rPr>
          <w:rFonts w:ascii="Times New Roman"/>
          <w:b w:val="false"/>
          <w:i w:val="false"/>
          <w:color w:val="000000"/>
          <w:sz w:val="28"/>
        </w:rPr>
        <w:t>
      23) арматура - запорные, регулирующие и предохранительные устройства, предназначенные для управления движением, распределения и регулирования расхода и других параметров перемещаемой среды путем полного или частичного открытия или закрытия проходного сечения;</w:t>
      </w:r>
    </w:p>
    <w:bookmarkEnd w:id="47"/>
    <w:bookmarkStart w:name="z51" w:id="48"/>
    <w:p>
      <w:pPr>
        <w:spacing w:after="0"/>
        <w:ind w:left="0"/>
        <w:jc w:val="both"/>
      </w:pPr>
      <w:r>
        <w:rPr>
          <w:rFonts w:ascii="Times New Roman"/>
          <w:b w:val="false"/>
          <w:i w:val="false"/>
          <w:color w:val="000000"/>
          <w:sz w:val="28"/>
        </w:rPr>
        <w:t>
      24) аварийное освещение - освещение помещений и пространств судна светильниками, получающими питание от аварийного или аварийного переходного источника электрической энергии;</w:t>
      </w:r>
    </w:p>
    <w:bookmarkEnd w:id="48"/>
    <w:bookmarkStart w:name="z52" w:id="49"/>
    <w:p>
      <w:pPr>
        <w:spacing w:after="0"/>
        <w:ind w:left="0"/>
        <w:jc w:val="both"/>
      </w:pPr>
      <w:r>
        <w:rPr>
          <w:rFonts w:ascii="Times New Roman"/>
          <w:b w:val="false"/>
          <w:i w:val="false"/>
          <w:color w:val="000000"/>
          <w:sz w:val="28"/>
        </w:rPr>
        <w:t>
      25) аварийный распределительный щит (далее - АРЩ) - распределительный шит, который предназначен для приема электрической энергии непосредственно от аварийного или аварийного переходного источника электрической энергии в случае выхода из строя основного источника электрической энергии и ее распределения аварийным потребителям;</w:t>
      </w:r>
    </w:p>
    <w:bookmarkEnd w:id="49"/>
    <w:bookmarkStart w:name="z53" w:id="50"/>
    <w:p>
      <w:pPr>
        <w:spacing w:after="0"/>
        <w:ind w:left="0"/>
        <w:jc w:val="both"/>
      </w:pPr>
      <w:r>
        <w:rPr>
          <w:rFonts w:ascii="Times New Roman"/>
          <w:b w:val="false"/>
          <w:i w:val="false"/>
          <w:color w:val="000000"/>
          <w:sz w:val="28"/>
        </w:rPr>
        <w:t>
      26) антистатическое заземление - электрическое соединение, обеспечивающее выравнивание потенциалов статического электричества конструктивных частей оборудования и корпуса судна за счет их непосредственного контакта или через проводники антистатического заземления.</w:t>
      </w:r>
    </w:p>
    <w:bookmarkEnd w:id="50"/>
    <w:bookmarkStart w:name="z54" w:id="51"/>
    <w:p>
      <w:pPr>
        <w:spacing w:after="0"/>
        <w:ind w:left="0"/>
        <w:jc w:val="both"/>
      </w:pPr>
      <w:r>
        <w:rPr>
          <w:rFonts w:ascii="Times New Roman"/>
          <w:b w:val="false"/>
          <w:i w:val="false"/>
          <w:color w:val="000000"/>
          <w:sz w:val="28"/>
        </w:rPr>
        <w:t>
      Проводниками антистатического заземления являются:</w:t>
      </w:r>
    </w:p>
    <w:bookmarkEnd w:id="51"/>
    <w:bookmarkStart w:name="z55" w:id="52"/>
    <w:p>
      <w:pPr>
        <w:spacing w:after="0"/>
        <w:ind w:left="0"/>
        <w:jc w:val="both"/>
      </w:pPr>
      <w:r>
        <w:rPr>
          <w:rFonts w:ascii="Times New Roman"/>
          <w:b w:val="false"/>
          <w:i w:val="false"/>
          <w:color w:val="000000"/>
          <w:sz w:val="28"/>
        </w:rPr>
        <w:t>
      металлические перемычки, соединяющие подлежащее антистатическому заземлению оборудование, экраны кабелей, трубопроводы между собой и/или с корпусом судна либо другим заземленным оборудованием;</w:t>
      </w:r>
    </w:p>
    <w:bookmarkEnd w:id="52"/>
    <w:bookmarkStart w:name="z56" w:id="53"/>
    <w:p>
      <w:pPr>
        <w:spacing w:after="0"/>
        <w:ind w:left="0"/>
        <w:jc w:val="both"/>
      </w:pPr>
      <w:r>
        <w:rPr>
          <w:rFonts w:ascii="Times New Roman"/>
          <w:b w:val="false"/>
          <w:i w:val="false"/>
          <w:color w:val="000000"/>
          <w:sz w:val="28"/>
        </w:rPr>
        <w:t>
      нанесенные на поверхности оборудования слои электропроводящих веществ: металлизации, проводящих пластмасс, компаундов, мастик, антистатических лакокрасочных покрытий;</w:t>
      </w:r>
    </w:p>
    <w:bookmarkEnd w:id="53"/>
    <w:bookmarkStart w:name="z57" w:id="54"/>
    <w:p>
      <w:pPr>
        <w:spacing w:after="0"/>
        <w:ind w:left="0"/>
        <w:jc w:val="both"/>
      </w:pPr>
      <w:r>
        <w:rPr>
          <w:rFonts w:ascii="Times New Roman"/>
          <w:b w:val="false"/>
          <w:i w:val="false"/>
          <w:color w:val="000000"/>
          <w:sz w:val="28"/>
        </w:rPr>
        <w:t>
      27) специальные электрические помещения - помещения или места, предназначенные исключительно для электрического оборудования и доступные только для обслуживающего персонала;</w:t>
      </w:r>
    </w:p>
    <w:bookmarkEnd w:id="54"/>
    <w:bookmarkStart w:name="z58" w:id="55"/>
    <w:p>
      <w:pPr>
        <w:spacing w:after="0"/>
        <w:ind w:left="0"/>
        <w:jc w:val="both"/>
      </w:pPr>
      <w:r>
        <w:rPr>
          <w:rFonts w:ascii="Times New Roman"/>
          <w:b w:val="false"/>
          <w:i w:val="false"/>
          <w:color w:val="000000"/>
          <w:sz w:val="28"/>
        </w:rPr>
        <w:t>
      28) автоматизированная установка - совокупность механизмов и устройств, оборудованных системой автоматизации;</w:t>
      </w:r>
    </w:p>
    <w:bookmarkEnd w:id="55"/>
    <w:bookmarkStart w:name="z59" w:id="56"/>
    <w:p>
      <w:pPr>
        <w:spacing w:after="0"/>
        <w:ind w:left="0"/>
        <w:jc w:val="both"/>
      </w:pPr>
      <w:r>
        <w:rPr>
          <w:rFonts w:ascii="Times New Roman"/>
          <w:b w:val="false"/>
          <w:i w:val="false"/>
          <w:color w:val="000000"/>
          <w:sz w:val="28"/>
        </w:rPr>
        <w:t>
      29) подсистема обобщенной (сгруппированной) аварийно-предупредительной сигнализации - конструктивная часть централизованной системы аварийно-предупредительной сигнализации, состоящая из отдельных дополнительных блоков (панелей), в которых сосредоточен ряд аварийно-предупредительных сигналов, формируемых путем объединения (группирования) сигналов, относящихся к отдельным механизмам или устройствам, в один обобщенный сигнал;</w:t>
      </w:r>
    </w:p>
    <w:bookmarkEnd w:id="56"/>
    <w:bookmarkStart w:name="z60" w:id="57"/>
    <w:p>
      <w:pPr>
        <w:spacing w:after="0"/>
        <w:ind w:left="0"/>
        <w:jc w:val="both"/>
      </w:pPr>
      <w:r>
        <w:rPr>
          <w:rFonts w:ascii="Times New Roman"/>
          <w:b w:val="false"/>
          <w:i w:val="false"/>
          <w:color w:val="000000"/>
          <w:sz w:val="28"/>
        </w:rPr>
        <w:t>
      30) система аварийно-предупредительной сигнализации (далее - АПС) - оборудование, предназначенное для сигнализации о достижении контролируемыми параметрами установленных предельных значений и об изменении нормальных режимов работы механизмов и устройств. Отдельные сигналы могут быть сгруппированы в обобщенные;</w:t>
      </w:r>
    </w:p>
    <w:bookmarkEnd w:id="57"/>
    <w:bookmarkStart w:name="z61" w:id="58"/>
    <w:p>
      <w:pPr>
        <w:spacing w:after="0"/>
        <w:ind w:left="0"/>
        <w:jc w:val="both"/>
      </w:pPr>
      <w:r>
        <w:rPr>
          <w:rFonts w:ascii="Times New Roman"/>
          <w:b w:val="false"/>
          <w:i w:val="false"/>
          <w:color w:val="000000"/>
          <w:sz w:val="28"/>
        </w:rPr>
        <w:t>
      31) система автоматизации - оборудование, предназначенное для автоматического и/или автоматизированного управления, регулирования, контроля, сигнализации и защиты механизмов и устройств;</w:t>
      </w:r>
    </w:p>
    <w:bookmarkEnd w:id="58"/>
    <w:bookmarkStart w:name="z62" w:id="59"/>
    <w:p>
      <w:pPr>
        <w:spacing w:after="0"/>
        <w:ind w:left="0"/>
        <w:jc w:val="both"/>
      </w:pPr>
      <w:r>
        <w:rPr>
          <w:rFonts w:ascii="Times New Roman"/>
          <w:b w:val="false"/>
          <w:i w:val="false"/>
          <w:color w:val="000000"/>
          <w:sz w:val="28"/>
        </w:rPr>
        <w:t>
      32) устройство автоматизации - часть системы автоматизации, составленная из элементов, соединенных в одно конструктивное и функциональное целое;</w:t>
      </w:r>
    </w:p>
    <w:bookmarkEnd w:id="59"/>
    <w:bookmarkStart w:name="z63" w:id="60"/>
    <w:p>
      <w:pPr>
        <w:spacing w:after="0"/>
        <w:ind w:left="0"/>
        <w:jc w:val="both"/>
      </w:pPr>
      <w:r>
        <w:rPr>
          <w:rFonts w:ascii="Times New Roman"/>
          <w:b w:val="false"/>
          <w:i w:val="false"/>
          <w:color w:val="000000"/>
          <w:sz w:val="28"/>
        </w:rPr>
        <w:t>
      33) элемент системы автоматизации - самостоятельное в конструктивном отношении изделие (датчик, реле, логический элемент), входящее в устройства и системы автоматизации;</w:t>
      </w:r>
    </w:p>
    <w:bookmarkEnd w:id="60"/>
    <w:bookmarkStart w:name="z64" w:id="61"/>
    <w:p>
      <w:pPr>
        <w:spacing w:after="0"/>
        <w:ind w:left="0"/>
        <w:jc w:val="both"/>
      </w:pPr>
      <w:r>
        <w:rPr>
          <w:rFonts w:ascii="Times New Roman"/>
          <w:b w:val="false"/>
          <w:i w:val="false"/>
          <w:color w:val="000000"/>
          <w:sz w:val="28"/>
        </w:rPr>
        <w:t>
      34) воздушная подушка - область повышенного давления воздуха между крышей отсека и уровнем балласта в нем;</w:t>
      </w:r>
    </w:p>
    <w:bookmarkEnd w:id="61"/>
    <w:bookmarkStart w:name="z65" w:id="62"/>
    <w:p>
      <w:pPr>
        <w:spacing w:after="0"/>
        <w:ind w:left="0"/>
        <w:jc w:val="both"/>
      </w:pPr>
      <w:r>
        <w:rPr>
          <w:rFonts w:ascii="Times New Roman"/>
          <w:b w:val="false"/>
          <w:i w:val="false"/>
          <w:color w:val="000000"/>
          <w:sz w:val="28"/>
        </w:rPr>
        <w:t>
      35) универсальная диаграмма - диаграмма остойчивости судна с неравномерной, пропорциональной синусам углов крена шкалой абсцисс, семейством кривых плеч остойчивости формы для различных водоизмещении и шкалой метацентрических высот (или аппликат центра тяжести судна) по оси ординат для построения прямых лучей, определяющих остойчивость веса;</w:t>
      </w:r>
    </w:p>
    <w:bookmarkEnd w:id="62"/>
    <w:bookmarkStart w:name="z66" w:id="63"/>
    <w:p>
      <w:pPr>
        <w:spacing w:after="0"/>
        <w:ind w:left="0"/>
        <w:jc w:val="both"/>
      </w:pPr>
      <w:r>
        <w:rPr>
          <w:rFonts w:ascii="Times New Roman"/>
          <w:b w:val="false"/>
          <w:i w:val="false"/>
          <w:color w:val="000000"/>
          <w:sz w:val="28"/>
        </w:rPr>
        <w:t>
      36) баржа - несамоходное грузовое судно, приспособленное для его буксировки или толкания;</w:t>
      </w:r>
    </w:p>
    <w:bookmarkEnd w:id="63"/>
    <w:bookmarkStart w:name="z67" w:id="64"/>
    <w:p>
      <w:pPr>
        <w:spacing w:after="0"/>
        <w:ind w:left="0"/>
        <w:jc w:val="both"/>
      </w:pPr>
      <w:r>
        <w:rPr>
          <w:rFonts w:ascii="Times New Roman"/>
          <w:b w:val="false"/>
          <w:i w:val="false"/>
          <w:color w:val="000000"/>
          <w:sz w:val="28"/>
        </w:rPr>
        <w:t>
      37) баржевоз (лихтеровоз) - сухогрузное судно, перевозящее грузы в судовых баржах (лихтерах);</w:t>
      </w:r>
    </w:p>
    <w:bookmarkEnd w:id="64"/>
    <w:bookmarkStart w:name="z68" w:id="65"/>
    <w:p>
      <w:pPr>
        <w:spacing w:after="0"/>
        <w:ind w:left="0"/>
        <w:jc w:val="both"/>
      </w:pPr>
      <w:r>
        <w:rPr>
          <w:rFonts w:ascii="Times New Roman"/>
          <w:b w:val="false"/>
          <w:i w:val="false"/>
          <w:color w:val="000000"/>
          <w:sz w:val="28"/>
        </w:rPr>
        <w:t>
      38) водоизмещение порожнем - водоизмещение судна без груза, топлива, смазочного масла, балластной, пресной, котельной воды в цистернах, провизии, расходных материалов, а также без пассажиров, экипажа и их вещей;</w:t>
      </w:r>
    </w:p>
    <w:bookmarkEnd w:id="65"/>
    <w:bookmarkStart w:name="z69" w:id="66"/>
    <w:p>
      <w:pPr>
        <w:spacing w:after="0"/>
        <w:ind w:left="0"/>
        <w:jc w:val="both"/>
      </w:pPr>
      <w:r>
        <w:rPr>
          <w:rFonts w:ascii="Times New Roman"/>
          <w:b w:val="false"/>
          <w:i w:val="false"/>
          <w:color w:val="000000"/>
          <w:sz w:val="28"/>
        </w:rPr>
        <w:t>
      39) место убежища - любая естественно или искусственно защищенная акватория, которая используется для укрытия судна при возникновении обстоятельств, угрожающих его безопасности;</w:t>
      </w:r>
    </w:p>
    <w:bookmarkEnd w:id="66"/>
    <w:bookmarkStart w:name="z70" w:id="67"/>
    <w:p>
      <w:pPr>
        <w:spacing w:after="0"/>
        <w:ind w:left="0"/>
        <w:jc w:val="both"/>
      </w:pPr>
      <w:r>
        <w:rPr>
          <w:rFonts w:ascii="Times New Roman"/>
          <w:b w:val="false"/>
          <w:i w:val="false"/>
          <w:color w:val="000000"/>
          <w:sz w:val="28"/>
        </w:rPr>
        <w:t>
      40) рыболовное судно - любое судно, используемое для промысла или для промысла и обработки улова (рыбы, китов, тюленей, моржей или других живых ресурсов моря);</w:t>
      </w:r>
    </w:p>
    <w:bookmarkEnd w:id="67"/>
    <w:bookmarkStart w:name="z71" w:id="68"/>
    <w:p>
      <w:pPr>
        <w:spacing w:after="0"/>
        <w:ind w:left="0"/>
        <w:jc w:val="both"/>
      </w:pPr>
      <w:r>
        <w:rPr>
          <w:rFonts w:ascii="Times New Roman"/>
          <w:b w:val="false"/>
          <w:i w:val="false"/>
          <w:color w:val="000000"/>
          <w:sz w:val="28"/>
        </w:rPr>
        <w:t>
      41) экипаж рыболовного судна - лица, занятые выполнением любых обязанностей на борту судна, связанных с его назначением;</w:t>
      </w:r>
    </w:p>
    <w:bookmarkEnd w:id="68"/>
    <w:bookmarkStart w:name="z72" w:id="69"/>
    <w:p>
      <w:pPr>
        <w:spacing w:after="0"/>
        <w:ind w:left="0"/>
        <w:jc w:val="both"/>
      </w:pPr>
      <w:r>
        <w:rPr>
          <w:rFonts w:ascii="Times New Roman"/>
          <w:b w:val="false"/>
          <w:i w:val="false"/>
          <w:color w:val="000000"/>
          <w:sz w:val="28"/>
        </w:rPr>
        <w:t>
      42) балласт - забортная вода, принимаемая в балластные отсеки с целью изменения посадки дока;</w:t>
      </w:r>
    </w:p>
    <w:bookmarkEnd w:id="69"/>
    <w:bookmarkStart w:name="z73" w:id="70"/>
    <w:p>
      <w:pPr>
        <w:spacing w:after="0"/>
        <w:ind w:left="0"/>
        <w:jc w:val="both"/>
      </w:pPr>
      <w:r>
        <w:rPr>
          <w:rFonts w:ascii="Times New Roman"/>
          <w:b w:val="false"/>
          <w:i w:val="false"/>
          <w:color w:val="000000"/>
          <w:sz w:val="28"/>
        </w:rPr>
        <w:t>
      43) балластный отсек - отсек в понтоне и башне дока, ограниченный водонепроницаемыми конструкциями, предназначенный для приема водяного балласта;</w:t>
      </w:r>
    </w:p>
    <w:bookmarkEnd w:id="70"/>
    <w:bookmarkStart w:name="z74" w:id="71"/>
    <w:p>
      <w:pPr>
        <w:spacing w:after="0"/>
        <w:ind w:left="0"/>
        <w:jc w:val="both"/>
      </w:pPr>
      <w:r>
        <w:rPr>
          <w:rFonts w:ascii="Times New Roman"/>
          <w:b w:val="false"/>
          <w:i w:val="false"/>
          <w:color w:val="000000"/>
          <w:sz w:val="28"/>
        </w:rPr>
        <w:t>
      44) высота борта дока D - расстояние, измеренное по вертикали в плоскости мидель-шпангоута, от основной плоскости до теоретической поверхности топ-палубы у наружного борта башни дока;</w:t>
      </w:r>
    </w:p>
    <w:bookmarkEnd w:id="71"/>
    <w:bookmarkStart w:name="z75" w:id="72"/>
    <w:p>
      <w:pPr>
        <w:spacing w:after="0"/>
        <w:ind w:left="0"/>
        <w:jc w:val="both"/>
      </w:pPr>
      <w:r>
        <w:rPr>
          <w:rFonts w:ascii="Times New Roman"/>
          <w:b w:val="false"/>
          <w:i w:val="false"/>
          <w:color w:val="000000"/>
          <w:sz w:val="28"/>
        </w:rPr>
        <w:t xml:space="preserve">
      45) ссадка порожнем </w:t>
      </w:r>
      <w:r>
        <w:rPr>
          <w:rFonts w:ascii="Times New Roman"/>
          <w:b w:val="false"/>
          <w:i/>
          <w:color w:val="000000"/>
          <w:sz w:val="28"/>
        </w:rPr>
        <w:t>d</w:t>
      </w:r>
      <w:r>
        <w:rPr>
          <w:rFonts w:ascii="Times New Roman"/>
          <w:b w:val="false"/>
          <w:i w:val="false"/>
          <w:color w:val="000000"/>
          <w:vertAlign w:val="subscript"/>
        </w:rPr>
        <w:t>п</w:t>
      </w:r>
      <w:r>
        <w:rPr>
          <w:rFonts w:ascii="Times New Roman"/>
          <w:b w:val="false"/>
          <w:i w:val="false"/>
          <w:color w:val="000000"/>
          <w:sz w:val="28"/>
        </w:rPr>
        <w:t xml:space="preserve"> - расстояние, измеренное в плоскости мидель-шпангоута по вертикали от основной плоскости до ватерлинии, соответствующей водоизмещению дока с остаточным и выравнивающим балластом без запасов и докуемого судна;</w:t>
      </w:r>
    </w:p>
    <w:bookmarkEnd w:id="72"/>
    <w:bookmarkStart w:name="z76" w:id="73"/>
    <w:p>
      <w:pPr>
        <w:spacing w:after="0"/>
        <w:ind w:left="0"/>
        <w:jc w:val="both"/>
      </w:pPr>
      <w:r>
        <w:rPr>
          <w:rFonts w:ascii="Times New Roman"/>
          <w:b w:val="false"/>
          <w:i w:val="false"/>
          <w:color w:val="000000"/>
          <w:sz w:val="28"/>
        </w:rPr>
        <w:t xml:space="preserve">
      46) предельная глубина погружения </w:t>
      </w:r>
      <w:r>
        <w:rPr>
          <w:rFonts w:ascii="Times New Roman"/>
          <w:b w:val="false"/>
          <w:i/>
          <w:color w:val="000000"/>
          <w:sz w:val="28"/>
        </w:rPr>
        <w:t>d</w:t>
      </w:r>
      <w:r>
        <w:rPr>
          <w:rFonts w:ascii="Times New Roman"/>
          <w:b w:val="false"/>
          <w:i w:val="false"/>
          <w:color w:val="000000"/>
          <w:vertAlign w:val="subscript"/>
        </w:rPr>
        <w:t>пp</w:t>
      </w:r>
      <w:r>
        <w:rPr>
          <w:rFonts w:ascii="Times New Roman"/>
          <w:b w:val="false"/>
          <w:i w:val="false"/>
          <w:color w:val="000000"/>
          <w:sz w:val="28"/>
        </w:rPr>
        <w:t xml:space="preserve"> - расстояние, измеренное в плоскости мидель-шпангоута по вертикали от основной плоскости до ватерлинии, соответствующей предельному погружению дока;</w:t>
      </w:r>
    </w:p>
    <w:bookmarkEnd w:id="73"/>
    <w:bookmarkStart w:name="z77" w:id="74"/>
    <w:p>
      <w:pPr>
        <w:spacing w:after="0"/>
        <w:ind w:left="0"/>
        <w:jc w:val="both"/>
      </w:pPr>
      <w:r>
        <w:rPr>
          <w:rFonts w:ascii="Times New Roman"/>
          <w:b w:val="false"/>
          <w:i w:val="false"/>
          <w:color w:val="000000"/>
          <w:sz w:val="28"/>
        </w:rPr>
        <w:t>
      47) самая высокая грузовая ватерлиния деления судна на отсеки - самая высокая ватерлиния, при которой еще выполняются требования части 6 настоящих Правил;</w:t>
      </w:r>
    </w:p>
    <w:bookmarkEnd w:id="74"/>
    <w:bookmarkStart w:name="z78" w:id="75"/>
    <w:p>
      <w:pPr>
        <w:spacing w:after="0"/>
        <w:ind w:left="0"/>
        <w:jc w:val="both"/>
      </w:pPr>
      <w:r>
        <w:rPr>
          <w:rFonts w:ascii="Times New Roman"/>
          <w:b w:val="false"/>
          <w:i w:val="false"/>
          <w:color w:val="000000"/>
          <w:sz w:val="28"/>
        </w:rPr>
        <w:t>
      48) длина судна L - 96 % длины по ватерлинии, проходящей на высоте, равной 85 % наименьшей теоретической высоты борта, или длина от передней кромки форштевня до оси баллера руля по той же ватерлинии, если эта длина больше;</w:t>
      </w:r>
    </w:p>
    <w:bookmarkEnd w:id="75"/>
    <w:bookmarkStart w:name="z79" w:id="76"/>
    <w:p>
      <w:pPr>
        <w:spacing w:after="0"/>
        <w:ind w:left="0"/>
        <w:jc w:val="both"/>
      </w:pPr>
      <w:r>
        <w:rPr>
          <w:rFonts w:ascii="Times New Roman"/>
          <w:b w:val="false"/>
          <w:i w:val="false"/>
          <w:color w:val="000000"/>
          <w:sz w:val="28"/>
        </w:rPr>
        <w:t>
      49) главный рулевой привод - механизмы, исполнительные приводы перекладки руля или поворотной насадки, силовые агрегаты рулевого привода, если последние имеются, а также вспомогательное оборудование и средства приложения крутящего момента к баллеру (румпель или сектор), необходимые для перекладки руля или поворотной насадки с целью управления судном в нормальных условиях эксплуатации;</w:t>
      </w:r>
    </w:p>
    <w:bookmarkEnd w:id="76"/>
    <w:bookmarkStart w:name="z80" w:id="77"/>
    <w:p>
      <w:pPr>
        <w:spacing w:after="0"/>
        <w:ind w:left="0"/>
        <w:jc w:val="both"/>
      </w:pPr>
      <w:r>
        <w:rPr>
          <w:rFonts w:ascii="Times New Roman"/>
          <w:b w:val="false"/>
          <w:i w:val="false"/>
          <w:color w:val="000000"/>
          <w:sz w:val="28"/>
        </w:rPr>
        <w:t>
      50) высота борта - вертикальное расстояние, измеренное на миделе от верхней кромки горизонтального киля или от точки притыкания внутренней поверхности наружной обшивки к брусковому килю до верхней кромки бимса верхней непрерывной палубы у борта, то есть палубы, ниже которой объем корпуса судна учитывается в расчетах остойчивости. На судах, имеющих закругленное соединение указанной палубы с бортом, высота борта измеряется до точки пересечения продолженных теоретических линий верхней непрерывной палубы и борта, как если бы это соединение было угловым. Если верхняя непрерывная палуба в продольном направлении имеет уступ и возвышенная часть палубы простирается над точкой измерения высоты борта, высота борта измеряется до условной линии, являющейся продолжением нижней части палубы параллельно возвышенной части;</w:t>
      </w:r>
    </w:p>
    <w:bookmarkEnd w:id="77"/>
    <w:bookmarkStart w:name="z81" w:id="78"/>
    <w:p>
      <w:pPr>
        <w:spacing w:after="0"/>
        <w:ind w:left="0"/>
        <w:jc w:val="both"/>
      </w:pPr>
      <w:r>
        <w:rPr>
          <w:rFonts w:ascii="Times New Roman"/>
          <w:b w:val="false"/>
          <w:i w:val="false"/>
          <w:color w:val="000000"/>
          <w:sz w:val="28"/>
        </w:rPr>
        <w:t>
      51) поправка на свободные поверхности - поправка, учитывающая снижение остойчивости судна, обусловленное влиянием свободных поверхностей жидких грузов;</w:t>
      </w:r>
    </w:p>
    <w:bookmarkEnd w:id="78"/>
    <w:bookmarkStart w:name="z82" w:id="79"/>
    <w:p>
      <w:pPr>
        <w:spacing w:after="0"/>
        <w:ind w:left="0"/>
        <w:jc w:val="both"/>
      </w:pPr>
      <w:r>
        <w:rPr>
          <w:rFonts w:ascii="Times New Roman"/>
          <w:b w:val="false"/>
          <w:i w:val="false"/>
          <w:color w:val="000000"/>
          <w:sz w:val="28"/>
        </w:rPr>
        <w:t>
      52) судно порожнем - полностью готовое судно, но без дедвейта. В состав дедвейта включается жидкий балласт;</w:t>
      </w:r>
    </w:p>
    <w:bookmarkEnd w:id="79"/>
    <w:bookmarkStart w:name="z83" w:id="80"/>
    <w:p>
      <w:pPr>
        <w:spacing w:after="0"/>
        <w:ind w:left="0"/>
        <w:jc w:val="both"/>
      </w:pPr>
      <w:r>
        <w:rPr>
          <w:rFonts w:ascii="Times New Roman"/>
          <w:b w:val="false"/>
          <w:i w:val="false"/>
          <w:color w:val="000000"/>
          <w:sz w:val="28"/>
        </w:rPr>
        <w:t xml:space="preserve">
      53) высота борта </w:t>
      </w:r>
      <w:r>
        <w:rPr>
          <w:rFonts w:ascii="Times New Roman"/>
          <w:b w:val="false"/>
          <w:i/>
          <w:color w:val="000000"/>
          <w:sz w:val="28"/>
        </w:rPr>
        <w:t>D</w:t>
      </w:r>
      <w:r>
        <w:rPr>
          <w:rFonts w:ascii="Times New Roman"/>
          <w:b w:val="false"/>
          <w:i w:val="false"/>
          <w:color w:val="000000"/>
          <w:sz w:val="28"/>
        </w:rPr>
        <w:t xml:space="preserve"> - наименьшее расстояние, измеренное по вертикали от верхней кромки горизонтального киля или от линии притыкания внутренней поверхности обшивки к брусковому килю до внутренней линии притыкания палубы переборок к борту. На судах, имеющих закругленный ширстрек, это расстояние измеряется до пересечения продолженных внутренних поверхностей стального настила палубы переборок и бортовой обшивки у борта, как если бы это соединение было угловой конструкции. На неметаллических судах все указанное относится к наружным поверхностям палубы и обшивки;</w:t>
      </w:r>
    </w:p>
    <w:bookmarkEnd w:id="80"/>
    <w:bookmarkStart w:name="z84" w:id="81"/>
    <w:p>
      <w:pPr>
        <w:spacing w:after="0"/>
        <w:ind w:left="0"/>
        <w:jc w:val="both"/>
      </w:pPr>
      <w:r>
        <w:rPr>
          <w:rFonts w:ascii="Times New Roman"/>
          <w:b w:val="false"/>
          <w:i w:val="false"/>
          <w:color w:val="000000"/>
          <w:sz w:val="28"/>
        </w:rPr>
        <w:t xml:space="preserve">
      54) высота борта теоретическая - измеряется так же, как высота борта </w:t>
      </w:r>
      <w:r>
        <w:rPr>
          <w:rFonts w:ascii="Times New Roman"/>
          <w:b w:val="false"/>
          <w:i/>
          <w:color w:val="000000"/>
          <w:sz w:val="28"/>
        </w:rPr>
        <w:t>D</w:t>
      </w:r>
      <w:r>
        <w:rPr>
          <w:rFonts w:ascii="Times New Roman"/>
          <w:b w:val="false"/>
          <w:i w:val="false"/>
          <w:color w:val="000000"/>
          <w:sz w:val="28"/>
        </w:rPr>
        <w:t>, но до верхней кромки бимса палубы надводного борта;</w:t>
      </w:r>
    </w:p>
    <w:bookmarkEnd w:id="81"/>
    <w:bookmarkStart w:name="z85" w:id="82"/>
    <w:p>
      <w:pPr>
        <w:spacing w:after="0"/>
        <w:ind w:left="0"/>
        <w:jc w:val="both"/>
      </w:pPr>
      <w:r>
        <w:rPr>
          <w:rFonts w:ascii="Times New Roman"/>
          <w:b w:val="false"/>
          <w:i w:val="false"/>
          <w:color w:val="000000"/>
          <w:sz w:val="28"/>
        </w:rPr>
        <w:t>
      55) грузовая ватерлиния деления на отсеки - ватерлиния неповрежденного судна, применяемая при делении на отсеки;</w:t>
      </w:r>
    </w:p>
    <w:bookmarkEnd w:id="82"/>
    <w:bookmarkStart w:name="z86" w:id="83"/>
    <w:p>
      <w:pPr>
        <w:spacing w:after="0"/>
        <w:ind w:left="0"/>
        <w:jc w:val="both"/>
      </w:pPr>
      <w:r>
        <w:rPr>
          <w:rFonts w:ascii="Times New Roman"/>
          <w:b w:val="false"/>
          <w:i w:val="false"/>
          <w:color w:val="000000"/>
          <w:sz w:val="28"/>
        </w:rPr>
        <w:t xml:space="preserve">
      56) осадка деления на отсеки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осадка, соответствующая грузовой ватерлинии деления судна на отсеки;</w:t>
      </w:r>
    </w:p>
    <w:bookmarkEnd w:id="83"/>
    <w:bookmarkStart w:name="z87" w:id="84"/>
    <w:p>
      <w:pPr>
        <w:spacing w:after="0"/>
        <w:ind w:left="0"/>
        <w:jc w:val="both"/>
      </w:pPr>
      <w:r>
        <w:rPr>
          <w:rFonts w:ascii="Times New Roman"/>
          <w:b w:val="false"/>
          <w:i w:val="false"/>
          <w:color w:val="000000"/>
          <w:sz w:val="28"/>
        </w:rPr>
        <w:t>
      57) отсек - часть внутреннего пространства судна, ограниченная днищем, бортами, палубой переборок и двумя соседними поперечными водонепроницаемыми переборками или пиковой переборкой и оконечностью;</w:t>
      </w:r>
    </w:p>
    <w:bookmarkEnd w:id="84"/>
    <w:bookmarkStart w:name="z88" w:id="85"/>
    <w:p>
      <w:pPr>
        <w:spacing w:after="0"/>
        <w:ind w:left="0"/>
        <w:jc w:val="both"/>
      </w:pPr>
      <w:r>
        <w:rPr>
          <w:rFonts w:ascii="Times New Roman"/>
          <w:b w:val="false"/>
          <w:i w:val="false"/>
          <w:color w:val="000000"/>
          <w:sz w:val="28"/>
        </w:rPr>
        <w:t>
      58) самая высокая грузовая ватерлиния деления на отсеки - ватерлиния, соответствующая наибольшей осадке, при которой еще выполняются требования, предъявляемые к делению судна на отсеки;</w:t>
      </w:r>
    </w:p>
    <w:bookmarkEnd w:id="85"/>
    <w:bookmarkStart w:name="z89" w:id="86"/>
    <w:p>
      <w:pPr>
        <w:spacing w:after="0"/>
        <w:ind w:left="0"/>
        <w:jc w:val="both"/>
      </w:pPr>
      <w:r>
        <w:rPr>
          <w:rFonts w:ascii="Times New Roman"/>
          <w:b w:val="false"/>
          <w:i w:val="false"/>
          <w:color w:val="000000"/>
          <w:sz w:val="28"/>
        </w:rPr>
        <w:t>
      59) отсеки или помещения смежные - отсеки или помещения, отделенные друг от друга переборкой, палубой, платформой или другой подобной постоянной разделяющей их конструкцией без вырезов или с вырезами, имеющими закрытия;</w:t>
      </w:r>
    </w:p>
    <w:bookmarkEnd w:id="86"/>
    <w:bookmarkStart w:name="z90" w:id="87"/>
    <w:p>
      <w:pPr>
        <w:spacing w:after="0"/>
        <w:ind w:left="0"/>
        <w:jc w:val="both"/>
      </w:pPr>
      <w:r>
        <w:rPr>
          <w:rFonts w:ascii="Times New Roman"/>
          <w:b w:val="false"/>
          <w:i w:val="false"/>
          <w:color w:val="000000"/>
          <w:sz w:val="28"/>
        </w:rPr>
        <w:t>
      Отсеки и помещения, соприкасающиеся друг с другом углами, смежными не считаются.</w:t>
      </w:r>
    </w:p>
    <w:bookmarkEnd w:id="87"/>
    <w:bookmarkStart w:name="z91" w:id="88"/>
    <w:p>
      <w:pPr>
        <w:spacing w:after="0"/>
        <w:ind w:left="0"/>
        <w:jc w:val="both"/>
      </w:pPr>
      <w:r>
        <w:rPr>
          <w:rFonts w:ascii="Times New Roman"/>
          <w:b w:val="false"/>
          <w:i w:val="false"/>
          <w:color w:val="000000"/>
          <w:sz w:val="28"/>
        </w:rPr>
        <w:t>
      Отсеки и помещения, отделяющиеся друг от друга съемными (которые могут быть сняты в процессе обычной эксплуатации) конструкциями или имеющие незакрывающиеся вырезы в разделяющей их переборке или палубе, рассматриваются как одно общее помещение;</w:t>
      </w:r>
    </w:p>
    <w:bookmarkEnd w:id="88"/>
    <w:bookmarkStart w:name="z92" w:id="89"/>
    <w:p>
      <w:pPr>
        <w:spacing w:after="0"/>
        <w:ind w:left="0"/>
        <w:jc w:val="both"/>
      </w:pPr>
      <w:r>
        <w:rPr>
          <w:rFonts w:ascii="Times New Roman"/>
          <w:b w:val="false"/>
          <w:i w:val="false"/>
          <w:color w:val="000000"/>
          <w:sz w:val="28"/>
        </w:rPr>
        <w:t>
      60) первичное палубное покрытие - первый слой конструкции палубного настила, который непосредственно наносится на металлический настил палубы и включает в себя любое первичное покрытие, противокоррозионную мастику или клей, которые необходимы для защиты или приклеивания к металлическому настилу палубы. Другие слои в конструкции настила поверх металлического настила палубы являются покрытиями настила;</w:t>
      </w:r>
    </w:p>
    <w:bookmarkEnd w:id="89"/>
    <w:bookmarkStart w:name="z93" w:id="90"/>
    <w:p>
      <w:pPr>
        <w:spacing w:after="0"/>
        <w:ind w:left="0"/>
        <w:jc w:val="both"/>
      </w:pPr>
      <w:r>
        <w:rPr>
          <w:rFonts w:ascii="Times New Roman"/>
          <w:b w:val="false"/>
          <w:i w:val="false"/>
          <w:color w:val="000000"/>
          <w:sz w:val="28"/>
        </w:rPr>
        <w:t>
      61) сталь или другой равноценный материал - любой негорючий материал, который сам по себе или благодаря покрывающей его изоляции обладает к концу применимого огневого воздействия при стандартном испытании на огнестойкость конструктивными свойствами и огнестойкостью, равноценными стали (алюминиевый сплав с соответствующей изоляцией);</w:t>
      </w:r>
    </w:p>
    <w:bookmarkEnd w:id="90"/>
    <w:bookmarkStart w:name="z94" w:id="91"/>
    <w:p>
      <w:pPr>
        <w:spacing w:after="0"/>
        <w:ind w:left="0"/>
        <w:jc w:val="both"/>
      </w:pPr>
      <w:r>
        <w:rPr>
          <w:rFonts w:ascii="Times New Roman"/>
          <w:b w:val="false"/>
          <w:i w:val="false"/>
          <w:color w:val="000000"/>
          <w:sz w:val="28"/>
        </w:rPr>
        <w:t>
      62) транспортное средство без топлива в баках - автомобили, грузовики, тягачи, приводимые в движение двигателем внутреннего сгорания и имеющие пустыми топливную систему и топливные баки, а также отсоединенные от аккумулятора оба батарейных провода;</w:t>
      </w:r>
    </w:p>
    <w:bookmarkEnd w:id="91"/>
    <w:bookmarkStart w:name="z95" w:id="92"/>
    <w:p>
      <w:pPr>
        <w:spacing w:after="0"/>
        <w:ind w:left="0"/>
        <w:jc w:val="both"/>
      </w:pPr>
      <w:r>
        <w:rPr>
          <w:rFonts w:ascii="Times New Roman"/>
          <w:b w:val="false"/>
          <w:i w:val="false"/>
          <w:color w:val="000000"/>
          <w:sz w:val="28"/>
        </w:rPr>
        <w:t>
      63) центральный пост управления (далее - ЦПУ) - помещение, в котором расположены органы дистанционного управления главными и вспомогательными механизмами, винт регулирования шага (далее - ВРШ), главными и вспомогательными САУС, контрольно-измерительные приборы, приборы аварийно-предупредительной сигнализации и средства связи;</w:t>
      </w:r>
    </w:p>
    <w:bookmarkEnd w:id="92"/>
    <w:bookmarkStart w:name="z96" w:id="93"/>
    <w:p>
      <w:pPr>
        <w:spacing w:after="0"/>
        <w:ind w:left="0"/>
        <w:jc w:val="both"/>
      </w:pPr>
      <w:r>
        <w:rPr>
          <w:rFonts w:ascii="Times New Roman"/>
          <w:b w:val="false"/>
          <w:i w:val="false"/>
          <w:color w:val="000000"/>
          <w:sz w:val="28"/>
        </w:rPr>
        <w:t>
      64) главный распределительный щит (далее - ГРЩ) - распределительный щит, который предназначен для приема электрической энергии непосредственно от основного источника электрической энергии и распределения ее судовым потребителям;</w:t>
      </w:r>
    </w:p>
    <w:bookmarkEnd w:id="93"/>
    <w:bookmarkStart w:name="z97" w:id="94"/>
    <w:p>
      <w:pPr>
        <w:spacing w:after="0"/>
        <w:ind w:left="0"/>
        <w:jc w:val="both"/>
      </w:pPr>
      <w:r>
        <w:rPr>
          <w:rFonts w:ascii="Times New Roman"/>
          <w:b w:val="false"/>
          <w:i w:val="false"/>
          <w:color w:val="000000"/>
          <w:sz w:val="28"/>
        </w:rPr>
        <w:t>
      65) однородный груз - груз, имеющий постоянный удельный погрузочный объем;</w:t>
      </w:r>
    </w:p>
    <w:bookmarkEnd w:id="94"/>
    <w:bookmarkStart w:name="z98" w:id="95"/>
    <w:p>
      <w:pPr>
        <w:spacing w:after="0"/>
        <w:ind w:left="0"/>
        <w:jc w:val="both"/>
      </w:pPr>
      <w:r>
        <w:rPr>
          <w:rFonts w:ascii="Times New Roman"/>
          <w:b w:val="false"/>
          <w:i w:val="false"/>
          <w:color w:val="000000"/>
          <w:sz w:val="28"/>
        </w:rPr>
        <w:t>
      66) ответственные устройства первой категории - устройства, которые должны постоянно находиться в работающем (включенном) состоянии для обеспечения движения и управляемости судна. К таким устройствам относятся устройства, перечисленные в пункте 4734 настоящих Правил;</w:t>
      </w:r>
    </w:p>
    <w:bookmarkEnd w:id="95"/>
    <w:bookmarkStart w:name="z99" w:id="96"/>
    <w:p>
      <w:pPr>
        <w:spacing w:after="0"/>
        <w:ind w:left="0"/>
        <w:jc w:val="both"/>
      </w:pPr>
      <w:r>
        <w:rPr>
          <w:rFonts w:ascii="Times New Roman"/>
          <w:b w:val="false"/>
          <w:i w:val="false"/>
          <w:color w:val="000000"/>
          <w:sz w:val="28"/>
        </w:rPr>
        <w:t>
      67) первоначальные испытания - определенный объем контрольных испытаний, регламентированный специальной, одобренной Регистром судоходства программой и выполняемый во время освидетельствования предприятия;</w:t>
      </w:r>
    </w:p>
    <w:bookmarkEnd w:id="96"/>
    <w:bookmarkStart w:name="z100" w:id="97"/>
    <w:p>
      <w:pPr>
        <w:spacing w:after="0"/>
        <w:ind w:left="0"/>
        <w:jc w:val="both"/>
      </w:pPr>
      <w:r>
        <w:rPr>
          <w:rFonts w:ascii="Times New Roman"/>
          <w:b w:val="false"/>
          <w:i w:val="false"/>
          <w:color w:val="000000"/>
          <w:sz w:val="28"/>
        </w:rPr>
        <w:t>
      68) однослойная конструкция - конструкция, которая состоит из пластины, подкрепленной набором;</w:t>
      </w:r>
    </w:p>
    <w:bookmarkEnd w:id="97"/>
    <w:bookmarkStart w:name="z101" w:id="98"/>
    <w:p>
      <w:pPr>
        <w:spacing w:after="0"/>
        <w:ind w:left="0"/>
        <w:jc w:val="both"/>
      </w:pPr>
      <w:r>
        <w:rPr>
          <w:rFonts w:ascii="Times New Roman"/>
          <w:b w:val="false"/>
          <w:i w:val="false"/>
          <w:color w:val="000000"/>
          <w:sz w:val="28"/>
        </w:rPr>
        <w:t>
      69) судно типа "В" - судно, которое не соответствует требованиям, предъявляемым к судам типа "А";</w:t>
      </w:r>
    </w:p>
    <w:bookmarkEnd w:id="98"/>
    <w:bookmarkStart w:name="z102" w:id="99"/>
    <w:p>
      <w:pPr>
        <w:spacing w:after="0"/>
        <w:ind w:left="0"/>
        <w:jc w:val="both"/>
      </w:pPr>
      <w:r>
        <w:rPr>
          <w:rFonts w:ascii="Times New Roman"/>
          <w:b w:val="false"/>
          <w:i w:val="false"/>
          <w:color w:val="000000"/>
          <w:sz w:val="28"/>
        </w:rPr>
        <w:t>
      70) непрерывные подволоки или зашивки типа В - подволоки или зашивки, заканчивающиеся у конструкций типа А или В;</w:t>
      </w:r>
    </w:p>
    <w:bookmarkEnd w:id="99"/>
    <w:bookmarkStart w:name="z103" w:id="100"/>
    <w:p>
      <w:pPr>
        <w:spacing w:after="0"/>
        <w:ind w:left="0"/>
        <w:jc w:val="both"/>
      </w:pPr>
      <w:r>
        <w:rPr>
          <w:rFonts w:ascii="Times New Roman"/>
          <w:b w:val="false"/>
          <w:i w:val="false"/>
          <w:color w:val="000000"/>
          <w:sz w:val="28"/>
        </w:rPr>
        <w:t>
      71) валогенераторы - генераторы, приводимые в действие от главных механизмов и питающие судовую электрическую сеть или отдельные потребители;</w:t>
      </w:r>
    </w:p>
    <w:bookmarkEnd w:id="100"/>
    <w:bookmarkStart w:name="z104" w:id="101"/>
    <w:p>
      <w:pPr>
        <w:spacing w:after="0"/>
        <w:ind w:left="0"/>
        <w:jc w:val="both"/>
      </w:pPr>
      <w:r>
        <w:rPr>
          <w:rFonts w:ascii="Times New Roman"/>
          <w:b w:val="false"/>
          <w:i w:val="false"/>
          <w:color w:val="000000"/>
          <w:sz w:val="28"/>
        </w:rPr>
        <w:t>
      72) гидростатические кривые - кривые элементов теоретического чертежа судна;</w:t>
      </w:r>
    </w:p>
    <w:bookmarkEnd w:id="101"/>
    <w:bookmarkStart w:name="z105" w:id="102"/>
    <w:p>
      <w:pPr>
        <w:spacing w:after="0"/>
        <w:ind w:left="0"/>
        <w:jc w:val="both"/>
      </w:pPr>
      <w:r>
        <w:rPr>
          <w:rFonts w:ascii="Times New Roman"/>
          <w:b w:val="false"/>
          <w:i w:val="false"/>
          <w:color w:val="000000"/>
          <w:sz w:val="28"/>
        </w:rPr>
        <w:t>
      73) гальваническая искробезопасность - состояние оборудования и систем судна, при котором исключается возможность возникновения пожара или взрыва от электрических искрений при гальваническом контакте судна с береговым сооружением или другим судном, вызванном электрохимическими явлениями и блуждающими токами в окружающих морской воде и грунте;</w:t>
      </w:r>
    </w:p>
    <w:bookmarkEnd w:id="102"/>
    <w:bookmarkStart w:name="z106" w:id="103"/>
    <w:p>
      <w:pPr>
        <w:spacing w:after="0"/>
        <w:ind w:left="0"/>
        <w:jc w:val="both"/>
      </w:pPr>
      <w:r>
        <w:rPr>
          <w:rFonts w:ascii="Times New Roman"/>
          <w:b w:val="false"/>
          <w:i w:val="false"/>
          <w:color w:val="000000"/>
          <w:sz w:val="28"/>
        </w:rPr>
        <w:t>
      74) дедвейт - разность между водоизмещением судна по грузовую ватерлинию, соответствующую назначенному летнему надводному борту в воде с плотностью 1,025 т/м</w:t>
      </w:r>
      <w:r>
        <w:rPr>
          <w:rFonts w:ascii="Times New Roman"/>
          <w:b w:val="false"/>
          <w:i w:val="false"/>
          <w:color w:val="000000"/>
          <w:vertAlign w:val="superscript"/>
        </w:rPr>
        <w:t>3</w:t>
      </w:r>
      <w:r>
        <w:rPr>
          <w:rFonts w:ascii="Times New Roman"/>
          <w:b w:val="false"/>
          <w:i w:val="false"/>
          <w:color w:val="000000"/>
          <w:sz w:val="28"/>
        </w:rPr>
        <w:t>, и водоизмещением порожнем;</w:t>
      </w:r>
    </w:p>
    <w:bookmarkEnd w:id="103"/>
    <w:bookmarkStart w:name="z107" w:id="104"/>
    <w:p>
      <w:pPr>
        <w:spacing w:after="0"/>
        <w:ind w:left="0"/>
        <w:jc w:val="both"/>
      </w:pPr>
      <w:r>
        <w:rPr>
          <w:rFonts w:ascii="Times New Roman"/>
          <w:b w:val="false"/>
          <w:i w:val="false"/>
          <w:color w:val="000000"/>
          <w:sz w:val="28"/>
        </w:rPr>
        <w:t>
      75) башня дока - часть корпуса плавучего дока, конструктивно соединяемая с понтоном или понтонами, предназначенная для обеспечения остойчивости дока при погружении и всплытии. Башня разделяется палубами, платформами, переборками на помещения и отсеки для размещения оборудования дока и балласта;</w:t>
      </w:r>
    </w:p>
    <w:bookmarkEnd w:id="104"/>
    <w:bookmarkStart w:name="z108" w:id="105"/>
    <w:p>
      <w:pPr>
        <w:spacing w:after="0"/>
        <w:ind w:left="0"/>
        <w:jc w:val="both"/>
      </w:pPr>
      <w:r>
        <w:rPr>
          <w:rFonts w:ascii="Times New Roman"/>
          <w:b w:val="false"/>
          <w:i w:val="false"/>
          <w:color w:val="000000"/>
          <w:sz w:val="28"/>
        </w:rPr>
        <w:t xml:space="preserve">
      76) грузоподъемность дока </w:t>
      </w:r>
      <w:r>
        <w:rPr>
          <w:rFonts w:ascii="Times New Roman"/>
          <w:b w:val="false"/>
          <w:i w:val="false"/>
          <w:color w:val="000000"/>
          <w:sz w:val="28"/>
          <w:u w:val="single"/>
        </w:rPr>
        <w:t>/\</w:t>
      </w:r>
      <w:r>
        <w:rPr>
          <w:rFonts w:ascii="Times New Roman"/>
          <w:b w:val="false"/>
          <w:i w:val="false"/>
          <w:color w:val="000000"/>
          <w:sz w:val="28"/>
        </w:rPr>
        <w:t>, тонна (далее - т) - масса наиболее тяжелого судна или нескольких судов, которые могут быть подняты доком при нормальных условиях эксплуатации;</w:t>
      </w:r>
    </w:p>
    <w:bookmarkEnd w:id="105"/>
    <w:bookmarkStart w:name="z109" w:id="106"/>
    <w:p>
      <w:pPr>
        <w:spacing w:after="0"/>
        <w:ind w:left="0"/>
        <w:jc w:val="both"/>
      </w:pPr>
      <w:r>
        <w:rPr>
          <w:rFonts w:ascii="Times New Roman"/>
          <w:b w:val="false"/>
          <w:i w:val="false"/>
          <w:color w:val="000000"/>
          <w:sz w:val="28"/>
        </w:rPr>
        <w:t xml:space="preserve">
      77) ширина дока </w:t>
      </w:r>
      <w:r>
        <w:rPr>
          <w:rFonts w:ascii="Times New Roman"/>
          <w:b w:val="false"/>
          <w:i/>
          <w:color w:val="000000"/>
          <w:sz w:val="28"/>
        </w:rPr>
        <w:t>В</w:t>
      </w:r>
      <w:r>
        <w:rPr>
          <w:rFonts w:ascii="Times New Roman"/>
          <w:b w:val="false"/>
          <w:i w:val="false"/>
          <w:color w:val="000000"/>
          <w:sz w:val="28"/>
        </w:rPr>
        <w:t xml:space="preserve"> - расстояние, измеренное перпендикулярно к диаметральной плоскости, между теоретическими поверхностями бортов понтона;</w:t>
      </w:r>
    </w:p>
    <w:bookmarkEnd w:id="106"/>
    <w:bookmarkStart w:name="z110" w:id="107"/>
    <w:p>
      <w:pPr>
        <w:spacing w:after="0"/>
        <w:ind w:left="0"/>
        <w:jc w:val="both"/>
      </w:pPr>
      <w:r>
        <w:rPr>
          <w:rFonts w:ascii="Times New Roman"/>
          <w:b w:val="false"/>
          <w:i w:val="false"/>
          <w:color w:val="000000"/>
          <w:sz w:val="28"/>
        </w:rPr>
        <w:t>
      78) предельная линия погружения при доковании - огибающая ватерлиний, соответствующих максимально допустимым посадкам плавучих доков и наплавных судов при проведении доковых операций;</w:t>
      </w:r>
    </w:p>
    <w:bookmarkEnd w:id="107"/>
    <w:bookmarkStart w:name="z111" w:id="108"/>
    <w:p>
      <w:pPr>
        <w:spacing w:after="0"/>
        <w:ind w:left="0"/>
        <w:jc w:val="both"/>
      </w:pPr>
      <w:r>
        <w:rPr>
          <w:rFonts w:ascii="Times New Roman"/>
          <w:b w:val="false"/>
          <w:i w:val="false"/>
          <w:color w:val="000000"/>
          <w:sz w:val="28"/>
        </w:rPr>
        <w:t>
      79) стапель-палуба дока - палуба, на которую устанавливается докуемое судно;</w:t>
      </w:r>
    </w:p>
    <w:bookmarkEnd w:id="108"/>
    <w:bookmarkStart w:name="z112" w:id="109"/>
    <w:p>
      <w:pPr>
        <w:spacing w:after="0"/>
        <w:ind w:left="0"/>
        <w:jc w:val="both"/>
      </w:pPr>
      <w:r>
        <w:rPr>
          <w:rFonts w:ascii="Times New Roman"/>
          <w:b w:val="false"/>
          <w:i w:val="false"/>
          <w:color w:val="000000"/>
          <w:sz w:val="28"/>
        </w:rPr>
        <w:t>
      80) топ-палуба дока - верхняя палуба дока (верхняя палуба башен);</w:t>
      </w:r>
    </w:p>
    <w:bookmarkEnd w:id="109"/>
    <w:bookmarkStart w:name="z113" w:id="110"/>
    <w:p>
      <w:pPr>
        <w:spacing w:after="0"/>
        <w:ind w:left="0"/>
        <w:jc w:val="both"/>
      </w:pPr>
      <w:r>
        <w:rPr>
          <w:rFonts w:ascii="Times New Roman"/>
          <w:b w:val="false"/>
          <w:i w:val="false"/>
          <w:color w:val="000000"/>
          <w:sz w:val="28"/>
        </w:rPr>
        <w:t>
      81) свидетельство о признании изготовителя - документ, подтверждающий соответствие изготавливаемой предприятием продукции и условий ее производства требованиям Регистра судоходства и гарантирующий внесение предприятия в перечень признанных материалов и предприятий-изготовителей;</w:t>
      </w:r>
    </w:p>
    <w:bookmarkEnd w:id="110"/>
    <w:bookmarkStart w:name="z114" w:id="111"/>
    <w:p>
      <w:pPr>
        <w:spacing w:after="0"/>
        <w:ind w:left="0"/>
        <w:jc w:val="both"/>
      </w:pPr>
      <w:r>
        <w:rPr>
          <w:rFonts w:ascii="Times New Roman"/>
          <w:b w:val="false"/>
          <w:i w:val="false"/>
          <w:color w:val="000000"/>
          <w:sz w:val="28"/>
        </w:rPr>
        <w:t>
      82) сварочный материал - электрод, проволока, флюс, защитный газ, применяемые при сварке;</w:t>
      </w:r>
    </w:p>
    <w:bookmarkEnd w:id="111"/>
    <w:bookmarkStart w:name="z115" w:id="112"/>
    <w:p>
      <w:pPr>
        <w:spacing w:after="0"/>
        <w:ind w:left="0"/>
        <w:jc w:val="both"/>
      </w:pPr>
      <w:r>
        <w:rPr>
          <w:rFonts w:ascii="Times New Roman"/>
          <w:b w:val="false"/>
          <w:i w:val="false"/>
          <w:color w:val="000000"/>
          <w:sz w:val="28"/>
        </w:rPr>
        <w:t>
      83) система дистанционного автоматизированного управления (далее - ДАУ) - оборудование, предназначенное для управления механизмом с удаленного поста управления, обеспечивающее автоматическое выполнение промежуточных операций сбора и обработки информации об объекте и выработку команд исполнительным устройствам, реализующим задаваемый оператором режим работы механизма;</w:t>
      </w:r>
    </w:p>
    <w:bookmarkEnd w:id="112"/>
    <w:bookmarkStart w:name="z116" w:id="113"/>
    <w:p>
      <w:pPr>
        <w:spacing w:after="0"/>
        <w:ind w:left="0"/>
        <w:jc w:val="both"/>
      </w:pPr>
      <w:r>
        <w:rPr>
          <w:rFonts w:ascii="Times New Roman"/>
          <w:b w:val="false"/>
          <w:i w:val="false"/>
          <w:color w:val="000000"/>
          <w:sz w:val="28"/>
        </w:rPr>
        <w:t>
      84) двухслойная конструкция - конструкция, которая состоит из двух пластин, соединенных набором, расположенным между ними;</w:t>
      </w:r>
    </w:p>
    <w:bookmarkEnd w:id="113"/>
    <w:bookmarkStart w:name="z117" w:id="114"/>
    <w:p>
      <w:pPr>
        <w:spacing w:after="0"/>
        <w:ind w:left="0"/>
        <w:jc w:val="both"/>
      </w:pPr>
      <w:r>
        <w:rPr>
          <w:rFonts w:ascii="Times New Roman"/>
          <w:b w:val="false"/>
          <w:i w:val="false"/>
          <w:color w:val="000000"/>
          <w:sz w:val="28"/>
        </w:rPr>
        <w:t>
      85) расчетная палуба - палуба, составляющая верхний пояс поперечного сечения корпуса судна. Такой палубой допускается самая верхняя непрерывная палуба или палуба длинной средней надстройки, удлиненных бака и юта вне концевых участков или палуба квартердека вне переходного участка (пункт 527 настоящих Правил);</w:t>
      </w:r>
    </w:p>
    <w:bookmarkEnd w:id="114"/>
    <w:bookmarkStart w:name="z118" w:id="115"/>
    <w:p>
      <w:pPr>
        <w:spacing w:after="0"/>
        <w:ind w:left="0"/>
        <w:jc w:val="both"/>
      </w:pPr>
      <w:r>
        <w:rPr>
          <w:rFonts w:ascii="Times New Roman"/>
          <w:b w:val="false"/>
          <w:i w:val="false"/>
          <w:color w:val="000000"/>
          <w:sz w:val="28"/>
        </w:rPr>
        <w:t xml:space="preserve">
      86) расчетная осадка </w:t>
      </w:r>
      <w:r>
        <w:rPr>
          <w:rFonts w:ascii="Times New Roman"/>
          <w:b w:val="false"/>
          <w:i/>
          <w:color w:val="000000"/>
          <w:sz w:val="28"/>
        </w:rPr>
        <w:t>d</w:t>
      </w:r>
      <w:r>
        <w:rPr>
          <w:rFonts w:ascii="Times New Roman"/>
          <w:b w:val="false"/>
          <w:i w:val="false"/>
          <w:color w:val="000000"/>
          <w:sz w:val="28"/>
        </w:rPr>
        <w:t xml:space="preserve"> - расстояние, измеренное по вертикали от основной плоскости дока до конструктивной ватерлинии (далее - КВЛ);</w:t>
      </w:r>
    </w:p>
    <w:bookmarkEnd w:id="115"/>
    <w:bookmarkStart w:name="z119" w:id="116"/>
    <w:p>
      <w:pPr>
        <w:spacing w:after="0"/>
        <w:ind w:left="0"/>
        <w:jc w:val="both"/>
      </w:pPr>
      <w:r>
        <w:rPr>
          <w:rFonts w:ascii="Times New Roman"/>
          <w:b w:val="false"/>
          <w:i w:val="false"/>
          <w:color w:val="000000"/>
          <w:sz w:val="28"/>
        </w:rPr>
        <w:t>
      87) самая высокая грузовая ватерлиния - ватерлиния, находящаяся на уровне самой высокой назначенной судну зональной или сезонной грузовой марки, включая грузовые марки для пресной воды;</w:t>
      </w:r>
    </w:p>
    <w:bookmarkEnd w:id="116"/>
    <w:bookmarkStart w:name="z120" w:id="117"/>
    <w:p>
      <w:pPr>
        <w:spacing w:after="0"/>
        <w:ind w:left="0"/>
        <w:jc w:val="both"/>
      </w:pPr>
      <w:r>
        <w:rPr>
          <w:rFonts w:ascii="Times New Roman"/>
          <w:b w:val="false"/>
          <w:i w:val="false"/>
          <w:color w:val="000000"/>
          <w:sz w:val="28"/>
        </w:rPr>
        <w:t>
      88) расчетная мощность - максимальная, не ограниченная по времени мощность, принимаемая в расчетах, регламентируемых настоящими Правилами;</w:t>
      </w:r>
    </w:p>
    <w:bookmarkEnd w:id="117"/>
    <w:bookmarkStart w:name="z121" w:id="118"/>
    <w:p>
      <w:pPr>
        <w:spacing w:after="0"/>
        <w:ind w:left="0"/>
        <w:jc w:val="both"/>
      </w:pPr>
      <w:r>
        <w:rPr>
          <w:rFonts w:ascii="Times New Roman"/>
          <w:b w:val="false"/>
          <w:i w:val="false"/>
          <w:color w:val="000000"/>
          <w:sz w:val="28"/>
        </w:rPr>
        <w:t>
      89) расчетная частота вращения - частота вращения, соответствующая расчетной мощности;</w:t>
      </w:r>
    </w:p>
    <w:bookmarkEnd w:id="118"/>
    <w:bookmarkStart w:name="z122" w:id="119"/>
    <w:p>
      <w:pPr>
        <w:spacing w:after="0"/>
        <w:ind w:left="0"/>
        <w:jc w:val="both"/>
      </w:pPr>
      <w:r>
        <w:rPr>
          <w:rFonts w:ascii="Times New Roman"/>
          <w:b w:val="false"/>
          <w:i w:val="false"/>
          <w:color w:val="000000"/>
          <w:sz w:val="28"/>
        </w:rPr>
        <w:t>
      90) расчетное давление - давление, по которому производится расчет на прочность;</w:t>
      </w:r>
    </w:p>
    <w:bookmarkEnd w:id="119"/>
    <w:bookmarkStart w:name="z123" w:id="120"/>
    <w:p>
      <w:pPr>
        <w:spacing w:after="0"/>
        <w:ind w:left="0"/>
        <w:jc w:val="both"/>
      </w:pPr>
      <w:r>
        <w:rPr>
          <w:rFonts w:ascii="Times New Roman"/>
          <w:b w:val="false"/>
          <w:i w:val="false"/>
          <w:color w:val="000000"/>
          <w:sz w:val="28"/>
        </w:rPr>
        <w:t>
      91) ответственные устройства второй категории - устройства, которые могут не находиться постоянно в работающем состоянии для обеспечения движения и управляемости, но которые необходимы для обеспечения безопасности судна. Эти устройства должны быть готовы к немедленному приведению их в действие. К таким устройствам относятся устройства, перечисленные в пункте 4735 настоящих Правил;</w:t>
      </w:r>
    </w:p>
    <w:bookmarkEnd w:id="120"/>
    <w:bookmarkStart w:name="z124" w:id="121"/>
    <w:p>
      <w:pPr>
        <w:spacing w:after="0"/>
        <w:ind w:left="0"/>
        <w:jc w:val="both"/>
      </w:pPr>
      <w:r>
        <w:rPr>
          <w:rFonts w:ascii="Times New Roman"/>
          <w:b w:val="false"/>
          <w:i w:val="false"/>
          <w:color w:val="000000"/>
          <w:sz w:val="28"/>
        </w:rPr>
        <w:t>
      92) наплавленный металл – металл, получающийся в результате расплавления электродов или проволоки и не содержащий практически заметной примеси основного металла;</w:t>
      </w:r>
    </w:p>
    <w:bookmarkEnd w:id="121"/>
    <w:bookmarkStart w:name="z125" w:id="122"/>
    <w:p>
      <w:pPr>
        <w:spacing w:after="0"/>
        <w:ind w:left="0"/>
        <w:jc w:val="both"/>
      </w:pPr>
      <w:r>
        <w:rPr>
          <w:rFonts w:ascii="Times New Roman"/>
          <w:b w:val="false"/>
          <w:i w:val="false"/>
          <w:color w:val="000000"/>
          <w:sz w:val="28"/>
        </w:rPr>
        <w:t>
      93) отводящий провод – провод, электрически соединяющий молние-уловитель с заземлением;</w:t>
      </w:r>
    </w:p>
    <w:bookmarkEnd w:id="122"/>
    <w:bookmarkStart w:name="z10763" w:id="123"/>
    <w:p>
      <w:pPr>
        <w:spacing w:after="0"/>
        <w:ind w:left="0"/>
        <w:jc w:val="both"/>
      </w:pPr>
      <w:r>
        <w:rPr>
          <w:rFonts w:ascii="Times New Roman"/>
          <w:b w:val="false"/>
          <w:i w:val="false"/>
          <w:color w:val="000000"/>
          <w:sz w:val="28"/>
        </w:rPr>
        <w:t>
      93-1) модернизация судна – комплекс работ, в результате выполнения которых изменяются отдельные элементы судна с сохранением основного их назначения в прежнем состоянии, характеризующихся заменой устаревших образцов, примененных в них технических средств и комплектующих изделий новыми, более современными (или применением новых технических решений), направленных на улучшение технических характеристик образца;</w:t>
      </w:r>
    </w:p>
    <w:bookmarkEnd w:id="123"/>
    <w:bookmarkStart w:name="z126" w:id="124"/>
    <w:p>
      <w:pPr>
        <w:spacing w:after="0"/>
        <w:ind w:left="0"/>
        <w:jc w:val="both"/>
      </w:pPr>
      <w:r>
        <w:rPr>
          <w:rFonts w:ascii="Times New Roman"/>
          <w:b w:val="false"/>
          <w:i w:val="false"/>
          <w:color w:val="000000"/>
          <w:sz w:val="28"/>
        </w:rPr>
        <w:t>
      94) грузовое судно - судно, не являющееся пассажирским, предназначенное для перевозки грузов;</w:t>
      </w:r>
    </w:p>
    <w:bookmarkEnd w:id="124"/>
    <w:bookmarkStart w:name="z127" w:id="125"/>
    <w:p>
      <w:pPr>
        <w:spacing w:after="0"/>
        <w:ind w:left="0"/>
        <w:jc w:val="both"/>
      </w:pPr>
      <w:r>
        <w:rPr>
          <w:rFonts w:ascii="Times New Roman"/>
          <w:b w:val="false"/>
          <w:i w:val="false"/>
          <w:color w:val="000000"/>
          <w:sz w:val="28"/>
        </w:rPr>
        <w:t>
      95) земснаряд - самоходное или несамоходное судно, предназначенное для извлечения грунта специальными устройствами (черпаками, всасывающими устройствами, грейферами) и не имеющее трюмов для размещения грунта и его транспортировки;</w:t>
      </w:r>
    </w:p>
    <w:bookmarkEnd w:id="125"/>
    <w:bookmarkStart w:name="z128" w:id="126"/>
    <w:p>
      <w:pPr>
        <w:spacing w:after="0"/>
        <w:ind w:left="0"/>
        <w:jc w:val="both"/>
      </w:pPr>
      <w:r>
        <w:rPr>
          <w:rFonts w:ascii="Times New Roman"/>
          <w:b w:val="false"/>
          <w:i w:val="false"/>
          <w:color w:val="000000"/>
          <w:sz w:val="28"/>
        </w:rPr>
        <w:t>
      96) пассажир - лицо, состоящее в договорных отношениях с перевозчиком и указанное в билете или ином документе, подтверждающем его право на проезд, либо осуществляющее по договору морской перевозки груза с согласия перевозчика сопровождение автотранспортного средства, животных и иного груза;</w:t>
      </w:r>
    </w:p>
    <w:bookmarkEnd w:id="126"/>
    <w:bookmarkStart w:name="z129" w:id="127"/>
    <w:p>
      <w:pPr>
        <w:spacing w:after="0"/>
        <w:ind w:left="0"/>
        <w:jc w:val="both"/>
      </w:pPr>
      <w:r>
        <w:rPr>
          <w:rFonts w:ascii="Times New Roman"/>
          <w:b w:val="false"/>
          <w:i w:val="false"/>
          <w:color w:val="000000"/>
          <w:sz w:val="28"/>
        </w:rPr>
        <w:t>
      97) пассажирское накатное судно (пассажирское судно ро-ро) - пассажирское судно, имеющее закрытые или открытые грузовые помещения с горизонтальным способом погрузки и выгрузки или помещения специальной категории.</w:t>
      </w:r>
    </w:p>
    <w:bookmarkEnd w:id="127"/>
    <w:bookmarkStart w:name="z130" w:id="128"/>
    <w:p>
      <w:pPr>
        <w:spacing w:after="0"/>
        <w:ind w:left="0"/>
        <w:jc w:val="both"/>
      </w:pPr>
      <w:r>
        <w:rPr>
          <w:rFonts w:ascii="Times New Roman"/>
          <w:b w:val="false"/>
          <w:i w:val="false"/>
          <w:color w:val="000000"/>
          <w:sz w:val="28"/>
        </w:rPr>
        <w:t>
      К пассажирским накатным судам относятся также паромы, то есть суда, осуществляющие на паромных переправах регулярные перевозки пассажиров и перевозки на открытой и/или закрытой палубе колесной техники с топливом в баках и/или железнодорожного подвижного состава с горизонтальным способом погрузки и выгрузки;</w:t>
      </w:r>
    </w:p>
    <w:bookmarkEnd w:id="128"/>
    <w:bookmarkStart w:name="z131" w:id="129"/>
    <w:p>
      <w:pPr>
        <w:spacing w:after="0"/>
        <w:ind w:left="0"/>
        <w:jc w:val="both"/>
      </w:pPr>
      <w:r>
        <w:rPr>
          <w:rFonts w:ascii="Times New Roman"/>
          <w:b w:val="false"/>
          <w:i w:val="false"/>
          <w:color w:val="000000"/>
          <w:sz w:val="28"/>
        </w:rPr>
        <w:t>
      98) плавучий кран (плавкран) - крановое сооружение на плавучем основании понтонного или близкого к нему типа, предназначенное для выполнения грузоподъемных и технологических (монтажных, подводных, гидротехнических, аварийно-спасательных, трубоукладочных) операций, которое используется также и для транспортировки грузов на палубе и/или в трюме;</w:t>
      </w:r>
    </w:p>
    <w:bookmarkEnd w:id="129"/>
    <w:bookmarkStart w:name="z132" w:id="130"/>
    <w:p>
      <w:pPr>
        <w:spacing w:after="0"/>
        <w:ind w:left="0"/>
        <w:jc w:val="both"/>
      </w:pPr>
      <w:r>
        <w:rPr>
          <w:rFonts w:ascii="Times New Roman"/>
          <w:b w:val="false"/>
          <w:i w:val="false"/>
          <w:color w:val="000000"/>
          <w:sz w:val="28"/>
        </w:rPr>
        <w:t>
      99) плавучий маяк - несамоходное судно, имеющее специальное оборудование (светотехнические устройства, средства туманной сигнализации, радиолокационные маяки), предназначенное для ограждения навигационных опасностей и ориентирования по нему судов с целью обеспечения безопасности мореплавания;</w:t>
      </w:r>
    </w:p>
    <w:bookmarkEnd w:id="130"/>
    <w:bookmarkStart w:name="z133" w:id="131"/>
    <w:p>
      <w:pPr>
        <w:spacing w:after="0"/>
        <w:ind w:left="0"/>
        <w:jc w:val="both"/>
      </w:pPr>
      <w:r>
        <w:rPr>
          <w:rFonts w:ascii="Times New Roman"/>
          <w:b w:val="false"/>
          <w:i w:val="false"/>
          <w:color w:val="000000"/>
          <w:sz w:val="28"/>
        </w:rPr>
        <w:t>
      100) сплошной лед - лед сплоченностью 10 баллов;</w:t>
      </w:r>
    </w:p>
    <w:bookmarkEnd w:id="131"/>
    <w:bookmarkStart w:name="z134" w:id="132"/>
    <w:p>
      <w:pPr>
        <w:spacing w:after="0"/>
        <w:ind w:left="0"/>
        <w:jc w:val="both"/>
      </w:pPr>
      <w:r>
        <w:rPr>
          <w:rFonts w:ascii="Times New Roman"/>
          <w:b w:val="false"/>
          <w:i w:val="false"/>
          <w:color w:val="000000"/>
          <w:sz w:val="28"/>
        </w:rPr>
        <w:t>
      101) судно в постройке - строящееся судно с момента закладки киля до получения документов, выдаваемых на судно. Под моментом закладки киля подразумевается следующая стадия:</w:t>
      </w:r>
    </w:p>
    <w:bookmarkEnd w:id="132"/>
    <w:bookmarkStart w:name="z135" w:id="133"/>
    <w:p>
      <w:pPr>
        <w:spacing w:after="0"/>
        <w:ind w:left="0"/>
        <w:jc w:val="both"/>
      </w:pPr>
      <w:r>
        <w:rPr>
          <w:rFonts w:ascii="Times New Roman"/>
          <w:b w:val="false"/>
          <w:i w:val="false"/>
          <w:color w:val="000000"/>
          <w:sz w:val="28"/>
        </w:rPr>
        <w:t>
      начало постройки, которое определяется как относящееся к данному судну;</w:t>
      </w:r>
    </w:p>
    <w:bookmarkEnd w:id="133"/>
    <w:bookmarkStart w:name="z136" w:id="134"/>
    <w:p>
      <w:pPr>
        <w:spacing w:after="0"/>
        <w:ind w:left="0"/>
        <w:jc w:val="both"/>
      </w:pPr>
      <w:r>
        <w:rPr>
          <w:rFonts w:ascii="Times New Roman"/>
          <w:b w:val="false"/>
          <w:i w:val="false"/>
          <w:color w:val="000000"/>
          <w:sz w:val="28"/>
        </w:rPr>
        <w:t>
      масса собранной части корпуса судна составляет не менее 50 т или 1 % расчетной массы всех материалов корпуса, в зависимости от того, которое из этих значений меньше;</w:t>
      </w:r>
    </w:p>
    <w:bookmarkEnd w:id="134"/>
    <w:bookmarkStart w:name="z137" w:id="135"/>
    <w:p>
      <w:pPr>
        <w:spacing w:after="0"/>
        <w:ind w:left="0"/>
        <w:jc w:val="both"/>
      </w:pPr>
      <w:r>
        <w:rPr>
          <w:rFonts w:ascii="Times New Roman"/>
          <w:b w:val="false"/>
          <w:i w:val="false"/>
          <w:color w:val="000000"/>
          <w:sz w:val="28"/>
        </w:rPr>
        <w:t>
      102) верхняя палуба - самая верхняя непрерывная по всей длине судна палуба;</w:t>
      </w:r>
    </w:p>
    <w:bookmarkEnd w:id="135"/>
    <w:bookmarkStart w:name="z138" w:id="136"/>
    <w:p>
      <w:pPr>
        <w:spacing w:after="0"/>
        <w:ind w:left="0"/>
        <w:jc w:val="both"/>
      </w:pPr>
      <w:r>
        <w:rPr>
          <w:rFonts w:ascii="Times New Roman"/>
          <w:b w:val="false"/>
          <w:i w:val="false"/>
          <w:color w:val="000000"/>
          <w:sz w:val="28"/>
        </w:rPr>
        <w:t xml:space="preserve">
      103) коэффициент общей полноты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коэффициент, определяемый при осадке </w:t>
      </w:r>
      <w:r>
        <w:rPr>
          <w:rFonts w:ascii="Times New Roman"/>
          <w:b w:val="false"/>
          <w:i/>
          <w:color w:val="000000"/>
          <w:sz w:val="28"/>
        </w:rPr>
        <w:t>d</w:t>
      </w:r>
      <w:r>
        <w:rPr>
          <w:rFonts w:ascii="Times New Roman"/>
          <w:b w:val="false"/>
          <w:i w:val="false"/>
          <w:color w:val="000000"/>
          <w:sz w:val="28"/>
        </w:rPr>
        <w:t xml:space="preserve"> по летнюю грузовую ватерлинию, длине L и ширине В по формуле:</w:t>
      </w:r>
    </w:p>
    <w:bookmarkEnd w:id="13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Водоизмещение (м</w:t>
      </w:r>
      <w:r>
        <w:rPr>
          <w:rFonts w:ascii="Times New Roman"/>
          <w:b w:val="false"/>
          <w:i w:val="false"/>
          <w:color w:val="000000"/>
          <w:vertAlign w:val="superscript"/>
        </w:rPr>
        <w:t>3</w:t>
      </w:r>
      <w:r>
        <w:rPr>
          <w:rFonts w:ascii="Times New Roman"/>
          <w:b w:val="false"/>
          <w:i w:val="false"/>
          <w:color w:val="000000"/>
          <w:sz w:val="28"/>
        </w:rPr>
        <w:t xml:space="preserve">) / </w:t>
      </w:r>
      <w:r>
        <w:rPr>
          <w:rFonts w:ascii="Times New Roman"/>
          <w:b w:val="false"/>
          <w:i/>
          <w:color w:val="000000"/>
          <w:sz w:val="28"/>
        </w:rPr>
        <w:t>LBd</w:t>
      </w:r>
      <w:r>
        <w:rPr>
          <w:rFonts w:ascii="Times New Roman"/>
          <w:b w:val="false"/>
          <w:i w:val="false"/>
          <w:color w:val="000000"/>
          <w:sz w:val="28"/>
        </w:rPr>
        <w:t>;</w:t>
      </w:r>
    </w:p>
    <w:bookmarkStart w:name="z139" w:id="137"/>
    <w:p>
      <w:pPr>
        <w:spacing w:after="0"/>
        <w:ind w:left="0"/>
        <w:jc w:val="both"/>
      </w:pPr>
      <w:r>
        <w:rPr>
          <w:rFonts w:ascii="Times New Roman"/>
          <w:b w:val="false"/>
          <w:i w:val="false"/>
          <w:color w:val="000000"/>
          <w:sz w:val="28"/>
        </w:rPr>
        <w:t>
      104) летняя грузовая ватерлиния - ватерлиния, находящаяся на уровне центра круга грузовой марки при положении судна без крена и дифферента;</w:t>
      </w:r>
    </w:p>
    <w:bookmarkEnd w:id="137"/>
    <w:bookmarkStart w:name="z140" w:id="138"/>
    <w:p>
      <w:pPr>
        <w:spacing w:after="0"/>
        <w:ind w:left="0"/>
        <w:jc w:val="both"/>
      </w:pPr>
      <w:r>
        <w:rPr>
          <w:rFonts w:ascii="Times New Roman"/>
          <w:b w:val="false"/>
          <w:i w:val="false"/>
          <w:color w:val="000000"/>
          <w:sz w:val="28"/>
        </w:rPr>
        <w:t>
      105) полупереборка - переборка в отсеке или его части, основное назначение которой - обеспечение дополнительной опоры палубным конструкциям;</w:t>
      </w:r>
    </w:p>
    <w:bookmarkEnd w:id="138"/>
    <w:bookmarkStart w:name="z141" w:id="139"/>
    <w:p>
      <w:pPr>
        <w:spacing w:after="0"/>
        <w:ind w:left="0"/>
        <w:jc w:val="both"/>
      </w:pPr>
      <w:r>
        <w:rPr>
          <w:rFonts w:ascii="Times New Roman"/>
          <w:b w:val="false"/>
          <w:i w:val="false"/>
          <w:color w:val="000000"/>
          <w:sz w:val="28"/>
        </w:rPr>
        <w:t>
      106) конструктивная ватерлиния плавучего дока (далее - КВЛ) - ватерлиния плавучего дока, соответствующая его осадке с полными запасами, судном расчетной массы и необходимым количеством балласта;</w:t>
      </w:r>
    </w:p>
    <w:bookmarkEnd w:id="139"/>
    <w:bookmarkStart w:name="z142" w:id="140"/>
    <w:p>
      <w:pPr>
        <w:spacing w:after="0"/>
        <w:ind w:left="0"/>
        <w:jc w:val="both"/>
      </w:pPr>
      <w:r>
        <w:rPr>
          <w:rFonts w:ascii="Times New Roman"/>
          <w:b w:val="false"/>
          <w:i w:val="false"/>
          <w:color w:val="000000"/>
          <w:sz w:val="28"/>
        </w:rPr>
        <w:t>
      107) летняя грузовая ватерлиния - ватерлиния, находящаяся на уровне центра круга грузовой марки при положении судна без крена и дифферента;</w:t>
      </w:r>
    </w:p>
    <w:bookmarkEnd w:id="140"/>
    <w:bookmarkStart w:name="z143" w:id="141"/>
    <w:p>
      <w:pPr>
        <w:spacing w:after="0"/>
        <w:ind w:left="0"/>
        <w:jc w:val="both"/>
      </w:pPr>
      <w:r>
        <w:rPr>
          <w:rFonts w:ascii="Times New Roman"/>
          <w:b w:val="false"/>
          <w:i w:val="false"/>
          <w:color w:val="000000"/>
          <w:sz w:val="28"/>
        </w:rPr>
        <w:t>
      108) летняя лесная грузовая ватерлиния - ватерлиния, находящаяся на уровне верхней кромки летней лесной грузовой марки, если последняя судну назначена;</w:t>
      </w:r>
    </w:p>
    <w:bookmarkEnd w:id="141"/>
    <w:bookmarkStart w:name="z144" w:id="142"/>
    <w:p>
      <w:pPr>
        <w:spacing w:after="0"/>
        <w:ind w:left="0"/>
        <w:jc w:val="both"/>
      </w:pPr>
      <w:r>
        <w:rPr>
          <w:rFonts w:ascii="Times New Roman"/>
          <w:b w:val="false"/>
          <w:i w:val="false"/>
          <w:color w:val="000000"/>
          <w:sz w:val="28"/>
        </w:rPr>
        <w:t xml:space="preserve">
      109) длина плавучего дока </w:t>
      </w:r>
      <w:r>
        <w:rPr>
          <w:rFonts w:ascii="Times New Roman"/>
          <w:b w:val="false"/>
          <w:i/>
          <w:color w:val="000000"/>
          <w:sz w:val="28"/>
        </w:rPr>
        <w:t>L</w:t>
      </w:r>
      <w:r>
        <w:rPr>
          <w:rFonts w:ascii="Times New Roman"/>
          <w:b w:val="false"/>
          <w:i w:val="false"/>
          <w:color w:val="000000"/>
          <w:sz w:val="28"/>
        </w:rPr>
        <w:t xml:space="preserve"> - расстояние, измеренное на уровне стапель-палубы параллельно основной линии между внутренними кромками торцевых переборок понтона;</w:t>
      </w:r>
    </w:p>
    <w:bookmarkEnd w:id="142"/>
    <w:bookmarkStart w:name="z145" w:id="143"/>
    <w:p>
      <w:pPr>
        <w:spacing w:after="0"/>
        <w:ind w:left="0"/>
        <w:jc w:val="both"/>
      </w:pPr>
      <w:r>
        <w:rPr>
          <w:rFonts w:ascii="Times New Roman"/>
          <w:b w:val="false"/>
          <w:i w:val="false"/>
          <w:color w:val="000000"/>
          <w:sz w:val="28"/>
        </w:rPr>
        <w:t>
      110) ящик - закрытое палубой сооружение на палубе надводного борта, не доходящее до бортов судна на расстояние более 4 % ширины судна В и не имеющее дверей, окон и других подобных отверстий в наружных стенках;</w:t>
      </w:r>
    </w:p>
    <w:bookmarkEnd w:id="143"/>
    <w:bookmarkStart w:name="z146" w:id="144"/>
    <w:p>
      <w:pPr>
        <w:spacing w:after="0"/>
        <w:ind w:left="0"/>
        <w:jc w:val="both"/>
      </w:pPr>
      <w:r>
        <w:rPr>
          <w:rFonts w:ascii="Times New Roman"/>
          <w:b w:val="false"/>
          <w:i w:val="false"/>
          <w:color w:val="000000"/>
          <w:sz w:val="28"/>
        </w:rPr>
        <w:t>
      111) давление ветра - условное расчетное давление ветра;</w:t>
      </w:r>
    </w:p>
    <w:bookmarkEnd w:id="144"/>
    <w:bookmarkStart w:name="z147" w:id="145"/>
    <w:p>
      <w:pPr>
        <w:spacing w:after="0"/>
        <w:ind w:left="0"/>
        <w:jc w:val="both"/>
      </w:pPr>
      <w:r>
        <w:rPr>
          <w:rFonts w:ascii="Times New Roman"/>
          <w:b w:val="false"/>
          <w:i w:val="false"/>
          <w:color w:val="000000"/>
          <w:sz w:val="28"/>
        </w:rPr>
        <w:t>
      112) кренящий момент от давления ветра - условный расчетный момент от действия ветра;</w:t>
      </w:r>
    </w:p>
    <w:bookmarkEnd w:id="145"/>
    <w:bookmarkStart w:name="z148" w:id="146"/>
    <w:p>
      <w:pPr>
        <w:spacing w:after="0"/>
        <w:ind w:left="0"/>
        <w:jc w:val="both"/>
      </w:pPr>
      <w:r>
        <w:rPr>
          <w:rFonts w:ascii="Times New Roman"/>
          <w:b w:val="false"/>
          <w:i w:val="false"/>
          <w:color w:val="000000"/>
          <w:sz w:val="28"/>
        </w:rPr>
        <w:t>
      113) площадь парусности - площадь проекции надводной части судна (кроме плавучего крана и кранового судна) на диаметральную плоскость в прямом положении;</w:t>
      </w:r>
    </w:p>
    <w:bookmarkEnd w:id="146"/>
    <w:bookmarkStart w:name="z149" w:id="147"/>
    <w:p>
      <w:pPr>
        <w:spacing w:after="0"/>
        <w:ind w:left="0"/>
        <w:jc w:val="both"/>
      </w:pPr>
      <w:r>
        <w:rPr>
          <w:rFonts w:ascii="Times New Roman"/>
          <w:b w:val="false"/>
          <w:i w:val="false"/>
          <w:color w:val="000000"/>
          <w:sz w:val="28"/>
        </w:rPr>
        <w:t>
      114) система, равноценная палубной системе пенотушения грузовых танков - система, обеспечивающая тушение горящего пролитого груза, пожара в поврежденных грузовых танках, а также препятствующая воспламенению еще не горящего пролитого груза;</w:t>
      </w:r>
    </w:p>
    <w:bookmarkEnd w:id="147"/>
    <w:bookmarkStart w:name="z150" w:id="148"/>
    <w:p>
      <w:pPr>
        <w:spacing w:after="0"/>
        <w:ind w:left="0"/>
        <w:jc w:val="both"/>
      </w:pPr>
      <w:r>
        <w:rPr>
          <w:rFonts w:ascii="Times New Roman"/>
          <w:b w:val="false"/>
          <w:i w:val="false"/>
          <w:color w:val="000000"/>
          <w:sz w:val="28"/>
        </w:rPr>
        <w:t>
      115) среда горючая - воспламеняющиеся жидкости, воспламеняющиеся сжатые, сжиженные и растворенные под давлением газы, воспламеняющиеся твердые горючие материалы и вещества, в том числе грузы, топливо, отделка, оборудование, изоляция, мебель;</w:t>
      </w:r>
    </w:p>
    <w:bookmarkEnd w:id="148"/>
    <w:bookmarkStart w:name="z151" w:id="149"/>
    <w:p>
      <w:pPr>
        <w:spacing w:after="0"/>
        <w:ind w:left="0"/>
        <w:jc w:val="both"/>
      </w:pPr>
      <w:r>
        <w:rPr>
          <w:rFonts w:ascii="Times New Roman"/>
          <w:b w:val="false"/>
          <w:i w:val="false"/>
          <w:color w:val="000000"/>
          <w:sz w:val="28"/>
        </w:rPr>
        <w:t>
      116) местный пост управления - пост, оборудованный органами управления, контрольно-измерительными приборами и, если необходимо, средствами связи, предназначенными для управления, расположенный вблизи механизма или непосредственно на нем;</w:t>
      </w:r>
    </w:p>
    <w:bookmarkEnd w:id="149"/>
    <w:bookmarkStart w:name="z152" w:id="150"/>
    <w:p>
      <w:pPr>
        <w:spacing w:after="0"/>
        <w:ind w:left="0"/>
        <w:jc w:val="both"/>
      </w:pPr>
      <w:r>
        <w:rPr>
          <w:rFonts w:ascii="Times New Roman"/>
          <w:b w:val="false"/>
          <w:i w:val="false"/>
          <w:color w:val="000000"/>
          <w:sz w:val="28"/>
        </w:rPr>
        <w:t>
      117) оборудование - различного рода фильтры, теплообменные аппараты, цистерны и другие устройства, служащие для обеспечения нормальной работы механической установки;</w:t>
      </w:r>
    </w:p>
    <w:bookmarkEnd w:id="150"/>
    <w:bookmarkStart w:name="z153" w:id="151"/>
    <w:p>
      <w:pPr>
        <w:spacing w:after="0"/>
        <w:ind w:left="0"/>
        <w:jc w:val="both"/>
      </w:pPr>
      <w:r>
        <w:rPr>
          <w:rFonts w:ascii="Times New Roman"/>
          <w:b w:val="false"/>
          <w:i w:val="false"/>
          <w:color w:val="000000"/>
          <w:sz w:val="28"/>
        </w:rPr>
        <w:t>
      118) общий пост управления - пост, предназначенный для одновременного управления двумя или несколькими главными механизмами, оборудованный контрольно-измерительными приборами, приборами аварийно-предупредительной сигнализации и средствами связи;</w:t>
      </w:r>
    </w:p>
    <w:bookmarkEnd w:id="151"/>
    <w:bookmarkStart w:name="z154" w:id="152"/>
    <w:p>
      <w:pPr>
        <w:spacing w:after="0"/>
        <w:ind w:left="0"/>
        <w:jc w:val="both"/>
      </w:pPr>
      <w:r>
        <w:rPr>
          <w:rFonts w:ascii="Times New Roman"/>
          <w:b w:val="false"/>
          <w:i w:val="false"/>
          <w:color w:val="000000"/>
          <w:sz w:val="28"/>
        </w:rPr>
        <w:t>
      119) пост управления грузовыми операциями (далее - ПУГО) - помещение или его часть, в котором расположены средства управления, контроля и сигнализации, связанные с выполнением грузовых операций, а на наливных судах, кроме того, - средства контроля и сигнализации параметров фуза, балласта, атмосферы фузовых и балластных танков и фузовых насосных отделений, а также сброса нефтесодержащих и промывочных вод;</w:t>
      </w:r>
    </w:p>
    <w:bookmarkEnd w:id="152"/>
    <w:bookmarkStart w:name="z155" w:id="153"/>
    <w:p>
      <w:pPr>
        <w:spacing w:after="0"/>
        <w:ind w:left="0"/>
        <w:jc w:val="both"/>
      </w:pPr>
      <w:r>
        <w:rPr>
          <w:rFonts w:ascii="Times New Roman"/>
          <w:b w:val="false"/>
          <w:i w:val="false"/>
          <w:color w:val="000000"/>
          <w:sz w:val="28"/>
        </w:rPr>
        <w:t>
      120) система - совокупность трубопроводов, механизмов, аппаратов, приборов, устройств и емкостей, предназначенных для выполнения определенных функций по обеспечению эксплуатации судна;</w:t>
      </w:r>
    </w:p>
    <w:bookmarkEnd w:id="153"/>
    <w:bookmarkStart w:name="z156" w:id="154"/>
    <w:p>
      <w:pPr>
        <w:spacing w:after="0"/>
        <w:ind w:left="0"/>
        <w:jc w:val="both"/>
      </w:pPr>
      <w:r>
        <w:rPr>
          <w:rFonts w:ascii="Times New Roman"/>
          <w:b w:val="false"/>
          <w:i w:val="false"/>
          <w:color w:val="000000"/>
          <w:sz w:val="28"/>
        </w:rPr>
        <w:t>
      121) трубопровод ответственного назначения - трубопровод, повреждение которого приводит к разливу горючей среды в машинных помещениях, затоплению, утечке токсичных сред, отказу системы, обеспечивающей работу главных и вспомогательных двигателей, потере хода или управления;</w:t>
      </w:r>
    </w:p>
    <w:bookmarkEnd w:id="154"/>
    <w:bookmarkStart w:name="z157" w:id="155"/>
    <w:p>
      <w:pPr>
        <w:spacing w:after="0"/>
        <w:ind w:left="0"/>
        <w:jc w:val="both"/>
      </w:pPr>
      <w:r>
        <w:rPr>
          <w:rFonts w:ascii="Times New Roman"/>
          <w:b w:val="false"/>
          <w:i w:val="false"/>
          <w:color w:val="000000"/>
          <w:sz w:val="28"/>
        </w:rPr>
        <w:t>
      122) вспомогательные паровые котлы ответственного назначения - котлы, которые снабжают паром вспомогательные механизмы, системы и оборудование, обеспечивающие ход судна, безопасность плавания и надлежащую перевозку груза; при этом на судне нет других источников энергии для приведения в действие этих механизмов, оборудования и систем в случае прекращения работы котлов;</w:t>
      </w:r>
    </w:p>
    <w:bookmarkEnd w:id="155"/>
    <w:bookmarkStart w:name="z158" w:id="156"/>
    <w:p>
      <w:pPr>
        <w:spacing w:after="0"/>
        <w:ind w:left="0"/>
        <w:jc w:val="both"/>
      </w:pPr>
      <w:r>
        <w:rPr>
          <w:rFonts w:ascii="Times New Roman"/>
          <w:b w:val="false"/>
          <w:i w:val="false"/>
          <w:color w:val="000000"/>
          <w:sz w:val="28"/>
        </w:rPr>
        <w:t>
      123) рабочее давление - максимально допускаемое давление при нормальном протекании рабочего процесса в продолжительном режиме, за исключением допускаемого кратковременного повышения давления во время действия предохранительного клапана или других предохранительных устройств;</w:t>
      </w:r>
    </w:p>
    <w:bookmarkEnd w:id="156"/>
    <w:bookmarkStart w:name="z159" w:id="157"/>
    <w:p>
      <w:pPr>
        <w:spacing w:after="0"/>
        <w:ind w:left="0"/>
        <w:jc w:val="both"/>
      </w:pPr>
      <w:r>
        <w:rPr>
          <w:rFonts w:ascii="Times New Roman"/>
          <w:b w:val="false"/>
          <w:i w:val="false"/>
          <w:color w:val="000000"/>
          <w:sz w:val="28"/>
        </w:rPr>
        <w:t>
      124) заземление - электрическое соединение заземляемой части электрического оборудования с корпусом судна;</w:t>
      </w:r>
    </w:p>
    <w:bookmarkEnd w:id="157"/>
    <w:bookmarkStart w:name="z160" w:id="158"/>
    <w:p>
      <w:pPr>
        <w:spacing w:after="0"/>
        <w:ind w:left="0"/>
        <w:jc w:val="both"/>
      </w:pPr>
      <w:r>
        <w:rPr>
          <w:rFonts w:ascii="Times New Roman"/>
          <w:b w:val="false"/>
          <w:i w:val="false"/>
          <w:color w:val="000000"/>
          <w:sz w:val="28"/>
        </w:rPr>
        <w:t>
      125) неответственные устройства - устройства, временное отключение которых не снижает безопасность плавания судна, безопасность находящихся на судне людей и сохранность груза;</w:t>
      </w:r>
    </w:p>
    <w:bookmarkEnd w:id="158"/>
    <w:bookmarkStart w:name="z161" w:id="159"/>
    <w:p>
      <w:pPr>
        <w:spacing w:after="0"/>
        <w:ind w:left="0"/>
        <w:jc w:val="both"/>
      </w:pPr>
      <w:r>
        <w:rPr>
          <w:rFonts w:ascii="Times New Roman"/>
          <w:b w:val="false"/>
          <w:i w:val="false"/>
          <w:color w:val="000000"/>
          <w:sz w:val="28"/>
        </w:rPr>
        <w:t>
      126) ответственные устройства - устройства, нормальная работа которых обеспечивает безопасность плавания судна, безопасность находящихся на судне людей и сохранность груза ответственные устройства подразделяются на устройства первой и второй категории;</w:t>
      </w:r>
    </w:p>
    <w:bookmarkEnd w:id="159"/>
    <w:bookmarkStart w:name="z162" w:id="160"/>
    <w:p>
      <w:pPr>
        <w:spacing w:after="0"/>
        <w:ind w:left="0"/>
        <w:jc w:val="both"/>
      </w:pPr>
      <w:r>
        <w:rPr>
          <w:rFonts w:ascii="Times New Roman"/>
          <w:b w:val="false"/>
          <w:i w:val="false"/>
          <w:color w:val="000000"/>
          <w:sz w:val="28"/>
        </w:rPr>
        <w:t>
      127) полуфабрикат - отливка, поковка, лист или труба в дальнейшем, при использовании по назначению, подвергающиеся механической и технологической обработке;</w:t>
      </w:r>
    </w:p>
    <w:bookmarkEnd w:id="160"/>
    <w:bookmarkStart w:name="z163" w:id="161"/>
    <w:p>
      <w:pPr>
        <w:spacing w:after="0"/>
        <w:ind w:left="0"/>
        <w:jc w:val="both"/>
      </w:pPr>
      <w:r>
        <w:rPr>
          <w:rFonts w:ascii="Times New Roman"/>
          <w:b w:val="false"/>
          <w:i w:val="false"/>
          <w:color w:val="000000"/>
          <w:sz w:val="28"/>
        </w:rPr>
        <w:t xml:space="preserve">
      128) высокотемпературная пайка (пайка твердым припоем) - способ пайки, при которой температура плавления припоя превышает 450 </w:t>
      </w:r>
      <w:r>
        <w:rPr>
          <w:rFonts w:ascii="Times New Roman"/>
          <w:b w:val="false"/>
          <w:i w:val="false"/>
          <w:color w:val="000000"/>
          <w:vertAlign w:val="superscript"/>
        </w:rPr>
        <w:t>о</w:t>
      </w:r>
      <w:r>
        <w:rPr>
          <w:rFonts w:ascii="Times New Roman"/>
          <w:b w:val="false"/>
          <w:i w:val="false"/>
          <w:color w:val="000000"/>
          <w:sz w:val="28"/>
        </w:rPr>
        <w:t>С;</w:t>
      </w:r>
    </w:p>
    <w:bookmarkEnd w:id="161"/>
    <w:bookmarkStart w:name="z164" w:id="162"/>
    <w:p>
      <w:pPr>
        <w:spacing w:after="0"/>
        <w:ind w:left="0"/>
        <w:jc w:val="both"/>
      </w:pPr>
      <w:r>
        <w:rPr>
          <w:rFonts w:ascii="Times New Roman"/>
          <w:b w:val="false"/>
          <w:i w:val="false"/>
          <w:color w:val="000000"/>
          <w:sz w:val="28"/>
        </w:rPr>
        <w:t xml:space="preserve">
      129) коэффициент проницаемости помещения </w:t>
      </w:r>
    </w:p>
    <w:bookmarkEnd w:id="16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отношение объема, который может быть заполнен водой при полном затоплении помещения, к полному теоретическому объему помещения;</w:t>
      </w:r>
      <w:r>
        <w:br/>
      </w: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130) зет-сталь - сталь с гарантируемым уровнем пластических свойств в направлении толщины проката, предназначенная для изготовления сварных конструкций, способная воспринимать значительные напряжения, перпендикулярные к поверхности проката;</w:t>
      </w:r>
    </w:p>
    <w:bookmarkEnd w:id="163"/>
    <w:bookmarkStart w:name="z166" w:id="164"/>
    <w:p>
      <w:pPr>
        <w:spacing w:after="0"/>
        <w:ind w:left="0"/>
        <w:jc w:val="both"/>
      </w:pPr>
      <w:r>
        <w:rPr>
          <w:rFonts w:ascii="Times New Roman"/>
          <w:b w:val="false"/>
          <w:i w:val="false"/>
          <w:color w:val="000000"/>
          <w:sz w:val="28"/>
        </w:rPr>
        <w:t>
      131) напряжения от крутильных колебаний - напряжения от переменного момента, наложенного на средний момент;</w:t>
      </w:r>
    </w:p>
    <w:bookmarkEnd w:id="164"/>
    <w:bookmarkStart w:name="z167" w:id="165"/>
    <w:p>
      <w:pPr>
        <w:spacing w:after="0"/>
        <w:ind w:left="0"/>
        <w:jc w:val="both"/>
      </w:pPr>
      <w:r>
        <w:rPr>
          <w:rFonts w:ascii="Times New Roman"/>
          <w:b w:val="false"/>
          <w:i w:val="false"/>
          <w:color w:val="000000"/>
          <w:sz w:val="28"/>
        </w:rPr>
        <w:t>
      132) система индикации - оборудование, предназначенное для получения информации о значениях определенных физических параметров и определенных состояниях механизмов и устройств;</w:t>
      </w:r>
    </w:p>
    <w:bookmarkEnd w:id="165"/>
    <w:bookmarkStart w:name="z10764" w:id="166"/>
    <w:p>
      <w:pPr>
        <w:spacing w:after="0"/>
        <w:ind w:left="0"/>
        <w:jc w:val="both"/>
      </w:pPr>
      <w:r>
        <w:rPr>
          <w:rFonts w:ascii="Times New Roman"/>
          <w:b w:val="false"/>
          <w:i w:val="false"/>
          <w:color w:val="000000"/>
          <w:sz w:val="28"/>
        </w:rPr>
        <w:t>
      132-1) элементы судна – регламентируемые требованиями Регистра судоходства структурные части судна: корпус, надстройки, судовые устройства, оборудование, предметы снабжения, средства противопожарной защиты, двигатели, котлы, системы, теплообменные аппараты, сосуды под давлением, палубные механизмы, электрическое оборудование, радио- и навигационное оборудование, холодильные установки, средства автоматизации, грузоподъемные устройства, оборудование по предотвращению загрязнения;</w:t>
      </w:r>
    </w:p>
    <w:bookmarkEnd w:id="166"/>
    <w:bookmarkStart w:name="z168" w:id="167"/>
    <w:p>
      <w:pPr>
        <w:spacing w:after="0"/>
        <w:ind w:left="0"/>
        <w:jc w:val="both"/>
      </w:pPr>
      <w:r>
        <w:rPr>
          <w:rFonts w:ascii="Times New Roman"/>
          <w:b w:val="false"/>
          <w:i w:val="false"/>
          <w:color w:val="000000"/>
          <w:sz w:val="28"/>
        </w:rPr>
        <w:t>
      133) контейнеровоз - судно, предназначенное для перевозки грузов в контейнерах международного образца и имеющее ячеистые направляющие конструкции в трюмах;</w:t>
      </w:r>
    </w:p>
    <w:bookmarkEnd w:id="167"/>
    <w:bookmarkStart w:name="z169" w:id="168"/>
    <w:p>
      <w:pPr>
        <w:spacing w:after="0"/>
        <w:ind w:left="0"/>
        <w:jc w:val="both"/>
      </w:pPr>
      <w:r>
        <w:rPr>
          <w:rFonts w:ascii="Times New Roman"/>
          <w:b w:val="false"/>
          <w:i w:val="false"/>
          <w:color w:val="000000"/>
          <w:sz w:val="28"/>
        </w:rPr>
        <w:t>
      134) крановое судно - то же, что и плавучий кран, но на плавучем основании с судовыми или близкими к судовым обводами;</w:t>
      </w:r>
    </w:p>
    <w:bookmarkEnd w:id="168"/>
    <w:bookmarkStart w:name="z170" w:id="169"/>
    <w:p>
      <w:pPr>
        <w:spacing w:after="0"/>
        <w:ind w:left="0"/>
        <w:jc w:val="both"/>
      </w:pPr>
      <w:r>
        <w:rPr>
          <w:rFonts w:ascii="Times New Roman"/>
          <w:b w:val="false"/>
          <w:i w:val="false"/>
          <w:color w:val="000000"/>
          <w:sz w:val="28"/>
        </w:rPr>
        <w:t>
      135) судовая баржа (лихтер) - несамоходное грузовое судно, эксплуатируемое без экипажа и приспособленное для транспортировки на специально оборудованных судах (баржевозах, лихтеровозах) и буксировки (толкания) в пределах установленного ограниченного района плавания;</w:t>
      </w:r>
    </w:p>
    <w:bookmarkEnd w:id="169"/>
    <w:bookmarkStart w:name="z171" w:id="170"/>
    <w:p>
      <w:pPr>
        <w:spacing w:after="0"/>
        <w:ind w:left="0"/>
        <w:jc w:val="both"/>
      </w:pPr>
      <w:r>
        <w:rPr>
          <w:rFonts w:ascii="Times New Roman"/>
          <w:b w:val="false"/>
          <w:i w:val="false"/>
          <w:color w:val="000000"/>
          <w:sz w:val="28"/>
        </w:rPr>
        <w:t>
      136) транспортный понтон - несамоходное судно без экипажа, предназначенное для перевозки палубного груза и не имеющее люков на палубе, кроме небольших горловин для доступа внутрь корпуса, закрываемых крышками с уплотнительными прокладками;</w:t>
      </w:r>
    </w:p>
    <w:bookmarkEnd w:id="170"/>
    <w:bookmarkStart w:name="z172" w:id="171"/>
    <w:p>
      <w:pPr>
        <w:spacing w:after="0"/>
        <w:ind w:left="0"/>
        <w:jc w:val="both"/>
      </w:pPr>
      <w:r>
        <w:rPr>
          <w:rFonts w:ascii="Times New Roman"/>
          <w:b w:val="false"/>
          <w:i w:val="false"/>
          <w:color w:val="000000"/>
          <w:sz w:val="28"/>
        </w:rPr>
        <w:t>
      137) дата "контракта на постройку" судна - дата подписания контракта на строительство судна будущим судовладельцем и судостроителем;</w:t>
      </w:r>
    </w:p>
    <w:bookmarkEnd w:id="171"/>
    <w:bookmarkStart w:name="z173" w:id="172"/>
    <w:p>
      <w:pPr>
        <w:spacing w:after="0"/>
        <w:ind w:left="0"/>
        <w:jc w:val="both"/>
      </w:pPr>
      <w:r>
        <w:rPr>
          <w:rFonts w:ascii="Times New Roman"/>
          <w:b w:val="false"/>
          <w:i w:val="false"/>
          <w:color w:val="000000"/>
          <w:sz w:val="28"/>
        </w:rPr>
        <w:t>
      138) класс Регистра судоходства (класс) - совокупность условных символов и словесных характеристик, присваиваемых судам, другим плавучим сооружениям, а также морским стационарным платформам и характеризующих их конструктивные особенности, назначение и условия эксплуатации, определенные настоящими Правилами;</w:t>
      </w:r>
    </w:p>
    <w:bookmarkEnd w:id="172"/>
    <w:bookmarkStart w:name="z174" w:id="173"/>
    <w:p>
      <w:pPr>
        <w:spacing w:after="0"/>
        <w:ind w:left="0"/>
        <w:jc w:val="both"/>
      </w:pPr>
      <w:r>
        <w:rPr>
          <w:rFonts w:ascii="Times New Roman"/>
          <w:b w:val="false"/>
          <w:i w:val="false"/>
          <w:color w:val="000000"/>
          <w:sz w:val="28"/>
        </w:rPr>
        <w:t>
      139) собственник судна - физическое или юридическое лицо, которому принадлежит судно на праве собственности, независимо от того, эксплуатирует ли он его сам или передал в доверительное управление или иной вид управления другому лицу на законном основании;</w:t>
      </w:r>
    </w:p>
    <w:bookmarkEnd w:id="173"/>
    <w:bookmarkStart w:name="z175" w:id="174"/>
    <w:p>
      <w:pPr>
        <w:spacing w:after="0"/>
        <w:ind w:left="0"/>
        <w:jc w:val="both"/>
      </w:pPr>
      <w:r>
        <w:rPr>
          <w:rFonts w:ascii="Times New Roman"/>
          <w:b w:val="false"/>
          <w:i w:val="false"/>
          <w:color w:val="000000"/>
          <w:sz w:val="28"/>
        </w:rPr>
        <w:t>
      140) судовладелец - лицо, эксплуатирующее судно от своего имени независимо от того, является ли оно собственником судна или использует его на ином законном основании;</w:t>
      </w:r>
    </w:p>
    <w:bookmarkEnd w:id="174"/>
    <w:bookmarkStart w:name="z176" w:id="175"/>
    <w:p>
      <w:pPr>
        <w:spacing w:after="0"/>
        <w:ind w:left="0"/>
        <w:jc w:val="both"/>
      </w:pPr>
      <w:r>
        <w:rPr>
          <w:rFonts w:ascii="Times New Roman"/>
          <w:b w:val="false"/>
          <w:i w:val="false"/>
          <w:color w:val="000000"/>
          <w:sz w:val="28"/>
        </w:rPr>
        <w:t>
      141) разреженный лед - лед сплоченностью 4 - 6 баллов, в котором большинство льдин не соприкасаются между собой;</w:t>
      </w:r>
    </w:p>
    <w:bookmarkEnd w:id="175"/>
    <w:bookmarkStart w:name="z177" w:id="176"/>
    <w:p>
      <w:pPr>
        <w:spacing w:after="0"/>
        <w:ind w:left="0"/>
        <w:jc w:val="both"/>
      </w:pPr>
      <w:r>
        <w:rPr>
          <w:rFonts w:ascii="Times New Roman"/>
          <w:b w:val="false"/>
          <w:i w:val="false"/>
          <w:color w:val="000000"/>
          <w:sz w:val="28"/>
        </w:rPr>
        <w:t>
      сплоченный лед - лед сплоченностью 7 - 8 баллов, в котором большинство льдин соприкасаются между собой, образуя ледовые перемычки;</w:t>
      </w:r>
    </w:p>
    <w:bookmarkEnd w:id="176"/>
    <w:bookmarkStart w:name="z178" w:id="177"/>
    <w:p>
      <w:pPr>
        <w:spacing w:after="0"/>
        <w:ind w:left="0"/>
        <w:jc w:val="both"/>
      </w:pPr>
      <w:r>
        <w:rPr>
          <w:rFonts w:ascii="Times New Roman"/>
          <w:b w:val="false"/>
          <w:i w:val="false"/>
          <w:color w:val="000000"/>
          <w:sz w:val="28"/>
        </w:rPr>
        <w:t xml:space="preserve">
      142) высота борта судна </w:t>
      </w:r>
      <w:r>
        <w:rPr>
          <w:rFonts w:ascii="Times New Roman"/>
          <w:b w:val="false"/>
          <w:i/>
          <w:color w:val="000000"/>
          <w:sz w:val="28"/>
        </w:rPr>
        <w:t>D</w:t>
      </w:r>
      <w:r>
        <w:rPr>
          <w:rFonts w:ascii="Times New Roman"/>
          <w:b w:val="false"/>
          <w:i w:val="false"/>
          <w:color w:val="000000"/>
          <w:sz w:val="28"/>
        </w:rPr>
        <w:t xml:space="preserve"> - расстояние по вертикали, метр (далее - м), измеренное на миделе, от верхней кромки горизонтального киля или от точки притыкания внутренней поверхности наружной обшивки к брусковому килю до верхней кромки бимса верхней палубы у борта. На судах, имеющих закругленное соединение верхней палубы с бортом, высота борта измеряется до точки пересечения продолженных теоретических линий верхней палубы и борта, как если бы это соединение было угловым;</w:t>
      </w:r>
    </w:p>
    <w:bookmarkEnd w:id="177"/>
    <w:bookmarkStart w:name="z179" w:id="178"/>
    <w:p>
      <w:pPr>
        <w:spacing w:after="0"/>
        <w:ind w:left="0"/>
        <w:jc w:val="both"/>
      </w:pPr>
      <w:r>
        <w:rPr>
          <w:rFonts w:ascii="Times New Roman"/>
          <w:b w:val="false"/>
          <w:i w:val="false"/>
          <w:color w:val="000000"/>
          <w:sz w:val="28"/>
        </w:rPr>
        <w:t xml:space="preserve">
      143) длина судна </w:t>
      </w:r>
      <w:r>
        <w:rPr>
          <w:rFonts w:ascii="Times New Roman"/>
          <w:b w:val="false"/>
          <w:i/>
          <w:color w:val="000000"/>
          <w:sz w:val="28"/>
        </w:rPr>
        <w:t>L</w:t>
      </w:r>
      <w:r>
        <w:rPr>
          <w:rFonts w:ascii="Times New Roman"/>
          <w:b w:val="false"/>
          <w:i w:val="false"/>
          <w:color w:val="000000"/>
          <w:sz w:val="28"/>
        </w:rPr>
        <w:t xml:space="preserve"> - расстояние, м, измеренное на уровне летней грузовой ватерлинии от передней кромки форштевня до кормовой кромки рудерпоста или оси баллера руля (если рудерпост отсутствует), или 96 % длины судна, измеренной на уровне этой ватерлинии от передней кромки форштевня до крайней кромки кормовой оконечности судна, смотря по тому, что больше.</w:t>
      </w:r>
    </w:p>
    <w:bookmarkEnd w:id="178"/>
    <w:bookmarkStart w:name="z180" w:id="179"/>
    <w:p>
      <w:pPr>
        <w:spacing w:after="0"/>
        <w:ind w:left="0"/>
        <w:jc w:val="both"/>
      </w:pPr>
      <w:r>
        <w:rPr>
          <w:rFonts w:ascii="Times New Roman"/>
          <w:b w:val="false"/>
          <w:i w:val="false"/>
          <w:color w:val="000000"/>
          <w:sz w:val="28"/>
        </w:rPr>
        <w:t xml:space="preserve">
      Однако при этом </w:t>
      </w:r>
      <w:r>
        <w:rPr>
          <w:rFonts w:ascii="Times New Roman"/>
          <w:b w:val="false"/>
          <w:i/>
          <w:color w:val="000000"/>
          <w:sz w:val="28"/>
        </w:rPr>
        <w:t>L</w:t>
      </w:r>
      <w:r>
        <w:rPr>
          <w:rFonts w:ascii="Times New Roman"/>
          <w:b w:val="false"/>
          <w:i w:val="false"/>
          <w:color w:val="000000"/>
          <w:sz w:val="28"/>
        </w:rPr>
        <w:t xml:space="preserve"> принимается не более 97 % длины судна, измеренной на уровне летней грузовой ватерлинии.</w:t>
      </w:r>
    </w:p>
    <w:bookmarkEnd w:id="179"/>
    <w:bookmarkStart w:name="z181" w:id="180"/>
    <w:p>
      <w:pPr>
        <w:spacing w:after="0"/>
        <w:ind w:left="0"/>
        <w:jc w:val="both"/>
      </w:pPr>
      <w:r>
        <w:rPr>
          <w:rFonts w:ascii="Times New Roman"/>
          <w:b w:val="false"/>
          <w:i w:val="false"/>
          <w:color w:val="000000"/>
          <w:sz w:val="28"/>
        </w:rPr>
        <w:t xml:space="preserve">
      При необычной форме носовой или кормовой оконечности судна </w:t>
      </w:r>
      <w:r>
        <w:rPr>
          <w:rFonts w:ascii="Times New Roman"/>
          <w:b w:val="false"/>
          <w:i/>
          <w:color w:val="000000"/>
          <w:sz w:val="28"/>
        </w:rPr>
        <w:t>L</w:t>
      </w:r>
      <w:r>
        <w:rPr>
          <w:rFonts w:ascii="Times New Roman"/>
          <w:b w:val="false"/>
          <w:i w:val="false"/>
          <w:color w:val="000000"/>
          <w:sz w:val="28"/>
        </w:rPr>
        <w:t xml:space="preserve"> является предметом специального рассмотрения Регистром судоходства;</w:t>
      </w:r>
    </w:p>
    <w:bookmarkEnd w:id="180"/>
    <w:bookmarkStart w:name="z182" w:id="181"/>
    <w:p>
      <w:pPr>
        <w:spacing w:after="0"/>
        <w:ind w:left="0"/>
        <w:jc w:val="both"/>
      </w:pPr>
      <w:r>
        <w:rPr>
          <w:rFonts w:ascii="Times New Roman"/>
          <w:b w:val="false"/>
          <w:i w:val="false"/>
          <w:color w:val="000000"/>
          <w:sz w:val="28"/>
        </w:rPr>
        <w:t>
      144) машинное отделение в корме - означает, что середина длины машинного отделения находится за пределами 0,3</w:t>
      </w:r>
      <w:r>
        <w:rPr>
          <w:rFonts w:ascii="Times New Roman"/>
          <w:b w:val="false"/>
          <w:i/>
          <w:color w:val="000000"/>
          <w:sz w:val="28"/>
        </w:rPr>
        <w:t>L</w:t>
      </w:r>
      <w:r>
        <w:rPr>
          <w:rFonts w:ascii="Times New Roman"/>
          <w:b w:val="false"/>
          <w:i w:val="false"/>
          <w:color w:val="000000"/>
          <w:sz w:val="28"/>
        </w:rPr>
        <w:t xml:space="preserve"> в корму от миделя;</w:t>
      </w:r>
    </w:p>
    <w:bookmarkEnd w:id="181"/>
    <w:bookmarkStart w:name="z183" w:id="182"/>
    <w:p>
      <w:pPr>
        <w:spacing w:after="0"/>
        <w:ind w:left="0"/>
        <w:jc w:val="both"/>
      </w:pPr>
      <w:r>
        <w:rPr>
          <w:rFonts w:ascii="Times New Roman"/>
          <w:b w:val="false"/>
          <w:i w:val="false"/>
          <w:color w:val="000000"/>
          <w:sz w:val="28"/>
        </w:rPr>
        <w:t xml:space="preserve">
      145) осадка судна </w:t>
      </w:r>
      <w:r>
        <w:rPr>
          <w:rFonts w:ascii="Times New Roman"/>
          <w:b w:val="false"/>
          <w:i/>
          <w:color w:val="000000"/>
          <w:sz w:val="28"/>
        </w:rPr>
        <w:t>d</w:t>
      </w:r>
      <w:r>
        <w:rPr>
          <w:rFonts w:ascii="Times New Roman"/>
          <w:b w:val="false"/>
          <w:i w:val="false"/>
          <w:color w:val="000000"/>
          <w:sz w:val="28"/>
        </w:rPr>
        <w:t xml:space="preserve"> - расстояние по вертикали, м, измеренное на миделе, от верхней кромки горизонтального киля или от точки притыкания внутренней поверхности наружной обшивки к брусковому килю до летней грузовой ватерлинии. У судов с лесным надводным бортом осадку следует измерять на борту до лесной летней грузовой марки;</w:t>
      </w:r>
    </w:p>
    <w:bookmarkEnd w:id="182"/>
    <w:bookmarkStart w:name="z184" w:id="183"/>
    <w:p>
      <w:pPr>
        <w:spacing w:after="0"/>
        <w:ind w:left="0"/>
        <w:jc w:val="both"/>
      </w:pPr>
      <w:r>
        <w:rPr>
          <w:rFonts w:ascii="Times New Roman"/>
          <w:b w:val="false"/>
          <w:i w:val="false"/>
          <w:color w:val="000000"/>
          <w:sz w:val="28"/>
        </w:rPr>
        <w:t xml:space="preserve">
      146) ширина судна </w:t>
      </w:r>
      <w:r>
        <w:rPr>
          <w:rFonts w:ascii="Times New Roman"/>
          <w:b w:val="false"/>
          <w:i/>
          <w:color w:val="000000"/>
          <w:sz w:val="28"/>
        </w:rPr>
        <w:t>В</w:t>
      </w:r>
      <w:r>
        <w:rPr>
          <w:rFonts w:ascii="Times New Roman"/>
          <w:b w:val="false"/>
          <w:i w:val="false"/>
          <w:color w:val="000000"/>
          <w:sz w:val="28"/>
        </w:rPr>
        <w:t xml:space="preserve"> - наибольшая ширина, м, измеренная на миделе между наружными кромками шпангоутов;</w:t>
      </w:r>
    </w:p>
    <w:bookmarkEnd w:id="183"/>
    <w:bookmarkStart w:name="z185" w:id="184"/>
    <w:p>
      <w:pPr>
        <w:spacing w:after="0"/>
        <w:ind w:left="0"/>
        <w:jc w:val="both"/>
      </w:pPr>
      <w:r>
        <w:rPr>
          <w:rFonts w:ascii="Times New Roman"/>
          <w:b w:val="false"/>
          <w:i w:val="false"/>
          <w:color w:val="000000"/>
          <w:sz w:val="28"/>
        </w:rPr>
        <w:t>
      147) коффердамная переборка - переборка, имеющая две параллельные непроницаемые обшивки, подкрепленные стойками или горизонтальными балками либо без таковых, соединенные между собой листовыми элементами, перпендикулярными этим обшивкам: вертикальными (диафрагмами) и/или горизонтальными (платформами). При отсутствии диафрагм и платформ указанная конструкция рассматривается как две переборки, ограничивающие коффердам;</w:t>
      </w:r>
    </w:p>
    <w:bookmarkEnd w:id="184"/>
    <w:bookmarkStart w:name="z186" w:id="185"/>
    <w:p>
      <w:pPr>
        <w:spacing w:after="0"/>
        <w:ind w:left="0"/>
        <w:jc w:val="both"/>
      </w:pPr>
      <w:r>
        <w:rPr>
          <w:rFonts w:ascii="Times New Roman"/>
          <w:b w:val="false"/>
          <w:i w:val="false"/>
          <w:color w:val="000000"/>
          <w:sz w:val="28"/>
        </w:rPr>
        <w:t>
      148) квартердек - возвышенная уступом на неполномерную высоту твиндека кормовая часть верхней палубы;</w:t>
      </w:r>
    </w:p>
    <w:bookmarkEnd w:id="185"/>
    <w:bookmarkStart w:name="z187" w:id="186"/>
    <w:p>
      <w:pPr>
        <w:spacing w:after="0"/>
        <w:ind w:left="0"/>
        <w:jc w:val="both"/>
      </w:pPr>
      <w:r>
        <w:rPr>
          <w:rFonts w:ascii="Times New Roman"/>
          <w:b w:val="false"/>
          <w:i w:val="false"/>
          <w:color w:val="000000"/>
          <w:sz w:val="28"/>
        </w:rPr>
        <w:t>
      149) переходный участок квартердека - участок, измеренный от носовой кромки уступа до кормовой кромки настила верхней палубы, продолжающийся под палубой квартердека;</w:t>
      </w:r>
    </w:p>
    <w:bookmarkEnd w:id="186"/>
    <w:bookmarkStart w:name="z188" w:id="187"/>
    <w:p>
      <w:pPr>
        <w:spacing w:after="0"/>
        <w:ind w:left="0"/>
        <w:jc w:val="both"/>
      </w:pPr>
      <w:r>
        <w:rPr>
          <w:rFonts w:ascii="Times New Roman"/>
          <w:b w:val="false"/>
          <w:i w:val="false"/>
          <w:color w:val="000000"/>
          <w:sz w:val="28"/>
        </w:rPr>
        <w:t xml:space="preserve">
      150) длина килевой дорожки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 расстояние, измеренное в диаметральной плоскости параллельно основной линии, между наружными торцами концевых кильблоков;</w:t>
      </w:r>
    </w:p>
    <w:bookmarkEnd w:id="187"/>
    <w:bookmarkStart w:name="z189" w:id="188"/>
    <w:p>
      <w:pPr>
        <w:spacing w:after="0"/>
        <w:ind w:left="0"/>
        <w:jc w:val="both"/>
      </w:pPr>
      <w:r>
        <w:rPr>
          <w:rFonts w:ascii="Times New Roman"/>
          <w:b w:val="false"/>
          <w:i w:val="false"/>
          <w:color w:val="000000"/>
          <w:sz w:val="28"/>
        </w:rPr>
        <w:t xml:space="preserve">
      151) доковая масса судна </w:t>
      </w:r>
      <w:r>
        <w:rPr>
          <w:rFonts w:ascii="Times New Roman"/>
          <w:b w:val="false"/>
          <w:i w:val="false"/>
          <w:color w:val="000000"/>
          <w:sz w:val="28"/>
          <w:u w:val="single"/>
        </w:rPr>
        <w:t>/\</w:t>
      </w:r>
      <w:r>
        <w:rPr>
          <w:rFonts w:ascii="Times New Roman"/>
          <w:b w:val="false"/>
          <w:i w:val="false"/>
          <w:color w:val="000000"/>
          <w:vertAlign w:val="subscript"/>
        </w:rPr>
        <w:t>с</w:t>
      </w:r>
      <w:r>
        <w:rPr>
          <w:rFonts w:ascii="Times New Roman"/>
          <w:b w:val="false"/>
          <w:i w:val="false"/>
          <w:color w:val="000000"/>
          <w:sz w:val="28"/>
        </w:rPr>
        <w:t>, т - масса судна порожнем с необходимыми для докования запасами и балластом, обеспечивающим требуемую посадку судна при доковании;</w:t>
      </w:r>
    </w:p>
    <w:bookmarkEnd w:id="188"/>
    <w:bookmarkStart w:name="z190" w:id="189"/>
    <w:p>
      <w:pPr>
        <w:spacing w:after="0"/>
        <w:ind w:left="0"/>
        <w:jc w:val="both"/>
      </w:pPr>
      <w:r>
        <w:rPr>
          <w:rFonts w:ascii="Times New Roman"/>
          <w:b w:val="false"/>
          <w:i w:val="false"/>
          <w:color w:val="000000"/>
          <w:sz w:val="28"/>
        </w:rPr>
        <w:t>
      152) кринолины - консольные конструкции дока, которые устанавливаются на торцевых переборках понтона дока в оконечностях на уровне стапель-палубы с целью увеличения ее полезной площади для производства доковых работ у выступающих за пределы стапель-палубы оконечностей судна;</w:t>
      </w:r>
    </w:p>
    <w:bookmarkEnd w:id="189"/>
    <w:bookmarkStart w:name="z191" w:id="190"/>
    <w:p>
      <w:pPr>
        <w:spacing w:after="0"/>
        <w:ind w:left="0"/>
        <w:jc w:val="both"/>
      </w:pPr>
      <w:r>
        <w:rPr>
          <w:rFonts w:ascii="Times New Roman"/>
          <w:b w:val="false"/>
          <w:i w:val="false"/>
          <w:color w:val="000000"/>
          <w:sz w:val="28"/>
        </w:rPr>
        <w:t xml:space="preserve">
      153) осадка судна </w:t>
      </w:r>
      <w:r>
        <w:rPr>
          <w:rFonts w:ascii="Times New Roman"/>
          <w:b w:val="false"/>
          <w:i/>
          <w:color w:val="000000"/>
          <w:sz w:val="28"/>
        </w:rPr>
        <w:t>d</w:t>
      </w:r>
      <w:r>
        <w:rPr>
          <w:rFonts w:ascii="Times New Roman"/>
          <w:b w:val="false"/>
          <w:i w:val="false"/>
          <w:color w:val="000000"/>
          <w:sz w:val="28"/>
        </w:rPr>
        <w:t xml:space="preserve"> - вертикальное расстояние, измеренное на миделе от верхней кромки горизонтального киля или от точки притыкания внутренней (наружной - для судов с неметаллической обшивкой) поверхности наружной обшивки к брусковому килю до летней грузовой ватерлинии;</w:t>
      </w:r>
    </w:p>
    <w:bookmarkEnd w:id="190"/>
    <w:bookmarkStart w:name="z192" w:id="191"/>
    <w:p>
      <w:pPr>
        <w:spacing w:after="0"/>
        <w:ind w:left="0"/>
        <w:jc w:val="both"/>
      </w:pPr>
      <w:r>
        <w:rPr>
          <w:rFonts w:ascii="Times New Roman"/>
          <w:b w:val="false"/>
          <w:i w:val="false"/>
          <w:color w:val="000000"/>
          <w:sz w:val="28"/>
        </w:rPr>
        <w:t>
      154) теоретическая высота борта судна - вертикальное расстояние от верхней кромки горизонтального киля или от точки притыкания внутренней поверхности наружной обшивки к брусковому килю до верхней кромки бимса палубы надводного борта у борта;</w:t>
      </w:r>
    </w:p>
    <w:bookmarkEnd w:id="191"/>
    <w:bookmarkStart w:name="z193" w:id="192"/>
    <w:p>
      <w:pPr>
        <w:spacing w:after="0"/>
        <w:ind w:left="0"/>
        <w:jc w:val="both"/>
      </w:pPr>
      <w:r>
        <w:rPr>
          <w:rFonts w:ascii="Times New Roman"/>
          <w:b w:val="false"/>
          <w:i w:val="false"/>
          <w:color w:val="000000"/>
          <w:sz w:val="28"/>
        </w:rPr>
        <w:t>
      155) палуба возвышенного квартердека - верхний кормовой участок уступчатой палубы судна, нижний носовой участок которой принят за часть палубы надводного борта;</w:t>
      </w:r>
    </w:p>
    <w:bookmarkEnd w:id="192"/>
    <w:bookmarkStart w:name="z194" w:id="193"/>
    <w:p>
      <w:pPr>
        <w:spacing w:after="0"/>
        <w:ind w:left="0"/>
        <w:jc w:val="both"/>
      </w:pPr>
      <w:r>
        <w:rPr>
          <w:rFonts w:ascii="Times New Roman"/>
          <w:b w:val="false"/>
          <w:i w:val="false"/>
          <w:color w:val="000000"/>
          <w:sz w:val="28"/>
        </w:rPr>
        <w:t>
      156) средства активного управления судами (далее - САУС) - специальные движительно-рулевые устройства и их любое сочетание либо между собой, либо с главными движителями, способные создавать упор или тягу, направленные как под фиксированным углом к диаметральной плоскости судна, так и под изменяющимся углом, либо на всех ходовых режимах, либо на части режимов, включая малые хода, а также при отсутствии хода;</w:t>
      </w:r>
    </w:p>
    <w:bookmarkEnd w:id="193"/>
    <w:bookmarkStart w:name="z195" w:id="194"/>
    <w:p>
      <w:pPr>
        <w:spacing w:after="0"/>
        <w:ind w:left="0"/>
        <w:jc w:val="both"/>
      </w:pPr>
      <w:r>
        <w:rPr>
          <w:rFonts w:ascii="Times New Roman"/>
          <w:b w:val="false"/>
          <w:i w:val="false"/>
          <w:color w:val="000000"/>
          <w:sz w:val="28"/>
        </w:rPr>
        <w:t>
      157) вспомогательный рулевой привод - оборудование, не являющееся какой-либо частью главного рулевого привода, необходимое для управления судном в случае выхода из строя главного рулевого привода, за исключением румпеля, сектора или других элементов, предназначенных для той же цели;</w:t>
      </w:r>
    </w:p>
    <w:bookmarkEnd w:id="194"/>
    <w:bookmarkStart w:name="z196" w:id="195"/>
    <w:p>
      <w:pPr>
        <w:spacing w:after="0"/>
        <w:ind w:left="0"/>
        <w:jc w:val="both"/>
      </w:pPr>
      <w:r>
        <w:rPr>
          <w:rFonts w:ascii="Times New Roman"/>
          <w:b w:val="false"/>
          <w:i w:val="false"/>
          <w:color w:val="000000"/>
          <w:sz w:val="28"/>
        </w:rPr>
        <w:t>
      158) силовая система - гидравлическое устройство, предназначенное для создания усилия с целью поворота баллера руля или поворотной насадки, состоящее из силового агрегата или агрегатов рулевого привода и относящихся к ним трубопроводов и арматуры, а также исполнительного привода перекладки руля или поворотной насадки. Силовые системы могут иметь общие механические элементы, то есть румпель, сектор и баллер, или другие элементы, предназначенные для той же цели;</w:t>
      </w:r>
    </w:p>
    <w:bookmarkEnd w:id="195"/>
    <w:bookmarkStart w:name="z197" w:id="196"/>
    <w:p>
      <w:pPr>
        <w:spacing w:after="0"/>
        <w:ind w:left="0"/>
        <w:jc w:val="both"/>
      </w:pPr>
      <w:r>
        <w:rPr>
          <w:rFonts w:ascii="Times New Roman"/>
          <w:b w:val="false"/>
          <w:i w:val="false"/>
          <w:color w:val="000000"/>
          <w:sz w:val="28"/>
        </w:rPr>
        <w:t xml:space="preserve">
      159) длина судна - длина, как определено в </w:t>
      </w:r>
      <w:r>
        <w:rPr>
          <w:rFonts w:ascii="Times New Roman"/>
          <w:b w:val="false"/>
          <w:i w:val="false"/>
          <w:color w:val="000000"/>
          <w:sz w:val="28"/>
        </w:rPr>
        <w:t xml:space="preserve"> Правилах</w:t>
      </w:r>
      <w:r>
        <w:rPr>
          <w:rFonts w:ascii="Times New Roman"/>
          <w:b w:val="false"/>
          <w:i w:val="false"/>
          <w:color w:val="000000"/>
          <w:sz w:val="28"/>
        </w:rPr>
        <w:t xml:space="preserve"> о грузовой марке морских судов, утвержденных приказом Министра транспорта и коммуникаций Республики Казахстан от 20 мая 2011 года № 214 (зарегистрированный в Реестре государственной регистрации нормативных правовых актов за № 6967);</w:t>
      </w:r>
    </w:p>
    <w:bookmarkEnd w:id="196"/>
    <w:bookmarkStart w:name="z198" w:id="197"/>
    <w:p>
      <w:pPr>
        <w:spacing w:after="0"/>
        <w:ind w:left="0"/>
        <w:jc w:val="both"/>
      </w:pPr>
      <w:r>
        <w:rPr>
          <w:rFonts w:ascii="Times New Roman"/>
          <w:b w:val="false"/>
          <w:i w:val="false"/>
          <w:color w:val="000000"/>
          <w:sz w:val="28"/>
        </w:rPr>
        <w:t>
      160) ширина судна - наибольшая ширина, измеренная на уровне летней грузовой ватерлинии между наружными кромками шпангоута на судах с металлической обшивкой и между наружными поверхностями корпуса на судах с обшивкой из другого материала;</w:t>
      </w:r>
    </w:p>
    <w:bookmarkEnd w:id="197"/>
    <w:bookmarkStart w:name="z199" w:id="198"/>
    <w:p>
      <w:pPr>
        <w:spacing w:after="0"/>
        <w:ind w:left="0"/>
        <w:jc w:val="both"/>
      </w:pPr>
      <w:r>
        <w:rPr>
          <w:rFonts w:ascii="Times New Roman"/>
          <w:b w:val="false"/>
          <w:i w:val="false"/>
          <w:color w:val="000000"/>
          <w:sz w:val="28"/>
        </w:rPr>
        <w:t xml:space="preserve">
      161) длина деления судна на отсеки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p>
    <w:bookmarkEnd w:id="198"/>
    <w:bookmarkStart w:name="z200" w:id="199"/>
    <w:p>
      <w:pPr>
        <w:spacing w:after="0"/>
        <w:ind w:left="0"/>
        <w:jc w:val="both"/>
      </w:pPr>
      <w:r>
        <w:rPr>
          <w:rFonts w:ascii="Times New Roman"/>
          <w:b w:val="false"/>
          <w:i w:val="false"/>
          <w:color w:val="000000"/>
          <w:sz w:val="28"/>
        </w:rPr>
        <w:t>
      для пассажирских судов - наибольшая длина части судна, расположенной ниже палубы переборок;</w:t>
      </w:r>
    </w:p>
    <w:bookmarkEnd w:id="199"/>
    <w:bookmarkStart w:name="z201" w:id="200"/>
    <w:p>
      <w:pPr>
        <w:spacing w:after="0"/>
        <w:ind w:left="0"/>
        <w:jc w:val="both"/>
      </w:pPr>
      <w:r>
        <w:rPr>
          <w:rFonts w:ascii="Times New Roman"/>
          <w:b w:val="false"/>
          <w:i w:val="false"/>
          <w:color w:val="000000"/>
          <w:sz w:val="28"/>
        </w:rPr>
        <w:t xml:space="preserve">
      для грузовых судов - наибольшая теоретическая длина проекции судна на уровне или ниже палубы, ограничивающей максимальную вертикальную протяженность затопления </w:t>
      </w:r>
      <w:r>
        <w:rPr>
          <w:rFonts w:ascii="Times New Roman"/>
          <w:b w:val="false"/>
          <w:i/>
          <w:color w:val="000000"/>
          <w:sz w:val="28"/>
        </w:rPr>
        <w:t>Н</w:t>
      </w:r>
      <w:r>
        <w:rPr>
          <w:rFonts w:ascii="Times New Roman"/>
          <w:b w:val="false"/>
          <w:i w:val="false"/>
          <w:color w:val="000000"/>
          <w:vertAlign w:val="subscript"/>
        </w:rPr>
        <w:t>mах</w:t>
      </w:r>
      <w:r>
        <w:rPr>
          <w:rFonts w:ascii="Times New Roman"/>
          <w:b w:val="false"/>
          <w:i w:val="false"/>
          <w:color w:val="000000"/>
          <w:sz w:val="28"/>
        </w:rPr>
        <w:t>, определенную в соответствии с пунктом 2037 настоящих Правил;</w:t>
      </w:r>
    </w:p>
    <w:bookmarkEnd w:id="200"/>
    <w:bookmarkStart w:name="z202" w:id="201"/>
    <w:p>
      <w:pPr>
        <w:spacing w:after="0"/>
        <w:ind w:left="0"/>
        <w:jc w:val="both"/>
      </w:pPr>
      <w:r>
        <w:rPr>
          <w:rFonts w:ascii="Times New Roman"/>
          <w:b w:val="false"/>
          <w:i w:val="false"/>
          <w:color w:val="000000"/>
          <w:sz w:val="28"/>
        </w:rPr>
        <w:t xml:space="preserve">
      162) длина судна </w:t>
      </w:r>
      <w:r>
        <w:rPr>
          <w:rFonts w:ascii="Times New Roman"/>
          <w:b w:val="false"/>
          <w:i/>
          <w:color w:val="000000"/>
          <w:sz w:val="28"/>
        </w:rPr>
        <w:t>L</w:t>
      </w:r>
      <w:r>
        <w:rPr>
          <w:rFonts w:ascii="Times New Roman"/>
          <w:b w:val="false"/>
          <w:i w:val="false"/>
          <w:color w:val="000000"/>
          <w:vertAlign w:val="subscript"/>
        </w:rPr>
        <w:t>л</w:t>
      </w:r>
      <w:r>
        <w:rPr>
          <w:rFonts w:ascii="Times New Roman"/>
          <w:b w:val="false"/>
          <w:i w:val="false"/>
          <w:color w:val="000000"/>
          <w:sz w:val="28"/>
        </w:rPr>
        <w:t xml:space="preserve"> - длина судна по ватерлинии, соответствующей осадке </w:t>
      </w:r>
      <w:r>
        <w:rPr>
          <w:rFonts w:ascii="Times New Roman"/>
          <w:b w:val="false"/>
          <w:i/>
          <w:color w:val="000000"/>
          <w:sz w:val="28"/>
        </w:rPr>
        <w:t>d</w:t>
      </w:r>
      <w:r>
        <w:rPr>
          <w:rFonts w:ascii="Times New Roman"/>
          <w:b w:val="false"/>
          <w:i w:val="false"/>
          <w:color w:val="000000"/>
          <w:vertAlign w:val="subscript"/>
        </w:rPr>
        <w:t>R</w:t>
      </w:r>
      <w:r>
        <w:rPr>
          <w:rFonts w:ascii="Times New Roman"/>
          <w:b w:val="false"/>
          <w:i w:val="false"/>
          <w:color w:val="000000"/>
          <w:sz w:val="28"/>
        </w:rPr>
        <w:t>.;</w:t>
      </w:r>
    </w:p>
    <w:bookmarkEnd w:id="201"/>
    <w:bookmarkStart w:name="z203" w:id="202"/>
    <w:p>
      <w:pPr>
        <w:spacing w:after="0"/>
        <w:ind w:left="0"/>
        <w:jc w:val="both"/>
      </w:pPr>
      <w:r>
        <w:rPr>
          <w:rFonts w:ascii="Times New Roman"/>
          <w:b w:val="false"/>
          <w:i w:val="false"/>
          <w:color w:val="000000"/>
          <w:sz w:val="28"/>
        </w:rPr>
        <w:t xml:space="preserve">
      163) длина судна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- 96 % полной длины по ватерлинии, проходящей на высоте, равной 85 % наименьшей теоретической высоты борта, или длина от передней кромки форштевня до оси баллера руля по той же ватерлинии, если эта длина больше;</w:t>
      </w:r>
    </w:p>
    <w:bookmarkEnd w:id="202"/>
    <w:bookmarkStart w:name="z204" w:id="203"/>
    <w:p>
      <w:pPr>
        <w:spacing w:after="0"/>
        <w:ind w:left="0"/>
        <w:jc w:val="both"/>
      </w:pPr>
      <w:r>
        <w:rPr>
          <w:rFonts w:ascii="Times New Roman"/>
          <w:b w:val="false"/>
          <w:i w:val="false"/>
          <w:color w:val="000000"/>
          <w:sz w:val="28"/>
        </w:rPr>
        <w:t xml:space="preserve">
      164) осадка судна </w:t>
      </w:r>
      <w:r>
        <w:rPr>
          <w:rFonts w:ascii="Times New Roman"/>
          <w:b w:val="false"/>
          <w:i/>
          <w:color w:val="000000"/>
          <w:sz w:val="28"/>
        </w:rPr>
        <w:t>d</w:t>
      </w:r>
      <w:r>
        <w:rPr>
          <w:rFonts w:ascii="Times New Roman"/>
          <w:b w:val="false"/>
          <w:i w:val="false"/>
          <w:color w:val="000000"/>
          <w:vertAlign w:val="subscript"/>
        </w:rPr>
        <w:t>л</w:t>
      </w:r>
      <w:r>
        <w:rPr>
          <w:rFonts w:ascii="Times New Roman"/>
          <w:b w:val="false"/>
          <w:i w:val="false"/>
          <w:color w:val="000000"/>
          <w:sz w:val="28"/>
        </w:rPr>
        <w:t xml:space="preserve"> - наименьшая из осадок судна: осадки, соответствующей ватерлинии, от которой установлена верхняя граница ледовых усилений корпуса, и осадки, при которой выполняются требования к ледовой непотопляемости, содержащиеся в главе 129 настоящих Правил;</w:t>
      </w:r>
    </w:p>
    <w:bookmarkEnd w:id="203"/>
    <w:bookmarkStart w:name="z205" w:id="204"/>
    <w:p>
      <w:pPr>
        <w:spacing w:after="0"/>
        <w:ind w:left="0"/>
        <w:jc w:val="both"/>
      </w:pPr>
      <w:r>
        <w:rPr>
          <w:rFonts w:ascii="Times New Roman"/>
          <w:b w:val="false"/>
          <w:i w:val="false"/>
          <w:color w:val="000000"/>
          <w:sz w:val="28"/>
        </w:rPr>
        <w:t xml:space="preserve">
      165) середина длины судна - середина длины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деления судна на отсеки;</w:t>
      </w:r>
    </w:p>
    <w:bookmarkEnd w:id="204"/>
    <w:bookmarkStart w:name="z206" w:id="205"/>
    <w:p>
      <w:pPr>
        <w:spacing w:after="0"/>
        <w:ind w:left="0"/>
        <w:jc w:val="both"/>
      </w:pPr>
      <w:r>
        <w:rPr>
          <w:rFonts w:ascii="Times New Roman"/>
          <w:b w:val="false"/>
          <w:i w:val="false"/>
          <w:color w:val="000000"/>
          <w:sz w:val="28"/>
        </w:rPr>
        <w:t>
      166) спрямление судна - процесс устранения или уменьшения крена и/или дифферента;</w:t>
      </w:r>
    </w:p>
    <w:bookmarkEnd w:id="205"/>
    <w:bookmarkStart w:name="z207" w:id="206"/>
    <w:p>
      <w:pPr>
        <w:spacing w:after="0"/>
        <w:ind w:left="0"/>
        <w:jc w:val="both"/>
      </w:pPr>
      <w:r>
        <w:rPr>
          <w:rFonts w:ascii="Times New Roman"/>
          <w:b w:val="false"/>
          <w:i w:val="false"/>
          <w:color w:val="000000"/>
          <w:sz w:val="28"/>
        </w:rPr>
        <w:t>
      167) кратность пены - отношение объема полученной пены к объему поданного водного раствора пенообразователя;</w:t>
      </w:r>
    </w:p>
    <w:bookmarkEnd w:id="206"/>
    <w:bookmarkStart w:name="z208" w:id="207"/>
    <w:p>
      <w:pPr>
        <w:spacing w:after="0"/>
        <w:ind w:left="0"/>
        <w:jc w:val="both"/>
      </w:pPr>
      <w:r>
        <w:rPr>
          <w:rFonts w:ascii="Times New Roman"/>
          <w:b w:val="false"/>
          <w:i w:val="false"/>
          <w:color w:val="000000"/>
          <w:sz w:val="28"/>
        </w:rPr>
        <w:t>
      168) тушение объемное - заполнение защищаемого помещения средой, не поддерживающей горения;</w:t>
      </w:r>
    </w:p>
    <w:bookmarkEnd w:id="207"/>
    <w:bookmarkStart w:name="z209" w:id="208"/>
    <w:p>
      <w:pPr>
        <w:spacing w:after="0"/>
        <w:ind w:left="0"/>
        <w:jc w:val="both"/>
      </w:pPr>
      <w:r>
        <w:rPr>
          <w:rFonts w:ascii="Times New Roman"/>
          <w:b w:val="false"/>
          <w:i w:val="false"/>
          <w:color w:val="000000"/>
          <w:sz w:val="28"/>
        </w:rPr>
        <w:t>
      169) вспомогательное средство активного управления судном - движительно-рулевое устройство, обеспечивающее движение судна и его управляемость на малых ходах или управляемость судном без хода при наличии основных средств движения и управления судном и используемое, либо совместно с последними, либо при неработающих основных средствах движения и управления;</w:t>
      </w:r>
    </w:p>
    <w:bookmarkEnd w:id="208"/>
    <w:bookmarkStart w:name="z210" w:id="209"/>
    <w:p>
      <w:pPr>
        <w:spacing w:after="0"/>
        <w:ind w:left="0"/>
        <w:jc w:val="both"/>
      </w:pPr>
      <w:r>
        <w:rPr>
          <w:rFonts w:ascii="Times New Roman"/>
          <w:b w:val="false"/>
          <w:i w:val="false"/>
          <w:color w:val="000000"/>
          <w:sz w:val="28"/>
        </w:rPr>
        <w:t>
      170) главное средство активного управления судном - движительно-рулевое устройство в составе пропульсивной установки;</w:t>
      </w:r>
    </w:p>
    <w:bookmarkEnd w:id="209"/>
    <w:bookmarkStart w:name="z211" w:id="210"/>
    <w:p>
      <w:pPr>
        <w:spacing w:after="0"/>
        <w:ind w:left="0"/>
        <w:jc w:val="both"/>
      </w:pPr>
      <w:r>
        <w:rPr>
          <w:rFonts w:ascii="Times New Roman"/>
          <w:b w:val="false"/>
          <w:i w:val="false"/>
          <w:color w:val="000000"/>
          <w:sz w:val="28"/>
        </w:rPr>
        <w:t>
      171) нерабочее состояние судна (равно, как и обесточивание) - состояние, при котором главные механизмы и котлы, а также обслуживающие их вспомогательные механизмы и оборудование не работают из-за отсутствия энергии. Кроме этого, отсутствует энергия для ввода в действие главных механизмов. Одновременно предполагается, что имеются исправный основной источник электроэнергии и другие вспомогательные механизмы ответственного назначения;</w:t>
      </w:r>
    </w:p>
    <w:bookmarkEnd w:id="210"/>
    <w:bookmarkStart w:name="z212" w:id="211"/>
    <w:p>
      <w:pPr>
        <w:spacing w:after="0"/>
        <w:ind w:left="0"/>
        <w:jc w:val="both"/>
      </w:pPr>
      <w:r>
        <w:rPr>
          <w:rFonts w:ascii="Times New Roman"/>
          <w:b w:val="false"/>
          <w:i w:val="false"/>
          <w:color w:val="000000"/>
          <w:sz w:val="28"/>
        </w:rPr>
        <w:t>
      172) корпус судна - все металлические части судна, имеющие надежное электрическое соединение с наружной металлической обшивкой. Для судов с токонепроводящим корпусом - специальный медный лист площадью не менее 0,5 м</w:t>
      </w:r>
      <w:r>
        <w:rPr>
          <w:rFonts w:ascii="Times New Roman"/>
          <w:b w:val="false"/>
          <w:i w:val="false"/>
          <w:color w:val="000000"/>
          <w:vertAlign w:val="superscript"/>
        </w:rPr>
        <w:t>2</w:t>
      </w:r>
      <w:r>
        <w:rPr>
          <w:rFonts w:ascii="Times New Roman"/>
          <w:b w:val="false"/>
          <w:i w:val="false"/>
          <w:color w:val="000000"/>
          <w:sz w:val="28"/>
        </w:rPr>
        <w:t xml:space="preserve"> и толщиной не менее 2 мм, прикрепленный к наружной обшивке корпуса на уровне ниже ватерлинии при наименьшей осадке и используемый для заземления всех устройств, имеющихся на судне;</w:t>
      </w:r>
    </w:p>
    <w:bookmarkEnd w:id="211"/>
    <w:bookmarkStart w:name="z213" w:id="212"/>
    <w:p>
      <w:pPr>
        <w:spacing w:after="0"/>
        <w:ind w:left="0"/>
        <w:jc w:val="both"/>
      </w:pPr>
      <w:r>
        <w:rPr>
          <w:rFonts w:ascii="Times New Roman"/>
          <w:b w:val="false"/>
          <w:i w:val="false"/>
          <w:color w:val="000000"/>
          <w:sz w:val="28"/>
        </w:rPr>
        <w:t>
      173) электрическая установка малой мощности - электрическая установка судна с суммарной мощностью источников электрической энергии до 50 кВт (кВ.А);</w:t>
      </w:r>
    </w:p>
    <w:bookmarkEnd w:id="212"/>
    <w:bookmarkStart w:name="z214" w:id="213"/>
    <w:p>
      <w:pPr>
        <w:spacing w:after="0"/>
        <w:ind w:left="0"/>
        <w:jc w:val="both"/>
      </w:pPr>
      <w:r>
        <w:rPr>
          <w:rFonts w:ascii="Times New Roman"/>
          <w:b w:val="false"/>
          <w:i w:val="false"/>
          <w:color w:val="000000"/>
          <w:sz w:val="28"/>
        </w:rPr>
        <w:t>
      174) клеймо Регистра судоходства - клеймо, штемпель или пломбир определенного, регламентированного Регистром судоходства вида, которые наносятся на продукцию в конечном ее виде или в процессе изготовления с целью подтверждения осуществленного Регистром судоходства освидетельствования и идентификации продукции выданным на нее документам;</w:t>
      </w:r>
    </w:p>
    <w:bookmarkEnd w:id="213"/>
    <w:bookmarkStart w:name="z215" w:id="214"/>
    <w:p>
      <w:pPr>
        <w:spacing w:after="0"/>
        <w:ind w:left="0"/>
        <w:jc w:val="both"/>
      </w:pPr>
      <w:r>
        <w:rPr>
          <w:rFonts w:ascii="Times New Roman"/>
          <w:b w:val="false"/>
          <w:i w:val="false"/>
          <w:color w:val="000000"/>
          <w:sz w:val="28"/>
        </w:rPr>
        <w:t>
      175) сертификат предприятия - документ предприятия, удостоверяющий соответствие определенного объема конкретного вида продукции требованиям заказа и подтверждающий изготовление продукции в полном соответствии с существующей на предприятии технологией;</w:t>
      </w:r>
    </w:p>
    <w:bookmarkEnd w:id="214"/>
    <w:bookmarkStart w:name="z216" w:id="215"/>
    <w:p>
      <w:pPr>
        <w:spacing w:after="0"/>
        <w:ind w:left="0"/>
        <w:jc w:val="both"/>
      </w:pPr>
      <w:r>
        <w:rPr>
          <w:rFonts w:ascii="Times New Roman"/>
          <w:b w:val="false"/>
          <w:i w:val="false"/>
          <w:color w:val="000000"/>
          <w:sz w:val="28"/>
        </w:rPr>
        <w:t>
      176) свидетельство Регистра судоходства - документ, удостоверяющий соответствие определенного объема конкретного вида продукции требованиям Регистра судоходства и, если оговорено отдельно, требованиям заказа. Свидетельство выдается Регистром судоходства при осуществлении освидетельствования при изготовлении продукции;</w:t>
      </w:r>
    </w:p>
    <w:bookmarkEnd w:id="215"/>
    <w:bookmarkStart w:name="z217" w:id="216"/>
    <w:p>
      <w:pPr>
        <w:spacing w:after="0"/>
        <w:ind w:left="0"/>
        <w:jc w:val="both"/>
      </w:pPr>
      <w:r>
        <w:rPr>
          <w:rFonts w:ascii="Times New Roman"/>
          <w:b w:val="false"/>
          <w:i w:val="false"/>
          <w:color w:val="000000"/>
          <w:sz w:val="28"/>
        </w:rPr>
        <w:t>
      177) провар - сплавление основного металла с наплавленным металлом или сплавление металлов обеих свариваемых частей;</w:t>
      </w:r>
    </w:p>
    <w:bookmarkEnd w:id="216"/>
    <w:bookmarkStart w:name="z218" w:id="217"/>
    <w:p>
      <w:pPr>
        <w:spacing w:after="0"/>
        <w:ind w:left="0"/>
        <w:jc w:val="both"/>
      </w:pPr>
      <w:r>
        <w:rPr>
          <w:rFonts w:ascii="Times New Roman"/>
          <w:b w:val="false"/>
          <w:i w:val="false"/>
          <w:color w:val="000000"/>
          <w:sz w:val="28"/>
        </w:rPr>
        <w:t>
      178) квитирование - подтверждение принятия сигнала или вызова;</w:t>
      </w:r>
    </w:p>
    <w:bookmarkEnd w:id="217"/>
    <w:bookmarkStart w:name="z219" w:id="218"/>
    <w:p>
      <w:pPr>
        <w:spacing w:after="0"/>
        <w:ind w:left="0"/>
        <w:jc w:val="both"/>
      </w:pPr>
      <w:r>
        <w:rPr>
          <w:rFonts w:ascii="Times New Roman"/>
          <w:b w:val="false"/>
          <w:i w:val="false"/>
          <w:color w:val="000000"/>
          <w:sz w:val="28"/>
        </w:rPr>
        <w:t>
      179) слоистый разрыв - разрушение элементов сварных конструкций, изготовленных из листового проката или труб, как следствие значительных сварочных напряжений и/или внешних нагрузок в направлении, перпендикулярном к поверхности проката;</w:t>
      </w:r>
    </w:p>
    <w:bookmarkEnd w:id="218"/>
    <w:bookmarkStart w:name="z10765" w:id="219"/>
    <w:p>
      <w:pPr>
        <w:spacing w:after="0"/>
        <w:ind w:left="0"/>
        <w:jc w:val="both"/>
      </w:pPr>
      <w:r>
        <w:rPr>
          <w:rFonts w:ascii="Times New Roman"/>
          <w:b w:val="false"/>
          <w:i w:val="false"/>
          <w:color w:val="000000"/>
          <w:sz w:val="28"/>
        </w:rPr>
        <w:t>
      179-1) переоборудование судна – изменение конструкции или элементов судна, связанное с изменением его функционального назначения;</w:t>
      </w:r>
    </w:p>
    <w:bookmarkEnd w:id="219"/>
    <w:bookmarkStart w:name="z220" w:id="220"/>
    <w:p>
      <w:pPr>
        <w:spacing w:after="0"/>
        <w:ind w:left="0"/>
        <w:jc w:val="both"/>
      </w:pPr>
      <w:r>
        <w:rPr>
          <w:rFonts w:ascii="Times New Roman"/>
          <w:b w:val="false"/>
          <w:i w:val="false"/>
          <w:color w:val="000000"/>
          <w:sz w:val="28"/>
        </w:rPr>
        <w:t>
      180) трудновоспламеняющийся электроизоляционный материал - материал, выдерживающий испытания, указанные в требованиях Регистра судоходства;</w:t>
      </w:r>
    </w:p>
    <w:bookmarkEnd w:id="220"/>
    <w:bookmarkStart w:name="z221" w:id="221"/>
    <w:p>
      <w:pPr>
        <w:spacing w:after="0"/>
        <w:ind w:left="0"/>
        <w:jc w:val="both"/>
      </w:pPr>
      <w:r>
        <w:rPr>
          <w:rFonts w:ascii="Times New Roman"/>
          <w:b w:val="false"/>
          <w:i w:val="false"/>
          <w:color w:val="000000"/>
          <w:sz w:val="28"/>
        </w:rPr>
        <w:t>
      181) система защиты - оборудование, предназначенное для определенного автоматического воздействия на управляемую установку с целью предупреждения аварии или ограничения ее последствий;</w:t>
      </w:r>
    </w:p>
    <w:bookmarkEnd w:id="221"/>
    <w:bookmarkStart w:name="z222" w:id="222"/>
    <w:p>
      <w:pPr>
        <w:spacing w:after="0"/>
        <w:ind w:left="0"/>
        <w:jc w:val="both"/>
      </w:pPr>
      <w:r>
        <w:rPr>
          <w:rFonts w:ascii="Times New Roman"/>
          <w:b w:val="false"/>
          <w:i w:val="false"/>
          <w:color w:val="000000"/>
          <w:sz w:val="28"/>
        </w:rPr>
        <w:t>
      182) компетентная организация - организация, имеющая соответствующие знания и опыт в конкретной области, документы которой признаются Регистром судоходства;</w:t>
      </w:r>
    </w:p>
    <w:bookmarkEnd w:id="222"/>
    <w:bookmarkStart w:name="z223" w:id="223"/>
    <w:p>
      <w:pPr>
        <w:spacing w:after="0"/>
        <w:ind w:left="0"/>
        <w:jc w:val="both"/>
      </w:pPr>
      <w:r>
        <w:rPr>
          <w:rFonts w:ascii="Times New Roman"/>
          <w:b w:val="false"/>
          <w:i w:val="false"/>
          <w:color w:val="000000"/>
          <w:sz w:val="28"/>
        </w:rPr>
        <w:t>
      183) огнестойкость трубопровода - способность трубопровода сохранять прочностные и функциональные характеристики в течение установленного времени при воздействии пламени;</w:t>
      </w:r>
    </w:p>
    <w:bookmarkEnd w:id="223"/>
    <w:bookmarkStart w:name="z224" w:id="224"/>
    <w:p>
      <w:pPr>
        <w:spacing w:after="0"/>
        <w:ind w:left="0"/>
        <w:jc w:val="both"/>
      </w:pPr>
      <w:r>
        <w:rPr>
          <w:rFonts w:ascii="Times New Roman"/>
          <w:b w:val="false"/>
          <w:i w:val="false"/>
          <w:color w:val="000000"/>
          <w:sz w:val="28"/>
        </w:rPr>
        <w:t>
      184) трубопровод - совокупность труб, арматуры, фасонных элементов, соединений труб, любых внутренних и наружных облицовок, покрытий изоляции, деталей крепления и защиты труб от повреждений, предназначенных для транспортировки жидких, газообразных и многофазных сред, а также передачи давления и звуковых волн;</w:t>
      </w:r>
    </w:p>
    <w:bookmarkEnd w:id="224"/>
    <w:bookmarkStart w:name="z225" w:id="225"/>
    <w:p>
      <w:pPr>
        <w:spacing w:after="0"/>
        <w:ind w:left="0"/>
        <w:jc w:val="both"/>
      </w:pPr>
      <w:r>
        <w:rPr>
          <w:rFonts w:ascii="Times New Roman"/>
          <w:b w:val="false"/>
          <w:i w:val="false"/>
          <w:color w:val="000000"/>
          <w:sz w:val="28"/>
        </w:rPr>
        <w:t>
      185) фасонные элементы трубопроводов - колена, тройники, переборочные и палубные стаканы и другие детали трубопроводов, предназначенные для разветвлений линий трубопроводов, изменения направления движения транспортируемой среды и обеспечения непроницаемости корпусных конструкций;</w:t>
      </w:r>
    </w:p>
    <w:bookmarkEnd w:id="225"/>
    <w:bookmarkStart w:name="z226" w:id="226"/>
    <w:p>
      <w:pPr>
        <w:spacing w:after="0"/>
        <w:ind w:left="0"/>
        <w:jc w:val="both"/>
      </w:pPr>
      <w:r>
        <w:rPr>
          <w:rFonts w:ascii="Times New Roman"/>
          <w:b w:val="false"/>
          <w:i w:val="false"/>
          <w:color w:val="000000"/>
          <w:sz w:val="28"/>
        </w:rPr>
        <w:t>
      186) автоматическое топочное устройство котлов - устройство для сжигания жидкого топлива, работа которого осуществляется автоматически без непосредственного участия обслуживающего персонала;</w:t>
      </w:r>
    </w:p>
    <w:bookmarkEnd w:id="226"/>
    <w:bookmarkStart w:name="z227" w:id="227"/>
    <w:p>
      <w:pPr>
        <w:spacing w:after="0"/>
        <w:ind w:left="0"/>
        <w:jc w:val="both"/>
      </w:pPr>
      <w:r>
        <w:rPr>
          <w:rFonts w:ascii="Times New Roman"/>
          <w:b w:val="false"/>
          <w:i w:val="false"/>
          <w:color w:val="000000"/>
          <w:sz w:val="28"/>
        </w:rPr>
        <w:t>
      187) расчетная паропроизводительность котла - наибольшее количество пара расчетных параметров, производимое в течение 1 часа (далее - ч) котлом при продолжительном режиме работы;</w:t>
      </w:r>
    </w:p>
    <w:bookmarkEnd w:id="227"/>
    <w:bookmarkStart w:name="z228" w:id="228"/>
    <w:p>
      <w:pPr>
        <w:spacing w:after="0"/>
        <w:ind w:left="0"/>
        <w:jc w:val="both"/>
      </w:pPr>
      <w:r>
        <w:rPr>
          <w:rFonts w:ascii="Times New Roman"/>
          <w:b w:val="false"/>
          <w:i w:val="false"/>
          <w:color w:val="000000"/>
          <w:sz w:val="28"/>
        </w:rPr>
        <w:t>
      188) расчетная температура стенки - средняя, по толщине стенки, температура, принимаемая в зависимости от температуры среды и условий обогрева для определения допускаемых напряжений;</w:t>
      </w:r>
    </w:p>
    <w:bookmarkEnd w:id="228"/>
    <w:bookmarkStart w:name="z229" w:id="229"/>
    <w:p>
      <w:pPr>
        <w:spacing w:after="0"/>
        <w:ind w:left="0"/>
        <w:jc w:val="both"/>
      </w:pPr>
      <w:r>
        <w:rPr>
          <w:rFonts w:ascii="Times New Roman"/>
          <w:b w:val="false"/>
          <w:i w:val="false"/>
          <w:color w:val="000000"/>
          <w:sz w:val="28"/>
        </w:rPr>
        <w:t>
      189) безопасное напряжение - напряжение, не представляющее опасности для персонала. Это условие считается выполненным, если обмотки трансформаторов, преобразователей и других устройств для понижения напряжения являются электрически раздельными и пониженное напряжение этих устройств или источников электрической энергии не превышает:</w:t>
      </w:r>
    </w:p>
    <w:bookmarkEnd w:id="229"/>
    <w:bookmarkStart w:name="z230" w:id="230"/>
    <w:p>
      <w:pPr>
        <w:spacing w:after="0"/>
        <w:ind w:left="0"/>
        <w:jc w:val="both"/>
      </w:pPr>
      <w:r>
        <w:rPr>
          <w:rFonts w:ascii="Times New Roman"/>
          <w:b w:val="false"/>
          <w:i w:val="false"/>
          <w:color w:val="000000"/>
          <w:sz w:val="28"/>
        </w:rPr>
        <w:t>
      50 Вольт (далее - В) между полюсами при постоянном токе;</w:t>
      </w:r>
    </w:p>
    <w:bookmarkEnd w:id="230"/>
    <w:bookmarkStart w:name="z231" w:id="231"/>
    <w:p>
      <w:pPr>
        <w:spacing w:after="0"/>
        <w:ind w:left="0"/>
        <w:jc w:val="both"/>
      </w:pPr>
      <w:r>
        <w:rPr>
          <w:rFonts w:ascii="Times New Roman"/>
          <w:b w:val="false"/>
          <w:i w:val="false"/>
          <w:color w:val="000000"/>
          <w:sz w:val="28"/>
        </w:rPr>
        <w:t>
      50 В между фазами или между фазами и корпусом судна при переменном токе;</w:t>
      </w:r>
    </w:p>
    <w:bookmarkEnd w:id="231"/>
    <w:bookmarkStart w:name="z232" w:id="232"/>
    <w:p>
      <w:pPr>
        <w:spacing w:after="0"/>
        <w:ind w:left="0"/>
        <w:jc w:val="both"/>
      </w:pPr>
      <w:r>
        <w:rPr>
          <w:rFonts w:ascii="Times New Roman"/>
          <w:b w:val="false"/>
          <w:i w:val="false"/>
          <w:color w:val="000000"/>
          <w:sz w:val="28"/>
        </w:rPr>
        <w:t>
      190) дистанционное управление - дистанционное изменение частоты вращения, направления вращения, а также дистанционный пуск и остановка механизмов;</w:t>
      </w:r>
    </w:p>
    <w:bookmarkEnd w:id="232"/>
    <w:bookmarkStart w:name="z233" w:id="233"/>
    <w:p>
      <w:pPr>
        <w:spacing w:after="0"/>
        <w:ind w:left="0"/>
        <w:jc w:val="both"/>
      </w:pPr>
      <w:r>
        <w:rPr>
          <w:rFonts w:ascii="Times New Roman"/>
          <w:b w:val="false"/>
          <w:i w:val="false"/>
          <w:color w:val="000000"/>
          <w:sz w:val="28"/>
        </w:rPr>
        <w:t>
      191) судно обеспечения - судно, предназначенное в основном для перевозки снабжения и грузов к морским плавучим и стационарным установкам различного назначения и имеющее, как правило, надстройку в носовой и открытую грузовую палубу в кормовой части для обработки груза в море. При выполнении соответствующих требований Регистра судоходства судно используется для буксировочных работ;</w:t>
      </w:r>
    </w:p>
    <w:bookmarkEnd w:id="233"/>
    <w:bookmarkStart w:name="z234" w:id="234"/>
    <w:p>
      <w:pPr>
        <w:spacing w:after="0"/>
        <w:ind w:left="0"/>
        <w:jc w:val="both"/>
      </w:pPr>
      <w:r>
        <w:rPr>
          <w:rFonts w:ascii="Times New Roman"/>
          <w:b w:val="false"/>
          <w:i w:val="false"/>
          <w:color w:val="000000"/>
          <w:sz w:val="28"/>
        </w:rPr>
        <w:t>
      192) сухогрузное судно - судно, предназначенное для перевозки различных грузов (генеральных, контейнеров, леса, грузов насыпью, автомобилей с грузом и без груза), кроме жидких грузов наливом;</w:t>
      </w:r>
    </w:p>
    <w:bookmarkEnd w:id="234"/>
    <w:bookmarkStart w:name="z235" w:id="235"/>
    <w:p>
      <w:pPr>
        <w:spacing w:after="0"/>
        <w:ind w:left="0"/>
        <w:jc w:val="both"/>
      </w:pPr>
      <w:r>
        <w:rPr>
          <w:rFonts w:ascii="Times New Roman"/>
          <w:b w:val="false"/>
          <w:i w:val="false"/>
          <w:color w:val="000000"/>
          <w:sz w:val="28"/>
        </w:rPr>
        <w:t>
      193) комбинированное судно - судно, предназначенное для перевозки наливом сырой нефти и нефтепродуктов, а также насыпных грузов (нефтерудовозы, нефтенавалочные и другие суда);</w:t>
      </w:r>
    </w:p>
    <w:bookmarkEnd w:id="235"/>
    <w:bookmarkStart w:name="z236" w:id="236"/>
    <w:p>
      <w:pPr>
        <w:spacing w:after="0"/>
        <w:ind w:left="0"/>
        <w:jc w:val="both"/>
      </w:pPr>
      <w:r>
        <w:rPr>
          <w:rFonts w:ascii="Times New Roman"/>
          <w:b w:val="false"/>
          <w:i w:val="false"/>
          <w:color w:val="000000"/>
          <w:sz w:val="28"/>
        </w:rPr>
        <w:t>
      194) наплавное судно - сухогрузное судно, приспособленное для производства погрузочно-разгрузочных работ с использованием принципа докования в портах и защищенных акваториях;</w:t>
      </w:r>
    </w:p>
    <w:bookmarkEnd w:id="236"/>
    <w:bookmarkStart w:name="z237" w:id="237"/>
    <w:p>
      <w:pPr>
        <w:spacing w:after="0"/>
        <w:ind w:left="0"/>
        <w:jc w:val="both"/>
      </w:pPr>
      <w:r>
        <w:rPr>
          <w:rFonts w:ascii="Times New Roman"/>
          <w:b w:val="false"/>
          <w:i w:val="false"/>
          <w:color w:val="000000"/>
          <w:sz w:val="28"/>
        </w:rPr>
        <w:t>
      195) наливное судно - судно, предназначенное для перевозки жидких грузов наливом, в том числе:</w:t>
      </w:r>
    </w:p>
    <w:bookmarkEnd w:id="237"/>
    <w:bookmarkStart w:name="z238" w:id="238"/>
    <w:p>
      <w:pPr>
        <w:spacing w:after="0"/>
        <w:ind w:left="0"/>
        <w:jc w:val="both"/>
      </w:pPr>
      <w:r>
        <w:rPr>
          <w:rFonts w:ascii="Times New Roman"/>
          <w:b w:val="false"/>
          <w:i w:val="false"/>
          <w:color w:val="000000"/>
          <w:sz w:val="28"/>
        </w:rPr>
        <w:t>
      наливное (специализированное) судно - судно, предназначенное для перевозки наливом жидких грузов, иных чем нефть и нефтепродукты;</w:t>
      </w:r>
    </w:p>
    <w:bookmarkEnd w:id="238"/>
    <w:bookmarkStart w:name="z239" w:id="239"/>
    <w:p>
      <w:pPr>
        <w:spacing w:after="0"/>
        <w:ind w:left="0"/>
        <w:jc w:val="both"/>
      </w:pPr>
      <w:r>
        <w:rPr>
          <w:rFonts w:ascii="Times New Roman"/>
          <w:b w:val="false"/>
          <w:i w:val="false"/>
          <w:color w:val="000000"/>
          <w:sz w:val="28"/>
        </w:rPr>
        <w:t>
      нефтеналивное судно - грузовое судно, построенное или приспособленное для перевозки и хранения нефти и нефтепродуктов;</w:t>
      </w:r>
    </w:p>
    <w:bookmarkEnd w:id="239"/>
    <w:bookmarkStart w:name="z240" w:id="240"/>
    <w:p>
      <w:pPr>
        <w:spacing w:after="0"/>
        <w:ind w:left="0"/>
        <w:jc w:val="both"/>
      </w:pPr>
      <w:r>
        <w:rPr>
          <w:rFonts w:ascii="Times New Roman"/>
          <w:b w:val="false"/>
          <w:i w:val="false"/>
          <w:color w:val="000000"/>
          <w:sz w:val="28"/>
        </w:rPr>
        <w:t>
      196) спасательное судно - самоходное судно, предназначенное для оказания помощи судам, терпящим бедствие в море;</w:t>
      </w:r>
    </w:p>
    <w:bookmarkEnd w:id="240"/>
    <w:bookmarkStart w:name="z241" w:id="241"/>
    <w:p>
      <w:pPr>
        <w:spacing w:after="0"/>
        <w:ind w:left="0"/>
        <w:jc w:val="both"/>
      </w:pPr>
      <w:r>
        <w:rPr>
          <w:rFonts w:ascii="Times New Roman"/>
          <w:b w:val="false"/>
          <w:i w:val="false"/>
          <w:color w:val="000000"/>
          <w:sz w:val="28"/>
        </w:rPr>
        <w:t>
      197) дополнительные требования - не предусмотренные настоящими Правилами требования, вызванные особенностями объекта или условиями его эксплуатации, предъявляемые Регистром судоходства в письменном виде с целью обеспечения безопасности объектов технического наблюдения;</w:t>
      </w:r>
    </w:p>
    <w:bookmarkEnd w:id="241"/>
    <w:bookmarkStart w:name="z242" w:id="242"/>
    <w:p>
      <w:pPr>
        <w:spacing w:after="0"/>
        <w:ind w:left="0"/>
        <w:jc w:val="both"/>
      </w:pPr>
      <w:r>
        <w:rPr>
          <w:rFonts w:ascii="Times New Roman"/>
          <w:b w:val="false"/>
          <w:i w:val="false"/>
          <w:color w:val="000000"/>
          <w:sz w:val="28"/>
        </w:rPr>
        <w:t>
      198) очень сплоченный лед - лед, сплоченность которого равна или более 9 баллов, но менее 10 баллов;</w:t>
      </w:r>
    </w:p>
    <w:bookmarkEnd w:id="242"/>
    <w:bookmarkStart w:name="z243" w:id="243"/>
    <w:p>
      <w:pPr>
        <w:spacing w:after="0"/>
        <w:ind w:left="0"/>
        <w:jc w:val="both"/>
      </w:pPr>
      <w:r>
        <w:rPr>
          <w:rFonts w:ascii="Times New Roman"/>
          <w:b w:val="false"/>
          <w:i w:val="false"/>
          <w:color w:val="000000"/>
          <w:sz w:val="28"/>
        </w:rPr>
        <w:t>
      199) надстройка - закрытое палубой сооружение на верхней палубе, простирающееся от борта до борта или отстоящее от любого из бортов судна на расстояние не более 4 % ширины судна.</w:t>
      </w:r>
    </w:p>
    <w:bookmarkEnd w:id="243"/>
    <w:bookmarkStart w:name="z244" w:id="244"/>
    <w:p>
      <w:pPr>
        <w:spacing w:after="0"/>
        <w:ind w:left="0"/>
        <w:jc w:val="both"/>
      </w:pPr>
      <w:r>
        <w:rPr>
          <w:rFonts w:ascii="Times New Roman"/>
          <w:b w:val="false"/>
          <w:i w:val="false"/>
          <w:color w:val="000000"/>
          <w:sz w:val="28"/>
        </w:rPr>
        <w:t>
      Надстройка бывает сплошной, простирающейся по всей длине судна L, и раздельной, простирающейся только на определенном участке этой длины. И сплошные, и раздельные надстройки располагаются одним или несколькими ярусами;</w:t>
      </w:r>
    </w:p>
    <w:bookmarkEnd w:id="244"/>
    <w:bookmarkStart w:name="z245" w:id="245"/>
    <w:p>
      <w:pPr>
        <w:spacing w:after="0"/>
        <w:ind w:left="0"/>
        <w:jc w:val="both"/>
      </w:pPr>
      <w:r>
        <w:rPr>
          <w:rFonts w:ascii="Times New Roman"/>
          <w:b w:val="false"/>
          <w:i w:val="false"/>
          <w:color w:val="000000"/>
          <w:sz w:val="28"/>
        </w:rPr>
        <w:t>
      200) короткая рубка - любая рубка, не являющаяся длинной. Рубки судов длиной менее 65 м считаются короткими;</w:t>
      </w:r>
    </w:p>
    <w:bookmarkEnd w:id="245"/>
    <w:bookmarkStart w:name="z246" w:id="246"/>
    <w:p>
      <w:pPr>
        <w:spacing w:after="0"/>
        <w:ind w:left="0"/>
        <w:jc w:val="both"/>
      </w:pPr>
      <w:r>
        <w:rPr>
          <w:rFonts w:ascii="Times New Roman"/>
          <w:b w:val="false"/>
          <w:i w:val="false"/>
          <w:color w:val="000000"/>
          <w:sz w:val="28"/>
        </w:rPr>
        <w:t>
      201) короткая средняя надстройка - любая средняя надстройка, не являющаяся длинной. Надстройки судов длиной менее 65 м считаются короткими;</w:t>
      </w:r>
    </w:p>
    <w:bookmarkEnd w:id="246"/>
    <w:bookmarkStart w:name="z247" w:id="247"/>
    <w:p>
      <w:pPr>
        <w:spacing w:after="0"/>
        <w:ind w:left="0"/>
        <w:jc w:val="both"/>
      </w:pPr>
      <w:r>
        <w:rPr>
          <w:rFonts w:ascii="Times New Roman"/>
          <w:b w:val="false"/>
          <w:i w:val="false"/>
          <w:color w:val="000000"/>
          <w:sz w:val="28"/>
        </w:rPr>
        <w:t>
      202) концевые участки надстроек и рубок - участки, измеренные от концевых переборок, длиной, м, не менее определяемой по формуле:</w:t>
      </w:r>
    </w:p>
    <w:bookmarkEnd w:id="247"/>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 1,5(</w:t>
      </w:r>
      <w:r>
        <w:rPr>
          <w:rFonts w:ascii="Times New Roman"/>
          <w:b w:val="false"/>
          <w:i/>
          <w:color w:val="000000"/>
          <w:sz w:val="28"/>
        </w:rPr>
        <w:t>В</w:t>
      </w:r>
      <w:r>
        <w:rPr>
          <w:rFonts w:ascii="Times New Roman"/>
          <w:b w:val="false"/>
          <w:i w:val="false"/>
          <w:color w:val="000000"/>
          <w:vertAlign w:val="subscript"/>
        </w:rPr>
        <w:t>2</w:t>
      </w:r>
      <w:r>
        <w:rPr>
          <w:rFonts w:ascii="Times New Roman"/>
          <w:b w:val="false"/>
          <w:i w:val="false"/>
          <w:color w:val="000000"/>
          <w:sz w:val="28"/>
        </w:rPr>
        <w:t>/2 + h). (163)</w:t>
      </w:r>
    </w:p>
    <w:bookmarkStart w:name="z248" w:id="248"/>
    <w:p>
      <w:pPr>
        <w:spacing w:after="0"/>
        <w:ind w:left="0"/>
        <w:jc w:val="both"/>
      </w:pPr>
      <w:r>
        <w:rPr>
          <w:rFonts w:ascii="Times New Roman"/>
          <w:b w:val="false"/>
          <w:i w:val="false"/>
          <w:color w:val="000000"/>
          <w:sz w:val="28"/>
        </w:rPr>
        <w:t>
      203) палуба надстройки - палуба, ограничивающая ярус надстройки сверху. При наличии нескольких ярусов надстройки палубы надстройки называются: палуба надстройки первого, второго яруса, считая от верхней палубы;</w:t>
      </w:r>
    </w:p>
    <w:bookmarkEnd w:id="248"/>
    <w:bookmarkStart w:name="z249" w:id="249"/>
    <w:p>
      <w:pPr>
        <w:spacing w:after="0"/>
        <w:ind w:left="0"/>
        <w:jc w:val="both"/>
      </w:pPr>
      <w:r>
        <w:rPr>
          <w:rFonts w:ascii="Times New Roman"/>
          <w:b w:val="false"/>
          <w:i w:val="false"/>
          <w:color w:val="000000"/>
          <w:sz w:val="28"/>
        </w:rPr>
        <w:t>
      204) остаточный балласт - балласт, неоткачиваемый балластной системой дока;</w:t>
      </w:r>
    </w:p>
    <w:bookmarkEnd w:id="249"/>
    <w:bookmarkStart w:name="z250" w:id="250"/>
    <w:p>
      <w:pPr>
        <w:spacing w:after="0"/>
        <w:ind w:left="0"/>
        <w:jc w:val="both"/>
      </w:pPr>
      <w:r>
        <w:rPr>
          <w:rFonts w:ascii="Times New Roman"/>
          <w:b w:val="false"/>
          <w:i w:val="false"/>
          <w:color w:val="000000"/>
          <w:sz w:val="28"/>
        </w:rPr>
        <w:t>
      205) палуба безопасности - водонепроницаемая палуба в башнях дока, ограничивающая сверху балластные отсеки;</w:t>
      </w:r>
    </w:p>
    <w:bookmarkEnd w:id="250"/>
    <w:bookmarkStart w:name="z251" w:id="251"/>
    <w:p>
      <w:pPr>
        <w:spacing w:after="0"/>
        <w:ind w:left="0"/>
        <w:jc w:val="both"/>
      </w:pPr>
      <w:r>
        <w:rPr>
          <w:rFonts w:ascii="Times New Roman"/>
          <w:b w:val="false"/>
          <w:i w:val="false"/>
          <w:color w:val="000000"/>
          <w:sz w:val="28"/>
        </w:rPr>
        <w:t>
      206) сухой отсек - отсек ниже палубы безопасности (или ниже предельной линии погружения при отсутствии палубы безопасности), не предназначенный для приема водяного балласта;</w:t>
      </w:r>
    </w:p>
    <w:bookmarkEnd w:id="251"/>
    <w:bookmarkStart w:name="z252" w:id="252"/>
    <w:p>
      <w:pPr>
        <w:spacing w:after="0"/>
        <w:ind w:left="0"/>
        <w:jc w:val="both"/>
      </w:pPr>
      <w:r>
        <w:rPr>
          <w:rFonts w:ascii="Times New Roman"/>
          <w:b w:val="false"/>
          <w:i w:val="false"/>
          <w:color w:val="000000"/>
          <w:sz w:val="28"/>
        </w:rPr>
        <w:t>
      207) палубы первого, второго ярусов надстроек и рубок - палубы надстроек и рубок первого, второго ярусов, считая от палубы надводного борта;</w:t>
      </w:r>
    </w:p>
    <w:bookmarkEnd w:id="252"/>
    <w:bookmarkStart w:name="z253" w:id="253"/>
    <w:p>
      <w:pPr>
        <w:spacing w:after="0"/>
        <w:ind w:left="0"/>
        <w:jc w:val="both"/>
      </w:pPr>
      <w:r>
        <w:rPr>
          <w:rFonts w:ascii="Times New Roman"/>
          <w:b w:val="false"/>
          <w:i w:val="false"/>
          <w:color w:val="000000"/>
          <w:sz w:val="28"/>
        </w:rPr>
        <w:t>
      208) палуба переборок - палуба, до которой доведены главные поперечные водонепроницаемые переборки деления судна на отсеки.</w:t>
      </w:r>
    </w:p>
    <w:bookmarkEnd w:id="253"/>
    <w:bookmarkStart w:name="z254" w:id="254"/>
    <w:p>
      <w:pPr>
        <w:spacing w:after="0"/>
        <w:ind w:left="0"/>
        <w:jc w:val="both"/>
      </w:pPr>
      <w:r>
        <w:rPr>
          <w:rFonts w:ascii="Times New Roman"/>
          <w:b w:val="false"/>
          <w:i w:val="false"/>
          <w:color w:val="000000"/>
          <w:sz w:val="28"/>
        </w:rPr>
        <w:t>
      Палуба переборок может иметь уступ или уступы, образуемые как главными поперечными водонепроницаемыми переборками, идущими до киля, так и поперечными водонепроницаемыми переборками, не доходящими до него;</w:t>
      </w:r>
    </w:p>
    <w:bookmarkEnd w:id="254"/>
    <w:bookmarkStart w:name="z255" w:id="255"/>
    <w:p>
      <w:pPr>
        <w:spacing w:after="0"/>
        <w:ind w:left="0"/>
        <w:jc w:val="both"/>
      </w:pPr>
      <w:r>
        <w:rPr>
          <w:rFonts w:ascii="Times New Roman"/>
          <w:b w:val="false"/>
          <w:i w:val="false"/>
          <w:color w:val="000000"/>
          <w:sz w:val="28"/>
        </w:rPr>
        <w:t>
      209) наплавное судно - сухогрузное судно, приспособленное для производства погрузочно-разгрузочных работ с использованием принципа докования в портах и защищенных акваториях;</w:t>
      </w:r>
    </w:p>
    <w:bookmarkEnd w:id="255"/>
    <w:bookmarkStart w:name="z256" w:id="256"/>
    <w:p>
      <w:pPr>
        <w:spacing w:after="0"/>
        <w:ind w:left="0"/>
        <w:jc w:val="both"/>
      </w:pPr>
      <w:r>
        <w:rPr>
          <w:rFonts w:ascii="Times New Roman"/>
          <w:b w:val="false"/>
          <w:i w:val="false"/>
          <w:color w:val="000000"/>
          <w:sz w:val="28"/>
        </w:rPr>
        <w:t>
      210) запасы - топливо, пресная вода, провизия, масло, расходный материал;</w:t>
      </w:r>
    </w:p>
    <w:bookmarkEnd w:id="256"/>
    <w:bookmarkStart w:name="z257" w:id="257"/>
    <w:p>
      <w:pPr>
        <w:spacing w:after="0"/>
        <w:ind w:left="0"/>
        <w:jc w:val="both"/>
      </w:pPr>
      <w:r>
        <w:rPr>
          <w:rFonts w:ascii="Times New Roman"/>
          <w:b w:val="false"/>
          <w:i w:val="false"/>
          <w:color w:val="000000"/>
          <w:sz w:val="28"/>
        </w:rPr>
        <w:t>
      211) колодец - открытое пространство на верхней палубе длиной не более 30 % длины судна, ограниченное надстройками и сплошным фальшбортом, снабженным портиками;</w:t>
      </w:r>
    </w:p>
    <w:bookmarkEnd w:id="257"/>
    <w:bookmarkStart w:name="z258" w:id="258"/>
    <w:p>
      <w:pPr>
        <w:spacing w:after="0"/>
        <w:ind w:left="0"/>
        <w:jc w:val="both"/>
      </w:pPr>
      <w:r>
        <w:rPr>
          <w:rFonts w:ascii="Times New Roman"/>
          <w:b w:val="false"/>
          <w:i w:val="false"/>
          <w:color w:val="000000"/>
          <w:sz w:val="28"/>
        </w:rPr>
        <w:t>
      212) расчетный объем защищаемого помещения - валовый (полный) объем помещения, ограниченного водо- или газонепроницаемыми переборками и палубами, за вычетом объема расположенных в нем основных двигателей, редукторов, вспомогательных механизмов, бойлеров, конденсаторов, испарителей, цистерн, вентиляционных и газовыхлопных трубопроводов;</w:t>
      </w:r>
    </w:p>
    <w:bookmarkEnd w:id="258"/>
    <w:bookmarkStart w:name="z259" w:id="259"/>
    <w:p>
      <w:pPr>
        <w:spacing w:after="0"/>
        <w:ind w:left="0"/>
        <w:jc w:val="both"/>
      </w:pPr>
      <w:r>
        <w:rPr>
          <w:rFonts w:ascii="Times New Roman"/>
          <w:b w:val="false"/>
          <w:i w:val="false"/>
          <w:color w:val="000000"/>
          <w:sz w:val="28"/>
        </w:rPr>
        <w:t>
      213) помещение защищаемое - помещение, оборудованное одной из систем пожаротушения или автоматической сигнализацией обнаружения пожара;</w:t>
      </w:r>
    </w:p>
    <w:bookmarkEnd w:id="259"/>
    <w:bookmarkStart w:name="z260" w:id="260"/>
    <w:p>
      <w:pPr>
        <w:spacing w:after="0"/>
        <w:ind w:left="0"/>
        <w:jc w:val="both"/>
      </w:pPr>
      <w:r>
        <w:rPr>
          <w:rFonts w:ascii="Times New Roman"/>
          <w:b w:val="false"/>
          <w:i w:val="false"/>
          <w:color w:val="000000"/>
          <w:sz w:val="28"/>
        </w:rPr>
        <w:t>
      214) вспомогательные механизмы - механизмы, обеспечивающие работу главных механизмов, снабжение судна электроэнергией и другими видами энергии, а также функционирование систем и устройств, подлежащих освидетельствованию Регистром судоходства.</w:t>
      </w:r>
    </w:p>
    <w:bookmarkEnd w:id="260"/>
    <w:bookmarkStart w:name="z261" w:id="261"/>
    <w:p>
      <w:pPr>
        <w:spacing w:after="0"/>
        <w:ind w:left="0"/>
        <w:jc w:val="both"/>
      </w:pPr>
      <w:r>
        <w:rPr>
          <w:rFonts w:ascii="Times New Roman"/>
          <w:b w:val="false"/>
          <w:i w:val="false"/>
          <w:color w:val="000000"/>
          <w:sz w:val="28"/>
        </w:rPr>
        <w:t>
      К вспомогательным механизмам ответственного назначения относятся:</w:t>
      </w:r>
    </w:p>
    <w:bookmarkEnd w:id="261"/>
    <w:bookmarkStart w:name="z262" w:id="262"/>
    <w:p>
      <w:pPr>
        <w:spacing w:after="0"/>
        <w:ind w:left="0"/>
        <w:jc w:val="both"/>
      </w:pPr>
      <w:r>
        <w:rPr>
          <w:rFonts w:ascii="Times New Roman"/>
          <w:b w:val="false"/>
          <w:i w:val="false"/>
          <w:color w:val="000000"/>
          <w:sz w:val="28"/>
        </w:rPr>
        <w:t>
      генераторный агрегат, служащий основным источником электроэнергии;</w:t>
      </w:r>
    </w:p>
    <w:bookmarkEnd w:id="262"/>
    <w:bookmarkStart w:name="z263" w:id="263"/>
    <w:p>
      <w:pPr>
        <w:spacing w:after="0"/>
        <w:ind w:left="0"/>
        <w:jc w:val="both"/>
      </w:pPr>
      <w:r>
        <w:rPr>
          <w:rFonts w:ascii="Times New Roman"/>
          <w:b w:val="false"/>
          <w:i w:val="false"/>
          <w:color w:val="000000"/>
          <w:sz w:val="28"/>
        </w:rPr>
        <w:t>
      источник снабжения паром;</w:t>
      </w:r>
    </w:p>
    <w:bookmarkEnd w:id="263"/>
    <w:bookmarkStart w:name="z264" w:id="264"/>
    <w:p>
      <w:pPr>
        <w:spacing w:after="0"/>
        <w:ind w:left="0"/>
        <w:jc w:val="both"/>
      </w:pPr>
      <w:r>
        <w:rPr>
          <w:rFonts w:ascii="Times New Roman"/>
          <w:b w:val="false"/>
          <w:i w:val="false"/>
          <w:color w:val="000000"/>
          <w:sz w:val="28"/>
        </w:rPr>
        <w:t>
      конденсатный насос и устройства, служащие для поддержания вакуума в конденсаторах;</w:t>
      </w:r>
    </w:p>
    <w:bookmarkEnd w:id="264"/>
    <w:bookmarkStart w:name="z265" w:id="265"/>
    <w:p>
      <w:pPr>
        <w:spacing w:after="0"/>
        <w:ind w:left="0"/>
        <w:jc w:val="both"/>
      </w:pPr>
      <w:r>
        <w:rPr>
          <w:rFonts w:ascii="Times New Roman"/>
          <w:b w:val="false"/>
          <w:i w:val="false"/>
          <w:color w:val="000000"/>
          <w:sz w:val="28"/>
        </w:rPr>
        <w:t>
      устройства механической подачи воздуха к котлам;</w:t>
      </w:r>
    </w:p>
    <w:bookmarkEnd w:id="265"/>
    <w:bookmarkStart w:name="z266" w:id="266"/>
    <w:p>
      <w:pPr>
        <w:spacing w:after="0"/>
        <w:ind w:left="0"/>
        <w:jc w:val="both"/>
      </w:pPr>
      <w:r>
        <w:rPr>
          <w:rFonts w:ascii="Times New Roman"/>
          <w:b w:val="false"/>
          <w:i w:val="false"/>
          <w:color w:val="000000"/>
          <w:sz w:val="28"/>
        </w:rPr>
        <w:t>
      воздушный компрессор с воздушным баллоном, предназначенные для пуска или управления,</w:t>
      </w:r>
    </w:p>
    <w:bookmarkEnd w:id="266"/>
    <w:bookmarkStart w:name="z267" w:id="267"/>
    <w:p>
      <w:pPr>
        <w:spacing w:after="0"/>
        <w:ind w:left="0"/>
        <w:jc w:val="both"/>
      </w:pPr>
      <w:r>
        <w:rPr>
          <w:rFonts w:ascii="Times New Roman"/>
          <w:b w:val="false"/>
          <w:i w:val="false"/>
          <w:color w:val="000000"/>
          <w:sz w:val="28"/>
        </w:rPr>
        <w:t>
      а также механизмы, обеспечивающие работу или функционирование:</w:t>
      </w:r>
    </w:p>
    <w:bookmarkEnd w:id="267"/>
    <w:bookmarkStart w:name="z268" w:id="268"/>
    <w:p>
      <w:pPr>
        <w:spacing w:after="0"/>
        <w:ind w:left="0"/>
        <w:jc w:val="both"/>
      </w:pPr>
      <w:r>
        <w:rPr>
          <w:rFonts w:ascii="Times New Roman"/>
          <w:b w:val="false"/>
          <w:i w:val="false"/>
          <w:color w:val="000000"/>
          <w:sz w:val="28"/>
        </w:rPr>
        <w:t>
      систем питательной воды котлов;</w:t>
      </w:r>
    </w:p>
    <w:bookmarkEnd w:id="268"/>
    <w:bookmarkStart w:name="z269" w:id="269"/>
    <w:p>
      <w:pPr>
        <w:spacing w:after="0"/>
        <w:ind w:left="0"/>
        <w:jc w:val="both"/>
      </w:pPr>
      <w:r>
        <w:rPr>
          <w:rFonts w:ascii="Times New Roman"/>
          <w:b w:val="false"/>
          <w:i w:val="false"/>
          <w:color w:val="000000"/>
          <w:sz w:val="28"/>
        </w:rPr>
        <w:t>
      топливных систем котлов или двигателей;</w:t>
      </w:r>
    </w:p>
    <w:bookmarkEnd w:id="269"/>
    <w:bookmarkStart w:name="z270" w:id="270"/>
    <w:p>
      <w:pPr>
        <w:spacing w:after="0"/>
        <w:ind w:left="0"/>
        <w:jc w:val="both"/>
      </w:pPr>
      <w:r>
        <w:rPr>
          <w:rFonts w:ascii="Times New Roman"/>
          <w:b w:val="false"/>
          <w:i w:val="false"/>
          <w:color w:val="000000"/>
          <w:sz w:val="28"/>
        </w:rPr>
        <w:t>
      устройств подачи воды под давлением;</w:t>
      </w:r>
    </w:p>
    <w:bookmarkEnd w:id="270"/>
    <w:bookmarkStart w:name="z271" w:id="271"/>
    <w:p>
      <w:pPr>
        <w:spacing w:after="0"/>
        <w:ind w:left="0"/>
        <w:jc w:val="both"/>
      </w:pPr>
      <w:r>
        <w:rPr>
          <w:rFonts w:ascii="Times New Roman"/>
          <w:b w:val="false"/>
          <w:i w:val="false"/>
          <w:color w:val="000000"/>
          <w:sz w:val="28"/>
        </w:rPr>
        <w:t>
      гидравлических, пневматических или электрических систем управления главными механизмами, включая гребные винты регулируемого шага;</w:t>
      </w:r>
    </w:p>
    <w:bookmarkEnd w:id="271"/>
    <w:bookmarkStart w:name="z272" w:id="272"/>
    <w:p>
      <w:pPr>
        <w:spacing w:after="0"/>
        <w:ind w:left="0"/>
        <w:jc w:val="both"/>
      </w:pPr>
      <w:r>
        <w:rPr>
          <w:rFonts w:ascii="Times New Roman"/>
          <w:b w:val="false"/>
          <w:i w:val="false"/>
          <w:color w:val="000000"/>
          <w:sz w:val="28"/>
        </w:rPr>
        <w:t>
      215) стенки котлов, теплообменных аппаратов и сосудов под давлением - стенки паровых и водяных (газовых и жидкостных) пространств, а также стенки соединительных патрубков до запорных устройств и стенки корпусов запорных устройств;</w:t>
      </w:r>
    </w:p>
    <w:bookmarkEnd w:id="272"/>
    <w:bookmarkStart w:name="z273" w:id="273"/>
    <w:p>
      <w:pPr>
        <w:spacing w:after="0"/>
        <w:ind w:left="0"/>
        <w:jc w:val="both"/>
      </w:pPr>
      <w:r>
        <w:rPr>
          <w:rFonts w:ascii="Times New Roman"/>
          <w:b w:val="false"/>
          <w:i w:val="false"/>
          <w:color w:val="000000"/>
          <w:sz w:val="28"/>
        </w:rPr>
        <w:t>
      216) ледокол - самоходное судно, предназначенное для выполнения различных видов ледокольных операций с целью поддержания навигации в замерзающих бассейнах;</w:t>
      </w:r>
    </w:p>
    <w:bookmarkEnd w:id="273"/>
    <w:bookmarkStart w:name="z274" w:id="274"/>
    <w:p>
      <w:pPr>
        <w:spacing w:after="0"/>
        <w:ind w:left="0"/>
        <w:jc w:val="both"/>
      </w:pPr>
      <w:r>
        <w:rPr>
          <w:rFonts w:ascii="Times New Roman"/>
          <w:b w:val="false"/>
          <w:i w:val="false"/>
          <w:color w:val="000000"/>
          <w:sz w:val="28"/>
        </w:rPr>
        <w:t xml:space="preserve">
      217) нефтесборное судно - судно, предназначенное для сбора с поверхности моря сырой нефти и нефтепродуктов с температурой вспышки 60 </w:t>
      </w:r>
      <w:r>
        <w:rPr>
          <w:rFonts w:ascii="Times New Roman"/>
          <w:b w:val="false"/>
          <w:i w:val="false"/>
          <w:color w:val="000000"/>
          <w:vertAlign w:val="superscript"/>
        </w:rPr>
        <w:t>о</w:t>
      </w:r>
      <w:r>
        <w:rPr>
          <w:rFonts w:ascii="Times New Roman"/>
          <w:b w:val="false"/>
          <w:i w:val="false"/>
          <w:color w:val="000000"/>
          <w:sz w:val="28"/>
        </w:rPr>
        <w:t>С и ниже;</w:t>
      </w:r>
    </w:p>
    <w:bookmarkEnd w:id="274"/>
    <w:bookmarkStart w:name="z275" w:id="275"/>
    <w:p>
      <w:pPr>
        <w:spacing w:after="0"/>
        <w:ind w:left="0"/>
        <w:jc w:val="both"/>
      </w:pPr>
      <w:r>
        <w:rPr>
          <w:rFonts w:ascii="Times New Roman"/>
          <w:b w:val="false"/>
          <w:i w:val="false"/>
          <w:color w:val="000000"/>
          <w:sz w:val="28"/>
        </w:rPr>
        <w:t xml:space="preserve">
      218) нефтесборное судно (&gt;60 </w:t>
      </w:r>
      <w:r>
        <w:rPr>
          <w:rFonts w:ascii="Times New Roman"/>
          <w:b w:val="false"/>
          <w:i w:val="false"/>
          <w:color w:val="000000"/>
          <w:vertAlign w:val="superscript"/>
        </w:rPr>
        <w:t>о</w:t>
      </w:r>
      <w:r>
        <w:rPr>
          <w:rFonts w:ascii="Times New Roman"/>
          <w:b w:val="false"/>
          <w:i w:val="false"/>
          <w:color w:val="000000"/>
          <w:sz w:val="28"/>
        </w:rPr>
        <w:t xml:space="preserve">С) - судно, предназначенное для сбора с поверхности моря нефтепродуктов с температурой вспышки более 60 </w:t>
      </w:r>
      <w:r>
        <w:rPr>
          <w:rFonts w:ascii="Times New Roman"/>
          <w:b w:val="false"/>
          <w:i w:val="false"/>
          <w:color w:val="000000"/>
          <w:vertAlign w:val="superscript"/>
        </w:rPr>
        <w:t>о</w:t>
      </w:r>
      <w:r>
        <w:rPr>
          <w:rFonts w:ascii="Times New Roman"/>
          <w:b w:val="false"/>
          <w:i w:val="false"/>
          <w:color w:val="000000"/>
          <w:sz w:val="28"/>
        </w:rPr>
        <w:t>С;</w:t>
      </w:r>
    </w:p>
    <w:bookmarkEnd w:id="275"/>
    <w:bookmarkStart w:name="z276" w:id="276"/>
    <w:p>
      <w:pPr>
        <w:spacing w:after="0"/>
        <w:ind w:left="0"/>
        <w:jc w:val="both"/>
      </w:pPr>
      <w:r>
        <w:rPr>
          <w:rFonts w:ascii="Times New Roman"/>
          <w:b w:val="false"/>
          <w:i w:val="false"/>
          <w:color w:val="000000"/>
          <w:sz w:val="28"/>
        </w:rPr>
        <w:t>
      сборщик льяльных вод - судно, предназначенное для сбора льяльных вод из машинных помещений судов;</w:t>
      </w:r>
    </w:p>
    <w:bookmarkEnd w:id="276"/>
    <w:bookmarkStart w:name="z277" w:id="277"/>
    <w:p>
      <w:pPr>
        <w:spacing w:after="0"/>
        <w:ind w:left="0"/>
        <w:jc w:val="both"/>
      </w:pPr>
      <w:r>
        <w:rPr>
          <w:rFonts w:ascii="Times New Roman"/>
          <w:b w:val="false"/>
          <w:i w:val="false"/>
          <w:color w:val="000000"/>
          <w:sz w:val="28"/>
        </w:rPr>
        <w:t>
      219) ледоколы - специализированные суда, предназначенные для выполнения различных видов ледокольных операций: проводки судов во льдах, преодоления ледовых перемычек, прокладки канала, буксировки, околки, выполнения спасательных работ. При выполнении ледокольных операций используются два основных режима ледового плавания: непрерывный ход или работа набегами;</w:t>
      </w:r>
    </w:p>
    <w:bookmarkEnd w:id="277"/>
    <w:bookmarkStart w:name="z278" w:id="278"/>
    <w:p>
      <w:pPr>
        <w:spacing w:after="0"/>
        <w:ind w:left="0"/>
        <w:jc w:val="both"/>
      </w:pPr>
      <w:r>
        <w:rPr>
          <w:rFonts w:ascii="Times New Roman"/>
          <w:b w:val="false"/>
          <w:i w:val="false"/>
          <w:color w:val="000000"/>
          <w:sz w:val="28"/>
        </w:rPr>
        <w:t>
      220) суда ледового плавания - суда, предназначенные для самостоятельного плавания во льдах, включающего движение в разводьях между льдинами, преодоление стыков ледяных полей и участков относительно тонких сплошных льдов, или плавания во льдах под проводкой ледокола;</w:t>
      </w:r>
    </w:p>
    <w:bookmarkEnd w:id="278"/>
    <w:bookmarkStart w:name="z279" w:id="279"/>
    <w:p>
      <w:pPr>
        <w:spacing w:after="0"/>
        <w:ind w:left="0"/>
        <w:jc w:val="both"/>
      </w:pPr>
      <w:r>
        <w:rPr>
          <w:rFonts w:ascii="Times New Roman"/>
          <w:b w:val="false"/>
          <w:i w:val="false"/>
          <w:color w:val="000000"/>
          <w:sz w:val="28"/>
        </w:rPr>
        <w:t xml:space="preserve">
      221) мидель - поперечное сечение корпуса, проходящее через середину длины </w:t>
      </w:r>
      <w:r>
        <w:rPr>
          <w:rFonts w:ascii="Times New Roman"/>
          <w:b w:val="false"/>
          <w:i/>
          <w:color w:val="000000"/>
          <w:sz w:val="28"/>
        </w:rPr>
        <w:t>L</w:t>
      </w:r>
      <w:r>
        <w:rPr>
          <w:rFonts w:ascii="Times New Roman"/>
          <w:b w:val="false"/>
          <w:i w:val="false"/>
          <w:color w:val="000000"/>
          <w:sz w:val="28"/>
        </w:rPr>
        <w:t>;</w:t>
      </w:r>
    </w:p>
    <w:bookmarkEnd w:id="279"/>
    <w:bookmarkStart w:name="z280" w:id="280"/>
    <w:p>
      <w:pPr>
        <w:spacing w:after="0"/>
        <w:ind w:left="0"/>
        <w:jc w:val="both"/>
      </w:pPr>
      <w:r>
        <w:rPr>
          <w:rFonts w:ascii="Times New Roman"/>
          <w:b w:val="false"/>
          <w:i w:val="false"/>
          <w:color w:val="000000"/>
          <w:sz w:val="28"/>
        </w:rPr>
        <w:t>
      222) машинное отделение - машинное помещение, в котором находятся главные механизмы, а на судах с гребными электрическими установками - главные генераторы;</w:t>
      </w:r>
    </w:p>
    <w:bookmarkEnd w:id="280"/>
    <w:bookmarkStart w:name="z281" w:id="281"/>
    <w:p>
      <w:pPr>
        <w:spacing w:after="0"/>
        <w:ind w:left="0"/>
        <w:jc w:val="both"/>
      </w:pPr>
      <w:r>
        <w:rPr>
          <w:rFonts w:ascii="Times New Roman"/>
          <w:b w:val="false"/>
          <w:i w:val="false"/>
          <w:color w:val="000000"/>
          <w:sz w:val="28"/>
        </w:rPr>
        <w:t>
      223) машинные помещения - все машинные помещения категории А и все другие помещения, содержащие главные механизмы, валопроводы, котлы, установки жидкого топлива, паровые машины, двигатели внутреннего сгорания, электрогенераторы и другие основные электрические механизмы, станции приема топлива, установки вентиляции и кондиционирования воздуха, холодильные установки, рулевые машины, оборудование успокоителей качки и другие подобные помещения, а также шахты этих помещений;</w:t>
      </w:r>
    </w:p>
    <w:bookmarkEnd w:id="281"/>
    <w:bookmarkStart w:name="z282" w:id="282"/>
    <w:p>
      <w:pPr>
        <w:spacing w:after="0"/>
        <w:ind w:left="0"/>
        <w:jc w:val="both"/>
      </w:pPr>
      <w:r>
        <w:rPr>
          <w:rFonts w:ascii="Times New Roman"/>
          <w:b w:val="false"/>
          <w:i w:val="false"/>
          <w:color w:val="000000"/>
          <w:sz w:val="28"/>
        </w:rPr>
        <w:t>
      224) металл шва - металл, получающийся в результате сплавления при сварке основного и сварочного металлов или только основного металла;</w:t>
      </w:r>
    </w:p>
    <w:bookmarkEnd w:id="282"/>
    <w:bookmarkStart w:name="z283" w:id="283"/>
    <w:p>
      <w:pPr>
        <w:spacing w:after="0"/>
        <w:ind w:left="0"/>
        <w:jc w:val="both"/>
      </w:pPr>
      <w:r>
        <w:rPr>
          <w:rFonts w:ascii="Times New Roman"/>
          <w:b w:val="false"/>
          <w:i w:val="false"/>
          <w:color w:val="000000"/>
          <w:sz w:val="28"/>
        </w:rPr>
        <w:t>
      225) основные шпангоуты - вертикальные связи бортового набора, установленные в плоскости флоров или скуловых бракет на расстояние одной шпации друг от друга;</w:t>
      </w:r>
    </w:p>
    <w:bookmarkEnd w:id="283"/>
    <w:bookmarkStart w:name="z284" w:id="284"/>
    <w:p>
      <w:pPr>
        <w:spacing w:after="0"/>
        <w:ind w:left="0"/>
        <w:jc w:val="both"/>
      </w:pPr>
      <w:r>
        <w:rPr>
          <w:rFonts w:ascii="Times New Roman"/>
          <w:b w:val="false"/>
          <w:i w:val="false"/>
          <w:color w:val="000000"/>
          <w:sz w:val="28"/>
        </w:rPr>
        <w:t>
      226) наименьшая эксплуатационная осадка do - осадка, соответствующая наименьшей возможной в эксплуатации загрузке судна с учетом жидких грузов, включая балласт, необходимый для обеспечения надлежащей посадки и/или остойчивости судна;</w:t>
      </w:r>
    </w:p>
    <w:bookmarkEnd w:id="284"/>
    <w:bookmarkStart w:name="z285" w:id="285"/>
    <w:p>
      <w:pPr>
        <w:spacing w:after="0"/>
        <w:ind w:left="0"/>
        <w:jc w:val="both"/>
      </w:pPr>
      <w:r>
        <w:rPr>
          <w:rFonts w:ascii="Times New Roman"/>
          <w:b w:val="false"/>
          <w:i w:val="false"/>
          <w:color w:val="000000"/>
          <w:sz w:val="28"/>
        </w:rPr>
        <w:t>
      227) главные механизмы - механизмы в составе пропульсивной установки;</w:t>
      </w:r>
    </w:p>
    <w:bookmarkEnd w:id="285"/>
    <w:bookmarkStart w:name="z286" w:id="286"/>
    <w:p>
      <w:pPr>
        <w:spacing w:after="0"/>
        <w:ind w:left="0"/>
        <w:jc w:val="both"/>
      </w:pPr>
      <w:r>
        <w:rPr>
          <w:rFonts w:ascii="Times New Roman"/>
          <w:b w:val="false"/>
          <w:i w:val="false"/>
          <w:color w:val="000000"/>
          <w:sz w:val="28"/>
        </w:rPr>
        <w:t>
      228) зона защиты молниезащитного устройства - область, внутри которой пространство судна защищено от прямых ударов молнии;</w:t>
      </w:r>
    </w:p>
    <w:bookmarkEnd w:id="286"/>
    <w:bookmarkStart w:name="z287" w:id="287"/>
    <w:p>
      <w:pPr>
        <w:spacing w:after="0"/>
        <w:ind w:left="0"/>
        <w:jc w:val="both"/>
      </w:pPr>
      <w:r>
        <w:rPr>
          <w:rFonts w:ascii="Times New Roman"/>
          <w:b w:val="false"/>
          <w:i w:val="false"/>
          <w:color w:val="000000"/>
          <w:sz w:val="28"/>
        </w:rPr>
        <w:t>
      229) молниеуловитель - верхняя часть молниеотводного устройства, предназначенная для непосредственного восприятия атмосферных разрядов;</w:t>
      </w:r>
    </w:p>
    <w:bookmarkEnd w:id="287"/>
    <w:bookmarkStart w:name="z288" w:id="288"/>
    <w:p>
      <w:pPr>
        <w:spacing w:after="0"/>
        <w:ind w:left="0"/>
        <w:jc w:val="both"/>
      </w:pPr>
      <w:r>
        <w:rPr>
          <w:rFonts w:ascii="Times New Roman"/>
          <w:b w:val="false"/>
          <w:i w:val="false"/>
          <w:color w:val="000000"/>
          <w:sz w:val="28"/>
        </w:rPr>
        <w:t>
      230) основная электростанция - помещение, в котором расположен основной источник электрической энергии;</w:t>
      </w:r>
    </w:p>
    <w:bookmarkEnd w:id="288"/>
    <w:bookmarkStart w:name="z289" w:id="289"/>
    <w:p>
      <w:pPr>
        <w:spacing w:after="0"/>
        <w:ind w:left="0"/>
        <w:jc w:val="both"/>
      </w:pPr>
      <w:r>
        <w:rPr>
          <w:rFonts w:ascii="Times New Roman"/>
          <w:b w:val="false"/>
          <w:i w:val="false"/>
          <w:color w:val="000000"/>
          <w:sz w:val="28"/>
        </w:rPr>
        <w:t>
      231) основной металл - металл изделий, подвергающихся сварке;</w:t>
      </w:r>
    </w:p>
    <w:bookmarkEnd w:id="289"/>
    <w:bookmarkStart w:name="z290" w:id="290"/>
    <w:p>
      <w:pPr>
        <w:spacing w:after="0"/>
        <w:ind w:left="0"/>
        <w:jc w:val="both"/>
      </w:pPr>
      <w:r>
        <w:rPr>
          <w:rFonts w:ascii="Times New Roman"/>
          <w:b w:val="false"/>
          <w:i w:val="false"/>
          <w:color w:val="000000"/>
          <w:sz w:val="28"/>
        </w:rPr>
        <w:t>
      232) опционные суда - суда, включенные в контракт с условием дополнительного подтверждения их постройки (заказа) будущим судовладельцем;</w:t>
      </w:r>
    </w:p>
    <w:bookmarkEnd w:id="290"/>
    <w:bookmarkStart w:name="z291" w:id="291"/>
    <w:p>
      <w:pPr>
        <w:spacing w:after="0"/>
        <w:ind w:left="0"/>
        <w:jc w:val="both"/>
      </w:pPr>
      <w:r>
        <w:rPr>
          <w:rFonts w:ascii="Times New Roman"/>
          <w:b w:val="false"/>
          <w:i w:val="false"/>
          <w:color w:val="000000"/>
          <w:sz w:val="28"/>
        </w:rPr>
        <w:t>
      233) средняя часть - участок длины судна, равный 0,4</w:t>
      </w:r>
      <w:r>
        <w:rPr>
          <w:rFonts w:ascii="Times New Roman"/>
          <w:b w:val="false"/>
          <w:i/>
          <w:color w:val="000000"/>
          <w:sz w:val="28"/>
        </w:rPr>
        <w:t>L</w:t>
      </w:r>
      <w:r>
        <w:rPr>
          <w:rFonts w:ascii="Times New Roman"/>
          <w:b w:val="false"/>
          <w:i w:val="false"/>
          <w:color w:val="000000"/>
          <w:sz w:val="28"/>
        </w:rPr>
        <w:t xml:space="preserve"> (пo 0,2</w:t>
      </w:r>
      <w:r>
        <w:rPr>
          <w:rFonts w:ascii="Times New Roman"/>
          <w:b w:val="false"/>
          <w:i/>
          <w:color w:val="000000"/>
          <w:sz w:val="28"/>
        </w:rPr>
        <w:t>L</w:t>
      </w:r>
      <w:r>
        <w:rPr>
          <w:rFonts w:ascii="Times New Roman"/>
          <w:b w:val="false"/>
          <w:i w:val="false"/>
          <w:color w:val="000000"/>
          <w:sz w:val="28"/>
        </w:rPr>
        <w:t xml:space="preserve"> в нос и корму от миделя), если нет особых указаний;</w:t>
      </w:r>
    </w:p>
    <w:bookmarkEnd w:id="291"/>
    <w:bookmarkStart w:name="z292" w:id="292"/>
    <w:p>
      <w:pPr>
        <w:spacing w:after="0"/>
        <w:ind w:left="0"/>
        <w:jc w:val="both"/>
      </w:pPr>
      <w:r>
        <w:rPr>
          <w:rFonts w:ascii="Times New Roman"/>
          <w:b w:val="false"/>
          <w:i w:val="false"/>
          <w:color w:val="000000"/>
          <w:sz w:val="28"/>
        </w:rPr>
        <w:t>
      234) центральный пост управления (далее - ЦПУ) - пост управления, в котором сосредоточены средства управления и индикации:</w:t>
      </w:r>
    </w:p>
    <w:bookmarkEnd w:id="292"/>
    <w:bookmarkStart w:name="z293" w:id="293"/>
    <w:p>
      <w:pPr>
        <w:spacing w:after="0"/>
        <w:ind w:left="0"/>
        <w:jc w:val="both"/>
      </w:pPr>
      <w:r>
        <w:rPr>
          <w:rFonts w:ascii="Times New Roman"/>
          <w:b w:val="false"/>
          <w:i w:val="false"/>
          <w:color w:val="000000"/>
          <w:sz w:val="28"/>
        </w:rPr>
        <w:t>
      стационарной системы сигнализации обнаружения пожара;</w:t>
      </w:r>
    </w:p>
    <w:bookmarkEnd w:id="293"/>
    <w:bookmarkStart w:name="z294" w:id="294"/>
    <w:p>
      <w:pPr>
        <w:spacing w:after="0"/>
        <w:ind w:left="0"/>
        <w:jc w:val="both"/>
      </w:pPr>
      <w:r>
        <w:rPr>
          <w:rFonts w:ascii="Times New Roman"/>
          <w:b w:val="false"/>
          <w:i w:val="false"/>
          <w:color w:val="000000"/>
          <w:sz w:val="28"/>
        </w:rPr>
        <w:t>
      автоматической спринклерной системы пожаротушения и сигнализации обнаружения пожара, а также дистанционные пусковые устройства других противопожарных систем;</w:t>
      </w:r>
    </w:p>
    <w:bookmarkEnd w:id="294"/>
    <w:bookmarkStart w:name="z295" w:id="295"/>
    <w:p>
      <w:pPr>
        <w:spacing w:after="0"/>
        <w:ind w:left="0"/>
        <w:jc w:val="both"/>
      </w:pPr>
      <w:r>
        <w:rPr>
          <w:rFonts w:ascii="Times New Roman"/>
          <w:b w:val="false"/>
          <w:i w:val="false"/>
          <w:color w:val="000000"/>
          <w:sz w:val="28"/>
        </w:rPr>
        <w:t>
      панели индикации противопожарных дверей;</w:t>
      </w:r>
    </w:p>
    <w:bookmarkEnd w:id="295"/>
    <w:bookmarkStart w:name="z296" w:id="296"/>
    <w:p>
      <w:pPr>
        <w:spacing w:after="0"/>
        <w:ind w:left="0"/>
        <w:jc w:val="both"/>
      </w:pPr>
      <w:r>
        <w:rPr>
          <w:rFonts w:ascii="Times New Roman"/>
          <w:b w:val="false"/>
          <w:i w:val="false"/>
          <w:color w:val="000000"/>
          <w:sz w:val="28"/>
        </w:rPr>
        <w:t>
      закрытия противопожарных дверей;</w:t>
      </w:r>
    </w:p>
    <w:bookmarkEnd w:id="296"/>
    <w:bookmarkStart w:name="z297" w:id="297"/>
    <w:p>
      <w:pPr>
        <w:spacing w:after="0"/>
        <w:ind w:left="0"/>
        <w:jc w:val="both"/>
      </w:pPr>
      <w:r>
        <w:rPr>
          <w:rFonts w:ascii="Times New Roman"/>
          <w:b w:val="false"/>
          <w:i w:val="false"/>
          <w:color w:val="000000"/>
          <w:sz w:val="28"/>
        </w:rPr>
        <w:t>
      панели индикации водонепроницаемых дверей;</w:t>
      </w:r>
    </w:p>
    <w:bookmarkEnd w:id="297"/>
    <w:bookmarkStart w:name="z298" w:id="298"/>
    <w:p>
      <w:pPr>
        <w:spacing w:after="0"/>
        <w:ind w:left="0"/>
        <w:jc w:val="both"/>
      </w:pPr>
      <w:r>
        <w:rPr>
          <w:rFonts w:ascii="Times New Roman"/>
          <w:b w:val="false"/>
          <w:i w:val="false"/>
          <w:color w:val="000000"/>
          <w:sz w:val="28"/>
        </w:rPr>
        <w:t>
      закрытия водонепроницаемых дверей;</w:t>
      </w:r>
    </w:p>
    <w:bookmarkEnd w:id="298"/>
    <w:bookmarkStart w:name="z299" w:id="299"/>
    <w:p>
      <w:pPr>
        <w:spacing w:after="0"/>
        <w:ind w:left="0"/>
        <w:jc w:val="both"/>
      </w:pPr>
      <w:r>
        <w:rPr>
          <w:rFonts w:ascii="Times New Roman"/>
          <w:b w:val="false"/>
          <w:i w:val="false"/>
          <w:color w:val="000000"/>
          <w:sz w:val="28"/>
        </w:rPr>
        <w:t>
      вентиляторов;</w:t>
      </w:r>
    </w:p>
    <w:bookmarkEnd w:id="299"/>
    <w:bookmarkStart w:name="z300" w:id="300"/>
    <w:p>
      <w:pPr>
        <w:spacing w:after="0"/>
        <w:ind w:left="0"/>
        <w:jc w:val="both"/>
      </w:pPr>
      <w:r>
        <w:rPr>
          <w:rFonts w:ascii="Times New Roman"/>
          <w:b w:val="false"/>
          <w:i w:val="false"/>
          <w:color w:val="000000"/>
          <w:sz w:val="28"/>
        </w:rPr>
        <w:t>
      сигнализации общей/пожарной тревоги;</w:t>
      </w:r>
    </w:p>
    <w:bookmarkEnd w:id="300"/>
    <w:bookmarkStart w:name="z301" w:id="301"/>
    <w:p>
      <w:pPr>
        <w:spacing w:after="0"/>
        <w:ind w:left="0"/>
        <w:jc w:val="both"/>
      </w:pPr>
      <w:r>
        <w:rPr>
          <w:rFonts w:ascii="Times New Roman"/>
          <w:b w:val="false"/>
          <w:i w:val="false"/>
          <w:color w:val="000000"/>
          <w:sz w:val="28"/>
        </w:rPr>
        <w:t>
      системы внутрисудовой связи, включая телефоны;</w:t>
      </w:r>
    </w:p>
    <w:bookmarkEnd w:id="301"/>
    <w:bookmarkStart w:name="z302" w:id="302"/>
    <w:p>
      <w:pPr>
        <w:spacing w:after="0"/>
        <w:ind w:left="0"/>
        <w:jc w:val="both"/>
      </w:pPr>
      <w:r>
        <w:rPr>
          <w:rFonts w:ascii="Times New Roman"/>
          <w:b w:val="false"/>
          <w:i w:val="false"/>
          <w:color w:val="000000"/>
          <w:sz w:val="28"/>
        </w:rPr>
        <w:t>
      микрофонов внутрисудовой системы громкоговорящей связи.</w:t>
      </w:r>
    </w:p>
    <w:bookmarkEnd w:id="302"/>
    <w:bookmarkStart w:name="z303" w:id="303"/>
    <w:p>
      <w:pPr>
        <w:spacing w:after="0"/>
        <w:ind w:left="0"/>
        <w:jc w:val="both"/>
      </w:pPr>
      <w:r>
        <w:rPr>
          <w:rFonts w:ascii="Times New Roman"/>
          <w:b w:val="false"/>
          <w:i w:val="false"/>
          <w:color w:val="000000"/>
          <w:sz w:val="28"/>
        </w:rPr>
        <w:t>
      Центральный пост управление с постоянной вахтой в контексте настоящей части означает центральный пост управления, в котором непрерывно несет вахту ответственный член экипажа (подраздел 5 раздела 8 настоящих Правил);</w:t>
      </w:r>
    </w:p>
    <w:bookmarkEnd w:id="303"/>
    <w:bookmarkStart w:name="z304" w:id="304"/>
    <w:p>
      <w:pPr>
        <w:spacing w:after="0"/>
        <w:ind w:left="0"/>
        <w:jc w:val="both"/>
      </w:pPr>
      <w:r>
        <w:rPr>
          <w:rFonts w:ascii="Times New Roman"/>
          <w:b w:val="false"/>
          <w:i w:val="false"/>
          <w:color w:val="000000"/>
          <w:sz w:val="28"/>
        </w:rPr>
        <w:t>
      235) непроницаемая переборка - переборка, не пропускающая воду и другие жидкости;</w:t>
      </w:r>
    </w:p>
    <w:bookmarkEnd w:id="304"/>
    <w:bookmarkStart w:name="z305" w:id="305"/>
    <w:p>
      <w:pPr>
        <w:spacing w:after="0"/>
        <w:ind w:left="0"/>
        <w:jc w:val="both"/>
      </w:pPr>
      <w:r>
        <w:rPr>
          <w:rFonts w:ascii="Times New Roman"/>
          <w:b w:val="false"/>
          <w:i w:val="false"/>
          <w:color w:val="000000"/>
          <w:sz w:val="28"/>
        </w:rPr>
        <w:t>
      236) непроницаемая конструкция - конструкция, не пропускающая воду или другие жидкости;</w:t>
      </w:r>
    </w:p>
    <w:bookmarkEnd w:id="305"/>
    <w:bookmarkStart w:name="z306" w:id="306"/>
    <w:p>
      <w:pPr>
        <w:spacing w:after="0"/>
        <w:ind w:left="0"/>
        <w:jc w:val="both"/>
      </w:pPr>
      <w:r>
        <w:rPr>
          <w:rFonts w:ascii="Times New Roman"/>
          <w:b w:val="false"/>
          <w:i w:val="false"/>
          <w:color w:val="000000"/>
          <w:sz w:val="28"/>
        </w:rPr>
        <w:t xml:space="preserve">
      237) спецификационная скорость </w:t>
      </w:r>
    </w:p>
    <w:bookmarkEnd w:id="306"/>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наибольшая скорость судна, уз, на тихой воде при осадке по летнюю грузовую ватерлинию и номинальной мощности энергетической установки.</w:t>
      </w:r>
      <w:r>
        <w:br/>
      </w:r>
      <w:r>
        <w:rPr>
          <w:rFonts w:ascii="Times New Roman"/>
          <w:b w:val="false"/>
          <w:i w:val="false"/>
          <w:color w:val="000000"/>
          <w:sz w:val="28"/>
        </w:rPr>
        <w:t>
</w:t>
      </w:r>
    </w:p>
    <w:bookmarkStart w:name="z307" w:id="307"/>
    <w:p>
      <w:pPr>
        <w:spacing w:after="0"/>
        <w:ind w:left="0"/>
        <w:jc w:val="both"/>
      </w:pPr>
      <w:r>
        <w:rPr>
          <w:rFonts w:ascii="Times New Roman"/>
          <w:b w:val="false"/>
          <w:i w:val="false"/>
          <w:color w:val="000000"/>
          <w:sz w:val="28"/>
        </w:rPr>
        <w:t>
      g = 9,81 м/с</w:t>
      </w:r>
      <w:r>
        <w:rPr>
          <w:rFonts w:ascii="Times New Roman"/>
          <w:b w:val="false"/>
          <w:i w:val="false"/>
          <w:color w:val="000000"/>
          <w:vertAlign w:val="superscript"/>
        </w:rPr>
        <w:t>2</w:t>
      </w:r>
      <w:r>
        <w:rPr>
          <w:rFonts w:ascii="Times New Roman"/>
          <w:b w:val="false"/>
          <w:i w:val="false"/>
          <w:color w:val="000000"/>
          <w:sz w:val="28"/>
        </w:rPr>
        <w:t xml:space="preserve"> - ускорение свободного падения.</w:t>
      </w:r>
    </w:p>
    <w:bookmarkEnd w:id="307"/>
    <w:bookmarkStart w:name="z308" w:id="308"/>
    <w:p>
      <w:pPr>
        <w:spacing w:after="0"/>
        <w:ind w:left="0"/>
        <w:jc w:val="both"/>
      </w:pPr>
      <w:r>
        <w:rPr>
          <w:rFonts w:ascii="Times New Roman"/>
          <w:b w:val="false"/>
          <w:i w:val="false"/>
          <w:color w:val="000000"/>
          <w:sz w:val="28"/>
        </w:rPr>
        <w:t>
      р = 1,025 т/м</w:t>
      </w:r>
      <w:r>
        <w:rPr>
          <w:rFonts w:ascii="Times New Roman"/>
          <w:b w:val="false"/>
          <w:i w:val="false"/>
          <w:color w:val="000000"/>
          <w:vertAlign w:val="superscript"/>
        </w:rPr>
        <w:t>3</w:t>
      </w:r>
      <w:r>
        <w:rPr>
          <w:rFonts w:ascii="Times New Roman"/>
          <w:b w:val="false"/>
          <w:i w:val="false"/>
          <w:color w:val="000000"/>
          <w:sz w:val="28"/>
        </w:rPr>
        <w:t xml:space="preserve"> - плотность морской воды;</w:t>
      </w:r>
    </w:p>
    <w:bookmarkEnd w:id="308"/>
    <w:bookmarkStart w:name="z309" w:id="309"/>
    <w:p>
      <w:pPr>
        <w:spacing w:after="0"/>
        <w:ind w:left="0"/>
        <w:jc w:val="both"/>
      </w:pPr>
      <w:r>
        <w:rPr>
          <w:rFonts w:ascii="Times New Roman"/>
          <w:b w:val="false"/>
          <w:i w:val="false"/>
          <w:color w:val="000000"/>
          <w:sz w:val="28"/>
        </w:rPr>
        <w:t>
      2) переход - плавание судна технического флота в пределах установленного ему района плавания;</w:t>
      </w:r>
    </w:p>
    <w:bookmarkEnd w:id="309"/>
    <w:bookmarkStart w:name="z310" w:id="310"/>
    <w:p>
      <w:pPr>
        <w:spacing w:after="0"/>
        <w:ind w:left="0"/>
        <w:jc w:val="both"/>
      </w:pPr>
      <w:r>
        <w:rPr>
          <w:rFonts w:ascii="Times New Roman"/>
          <w:b w:val="false"/>
          <w:i w:val="false"/>
          <w:color w:val="000000"/>
          <w:sz w:val="28"/>
        </w:rPr>
        <w:t>
      238) оборудование и системы противопожарные - активные средства противопожарной защиты, предназначенные для тушения пожара и ограничения его распространения по судну;</w:t>
      </w:r>
    </w:p>
    <w:bookmarkEnd w:id="310"/>
    <w:bookmarkStart w:name="z311" w:id="311"/>
    <w:p>
      <w:pPr>
        <w:spacing w:after="0"/>
        <w:ind w:left="0"/>
        <w:jc w:val="both"/>
      </w:pPr>
      <w:r>
        <w:rPr>
          <w:rFonts w:ascii="Times New Roman"/>
          <w:b w:val="false"/>
          <w:i w:val="false"/>
          <w:color w:val="000000"/>
          <w:sz w:val="28"/>
        </w:rPr>
        <w:t>
      239) пост пожарный (далее - ПП) - помещение, в котором сосредоточены предметы противопожарного снабжения, средства управления системами пожаротушения и/или сигнализации обнаружения пожара;</w:t>
      </w:r>
    </w:p>
    <w:bookmarkEnd w:id="311"/>
    <w:bookmarkStart w:name="z312" w:id="312"/>
    <w:p>
      <w:pPr>
        <w:spacing w:after="0"/>
        <w:ind w:left="0"/>
        <w:jc w:val="both"/>
      </w:pPr>
      <w:r>
        <w:rPr>
          <w:rFonts w:ascii="Times New Roman"/>
          <w:b w:val="false"/>
          <w:i w:val="false"/>
          <w:color w:val="000000"/>
          <w:sz w:val="28"/>
        </w:rPr>
        <w:t>
      240) снабжение противопожарное - переносные активные средства борьбы с пожаром (аппараты, инвентарь и расходные материалы), предназначенные:</w:t>
      </w:r>
    </w:p>
    <w:bookmarkEnd w:id="312"/>
    <w:bookmarkStart w:name="z313" w:id="313"/>
    <w:p>
      <w:pPr>
        <w:spacing w:after="0"/>
        <w:ind w:left="0"/>
        <w:jc w:val="both"/>
      </w:pPr>
      <w:r>
        <w:rPr>
          <w:rFonts w:ascii="Times New Roman"/>
          <w:b w:val="false"/>
          <w:i w:val="false"/>
          <w:color w:val="000000"/>
          <w:sz w:val="28"/>
        </w:rPr>
        <w:t>
      для тушения пожара;</w:t>
      </w:r>
    </w:p>
    <w:bookmarkEnd w:id="313"/>
    <w:bookmarkStart w:name="z314" w:id="314"/>
    <w:p>
      <w:pPr>
        <w:spacing w:after="0"/>
        <w:ind w:left="0"/>
        <w:jc w:val="both"/>
      </w:pPr>
      <w:r>
        <w:rPr>
          <w:rFonts w:ascii="Times New Roman"/>
          <w:b w:val="false"/>
          <w:i w:val="false"/>
          <w:color w:val="000000"/>
          <w:sz w:val="28"/>
        </w:rPr>
        <w:t>
      для обеспечения действий экипажа при тушении пожара;</w:t>
      </w:r>
    </w:p>
    <w:bookmarkEnd w:id="314"/>
    <w:bookmarkStart w:name="z315" w:id="315"/>
    <w:p>
      <w:pPr>
        <w:spacing w:after="0"/>
        <w:ind w:left="0"/>
        <w:jc w:val="both"/>
      </w:pPr>
      <w:r>
        <w:rPr>
          <w:rFonts w:ascii="Times New Roman"/>
          <w:b w:val="false"/>
          <w:i w:val="false"/>
          <w:color w:val="000000"/>
          <w:sz w:val="28"/>
        </w:rPr>
        <w:t>
      для обеспечения работы систем пожаротушения;</w:t>
      </w:r>
    </w:p>
    <w:bookmarkEnd w:id="315"/>
    <w:bookmarkStart w:name="z316" w:id="316"/>
    <w:p>
      <w:pPr>
        <w:spacing w:after="0"/>
        <w:ind w:left="0"/>
        <w:jc w:val="both"/>
      </w:pPr>
      <w:r>
        <w:rPr>
          <w:rFonts w:ascii="Times New Roman"/>
          <w:b w:val="false"/>
          <w:i w:val="false"/>
          <w:color w:val="000000"/>
          <w:sz w:val="28"/>
        </w:rPr>
        <w:t>
      241) изделие - в настоящей части под термином "изделие" понимаются полуфабрикаты, цепи и комплектующие к ним, а также тросы;</w:t>
      </w:r>
    </w:p>
    <w:bookmarkEnd w:id="316"/>
    <w:bookmarkStart w:name="z317" w:id="317"/>
    <w:p>
      <w:pPr>
        <w:spacing w:after="0"/>
        <w:ind w:left="0"/>
        <w:jc w:val="both"/>
      </w:pPr>
      <w:r>
        <w:rPr>
          <w:rFonts w:ascii="Times New Roman"/>
          <w:b w:val="false"/>
          <w:i w:val="false"/>
          <w:color w:val="000000"/>
          <w:sz w:val="28"/>
        </w:rPr>
        <w:t>
      242) защита конструктивная противопожарная - комплекс пассивных средств конструктивной противопожарной защиты, направленных:</w:t>
      </w:r>
    </w:p>
    <w:bookmarkEnd w:id="317"/>
    <w:bookmarkStart w:name="z318" w:id="318"/>
    <w:p>
      <w:pPr>
        <w:spacing w:after="0"/>
        <w:ind w:left="0"/>
        <w:jc w:val="both"/>
      </w:pPr>
      <w:r>
        <w:rPr>
          <w:rFonts w:ascii="Times New Roman"/>
          <w:b w:val="false"/>
          <w:i w:val="false"/>
          <w:color w:val="000000"/>
          <w:sz w:val="28"/>
        </w:rPr>
        <w:t>
      на предотвращение возникновения пожаров;</w:t>
      </w:r>
    </w:p>
    <w:bookmarkEnd w:id="318"/>
    <w:bookmarkStart w:name="z319" w:id="319"/>
    <w:p>
      <w:pPr>
        <w:spacing w:after="0"/>
        <w:ind w:left="0"/>
        <w:jc w:val="both"/>
      </w:pPr>
      <w:r>
        <w:rPr>
          <w:rFonts w:ascii="Times New Roman"/>
          <w:b w:val="false"/>
          <w:i w:val="false"/>
          <w:color w:val="000000"/>
          <w:sz w:val="28"/>
        </w:rPr>
        <w:t>
      на ограничение распространения огня и дыма по судну;</w:t>
      </w:r>
    </w:p>
    <w:bookmarkEnd w:id="319"/>
    <w:bookmarkStart w:name="z320" w:id="320"/>
    <w:p>
      <w:pPr>
        <w:spacing w:after="0"/>
        <w:ind w:left="0"/>
        <w:jc w:val="both"/>
      </w:pPr>
      <w:r>
        <w:rPr>
          <w:rFonts w:ascii="Times New Roman"/>
          <w:b w:val="false"/>
          <w:i w:val="false"/>
          <w:color w:val="000000"/>
          <w:sz w:val="28"/>
        </w:rPr>
        <w:t>
      на создание условий безопасной эвакуации людей из судовых помещений и с судна, а также для успешного тушения пожара;</w:t>
      </w:r>
    </w:p>
    <w:bookmarkEnd w:id="320"/>
    <w:bookmarkStart w:name="z321" w:id="321"/>
    <w:p>
      <w:pPr>
        <w:spacing w:after="0"/>
        <w:ind w:left="0"/>
        <w:jc w:val="both"/>
      </w:pPr>
      <w:r>
        <w:rPr>
          <w:rFonts w:ascii="Times New Roman"/>
          <w:b w:val="false"/>
          <w:i w:val="false"/>
          <w:color w:val="000000"/>
          <w:sz w:val="28"/>
        </w:rPr>
        <w:t>
      243) судно в эксплуатации - судно, которое не является судном в постройке;</w:t>
      </w:r>
    </w:p>
    <w:bookmarkEnd w:id="321"/>
    <w:bookmarkStart w:name="z322" w:id="322"/>
    <w:p>
      <w:pPr>
        <w:spacing w:after="0"/>
        <w:ind w:left="0"/>
        <w:jc w:val="both"/>
      </w:pPr>
      <w:r>
        <w:rPr>
          <w:rFonts w:ascii="Times New Roman"/>
          <w:b w:val="false"/>
          <w:i w:val="false"/>
          <w:color w:val="000000"/>
          <w:sz w:val="28"/>
        </w:rPr>
        <w:t>
      244) платформа - нижняя палуба, простирающаяся лишь на части длины или ширины судна;</w:t>
      </w:r>
    </w:p>
    <w:bookmarkEnd w:id="322"/>
    <w:bookmarkStart w:name="z323" w:id="323"/>
    <w:p>
      <w:pPr>
        <w:spacing w:after="0"/>
        <w:ind w:left="0"/>
        <w:jc w:val="both"/>
      </w:pPr>
      <w:r>
        <w:rPr>
          <w:rFonts w:ascii="Times New Roman"/>
          <w:b w:val="false"/>
          <w:i w:val="false"/>
          <w:color w:val="000000"/>
          <w:sz w:val="28"/>
        </w:rPr>
        <w:t xml:space="preserve">
      245) высота понтона </w:t>
      </w:r>
      <w:r>
        <w:rPr>
          <w:rFonts w:ascii="Times New Roman"/>
          <w:b w:val="false"/>
          <w:i/>
          <w:color w:val="000000"/>
          <w:sz w:val="28"/>
        </w:rPr>
        <w:t>D</w:t>
      </w:r>
      <w:r>
        <w:rPr>
          <w:rFonts w:ascii="Times New Roman"/>
          <w:b w:val="false"/>
          <w:i w:val="false"/>
          <w:color w:val="000000"/>
          <w:vertAlign w:val="subscript"/>
        </w:rPr>
        <w:t>п</w:t>
      </w:r>
      <w:r>
        <w:rPr>
          <w:rFonts w:ascii="Times New Roman"/>
          <w:b w:val="false"/>
          <w:i w:val="false"/>
          <w:color w:val="000000"/>
          <w:sz w:val="28"/>
        </w:rPr>
        <w:t xml:space="preserve"> - расстояние, измеренное в диаметральной плоскости, от основной плоскости до теоретической поверхности стапель-палуб;</w:t>
      </w:r>
    </w:p>
    <w:bookmarkEnd w:id="323"/>
    <w:bookmarkStart w:name="z324" w:id="324"/>
    <w:p>
      <w:pPr>
        <w:spacing w:after="0"/>
        <w:ind w:left="0"/>
        <w:jc w:val="both"/>
      </w:pPr>
      <w:r>
        <w:rPr>
          <w:rFonts w:ascii="Times New Roman"/>
          <w:b w:val="false"/>
          <w:i w:val="false"/>
          <w:color w:val="000000"/>
          <w:sz w:val="28"/>
        </w:rPr>
        <w:t>
      246) понтон - часть корпуса дока, обеспечивающая плавучесть дока, которая определяется объемами его отсеков;</w:t>
      </w:r>
    </w:p>
    <w:bookmarkEnd w:id="324"/>
    <w:bookmarkStart w:name="z325" w:id="325"/>
    <w:p>
      <w:pPr>
        <w:spacing w:after="0"/>
        <w:ind w:left="0"/>
        <w:jc w:val="both"/>
      </w:pPr>
      <w:r>
        <w:rPr>
          <w:rFonts w:ascii="Times New Roman"/>
          <w:b w:val="false"/>
          <w:i w:val="false"/>
          <w:color w:val="000000"/>
          <w:sz w:val="28"/>
        </w:rPr>
        <w:t>
      247) палубный лесной груз - груз леса, перевозимый на открытых частях палубы надводного борта или надстройки. Термин не распространяется на древесную массу или на подобный ей груз;</w:t>
      </w:r>
    </w:p>
    <w:bookmarkEnd w:id="325"/>
    <w:bookmarkStart w:name="z326" w:id="326"/>
    <w:p>
      <w:pPr>
        <w:spacing w:after="0"/>
        <w:ind w:left="0"/>
        <w:jc w:val="both"/>
      </w:pPr>
      <w:r>
        <w:rPr>
          <w:rFonts w:ascii="Times New Roman"/>
          <w:b w:val="false"/>
          <w:i w:val="false"/>
          <w:color w:val="000000"/>
          <w:sz w:val="28"/>
        </w:rPr>
        <w:t>
      248) партия - ограниченное число полуфабрикатов или изделий, на которые распространяются результаты проведенных в установленном порядке испытаний;</w:t>
      </w:r>
    </w:p>
    <w:bookmarkEnd w:id="326"/>
    <w:bookmarkStart w:name="z327" w:id="327"/>
    <w:p>
      <w:pPr>
        <w:spacing w:after="0"/>
        <w:ind w:left="0"/>
        <w:jc w:val="both"/>
      </w:pPr>
      <w:r>
        <w:rPr>
          <w:rFonts w:ascii="Times New Roman"/>
          <w:b w:val="false"/>
          <w:i w:val="false"/>
          <w:color w:val="000000"/>
          <w:sz w:val="28"/>
        </w:rPr>
        <w:t>
      249) палуба надстройки, рубки или ящика - палуба, покрывающая соответственно надстройку, рубку или ящик;</w:t>
      </w:r>
    </w:p>
    <w:bookmarkEnd w:id="327"/>
    <w:bookmarkStart w:name="z328" w:id="328"/>
    <w:p>
      <w:pPr>
        <w:spacing w:after="0"/>
        <w:ind w:left="0"/>
        <w:jc w:val="both"/>
      </w:pPr>
      <w:r>
        <w:rPr>
          <w:rFonts w:ascii="Times New Roman"/>
          <w:b w:val="false"/>
          <w:i w:val="false"/>
          <w:color w:val="000000"/>
          <w:sz w:val="28"/>
        </w:rPr>
        <w:t xml:space="preserve">
      250) рубка - закрытое палубой сооружение на палубе надводного борта или на палубе надстройки, не доходящее до бортов судна на расстояние более 4 % ширины судна </w:t>
      </w:r>
      <w:r>
        <w:rPr>
          <w:rFonts w:ascii="Times New Roman"/>
          <w:b w:val="false"/>
          <w:i/>
          <w:color w:val="000000"/>
          <w:sz w:val="28"/>
        </w:rPr>
        <w:t>В</w:t>
      </w:r>
      <w:r>
        <w:rPr>
          <w:rFonts w:ascii="Times New Roman"/>
          <w:b w:val="false"/>
          <w:i w:val="false"/>
          <w:color w:val="000000"/>
          <w:sz w:val="28"/>
        </w:rPr>
        <w:t xml:space="preserve"> и имеющее двери, окна и другие подобные отверстия в наружных переборках. Рубки располагаются одним или несколькими ярусами;</w:t>
      </w:r>
    </w:p>
    <w:bookmarkEnd w:id="328"/>
    <w:bookmarkStart w:name="z329" w:id="329"/>
    <w:p>
      <w:pPr>
        <w:spacing w:after="0"/>
        <w:ind w:left="0"/>
        <w:jc w:val="both"/>
      </w:pPr>
      <w:r>
        <w:rPr>
          <w:rFonts w:ascii="Times New Roman"/>
          <w:b w:val="false"/>
          <w:i w:val="false"/>
          <w:color w:val="000000"/>
          <w:sz w:val="28"/>
        </w:rPr>
        <w:t>
      251) палуба рубки - палуба, ограничивающая ярус рубки сверху.</w:t>
      </w:r>
    </w:p>
    <w:bookmarkEnd w:id="329"/>
    <w:bookmarkStart w:name="z330" w:id="330"/>
    <w:p>
      <w:pPr>
        <w:spacing w:after="0"/>
        <w:ind w:left="0"/>
        <w:jc w:val="both"/>
      </w:pPr>
      <w:r>
        <w:rPr>
          <w:rFonts w:ascii="Times New Roman"/>
          <w:b w:val="false"/>
          <w:i w:val="false"/>
          <w:color w:val="000000"/>
          <w:sz w:val="28"/>
        </w:rPr>
        <w:t>
      При наличии нескольких ярусов рубки палубы рубки называются: палуба рубки первого, второго яруса, считая от верхней палубы. Если рубка устанавливается на палубе надстройки первого, второго яруса, палуба рубки называется соответственно палубой рубки второго, третьего яруса;</w:t>
      </w:r>
    </w:p>
    <w:bookmarkEnd w:id="330"/>
    <w:bookmarkStart w:name="z331" w:id="331"/>
    <w:p>
      <w:pPr>
        <w:spacing w:after="0"/>
        <w:ind w:left="0"/>
        <w:jc w:val="both"/>
      </w:pPr>
      <w:r>
        <w:rPr>
          <w:rFonts w:ascii="Times New Roman"/>
          <w:b w:val="false"/>
          <w:i w:val="false"/>
          <w:color w:val="000000"/>
          <w:sz w:val="28"/>
        </w:rPr>
        <w:t>
      252) силовой агрегат рулевого привода:</w:t>
      </w:r>
    </w:p>
    <w:bookmarkEnd w:id="331"/>
    <w:bookmarkStart w:name="z332" w:id="332"/>
    <w:p>
      <w:pPr>
        <w:spacing w:after="0"/>
        <w:ind w:left="0"/>
        <w:jc w:val="both"/>
      </w:pPr>
      <w:r>
        <w:rPr>
          <w:rFonts w:ascii="Times New Roman"/>
          <w:b w:val="false"/>
          <w:i w:val="false"/>
          <w:color w:val="000000"/>
          <w:sz w:val="28"/>
        </w:rPr>
        <w:t>
      при электрическом рулевом приводе - электродвигатель с относящимся к нему электрооборудованием;</w:t>
      </w:r>
    </w:p>
    <w:bookmarkEnd w:id="332"/>
    <w:bookmarkStart w:name="z333" w:id="333"/>
    <w:p>
      <w:pPr>
        <w:spacing w:after="0"/>
        <w:ind w:left="0"/>
        <w:jc w:val="both"/>
      </w:pPr>
      <w:r>
        <w:rPr>
          <w:rFonts w:ascii="Times New Roman"/>
          <w:b w:val="false"/>
          <w:i w:val="false"/>
          <w:color w:val="000000"/>
          <w:sz w:val="28"/>
        </w:rPr>
        <w:t>
      при электрогидравлическом рулевом приводе - электродвигатель с относящимся к нему электрооборудованием и соединенным с ним насосом;</w:t>
      </w:r>
    </w:p>
    <w:bookmarkEnd w:id="333"/>
    <w:bookmarkStart w:name="z334" w:id="334"/>
    <w:p>
      <w:pPr>
        <w:spacing w:after="0"/>
        <w:ind w:left="0"/>
        <w:jc w:val="both"/>
      </w:pPr>
      <w:r>
        <w:rPr>
          <w:rFonts w:ascii="Times New Roman"/>
          <w:b w:val="false"/>
          <w:i w:val="false"/>
          <w:color w:val="000000"/>
          <w:sz w:val="28"/>
        </w:rPr>
        <w:t>
      при ином гидравлическом рулевом приводе - приводной двигатель и соединенный с ним насос;</w:t>
      </w:r>
    </w:p>
    <w:bookmarkEnd w:id="334"/>
    <w:bookmarkStart w:name="z335" w:id="335"/>
    <w:p>
      <w:pPr>
        <w:spacing w:after="0"/>
        <w:ind w:left="0"/>
        <w:jc w:val="both"/>
      </w:pPr>
      <w:r>
        <w:rPr>
          <w:rFonts w:ascii="Times New Roman"/>
          <w:b w:val="false"/>
          <w:i w:val="false"/>
          <w:color w:val="000000"/>
          <w:sz w:val="28"/>
        </w:rPr>
        <w:t>
      253) система управления рулевым приводом - устройство, посредством которого команды передаются с ходового мостика к силовым агрегатам рулевого привода. Системы управления рулевым приводом включают датчики, приемники, гидравлические насосы системы управления и относящиеся к ним двигатели, органы управления двигателями, трубопроводы и кабели;</w:t>
      </w:r>
    </w:p>
    <w:bookmarkEnd w:id="335"/>
    <w:bookmarkStart w:name="z336" w:id="336"/>
    <w:p>
      <w:pPr>
        <w:spacing w:after="0"/>
        <w:ind w:left="0"/>
        <w:jc w:val="both"/>
      </w:pPr>
      <w:r>
        <w:rPr>
          <w:rFonts w:ascii="Times New Roman"/>
          <w:b w:val="false"/>
          <w:i w:val="false"/>
          <w:color w:val="000000"/>
          <w:sz w:val="28"/>
        </w:rPr>
        <w:t>
      254) резервный источник электрической энергии - источник электрической энергии, независимый от основного и аварийного источников энергии судна;</w:t>
      </w:r>
    </w:p>
    <w:bookmarkEnd w:id="336"/>
    <w:bookmarkStart w:name="z337" w:id="337"/>
    <w:p>
      <w:pPr>
        <w:spacing w:after="0"/>
        <w:ind w:left="0"/>
        <w:jc w:val="both"/>
      </w:pPr>
      <w:r>
        <w:rPr>
          <w:rFonts w:ascii="Times New Roman"/>
          <w:b w:val="false"/>
          <w:i w:val="false"/>
          <w:color w:val="000000"/>
          <w:sz w:val="28"/>
        </w:rPr>
        <w:t>
      255) буксир - судно, предназначенное для буксировки и кантовки других судов и плавучих сооружений;</w:t>
      </w:r>
    </w:p>
    <w:bookmarkEnd w:id="337"/>
    <w:bookmarkStart w:name="z338" w:id="338"/>
    <w:p>
      <w:pPr>
        <w:spacing w:after="0"/>
        <w:ind w:left="0"/>
        <w:jc w:val="both"/>
      </w:pPr>
      <w:r>
        <w:rPr>
          <w:rFonts w:ascii="Times New Roman"/>
          <w:b w:val="false"/>
          <w:i w:val="false"/>
          <w:color w:val="000000"/>
          <w:sz w:val="28"/>
        </w:rPr>
        <w:t>
      256) стандарты - термин, который применительно к настоящим Правилам означает различного рода стандарты и другие нормативно-технические документы любых стран, согласованные или признанные Регистром судоходства;</w:t>
      </w:r>
    </w:p>
    <w:bookmarkEnd w:id="338"/>
    <w:bookmarkStart w:name="z339" w:id="339"/>
    <w:p>
      <w:pPr>
        <w:spacing w:after="0"/>
        <w:ind w:left="0"/>
        <w:jc w:val="both"/>
      </w:pPr>
      <w:r>
        <w:rPr>
          <w:rFonts w:ascii="Times New Roman"/>
          <w:b w:val="false"/>
          <w:i w:val="false"/>
          <w:color w:val="000000"/>
          <w:sz w:val="28"/>
        </w:rPr>
        <w:t>
      257) палуба надводного борта - палуба, от которой рассчитывается надводный борт;</w:t>
      </w:r>
    </w:p>
    <w:bookmarkEnd w:id="339"/>
    <w:bookmarkStart w:name="z340" w:id="340"/>
    <w:p>
      <w:pPr>
        <w:spacing w:after="0"/>
        <w:ind w:left="0"/>
        <w:jc w:val="both"/>
      </w:pPr>
      <w:r>
        <w:rPr>
          <w:rFonts w:ascii="Times New Roman"/>
          <w:b w:val="false"/>
          <w:i w:val="false"/>
          <w:color w:val="000000"/>
          <w:sz w:val="28"/>
        </w:rPr>
        <w:t>
      258) водонепроницаемая (аварийная) переборка - переборка, препятствующая распространению воды между судовыми помещениями в случае аварии;</w:t>
      </w:r>
    </w:p>
    <w:bookmarkEnd w:id="340"/>
    <w:bookmarkStart w:name="z341" w:id="341"/>
    <w:p>
      <w:pPr>
        <w:spacing w:after="0"/>
        <w:ind w:left="0"/>
        <w:jc w:val="both"/>
      </w:pPr>
      <w:r>
        <w:rPr>
          <w:rFonts w:ascii="Times New Roman"/>
          <w:b w:val="false"/>
          <w:i w:val="false"/>
          <w:color w:val="000000"/>
          <w:sz w:val="28"/>
        </w:rPr>
        <w:t xml:space="preserve">
      259) длина дока по стапель-палубе </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 xml:space="preserve"> - расстояние, измеренное по стапель-палубе плавучего дока параллельно его основной линии между теоретическими поверхностями торцевых переборок понтона;</w:t>
      </w:r>
    </w:p>
    <w:bookmarkEnd w:id="341"/>
    <w:bookmarkStart w:name="z342" w:id="342"/>
    <w:p>
      <w:pPr>
        <w:spacing w:after="0"/>
        <w:ind w:left="0"/>
        <w:jc w:val="both"/>
      </w:pPr>
      <w:r>
        <w:rPr>
          <w:rFonts w:ascii="Times New Roman"/>
          <w:b w:val="false"/>
          <w:i w:val="false"/>
          <w:color w:val="000000"/>
          <w:sz w:val="28"/>
        </w:rPr>
        <w:t>
      260) стапель-палуба - палуба понтона дока, на которой устанавливаются доковые опорные устройства (кильблоки и клетки);</w:t>
      </w:r>
    </w:p>
    <w:bookmarkEnd w:id="342"/>
    <w:bookmarkStart w:name="z343" w:id="343"/>
    <w:p>
      <w:pPr>
        <w:spacing w:after="0"/>
        <w:ind w:left="0"/>
        <w:jc w:val="both"/>
      </w:pPr>
      <w:r>
        <w:rPr>
          <w:rFonts w:ascii="Times New Roman"/>
          <w:b w:val="false"/>
          <w:i w:val="false"/>
          <w:color w:val="000000"/>
          <w:sz w:val="28"/>
        </w:rPr>
        <w:t>
      261) палуба надводного борта - палуба, от которой измеряется надводный борт.</w:t>
      </w:r>
    </w:p>
    <w:bookmarkEnd w:id="343"/>
    <w:bookmarkStart w:name="z344" w:id="344"/>
    <w:p>
      <w:pPr>
        <w:spacing w:after="0"/>
        <w:ind w:left="0"/>
        <w:jc w:val="both"/>
      </w:pPr>
      <w:r>
        <w:rPr>
          <w:rFonts w:ascii="Times New Roman"/>
          <w:b w:val="false"/>
          <w:i w:val="false"/>
          <w:color w:val="000000"/>
          <w:sz w:val="28"/>
        </w:rPr>
        <w:t>
      При наличии у палубы судна уступа или уступов за палубу надводного борта принимается нижний участок этой палубы и условное его продолжение за уступ в нос или корму соответственно до крайней носовой или кормовой оконечности судна;</w:t>
      </w:r>
    </w:p>
    <w:bookmarkEnd w:id="344"/>
    <w:bookmarkStart w:name="z345" w:id="345"/>
    <w:p>
      <w:pPr>
        <w:spacing w:after="0"/>
        <w:ind w:left="0"/>
        <w:jc w:val="both"/>
      </w:pPr>
      <w:r>
        <w:rPr>
          <w:rFonts w:ascii="Times New Roman"/>
          <w:b w:val="false"/>
          <w:i w:val="false"/>
          <w:color w:val="000000"/>
          <w:sz w:val="28"/>
        </w:rPr>
        <w:t>
      262) жидкий груз - все имеющиеся на судне жидкости, включая груз наливных судов, жидкие судовые запасы, балласт, воду в успокоительных цистернах и плавательном бассейне;</w:t>
      </w:r>
    </w:p>
    <w:bookmarkEnd w:id="345"/>
    <w:bookmarkStart w:name="z346" w:id="346"/>
    <w:p>
      <w:pPr>
        <w:spacing w:after="0"/>
        <w:ind w:left="0"/>
        <w:jc w:val="both"/>
      </w:pPr>
      <w:r>
        <w:rPr>
          <w:rFonts w:ascii="Times New Roman"/>
          <w:b w:val="false"/>
          <w:i w:val="false"/>
          <w:color w:val="000000"/>
          <w:sz w:val="28"/>
        </w:rPr>
        <w:t>
      263) серийные суда - это суда, построенные на одной и той же верфи по одним и тем же чертежам.</w:t>
      </w:r>
    </w:p>
    <w:bookmarkEnd w:id="346"/>
    <w:bookmarkStart w:name="z347" w:id="347"/>
    <w:p>
      <w:pPr>
        <w:spacing w:after="0"/>
        <w:ind w:left="0"/>
        <w:jc w:val="both"/>
      </w:pPr>
      <w:r>
        <w:rPr>
          <w:rFonts w:ascii="Times New Roman"/>
          <w:b w:val="false"/>
          <w:i w:val="false"/>
          <w:color w:val="000000"/>
          <w:sz w:val="28"/>
        </w:rPr>
        <w:t>
      264) угол заливания - угол крена, при котором происходит заливание водой внутренних помещений судна через отверстия, считающиеся открытыми, или отверстия, которые могут быть открытыми в рабочем состоянии судна по условиям эксплуатации;</w:t>
      </w:r>
    </w:p>
    <w:bookmarkEnd w:id="347"/>
    <w:bookmarkStart w:name="z348" w:id="348"/>
    <w:p>
      <w:pPr>
        <w:spacing w:after="0"/>
        <w:ind w:left="0"/>
        <w:jc w:val="both"/>
      </w:pPr>
      <w:r>
        <w:rPr>
          <w:rFonts w:ascii="Times New Roman"/>
          <w:b w:val="false"/>
          <w:i w:val="false"/>
          <w:color w:val="000000"/>
          <w:sz w:val="28"/>
        </w:rPr>
        <w:t>
      265) испытание на огнестойкость стандартное - такое испытание, при котором соответствующие образцы переборок и палуб подвергаются нагреву в испытательной печи при температурах, приблизительно соответствующих стандартной кривой "время - температура";</w:t>
      </w:r>
    </w:p>
    <w:bookmarkEnd w:id="348"/>
    <w:bookmarkStart w:name="z349" w:id="349"/>
    <w:p>
      <w:pPr>
        <w:spacing w:after="0"/>
        <w:ind w:left="0"/>
        <w:jc w:val="both"/>
      </w:pPr>
      <w:r>
        <w:rPr>
          <w:rFonts w:ascii="Times New Roman"/>
          <w:b w:val="false"/>
          <w:i w:val="false"/>
          <w:color w:val="000000"/>
          <w:sz w:val="28"/>
        </w:rPr>
        <w:t xml:space="preserve">
      266) сауна - помещение с высокой температурой, обычно - 80-120 </w:t>
      </w:r>
      <w:r>
        <w:rPr>
          <w:rFonts w:ascii="Times New Roman"/>
          <w:b w:val="false"/>
          <w:i w:val="false"/>
          <w:color w:val="000000"/>
          <w:vertAlign w:val="superscript"/>
        </w:rPr>
        <w:t>о</w:t>
      </w:r>
      <w:r>
        <w:rPr>
          <w:rFonts w:ascii="Times New Roman"/>
          <w:b w:val="false"/>
          <w:i w:val="false"/>
          <w:color w:val="000000"/>
          <w:sz w:val="28"/>
        </w:rPr>
        <w:t xml:space="preserve"> С, поддерживаемой нагреваемой поверхностью (от электропечи). Это помещение также включает пространство, где расположена печь, и смежные ванные;</w:t>
      </w:r>
    </w:p>
    <w:bookmarkEnd w:id="349"/>
    <w:bookmarkStart w:name="z351" w:id="350"/>
    <w:p>
      <w:pPr>
        <w:spacing w:after="0"/>
        <w:ind w:left="0"/>
        <w:jc w:val="both"/>
      </w:pPr>
      <w:r>
        <w:rPr>
          <w:rFonts w:ascii="Times New Roman"/>
          <w:b w:val="false"/>
          <w:i w:val="false"/>
          <w:color w:val="000000"/>
          <w:sz w:val="28"/>
        </w:rPr>
        <w:t>
      267) системы водяных завес - системы, которые создают преграду в виде слоя воды достаточной толщины, поступающей через распылители, и применяются там, где огнестойкие конструкции не могут быть установлены;</w:t>
      </w:r>
    </w:p>
    <w:bookmarkEnd w:id="350"/>
    <w:bookmarkStart w:name="z352" w:id="351"/>
    <w:p>
      <w:pPr>
        <w:spacing w:after="0"/>
        <w:ind w:left="0"/>
        <w:jc w:val="both"/>
      </w:pPr>
      <w:r>
        <w:rPr>
          <w:rFonts w:ascii="Times New Roman"/>
          <w:b w:val="false"/>
          <w:i w:val="false"/>
          <w:color w:val="000000"/>
          <w:sz w:val="28"/>
        </w:rPr>
        <w:t>
      268) системы водяного орошения - системы, подающие воду на вертикальные или горизонтальные судовые конструкции;</w:t>
      </w:r>
    </w:p>
    <w:bookmarkEnd w:id="351"/>
    <w:bookmarkStart w:name="z353" w:id="352"/>
    <w:p>
      <w:pPr>
        <w:spacing w:after="0"/>
        <w:ind w:left="0"/>
        <w:jc w:val="both"/>
      </w:pPr>
      <w:r>
        <w:rPr>
          <w:rFonts w:ascii="Times New Roman"/>
          <w:b w:val="false"/>
          <w:i w:val="false"/>
          <w:color w:val="000000"/>
          <w:sz w:val="28"/>
        </w:rPr>
        <w:t>
      269) установки жидкого топлива - оборудование, используемое для подготовки и подачи жидкого топлива (подогретого или неподогретого) в котел, генератор инертного газа, установку для сжигания мусора или двигатель и включающее топливные насосы, сепараторы, фильтры и подогреватели с давлением топлива более 0,18 МПа;</w:t>
      </w:r>
    </w:p>
    <w:bookmarkEnd w:id="352"/>
    <w:bookmarkStart w:name="z354" w:id="353"/>
    <w:p>
      <w:pPr>
        <w:spacing w:after="0"/>
        <w:ind w:left="0"/>
        <w:jc w:val="both"/>
      </w:pPr>
      <w:r>
        <w:rPr>
          <w:rFonts w:ascii="Times New Roman"/>
          <w:b w:val="false"/>
          <w:i w:val="false"/>
          <w:color w:val="000000"/>
          <w:sz w:val="28"/>
        </w:rPr>
        <w:t>
      270) холодоноситель - вещество для отвода теплоты от охлаждаемых объектов и передачи его холодильному агенту.</w:t>
      </w:r>
    </w:p>
    <w:bookmarkEnd w:id="353"/>
    <w:bookmarkStart w:name="z355" w:id="354"/>
    <w:p>
      <w:pPr>
        <w:spacing w:after="0"/>
        <w:ind w:left="0"/>
        <w:jc w:val="both"/>
      </w:pPr>
      <w:r>
        <w:rPr>
          <w:rFonts w:ascii="Times New Roman"/>
          <w:b w:val="false"/>
          <w:i w:val="false"/>
          <w:color w:val="000000"/>
          <w:sz w:val="28"/>
        </w:rPr>
        <w:t>
      Примером холодоносителя является рассол;</w:t>
      </w:r>
    </w:p>
    <w:bookmarkEnd w:id="354"/>
    <w:bookmarkStart w:name="z356" w:id="355"/>
    <w:p>
      <w:pPr>
        <w:spacing w:after="0"/>
        <w:ind w:left="0"/>
        <w:jc w:val="both"/>
      </w:pPr>
      <w:r>
        <w:rPr>
          <w:rFonts w:ascii="Times New Roman"/>
          <w:b w:val="false"/>
          <w:i w:val="false"/>
          <w:color w:val="000000"/>
          <w:sz w:val="28"/>
        </w:rPr>
        <w:t>
      271) охлаждаемые помещения - грузовые помещения, оборудованные устройствами для поддержания пониженных температур и предназначенные для перевозки охлажденных и замороженных грузов;</w:t>
      </w:r>
    </w:p>
    <w:bookmarkEnd w:id="355"/>
    <w:bookmarkStart w:name="z357" w:id="356"/>
    <w:p>
      <w:pPr>
        <w:spacing w:after="0"/>
        <w:ind w:left="0"/>
        <w:jc w:val="both"/>
      </w:pPr>
      <w:r>
        <w:rPr>
          <w:rFonts w:ascii="Times New Roman"/>
          <w:b w:val="false"/>
          <w:i w:val="false"/>
          <w:color w:val="000000"/>
          <w:sz w:val="28"/>
        </w:rPr>
        <w:t>
      272) одобрение системы качества - действие уполномоченной на то организации, удостоверяющее, что обеспечивается необходимая уверенность в том, что должным образом идентифицированная система менеджмента качества предприятия отвечает требованиям Регистра судоходства;</w:t>
      </w:r>
    </w:p>
    <w:bookmarkEnd w:id="356"/>
    <w:bookmarkStart w:name="z358" w:id="357"/>
    <w:p>
      <w:pPr>
        <w:spacing w:after="0"/>
        <w:ind w:left="0"/>
        <w:jc w:val="both"/>
      </w:pPr>
      <w:r>
        <w:rPr>
          <w:rFonts w:ascii="Times New Roman"/>
          <w:b w:val="false"/>
          <w:i w:val="false"/>
          <w:color w:val="000000"/>
          <w:sz w:val="28"/>
        </w:rPr>
        <w:t>
      273) проба - часть полуфабриката или изделия либо специально изготовленная заготовка, из которой изготавливаются образцы для испытаний;</w:t>
      </w:r>
    </w:p>
    <w:bookmarkEnd w:id="357"/>
    <w:bookmarkStart w:name="z359" w:id="358"/>
    <w:p>
      <w:pPr>
        <w:spacing w:after="0"/>
        <w:ind w:left="0"/>
        <w:jc w:val="both"/>
      </w:pPr>
      <w:r>
        <w:rPr>
          <w:rFonts w:ascii="Times New Roman"/>
          <w:b w:val="false"/>
          <w:i w:val="false"/>
          <w:color w:val="000000"/>
          <w:sz w:val="28"/>
        </w:rPr>
        <w:t>
      274) сертификат выдается предприятием и удостоверяется подписью ответственного лица от контролирующего качество продукции органа предприятия;</w:t>
      </w:r>
    </w:p>
    <w:bookmarkEnd w:id="358"/>
    <w:bookmarkStart w:name="z360" w:id="359"/>
    <w:p>
      <w:pPr>
        <w:spacing w:after="0"/>
        <w:ind w:left="0"/>
        <w:jc w:val="both"/>
      </w:pPr>
      <w:r>
        <w:rPr>
          <w:rFonts w:ascii="Times New Roman"/>
          <w:b w:val="false"/>
          <w:i w:val="false"/>
          <w:color w:val="000000"/>
          <w:sz w:val="28"/>
        </w:rPr>
        <w:t xml:space="preserve">
      275) ширина башни по стапель-палубе </w:t>
      </w:r>
      <w:r>
        <w:rPr>
          <w:rFonts w:ascii="Times New Roman"/>
          <w:b w:val="false"/>
          <w:i/>
          <w:color w:val="000000"/>
          <w:sz w:val="28"/>
        </w:rPr>
        <w:t>b</w:t>
      </w:r>
      <w:r>
        <w:rPr>
          <w:rFonts w:ascii="Times New Roman"/>
          <w:b w:val="false"/>
          <w:i w:val="false"/>
          <w:color w:val="000000"/>
          <w:vertAlign w:val="subscript"/>
        </w:rPr>
        <w:t>сп</w:t>
      </w:r>
      <w:r>
        <w:rPr>
          <w:rFonts w:ascii="Times New Roman"/>
          <w:b w:val="false"/>
          <w:i w:val="false"/>
          <w:color w:val="000000"/>
          <w:sz w:val="28"/>
        </w:rPr>
        <w:t xml:space="preserve"> - расстояние, измеренное перпендикулярно к диаметральной плоскости, между теоретическими поверхностями внутреннего и наружного борта башни на уровне теоретической поверхности стапель-палубы;</w:t>
      </w:r>
    </w:p>
    <w:bookmarkEnd w:id="359"/>
    <w:bookmarkStart w:name="z361" w:id="360"/>
    <w:p>
      <w:pPr>
        <w:spacing w:after="0"/>
        <w:ind w:left="0"/>
        <w:jc w:val="both"/>
      </w:pPr>
      <w:r>
        <w:rPr>
          <w:rFonts w:ascii="Times New Roman"/>
          <w:b w:val="false"/>
          <w:i w:val="false"/>
          <w:color w:val="000000"/>
          <w:sz w:val="28"/>
        </w:rPr>
        <w:t xml:space="preserve">
      276) ширина стапель-палубы </w:t>
      </w:r>
      <w:r>
        <w:rPr>
          <w:rFonts w:ascii="Times New Roman"/>
          <w:b w:val="false"/>
          <w:i/>
          <w:color w:val="000000"/>
          <w:sz w:val="28"/>
        </w:rPr>
        <w:t>B</w:t>
      </w:r>
      <w:r>
        <w:rPr>
          <w:rFonts w:ascii="Times New Roman"/>
          <w:b w:val="false"/>
          <w:i w:val="false"/>
          <w:color w:val="000000"/>
          <w:vertAlign w:val="subscript"/>
        </w:rPr>
        <w:t>сп</w:t>
      </w:r>
      <w:r>
        <w:rPr>
          <w:rFonts w:ascii="Times New Roman"/>
          <w:b w:val="false"/>
          <w:i w:val="false"/>
          <w:color w:val="000000"/>
          <w:sz w:val="28"/>
        </w:rPr>
        <w:t xml:space="preserve"> - расстояние, измеренное перпендикулярно к диаметральной плоскости, между линиями пересечения теоретических поверхностей внутренних бортов башен и стапель-палубы;</w:t>
      </w:r>
    </w:p>
    <w:bookmarkEnd w:id="360"/>
    <w:bookmarkStart w:name="z362" w:id="361"/>
    <w:p>
      <w:pPr>
        <w:spacing w:after="0"/>
        <w:ind w:left="0"/>
        <w:jc w:val="both"/>
      </w:pPr>
      <w:r>
        <w:rPr>
          <w:rFonts w:ascii="Times New Roman"/>
          <w:b w:val="false"/>
          <w:i w:val="false"/>
          <w:color w:val="000000"/>
          <w:sz w:val="28"/>
        </w:rPr>
        <w:t>
      277) грунтоотвозная шаланда - самоходное или несамоходное судно, предназначенное для транспортировки грунта;</w:t>
      </w:r>
    </w:p>
    <w:bookmarkEnd w:id="361"/>
    <w:bookmarkStart w:name="z363" w:id="362"/>
    <w:p>
      <w:pPr>
        <w:spacing w:after="0"/>
        <w:ind w:left="0"/>
        <w:jc w:val="both"/>
      </w:pPr>
      <w:r>
        <w:rPr>
          <w:rFonts w:ascii="Times New Roman"/>
          <w:b w:val="false"/>
          <w:i w:val="false"/>
          <w:color w:val="000000"/>
          <w:sz w:val="28"/>
        </w:rPr>
        <w:t>
      278) дноуглубительное судно - самоходное или несамоходное судно, предназначенное для извлечения и транспортировки грунта;</w:t>
      </w:r>
    </w:p>
    <w:bookmarkEnd w:id="362"/>
    <w:bookmarkStart w:name="z364" w:id="363"/>
    <w:p>
      <w:pPr>
        <w:spacing w:after="0"/>
        <w:ind w:left="0"/>
        <w:jc w:val="both"/>
      </w:pPr>
      <w:r>
        <w:rPr>
          <w:rFonts w:ascii="Times New Roman"/>
          <w:b w:val="false"/>
          <w:i w:val="false"/>
          <w:color w:val="000000"/>
          <w:sz w:val="28"/>
        </w:rPr>
        <w:t>
      279) накатное судно - судно, специально предназначенное для перевозки различной колесной техники (автомобилей, железнодорожного подвижного состава, гусеничной техники, трейлеров с грузом и без груза), грузовые операции на котором производятся преимущественно горизонтальным способом - накатом;</w:t>
      </w:r>
    </w:p>
    <w:bookmarkEnd w:id="363"/>
    <w:bookmarkStart w:name="z365" w:id="364"/>
    <w:p>
      <w:pPr>
        <w:spacing w:after="0"/>
        <w:ind w:left="0"/>
        <w:jc w:val="both"/>
      </w:pPr>
      <w:r>
        <w:rPr>
          <w:rFonts w:ascii="Times New Roman"/>
          <w:b w:val="false"/>
          <w:i w:val="false"/>
          <w:color w:val="000000"/>
          <w:sz w:val="28"/>
        </w:rPr>
        <w:t>
      280) стоечное судно - несамоходное плавучее сооружение с корпусом понтонного или судового образования, эксплуатирующееся в режиме стоянки на якоре или на грунте либо на швартовах у причальной стенки (берега). К таким судам относятся: плавучие доки, плавучие гостиницы и общежития, плавучие мастерские, плавучие силовые установки, плавучие суда-склады, плавучие хранилища нефтепродуктов и так далее;</w:t>
      </w:r>
    </w:p>
    <w:bookmarkEnd w:id="364"/>
    <w:bookmarkStart w:name="z366" w:id="365"/>
    <w:p>
      <w:pPr>
        <w:spacing w:after="0"/>
        <w:ind w:left="0"/>
        <w:jc w:val="both"/>
      </w:pPr>
      <w:r>
        <w:rPr>
          <w:rFonts w:ascii="Times New Roman"/>
          <w:b w:val="false"/>
          <w:i w:val="false"/>
          <w:color w:val="000000"/>
          <w:sz w:val="28"/>
        </w:rPr>
        <w:t>
      281) трюмный земснаряд - самоходное или несамоходное судно, предназначенное для извлечения грунта специальными устройствами (черпаками, всасывающими устройствами, грейферами) и имеющее трюмы для размещения грунта и его транспортировки;</w:t>
      </w:r>
    </w:p>
    <w:bookmarkEnd w:id="365"/>
    <w:bookmarkStart w:name="z367" w:id="366"/>
    <w:p>
      <w:pPr>
        <w:spacing w:after="0"/>
        <w:ind w:left="0"/>
        <w:jc w:val="both"/>
      </w:pPr>
      <w:r>
        <w:rPr>
          <w:rFonts w:ascii="Times New Roman"/>
          <w:b w:val="false"/>
          <w:i w:val="false"/>
          <w:color w:val="000000"/>
          <w:sz w:val="28"/>
        </w:rPr>
        <w:t>
      282) оператор морского терминала - лицо, владеющее на праве собственности или иных законных основаниях терминалом в морском порту;</w:t>
      </w:r>
    </w:p>
    <w:bookmarkEnd w:id="366"/>
    <w:bookmarkStart w:name="z368" w:id="367"/>
    <w:p>
      <w:pPr>
        <w:spacing w:after="0"/>
        <w:ind w:left="0"/>
        <w:jc w:val="both"/>
      </w:pPr>
      <w:r>
        <w:rPr>
          <w:rFonts w:ascii="Times New Roman"/>
          <w:b w:val="false"/>
          <w:i w:val="false"/>
          <w:color w:val="000000"/>
          <w:sz w:val="28"/>
        </w:rPr>
        <w:t>
      283) сплоченность - мера сплошности ледового покрова, характеризуемая отношением площади, занимаемой льдами, к общей площади рассматриваемого участка акватории (оценивается по 10-балльной шкале);</w:t>
      </w:r>
    </w:p>
    <w:bookmarkEnd w:id="367"/>
    <w:bookmarkStart w:name="z369" w:id="368"/>
    <w:p>
      <w:pPr>
        <w:spacing w:after="0"/>
        <w:ind w:left="0"/>
        <w:jc w:val="both"/>
      </w:pPr>
      <w:r>
        <w:rPr>
          <w:rFonts w:ascii="Times New Roman"/>
          <w:b w:val="false"/>
          <w:i w:val="false"/>
          <w:color w:val="000000"/>
          <w:sz w:val="28"/>
        </w:rPr>
        <w:t>
      284) нижние палубы - палубы, расположенные ниже верхней палубы.</w:t>
      </w:r>
    </w:p>
    <w:bookmarkEnd w:id="368"/>
    <w:bookmarkStart w:name="z370" w:id="369"/>
    <w:p>
      <w:pPr>
        <w:spacing w:after="0"/>
        <w:ind w:left="0"/>
        <w:jc w:val="both"/>
      </w:pPr>
      <w:r>
        <w:rPr>
          <w:rFonts w:ascii="Times New Roman"/>
          <w:b w:val="false"/>
          <w:i w:val="false"/>
          <w:color w:val="000000"/>
          <w:sz w:val="28"/>
        </w:rPr>
        <w:t>
      При наличии нескольких нижних палуб они называются: вторая, третья и считая от верхней палубы;</w:t>
      </w:r>
    </w:p>
    <w:bookmarkEnd w:id="369"/>
    <w:bookmarkStart w:name="z371" w:id="370"/>
    <w:p>
      <w:pPr>
        <w:spacing w:after="0"/>
        <w:ind w:left="0"/>
        <w:jc w:val="both"/>
      </w:pPr>
      <w:r>
        <w:rPr>
          <w:rFonts w:ascii="Times New Roman"/>
          <w:b w:val="false"/>
          <w:i w:val="false"/>
          <w:color w:val="000000"/>
          <w:sz w:val="28"/>
        </w:rPr>
        <w:t>
      285) разгружающий балласт - балласт, принимаемый в балластные отсеки с целью уменьшения поперечных и/или продольных изгибающих моментов и деформаций конструкций понтона и/или башен;</w:t>
      </w:r>
    </w:p>
    <w:bookmarkEnd w:id="370"/>
    <w:bookmarkStart w:name="z372" w:id="371"/>
    <w:p>
      <w:pPr>
        <w:spacing w:after="0"/>
        <w:ind w:left="0"/>
        <w:jc w:val="both"/>
      </w:pPr>
      <w:r>
        <w:rPr>
          <w:rFonts w:ascii="Times New Roman"/>
          <w:b w:val="false"/>
          <w:i w:val="false"/>
          <w:color w:val="000000"/>
          <w:sz w:val="28"/>
        </w:rPr>
        <w:t>
      286) топ-палуба - верхняя палуба башен дока;</w:t>
      </w:r>
    </w:p>
    <w:bookmarkEnd w:id="371"/>
    <w:bookmarkStart w:name="z373" w:id="372"/>
    <w:p>
      <w:pPr>
        <w:spacing w:after="0"/>
        <w:ind w:left="0"/>
        <w:jc w:val="both"/>
      </w:pPr>
      <w:r>
        <w:rPr>
          <w:rFonts w:ascii="Times New Roman"/>
          <w:b w:val="false"/>
          <w:i w:val="false"/>
          <w:color w:val="000000"/>
          <w:sz w:val="28"/>
        </w:rPr>
        <w:t xml:space="preserve">
      287) ширина башни по топ-палубе </w:t>
      </w:r>
      <w:r>
        <w:rPr>
          <w:rFonts w:ascii="Times New Roman"/>
          <w:b w:val="false"/>
          <w:i/>
          <w:color w:val="000000"/>
          <w:sz w:val="28"/>
        </w:rPr>
        <w:t>b</w:t>
      </w:r>
      <w:r>
        <w:rPr>
          <w:rFonts w:ascii="Times New Roman"/>
          <w:b w:val="false"/>
          <w:i w:val="false"/>
          <w:color w:val="000000"/>
          <w:vertAlign w:val="subscript"/>
        </w:rPr>
        <w:t>тп</w:t>
      </w:r>
      <w:r>
        <w:rPr>
          <w:rFonts w:ascii="Times New Roman"/>
          <w:b w:val="false"/>
          <w:i w:val="false"/>
          <w:color w:val="000000"/>
          <w:sz w:val="28"/>
        </w:rPr>
        <w:t xml:space="preserve"> - расстояние, измеренное перпендикулярно к диаметральной плоскости, между теоретическими поверхностями внутреннего и наружного борта башни на уровне теоретической поверхности топ-палубы;</w:t>
      </w:r>
    </w:p>
    <w:bookmarkEnd w:id="372"/>
    <w:bookmarkStart w:name="z374" w:id="373"/>
    <w:p>
      <w:pPr>
        <w:spacing w:after="0"/>
        <w:ind w:left="0"/>
        <w:jc w:val="both"/>
      </w:pPr>
      <w:r>
        <w:rPr>
          <w:rFonts w:ascii="Times New Roman"/>
          <w:b w:val="false"/>
          <w:i w:val="false"/>
          <w:color w:val="000000"/>
          <w:sz w:val="28"/>
        </w:rPr>
        <w:t>
      288) непроницаемый при воздействии моря - термин, относящийся к закрытиям отверстий в надводной части судна и означающий, что при накате волн и других возможных воздействиях моря вода через эти отверстия внутрь судна не проникает;</w:t>
      </w:r>
    </w:p>
    <w:bookmarkEnd w:id="373"/>
    <w:bookmarkStart w:name="z375" w:id="374"/>
    <w:p>
      <w:pPr>
        <w:spacing w:after="0"/>
        <w:ind w:left="0"/>
        <w:jc w:val="both"/>
      </w:pPr>
      <w:r>
        <w:rPr>
          <w:rFonts w:ascii="Times New Roman"/>
          <w:b w:val="false"/>
          <w:i w:val="false"/>
          <w:color w:val="000000"/>
          <w:sz w:val="28"/>
        </w:rPr>
        <w:t>
      289) опрокидывающий момент - условный расчетный минимальный кренящий момент, опрокидывающий судно;</w:t>
      </w:r>
    </w:p>
    <w:bookmarkEnd w:id="374"/>
    <w:bookmarkStart w:name="z376" w:id="375"/>
    <w:p>
      <w:pPr>
        <w:spacing w:after="0"/>
        <w:ind w:left="0"/>
        <w:jc w:val="both"/>
      </w:pPr>
      <w:r>
        <w:rPr>
          <w:rFonts w:ascii="Times New Roman"/>
          <w:b w:val="false"/>
          <w:i w:val="false"/>
          <w:color w:val="000000"/>
          <w:sz w:val="28"/>
        </w:rPr>
        <w:t>
      290) жидкости легковоспламеняющиеся - жидкости, смеси жидкостей или жидкости, содержащие твердые вещества в растворе или суспензии (краски, политуры, лаки), которые выделяют пары, воспламеняющиеся в закрытом сосуде при температуры 60</w:t>
      </w:r>
      <w:r>
        <w:rPr>
          <w:rFonts w:ascii="Times New Roman"/>
          <w:b w:val="false"/>
          <w:i w:val="false"/>
          <w:color w:val="000000"/>
          <w:vertAlign w:val="superscript"/>
        </w:rPr>
        <w:t>о</w:t>
      </w:r>
      <w:r>
        <w:rPr>
          <w:rFonts w:ascii="Times New Roman"/>
          <w:b w:val="false"/>
          <w:i w:val="false"/>
          <w:color w:val="000000"/>
          <w:sz w:val="28"/>
        </w:rPr>
        <w:t>С и ниже;</w:t>
      </w:r>
    </w:p>
    <w:bookmarkEnd w:id="375"/>
    <w:bookmarkStart w:name="z377" w:id="376"/>
    <w:p>
      <w:pPr>
        <w:spacing w:after="0"/>
        <w:ind w:left="0"/>
        <w:jc w:val="both"/>
      </w:pPr>
      <w:r>
        <w:rPr>
          <w:rFonts w:ascii="Times New Roman"/>
          <w:b w:val="false"/>
          <w:i w:val="false"/>
          <w:color w:val="000000"/>
          <w:sz w:val="28"/>
        </w:rPr>
        <w:t>
      291) нижний предел воспламеняемости (далее - НПВ) - минимальная концентрация нефтяных газов и паров в воздухе, способная воспламеняться от источника зажигания с последующим распространением горения по смеси;</w:t>
      </w:r>
    </w:p>
    <w:bookmarkEnd w:id="376"/>
    <w:bookmarkStart w:name="z378" w:id="377"/>
    <w:p>
      <w:pPr>
        <w:spacing w:after="0"/>
        <w:ind w:left="0"/>
        <w:jc w:val="both"/>
      </w:pPr>
      <w:r>
        <w:rPr>
          <w:rFonts w:ascii="Times New Roman"/>
          <w:b w:val="false"/>
          <w:i w:val="false"/>
          <w:color w:val="000000"/>
          <w:sz w:val="28"/>
        </w:rPr>
        <w:t>
      292) системы пожаротушения стационарные - системы, предназначенные для подачи огнетушащего вещества к защищаемым помещениям или непосредственно в них и конструктивно связанные с корпусом судна;</w:t>
      </w:r>
    </w:p>
    <w:bookmarkEnd w:id="377"/>
    <w:bookmarkStart w:name="z379" w:id="378"/>
    <w:p>
      <w:pPr>
        <w:spacing w:after="0"/>
        <w:ind w:left="0"/>
        <w:jc w:val="both"/>
      </w:pPr>
      <w:r>
        <w:rPr>
          <w:rFonts w:ascii="Times New Roman"/>
          <w:b w:val="false"/>
          <w:i w:val="false"/>
          <w:color w:val="000000"/>
          <w:sz w:val="28"/>
        </w:rPr>
        <w:t>
      293) температура вспышки - температура в градусах Цельсия (испытание в закрытом тигле), при котором жидкость выделяет легковоспламеняющиеся пары в количестве, достаточном для воспламенения, установленная с помощью одобренного прибора;</w:t>
      </w:r>
    </w:p>
    <w:bookmarkEnd w:id="378"/>
    <w:bookmarkStart w:name="z380" w:id="379"/>
    <w:p>
      <w:pPr>
        <w:spacing w:after="0"/>
        <w:ind w:left="0"/>
        <w:jc w:val="both"/>
      </w:pPr>
      <w:r>
        <w:rPr>
          <w:rFonts w:ascii="Times New Roman"/>
          <w:b w:val="false"/>
          <w:i w:val="false"/>
          <w:color w:val="000000"/>
          <w:sz w:val="28"/>
        </w:rPr>
        <w:t>
      294) пропульсивная установка - комплекс механизмов и устройств, предназначенный для выработки, преобразования и передачи энергии, обеспечивающей движение судна на всех спецификационных режимах хода, и состоящий из движителей, валопроводов, главных судовых передач и главных двигателей;</w:t>
      </w:r>
    </w:p>
    <w:bookmarkEnd w:id="379"/>
    <w:bookmarkStart w:name="z381" w:id="380"/>
    <w:p>
      <w:pPr>
        <w:spacing w:after="0"/>
        <w:ind w:left="0"/>
        <w:jc w:val="both"/>
      </w:pPr>
      <w:r>
        <w:rPr>
          <w:rFonts w:ascii="Times New Roman"/>
          <w:b w:val="false"/>
          <w:i w:val="false"/>
          <w:color w:val="000000"/>
          <w:sz w:val="28"/>
        </w:rPr>
        <w:t>
      295) признанное предприятие - предприятие, внесенное в перечень признанных (одобренных) материалов и предприятий-изготовителей;</w:t>
      </w:r>
    </w:p>
    <w:bookmarkEnd w:id="380"/>
    <w:bookmarkStart w:name="z382" w:id="381"/>
    <w:p>
      <w:pPr>
        <w:spacing w:after="0"/>
        <w:ind w:left="0"/>
        <w:jc w:val="both"/>
      </w:pPr>
      <w:r>
        <w:rPr>
          <w:rFonts w:ascii="Times New Roman"/>
          <w:b w:val="false"/>
          <w:i w:val="false"/>
          <w:color w:val="000000"/>
          <w:sz w:val="28"/>
        </w:rPr>
        <w:t>
      296) сдаточные испытания - определенный требованиями Регистра судоходства или согласованной с ним документацией объем испытаний продукции, освидетельствуемой Регистром судоходства на основании результатов которых могут быть оформлены свидетельства Регистра судоходства;</w:t>
      </w:r>
    </w:p>
    <w:bookmarkEnd w:id="381"/>
    <w:bookmarkStart w:name="z383" w:id="382"/>
    <w:p>
      <w:pPr>
        <w:spacing w:after="0"/>
        <w:ind w:left="0"/>
        <w:jc w:val="both"/>
      </w:pPr>
      <w:r>
        <w:rPr>
          <w:rFonts w:ascii="Times New Roman"/>
          <w:b w:val="false"/>
          <w:i w:val="false"/>
          <w:color w:val="000000"/>
          <w:sz w:val="28"/>
        </w:rPr>
        <w:t>
      297) свидетельство о типовом одобрении - документ, подтверждающий соответствие изготавливаемой предприятием продукции требованиям Регистра судоходства и удостоверяющий внесение предприятия в перечень одобренных (признанных) материалов и предприятий-изготовителей;</w:t>
      </w:r>
    </w:p>
    <w:bookmarkEnd w:id="382"/>
    <w:bookmarkStart w:name="z384" w:id="383"/>
    <w:p>
      <w:pPr>
        <w:spacing w:after="0"/>
        <w:ind w:left="0"/>
        <w:jc w:val="both"/>
      </w:pPr>
      <w:r>
        <w:rPr>
          <w:rFonts w:ascii="Times New Roman"/>
          <w:b w:val="false"/>
          <w:i w:val="false"/>
          <w:color w:val="000000"/>
          <w:sz w:val="28"/>
        </w:rPr>
        <w:t>
      298) отделение холодильных машин - машинное помещение, в котором расположены механизмы и оборудование холодильных установок, предназначенное для производства искусственного холода;</w:t>
      </w:r>
    </w:p>
    <w:bookmarkEnd w:id="383"/>
    <w:bookmarkStart w:name="z385" w:id="384"/>
    <w:p>
      <w:pPr>
        <w:spacing w:after="0"/>
        <w:ind w:left="0"/>
        <w:jc w:val="both"/>
      </w:pPr>
      <w:r>
        <w:rPr>
          <w:rFonts w:ascii="Times New Roman"/>
          <w:b w:val="false"/>
          <w:i w:val="false"/>
          <w:color w:val="000000"/>
          <w:sz w:val="28"/>
        </w:rPr>
        <w:t>
      299) холодильный агент - рабочее вещество холодильного цикла;</w:t>
      </w:r>
    </w:p>
    <w:bookmarkEnd w:id="384"/>
    <w:bookmarkStart w:name="z386" w:id="385"/>
    <w:p>
      <w:pPr>
        <w:spacing w:after="0"/>
        <w:ind w:left="0"/>
        <w:jc w:val="both"/>
      </w:pPr>
      <w:r>
        <w:rPr>
          <w:rFonts w:ascii="Times New Roman"/>
          <w:b w:val="false"/>
          <w:i w:val="false"/>
          <w:color w:val="000000"/>
          <w:sz w:val="28"/>
        </w:rPr>
        <w:t>
      300) признанная лаборатория - лаборатория (центр), внесенная в перечень лабораторий (центров), имеющих аттестата об аккредитации испытательных лабораторий;</w:t>
      </w:r>
    </w:p>
    <w:bookmarkEnd w:id="385"/>
    <w:bookmarkStart w:name="z387" w:id="386"/>
    <w:p>
      <w:pPr>
        <w:spacing w:after="0"/>
        <w:ind w:left="0"/>
        <w:jc w:val="both"/>
      </w:pPr>
      <w:r>
        <w:rPr>
          <w:rFonts w:ascii="Times New Roman"/>
          <w:b w:val="false"/>
          <w:i w:val="false"/>
          <w:color w:val="000000"/>
          <w:sz w:val="28"/>
        </w:rPr>
        <w:t>
      301) зона термического влияния - прилегающий к сварному шву (или к наплавке) слой основного металла, в котором произошли структурные превращения под влиянием нагрева при сварке;</w:t>
      </w:r>
    </w:p>
    <w:bookmarkEnd w:id="386"/>
    <w:bookmarkStart w:name="z388" w:id="387"/>
    <w:p>
      <w:pPr>
        <w:spacing w:after="0"/>
        <w:ind w:left="0"/>
        <w:jc w:val="both"/>
      </w:pPr>
      <w:r>
        <w:rPr>
          <w:rFonts w:ascii="Times New Roman"/>
          <w:b w:val="false"/>
          <w:i w:val="false"/>
          <w:color w:val="000000"/>
          <w:sz w:val="28"/>
        </w:rPr>
        <w:t>
      302) палуба верхняя - самая верхняя непрерывная по всей длине судна палуба.</w:t>
      </w:r>
    </w:p>
    <w:bookmarkEnd w:id="387"/>
    <w:bookmarkStart w:name="z389" w:id="388"/>
    <w:p>
      <w:pPr>
        <w:spacing w:after="0"/>
        <w:ind w:left="0"/>
        <w:jc w:val="both"/>
      </w:pPr>
      <w:r>
        <w:rPr>
          <w:rFonts w:ascii="Times New Roman"/>
          <w:b w:val="false"/>
          <w:i w:val="false"/>
          <w:color w:val="000000"/>
          <w:sz w:val="28"/>
        </w:rPr>
        <w:t>
      Верхняя палуба может иметь уступ или уступы;</w:t>
      </w:r>
    </w:p>
    <w:bookmarkEnd w:id="388"/>
    <w:bookmarkStart w:name="z390" w:id="389"/>
    <w:p>
      <w:pPr>
        <w:spacing w:after="0"/>
        <w:ind w:left="0"/>
        <w:jc w:val="both"/>
      </w:pPr>
      <w:r>
        <w:rPr>
          <w:rFonts w:ascii="Times New Roman"/>
          <w:b w:val="false"/>
          <w:i w:val="false"/>
          <w:color w:val="000000"/>
          <w:sz w:val="28"/>
        </w:rPr>
        <w:t>
      303) навалочный груз - зерно и незерновой груз, состоящий из отдельных частиц и погруженный без тары;</w:t>
      </w:r>
    </w:p>
    <w:bookmarkEnd w:id="389"/>
    <w:bookmarkStart w:name="z391" w:id="390"/>
    <w:p>
      <w:pPr>
        <w:spacing w:after="0"/>
        <w:ind w:left="0"/>
        <w:jc w:val="both"/>
      </w:pPr>
      <w:r>
        <w:rPr>
          <w:rFonts w:ascii="Times New Roman"/>
          <w:b w:val="false"/>
          <w:i w:val="false"/>
          <w:color w:val="000000"/>
          <w:sz w:val="28"/>
        </w:rPr>
        <w:t>
      304) тушение поверхностное - охлаждение или смачивание горящих поверхностей либо ограничение доступа кислорода к ним;</w:t>
      </w:r>
    </w:p>
    <w:bookmarkEnd w:id="390"/>
    <w:bookmarkStart w:name="z392" w:id="391"/>
    <w:p>
      <w:pPr>
        <w:spacing w:after="0"/>
        <w:ind w:left="0"/>
        <w:jc w:val="both"/>
      </w:pPr>
      <w:r>
        <w:rPr>
          <w:rFonts w:ascii="Times New Roman"/>
          <w:b w:val="false"/>
          <w:i w:val="false"/>
          <w:color w:val="000000"/>
          <w:sz w:val="28"/>
        </w:rPr>
        <w:t>
      305) источник бесперебойного питания (далее - ИБП) - комбинация преобразователей (выпрямитель-инвертор), переключателей (байпас) и источника накопленной энергии в виде аккумуляторной батареи для поддержания напряжения на нагрузке в случае неисправности в сети питания;</w:t>
      </w:r>
    </w:p>
    <w:bookmarkEnd w:id="391"/>
    <w:bookmarkStart w:name="z393" w:id="392"/>
    <w:p>
      <w:pPr>
        <w:spacing w:after="0"/>
        <w:ind w:left="0"/>
        <w:jc w:val="both"/>
      </w:pPr>
      <w:r>
        <w:rPr>
          <w:rFonts w:ascii="Times New Roman"/>
          <w:b w:val="false"/>
          <w:i w:val="false"/>
          <w:color w:val="000000"/>
          <w:sz w:val="28"/>
        </w:rPr>
        <w:t>
      306) образец - изготовленное из пробы изделие определенной формы и размеров, на котором производится определение механических, технологических и других свойств материала при испытаниях;</w:t>
      </w:r>
    </w:p>
    <w:bookmarkEnd w:id="392"/>
    <w:bookmarkStart w:name="z394" w:id="393"/>
    <w:p>
      <w:pPr>
        <w:spacing w:after="0"/>
        <w:ind w:left="0"/>
        <w:jc w:val="both"/>
      </w:pPr>
      <w:r>
        <w:rPr>
          <w:rFonts w:ascii="Times New Roman"/>
          <w:b w:val="false"/>
          <w:i w:val="false"/>
          <w:color w:val="000000"/>
          <w:sz w:val="28"/>
        </w:rPr>
        <w:t>
      307) источник бесперебойного питания - устройство, которое при исчезновении на его входе энергии питания от основного и/или аварийного источников обеспечивает непрерывное наличие энергии на выходе в течение определенного времени;</w:t>
      </w:r>
    </w:p>
    <w:bookmarkEnd w:id="393"/>
    <w:bookmarkStart w:name="z395" w:id="394"/>
    <w:p>
      <w:pPr>
        <w:spacing w:after="0"/>
        <w:ind w:left="0"/>
        <w:jc w:val="both"/>
      </w:pPr>
      <w:r>
        <w:rPr>
          <w:rFonts w:ascii="Times New Roman"/>
          <w:b w:val="false"/>
          <w:i w:val="false"/>
          <w:color w:val="000000"/>
          <w:sz w:val="28"/>
        </w:rPr>
        <w:t>
      308) трехслойная конструкция - конструкция, которая состоит из двух пластин, соединенных между собой средним слоем из пенопласта, сот, причем средний слой является несущим и воспринимает нагрузку совместно с пластинами;</w:t>
      </w:r>
    </w:p>
    <w:bookmarkEnd w:id="394"/>
    <w:bookmarkStart w:name="z396" w:id="395"/>
    <w:p>
      <w:pPr>
        <w:spacing w:after="0"/>
        <w:ind w:left="0"/>
        <w:jc w:val="both"/>
      </w:pPr>
      <w:r>
        <w:rPr>
          <w:rFonts w:ascii="Times New Roman"/>
          <w:b w:val="false"/>
          <w:i w:val="false"/>
          <w:color w:val="000000"/>
          <w:sz w:val="28"/>
        </w:rPr>
        <w:t>
      309) длинная рубка - рубка, не имеющая расширительных или скользящих соединений, длиной не менее определяемой по формуле (162) настоящих Правил, но не менее 0,20</w:t>
      </w:r>
      <w:r>
        <w:rPr>
          <w:rFonts w:ascii="Times New Roman"/>
          <w:b w:val="false"/>
          <w:i/>
          <w:color w:val="000000"/>
          <w:sz w:val="28"/>
        </w:rPr>
        <w:t>L</w:t>
      </w:r>
      <w:r>
        <w:rPr>
          <w:rFonts w:ascii="Times New Roman"/>
          <w:b w:val="false"/>
          <w:i w:val="false"/>
          <w:color w:val="000000"/>
          <w:sz w:val="28"/>
        </w:rPr>
        <w:t>.</w:t>
      </w:r>
    </w:p>
    <w:bookmarkEnd w:id="395"/>
    <w:bookmarkStart w:name="z397" w:id="396"/>
    <w:p>
      <w:pPr>
        <w:spacing w:after="0"/>
        <w:ind w:left="0"/>
        <w:jc w:val="both"/>
      </w:pPr>
      <w:r>
        <w:rPr>
          <w:rFonts w:ascii="Times New Roman"/>
          <w:b w:val="false"/>
          <w:i w:val="false"/>
          <w:color w:val="000000"/>
          <w:sz w:val="28"/>
        </w:rPr>
        <w:t>
      Длинная средняя надстройка - надстройка длиной, м, не менее:</w:t>
      </w:r>
    </w:p>
    <w:bookmarkEnd w:id="396"/>
    <w:p>
      <w:pPr>
        <w:spacing w:after="0"/>
        <w:ind w:left="0"/>
        <w:jc w:val="both"/>
      </w:pPr>
      <w:r>
        <w:rPr>
          <w:rFonts w:ascii="Times New Roman"/>
          <w:b w:val="false"/>
          <w:i w:val="false"/>
          <w:color w:val="000000"/>
          <w:sz w:val="28"/>
        </w:rPr>
        <w:t>
      l = 2</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(162)</w:t>
      </w:r>
    </w:p>
    <w:bookmarkStart w:name="z398" w:id="397"/>
    <w:p>
      <w:pPr>
        <w:spacing w:after="0"/>
        <w:ind w:left="0"/>
        <w:jc w:val="both"/>
      </w:pPr>
      <w:r>
        <w:rPr>
          <w:rFonts w:ascii="Times New Roman"/>
          <w:b w:val="false"/>
          <w:i w:val="false"/>
          <w:color w:val="000000"/>
          <w:sz w:val="28"/>
        </w:rPr>
        <w:t>
      но не менее 0,15</w:t>
      </w:r>
      <w:r>
        <w:rPr>
          <w:rFonts w:ascii="Times New Roman"/>
          <w:b w:val="false"/>
          <w:i/>
          <w:color w:val="000000"/>
          <w:sz w:val="28"/>
        </w:rPr>
        <w:t>L</w:t>
      </w:r>
      <w:r>
        <w:rPr>
          <w:rFonts w:ascii="Times New Roman"/>
          <w:b w:val="false"/>
          <w:i w:val="false"/>
          <w:color w:val="000000"/>
          <w:sz w:val="28"/>
        </w:rPr>
        <w:t>;</w:t>
      </w:r>
    </w:p>
    <w:bookmarkEnd w:id="397"/>
    <w:bookmarkStart w:name="z399" w:id="398"/>
    <w:p>
      <w:pPr>
        <w:spacing w:after="0"/>
        <w:ind w:left="0"/>
        <w:jc w:val="both"/>
      </w:pPr>
      <w:r>
        <w:rPr>
          <w:rFonts w:ascii="Times New Roman"/>
          <w:b w:val="false"/>
          <w:i w:val="false"/>
          <w:color w:val="000000"/>
          <w:sz w:val="28"/>
        </w:rPr>
        <w:t>
      310) удлиненный бак (ют) - у судов длиной 65 м и более бак (ют) длиной, м, не менее определяемой по формуле:</w:t>
      </w:r>
    </w:p>
    <w:bookmarkEnd w:id="398"/>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(164)</w:t>
      </w:r>
    </w:p>
    <w:bookmarkStart w:name="z400" w:id="399"/>
    <w:p>
      <w:pPr>
        <w:spacing w:after="0"/>
        <w:ind w:left="0"/>
        <w:jc w:val="both"/>
      </w:pPr>
      <w:r>
        <w:rPr>
          <w:rFonts w:ascii="Times New Roman"/>
          <w:b w:val="false"/>
          <w:i w:val="false"/>
          <w:color w:val="000000"/>
          <w:sz w:val="28"/>
        </w:rPr>
        <w:t>
      311) переборка цистерны, грузового танка - переборка, ограничивающая балластную, топливную или иную цистерну, а также грузовой танк наливного судна;</w:t>
      </w:r>
    </w:p>
    <w:bookmarkEnd w:id="399"/>
    <w:bookmarkStart w:name="z401" w:id="400"/>
    <w:p>
      <w:pPr>
        <w:spacing w:after="0"/>
        <w:ind w:left="0"/>
        <w:jc w:val="both"/>
      </w:pPr>
      <w:r>
        <w:rPr>
          <w:rFonts w:ascii="Times New Roman"/>
          <w:b w:val="false"/>
          <w:i w:val="false"/>
          <w:color w:val="000000"/>
          <w:sz w:val="28"/>
        </w:rPr>
        <w:t>
      312) оконечности - части длины судна, расположенные за пределами средней части длины судна;</w:t>
      </w:r>
    </w:p>
    <w:bookmarkEnd w:id="400"/>
    <w:bookmarkStart w:name="z402" w:id="401"/>
    <w:p>
      <w:pPr>
        <w:spacing w:after="0"/>
        <w:ind w:left="0"/>
        <w:jc w:val="both"/>
      </w:pPr>
      <w:r>
        <w:rPr>
          <w:rFonts w:ascii="Times New Roman"/>
          <w:b w:val="false"/>
          <w:i w:val="false"/>
          <w:color w:val="000000"/>
          <w:sz w:val="28"/>
        </w:rPr>
        <w:t>
      313) шпация - расстояние между балками основного набора, принимаемое исходя из нормальной шпации по, м, определяемой по формуле а</w:t>
      </w:r>
      <w:r>
        <w:rPr>
          <w:rFonts w:ascii="Times New Roman"/>
          <w:b w:val="false"/>
          <w:i w:val="false"/>
          <w:color w:val="000000"/>
          <w:vertAlign w:val="subscript"/>
        </w:rPr>
        <w:t>0</w:t>
      </w:r>
      <w:r>
        <w:rPr>
          <w:rFonts w:ascii="Times New Roman"/>
          <w:b w:val="false"/>
          <w:i w:val="false"/>
          <w:color w:val="000000"/>
          <w:sz w:val="28"/>
        </w:rPr>
        <w:t xml:space="preserve"> = 0,002</w:t>
      </w:r>
      <w:r>
        <w:rPr>
          <w:rFonts w:ascii="Times New Roman"/>
          <w:b w:val="false"/>
          <w:i/>
          <w:color w:val="000000"/>
          <w:sz w:val="28"/>
        </w:rPr>
        <w:t>L</w:t>
      </w:r>
      <w:r>
        <w:rPr>
          <w:rFonts w:ascii="Times New Roman"/>
          <w:b w:val="false"/>
          <w:i w:val="false"/>
          <w:color w:val="000000"/>
          <w:sz w:val="28"/>
        </w:rPr>
        <w:t xml:space="preserve"> + 0,48;</w:t>
      </w:r>
    </w:p>
    <w:bookmarkEnd w:id="401"/>
    <w:bookmarkStart w:name="z403" w:id="402"/>
    <w:p>
      <w:pPr>
        <w:spacing w:after="0"/>
        <w:ind w:left="0"/>
        <w:jc w:val="both"/>
      </w:pPr>
      <w:r>
        <w:rPr>
          <w:rFonts w:ascii="Times New Roman"/>
          <w:b w:val="false"/>
          <w:i w:val="false"/>
          <w:color w:val="000000"/>
          <w:sz w:val="28"/>
        </w:rPr>
        <w:t>
      314) отбойная переборка - переборка с вырезами, устанавливаемая внутри отсека для уменьшения динамической нагрузки от перемещающейся в нем жидкости;</w:t>
      </w:r>
    </w:p>
    <w:bookmarkEnd w:id="402"/>
    <w:bookmarkStart w:name="z404" w:id="403"/>
    <w:p>
      <w:pPr>
        <w:spacing w:after="0"/>
        <w:ind w:left="0"/>
        <w:jc w:val="both"/>
      </w:pPr>
      <w:r>
        <w:rPr>
          <w:rFonts w:ascii="Times New Roman"/>
          <w:b w:val="false"/>
          <w:i w:val="false"/>
          <w:color w:val="000000"/>
          <w:sz w:val="28"/>
        </w:rPr>
        <w:t>
      315) амплитуда качки - условная расчетная амплитуда качки;</w:t>
      </w:r>
    </w:p>
    <w:bookmarkEnd w:id="403"/>
    <w:bookmarkStart w:name="z405" w:id="404"/>
    <w:p>
      <w:pPr>
        <w:spacing w:after="0"/>
        <w:ind w:left="0"/>
        <w:jc w:val="both"/>
      </w:pPr>
      <w:r>
        <w:rPr>
          <w:rFonts w:ascii="Times New Roman"/>
          <w:b w:val="false"/>
          <w:i w:val="false"/>
          <w:color w:val="000000"/>
          <w:sz w:val="28"/>
        </w:rPr>
        <w:t>
      316) диаграмма предельных моментов - диаграмма предельных статических моментов, по оси абсцисс которой отложены водоизмещение, дедвейт или осадка судна, а по оси ординат - предельные величины статических моментов массы по высоте, отвечающие совокупности различных требований настоящей части Правил к остойчивости судна;</w:t>
      </w:r>
    </w:p>
    <w:bookmarkEnd w:id="404"/>
    <w:bookmarkStart w:name="z406" w:id="405"/>
    <w:p>
      <w:pPr>
        <w:spacing w:after="0"/>
        <w:ind w:left="0"/>
        <w:jc w:val="both"/>
      </w:pPr>
      <w:r>
        <w:rPr>
          <w:rFonts w:ascii="Times New Roman"/>
          <w:b w:val="false"/>
          <w:i w:val="false"/>
          <w:color w:val="000000"/>
          <w:sz w:val="28"/>
        </w:rPr>
        <w:t>
      317) сырая нефть - любая нефть, которая встречается в естественном виде в недрах земли, независимо от того, обработана она или нет с целью ее транспортировки, включая сырую нефть, из которой могли быть удалены некоторые фракции перегонки, и сырую нефть, в которую могли быть добавлены некоторые фракции перегонки;</w:t>
      </w:r>
    </w:p>
    <w:bookmarkEnd w:id="405"/>
    <w:bookmarkStart w:name="z407" w:id="406"/>
    <w:p>
      <w:pPr>
        <w:spacing w:after="0"/>
        <w:ind w:left="0"/>
        <w:jc w:val="both"/>
      </w:pPr>
      <w:r>
        <w:rPr>
          <w:rFonts w:ascii="Times New Roman"/>
          <w:b w:val="false"/>
          <w:i w:val="false"/>
          <w:color w:val="000000"/>
          <w:sz w:val="28"/>
        </w:rPr>
        <w:t>
      318) выход - отверстие в переборке или палубе, снабженное закрытием и предназначенное для прохода людей;</w:t>
      </w:r>
    </w:p>
    <w:bookmarkEnd w:id="406"/>
    <w:bookmarkStart w:name="z408" w:id="407"/>
    <w:p>
      <w:pPr>
        <w:spacing w:after="0"/>
        <w:ind w:left="0"/>
        <w:jc w:val="both"/>
      </w:pPr>
      <w:r>
        <w:rPr>
          <w:rFonts w:ascii="Times New Roman"/>
          <w:b w:val="false"/>
          <w:i w:val="false"/>
          <w:color w:val="000000"/>
          <w:sz w:val="28"/>
        </w:rPr>
        <w:t>
      319) выходной путь - путь, ведущий от самого нижнего уровня настила машинного помещения к выходу из этого помещения;</w:t>
      </w:r>
    </w:p>
    <w:bookmarkEnd w:id="407"/>
    <w:bookmarkStart w:name="z409" w:id="408"/>
    <w:p>
      <w:pPr>
        <w:spacing w:after="0"/>
        <w:ind w:left="0"/>
        <w:jc w:val="both"/>
      </w:pPr>
      <w:r>
        <w:rPr>
          <w:rFonts w:ascii="Times New Roman"/>
          <w:b w:val="false"/>
          <w:i w:val="false"/>
          <w:color w:val="000000"/>
          <w:sz w:val="28"/>
        </w:rPr>
        <w:t>
      320) аварийный источник электрической энергии - источник электрической энергии, предназначенный для питания необходимых судовых потребителей при исчезновении напряжения на главном распределительном щите;</w:t>
      </w:r>
    </w:p>
    <w:bookmarkEnd w:id="408"/>
    <w:bookmarkStart w:name="z410" w:id="409"/>
    <w:p>
      <w:pPr>
        <w:spacing w:after="0"/>
        <w:ind w:left="0"/>
        <w:jc w:val="both"/>
      </w:pPr>
      <w:r>
        <w:rPr>
          <w:rFonts w:ascii="Times New Roman"/>
          <w:b w:val="false"/>
          <w:i w:val="false"/>
          <w:color w:val="000000"/>
          <w:sz w:val="28"/>
        </w:rPr>
        <w:t>
      321) аварийный переходный источник электрической энергии - источник электрической энергии, предназначенный для питания необходимых потребителей с момента исчезновения напряжения на шинах ГРЩ до момента включения на шины АРЩ аварийного генератора;</w:t>
      </w:r>
    </w:p>
    <w:bookmarkEnd w:id="409"/>
    <w:bookmarkStart w:name="z411" w:id="410"/>
    <w:p>
      <w:pPr>
        <w:spacing w:after="0"/>
        <w:ind w:left="0"/>
        <w:jc w:val="both"/>
      </w:pPr>
      <w:r>
        <w:rPr>
          <w:rFonts w:ascii="Times New Roman"/>
          <w:b w:val="false"/>
          <w:i w:val="false"/>
          <w:color w:val="000000"/>
          <w:sz w:val="28"/>
        </w:rPr>
        <w:t>
      322) основной источник электрической энергии - источник электрической энергии, предназначенный для питания всех электрических устройств и систем, необходимых для поддержания нормального эксплуатационного состояния судна и нормальных условий обитаемости на нем, не прибегая при этом к использованию аварийного источника электрической энергии;</w:t>
      </w:r>
    </w:p>
    <w:bookmarkEnd w:id="410"/>
    <w:bookmarkStart w:name="z412" w:id="411"/>
    <w:p>
      <w:pPr>
        <w:spacing w:after="0"/>
        <w:ind w:left="0"/>
        <w:jc w:val="both"/>
      </w:pPr>
      <w:r>
        <w:rPr>
          <w:rFonts w:ascii="Times New Roman"/>
          <w:b w:val="false"/>
          <w:i w:val="false"/>
          <w:color w:val="000000"/>
          <w:sz w:val="28"/>
        </w:rPr>
        <w:t>
      323) электростатическая искробезопасность - состояние оборудования и систем судна, при котором исключается возможность возникновения пожара или взрыва от разрядов статического электричества;</w:t>
      </w:r>
    </w:p>
    <w:bookmarkEnd w:id="411"/>
    <w:bookmarkStart w:name="z413" w:id="412"/>
    <w:p>
      <w:pPr>
        <w:spacing w:after="0"/>
        <w:ind w:left="0"/>
        <w:jc w:val="both"/>
      </w:pPr>
      <w:r>
        <w:rPr>
          <w:rFonts w:ascii="Times New Roman"/>
          <w:b w:val="false"/>
          <w:i w:val="false"/>
          <w:color w:val="000000"/>
          <w:sz w:val="28"/>
        </w:rPr>
        <w:t>
      325) высокорадиоактивные отходы - жидкие отходы, полученные на установке по переработке отработавшего ядерного топлива в результате первой стадии экстракционного цикла, или концентрированные отходы, полученные на последующих стадиях экстракционного цикла, или твердые вещества, в которые были преобразованы такие жидкие отходы;</w:t>
      </w:r>
    </w:p>
    <w:bookmarkEnd w:id="412"/>
    <w:bookmarkStart w:name="z414" w:id="413"/>
    <w:p>
      <w:pPr>
        <w:spacing w:after="0"/>
        <w:ind w:left="0"/>
        <w:jc w:val="both"/>
      </w:pPr>
      <w:r>
        <w:rPr>
          <w:rFonts w:ascii="Times New Roman"/>
          <w:b w:val="false"/>
          <w:i w:val="false"/>
          <w:color w:val="000000"/>
          <w:sz w:val="28"/>
        </w:rPr>
        <w:t>
      325) груз ОЯТ – отработавшее ядерное топливо, плутоний и высокорадиоактивные отходы в упаковке, перевозимые в качестве груза в соответствии с классом 7 МКМПОГ;</w:t>
      </w:r>
    </w:p>
    <w:bookmarkEnd w:id="413"/>
    <w:bookmarkStart w:name="z415" w:id="414"/>
    <w:p>
      <w:pPr>
        <w:spacing w:after="0"/>
        <w:ind w:left="0"/>
        <w:jc w:val="both"/>
      </w:pPr>
      <w:r>
        <w:rPr>
          <w:rFonts w:ascii="Times New Roman"/>
          <w:b w:val="false"/>
          <w:i w:val="false"/>
          <w:color w:val="000000"/>
          <w:sz w:val="28"/>
        </w:rPr>
        <w:t>
      326) МКМПОГ – Международный кодекс морской перевозки опасных грузов, принятый резолюцией MSC. 122(75) Комитета по безопасности на море ИМО, с поправками;</w:t>
      </w:r>
    </w:p>
    <w:bookmarkEnd w:id="414"/>
    <w:bookmarkStart w:name="z416" w:id="415"/>
    <w:p>
      <w:pPr>
        <w:spacing w:after="0"/>
        <w:ind w:left="0"/>
        <w:jc w:val="both"/>
      </w:pPr>
      <w:r>
        <w:rPr>
          <w:rFonts w:ascii="Times New Roman"/>
          <w:b w:val="false"/>
          <w:i w:val="false"/>
          <w:color w:val="000000"/>
          <w:sz w:val="28"/>
        </w:rPr>
        <w:t>
      327) МКМПНГ – Международный кодекс морской перевозки навалочных грузов, принятый MSC. 268(85) Комитета по безопасности на море ИМО, с поправками;</w:t>
      </w:r>
    </w:p>
    <w:bookmarkEnd w:id="415"/>
    <w:bookmarkStart w:name="z417" w:id="416"/>
    <w:p>
      <w:pPr>
        <w:spacing w:after="0"/>
        <w:ind w:left="0"/>
        <w:jc w:val="both"/>
      </w:pPr>
      <w:r>
        <w:rPr>
          <w:rFonts w:ascii="Times New Roman"/>
          <w:b w:val="false"/>
          <w:i w:val="false"/>
          <w:color w:val="000000"/>
          <w:sz w:val="28"/>
        </w:rPr>
        <w:t>
      328) кодекс ОЯТ - Международный кодекс безопасной перевозки отработавшего ядерного топлива, плутония и высокорадиоактивных отходов в упаковке на судах, одобренный резолюцией MSC.88(71) Комитета по безопасности на море ИМО, с поправками;</w:t>
      </w:r>
    </w:p>
    <w:bookmarkEnd w:id="416"/>
    <w:bookmarkStart w:name="z418" w:id="417"/>
    <w:p>
      <w:pPr>
        <w:spacing w:after="0"/>
        <w:ind w:left="0"/>
        <w:jc w:val="both"/>
      </w:pPr>
      <w:r>
        <w:rPr>
          <w:rFonts w:ascii="Times New Roman"/>
          <w:b w:val="false"/>
          <w:i w:val="false"/>
          <w:color w:val="000000"/>
          <w:sz w:val="28"/>
        </w:rPr>
        <w:t>
      329) опасные грузы – вещества, материалы и изделия, охватываемые МКМПОГ;</w:t>
      </w:r>
    </w:p>
    <w:bookmarkEnd w:id="417"/>
    <w:bookmarkStart w:name="z419" w:id="418"/>
    <w:p>
      <w:pPr>
        <w:spacing w:after="0"/>
        <w:ind w:left="0"/>
        <w:jc w:val="both"/>
      </w:pPr>
      <w:r>
        <w:rPr>
          <w:rFonts w:ascii="Times New Roman"/>
          <w:b w:val="false"/>
          <w:i w:val="false"/>
          <w:color w:val="000000"/>
          <w:sz w:val="28"/>
        </w:rPr>
        <w:t>
      330) опасные грузы навалом - любые материалы, иные, чем жидкость или газ, состоящий из смеси частиц, гранул или более крупных кусков материала, как правило, однородный по составу, на который распространяется МКМПОГ и который грузиться непосредственно в грузовые помещения судна без использования какой-либо промежуточной тары, в том числе такие же материалы, загруженные в судовые баржи;</w:t>
      </w:r>
    </w:p>
    <w:bookmarkEnd w:id="418"/>
    <w:bookmarkStart w:name="z420" w:id="419"/>
    <w:p>
      <w:pPr>
        <w:spacing w:after="0"/>
        <w:ind w:left="0"/>
        <w:jc w:val="both"/>
      </w:pPr>
      <w:r>
        <w:rPr>
          <w:rFonts w:ascii="Times New Roman"/>
          <w:b w:val="false"/>
          <w:i w:val="false"/>
          <w:color w:val="000000"/>
          <w:sz w:val="28"/>
        </w:rPr>
        <w:t>
      331) отработавшее ядерное топливо - материал, содержащий изотопы урана, тория и/или плутония, которые использовались для обеспечения самоподдерживающейся цепной ядерной реакции;</w:t>
      </w:r>
    </w:p>
    <w:bookmarkEnd w:id="419"/>
    <w:bookmarkStart w:name="z421" w:id="420"/>
    <w:p>
      <w:pPr>
        <w:spacing w:after="0"/>
        <w:ind w:left="0"/>
        <w:jc w:val="both"/>
      </w:pPr>
      <w:r>
        <w:rPr>
          <w:rFonts w:ascii="Times New Roman"/>
          <w:b w:val="false"/>
          <w:i w:val="false"/>
          <w:color w:val="000000"/>
          <w:sz w:val="28"/>
        </w:rPr>
        <w:t>
      332) плутоний - полученная в результате переработки смесь извлеченных из отработавшего ядерного топлива изотопов этого материала;</w:t>
      </w:r>
    </w:p>
    <w:bookmarkEnd w:id="420"/>
    <w:bookmarkStart w:name="z422" w:id="421"/>
    <w:p>
      <w:pPr>
        <w:spacing w:after="0"/>
        <w:ind w:left="0"/>
        <w:jc w:val="both"/>
      </w:pPr>
      <w:r>
        <w:rPr>
          <w:rFonts w:ascii="Times New Roman"/>
          <w:b w:val="false"/>
          <w:i w:val="false"/>
          <w:color w:val="000000"/>
          <w:sz w:val="28"/>
        </w:rPr>
        <w:t>
      333) упаковка – грузовая емкость, установленная МКМПОГ.</w:t>
      </w:r>
    </w:p>
    <w:bookmarkEnd w:id="421"/>
    <w:p>
      <w:pPr>
        <w:spacing w:after="0"/>
        <w:ind w:left="0"/>
        <w:jc w:val="both"/>
      </w:pPr>
      <w:r>
        <w:rPr>
          <w:rFonts w:ascii="Times New Roman"/>
          <w:b w:val="false"/>
          <w:i w:val="false"/>
          <w:color w:val="000000"/>
          <w:sz w:val="28"/>
        </w:rPr>
        <w:t>
      диагностирование технического состояния - процесс определения причин отклонения диагностических параметров при проведении мониторинга технического состояния и/или установления неисправностей, как правило, безразборными методами, с целью осуществления технического обслуживания и ремонта по фактическому состоянию;</w:t>
      </w:r>
    </w:p>
    <w:bookmarkStart w:name="z424" w:id="422"/>
    <w:p>
      <w:pPr>
        <w:spacing w:after="0"/>
        <w:ind w:left="0"/>
        <w:jc w:val="both"/>
      </w:pPr>
      <w:r>
        <w:rPr>
          <w:rFonts w:ascii="Times New Roman"/>
          <w:b w:val="false"/>
          <w:i w:val="false"/>
          <w:color w:val="000000"/>
          <w:sz w:val="28"/>
        </w:rPr>
        <w:t>
      334) прогнозирование технического состояния - процесс определения изменения технического состояния объекта контроля на предстоящий период времени, основанный на тенденции изменения значений диагностических параметров в предшествующий период;</w:t>
      </w:r>
    </w:p>
    <w:bookmarkEnd w:id="422"/>
    <w:bookmarkStart w:name="z425" w:id="423"/>
    <w:p>
      <w:pPr>
        <w:spacing w:after="0"/>
        <w:ind w:left="0"/>
        <w:jc w:val="both"/>
      </w:pPr>
      <w:r>
        <w:rPr>
          <w:rFonts w:ascii="Times New Roman"/>
          <w:b w:val="false"/>
          <w:i w:val="false"/>
          <w:color w:val="000000"/>
          <w:sz w:val="28"/>
        </w:rPr>
        <w:t>
      335) система мониторинга технического состояния - совокупность средств контроля и исполнителей, взаимодействующих с объектом контроля по требованиям, установленным соответствующей документацией;</w:t>
      </w:r>
    </w:p>
    <w:bookmarkEnd w:id="423"/>
    <w:bookmarkStart w:name="z426" w:id="424"/>
    <w:p>
      <w:pPr>
        <w:spacing w:after="0"/>
        <w:ind w:left="0"/>
        <w:jc w:val="both"/>
      </w:pPr>
      <w:r>
        <w:rPr>
          <w:rFonts w:ascii="Times New Roman"/>
          <w:b w:val="false"/>
          <w:i w:val="false"/>
          <w:color w:val="000000"/>
          <w:sz w:val="28"/>
        </w:rPr>
        <w:t>
      336) тенденция изменения диагностического параметра (тренд параметра) - закономерность изменения диагностического параметра во времени, представленная в графической или иной форме (предыстория изменения параметра);</w:t>
      </w:r>
    </w:p>
    <w:bookmarkEnd w:id="424"/>
    <w:bookmarkStart w:name="z427" w:id="425"/>
    <w:p>
      <w:pPr>
        <w:spacing w:after="0"/>
        <w:ind w:left="0"/>
        <w:jc w:val="both"/>
      </w:pPr>
      <w:r>
        <w:rPr>
          <w:rFonts w:ascii="Times New Roman"/>
          <w:b w:val="false"/>
          <w:i w:val="false"/>
          <w:color w:val="000000"/>
          <w:sz w:val="28"/>
        </w:rPr>
        <w:t>
      337) "жертвенный" патрубок - толстостенный цилиндрический участок трубы из углеродистой стали, предназначенный для смещения зоны контакта элементов трубопроводов, изготовленных из цветных металлов и сплавов, от ответственных стальных конструкций и оборудования;</w:t>
      </w:r>
    </w:p>
    <w:bookmarkEnd w:id="425"/>
    <w:bookmarkStart w:name="z428" w:id="426"/>
    <w:p>
      <w:pPr>
        <w:spacing w:after="0"/>
        <w:ind w:left="0"/>
        <w:jc w:val="both"/>
      </w:pPr>
      <w:r>
        <w:rPr>
          <w:rFonts w:ascii="Times New Roman"/>
          <w:b w:val="false"/>
          <w:i w:val="false"/>
          <w:color w:val="000000"/>
          <w:sz w:val="28"/>
        </w:rPr>
        <w:t>
           338) гибкое соединение - короткий металлический или неметаллический шланг с закрепленными заводским способом концевыми деталями (штуцерами или фланцами), готовый к установке;</w:t>
      </w:r>
    </w:p>
    <w:bookmarkEnd w:id="426"/>
    <w:bookmarkStart w:name="z429" w:id="427"/>
    <w:p>
      <w:pPr>
        <w:spacing w:after="0"/>
        <w:ind w:left="0"/>
        <w:jc w:val="both"/>
      </w:pPr>
      <w:r>
        <w:rPr>
          <w:rFonts w:ascii="Times New Roman"/>
          <w:b w:val="false"/>
          <w:i w:val="false"/>
          <w:color w:val="000000"/>
          <w:sz w:val="28"/>
        </w:rPr>
        <w:t>
      339) номинальное давление - максимально допустимое рабочее давление, определяемое в соответствии с пунктом 6672 настоящих Правил;</w:t>
      </w:r>
    </w:p>
    <w:bookmarkEnd w:id="427"/>
    <w:bookmarkStart w:name="z430" w:id="428"/>
    <w:p>
      <w:pPr>
        <w:spacing w:after="0"/>
        <w:ind w:left="0"/>
        <w:jc w:val="both"/>
      </w:pPr>
      <w:r>
        <w:rPr>
          <w:rFonts w:ascii="Times New Roman"/>
          <w:b w:val="false"/>
          <w:i w:val="false"/>
          <w:color w:val="000000"/>
          <w:sz w:val="28"/>
        </w:rPr>
        <w:t>
      340) огнестойкость - способность пластмассового трубопровода сохранять прочность и целостность (то есть способность действовать по назначению) при воздействии огня в течение определенного предписанного периода;</w:t>
      </w:r>
    </w:p>
    <w:bookmarkEnd w:id="428"/>
    <w:bookmarkStart w:name="z431" w:id="429"/>
    <w:p>
      <w:pPr>
        <w:spacing w:after="0"/>
        <w:ind w:left="0"/>
        <w:jc w:val="both"/>
      </w:pPr>
      <w:r>
        <w:rPr>
          <w:rFonts w:ascii="Times New Roman"/>
          <w:b w:val="false"/>
          <w:i w:val="false"/>
          <w:color w:val="000000"/>
          <w:sz w:val="28"/>
        </w:rPr>
        <w:t>
      341) пластмассы - термопластические (далее - термопласты) и термореактивные (далее - реактопласты) материалы с армированием и без него, такие как поливинилхлорид (далее - PVC) и армированная волокном пластмасса (далее - FRP);</w:t>
      </w:r>
    </w:p>
    <w:bookmarkEnd w:id="429"/>
    <w:bookmarkStart w:name="z432" w:id="430"/>
    <w:p>
      <w:pPr>
        <w:spacing w:after="0"/>
        <w:ind w:left="0"/>
        <w:jc w:val="both"/>
      </w:pPr>
      <w:r>
        <w:rPr>
          <w:rFonts w:ascii="Times New Roman"/>
          <w:b w:val="false"/>
          <w:i w:val="false"/>
          <w:color w:val="000000"/>
          <w:sz w:val="28"/>
        </w:rPr>
        <w:t>
      342) расчетное давление - максимальное рабочее давление, ожидаемое в условиях эксплуатации или наибольшее давление настройки срабатывания предохранительного клапана или устройства снижения давления, если они установлены;</w:t>
      </w:r>
    </w:p>
    <w:bookmarkEnd w:id="430"/>
    <w:bookmarkStart w:name="z433" w:id="431"/>
    <w:p>
      <w:pPr>
        <w:spacing w:after="0"/>
        <w:ind w:left="0"/>
        <w:jc w:val="both"/>
      </w:pPr>
      <w:r>
        <w:rPr>
          <w:rFonts w:ascii="Times New Roman"/>
          <w:b w:val="false"/>
          <w:i w:val="false"/>
          <w:color w:val="000000"/>
          <w:sz w:val="28"/>
        </w:rPr>
        <w:t>
      343) соединение - соединение труб склеиванием, наложением бандажных лент со связующими составами, сваркой;</w:t>
      </w:r>
    </w:p>
    <w:bookmarkEnd w:id="431"/>
    <w:bookmarkStart w:name="z434" w:id="432"/>
    <w:p>
      <w:pPr>
        <w:spacing w:after="0"/>
        <w:ind w:left="0"/>
        <w:jc w:val="both"/>
      </w:pPr>
      <w:r>
        <w:rPr>
          <w:rFonts w:ascii="Times New Roman"/>
          <w:b w:val="false"/>
          <w:i w:val="false"/>
          <w:color w:val="000000"/>
          <w:sz w:val="28"/>
        </w:rPr>
        <w:t>
      344) трубопровод/система трубопроводов - пластмассовые трубы, фасонные элементы, соединения и любые внутренние или внешние покрытия или облицовки, необходимые в соответствии с эксплуатационными условиями;</w:t>
      </w:r>
    </w:p>
    <w:bookmarkEnd w:id="432"/>
    <w:bookmarkStart w:name="z435" w:id="433"/>
    <w:p>
      <w:pPr>
        <w:spacing w:after="0"/>
        <w:ind w:left="0"/>
        <w:jc w:val="both"/>
      </w:pPr>
      <w:r>
        <w:rPr>
          <w:rFonts w:ascii="Times New Roman"/>
          <w:b w:val="false"/>
          <w:i w:val="false"/>
          <w:color w:val="000000"/>
          <w:sz w:val="28"/>
        </w:rPr>
        <w:t>
      345) фасонный элемент - погибы, колена, присоединяемые отростки, выполненные из пластмассы;</w:t>
      </w:r>
    </w:p>
    <w:bookmarkEnd w:id="433"/>
    <w:bookmarkStart w:name="z436" w:id="434"/>
    <w:p>
      <w:pPr>
        <w:spacing w:after="0"/>
        <w:ind w:left="0"/>
        <w:jc w:val="both"/>
      </w:pPr>
      <w:r>
        <w:rPr>
          <w:rFonts w:ascii="Times New Roman"/>
          <w:b w:val="false"/>
          <w:i w:val="false"/>
          <w:color w:val="000000"/>
          <w:sz w:val="28"/>
        </w:rPr>
        <w:t>
      346) котел на органическом теплоносителе - теплообменный аппарат, предназначенный для подогрева органического теплоносителя до требуемой температуры за счет использования энергии сжигаемого в нем топлива, выпускных газов двигателя, или электроэнергии;</w:t>
      </w:r>
    </w:p>
    <w:bookmarkEnd w:id="434"/>
    <w:bookmarkStart w:name="z437" w:id="435"/>
    <w:p>
      <w:pPr>
        <w:spacing w:after="0"/>
        <w:ind w:left="0"/>
        <w:jc w:val="both"/>
      </w:pPr>
      <w:r>
        <w:rPr>
          <w:rFonts w:ascii="Times New Roman"/>
          <w:b w:val="false"/>
          <w:i w:val="false"/>
          <w:color w:val="000000"/>
          <w:sz w:val="28"/>
        </w:rPr>
        <w:t>
      347) подогреватель органического теплоносителя - теплообменный аппарат, предназначенный для подогрева органического теплоносителя паром, водой, электроэнергией или органическим теплоносителем другого контура;</w:t>
      </w:r>
    </w:p>
    <w:bookmarkEnd w:id="435"/>
    <w:bookmarkStart w:name="z438" w:id="436"/>
    <w:p>
      <w:pPr>
        <w:spacing w:after="0"/>
        <w:ind w:left="0"/>
        <w:jc w:val="both"/>
      </w:pPr>
      <w:r>
        <w:rPr>
          <w:rFonts w:ascii="Times New Roman"/>
          <w:b w:val="false"/>
          <w:i w:val="false"/>
          <w:color w:val="000000"/>
          <w:sz w:val="28"/>
        </w:rPr>
        <w:t>
      348) рабочее давление в системе с органическим теплоносителем - самое высокое давление, которое может иметь место в процессе работы системы в любой ее части;</w:t>
      </w:r>
    </w:p>
    <w:bookmarkEnd w:id="436"/>
    <w:bookmarkStart w:name="z439" w:id="437"/>
    <w:p>
      <w:pPr>
        <w:spacing w:after="0"/>
        <w:ind w:left="0"/>
        <w:jc w:val="both"/>
      </w:pPr>
      <w:r>
        <w:rPr>
          <w:rFonts w:ascii="Times New Roman"/>
          <w:b w:val="false"/>
          <w:i w:val="false"/>
          <w:color w:val="000000"/>
          <w:sz w:val="28"/>
        </w:rPr>
        <w:t>
      349) система с органическим теплоносителем - система, в которой органический теплоноситель циркулирует в жидкой фазе;</w:t>
      </w:r>
    </w:p>
    <w:bookmarkEnd w:id="437"/>
    <w:bookmarkStart w:name="z440" w:id="438"/>
    <w:p>
      <w:pPr>
        <w:spacing w:after="0"/>
        <w:ind w:left="0"/>
        <w:jc w:val="both"/>
      </w:pPr>
      <w:r>
        <w:rPr>
          <w:rFonts w:ascii="Times New Roman"/>
          <w:b w:val="false"/>
          <w:i w:val="false"/>
          <w:color w:val="000000"/>
          <w:sz w:val="28"/>
        </w:rPr>
        <w:t>
      350) температура теплоносителя - температура, измеренная в центре поперечного сечения трубопровода;</w:t>
      </w:r>
    </w:p>
    <w:bookmarkEnd w:id="438"/>
    <w:bookmarkStart w:name="z441" w:id="439"/>
    <w:p>
      <w:pPr>
        <w:spacing w:after="0"/>
        <w:ind w:left="0"/>
        <w:jc w:val="both"/>
      </w:pPr>
      <w:r>
        <w:rPr>
          <w:rFonts w:ascii="Times New Roman"/>
          <w:b w:val="false"/>
          <w:i w:val="false"/>
          <w:color w:val="000000"/>
          <w:sz w:val="28"/>
        </w:rPr>
        <w:t>
      351) главный пост управления ГЭУ - пост управления главной пропульсивной установкой, на котором имеется вахта в условиях хода в море;</w:t>
      </w:r>
    </w:p>
    <w:bookmarkEnd w:id="439"/>
    <w:bookmarkStart w:name="z442" w:id="440"/>
    <w:p>
      <w:pPr>
        <w:spacing w:after="0"/>
        <w:ind w:left="0"/>
        <w:jc w:val="both"/>
      </w:pPr>
      <w:r>
        <w:rPr>
          <w:rFonts w:ascii="Times New Roman"/>
          <w:b w:val="false"/>
          <w:i w:val="false"/>
          <w:color w:val="000000"/>
          <w:sz w:val="28"/>
        </w:rPr>
        <w:t xml:space="preserve">
      352) местный пост управления - пост управления, располагаемый в месте установки системы, предназначенный для образования и введения в систему задающих параметров для полупроводниковых преобразователей частоты (далее - ППЧ), независимых от заданных параметров системы дистанционного управления и других внешних ограничений; </w:t>
      </w:r>
    </w:p>
    <w:bookmarkEnd w:id="440"/>
    <w:bookmarkStart w:name="z443" w:id="441"/>
    <w:p>
      <w:pPr>
        <w:spacing w:after="0"/>
        <w:ind w:left="0"/>
        <w:jc w:val="both"/>
      </w:pPr>
      <w:r>
        <w:rPr>
          <w:rFonts w:ascii="Times New Roman"/>
          <w:b w:val="false"/>
          <w:i w:val="false"/>
          <w:color w:val="000000"/>
          <w:sz w:val="28"/>
        </w:rPr>
        <w:t>
      353) азимутальный привод - привод, обеспечивающий поворот пропульсивного блока вокруг вертикальной оси;</w:t>
      </w:r>
    </w:p>
    <w:bookmarkEnd w:id="441"/>
    <w:bookmarkStart w:name="z444" w:id="442"/>
    <w:p>
      <w:pPr>
        <w:spacing w:after="0"/>
        <w:ind w:left="0"/>
        <w:jc w:val="both"/>
      </w:pPr>
      <w:r>
        <w:rPr>
          <w:rFonts w:ascii="Times New Roman"/>
          <w:b w:val="false"/>
          <w:i w:val="false"/>
          <w:color w:val="000000"/>
          <w:sz w:val="28"/>
        </w:rPr>
        <w:t>
      354) привод в гондоле (далее - ПП ГЭД) - пропульсивная система, в которой гребной электрический двигатель расположен в специально предназначенной для погружной поворотной гондоле судна;</w:t>
      </w:r>
    </w:p>
    <w:bookmarkEnd w:id="442"/>
    <w:bookmarkStart w:name="z445" w:id="443"/>
    <w:p>
      <w:pPr>
        <w:spacing w:after="0"/>
        <w:ind w:left="0"/>
        <w:jc w:val="both"/>
      </w:pPr>
      <w:r>
        <w:rPr>
          <w:rFonts w:ascii="Times New Roman"/>
          <w:b w:val="false"/>
          <w:i w:val="false"/>
          <w:color w:val="000000"/>
          <w:sz w:val="28"/>
        </w:rPr>
        <w:t>
      355) дублированный датчик - два отдельных датчика в отдельных корпусах, установленных для контроля одного и того же параметра;</w:t>
      </w:r>
    </w:p>
    <w:bookmarkEnd w:id="443"/>
    <w:bookmarkStart w:name="z446" w:id="444"/>
    <w:p>
      <w:pPr>
        <w:spacing w:after="0"/>
        <w:ind w:left="0"/>
        <w:jc w:val="both"/>
      </w:pPr>
      <w:r>
        <w:rPr>
          <w:rFonts w:ascii="Times New Roman"/>
          <w:b w:val="false"/>
          <w:i w:val="false"/>
          <w:color w:val="000000"/>
          <w:sz w:val="28"/>
        </w:rPr>
        <w:t>
      356) (AR) горячекатаная сталь - процесс прокатки стали при высокой температуре (деформация осуществляется и заканчивается в температурной области рекристаллизации аустенита, выше температуры нормализации) с последующим охлаждением на воздухе;</w:t>
      </w:r>
    </w:p>
    <w:bookmarkEnd w:id="444"/>
    <w:bookmarkStart w:name="z447" w:id="445"/>
    <w:p>
      <w:pPr>
        <w:spacing w:after="0"/>
        <w:ind w:left="0"/>
        <w:jc w:val="both"/>
      </w:pPr>
      <w:r>
        <w:rPr>
          <w:rFonts w:ascii="Times New Roman"/>
          <w:b w:val="false"/>
          <w:i w:val="false"/>
          <w:color w:val="000000"/>
          <w:sz w:val="28"/>
        </w:rPr>
        <w:t>
      357) (N) нормализация - процесс, включающий нагрев горячекатаной стали выше критической температуры А</w:t>
      </w:r>
      <w:r>
        <w:rPr>
          <w:rFonts w:ascii="Times New Roman"/>
          <w:b w:val="false"/>
          <w:i w:val="false"/>
          <w:color w:val="000000"/>
          <w:vertAlign w:val="subscript"/>
        </w:rPr>
        <w:t>С3</w:t>
      </w:r>
      <w:r>
        <w:rPr>
          <w:rFonts w:ascii="Times New Roman"/>
          <w:b w:val="false"/>
          <w:i w:val="false"/>
          <w:color w:val="000000"/>
          <w:sz w:val="28"/>
        </w:rPr>
        <w:t xml:space="preserve"> в области рекристаллизации аустенита, ближе к нижней ее границе, с последующим охлаждением на воздухе. Этот процесс улучшает свойства стали за счет уменьшения величины зерна;</w:t>
      </w:r>
    </w:p>
    <w:bookmarkEnd w:id="445"/>
    <w:bookmarkStart w:name="z448" w:id="446"/>
    <w:p>
      <w:pPr>
        <w:spacing w:after="0"/>
        <w:ind w:left="0"/>
        <w:jc w:val="both"/>
      </w:pPr>
      <w:r>
        <w:rPr>
          <w:rFonts w:ascii="Times New Roman"/>
          <w:b w:val="false"/>
          <w:i w:val="false"/>
          <w:color w:val="000000"/>
          <w:sz w:val="28"/>
        </w:rPr>
        <w:t>
      358) (CR) контролируемая прокатка (нормализационная прокатка (NR) - процесс, при котором последние проходы при прокатке выполняются в области температуры нормализации, в результате чего обеспечивается получение металла, свойства которого в основном соответствуют свойствам после нормализации;</w:t>
      </w:r>
    </w:p>
    <w:bookmarkEnd w:id="446"/>
    <w:bookmarkStart w:name="z449" w:id="447"/>
    <w:p>
      <w:pPr>
        <w:spacing w:after="0"/>
        <w:ind w:left="0"/>
        <w:jc w:val="both"/>
      </w:pPr>
      <w:r>
        <w:rPr>
          <w:rFonts w:ascii="Times New Roman"/>
          <w:b w:val="false"/>
          <w:i w:val="false"/>
          <w:color w:val="000000"/>
          <w:sz w:val="28"/>
        </w:rPr>
        <w:t>
      359) (ТМ) термомеханическая обработка (термомеханическая контролируемая прокатка (ТМСР) - процесс, предполагающий строгий контроль температуры и степени деформации во время прокатки. Как правило, металл деформируется при температурах, близких к температуре А</w:t>
      </w:r>
      <w:r>
        <w:rPr>
          <w:rFonts w:ascii="Times New Roman"/>
          <w:b w:val="false"/>
          <w:i w:val="false"/>
          <w:color w:val="000000"/>
          <w:vertAlign w:val="subscript"/>
        </w:rPr>
        <w:t>r3</w:t>
      </w:r>
      <w:r>
        <w:rPr>
          <w:rFonts w:ascii="Times New Roman"/>
          <w:b w:val="false"/>
          <w:i w:val="false"/>
          <w:color w:val="000000"/>
          <w:sz w:val="28"/>
        </w:rPr>
        <w:t>; окончание деформации возможно в двухфазной области;</w:t>
      </w:r>
    </w:p>
    <w:bookmarkEnd w:id="447"/>
    <w:bookmarkStart w:name="z450" w:id="448"/>
    <w:p>
      <w:pPr>
        <w:spacing w:after="0"/>
        <w:ind w:left="0"/>
        <w:jc w:val="both"/>
      </w:pPr>
      <w:r>
        <w:rPr>
          <w:rFonts w:ascii="Times New Roman"/>
          <w:b w:val="false"/>
          <w:i w:val="false"/>
          <w:color w:val="000000"/>
          <w:sz w:val="28"/>
        </w:rPr>
        <w:t>
      360) (АсС)- процесс, при котором обеспечивается улучшение свойств стали за счет ее контролируемого охлаждения со скоростью большей, чем охлаждение на воздухе. Этот процесс выполняется непосредственно после завершения деформации при термомеханическом процессе;</w:t>
      </w:r>
    </w:p>
    <w:bookmarkEnd w:id="448"/>
    <w:bookmarkStart w:name="z451" w:id="449"/>
    <w:p>
      <w:pPr>
        <w:spacing w:after="0"/>
        <w:ind w:left="0"/>
        <w:jc w:val="both"/>
      </w:pPr>
      <w:r>
        <w:rPr>
          <w:rFonts w:ascii="Times New Roman"/>
          <w:b w:val="false"/>
          <w:i w:val="false"/>
          <w:color w:val="000000"/>
          <w:sz w:val="28"/>
        </w:rPr>
        <w:t>
      361) (QT) закалка и отпуск - процесс, включающий нагрев до температуры выше А</w:t>
      </w:r>
      <w:r>
        <w:rPr>
          <w:rFonts w:ascii="Times New Roman"/>
          <w:b w:val="false"/>
          <w:i w:val="false"/>
          <w:color w:val="000000"/>
          <w:vertAlign w:val="subscript"/>
        </w:rPr>
        <w:t>С3</w:t>
      </w:r>
      <w:r>
        <w:rPr>
          <w:rFonts w:ascii="Times New Roman"/>
          <w:b w:val="false"/>
          <w:i w:val="false"/>
          <w:color w:val="000000"/>
          <w:sz w:val="28"/>
        </w:rPr>
        <w:t xml:space="preserve"> с последующим охлаждением с определенной скоростью, обеспечивающей получение упрочненной микроструктуры. Отпуск, соответствующий закалке - процесс повторного нагрева до температуры, не превышающей A</w:t>
      </w:r>
      <w:r>
        <w:rPr>
          <w:rFonts w:ascii="Times New Roman"/>
          <w:b w:val="false"/>
          <w:i w:val="false"/>
          <w:color w:val="000000"/>
          <w:vertAlign w:val="subscript"/>
        </w:rPr>
        <w:t>С1</w:t>
      </w:r>
      <w:r>
        <w:rPr>
          <w:rFonts w:ascii="Times New Roman"/>
          <w:b w:val="false"/>
          <w:i w:val="false"/>
          <w:color w:val="000000"/>
          <w:sz w:val="28"/>
        </w:rPr>
        <w:t>, с целью улучшения микроструктуры и восстановления вязкости стали (</w:t>
      </w:r>
      <w:r>
        <w:rPr>
          <w:rFonts w:ascii="Times New Roman"/>
          <w:b w:val="false"/>
          <w:i/>
          <w:color w:val="000000"/>
          <w:sz w:val="28"/>
        </w:rPr>
        <w:t>KV</w:t>
      </w:r>
      <w:r>
        <w:rPr>
          <w:rFonts w:ascii="Times New Roman"/>
          <w:b w:val="false"/>
          <w:i w:val="false"/>
          <w:color w:val="000000"/>
          <w:sz w:val="28"/>
        </w:rPr>
        <w:t>);</w:t>
      </w:r>
    </w:p>
    <w:bookmarkEnd w:id="449"/>
    <w:bookmarkStart w:name="z452" w:id="450"/>
    <w:p>
      <w:pPr>
        <w:spacing w:after="0"/>
        <w:ind w:left="0"/>
        <w:jc w:val="both"/>
      </w:pPr>
      <w:r>
        <w:rPr>
          <w:rFonts w:ascii="Times New Roman"/>
          <w:b w:val="false"/>
          <w:i w:val="false"/>
          <w:color w:val="000000"/>
          <w:sz w:val="28"/>
        </w:rPr>
        <w:t>
      362) индикаторный след - присутствие заметного просачивания красящего вещества из несплошностей в материале, проявляющееся не ранее, чем через 10 минут после применения капиллярного дефектоскопического материала;</w:t>
      </w:r>
    </w:p>
    <w:bookmarkEnd w:id="450"/>
    <w:bookmarkStart w:name="z453" w:id="451"/>
    <w:p>
      <w:pPr>
        <w:spacing w:after="0"/>
        <w:ind w:left="0"/>
        <w:jc w:val="both"/>
      </w:pPr>
      <w:r>
        <w:rPr>
          <w:rFonts w:ascii="Times New Roman"/>
          <w:b w:val="false"/>
          <w:i w:val="false"/>
          <w:color w:val="000000"/>
          <w:sz w:val="28"/>
        </w:rPr>
        <w:t>
      363) круглый индикаторный след - след круглой или овальной формы, линейные размеры которого менее чем в три раза превышают поперечные (приложение 598 (1) настоящих Правил);</w:t>
      </w:r>
    </w:p>
    <w:bookmarkEnd w:id="451"/>
    <w:bookmarkStart w:name="z454" w:id="452"/>
    <w:p>
      <w:pPr>
        <w:spacing w:after="0"/>
        <w:ind w:left="0"/>
        <w:jc w:val="both"/>
      </w:pPr>
      <w:r>
        <w:rPr>
          <w:rFonts w:ascii="Times New Roman"/>
          <w:b w:val="false"/>
          <w:i w:val="false"/>
          <w:color w:val="000000"/>
          <w:sz w:val="28"/>
        </w:rPr>
        <w:t>
      364) линейный индикаторный след - след, продольные размеры которого, по крайней мере, в три раза превосходят поперечные (приложение 598 (2) настоящих Правил);</w:t>
      </w:r>
    </w:p>
    <w:bookmarkEnd w:id="452"/>
    <w:bookmarkStart w:name="z455" w:id="453"/>
    <w:p>
      <w:pPr>
        <w:spacing w:after="0"/>
        <w:ind w:left="0"/>
        <w:jc w:val="both"/>
      </w:pPr>
      <w:r>
        <w:rPr>
          <w:rFonts w:ascii="Times New Roman"/>
          <w:b w:val="false"/>
          <w:i w:val="false"/>
          <w:color w:val="000000"/>
          <w:sz w:val="28"/>
        </w:rPr>
        <w:t>
      365) порог чувствительности - раскрытие несплошности типа единичной трещины определенной длины, выявляемое с заданной вероятностью по заданным геометрическому или оптическому параметрам индикаторного следа;</w:t>
      </w:r>
    </w:p>
    <w:bookmarkEnd w:id="453"/>
    <w:bookmarkStart w:name="z456" w:id="454"/>
    <w:p>
      <w:pPr>
        <w:spacing w:after="0"/>
        <w:ind w:left="0"/>
        <w:jc w:val="both"/>
      </w:pPr>
      <w:r>
        <w:rPr>
          <w:rFonts w:ascii="Times New Roman"/>
          <w:b w:val="false"/>
          <w:i w:val="false"/>
          <w:color w:val="000000"/>
          <w:sz w:val="28"/>
        </w:rPr>
        <w:t>
      366) рядный индикаторный след - три и более индикаторных следа в одной линии, отделенные друг от друга расстоянием в 2 мм и менее (край от края) (приложение 598 (1) настоящих Правил);</w:t>
      </w:r>
    </w:p>
    <w:bookmarkEnd w:id="454"/>
    <w:bookmarkStart w:name="z457" w:id="455"/>
    <w:p>
      <w:pPr>
        <w:spacing w:after="0"/>
        <w:ind w:left="0"/>
        <w:jc w:val="both"/>
      </w:pPr>
      <w:r>
        <w:rPr>
          <w:rFonts w:ascii="Times New Roman"/>
          <w:b w:val="false"/>
          <w:i w:val="false"/>
          <w:color w:val="000000"/>
          <w:sz w:val="28"/>
        </w:rPr>
        <w:t>
      367) единичная контролируемая площадь - площадка поверхности, равная 100 см</w:t>
      </w:r>
      <w:r>
        <w:rPr>
          <w:rFonts w:ascii="Times New Roman"/>
          <w:b w:val="false"/>
          <w:i w:val="false"/>
          <w:color w:val="000000"/>
          <w:vertAlign w:val="superscript"/>
        </w:rPr>
        <w:t>2</w:t>
      </w:r>
      <w:r>
        <w:rPr>
          <w:rFonts w:ascii="Times New Roman"/>
          <w:b w:val="false"/>
          <w:i w:val="false"/>
          <w:color w:val="000000"/>
          <w:sz w:val="28"/>
        </w:rPr>
        <w:t>, которая может иметь форму квадрата или прямоугольника со стороной не более 250 мм;</w:t>
      </w:r>
    </w:p>
    <w:bookmarkEnd w:id="455"/>
    <w:bookmarkStart w:name="z458" w:id="456"/>
    <w:p>
      <w:pPr>
        <w:spacing w:after="0"/>
        <w:ind w:left="0"/>
        <w:jc w:val="both"/>
      </w:pPr>
      <w:r>
        <w:rPr>
          <w:rFonts w:ascii="Times New Roman"/>
          <w:b w:val="false"/>
          <w:i w:val="false"/>
          <w:color w:val="000000"/>
          <w:sz w:val="28"/>
        </w:rPr>
        <w:t>
      368) цепная вставка - цепь с распорками в звеньях, устанавливаемая на конце швартовного троса, которая пропускается через судовой роульс и используется для соединения швартовного троса с палубным цепным стопором танкера;</w:t>
      </w:r>
    </w:p>
    <w:bookmarkEnd w:id="456"/>
    <w:bookmarkStart w:name="z459" w:id="457"/>
    <w:p>
      <w:pPr>
        <w:spacing w:after="0"/>
        <w:ind w:left="0"/>
        <w:jc w:val="both"/>
      </w:pPr>
      <w:r>
        <w:rPr>
          <w:rFonts w:ascii="Times New Roman"/>
          <w:b w:val="false"/>
          <w:i w:val="false"/>
          <w:color w:val="000000"/>
          <w:sz w:val="28"/>
        </w:rPr>
        <w:t xml:space="preserve">
      369) высокотемпературная пайка (пайка твердым припоем) - способ пайки, при которой температура плавления припоя превышает 450 </w:t>
      </w:r>
      <w:r>
        <w:rPr>
          <w:rFonts w:ascii="Times New Roman"/>
          <w:b w:val="false"/>
          <w:i w:val="false"/>
          <w:color w:val="000000"/>
          <w:vertAlign w:val="superscript"/>
        </w:rPr>
        <w:t>о</w:t>
      </w:r>
      <w:r>
        <w:rPr>
          <w:rFonts w:ascii="Times New Roman"/>
          <w:b w:val="false"/>
          <w:i w:val="false"/>
          <w:color w:val="000000"/>
          <w:sz w:val="28"/>
        </w:rPr>
        <w:t>С;</w:t>
      </w:r>
    </w:p>
    <w:bookmarkEnd w:id="457"/>
    <w:bookmarkStart w:name="z460" w:id="458"/>
    <w:p>
      <w:pPr>
        <w:spacing w:after="0"/>
        <w:ind w:left="0"/>
        <w:jc w:val="both"/>
      </w:pPr>
      <w:r>
        <w:rPr>
          <w:rFonts w:ascii="Times New Roman"/>
          <w:b w:val="false"/>
          <w:i w:val="false"/>
          <w:color w:val="000000"/>
          <w:sz w:val="28"/>
        </w:rPr>
        <w:t>
      370) зона термического влияния - прилегающий к сварному шву (или к наплавке) слой основного металла, в котором произошли структурные превращения под влиянием нагрева при сварке;</w:t>
      </w:r>
    </w:p>
    <w:bookmarkEnd w:id="458"/>
    <w:bookmarkStart w:name="z461" w:id="459"/>
    <w:p>
      <w:pPr>
        <w:spacing w:after="0"/>
        <w:ind w:left="0"/>
        <w:jc w:val="both"/>
      </w:pPr>
      <w:r>
        <w:rPr>
          <w:rFonts w:ascii="Times New Roman"/>
          <w:b w:val="false"/>
          <w:i w:val="false"/>
          <w:color w:val="000000"/>
          <w:sz w:val="28"/>
        </w:rPr>
        <w:t>
      371) металл шва - металл, получающийся в результате сплавления при сварке основного и сварочного металлов или только основного металла;</w:t>
      </w:r>
    </w:p>
    <w:bookmarkEnd w:id="459"/>
    <w:bookmarkStart w:name="z462" w:id="460"/>
    <w:p>
      <w:pPr>
        <w:spacing w:after="0"/>
        <w:ind w:left="0"/>
        <w:jc w:val="both"/>
      </w:pPr>
      <w:r>
        <w:rPr>
          <w:rFonts w:ascii="Times New Roman"/>
          <w:b w:val="false"/>
          <w:i w:val="false"/>
          <w:color w:val="000000"/>
          <w:sz w:val="28"/>
        </w:rPr>
        <w:t>
      372) наплавленный металл - металл, получающийся в результате расплавления электродов или проволоки и не содержащий практически заметной примеси основного металла;</w:t>
      </w:r>
    </w:p>
    <w:bookmarkEnd w:id="460"/>
    <w:bookmarkStart w:name="z463" w:id="461"/>
    <w:p>
      <w:pPr>
        <w:spacing w:after="0"/>
        <w:ind w:left="0"/>
        <w:jc w:val="both"/>
      </w:pPr>
      <w:r>
        <w:rPr>
          <w:rFonts w:ascii="Times New Roman"/>
          <w:b w:val="false"/>
          <w:i w:val="false"/>
          <w:color w:val="000000"/>
          <w:sz w:val="28"/>
        </w:rPr>
        <w:t>
      373) основной металл - металл изделий, подвергающихся сварке;</w:t>
      </w:r>
    </w:p>
    <w:bookmarkEnd w:id="461"/>
    <w:bookmarkStart w:name="z464" w:id="462"/>
    <w:p>
      <w:pPr>
        <w:spacing w:after="0"/>
        <w:ind w:left="0"/>
        <w:jc w:val="both"/>
      </w:pPr>
      <w:r>
        <w:rPr>
          <w:rFonts w:ascii="Times New Roman"/>
          <w:b w:val="false"/>
          <w:i w:val="false"/>
          <w:color w:val="000000"/>
          <w:sz w:val="28"/>
        </w:rPr>
        <w:t>
      374) провар - сплавление основного металла с наплавленным металлом или сплавление металлов обеих свариваемых частей;</w:t>
      </w:r>
    </w:p>
    <w:bookmarkEnd w:id="462"/>
    <w:bookmarkStart w:name="z465" w:id="463"/>
    <w:p>
      <w:pPr>
        <w:spacing w:after="0"/>
        <w:ind w:left="0"/>
        <w:jc w:val="both"/>
      </w:pPr>
      <w:r>
        <w:rPr>
          <w:rFonts w:ascii="Times New Roman"/>
          <w:b w:val="false"/>
          <w:i w:val="false"/>
          <w:color w:val="000000"/>
          <w:sz w:val="28"/>
        </w:rPr>
        <w:t>
      375) сварочный материал - электрод, проволока, флюс, защитный газ, применяемые при сварке;</w:t>
      </w:r>
    </w:p>
    <w:bookmarkEnd w:id="463"/>
    <w:bookmarkStart w:name="z466" w:id="464"/>
    <w:p>
      <w:pPr>
        <w:spacing w:after="0"/>
        <w:ind w:left="0"/>
        <w:jc w:val="both"/>
      </w:pPr>
      <w:r>
        <w:rPr>
          <w:rFonts w:ascii="Times New Roman"/>
          <w:b w:val="false"/>
          <w:i w:val="false"/>
          <w:color w:val="000000"/>
          <w:sz w:val="28"/>
        </w:rPr>
        <w:t>
      376) аттестационная комиссия - группа специалистов аттестационного центра, ответственных за организацию и достоверность результатов работ по аттестации сварщиков;</w:t>
      </w:r>
    </w:p>
    <w:bookmarkEnd w:id="464"/>
    <w:bookmarkStart w:name="z467" w:id="465"/>
    <w:p>
      <w:pPr>
        <w:spacing w:after="0"/>
        <w:ind w:left="0"/>
        <w:jc w:val="both"/>
      </w:pPr>
      <w:r>
        <w:rPr>
          <w:rFonts w:ascii="Times New Roman"/>
          <w:b w:val="false"/>
          <w:i w:val="false"/>
          <w:color w:val="000000"/>
          <w:sz w:val="28"/>
        </w:rPr>
        <w:t>
      377) аттестационный центр - компетентная организация, уполномоченная Регистром судоходства проводить испытания по аттестации сварщиков согласно требованиям Правил Регистра судоходства;</w:t>
      </w:r>
    </w:p>
    <w:bookmarkEnd w:id="465"/>
    <w:bookmarkStart w:name="z468" w:id="466"/>
    <w:p>
      <w:pPr>
        <w:spacing w:after="0"/>
        <w:ind w:left="0"/>
        <w:jc w:val="both"/>
      </w:pPr>
      <w:r>
        <w:rPr>
          <w:rFonts w:ascii="Times New Roman"/>
          <w:b w:val="false"/>
          <w:i w:val="false"/>
          <w:color w:val="000000"/>
          <w:sz w:val="28"/>
        </w:rPr>
        <w:t>
      378) аттестация - совокупность действий по определению уровня квалификации сварщика с целью установления возможности его допуска к выполнению конкретного вида сварочных работ;</w:t>
      </w:r>
    </w:p>
    <w:bookmarkEnd w:id="466"/>
    <w:bookmarkStart w:name="z469" w:id="467"/>
    <w:p>
      <w:pPr>
        <w:spacing w:after="0"/>
        <w:ind w:left="0"/>
        <w:jc w:val="both"/>
      </w:pPr>
      <w:r>
        <w:rPr>
          <w:rFonts w:ascii="Times New Roman"/>
          <w:b w:val="false"/>
          <w:i w:val="false"/>
          <w:color w:val="000000"/>
          <w:sz w:val="28"/>
        </w:rPr>
        <w:t>
      379) допуск - специальная процедура, предусматривающая установление квалификации сварщика посредством его аттестации и выдачу официального документа - Свидетельства о допуске сварщика, удостоверяющего разрешение на право выполнения сварочных работ на объектах, подлежащих освидетельствованию Регистром судоходства, в пределах установленной документом области одобрения;</w:t>
      </w:r>
    </w:p>
    <w:bookmarkEnd w:id="467"/>
    <w:bookmarkStart w:name="z470" w:id="468"/>
    <w:p>
      <w:pPr>
        <w:spacing w:after="0"/>
        <w:ind w:left="0"/>
        <w:jc w:val="both"/>
      </w:pPr>
      <w:r>
        <w:rPr>
          <w:rFonts w:ascii="Times New Roman"/>
          <w:b w:val="false"/>
          <w:i w:val="false"/>
          <w:color w:val="000000"/>
          <w:sz w:val="28"/>
        </w:rPr>
        <w:t>
      380) область одобрения - пределы признания Регистром судоходства квалификации сварщика на основании выполненных при аттестации испытаний;</w:t>
      </w:r>
    </w:p>
    <w:bookmarkEnd w:id="468"/>
    <w:bookmarkStart w:name="z471" w:id="469"/>
    <w:p>
      <w:pPr>
        <w:spacing w:after="0"/>
        <w:ind w:left="0"/>
        <w:jc w:val="both"/>
      </w:pPr>
      <w:r>
        <w:rPr>
          <w:rFonts w:ascii="Times New Roman"/>
          <w:b w:val="false"/>
          <w:i w:val="false"/>
          <w:color w:val="000000"/>
          <w:sz w:val="28"/>
        </w:rPr>
        <w:t>
      381) образец - часть пробы, используемая для проведения испытаний разрушающими методами;</w:t>
      </w:r>
    </w:p>
    <w:bookmarkEnd w:id="469"/>
    <w:bookmarkStart w:name="z472" w:id="470"/>
    <w:p>
      <w:pPr>
        <w:spacing w:after="0"/>
        <w:ind w:left="0"/>
        <w:jc w:val="both"/>
      </w:pPr>
      <w:r>
        <w:rPr>
          <w:rFonts w:ascii="Times New Roman"/>
          <w:b w:val="false"/>
          <w:i w:val="false"/>
          <w:color w:val="000000"/>
          <w:sz w:val="28"/>
        </w:rPr>
        <w:t>
      382) проба - сваренная деталь, используемая при практических испытаниях по аттестации сварщиков;</w:t>
      </w:r>
    </w:p>
    <w:bookmarkEnd w:id="470"/>
    <w:bookmarkStart w:name="z473" w:id="471"/>
    <w:p>
      <w:pPr>
        <w:spacing w:after="0"/>
        <w:ind w:left="0"/>
        <w:jc w:val="both"/>
      </w:pPr>
      <w:r>
        <w:rPr>
          <w:rFonts w:ascii="Times New Roman"/>
          <w:b w:val="false"/>
          <w:i w:val="false"/>
          <w:color w:val="000000"/>
          <w:sz w:val="28"/>
        </w:rPr>
        <w:t>
      383) сварщик - лицо, выполняющее сварку металлов. Общее понятие для сварщика ручной сварки различными способами и сварщика-оператора установок для полуавтоматической и автоматической сварки;</w:t>
      </w:r>
    </w:p>
    <w:bookmarkEnd w:id="471"/>
    <w:bookmarkStart w:name="z474" w:id="472"/>
    <w:p>
      <w:pPr>
        <w:spacing w:after="0"/>
        <w:ind w:left="0"/>
        <w:jc w:val="both"/>
      </w:pPr>
      <w:r>
        <w:rPr>
          <w:rFonts w:ascii="Times New Roman"/>
          <w:b w:val="false"/>
          <w:i w:val="false"/>
          <w:color w:val="000000"/>
          <w:sz w:val="28"/>
        </w:rPr>
        <w:t>
      384) свидетельство о допуске сварщика - документ Регистра судоходства, удостоверяющий, что конкретный сварщик успешно выдержал испытания по аттестации в объеме требований Регистра судоходства и допускается к выполнению сварочных работ на конструкциях, подлежащих освидетельствованию Регистром судоходства;</w:t>
      </w:r>
    </w:p>
    <w:bookmarkEnd w:id="472"/>
    <w:bookmarkStart w:name="z475" w:id="473"/>
    <w:p>
      <w:pPr>
        <w:spacing w:after="0"/>
        <w:ind w:left="0"/>
        <w:jc w:val="both"/>
      </w:pPr>
      <w:r>
        <w:rPr>
          <w:rFonts w:ascii="Times New Roman"/>
          <w:b w:val="false"/>
          <w:i w:val="false"/>
          <w:color w:val="000000"/>
          <w:sz w:val="28"/>
        </w:rPr>
        <w:t>
      385) испытания в процессе производства - испытания, включая разрушающие, основанные на сварке образцов, полученных непосредственно в процессе изготовления продукции и прошедшие аналогичную с ней обработку. При этом, в зависимости от конкретных условий и возможностей, образцы могут вырезаться из забойных элементов (припуска) конструкций или изготавливаться в идентичных с продукцией условиях по одной и той же СПС;</w:t>
      </w:r>
    </w:p>
    <w:bookmarkEnd w:id="473"/>
    <w:bookmarkStart w:name="z476" w:id="474"/>
    <w:p>
      <w:pPr>
        <w:spacing w:after="0"/>
        <w:ind w:left="0"/>
        <w:jc w:val="both"/>
      </w:pPr>
      <w:r>
        <w:rPr>
          <w:rFonts w:ascii="Times New Roman"/>
          <w:b w:val="false"/>
          <w:i w:val="false"/>
          <w:color w:val="000000"/>
          <w:sz w:val="28"/>
        </w:rPr>
        <w:t>
      386) испытания по одобрению технологического процесса сварки - испытания, проводимые под техническим наблюдением и в объеме требований Регистра судоходства с целью получения подтверждения способности производителя выполнять сварку конкретных сварных соединений в условиях, близких к реальным, согласно требованиям СПС;</w:t>
      </w:r>
    </w:p>
    <w:bookmarkEnd w:id="474"/>
    <w:bookmarkStart w:name="z477" w:id="475"/>
    <w:p>
      <w:pPr>
        <w:spacing w:after="0"/>
        <w:ind w:left="0"/>
        <w:jc w:val="both"/>
      </w:pPr>
      <w:r>
        <w:rPr>
          <w:rFonts w:ascii="Times New Roman"/>
          <w:b w:val="false"/>
          <w:i w:val="false"/>
          <w:color w:val="000000"/>
          <w:sz w:val="28"/>
        </w:rPr>
        <w:t>
      387) отчетность по одобрению технологического процесса сварки - документы Регистра судоходства, содержащие исчерпывающую информацию о проведении испытаний по одобрению технологического процесса сварки. К этим документам относятся спецификация испытаний сварного соединения и протокол результатов испытаний;</w:t>
      </w:r>
    </w:p>
    <w:bookmarkEnd w:id="475"/>
    <w:bookmarkStart w:name="z478" w:id="476"/>
    <w:p>
      <w:pPr>
        <w:spacing w:after="0"/>
        <w:ind w:left="0"/>
        <w:jc w:val="both"/>
      </w:pPr>
      <w:r>
        <w:rPr>
          <w:rFonts w:ascii="Times New Roman"/>
          <w:b w:val="false"/>
          <w:i w:val="false"/>
          <w:color w:val="000000"/>
          <w:sz w:val="28"/>
        </w:rPr>
        <w:t>
      388) предварительные испытания технологического процесса сварки до начала производства - испытания по одобрению технологического процесса сварки, основанные на применении нестандартных образцов и проб, которые имитируют выполнение сварки в производственных условиях;</w:t>
      </w:r>
    </w:p>
    <w:bookmarkEnd w:id="476"/>
    <w:bookmarkStart w:name="z479" w:id="477"/>
    <w:p>
      <w:pPr>
        <w:spacing w:after="0"/>
        <w:ind w:left="0"/>
        <w:jc w:val="both"/>
      </w:pPr>
      <w:r>
        <w:rPr>
          <w:rFonts w:ascii="Times New Roman"/>
          <w:b w:val="false"/>
          <w:i w:val="false"/>
          <w:color w:val="000000"/>
          <w:sz w:val="28"/>
        </w:rPr>
        <w:t>
      389) свидетельство об одобрении технологического процесса сварки - документ Регистра судоходства, удостоверяющий, что применяемый на верфи или предприятии-изготовителе сварных конструкций технологический процесс сварки прошел испытания и одобрен Регистром судоходства для применения;</w:t>
      </w:r>
    </w:p>
    <w:bookmarkEnd w:id="477"/>
    <w:bookmarkStart w:name="z480" w:id="478"/>
    <w:p>
      <w:pPr>
        <w:spacing w:after="0"/>
        <w:ind w:left="0"/>
        <w:jc w:val="both"/>
      </w:pPr>
      <w:r>
        <w:rPr>
          <w:rFonts w:ascii="Times New Roman"/>
          <w:b w:val="false"/>
          <w:i w:val="false"/>
          <w:color w:val="000000"/>
          <w:sz w:val="28"/>
        </w:rPr>
        <w:t>
      390) спецификация процесса сварки (далее - СПС) - документ, составленный производителем сварных конструкций и содержащий всю необходимую информацию по сварке конкретного соединения, включая спецификацию материалов, метода сварки, деталей подготовки кромок и всех технологических параметров;</w:t>
      </w:r>
    </w:p>
    <w:bookmarkEnd w:id="478"/>
    <w:bookmarkStart w:name="z481" w:id="479"/>
    <w:p>
      <w:pPr>
        <w:spacing w:after="0"/>
        <w:ind w:left="0"/>
        <w:jc w:val="both"/>
      </w:pPr>
      <w:r>
        <w:rPr>
          <w:rFonts w:ascii="Times New Roman"/>
          <w:b w:val="false"/>
          <w:i w:val="false"/>
          <w:color w:val="000000"/>
          <w:sz w:val="28"/>
        </w:rPr>
        <w:t>
      391) предварительная пСПС - СПС, основанная на опыте предшествующей работы, а также на рекомендациях изготовителей сварочных материалов и основного металла, но не прошедшая утверждения и одобрения;</w:t>
      </w:r>
    </w:p>
    <w:bookmarkEnd w:id="479"/>
    <w:bookmarkStart w:name="z482" w:id="480"/>
    <w:p>
      <w:pPr>
        <w:spacing w:after="0"/>
        <w:ind w:left="0"/>
        <w:jc w:val="both"/>
      </w:pPr>
      <w:r>
        <w:rPr>
          <w:rFonts w:ascii="Times New Roman"/>
          <w:b w:val="false"/>
          <w:i w:val="false"/>
          <w:color w:val="000000"/>
          <w:sz w:val="28"/>
        </w:rPr>
        <w:t>
      392) стандартная процедура сварки - технологический процесс сварки, который прошел все предусмотренные требованиями настоящего раздела испытания и был одобрен Регистром судоходства для применения на конкретном предприятии-изготовителе сварных конструкций;</w:t>
      </w:r>
    </w:p>
    <w:bookmarkEnd w:id="480"/>
    <w:bookmarkStart w:name="z483" w:id="481"/>
    <w:p>
      <w:pPr>
        <w:spacing w:after="0"/>
        <w:ind w:left="0"/>
        <w:jc w:val="both"/>
      </w:pPr>
      <w:r>
        <w:rPr>
          <w:rFonts w:ascii="Times New Roman"/>
          <w:b w:val="false"/>
          <w:i w:val="false"/>
          <w:color w:val="000000"/>
          <w:sz w:val="28"/>
        </w:rPr>
        <w:t>
      393) интегрированная система - компьютерные системы, взаимосвязанные для обеспечения централизованного доступа к информации от датчиков и управления процессами;</w:t>
      </w:r>
    </w:p>
    <w:bookmarkEnd w:id="481"/>
    <w:bookmarkStart w:name="z484" w:id="482"/>
    <w:p>
      <w:pPr>
        <w:spacing w:after="0"/>
        <w:ind w:left="0"/>
        <w:jc w:val="both"/>
      </w:pPr>
      <w:r>
        <w:rPr>
          <w:rFonts w:ascii="Times New Roman"/>
          <w:b w:val="false"/>
          <w:i w:val="false"/>
          <w:color w:val="000000"/>
          <w:sz w:val="28"/>
        </w:rPr>
        <w:t>
      394) интерфейс - место обмена информацией (например: интерфейс входа/выхода для соединения с датчиками и исполнительными механизмами; интерфейс человек/машина, то есть мониторы, клавиатуры, манипуляторы и т. п. для взаимодействия оператора и компьютера; коммуникационный интерфейс для осуществления последовательной связи с другими компьютерами и периферийными устройствами);</w:t>
      </w:r>
    </w:p>
    <w:bookmarkEnd w:id="482"/>
    <w:bookmarkStart w:name="z485" w:id="483"/>
    <w:p>
      <w:pPr>
        <w:spacing w:after="0"/>
        <w:ind w:left="0"/>
        <w:jc w:val="both"/>
      </w:pPr>
      <w:r>
        <w:rPr>
          <w:rFonts w:ascii="Times New Roman"/>
          <w:b w:val="false"/>
          <w:i w:val="false"/>
          <w:color w:val="000000"/>
          <w:sz w:val="28"/>
        </w:rPr>
        <w:t>
      395) компьютер - программируемое электронное устройство, предназначенное для хранения и обработки данных в цифровой форме, производства расчетов или осуществления управления. Компьютер может быть моноблочным или состоять из нескольких взаимосвязанных единиц;</w:t>
      </w:r>
    </w:p>
    <w:bookmarkEnd w:id="483"/>
    <w:bookmarkStart w:name="z486" w:id="484"/>
    <w:p>
      <w:pPr>
        <w:spacing w:after="0"/>
        <w:ind w:left="0"/>
        <w:jc w:val="both"/>
      </w:pPr>
      <w:r>
        <w:rPr>
          <w:rFonts w:ascii="Times New Roman"/>
          <w:b w:val="false"/>
          <w:i w:val="false"/>
          <w:color w:val="000000"/>
          <w:sz w:val="28"/>
        </w:rPr>
        <w:t>
      396) компьютерная система - система, состоящая из одного или нескольких компьютеров с установленным программным обеспечением, периферийными устройствами и интерфейсами;</w:t>
      </w:r>
    </w:p>
    <w:bookmarkEnd w:id="484"/>
    <w:bookmarkStart w:name="z487" w:id="485"/>
    <w:p>
      <w:pPr>
        <w:spacing w:after="0"/>
        <w:ind w:left="0"/>
        <w:jc w:val="both"/>
      </w:pPr>
      <w:r>
        <w:rPr>
          <w:rFonts w:ascii="Times New Roman"/>
          <w:b w:val="false"/>
          <w:i w:val="false"/>
          <w:color w:val="000000"/>
          <w:sz w:val="28"/>
        </w:rPr>
        <w:t>
      397) программируемый логический контроллер (далее - PLC) - компьютерное устройство, выполненное в виде конструктивно самостоятельного функционального модуля и предназначенное для выполнения функций управления и контроля судовыми механизмами и процессами;</w:t>
      </w:r>
    </w:p>
    <w:bookmarkEnd w:id="485"/>
    <w:bookmarkStart w:name="z488" w:id="486"/>
    <w:p>
      <w:pPr>
        <w:spacing w:after="0"/>
        <w:ind w:left="0"/>
        <w:jc w:val="both"/>
      </w:pPr>
      <w:r>
        <w:rPr>
          <w:rFonts w:ascii="Times New Roman"/>
          <w:b w:val="false"/>
          <w:i w:val="false"/>
          <w:color w:val="000000"/>
          <w:sz w:val="28"/>
        </w:rPr>
        <w:t>
      398) монитор - электронное устройство отображения информации;</w:t>
      </w:r>
    </w:p>
    <w:bookmarkEnd w:id="486"/>
    <w:bookmarkStart w:name="z489" w:id="487"/>
    <w:p>
      <w:pPr>
        <w:spacing w:after="0"/>
        <w:ind w:left="0"/>
        <w:jc w:val="both"/>
      </w:pPr>
      <w:r>
        <w:rPr>
          <w:rFonts w:ascii="Times New Roman"/>
          <w:b w:val="false"/>
          <w:i w:val="false"/>
          <w:color w:val="000000"/>
          <w:sz w:val="28"/>
        </w:rPr>
        <w:t>
      399) периферийное устройство - устройство, выполняющее определенную вспомогательную функцию в системе (принтер, устройство хранения данных);</w:t>
      </w:r>
    </w:p>
    <w:bookmarkEnd w:id="487"/>
    <w:bookmarkStart w:name="z490" w:id="488"/>
    <w:p>
      <w:pPr>
        <w:spacing w:after="0"/>
        <w:ind w:left="0"/>
        <w:jc w:val="both"/>
      </w:pPr>
      <w:r>
        <w:rPr>
          <w:rFonts w:ascii="Times New Roman"/>
          <w:b w:val="false"/>
          <w:i w:val="false"/>
          <w:color w:val="000000"/>
          <w:sz w:val="28"/>
        </w:rPr>
        <w:t>
      400) программное обеспечение - программы, параметры и документация, связанные с обеспечением работы компьютерной системы;</w:t>
      </w:r>
    </w:p>
    <w:bookmarkEnd w:id="488"/>
    <w:bookmarkStart w:name="z491" w:id="489"/>
    <w:p>
      <w:pPr>
        <w:spacing w:after="0"/>
        <w:ind w:left="0"/>
        <w:jc w:val="both"/>
      </w:pPr>
      <w:r>
        <w:rPr>
          <w:rFonts w:ascii="Times New Roman"/>
          <w:b w:val="false"/>
          <w:i w:val="false"/>
          <w:color w:val="000000"/>
          <w:sz w:val="28"/>
        </w:rPr>
        <w:t>
      401) узел - точка подключения к шинам обмена информацией;</w:t>
      </w:r>
    </w:p>
    <w:bookmarkEnd w:id="489"/>
    <w:bookmarkStart w:name="z492" w:id="490"/>
    <w:p>
      <w:pPr>
        <w:spacing w:after="0"/>
        <w:ind w:left="0"/>
        <w:jc w:val="both"/>
      </w:pPr>
      <w:r>
        <w:rPr>
          <w:rFonts w:ascii="Times New Roman"/>
          <w:b w:val="false"/>
          <w:i w:val="false"/>
          <w:color w:val="000000"/>
          <w:sz w:val="28"/>
        </w:rPr>
        <w:t>
      402) единичный отказ в системе динамического позиционирования - отказ либо одного активного элемента (подруливающего устройства, его локальной системы управления, генератора системы питания, автоматизированного клапана), либо одного пассивного элемента (трубопровода, кабеля питания или управления, управляемого вручную клапана);</w:t>
      </w:r>
    </w:p>
    <w:bookmarkEnd w:id="490"/>
    <w:bookmarkStart w:name="z493" w:id="491"/>
    <w:p>
      <w:pPr>
        <w:spacing w:after="0"/>
        <w:ind w:left="0"/>
        <w:jc w:val="both"/>
      </w:pPr>
      <w:r>
        <w:rPr>
          <w:rFonts w:ascii="Times New Roman"/>
          <w:b w:val="false"/>
          <w:i w:val="false"/>
          <w:color w:val="000000"/>
          <w:sz w:val="28"/>
        </w:rPr>
        <w:t>
      403) резервирование (избыточность) системы динамического позициони-рования - дублирование или многократное резервирование ее элементов, при котором комплекс, состоящий из электроэнергетической системы питания и пропульсивных механизмов с их индивидуальными системами управления, работает под управлением компьютерной системы таким образом, что выход из строя отдельных систем управления, отдельных пропульсивных механизмов или элементов электроэнергетической системы питания не влияет на выполнение задачи удержания судна над точкой позиционирования;</w:t>
      </w:r>
    </w:p>
    <w:bookmarkEnd w:id="491"/>
    <w:bookmarkStart w:name="z494" w:id="492"/>
    <w:p>
      <w:pPr>
        <w:spacing w:after="0"/>
        <w:ind w:left="0"/>
        <w:jc w:val="both"/>
      </w:pPr>
      <w:r>
        <w:rPr>
          <w:rFonts w:ascii="Times New Roman"/>
          <w:b w:val="false"/>
          <w:i w:val="false"/>
          <w:color w:val="000000"/>
          <w:sz w:val="28"/>
        </w:rPr>
        <w:t>
      404) система динамического позиционирования (далее - СДП) - комплекс, предназначенный для автоматического и дистанционного автоматизированного управления пропульсивными механизмами судна с целью динамического удерживания его над точкой позиционирования с заданной точностью в условиях воздействия возмущающих внешних сил;</w:t>
      </w:r>
    </w:p>
    <w:bookmarkEnd w:id="492"/>
    <w:bookmarkStart w:name="z495" w:id="493"/>
    <w:p>
      <w:pPr>
        <w:spacing w:after="0"/>
        <w:ind w:left="0"/>
        <w:jc w:val="both"/>
      </w:pPr>
      <w:r>
        <w:rPr>
          <w:rFonts w:ascii="Times New Roman"/>
          <w:b w:val="false"/>
          <w:i w:val="false"/>
          <w:color w:val="000000"/>
          <w:sz w:val="28"/>
        </w:rPr>
        <w:t>
      405) система пропульсивных устройств (далее - механизмов) - система, предназначенная для выработки и поддержания в каждый момент времени соответствующих гидродинамических вектора и упора, способных компенсировать внешние воздействия на судно;</w:t>
      </w:r>
    </w:p>
    <w:bookmarkEnd w:id="493"/>
    <w:bookmarkStart w:name="z496" w:id="494"/>
    <w:p>
      <w:pPr>
        <w:spacing w:after="0"/>
        <w:ind w:left="0"/>
        <w:jc w:val="both"/>
      </w:pPr>
      <w:r>
        <w:rPr>
          <w:rFonts w:ascii="Times New Roman"/>
          <w:b w:val="false"/>
          <w:i w:val="false"/>
          <w:color w:val="000000"/>
          <w:sz w:val="28"/>
        </w:rPr>
        <w:t>
      406) система управления динамическим позиционированием - электрическая и электронная программируемая система, предназначенная для управления пропульсивными механизмами судна;</w:t>
      </w:r>
    </w:p>
    <w:bookmarkEnd w:id="494"/>
    <w:bookmarkStart w:name="z497" w:id="495"/>
    <w:p>
      <w:pPr>
        <w:spacing w:after="0"/>
        <w:ind w:left="0"/>
        <w:jc w:val="both"/>
      </w:pPr>
      <w:r>
        <w:rPr>
          <w:rFonts w:ascii="Times New Roman"/>
          <w:b w:val="false"/>
          <w:i w:val="false"/>
          <w:color w:val="000000"/>
          <w:sz w:val="28"/>
        </w:rPr>
        <w:t>
      407) электроэнергетическая система - система, предназначенная для обеспечения электрическим питанием комплекса во всех условиях эксплуатации, включая аварийные;</w:t>
      </w:r>
    </w:p>
    <w:bookmarkEnd w:id="495"/>
    <w:bookmarkStart w:name="z498" w:id="496"/>
    <w:p>
      <w:pPr>
        <w:spacing w:after="0"/>
        <w:ind w:left="0"/>
        <w:jc w:val="both"/>
      </w:pPr>
      <w:r>
        <w:rPr>
          <w:rFonts w:ascii="Times New Roman"/>
          <w:b w:val="false"/>
          <w:i w:val="false"/>
          <w:color w:val="000000"/>
          <w:sz w:val="28"/>
        </w:rPr>
        <w:t>
      408) система якорного позиционирования - комплекс систем, механизмов и устройств, предназначенных для удержания судна над точкой позиционирования с заданной точностью при воздействии внешних возмущающих сил, с помощью установленных якорных натянутых линий;</w:t>
      </w:r>
    </w:p>
    <w:bookmarkEnd w:id="496"/>
    <w:bookmarkStart w:name="z499" w:id="497"/>
    <w:p>
      <w:pPr>
        <w:spacing w:after="0"/>
        <w:ind w:left="0"/>
        <w:jc w:val="both"/>
      </w:pPr>
      <w:r>
        <w:rPr>
          <w:rFonts w:ascii="Times New Roman"/>
          <w:b w:val="false"/>
          <w:i w:val="false"/>
          <w:color w:val="000000"/>
          <w:sz w:val="28"/>
        </w:rPr>
        <w:t>
      409) якорное позиционирование с использованием вспомогательных движителей означает применение пропульсивной установки судна и его подруливающих устройств совместно с системой якорного позиционирования;</w:t>
      </w:r>
    </w:p>
    <w:bookmarkEnd w:id="497"/>
    <w:bookmarkStart w:name="z500" w:id="498"/>
    <w:p>
      <w:pPr>
        <w:spacing w:after="0"/>
        <w:ind w:left="0"/>
        <w:jc w:val="both"/>
      </w:pPr>
      <w:r>
        <w:rPr>
          <w:rFonts w:ascii="Times New Roman"/>
          <w:b w:val="false"/>
          <w:i w:val="false"/>
          <w:color w:val="000000"/>
          <w:sz w:val="28"/>
        </w:rPr>
        <w:t>
      410) линия киля - линия, проходящая в сечении мидель-шпангоута параллельно наклону киля</w:t>
      </w:r>
    </w:p>
    <w:bookmarkEnd w:id="498"/>
    <w:bookmarkStart w:name="z501" w:id="499"/>
    <w:p>
      <w:pPr>
        <w:spacing w:after="0"/>
        <w:ind w:left="0"/>
        <w:jc w:val="both"/>
      </w:pPr>
      <w:r>
        <w:rPr>
          <w:rFonts w:ascii="Times New Roman"/>
          <w:b w:val="false"/>
          <w:i w:val="false"/>
          <w:color w:val="000000"/>
          <w:sz w:val="28"/>
        </w:rPr>
        <w:t xml:space="preserve">
      Иные понятия, используемые в Правилах, применяются в соответствии с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о торговом мореплавании.</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2" w:id="500"/>
    <w:p>
      <w:pPr>
        <w:spacing w:after="0"/>
        <w:ind w:left="0"/>
        <w:jc w:val="left"/>
      </w:pPr>
      <w:r>
        <w:rPr>
          <w:rFonts w:ascii="Times New Roman"/>
          <w:b/>
          <w:i w:val="false"/>
          <w:color w:val="000000"/>
        </w:rPr>
        <w:t xml:space="preserve"> Раздел 2. Классификация судов</w:t>
      </w:r>
    </w:p>
    <w:bookmarkEnd w:id="500"/>
    <w:bookmarkStart w:name="z503" w:id="501"/>
    <w:p>
      <w:pPr>
        <w:spacing w:after="0"/>
        <w:ind w:left="0"/>
        <w:jc w:val="left"/>
      </w:pPr>
      <w:r>
        <w:rPr>
          <w:rFonts w:ascii="Times New Roman"/>
          <w:b/>
          <w:i w:val="false"/>
          <w:color w:val="000000"/>
        </w:rPr>
        <w:t xml:space="preserve"> Глава 2. Класс и символ судна</w:t>
      </w:r>
    </w:p>
    <w:bookmarkEnd w:id="501"/>
    <w:p>
      <w:pPr>
        <w:spacing w:after="0"/>
        <w:ind w:left="0"/>
        <w:jc w:val="both"/>
      </w:pPr>
      <w:r>
        <w:rPr>
          <w:rFonts w:ascii="Times New Roman"/>
          <w:b w:val="false"/>
          <w:i w:val="false"/>
          <w:color w:val="ff0000"/>
          <w:sz w:val="28"/>
        </w:rPr>
        <w:t xml:space="preserve">
      Сноска. Заголовок главы 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4" w:id="502"/>
    <w:p>
      <w:pPr>
        <w:spacing w:after="0"/>
        <w:ind w:left="0"/>
        <w:jc w:val="left"/>
      </w:pPr>
      <w:r>
        <w:rPr>
          <w:rFonts w:ascii="Times New Roman"/>
          <w:b/>
          <w:i w:val="false"/>
          <w:color w:val="000000"/>
        </w:rPr>
        <w:t xml:space="preserve"> Параграф 1. Общие положения</w:t>
      </w:r>
    </w:p>
    <w:bookmarkEnd w:id="502"/>
    <w:bookmarkStart w:name="z505" w:id="503"/>
    <w:p>
      <w:pPr>
        <w:spacing w:after="0"/>
        <w:ind w:left="0"/>
        <w:jc w:val="both"/>
      </w:pPr>
      <w:r>
        <w:rPr>
          <w:rFonts w:ascii="Times New Roman"/>
          <w:b w:val="false"/>
          <w:i w:val="false"/>
          <w:color w:val="000000"/>
          <w:sz w:val="28"/>
        </w:rPr>
        <w:t>
      7. Присвоение судну класса Регистра судоходства означает подтверждение Регистром судоходства соответствия конструкции судна применимым требованиям Регистра судоходства, а его технического состояния - условиям эксплуатации судна, и принятие судна на учет Регистра судоходства на установленный период, с проведением всех видов освидетельствований.</w:t>
      </w:r>
    </w:p>
    <w:bookmarkEnd w:id="503"/>
    <w:bookmarkStart w:name="z506" w:id="504"/>
    <w:p>
      <w:pPr>
        <w:spacing w:after="0"/>
        <w:ind w:left="0"/>
        <w:jc w:val="both"/>
      </w:pPr>
      <w:r>
        <w:rPr>
          <w:rFonts w:ascii="Times New Roman"/>
          <w:b w:val="false"/>
          <w:i w:val="false"/>
          <w:color w:val="000000"/>
          <w:sz w:val="28"/>
        </w:rPr>
        <w:t>
      8. Регистр судоходства присваивает класс судну по результатам освидетельствования при его постройке, а также присваивает или возобновляет класс судну, находящемуся в эксплуатации.</w:t>
      </w:r>
    </w:p>
    <w:bookmarkEnd w:id="504"/>
    <w:p>
      <w:pPr>
        <w:spacing w:after="0"/>
        <w:ind w:left="0"/>
        <w:jc w:val="both"/>
      </w:pPr>
      <w:r>
        <w:rPr>
          <w:rFonts w:ascii="Times New Roman"/>
          <w:b w:val="false"/>
          <w:i w:val="false"/>
          <w:color w:val="000000"/>
          <w:sz w:val="28"/>
        </w:rPr>
        <w:t>
      Документы, предоставляемые для присвоения класса судну:</w:t>
      </w:r>
    </w:p>
    <w:p>
      <w:pPr>
        <w:spacing w:after="0"/>
        <w:ind w:left="0"/>
        <w:jc w:val="both"/>
      </w:pPr>
      <w:r>
        <w:rPr>
          <w:rFonts w:ascii="Times New Roman"/>
          <w:b w:val="false"/>
          <w:i w:val="false"/>
          <w:color w:val="000000"/>
          <w:sz w:val="28"/>
        </w:rPr>
        <w:t>
      1) заявление судовладельца в произвольной форме;</w:t>
      </w:r>
    </w:p>
    <w:p>
      <w:pPr>
        <w:spacing w:after="0"/>
        <w:ind w:left="0"/>
        <w:jc w:val="both"/>
      </w:pPr>
      <w:r>
        <w:rPr>
          <w:rFonts w:ascii="Times New Roman"/>
          <w:b w:val="false"/>
          <w:i w:val="false"/>
          <w:color w:val="000000"/>
          <w:sz w:val="28"/>
        </w:rPr>
        <w:t>
      2) паспорт судна, выданный заводом-изготовителем;</w:t>
      </w:r>
    </w:p>
    <w:bookmarkStart w:name="z95" w:id="505"/>
    <w:p>
      <w:pPr>
        <w:spacing w:after="0"/>
        <w:ind w:left="0"/>
        <w:jc w:val="both"/>
      </w:pPr>
      <w:r>
        <w:rPr>
          <w:rFonts w:ascii="Times New Roman"/>
          <w:b w:val="false"/>
          <w:i w:val="false"/>
          <w:color w:val="000000"/>
          <w:sz w:val="28"/>
        </w:rPr>
        <w:t>
      3) информация об остойчивости и непотопляемости судна, инструкция по погрузке и выгрузке судна;</w:t>
      </w:r>
    </w:p>
    <w:bookmarkEnd w:id="505"/>
    <w:bookmarkStart w:name="z96" w:id="506"/>
    <w:p>
      <w:pPr>
        <w:spacing w:after="0"/>
        <w:ind w:left="0"/>
        <w:jc w:val="both"/>
      </w:pPr>
      <w:r>
        <w:rPr>
          <w:rFonts w:ascii="Times New Roman"/>
          <w:b w:val="false"/>
          <w:i w:val="false"/>
          <w:color w:val="000000"/>
          <w:sz w:val="28"/>
        </w:rPr>
        <w:t>
      4) документ, подтверждающий право собственности или договор фрахтования судна (оригинал и копия);</w:t>
      </w:r>
    </w:p>
    <w:bookmarkEnd w:id="506"/>
    <w:bookmarkStart w:name="z97" w:id="507"/>
    <w:p>
      <w:pPr>
        <w:spacing w:after="0"/>
        <w:ind w:left="0"/>
        <w:jc w:val="both"/>
      </w:pPr>
      <w:r>
        <w:rPr>
          <w:rFonts w:ascii="Times New Roman"/>
          <w:b w:val="false"/>
          <w:i w:val="false"/>
          <w:color w:val="000000"/>
          <w:sz w:val="28"/>
        </w:rPr>
        <w:t>
      5) документы предыдущего классификационного общества (свидетельства и акты освидетельствования), при наличии;</w:t>
      </w:r>
    </w:p>
    <w:bookmarkEnd w:id="507"/>
    <w:bookmarkStart w:name="z98" w:id="508"/>
    <w:p>
      <w:pPr>
        <w:spacing w:after="0"/>
        <w:ind w:left="0"/>
        <w:jc w:val="both"/>
      </w:pPr>
      <w:r>
        <w:rPr>
          <w:rFonts w:ascii="Times New Roman"/>
          <w:b w:val="false"/>
          <w:i w:val="false"/>
          <w:color w:val="000000"/>
          <w:sz w:val="28"/>
        </w:rPr>
        <w:t>
      Оригиналы документов после сверки работником Регистра судоходства возвращаются судовладельцу.</w:t>
      </w:r>
    </w:p>
    <w:bookmarkEnd w:id="508"/>
    <w:bookmarkStart w:name="z99" w:id="509"/>
    <w:p>
      <w:pPr>
        <w:spacing w:after="0"/>
        <w:ind w:left="0"/>
        <w:jc w:val="both"/>
      </w:pPr>
      <w:r>
        <w:rPr>
          <w:rFonts w:ascii="Times New Roman"/>
          <w:b w:val="false"/>
          <w:i w:val="false"/>
          <w:color w:val="000000"/>
          <w:sz w:val="28"/>
        </w:rPr>
        <w:t>
      К документам, составленным на иностранном языке, прилагается нотариально заверенный перевод на государственный или русский язык.</w:t>
      </w:r>
    </w:p>
    <w:bookmarkEnd w:id="509"/>
    <w:bookmarkStart w:name="z100" w:id="510"/>
    <w:p>
      <w:pPr>
        <w:spacing w:after="0"/>
        <w:ind w:left="0"/>
        <w:jc w:val="both"/>
      </w:pPr>
      <w:r>
        <w:rPr>
          <w:rFonts w:ascii="Times New Roman"/>
          <w:b w:val="false"/>
          <w:i w:val="false"/>
          <w:color w:val="000000"/>
          <w:sz w:val="28"/>
        </w:rPr>
        <w:t>
      Не подлежат приему документы, имеющие подчистки или приписки, зачеркнутые слова и не оговоренные в них исправления, документы, исполненные карандашом, а также документы с повреждениями, не позволяющим однозначно истолковать их содержание.</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511"/>
    <w:p>
      <w:pPr>
        <w:spacing w:after="0"/>
        <w:ind w:left="0"/>
        <w:jc w:val="both"/>
      </w:pPr>
      <w:r>
        <w:rPr>
          <w:rFonts w:ascii="Times New Roman"/>
          <w:b w:val="false"/>
          <w:i w:val="false"/>
          <w:color w:val="000000"/>
          <w:sz w:val="28"/>
        </w:rPr>
        <w:t>
      9. Возобновление класса судна означает подтверждение Регистром судоходства соответствия конструкции судна и его технического состояния условиям, на которых был ранее присвоен класс, и продление действия документов Регистра судоходства на установленный период.</w:t>
      </w:r>
    </w:p>
    <w:bookmarkEnd w:id="511"/>
    <w:bookmarkStart w:name="z508" w:id="512"/>
    <w:p>
      <w:pPr>
        <w:spacing w:after="0"/>
        <w:ind w:left="0"/>
        <w:jc w:val="both"/>
      </w:pPr>
      <w:r>
        <w:rPr>
          <w:rFonts w:ascii="Times New Roman"/>
          <w:b w:val="false"/>
          <w:i w:val="false"/>
          <w:color w:val="000000"/>
          <w:sz w:val="28"/>
        </w:rPr>
        <w:t>
      10. Класс судну присваивается или возобновляется Регистром судоходства на пятилетний период, в обоснованных случаях Регистр судоходства присваивает или возобновляет класс на меньший срок.</w:t>
      </w:r>
    </w:p>
    <w:bookmarkEnd w:id="512"/>
    <w:bookmarkStart w:name="z509" w:id="513"/>
    <w:p>
      <w:pPr>
        <w:spacing w:after="0"/>
        <w:ind w:left="0"/>
        <w:jc w:val="both"/>
      </w:pPr>
      <w:r>
        <w:rPr>
          <w:rFonts w:ascii="Times New Roman"/>
          <w:b w:val="false"/>
          <w:i w:val="false"/>
          <w:color w:val="000000"/>
          <w:sz w:val="28"/>
        </w:rPr>
        <w:t>
      11. Наличие у судна действующего класса Регистра судоходства означает, что техническое состояние судна полностью или в степени, признанной Регистром судоходства за достаточную, соответствует тем требованиям Регистра судоходства, которые на него распространяются в соответствии с назначением, условиями эксплуатации и символом класса судна.</w:t>
      </w:r>
    </w:p>
    <w:bookmarkEnd w:id="513"/>
    <w:bookmarkStart w:name="z510" w:id="514"/>
    <w:p>
      <w:pPr>
        <w:spacing w:after="0"/>
        <w:ind w:left="0"/>
        <w:jc w:val="both"/>
      </w:pPr>
      <w:r>
        <w:rPr>
          <w:rFonts w:ascii="Times New Roman"/>
          <w:b w:val="false"/>
          <w:i w:val="false"/>
          <w:color w:val="000000"/>
          <w:sz w:val="28"/>
        </w:rPr>
        <w:t>
      12. Действие класса автоматически приостанавливается в следующих случаях:</w:t>
      </w:r>
    </w:p>
    <w:bookmarkEnd w:id="514"/>
    <w:bookmarkStart w:name="z511" w:id="515"/>
    <w:p>
      <w:pPr>
        <w:spacing w:after="0"/>
        <w:ind w:left="0"/>
        <w:jc w:val="both"/>
      </w:pPr>
      <w:r>
        <w:rPr>
          <w:rFonts w:ascii="Times New Roman"/>
          <w:b w:val="false"/>
          <w:i w:val="false"/>
          <w:color w:val="000000"/>
          <w:sz w:val="28"/>
        </w:rPr>
        <w:t>
      1) непредъявление судна в целом или отдельных его элементов к назначенному периодическому или внеочередному освидетельствованию в предписанный срок (если очередное освидетельствование не завершено, или не предполагается его завершить до возобновления эксплуатации к установленной дате; если ежегодное освидетельствование не завершено в пределах 3-х (трех) месяцев от установленной даты ежегодного освидетельствования; если промежуточное освидетельствование не завершено в пределах 3-х (трех) месяцев от установленной даты третьего ежегодного освидетельствования в каждом периодическом цикле освидетельствований);</w:t>
      </w:r>
    </w:p>
    <w:bookmarkEnd w:id="515"/>
    <w:bookmarkStart w:name="z512" w:id="516"/>
    <w:p>
      <w:pPr>
        <w:spacing w:after="0"/>
        <w:ind w:left="0"/>
        <w:jc w:val="both"/>
      </w:pPr>
      <w:r>
        <w:rPr>
          <w:rFonts w:ascii="Times New Roman"/>
          <w:b w:val="false"/>
          <w:i w:val="false"/>
          <w:color w:val="000000"/>
          <w:sz w:val="28"/>
        </w:rPr>
        <w:t>
      2) если судно не предъявляется для завершения соответствующего освидетельствования или, если в требованиях Регистра судоходства не предусмотрено иное;</w:t>
      </w:r>
    </w:p>
    <w:bookmarkEnd w:id="516"/>
    <w:bookmarkStart w:name="z513" w:id="517"/>
    <w:p>
      <w:pPr>
        <w:spacing w:after="0"/>
        <w:ind w:left="0"/>
        <w:jc w:val="both"/>
      </w:pPr>
      <w:r>
        <w:rPr>
          <w:rFonts w:ascii="Times New Roman"/>
          <w:b w:val="false"/>
          <w:i w:val="false"/>
          <w:color w:val="000000"/>
          <w:sz w:val="28"/>
        </w:rPr>
        <w:t>
      3) после аварийного случая (судно предъявляется к внеочередному освидетельствованию в порту, где произошел аварийный случай, либо в первом порту захода, если аварийный случай произошел в море);</w:t>
      </w:r>
    </w:p>
    <w:bookmarkEnd w:id="517"/>
    <w:bookmarkStart w:name="z514" w:id="518"/>
    <w:p>
      <w:pPr>
        <w:spacing w:after="0"/>
        <w:ind w:left="0"/>
        <w:jc w:val="both"/>
      </w:pPr>
      <w:r>
        <w:rPr>
          <w:rFonts w:ascii="Times New Roman"/>
          <w:b w:val="false"/>
          <w:i w:val="false"/>
          <w:color w:val="000000"/>
          <w:sz w:val="28"/>
        </w:rPr>
        <w:t>
      4) введения не одобренных Регистром судоходства конструктивных изменений и/или изменений в снабжении судна в сторону уменьшения от предписанного настоящими Правилами;</w:t>
      </w:r>
    </w:p>
    <w:bookmarkEnd w:id="518"/>
    <w:bookmarkStart w:name="z515" w:id="519"/>
    <w:p>
      <w:pPr>
        <w:spacing w:after="0"/>
        <w:ind w:left="0"/>
        <w:jc w:val="both"/>
      </w:pPr>
      <w:r>
        <w:rPr>
          <w:rFonts w:ascii="Times New Roman"/>
          <w:b w:val="false"/>
          <w:i w:val="false"/>
          <w:color w:val="000000"/>
          <w:sz w:val="28"/>
        </w:rPr>
        <w:t>
      5) выполнения ремонта элементов судна без одобрения и/или без освидетельствования Регистром судоходства;</w:t>
      </w:r>
    </w:p>
    <w:bookmarkEnd w:id="519"/>
    <w:bookmarkStart w:name="z516" w:id="520"/>
    <w:p>
      <w:pPr>
        <w:spacing w:after="0"/>
        <w:ind w:left="0"/>
        <w:jc w:val="both"/>
      </w:pPr>
      <w:r>
        <w:rPr>
          <w:rFonts w:ascii="Times New Roman"/>
          <w:b w:val="false"/>
          <w:i w:val="false"/>
          <w:color w:val="000000"/>
          <w:sz w:val="28"/>
        </w:rPr>
        <w:t>
      6) эксплуатации судна с осадкой, превышающей регламентированной Регистром судоходства для конкретных условий, а также эксплуатации судна в условиях, не соответствующих присвоенному классу судна или установленным при этом Регистром судоходства ограничениям;</w:t>
      </w:r>
    </w:p>
    <w:bookmarkEnd w:id="520"/>
    <w:bookmarkStart w:name="z517" w:id="521"/>
    <w:p>
      <w:pPr>
        <w:spacing w:after="0"/>
        <w:ind w:left="0"/>
        <w:jc w:val="both"/>
      </w:pPr>
      <w:r>
        <w:rPr>
          <w:rFonts w:ascii="Times New Roman"/>
          <w:b w:val="false"/>
          <w:i w:val="false"/>
          <w:color w:val="000000"/>
          <w:sz w:val="28"/>
        </w:rPr>
        <w:t>
      7) несвоевременного выполнения предписанных конкретных требований, являющихся при предыдущем освидетельствовании судна условием присвоения или сохранения класса Регистра судоходства;</w:t>
      </w:r>
    </w:p>
    <w:bookmarkEnd w:id="521"/>
    <w:bookmarkStart w:name="z518" w:id="522"/>
    <w:p>
      <w:pPr>
        <w:spacing w:after="0"/>
        <w:ind w:left="0"/>
        <w:jc w:val="both"/>
      </w:pPr>
      <w:r>
        <w:rPr>
          <w:rFonts w:ascii="Times New Roman"/>
          <w:b w:val="false"/>
          <w:i w:val="false"/>
          <w:color w:val="000000"/>
          <w:sz w:val="28"/>
        </w:rPr>
        <w:t>
      8) приостановления по инициативе или по вине судовладельца процесса проводимого Регистром судоходства освидетельствования судна;</w:t>
      </w:r>
    </w:p>
    <w:bookmarkEnd w:id="522"/>
    <w:bookmarkStart w:name="z519" w:id="523"/>
    <w:p>
      <w:pPr>
        <w:spacing w:after="0"/>
        <w:ind w:left="0"/>
        <w:jc w:val="both"/>
      </w:pPr>
      <w:r>
        <w:rPr>
          <w:rFonts w:ascii="Times New Roman"/>
          <w:b w:val="false"/>
          <w:i w:val="false"/>
          <w:color w:val="000000"/>
          <w:sz w:val="28"/>
        </w:rPr>
        <w:t>
      9) вывода судна из эксплуатации на продолжительный (более трех месяцев) период для выполнения выставленных Регистром судоходства требований (кроме случая нахождения судна в ремонте для этих целей).</w:t>
      </w:r>
    </w:p>
    <w:bookmarkEnd w:id="523"/>
    <w:bookmarkStart w:name="z520" w:id="524"/>
    <w:p>
      <w:pPr>
        <w:spacing w:after="0"/>
        <w:ind w:left="0"/>
        <w:jc w:val="both"/>
      </w:pPr>
      <w:r>
        <w:rPr>
          <w:rFonts w:ascii="Times New Roman"/>
          <w:b w:val="false"/>
          <w:i w:val="false"/>
          <w:color w:val="000000"/>
          <w:sz w:val="28"/>
        </w:rPr>
        <w:t xml:space="preserve">
      13. Приостановленный, как указано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класс судна восстанавливается при положительных результатах периодического или внеочередного освидетельствования, выполненного Регистром судоходства при предъявлении судна. При этом, в случаях вывода судна из эксплуатации на продолжительный (более трех месяцев) период объем освидетельствования для восстановления класса судна устанавливается Регистром судоходства с учетом возраста судна, его состояния и срока вывода его из эксплуатации.</w:t>
      </w:r>
    </w:p>
    <w:bookmarkEnd w:id="524"/>
    <w:bookmarkStart w:name="z521" w:id="525"/>
    <w:p>
      <w:pPr>
        <w:spacing w:after="0"/>
        <w:ind w:left="0"/>
        <w:jc w:val="both"/>
      </w:pPr>
      <w:r>
        <w:rPr>
          <w:rFonts w:ascii="Times New Roman"/>
          <w:b w:val="false"/>
          <w:i w:val="false"/>
          <w:color w:val="000000"/>
          <w:sz w:val="28"/>
        </w:rPr>
        <w:t>
      На период от приостановления действия класса до его восстановления судно считается утратившим класс Регистра судоходства.</w:t>
      </w:r>
    </w:p>
    <w:bookmarkEnd w:id="525"/>
    <w:bookmarkStart w:name="z522" w:id="526"/>
    <w:p>
      <w:pPr>
        <w:spacing w:after="0"/>
        <w:ind w:left="0"/>
        <w:jc w:val="both"/>
      </w:pPr>
      <w:r>
        <w:rPr>
          <w:rFonts w:ascii="Times New Roman"/>
          <w:b w:val="false"/>
          <w:i w:val="false"/>
          <w:color w:val="000000"/>
          <w:sz w:val="28"/>
        </w:rPr>
        <w:t>
      Класс приостанавливается на срок не более шести месяцев.</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527"/>
    <w:p>
      <w:pPr>
        <w:spacing w:after="0"/>
        <w:ind w:left="0"/>
        <w:jc w:val="both"/>
      </w:pPr>
      <w:r>
        <w:rPr>
          <w:rFonts w:ascii="Times New Roman"/>
          <w:b w:val="false"/>
          <w:i w:val="false"/>
          <w:color w:val="000000"/>
          <w:sz w:val="28"/>
        </w:rPr>
        <w:t>
      14. Класс судна снимается Регистром судоходства в следующих случаях:</w:t>
      </w:r>
    </w:p>
    <w:bookmarkEnd w:id="527"/>
    <w:bookmarkStart w:name="z524" w:id="528"/>
    <w:p>
      <w:pPr>
        <w:spacing w:after="0"/>
        <w:ind w:left="0"/>
        <w:jc w:val="both"/>
      </w:pPr>
      <w:r>
        <w:rPr>
          <w:rFonts w:ascii="Times New Roman"/>
          <w:b w:val="false"/>
          <w:i w:val="false"/>
          <w:color w:val="000000"/>
          <w:sz w:val="28"/>
        </w:rPr>
        <w:t>
      1) по окончании максимально установленного срока приостановления класса;</w:t>
      </w:r>
    </w:p>
    <w:bookmarkEnd w:id="528"/>
    <w:bookmarkStart w:name="z525" w:id="529"/>
    <w:p>
      <w:pPr>
        <w:spacing w:after="0"/>
        <w:ind w:left="0"/>
        <w:jc w:val="both"/>
      </w:pPr>
      <w:r>
        <w:rPr>
          <w:rFonts w:ascii="Times New Roman"/>
          <w:b w:val="false"/>
          <w:i w:val="false"/>
          <w:color w:val="000000"/>
          <w:sz w:val="28"/>
        </w:rPr>
        <w:t xml:space="preserve">
      2) когда восстановление класса, приостановленного, как указано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представляется Регистру судоходства и/или судовладельцу невозможным;</w:t>
      </w:r>
    </w:p>
    <w:bookmarkEnd w:id="529"/>
    <w:bookmarkStart w:name="z526" w:id="530"/>
    <w:p>
      <w:pPr>
        <w:spacing w:after="0"/>
        <w:ind w:left="0"/>
        <w:jc w:val="both"/>
      </w:pPr>
      <w:r>
        <w:rPr>
          <w:rFonts w:ascii="Times New Roman"/>
          <w:b w:val="false"/>
          <w:i w:val="false"/>
          <w:color w:val="000000"/>
          <w:sz w:val="28"/>
        </w:rPr>
        <w:t>
      3) когда судовладелец переводит судно в класс другого классификационного органа;</w:t>
      </w:r>
    </w:p>
    <w:bookmarkEnd w:id="530"/>
    <w:bookmarkStart w:name="z527" w:id="531"/>
    <w:p>
      <w:pPr>
        <w:spacing w:after="0"/>
        <w:ind w:left="0"/>
        <w:jc w:val="both"/>
      </w:pPr>
      <w:r>
        <w:rPr>
          <w:rFonts w:ascii="Times New Roman"/>
          <w:b w:val="false"/>
          <w:i w:val="false"/>
          <w:color w:val="000000"/>
          <w:sz w:val="28"/>
        </w:rPr>
        <w:t>
      4) по желанию судовладельца.</w:t>
      </w:r>
    </w:p>
    <w:bookmarkEnd w:id="531"/>
    <w:bookmarkStart w:name="z528" w:id="532"/>
    <w:p>
      <w:pPr>
        <w:spacing w:after="0"/>
        <w:ind w:left="0"/>
        <w:jc w:val="both"/>
      </w:pPr>
      <w:r>
        <w:rPr>
          <w:rFonts w:ascii="Times New Roman"/>
          <w:b w:val="false"/>
          <w:i w:val="false"/>
          <w:color w:val="000000"/>
          <w:sz w:val="28"/>
        </w:rPr>
        <w:t>
      Снятие класса судна означает прекращение действия Классификационного свидетельства.</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533"/>
    <w:p>
      <w:pPr>
        <w:spacing w:after="0"/>
        <w:ind w:left="0"/>
        <w:jc w:val="both"/>
      </w:pPr>
      <w:r>
        <w:rPr>
          <w:rFonts w:ascii="Times New Roman"/>
          <w:b w:val="false"/>
          <w:i w:val="false"/>
          <w:color w:val="000000"/>
          <w:sz w:val="28"/>
        </w:rPr>
        <w:t>
      15. Класс судна аннулируется в связи с гибелью судна или его списанием.</w:t>
      </w:r>
    </w:p>
    <w:bookmarkEnd w:id="533"/>
    <w:bookmarkStart w:name="z530" w:id="534"/>
    <w:p>
      <w:pPr>
        <w:spacing w:after="0"/>
        <w:ind w:left="0"/>
        <w:jc w:val="both"/>
      </w:pPr>
      <w:r>
        <w:rPr>
          <w:rFonts w:ascii="Times New Roman"/>
          <w:b w:val="false"/>
          <w:i w:val="false"/>
          <w:color w:val="000000"/>
          <w:sz w:val="28"/>
        </w:rPr>
        <w:t>
      16. С присвоением класса Регистр судоходства принимает на технический учет суда или плавучие сооружения и снимает их с технического учета при снятии или аннулировании класса.</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1" w:id="535"/>
    <w:p>
      <w:pPr>
        <w:spacing w:after="0"/>
        <w:ind w:left="0"/>
        <w:jc w:val="both"/>
      </w:pPr>
      <w:r>
        <w:rPr>
          <w:rFonts w:ascii="Times New Roman"/>
          <w:b w:val="false"/>
          <w:i w:val="false"/>
          <w:color w:val="000000"/>
          <w:sz w:val="28"/>
        </w:rPr>
        <w:t>
      17. Присваиваемый Регистром судоходства судну или плавучему сооружению класс состоит из основного символа и дополнительных знаков и словесных характеристик, определяющих конструкцию и назначение судна или плавучего сооружения.</w:t>
      </w:r>
    </w:p>
    <w:bookmarkEnd w:id="535"/>
    <w:bookmarkStart w:name="z532" w:id="536"/>
    <w:p>
      <w:pPr>
        <w:spacing w:after="0"/>
        <w:ind w:left="0"/>
        <w:jc w:val="both"/>
      </w:pPr>
      <w:r>
        <w:rPr>
          <w:rFonts w:ascii="Times New Roman"/>
          <w:b w:val="false"/>
          <w:i w:val="false"/>
          <w:color w:val="000000"/>
          <w:sz w:val="28"/>
        </w:rPr>
        <w:t xml:space="preserve">
      Дополнительные знаки и словесные характеристики добавляются к основному символу класса (в случае их применения) в последовательности, определенной положениями настоящей главы. </w:t>
      </w:r>
    </w:p>
    <w:bookmarkEnd w:id="536"/>
    <w:bookmarkStart w:name="z533" w:id="537"/>
    <w:p>
      <w:pPr>
        <w:spacing w:after="0"/>
        <w:ind w:left="0"/>
        <w:jc w:val="both"/>
      </w:pPr>
      <w:r>
        <w:rPr>
          <w:rFonts w:ascii="Times New Roman"/>
          <w:b w:val="false"/>
          <w:i w:val="false"/>
          <w:color w:val="000000"/>
          <w:sz w:val="28"/>
        </w:rPr>
        <w:t>
      18. Основной символ присваиваемого Регистром судоходства судну или плавучему сооружению класса состоит из знаков:</w:t>
      </w:r>
    </w:p>
    <w:bookmarkEnd w:id="537"/>
    <w:bookmarkStart w:name="z534"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Т*(указывается прежний класс),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самоходных судов и плавучих сооружений;</w:t>
      </w:r>
      <w:r>
        <w:br/>
      </w:r>
      <w:r>
        <w:rPr>
          <w:rFonts w:ascii="Times New Roman"/>
          <w:b w:val="false"/>
          <w:i w:val="false"/>
          <w:color w:val="000000"/>
          <w:sz w:val="28"/>
        </w:rPr>
        <w:t>
</w:t>
      </w:r>
    </w:p>
    <w:bookmarkStart w:name="z535"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Т**(указывается прежний класс),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несамоходных судов и плавучих сооружений с суммарной мощностью первичных двигателей 100 кВт и более;</w:t>
      </w:r>
      <w:r>
        <w:br/>
      </w:r>
      <w:r>
        <w:rPr>
          <w:rFonts w:ascii="Times New Roman"/>
          <w:b w:val="false"/>
          <w:i w:val="false"/>
          <w:color w:val="000000"/>
          <w:sz w:val="28"/>
        </w:rPr>
        <w:t>
</w:t>
      </w:r>
    </w:p>
    <w:bookmarkStart w:name="z536"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Т***(указывается прежний класс),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прочих несамоходных судов и плавучих сооружений.</w:t>
      </w:r>
      <w:r>
        <w:br/>
      </w:r>
      <w:r>
        <w:rPr>
          <w:rFonts w:ascii="Times New Roman"/>
          <w:b w:val="false"/>
          <w:i w:val="false"/>
          <w:color w:val="000000"/>
          <w:sz w:val="28"/>
        </w:rPr>
        <w:t>
</w:t>
      </w:r>
    </w:p>
    <w:bookmarkStart w:name="z537" w:id="541"/>
    <w:p>
      <w:pPr>
        <w:spacing w:after="0"/>
        <w:ind w:left="0"/>
        <w:jc w:val="both"/>
      </w:pPr>
      <w:r>
        <w:rPr>
          <w:rFonts w:ascii="Times New Roman"/>
          <w:b w:val="false"/>
          <w:i w:val="false"/>
          <w:color w:val="000000"/>
          <w:sz w:val="28"/>
        </w:rPr>
        <w:t>
      19. В зависимости от того, по каким правилам и какой классификационной организацией освидетельствовано судно или плавучее сооружение, основной символ класса устанавливается следующим образом:</w:t>
      </w:r>
    </w:p>
    <w:bookmarkEnd w:id="541"/>
    <w:bookmarkStart w:name="z538" w:id="542"/>
    <w:p>
      <w:pPr>
        <w:spacing w:after="0"/>
        <w:ind w:left="0"/>
        <w:jc w:val="both"/>
      </w:pPr>
      <w:r>
        <w:rPr>
          <w:rFonts w:ascii="Times New Roman"/>
          <w:b w:val="false"/>
          <w:i w:val="false"/>
          <w:color w:val="000000"/>
          <w:sz w:val="28"/>
        </w:rPr>
        <w:t xml:space="preserve">
      1) судам и плавучим сооружениям, построенным по правилам и освидетельствованным Регистром судоходства, присваивается класс с основным символом: </w:t>
      </w:r>
    </w:p>
    <w:bookmarkEnd w:id="542"/>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(пункт 18 настоящих Правил);</w:t>
      </w:r>
      <w:r>
        <w:br/>
      </w:r>
      <w:r>
        <w:rPr>
          <w:rFonts w:ascii="Times New Roman"/>
          <w:b w:val="false"/>
          <w:i w:val="false"/>
          <w:color w:val="000000"/>
          <w:sz w:val="28"/>
        </w:rPr>
        <w:t>
</w:t>
      </w:r>
    </w:p>
    <w:bookmarkStart w:name="z539" w:id="543"/>
    <w:p>
      <w:pPr>
        <w:spacing w:after="0"/>
        <w:ind w:left="0"/>
        <w:jc w:val="both"/>
      </w:pPr>
      <w:r>
        <w:rPr>
          <w:rFonts w:ascii="Times New Roman"/>
          <w:b w:val="false"/>
          <w:i w:val="false"/>
          <w:color w:val="000000"/>
          <w:sz w:val="28"/>
        </w:rPr>
        <w:t xml:space="preserve">
      2) судам и плавучим сооружениям, которые полностью (либо их корпус, или механическая установка, механизмы, оборудование) построены и/или изготовлены по правилам другой признанной Регистром судоходства классификационной организации и освидетельствованы этой организацией при их постройке и изготовлении, при их классификации Регистром судоходства присваивается класс с основным символом с указанием в скобке прежде присвоенного класса: </w:t>
      </w:r>
    </w:p>
    <w:bookmarkEnd w:id="543"/>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(пункт 18 настоящих Правил);</w:t>
      </w:r>
      <w:r>
        <w:br/>
      </w:r>
      <w:r>
        <w:rPr>
          <w:rFonts w:ascii="Times New Roman"/>
          <w:b w:val="false"/>
          <w:i w:val="false"/>
          <w:color w:val="000000"/>
          <w:sz w:val="28"/>
        </w:rPr>
        <w:t>
</w:t>
      </w:r>
    </w:p>
    <w:bookmarkStart w:name="z540" w:id="544"/>
    <w:p>
      <w:pPr>
        <w:spacing w:after="0"/>
        <w:ind w:left="0"/>
        <w:jc w:val="both"/>
      </w:pPr>
      <w:r>
        <w:rPr>
          <w:rFonts w:ascii="Times New Roman"/>
          <w:b w:val="false"/>
          <w:i w:val="false"/>
          <w:color w:val="000000"/>
          <w:sz w:val="28"/>
        </w:rPr>
        <w:t xml:space="preserve">
      3) судам и плавучим сооружениям, которые полностью (либо их корпус, или механическая установка, или механизмы, или оборудование) построены и/или изготовлены без освидетельствования признанной Регистром судоходства классификационной организацией или вообще без освидетельствования классификационной организацией, при их классификации Регистром судоходства присваивается класс с основным символом: </w:t>
      </w:r>
    </w:p>
    <w:bookmarkEnd w:id="544"/>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18 настоящих Правил);</w:t>
      </w:r>
      <w:r>
        <w:br/>
      </w:r>
      <w:r>
        <w:rPr>
          <w:rFonts w:ascii="Times New Roman"/>
          <w:b w:val="false"/>
          <w:i w:val="false"/>
          <w:color w:val="000000"/>
          <w:sz w:val="28"/>
        </w:rPr>
        <w:t>
</w:t>
      </w:r>
    </w:p>
    <w:bookmarkStart w:name="z541" w:id="545"/>
    <w:p>
      <w:pPr>
        <w:spacing w:after="0"/>
        <w:ind w:left="0"/>
        <w:jc w:val="both"/>
      </w:pPr>
      <w:r>
        <w:rPr>
          <w:rFonts w:ascii="Times New Roman"/>
          <w:b w:val="false"/>
          <w:i w:val="false"/>
          <w:color w:val="000000"/>
          <w:sz w:val="28"/>
        </w:rPr>
        <w:t xml:space="preserve">
      4) судам и плавучим сооружениям, которым в силу особенностей их конструкции при их классификации невозможно присвоить основной символ класса из числа указанных в подпункте 2) пункта 19 настоящих Правил, присваивается класс с основным символом в виде </w:t>
      </w:r>
    </w:p>
    <w:bookmarkEnd w:id="545"/>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или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или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r>
        <w:br/>
      </w:r>
      <w:r>
        <w:rPr>
          <w:rFonts w:ascii="Times New Roman"/>
          <w:b w:val="false"/>
          <w:i w:val="false"/>
          <w:color w:val="000000"/>
          <w:sz w:val="28"/>
        </w:rPr>
        <w:t>
</w:t>
      </w:r>
    </w:p>
    <w:bookmarkStart w:name="z542" w:id="546"/>
    <w:p>
      <w:pPr>
        <w:spacing w:after="0"/>
        <w:ind w:left="0"/>
        <w:jc w:val="both"/>
      </w:pPr>
      <w:r>
        <w:rPr>
          <w:rFonts w:ascii="Times New Roman"/>
          <w:b w:val="false"/>
          <w:i w:val="false"/>
          <w:color w:val="000000"/>
          <w:sz w:val="28"/>
        </w:rPr>
        <w:t>
      Указанное относится к случаям перехода судов и плавучих сооружений в класс Регистра судоходства из класса общества-члена Международной ассоциации классификационных обществ (далее - МАКО). Такая классификация является в каждом случае предметом особого рассмотрения Регистра судоходства.</w:t>
      </w:r>
    </w:p>
    <w:bookmarkEnd w:id="546"/>
    <w:bookmarkStart w:name="z543" w:id="547"/>
    <w:p>
      <w:pPr>
        <w:spacing w:after="0"/>
        <w:ind w:left="0"/>
        <w:jc w:val="left"/>
      </w:pPr>
      <w:r>
        <w:rPr>
          <w:rFonts w:ascii="Times New Roman"/>
          <w:b/>
          <w:i w:val="false"/>
          <w:color w:val="000000"/>
        </w:rPr>
        <w:t xml:space="preserve"> Параграф 2. Знаки категорий ледовых усилений и</w:t>
      </w:r>
      <w:r>
        <w:br/>
      </w:r>
      <w:r>
        <w:rPr>
          <w:rFonts w:ascii="Times New Roman"/>
          <w:b/>
          <w:i w:val="false"/>
          <w:color w:val="000000"/>
        </w:rPr>
        <w:t>знаки полярных классов</w:t>
      </w:r>
    </w:p>
    <w:bookmarkEnd w:id="547"/>
    <w:bookmarkStart w:name="z544" w:id="548"/>
    <w:p>
      <w:pPr>
        <w:spacing w:after="0"/>
        <w:ind w:left="0"/>
        <w:jc w:val="both"/>
      </w:pPr>
      <w:r>
        <w:rPr>
          <w:rFonts w:ascii="Times New Roman"/>
          <w:b w:val="false"/>
          <w:i w:val="false"/>
          <w:color w:val="000000"/>
          <w:sz w:val="28"/>
        </w:rPr>
        <w:t>
      20. Знаки категорий ледовых усилений устанавливаются для ледоколов и судов ледового плавания в соответствии с требованиями настоящей главы.</w:t>
      </w:r>
    </w:p>
    <w:bookmarkEnd w:id="548"/>
    <w:bookmarkStart w:name="z545" w:id="549"/>
    <w:p>
      <w:pPr>
        <w:spacing w:after="0"/>
        <w:ind w:left="0"/>
        <w:jc w:val="both"/>
      </w:pPr>
      <w:r>
        <w:rPr>
          <w:rFonts w:ascii="Times New Roman"/>
          <w:b w:val="false"/>
          <w:i w:val="false"/>
          <w:color w:val="000000"/>
          <w:sz w:val="28"/>
        </w:rPr>
        <w:t>
      21. Если ледокол отвечает соответствующим требованиям Правил, к основному символу класса добавляется знак категории ледовых усилений (Icebreaker6).</w:t>
      </w:r>
    </w:p>
    <w:bookmarkEnd w:id="549"/>
    <w:bookmarkStart w:name="z546" w:id="550"/>
    <w:p>
      <w:pPr>
        <w:spacing w:after="0"/>
        <w:ind w:left="0"/>
        <w:jc w:val="both"/>
      </w:pPr>
      <w:r>
        <w:rPr>
          <w:rFonts w:ascii="Times New Roman"/>
          <w:b w:val="false"/>
          <w:i w:val="false"/>
          <w:color w:val="000000"/>
          <w:sz w:val="28"/>
        </w:rPr>
        <w:t>
      Ледокол указанной категории имеет следующие ориентировочные эксплуатационные характеристики - выполнение ледокольных операций в портовых и припортовых акваториях, а также в замерзающих неарктических морях при толщине льда до 1,5 м. Способен продвигаться непрерывным ходом в сплошном ледяном поле толщиной до 1,0 метра (далее - м).</w:t>
      </w:r>
    </w:p>
    <w:bookmarkEnd w:id="550"/>
    <w:bookmarkStart w:name="z547" w:id="551"/>
    <w:p>
      <w:pPr>
        <w:spacing w:after="0"/>
        <w:ind w:left="0"/>
        <w:jc w:val="left"/>
      </w:pPr>
      <w:r>
        <w:rPr>
          <w:rFonts w:ascii="Times New Roman"/>
          <w:b/>
          <w:i w:val="false"/>
          <w:color w:val="000000"/>
        </w:rPr>
        <w:t xml:space="preserve"> Параграф 3. Категории судов ледового плавания</w:t>
      </w:r>
    </w:p>
    <w:bookmarkEnd w:id="551"/>
    <w:bookmarkStart w:name="z548" w:id="552"/>
    <w:p>
      <w:pPr>
        <w:spacing w:after="0"/>
        <w:ind w:left="0"/>
        <w:jc w:val="both"/>
      </w:pPr>
      <w:r>
        <w:rPr>
          <w:rFonts w:ascii="Times New Roman"/>
          <w:b w:val="false"/>
          <w:i w:val="false"/>
          <w:color w:val="000000"/>
          <w:sz w:val="28"/>
        </w:rPr>
        <w:t>
      22. Если самоходное судно ледового плавания отвечает соответствующим требованиям Правил, к основному символу класса добавляется один из следующих знаков категорий ледовых усилений: Ice1, Ice2, Iсе3. К основному символу класса несамоходного судна знак категории ледовых усилений не добавляется.</w:t>
      </w:r>
    </w:p>
    <w:bookmarkEnd w:id="552"/>
    <w:bookmarkStart w:name="z549" w:id="553"/>
    <w:p>
      <w:pPr>
        <w:spacing w:after="0"/>
        <w:ind w:left="0"/>
        <w:jc w:val="both"/>
      </w:pPr>
      <w:r>
        <w:rPr>
          <w:rFonts w:ascii="Times New Roman"/>
          <w:b w:val="false"/>
          <w:i w:val="false"/>
          <w:color w:val="000000"/>
          <w:sz w:val="28"/>
        </w:rPr>
        <w:t>
      23. Категории Ice1, Ice2, Iсе3, образующие группу неарктических категорий, распространяются на суда, предназначенные только для плавания в замерзающих неарктических морях (неарктические суда).</w:t>
      </w:r>
    </w:p>
    <w:bookmarkEnd w:id="553"/>
    <w:bookmarkStart w:name="z550" w:id="554"/>
    <w:p>
      <w:pPr>
        <w:spacing w:after="0"/>
        <w:ind w:left="0"/>
        <w:jc w:val="both"/>
      </w:pPr>
      <w:r>
        <w:rPr>
          <w:rFonts w:ascii="Times New Roman"/>
          <w:b w:val="false"/>
          <w:i w:val="false"/>
          <w:color w:val="000000"/>
          <w:sz w:val="28"/>
        </w:rPr>
        <w:t>
      24. Для буксиров, в зависимости от их соответствия категориям ледовых усилений, к основному символу класса добавляется один из следующих знаков: Iсе2, Iсе3.</w:t>
      </w:r>
    </w:p>
    <w:bookmarkEnd w:id="554"/>
    <w:bookmarkStart w:name="z551" w:id="555"/>
    <w:p>
      <w:pPr>
        <w:spacing w:after="0"/>
        <w:ind w:left="0"/>
        <w:jc w:val="both"/>
      </w:pPr>
      <w:r>
        <w:rPr>
          <w:rFonts w:ascii="Times New Roman"/>
          <w:b w:val="false"/>
          <w:i w:val="false"/>
          <w:color w:val="000000"/>
          <w:sz w:val="28"/>
        </w:rPr>
        <w:t>
      25. При выборе категории ледовых усилений неарктических судов рекомендуется использовать осредненные данные о допустимых условиях ледового плавания, приведенные в приложении 2 настоящих Правил.</w:t>
      </w:r>
    </w:p>
    <w:bookmarkEnd w:id="555"/>
    <w:bookmarkStart w:name="z552" w:id="556"/>
    <w:p>
      <w:pPr>
        <w:spacing w:after="0"/>
        <w:ind w:left="0"/>
        <w:jc w:val="left"/>
      </w:pPr>
      <w:r>
        <w:rPr>
          <w:rFonts w:ascii="Times New Roman"/>
          <w:b/>
          <w:i w:val="false"/>
          <w:color w:val="000000"/>
        </w:rPr>
        <w:t xml:space="preserve"> Параграф 4. Знаки деления на отсеки и ограничения</w:t>
      </w:r>
      <w:r>
        <w:br/>
      </w:r>
      <w:r>
        <w:rPr>
          <w:rFonts w:ascii="Times New Roman"/>
          <w:b/>
          <w:i w:val="false"/>
          <w:color w:val="000000"/>
        </w:rPr>
        <w:t>района плавания</w:t>
      </w:r>
    </w:p>
    <w:bookmarkEnd w:id="556"/>
    <w:bookmarkStart w:name="z553" w:id="557"/>
    <w:p>
      <w:pPr>
        <w:spacing w:after="0"/>
        <w:ind w:left="0"/>
        <w:jc w:val="both"/>
      </w:pPr>
      <w:r>
        <w:rPr>
          <w:rFonts w:ascii="Times New Roman"/>
          <w:b w:val="false"/>
          <w:i w:val="false"/>
          <w:color w:val="000000"/>
          <w:sz w:val="28"/>
        </w:rPr>
        <w:t>
      26. Судам, отвечающим применимым требованиям раздела 7 в полной мере отвечающим требованиям подраздела 3 раздела 7 настоящих Правил, при затоплении одного любого, либо любых двух или трех смежных отсеков по всей длине судна при расчетных повреждениях борта, к основному символу класса добавляется знак деления на отсеки 1, 2 или 3, соответственно.</w:t>
      </w:r>
    </w:p>
    <w:bookmarkEnd w:id="557"/>
    <w:bookmarkStart w:name="z554" w:id="558"/>
    <w:p>
      <w:pPr>
        <w:spacing w:after="0"/>
        <w:ind w:left="0"/>
        <w:jc w:val="both"/>
      </w:pPr>
      <w:r>
        <w:rPr>
          <w:rFonts w:ascii="Times New Roman"/>
          <w:b w:val="false"/>
          <w:i w:val="false"/>
          <w:color w:val="000000"/>
          <w:sz w:val="28"/>
        </w:rPr>
        <w:t>
      27. Судам, отвечающим требованиям Правил, распространяющимся на суда, предназначенные для эксплуатации только в ограниченных районах плавания, к основному символу класса добавляется один из знаков Rl, R2, R2-RSN, R3-RSN или R3, указывающих на соответствующие каждому знаку ограничения, приведенные ниже:</w:t>
      </w:r>
    </w:p>
    <w:bookmarkEnd w:id="558"/>
    <w:bookmarkStart w:name="z555" w:id="559"/>
    <w:p>
      <w:pPr>
        <w:spacing w:after="0"/>
        <w:ind w:left="0"/>
        <w:jc w:val="both"/>
      </w:pPr>
      <w:r>
        <w:rPr>
          <w:rFonts w:ascii="Times New Roman"/>
          <w:b w:val="false"/>
          <w:i w:val="false"/>
          <w:color w:val="000000"/>
          <w:sz w:val="28"/>
        </w:rPr>
        <w:t>
      1) R1 - плавание в морских районах на волнении с высотой волны 3-процентной обеспеченности 8,5 м, с удалением от места убежища не более 200 миль и с допустимым расстоянием между местами убежища не более 400 миль;</w:t>
      </w:r>
    </w:p>
    <w:bookmarkEnd w:id="559"/>
    <w:bookmarkStart w:name="z556" w:id="560"/>
    <w:p>
      <w:pPr>
        <w:spacing w:after="0"/>
        <w:ind w:left="0"/>
        <w:jc w:val="both"/>
      </w:pPr>
      <w:r>
        <w:rPr>
          <w:rFonts w:ascii="Times New Roman"/>
          <w:b w:val="false"/>
          <w:i w:val="false"/>
          <w:color w:val="000000"/>
          <w:sz w:val="28"/>
        </w:rPr>
        <w:t>
      2) R2 - плавание в морских районах на волнении с высотой волны 3-процентной обеспеченности 7,0 м, с удалением от места убежища не более 100 миль и с допустимым расстоянием между местами убежища не более 200 миль;</w:t>
      </w:r>
    </w:p>
    <w:bookmarkEnd w:id="560"/>
    <w:bookmarkStart w:name="z557" w:id="561"/>
    <w:p>
      <w:pPr>
        <w:spacing w:after="0"/>
        <w:ind w:left="0"/>
        <w:jc w:val="both"/>
      </w:pPr>
      <w:r>
        <w:rPr>
          <w:rFonts w:ascii="Times New Roman"/>
          <w:b w:val="false"/>
          <w:i w:val="false"/>
          <w:color w:val="000000"/>
          <w:sz w:val="28"/>
        </w:rPr>
        <w:t>
      3) R2-RSN - смешанное (река-море) плавание на волнении с высотой волны 3-процентной обеспеченности 6,0 м, с удалением от места убежища:</w:t>
      </w:r>
    </w:p>
    <w:bookmarkEnd w:id="561"/>
    <w:bookmarkStart w:name="z558" w:id="562"/>
    <w:p>
      <w:pPr>
        <w:spacing w:after="0"/>
        <w:ind w:left="0"/>
        <w:jc w:val="both"/>
      </w:pPr>
      <w:r>
        <w:rPr>
          <w:rFonts w:ascii="Times New Roman"/>
          <w:b w:val="false"/>
          <w:i w:val="false"/>
          <w:color w:val="000000"/>
          <w:sz w:val="28"/>
        </w:rPr>
        <w:t>
      в открытых морях не более 50 миль и с допустимым расстоянием между местами убежища не более 100 миль,</w:t>
      </w:r>
    </w:p>
    <w:bookmarkEnd w:id="562"/>
    <w:bookmarkStart w:name="z559" w:id="563"/>
    <w:p>
      <w:pPr>
        <w:spacing w:after="0"/>
        <w:ind w:left="0"/>
        <w:jc w:val="both"/>
      </w:pPr>
      <w:r>
        <w:rPr>
          <w:rFonts w:ascii="Times New Roman"/>
          <w:b w:val="false"/>
          <w:i w:val="false"/>
          <w:color w:val="000000"/>
          <w:sz w:val="28"/>
        </w:rPr>
        <w:t>
      в закрытых морях не более 100 миль и с допустимым расстоянием между местами убежища не более 200 миль;</w:t>
      </w:r>
    </w:p>
    <w:bookmarkEnd w:id="563"/>
    <w:bookmarkStart w:name="z560" w:id="564"/>
    <w:p>
      <w:pPr>
        <w:spacing w:after="0"/>
        <w:ind w:left="0"/>
        <w:jc w:val="both"/>
      </w:pPr>
      <w:r>
        <w:rPr>
          <w:rFonts w:ascii="Times New Roman"/>
          <w:b w:val="false"/>
          <w:i w:val="false"/>
          <w:color w:val="000000"/>
          <w:sz w:val="28"/>
        </w:rPr>
        <w:t>
      4) R3-RSN - смешанное (река-море) плавание на волнении с высотой волны 3-процентной обеспеченности 3,5 м, с учетом конкретных ограничений по району и условиям плавания, обусловленных ветроволновыми режимами бассейнов, с установлением при этом максимально допустимого удаления от места убежища, которое не должно превышать 50 миль;</w:t>
      </w:r>
    </w:p>
    <w:bookmarkEnd w:id="564"/>
    <w:bookmarkStart w:name="z561" w:id="565"/>
    <w:p>
      <w:pPr>
        <w:spacing w:after="0"/>
        <w:ind w:left="0"/>
        <w:jc w:val="both"/>
      </w:pPr>
      <w:r>
        <w:rPr>
          <w:rFonts w:ascii="Times New Roman"/>
          <w:b w:val="false"/>
          <w:i w:val="false"/>
          <w:color w:val="000000"/>
          <w:sz w:val="28"/>
        </w:rPr>
        <w:t>
      5) R3 - портовое, рейдовое и прибрежное плавание в границах, установленных Регистром судоходства в каждом случае.</w:t>
      </w:r>
    </w:p>
    <w:bookmarkEnd w:id="565"/>
    <w:bookmarkStart w:name="z562" w:id="566"/>
    <w:p>
      <w:pPr>
        <w:spacing w:after="0"/>
        <w:ind w:left="0"/>
        <w:jc w:val="both"/>
      </w:pPr>
      <w:r>
        <w:rPr>
          <w:rFonts w:ascii="Times New Roman"/>
          <w:b w:val="false"/>
          <w:i w:val="false"/>
          <w:color w:val="000000"/>
          <w:sz w:val="28"/>
        </w:rPr>
        <w:t>
      Конкретные ограничения для работы плавучих кранов (выполнения грузоподъемных операций и плавания с перевозкой грузов на палубе и/или в трюме) устанавливаются Регистром судоходства в каждом случае;</w:t>
      </w:r>
    </w:p>
    <w:bookmarkEnd w:id="566"/>
    <w:bookmarkStart w:name="z563" w:id="567"/>
    <w:p>
      <w:pPr>
        <w:spacing w:after="0"/>
        <w:ind w:left="0"/>
        <w:jc w:val="both"/>
      </w:pPr>
      <w:r>
        <w:rPr>
          <w:rFonts w:ascii="Times New Roman"/>
          <w:b w:val="false"/>
          <w:i w:val="false"/>
          <w:color w:val="000000"/>
          <w:sz w:val="28"/>
        </w:rPr>
        <w:t>
      6) Berth-connected ship - для стоечных судов (с указанием координат места стоянки и географического района эксплуатации согласно приложению 225 настоящих Правил.</w:t>
      </w:r>
    </w:p>
    <w:bookmarkEnd w:id="567"/>
    <w:bookmarkStart w:name="z564" w:id="568"/>
    <w:p>
      <w:pPr>
        <w:spacing w:after="0"/>
        <w:ind w:left="0"/>
        <w:jc w:val="both"/>
      </w:pPr>
      <w:r>
        <w:rPr>
          <w:rFonts w:ascii="Times New Roman"/>
          <w:b w:val="false"/>
          <w:i w:val="false"/>
          <w:color w:val="000000"/>
          <w:sz w:val="28"/>
        </w:rPr>
        <w:t>
      28. Предусмотренные настоящим параграфом настоящих Правил ограничения определяют допустимые условия эксплуатации судна, обусловленные его остойчивостью и прочностью, которые указываются в Свидетельстве о годности к плаванию и в Классификационном свидетельстве.</w:t>
      </w:r>
    </w:p>
    <w:bookmarkEnd w:id="568"/>
    <w:bookmarkStart w:name="z565" w:id="569"/>
    <w:p>
      <w:pPr>
        <w:spacing w:after="0"/>
        <w:ind w:left="0"/>
        <w:jc w:val="both"/>
      </w:pPr>
      <w:r>
        <w:rPr>
          <w:rFonts w:ascii="Times New Roman"/>
          <w:b w:val="false"/>
          <w:i w:val="false"/>
          <w:color w:val="000000"/>
          <w:sz w:val="28"/>
        </w:rPr>
        <w:t>
      29. Конкретные ограничения по району и условиям плавания судам смешанного (река-море) плавания R3-RSN устанавливаются в виде географического названия бассейнов или их частей с указанием в необходимых случаях географической границы района плавания внутри бассейна, ограничений по удалению от места убежища и ограничений эксплуатации календарными сроками, или в виде указания рейса между конечными портами. При этом для установления ограничений, учитывающих ветроволновые режимы бассейнов, используются данные приложения 3 настоящих Правил либо данные из представляемых Регистру судоходства обоснований эксплуатации судна в определенном районе или рейсе, выполненные по одобренной Регистром судоходства методике.</w:t>
      </w:r>
    </w:p>
    <w:bookmarkEnd w:id="569"/>
    <w:bookmarkStart w:name="z566" w:id="570"/>
    <w:p>
      <w:pPr>
        <w:spacing w:after="0"/>
        <w:ind w:left="0"/>
        <w:jc w:val="both"/>
      </w:pPr>
      <w:r>
        <w:rPr>
          <w:rFonts w:ascii="Times New Roman"/>
          <w:b w:val="false"/>
          <w:i w:val="false"/>
          <w:color w:val="000000"/>
          <w:sz w:val="28"/>
        </w:rPr>
        <w:t>
      30. Вне зависимости от района плавания судам, остойчивость которых не отвечает требованиям раздела 6 настоящих Правил, предъявляемым к судам, плавающим севернее параллели 66</w:t>
      </w:r>
      <w:r>
        <w:rPr>
          <w:rFonts w:ascii="Times New Roman"/>
          <w:b w:val="false"/>
          <w:i w:val="false"/>
          <w:color w:val="000000"/>
          <w:vertAlign w:val="superscript"/>
        </w:rPr>
        <w:t>о</w:t>
      </w:r>
      <w:r>
        <w:rPr>
          <w:rFonts w:ascii="Times New Roman"/>
          <w:b w:val="false"/>
          <w:i w:val="false"/>
          <w:color w:val="000000"/>
          <w:sz w:val="28"/>
        </w:rPr>
        <w:t>30' северной широты (далее - с.ш.), и южнее параллели 60</w:t>
      </w:r>
      <w:r>
        <w:rPr>
          <w:rFonts w:ascii="Times New Roman"/>
          <w:b w:val="false"/>
          <w:i w:val="false"/>
          <w:color w:val="000000"/>
          <w:vertAlign w:val="superscript"/>
        </w:rPr>
        <w:t>о</w:t>
      </w:r>
      <w:r>
        <w:rPr>
          <w:rFonts w:ascii="Times New Roman"/>
          <w:b w:val="false"/>
          <w:i w:val="false"/>
          <w:color w:val="000000"/>
          <w:sz w:val="28"/>
        </w:rPr>
        <w:t xml:space="preserve">00' южной широты (далее - ю.ш.), либо в зимнее время в зимних сезонных зонах, установленных </w:t>
      </w:r>
      <w:r>
        <w:rPr>
          <w:rFonts w:ascii="Times New Roman"/>
          <w:b w:val="false"/>
          <w:i w:val="false"/>
          <w:color w:val="000000"/>
          <w:sz w:val="28"/>
        </w:rPr>
        <w:t xml:space="preserve"> Правилами</w:t>
      </w:r>
      <w:r>
        <w:rPr>
          <w:rFonts w:ascii="Times New Roman"/>
          <w:b w:val="false"/>
          <w:i w:val="false"/>
          <w:color w:val="000000"/>
          <w:sz w:val="28"/>
        </w:rPr>
        <w:t xml:space="preserve"> о грузовой марке морских судов, утвержденных приказом Министра транспорта и коммуникаций Республики Казахстан от 20 мая 2011 года № 124 (зарегистрированный в Реестре государственной регистрации нормативных правовых актов за № 6967, далее - Правила о грузовой марке), Регистром судоходства устанавливаются соответствующие ограничения о недопустимости эксплуатации судна в вышеуказанных зимних сезонных зонах и акваториях.</w:t>
      </w:r>
    </w:p>
    <w:bookmarkEnd w:id="570"/>
    <w:bookmarkStart w:name="z567" w:id="571"/>
    <w:p>
      <w:pPr>
        <w:spacing w:after="0"/>
        <w:ind w:left="0"/>
        <w:jc w:val="left"/>
      </w:pPr>
      <w:r>
        <w:rPr>
          <w:rFonts w:ascii="Times New Roman"/>
          <w:b/>
          <w:i w:val="false"/>
          <w:color w:val="000000"/>
        </w:rPr>
        <w:t xml:space="preserve"> Параграф 5. Знаки автоматизации и управления</w:t>
      </w:r>
      <w:r>
        <w:br/>
      </w:r>
      <w:r>
        <w:rPr>
          <w:rFonts w:ascii="Times New Roman"/>
          <w:b/>
          <w:i w:val="false"/>
          <w:color w:val="000000"/>
        </w:rPr>
        <w:t>одним вахтенным на мостике.</w:t>
      </w:r>
      <w:r>
        <w:br/>
      </w:r>
      <w:r>
        <w:rPr>
          <w:rFonts w:ascii="Times New Roman"/>
          <w:b/>
          <w:i w:val="false"/>
          <w:color w:val="000000"/>
        </w:rPr>
        <w:t>Знак оснащенности судна средствами борьбы</w:t>
      </w:r>
      <w:r>
        <w:br/>
      </w:r>
      <w:r>
        <w:rPr>
          <w:rFonts w:ascii="Times New Roman"/>
          <w:b/>
          <w:i w:val="false"/>
          <w:color w:val="000000"/>
        </w:rPr>
        <w:t>с пожарами на других судах</w:t>
      </w:r>
    </w:p>
    <w:bookmarkEnd w:id="571"/>
    <w:bookmarkStart w:name="z568" w:id="572"/>
    <w:p>
      <w:pPr>
        <w:spacing w:after="0"/>
        <w:ind w:left="0"/>
        <w:jc w:val="both"/>
      </w:pPr>
      <w:r>
        <w:rPr>
          <w:rFonts w:ascii="Times New Roman"/>
          <w:b w:val="false"/>
          <w:i w:val="false"/>
          <w:color w:val="000000"/>
          <w:sz w:val="28"/>
        </w:rPr>
        <w:t>
      31. Судам и плавучим сооружениям, оборудование автоматизации которых отвечает требованиям раздела 17 настоящих Правил, к основному символу класса добавляется один из следующих знаков автоматизации:</w:t>
      </w:r>
    </w:p>
    <w:bookmarkEnd w:id="572"/>
    <w:bookmarkStart w:name="z569" w:id="573"/>
    <w:p>
      <w:pPr>
        <w:spacing w:after="0"/>
        <w:ind w:left="0"/>
        <w:jc w:val="both"/>
      </w:pPr>
      <w:r>
        <w:rPr>
          <w:rFonts w:ascii="Times New Roman"/>
          <w:b w:val="false"/>
          <w:i w:val="false"/>
          <w:color w:val="000000"/>
          <w:sz w:val="28"/>
        </w:rPr>
        <w:t>
      1) AUT1 - если объем автоматизации позволяет эксплуатацию механической установки без постоянного присутствия обслуживающего персонала в машинных помещениях и в центральном посту управления (ЦПУ);</w:t>
      </w:r>
    </w:p>
    <w:bookmarkEnd w:id="573"/>
    <w:bookmarkStart w:name="z570" w:id="574"/>
    <w:p>
      <w:pPr>
        <w:spacing w:after="0"/>
        <w:ind w:left="0"/>
        <w:jc w:val="both"/>
      </w:pPr>
      <w:r>
        <w:rPr>
          <w:rFonts w:ascii="Times New Roman"/>
          <w:b w:val="false"/>
          <w:i w:val="false"/>
          <w:color w:val="000000"/>
          <w:sz w:val="28"/>
        </w:rPr>
        <w:t>
      2) AUT2 - если объем автоматизации позволяет эксплуатацию механической установки одним оператором из ЦПУ без постоянного присутствия обслуживающего персонала в машинных помещениях;</w:t>
      </w:r>
    </w:p>
    <w:bookmarkEnd w:id="574"/>
    <w:bookmarkStart w:name="z571" w:id="575"/>
    <w:p>
      <w:pPr>
        <w:spacing w:after="0"/>
        <w:ind w:left="0"/>
        <w:jc w:val="both"/>
      </w:pPr>
      <w:r>
        <w:rPr>
          <w:rFonts w:ascii="Times New Roman"/>
          <w:b w:val="false"/>
          <w:i w:val="false"/>
          <w:color w:val="000000"/>
          <w:sz w:val="28"/>
        </w:rPr>
        <w:t>
      3) AUT3 - если объем автоматизации позволяет эксплуатацию механической установки судна с мощностью главных механизмов не более 2250 кВт без постоянного присутствия обслуживающего персонала в машинных помещениях и ЦПУ;</w:t>
      </w:r>
    </w:p>
    <w:bookmarkEnd w:id="575"/>
    <w:bookmarkStart w:name="z572" w:id="576"/>
    <w:p>
      <w:pPr>
        <w:spacing w:after="0"/>
        <w:ind w:left="0"/>
        <w:jc w:val="both"/>
      </w:pPr>
      <w:r>
        <w:rPr>
          <w:rFonts w:ascii="Times New Roman"/>
          <w:b w:val="false"/>
          <w:i w:val="false"/>
          <w:color w:val="000000"/>
          <w:sz w:val="28"/>
        </w:rPr>
        <w:t>
      4) AUT1-C, AUT2-C или AUT3-C - если автоматизация выполнена с применением компьютеров или программируемых логических контроллеров (PLC), отвечающих требованиям подраздела 7 раздела 17 настоящих Правил;</w:t>
      </w:r>
    </w:p>
    <w:bookmarkEnd w:id="576"/>
    <w:bookmarkStart w:name="z573" w:id="577"/>
    <w:p>
      <w:pPr>
        <w:spacing w:after="0"/>
        <w:ind w:left="0"/>
        <w:jc w:val="both"/>
      </w:pPr>
      <w:r>
        <w:rPr>
          <w:rFonts w:ascii="Times New Roman"/>
          <w:b w:val="false"/>
          <w:i w:val="false"/>
          <w:color w:val="000000"/>
          <w:sz w:val="28"/>
        </w:rPr>
        <w:t>
      5) AUT1-ICS, AUT2-ICS или AUT3-ICS если автоматизация выполнена с применением компьютерной интегрированной системы управления и контроля, отвечающей требованиям подраздела 7 раздела 17 настоящих Правил.</w:t>
      </w:r>
    </w:p>
    <w:bookmarkEnd w:id="577"/>
    <w:bookmarkStart w:name="z574" w:id="578"/>
    <w:p>
      <w:pPr>
        <w:spacing w:after="0"/>
        <w:ind w:left="0"/>
        <w:jc w:val="both"/>
      </w:pPr>
      <w:r>
        <w:rPr>
          <w:rFonts w:ascii="Times New Roman"/>
          <w:b w:val="false"/>
          <w:i w:val="false"/>
          <w:color w:val="000000"/>
          <w:sz w:val="28"/>
        </w:rPr>
        <w:t>
      32. Если навигационное оборудование самоходного судна, установленное на ходовом мостике, отвечает требованиям Регистра судоходства, управляемым одним человеком на ходовом мостике, то к основному символу класса судна добавляется знак ОМВО.</w:t>
      </w:r>
    </w:p>
    <w:bookmarkEnd w:id="578"/>
    <w:bookmarkStart w:name="z575" w:id="579"/>
    <w:p>
      <w:pPr>
        <w:spacing w:after="0"/>
        <w:ind w:left="0"/>
        <w:jc w:val="both"/>
      </w:pPr>
      <w:r>
        <w:rPr>
          <w:rFonts w:ascii="Times New Roman"/>
          <w:b w:val="false"/>
          <w:i w:val="false"/>
          <w:color w:val="000000"/>
          <w:sz w:val="28"/>
        </w:rPr>
        <w:t>
      33. Если на судне имеются дополнительные системы, оборудование и снабжение для борьбы с пожарами на других судах, буровых установках, плавучих и береговых сооружениях, и судно в отношении этих средств полностью отвечает соответствующим требованиям Правил, то к основному символу класса судна добавляется знак FF1WS, FF1, FF2WS, FF2 или FF3WS в зависимости от степени оснащенности судна этими средствами.</w:t>
      </w:r>
    </w:p>
    <w:bookmarkEnd w:id="579"/>
    <w:bookmarkStart w:name="z576" w:id="580"/>
    <w:p>
      <w:pPr>
        <w:spacing w:after="0"/>
        <w:ind w:left="0"/>
        <w:jc w:val="both"/>
      </w:pPr>
      <w:r>
        <w:rPr>
          <w:rFonts w:ascii="Times New Roman"/>
          <w:b w:val="false"/>
          <w:i w:val="false"/>
          <w:color w:val="000000"/>
          <w:sz w:val="28"/>
        </w:rPr>
        <w:t>
      Степень оснащенности судна средствами борьбы с пожарами на других объектах определяется соответствием состава противопожарных систем и оборудования, предписанным главой 169 настоящих Правил.</w:t>
      </w:r>
    </w:p>
    <w:bookmarkEnd w:id="580"/>
    <w:bookmarkStart w:name="z577" w:id="581"/>
    <w:p>
      <w:pPr>
        <w:spacing w:after="0"/>
        <w:ind w:left="0"/>
        <w:jc w:val="left"/>
      </w:pPr>
      <w:r>
        <w:rPr>
          <w:rFonts w:ascii="Times New Roman"/>
          <w:b/>
          <w:i w:val="false"/>
          <w:color w:val="000000"/>
        </w:rPr>
        <w:t xml:space="preserve"> Параграф 6. Знак наличия системы динамического</w:t>
      </w:r>
      <w:r>
        <w:br/>
      </w:r>
      <w:r>
        <w:rPr>
          <w:rFonts w:ascii="Times New Roman"/>
          <w:b/>
          <w:i w:val="false"/>
          <w:color w:val="000000"/>
        </w:rPr>
        <w:t>позиционирования, знак судна, предназначенного для перевозки</w:t>
      </w:r>
      <w:r>
        <w:br/>
      </w:r>
      <w:r>
        <w:rPr>
          <w:rFonts w:ascii="Times New Roman"/>
          <w:b/>
          <w:i w:val="false"/>
          <w:color w:val="000000"/>
        </w:rPr>
        <w:t>охлажденных грузов</w:t>
      </w:r>
    </w:p>
    <w:bookmarkEnd w:id="581"/>
    <w:bookmarkStart w:name="z578" w:id="582"/>
    <w:p>
      <w:pPr>
        <w:spacing w:after="0"/>
        <w:ind w:left="0"/>
        <w:jc w:val="both"/>
      </w:pPr>
      <w:r>
        <w:rPr>
          <w:rFonts w:ascii="Times New Roman"/>
          <w:b w:val="false"/>
          <w:i w:val="false"/>
          <w:color w:val="000000"/>
          <w:sz w:val="28"/>
        </w:rPr>
        <w:t>
      34. Если судно оборудовано системой динамического позиционирования, соответствующей требованиям подраздела 8 раздела 16 настоящих Правил, то к основному символу класса судна добавляется один из знаков DYNPOS-1, DYNPOS-2 или DYNPOS-3 в зависимости от степени резервирования системы динамического позиционирования.</w:t>
      </w:r>
    </w:p>
    <w:bookmarkEnd w:id="582"/>
    <w:bookmarkStart w:name="z579" w:id="583"/>
    <w:p>
      <w:pPr>
        <w:spacing w:after="0"/>
        <w:ind w:left="0"/>
        <w:jc w:val="both"/>
      </w:pPr>
      <w:r>
        <w:rPr>
          <w:rFonts w:ascii="Times New Roman"/>
          <w:b w:val="false"/>
          <w:i w:val="false"/>
          <w:color w:val="000000"/>
          <w:sz w:val="28"/>
        </w:rPr>
        <w:t>
      35. Судам, предназначенным для перевозки или сохранения охлажденных грузов или продуктов лова в судовых грузовых помещениях и/или в термоизолированных контейнерах с использованием имеющейся на судне холодильной установки, классифицированной в соответствии с разделом 3 настоящих Правил и отвечающей требованиям раздела 14 настоящих Правил, к основному символу класса добавляется знак REF.</w:t>
      </w:r>
    </w:p>
    <w:bookmarkEnd w:id="583"/>
    <w:bookmarkStart w:name="z580" w:id="584"/>
    <w:p>
      <w:pPr>
        <w:spacing w:after="0"/>
        <w:ind w:left="0"/>
        <w:jc w:val="both"/>
      </w:pPr>
      <w:r>
        <w:rPr>
          <w:rFonts w:ascii="Times New Roman"/>
          <w:b w:val="false"/>
          <w:i w:val="false"/>
          <w:color w:val="000000"/>
          <w:sz w:val="28"/>
        </w:rPr>
        <w:t>
      Судам, предназначенным для перевозки или сохранения охлажденных грузов или продуктов лова в судовых грузовых помещениях и/или в термоизолированных контейнерах и использующих для поддержания требуемой температуры неклассифицированную холодильную установку, отвечающую соответствующим требованиям раздела 14 настоящих Правил, к основному символу класса добавляется знак (REF).</w:t>
      </w:r>
    </w:p>
    <w:bookmarkEnd w:id="584"/>
    <w:bookmarkStart w:name="z581" w:id="585"/>
    <w:p>
      <w:pPr>
        <w:spacing w:after="0"/>
        <w:ind w:left="0"/>
        <w:jc w:val="left"/>
      </w:pPr>
      <w:r>
        <w:rPr>
          <w:rFonts w:ascii="Times New Roman"/>
          <w:b/>
          <w:i w:val="false"/>
          <w:color w:val="000000"/>
        </w:rPr>
        <w:t xml:space="preserve"> Параграф 7. Знак наличия главной гребной электрической</w:t>
      </w:r>
      <w:r>
        <w:br/>
      </w:r>
      <w:r>
        <w:rPr>
          <w:rFonts w:ascii="Times New Roman"/>
          <w:b/>
          <w:i w:val="false"/>
          <w:color w:val="000000"/>
        </w:rPr>
        <w:t>установки, знак наличия средств для защиты от обледенения</w:t>
      </w:r>
    </w:p>
    <w:bookmarkEnd w:id="585"/>
    <w:bookmarkStart w:name="z582" w:id="586"/>
    <w:p>
      <w:pPr>
        <w:spacing w:after="0"/>
        <w:ind w:left="0"/>
        <w:jc w:val="both"/>
      </w:pPr>
      <w:r>
        <w:rPr>
          <w:rFonts w:ascii="Times New Roman"/>
          <w:b w:val="false"/>
          <w:i w:val="false"/>
          <w:color w:val="000000"/>
          <w:sz w:val="28"/>
        </w:rPr>
        <w:t>
      36. Если судно оборудовано главной гребной электрической установкой, соответствующей требованиям подразделом 17 раздела 13 настоящих Правил, то к основному символу класса судна добавляется знак ЕРР.</w:t>
      </w:r>
    </w:p>
    <w:bookmarkEnd w:id="586"/>
    <w:bookmarkStart w:name="z583" w:id="587"/>
    <w:p>
      <w:pPr>
        <w:spacing w:after="0"/>
        <w:ind w:left="0"/>
        <w:jc w:val="both"/>
      </w:pPr>
      <w:r>
        <w:rPr>
          <w:rFonts w:ascii="Times New Roman"/>
          <w:b w:val="false"/>
          <w:i w:val="false"/>
          <w:color w:val="000000"/>
          <w:sz w:val="28"/>
        </w:rPr>
        <w:t>
      37. Если судно оборудовано средствами для эффективной защиты от обледенения, то к основному символу класса судна добавляется знак ANTI-ICE.</w:t>
      </w:r>
    </w:p>
    <w:bookmarkEnd w:id="587"/>
    <w:bookmarkStart w:name="z584" w:id="588"/>
    <w:p>
      <w:pPr>
        <w:spacing w:after="0"/>
        <w:ind w:left="0"/>
        <w:jc w:val="left"/>
      </w:pPr>
      <w:r>
        <w:rPr>
          <w:rFonts w:ascii="Times New Roman"/>
          <w:b/>
          <w:i w:val="false"/>
          <w:color w:val="000000"/>
        </w:rPr>
        <w:t xml:space="preserve"> Параграф 8. Знак судна, предназначенного для перевозки</w:t>
      </w:r>
      <w:r>
        <w:br/>
      </w:r>
      <w:r>
        <w:rPr>
          <w:rFonts w:ascii="Times New Roman"/>
          <w:b/>
          <w:i w:val="false"/>
          <w:color w:val="000000"/>
        </w:rPr>
        <w:t>упакованного отработавшего ядерного топлива, плутония и</w:t>
      </w:r>
      <w:r>
        <w:br/>
      </w:r>
      <w:r>
        <w:rPr>
          <w:rFonts w:ascii="Times New Roman"/>
          <w:b/>
          <w:i w:val="false"/>
          <w:color w:val="000000"/>
        </w:rPr>
        <w:t>высокорадиоактивных отходов (груз ОЯТ), знак наличия прибора</w:t>
      </w:r>
      <w:r>
        <w:br/>
      </w:r>
      <w:r>
        <w:rPr>
          <w:rFonts w:ascii="Times New Roman"/>
          <w:b/>
          <w:i w:val="false"/>
          <w:color w:val="000000"/>
        </w:rPr>
        <w:t>контроля загрузки</w:t>
      </w:r>
    </w:p>
    <w:bookmarkEnd w:id="588"/>
    <w:bookmarkStart w:name="z585" w:id="589"/>
    <w:p>
      <w:pPr>
        <w:spacing w:after="0"/>
        <w:ind w:left="0"/>
        <w:jc w:val="both"/>
      </w:pPr>
      <w:r>
        <w:rPr>
          <w:rFonts w:ascii="Times New Roman"/>
          <w:b w:val="false"/>
          <w:i w:val="false"/>
          <w:color w:val="000000"/>
          <w:sz w:val="28"/>
        </w:rPr>
        <w:t>
      38. Судам, предназначенным для перевозки упакованного отработавшего ядерного топлива, плутония и высокорадиоактивных отходов и отвечающим требованиям главы 171 настоящих Правил, к основному символу класса добавляется один из следующих знаков:</w:t>
      </w:r>
    </w:p>
    <w:bookmarkEnd w:id="589"/>
    <w:p>
      <w:pPr>
        <w:spacing w:after="0"/>
        <w:ind w:left="0"/>
        <w:jc w:val="both"/>
      </w:pPr>
      <w:r>
        <w:rPr>
          <w:rFonts w:ascii="Times New Roman"/>
          <w:b w:val="false"/>
          <w:i w:val="false"/>
          <w:color w:val="000000"/>
          <w:sz w:val="28"/>
        </w:rPr>
        <w:t>
      INF1 - для судна класса ОЯТ1;</w:t>
      </w:r>
    </w:p>
    <w:p>
      <w:pPr>
        <w:spacing w:after="0"/>
        <w:ind w:left="0"/>
        <w:jc w:val="both"/>
      </w:pPr>
      <w:r>
        <w:rPr>
          <w:rFonts w:ascii="Times New Roman"/>
          <w:b w:val="false"/>
          <w:i w:val="false"/>
          <w:color w:val="000000"/>
          <w:sz w:val="28"/>
        </w:rPr>
        <w:t>
      INF2 - для судна класса ОЯТ2;</w:t>
      </w:r>
    </w:p>
    <w:p>
      <w:pPr>
        <w:spacing w:after="0"/>
        <w:ind w:left="0"/>
        <w:jc w:val="both"/>
      </w:pPr>
      <w:r>
        <w:rPr>
          <w:rFonts w:ascii="Times New Roman"/>
          <w:b w:val="false"/>
          <w:i w:val="false"/>
          <w:color w:val="000000"/>
          <w:sz w:val="28"/>
        </w:rPr>
        <w:t>
      INF3 - для судна класса ОЯТЗ.</w:t>
      </w:r>
    </w:p>
    <w:bookmarkStart w:name="z586" w:id="590"/>
    <w:p>
      <w:pPr>
        <w:spacing w:after="0"/>
        <w:ind w:left="0"/>
        <w:jc w:val="both"/>
      </w:pPr>
      <w:r>
        <w:rPr>
          <w:rFonts w:ascii="Times New Roman"/>
          <w:b w:val="false"/>
          <w:i w:val="false"/>
          <w:color w:val="000000"/>
          <w:sz w:val="28"/>
        </w:rPr>
        <w:t>
      39. Если судно оборудовано прибором контроля загрузки, соответствующим требованиям пункта 215 и приложения 4 настоящих Правил, то к основному символу класса судна добавляется знак LI.</w:t>
      </w:r>
    </w:p>
    <w:bookmarkEnd w:id="590"/>
    <w:bookmarkStart w:name="z587" w:id="591"/>
    <w:p>
      <w:pPr>
        <w:spacing w:after="0"/>
        <w:ind w:left="0"/>
        <w:jc w:val="left"/>
      </w:pPr>
      <w:r>
        <w:rPr>
          <w:rFonts w:ascii="Times New Roman"/>
          <w:b/>
          <w:i w:val="false"/>
          <w:color w:val="000000"/>
        </w:rPr>
        <w:t xml:space="preserve"> Параграф 9. Знак наличия системы выдачи паров груза,</w:t>
      </w:r>
      <w:r>
        <w:br/>
      </w:r>
      <w:r>
        <w:rPr>
          <w:rFonts w:ascii="Times New Roman"/>
          <w:b/>
          <w:i w:val="false"/>
          <w:color w:val="000000"/>
        </w:rPr>
        <w:t>знак наличия системы инертного газа</w:t>
      </w:r>
    </w:p>
    <w:bookmarkEnd w:id="591"/>
    <w:bookmarkStart w:name="z588" w:id="592"/>
    <w:p>
      <w:pPr>
        <w:spacing w:after="0"/>
        <w:ind w:left="0"/>
        <w:jc w:val="both"/>
      </w:pPr>
      <w:r>
        <w:rPr>
          <w:rFonts w:ascii="Times New Roman"/>
          <w:b w:val="false"/>
          <w:i w:val="false"/>
          <w:color w:val="000000"/>
          <w:sz w:val="28"/>
        </w:rPr>
        <w:t>
      40. Если судно оборудовано системой выдачи паров груза, соответствующей требованиям главы 275 настоящих Правил, то к основному символу класса судна добавляется знак VCS.</w:t>
      </w:r>
    </w:p>
    <w:bookmarkEnd w:id="592"/>
    <w:bookmarkStart w:name="z589" w:id="593"/>
    <w:p>
      <w:pPr>
        <w:spacing w:after="0"/>
        <w:ind w:left="0"/>
        <w:jc w:val="both"/>
      </w:pPr>
      <w:r>
        <w:rPr>
          <w:rFonts w:ascii="Times New Roman"/>
          <w:b w:val="false"/>
          <w:i w:val="false"/>
          <w:color w:val="000000"/>
          <w:sz w:val="28"/>
        </w:rPr>
        <w:t>
      41. Если судно оборудовано системой инертного газа, соответствующей требованиям главы 282 настоящих Правил, то к основному символу класса судна добавляется один из следующих знаков:</w:t>
      </w:r>
    </w:p>
    <w:bookmarkEnd w:id="593"/>
    <w:bookmarkStart w:name="z590" w:id="594"/>
    <w:p>
      <w:pPr>
        <w:spacing w:after="0"/>
        <w:ind w:left="0"/>
        <w:jc w:val="both"/>
      </w:pPr>
      <w:r>
        <w:rPr>
          <w:rFonts w:ascii="Times New Roman"/>
          <w:b w:val="false"/>
          <w:i w:val="false"/>
          <w:color w:val="000000"/>
          <w:sz w:val="28"/>
        </w:rPr>
        <w:t>
      1) IGS-IG - если в качестве источника инертного газа в системе используется генератор инертных газов, работающий на основе сжигания топлива, и при этом выполняются требования параграф 9 главы 282 настоящих Правил;</w:t>
      </w:r>
    </w:p>
    <w:bookmarkEnd w:id="594"/>
    <w:bookmarkStart w:name="z591" w:id="595"/>
    <w:p>
      <w:pPr>
        <w:spacing w:after="0"/>
        <w:ind w:left="0"/>
        <w:jc w:val="both"/>
      </w:pPr>
      <w:r>
        <w:rPr>
          <w:rFonts w:ascii="Times New Roman"/>
          <w:b w:val="false"/>
          <w:i w:val="false"/>
          <w:color w:val="000000"/>
          <w:sz w:val="28"/>
        </w:rPr>
        <w:t>
      2) IGS-NG - если в качестве источника инертного газа в системе используется азотный генератор и при этом выполняются требования параграфа 12 главы 282 настоящих Правил;</w:t>
      </w:r>
    </w:p>
    <w:bookmarkEnd w:id="595"/>
    <w:bookmarkStart w:name="z592" w:id="596"/>
    <w:p>
      <w:pPr>
        <w:spacing w:after="0"/>
        <w:ind w:left="0"/>
        <w:jc w:val="both"/>
      </w:pPr>
      <w:r>
        <w:rPr>
          <w:rFonts w:ascii="Times New Roman"/>
          <w:b w:val="false"/>
          <w:i w:val="false"/>
          <w:color w:val="000000"/>
          <w:sz w:val="28"/>
        </w:rPr>
        <w:t>
      3) IGS-Pad - если система инертного газа предназначена только для создания изолирующего слоя в грузовых танках и при этом выполняются требования параграфа 11 главы 282 настоящих Правил. Этот знак допускается использовать для систем с подачей инертного газа из баллонов, а также для систем с использованием генераторов инертных газов и азотных генераторов, если их производительность недостаточна для присвоения им знаков IGS-IG или IGS-NG.</w:t>
      </w:r>
    </w:p>
    <w:bookmarkEnd w:id="596"/>
    <w:bookmarkStart w:name="z593" w:id="597"/>
    <w:p>
      <w:pPr>
        <w:spacing w:after="0"/>
        <w:ind w:left="0"/>
        <w:jc w:val="left"/>
      </w:pPr>
      <w:r>
        <w:rPr>
          <w:rFonts w:ascii="Times New Roman"/>
          <w:b/>
          <w:i w:val="false"/>
          <w:color w:val="000000"/>
        </w:rPr>
        <w:t xml:space="preserve"> Параграф 10. Знак наличия системы мойки сырой нефтью, знак</w:t>
      </w:r>
      <w:r>
        <w:br/>
      </w:r>
      <w:r>
        <w:rPr>
          <w:rFonts w:ascii="Times New Roman"/>
          <w:b/>
          <w:i w:val="false"/>
          <w:color w:val="000000"/>
        </w:rPr>
        <w:t>наличия централизованной системы управления</w:t>
      </w:r>
      <w:r>
        <w:br/>
      </w:r>
      <w:r>
        <w:rPr>
          <w:rFonts w:ascii="Times New Roman"/>
          <w:b/>
          <w:i w:val="false"/>
          <w:color w:val="000000"/>
        </w:rPr>
        <w:t>грузовыми операциями</w:t>
      </w:r>
    </w:p>
    <w:bookmarkEnd w:id="597"/>
    <w:bookmarkStart w:name="z594" w:id="598"/>
    <w:p>
      <w:pPr>
        <w:spacing w:after="0"/>
        <w:ind w:left="0"/>
        <w:jc w:val="both"/>
      </w:pPr>
      <w:r>
        <w:rPr>
          <w:rFonts w:ascii="Times New Roman"/>
          <w:b w:val="false"/>
          <w:i w:val="false"/>
          <w:color w:val="000000"/>
          <w:sz w:val="28"/>
        </w:rPr>
        <w:t>
      42. Если судно оборудовано системой мойки сырой нефтью, соответствующей требованиям главы 278 настоящих Правил, то к основному символу класса судна добавляется знак COW.</w:t>
      </w:r>
    </w:p>
    <w:bookmarkEnd w:id="598"/>
    <w:bookmarkStart w:name="z595" w:id="599"/>
    <w:p>
      <w:pPr>
        <w:spacing w:after="0"/>
        <w:ind w:left="0"/>
        <w:jc w:val="both"/>
      </w:pPr>
      <w:r>
        <w:rPr>
          <w:rFonts w:ascii="Times New Roman"/>
          <w:b w:val="false"/>
          <w:i w:val="false"/>
          <w:color w:val="000000"/>
          <w:sz w:val="28"/>
        </w:rPr>
        <w:t>
      43. Если судно оборудовано постом управления грузовыми операциями, соответствующим требованиям пункта 2658 настоящих Правил, то к основному символу класса судна добавляется знак ССО.</w:t>
      </w:r>
    </w:p>
    <w:bookmarkEnd w:id="599"/>
    <w:bookmarkStart w:name="z596" w:id="600"/>
    <w:p>
      <w:pPr>
        <w:spacing w:after="0"/>
        <w:ind w:left="0"/>
        <w:jc w:val="left"/>
      </w:pPr>
      <w:r>
        <w:rPr>
          <w:rFonts w:ascii="Times New Roman"/>
          <w:b/>
          <w:i w:val="false"/>
          <w:color w:val="000000"/>
        </w:rPr>
        <w:t xml:space="preserve"> Параграф 11. Знаки повышенной экологической безопасности,</w:t>
      </w:r>
      <w:r>
        <w:br/>
      </w:r>
      <w:r>
        <w:rPr>
          <w:rFonts w:ascii="Times New Roman"/>
          <w:b/>
          <w:i w:val="false"/>
          <w:color w:val="000000"/>
        </w:rPr>
        <w:t>знак соответствия судна требованиям по безопасной</w:t>
      </w:r>
      <w:r>
        <w:br/>
      </w:r>
      <w:r>
        <w:rPr>
          <w:rFonts w:ascii="Times New Roman"/>
          <w:b/>
          <w:i w:val="false"/>
          <w:color w:val="000000"/>
        </w:rPr>
        <w:t>замене балласта</w:t>
      </w:r>
    </w:p>
    <w:bookmarkEnd w:id="600"/>
    <w:bookmarkStart w:name="z597" w:id="601"/>
    <w:p>
      <w:pPr>
        <w:spacing w:after="0"/>
        <w:ind w:left="0"/>
        <w:jc w:val="both"/>
      </w:pPr>
      <w:r>
        <w:rPr>
          <w:rFonts w:ascii="Times New Roman"/>
          <w:b w:val="false"/>
          <w:i w:val="false"/>
          <w:color w:val="000000"/>
          <w:sz w:val="28"/>
        </w:rPr>
        <w:t>
      44. Судам, удовлетворяющим требованиям к дополнительным знакам символа класса определяющие конструктивные или эксплуатационные особенности судна к основному символу класса добавляется один из следующих знаков:</w:t>
      </w:r>
    </w:p>
    <w:bookmarkEnd w:id="601"/>
    <w:bookmarkStart w:name="z598" w:id="602"/>
    <w:p>
      <w:pPr>
        <w:spacing w:after="0"/>
        <w:ind w:left="0"/>
        <w:jc w:val="both"/>
      </w:pPr>
      <w:r>
        <w:rPr>
          <w:rFonts w:ascii="Times New Roman"/>
          <w:b w:val="false"/>
          <w:i w:val="false"/>
          <w:color w:val="000000"/>
          <w:sz w:val="28"/>
        </w:rPr>
        <w:t>
      1) ЕСО - если судно соответствует требованиям по контролю и ограничению эксплуатационных выбросов и сбросов, а также требованиям по предотвращению загрязнения окружающей среды в аварийных случаях, определяющие конструктивные или эксплуатационные особенности судна;</w:t>
      </w:r>
    </w:p>
    <w:bookmarkEnd w:id="602"/>
    <w:bookmarkStart w:name="z599" w:id="603"/>
    <w:p>
      <w:pPr>
        <w:spacing w:after="0"/>
        <w:ind w:left="0"/>
        <w:jc w:val="both"/>
      </w:pPr>
      <w:r>
        <w:rPr>
          <w:rFonts w:ascii="Times New Roman"/>
          <w:b w:val="false"/>
          <w:i w:val="false"/>
          <w:color w:val="000000"/>
          <w:sz w:val="28"/>
        </w:rPr>
        <w:t>
      2) ECO-S - если судно соответствует дополнительным требованиям по предотвращению загрязнения, определяющие конструктивные или эксплуатационные особенности судна.</w:t>
      </w:r>
    </w:p>
    <w:bookmarkEnd w:id="603"/>
    <w:bookmarkStart w:name="z600" w:id="604"/>
    <w:p>
      <w:pPr>
        <w:spacing w:after="0"/>
        <w:ind w:left="0"/>
        <w:jc w:val="both"/>
      </w:pPr>
      <w:r>
        <w:rPr>
          <w:rFonts w:ascii="Times New Roman"/>
          <w:b w:val="false"/>
          <w:i w:val="false"/>
          <w:color w:val="000000"/>
          <w:sz w:val="28"/>
        </w:rPr>
        <w:t>
      45. Если на судне имеется одобренное Руководство по безопасной замене балласта в море в соответствии с пунктом 1485 настоящих Правил и его балластные системы удовлетворяют требованиям главы 267 настоящих Правил, то к основному символу класса судна добавляется знак BWM.</w:t>
      </w:r>
    </w:p>
    <w:bookmarkEnd w:id="604"/>
    <w:bookmarkStart w:name="z601" w:id="605"/>
    <w:p>
      <w:pPr>
        <w:spacing w:after="0"/>
        <w:ind w:left="0"/>
        <w:jc w:val="left"/>
      </w:pPr>
      <w:r>
        <w:rPr>
          <w:rFonts w:ascii="Times New Roman"/>
          <w:b/>
          <w:i w:val="false"/>
          <w:color w:val="000000"/>
        </w:rPr>
        <w:t xml:space="preserve"> Параграф 12. Словесная характеристика в символе класса</w:t>
      </w:r>
    </w:p>
    <w:bookmarkEnd w:id="605"/>
    <w:bookmarkStart w:name="z602" w:id="606"/>
    <w:p>
      <w:pPr>
        <w:spacing w:after="0"/>
        <w:ind w:left="0"/>
        <w:jc w:val="both"/>
      </w:pPr>
      <w:r>
        <w:rPr>
          <w:rFonts w:ascii="Times New Roman"/>
          <w:b w:val="false"/>
          <w:i w:val="false"/>
          <w:color w:val="000000"/>
          <w:sz w:val="28"/>
        </w:rPr>
        <w:t>
      46. Судам, соответствующим определенному объему требований Регистра судоходства, учитывающих конструктивные особенности судна и условия его эксплуатации, к основному символу класса добавляется соответствующая словесная характеристика.</w:t>
      </w:r>
    </w:p>
    <w:bookmarkEnd w:id="606"/>
    <w:bookmarkStart w:name="z603" w:id="607"/>
    <w:p>
      <w:pPr>
        <w:spacing w:after="0"/>
        <w:ind w:left="0"/>
        <w:jc w:val="both"/>
      </w:pPr>
      <w:r>
        <w:rPr>
          <w:rFonts w:ascii="Times New Roman"/>
          <w:b w:val="false"/>
          <w:i w:val="false"/>
          <w:color w:val="000000"/>
          <w:sz w:val="28"/>
        </w:rPr>
        <w:t>
      Настоящие Правила Регистра судоходства содержат определенные требования, выполнение которых допускает введение в символ класса следующих словесных характеристик:</w:t>
      </w:r>
    </w:p>
    <w:bookmarkEnd w:id="607"/>
    <w:p>
      <w:pPr>
        <w:spacing w:after="0"/>
        <w:ind w:left="0"/>
        <w:jc w:val="both"/>
      </w:pPr>
      <w:r>
        <w:rPr>
          <w:rFonts w:ascii="Times New Roman"/>
          <w:b w:val="false"/>
          <w:i w:val="false"/>
          <w:color w:val="000000"/>
          <w:sz w:val="28"/>
        </w:rPr>
        <w:t>
      Bilge water removing ship - сборщик льяльных вод</w:t>
      </w:r>
    </w:p>
    <w:p>
      <w:pPr>
        <w:spacing w:after="0"/>
        <w:ind w:left="0"/>
        <w:jc w:val="both"/>
      </w:pPr>
      <w:r>
        <w:rPr>
          <w:rFonts w:ascii="Times New Roman"/>
          <w:b w:val="false"/>
          <w:i w:val="false"/>
          <w:color w:val="000000"/>
          <w:sz w:val="28"/>
        </w:rPr>
        <w:t>
      Bulk carrier - навалочное</w:t>
      </w:r>
    </w:p>
    <w:p>
      <w:pPr>
        <w:spacing w:after="0"/>
        <w:ind w:left="0"/>
        <w:jc w:val="both"/>
      </w:pPr>
      <w:r>
        <w:rPr>
          <w:rFonts w:ascii="Times New Roman"/>
          <w:b w:val="false"/>
          <w:i w:val="false"/>
          <w:color w:val="000000"/>
          <w:sz w:val="28"/>
        </w:rPr>
        <w:t>
      Catamaran - катамаран</w:t>
      </w:r>
    </w:p>
    <w:p>
      <w:pPr>
        <w:spacing w:after="0"/>
        <w:ind w:left="0"/>
        <w:jc w:val="both"/>
      </w:pPr>
      <w:r>
        <w:rPr>
          <w:rFonts w:ascii="Times New Roman"/>
          <w:b w:val="false"/>
          <w:i w:val="false"/>
          <w:color w:val="000000"/>
          <w:sz w:val="28"/>
        </w:rPr>
        <w:t>
      Container ship - контейнеровоз</w:t>
      </w:r>
    </w:p>
    <w:p>
      <w:pPr>
        <w:spacing w:after="0"/>
        <w:ind w:left="0"/>
        <w:jc w:val="both"/>
      </w:pPr>
      <w:r>
        <w:rPr>
          <w:rFonts w:ascii="Times New Roman"/>
          <w:b w:val="false"/>
          <w:i w:val="false"/>
          <w:color w:val="000000"/>
          <w:sz w:val="28"/>
        </w:rPr>
        <w:t>
      Crane vessel - крановое</w:t>
      </w:r>
    </w:p>
    <w:p>
      <w:pPr>
        <w:spacing w:after="0"/>
        <w:ind w:left="0"/>
        <w:jc w:val="both"/>
      </w:pPr>
      <w:r>
        <w:rPr>
          <w:rFonts w:ascii="Times New Roman"/>
          <w:b w:val="false"/>
          <w:i w:val="false"/>
          <w:color w:val="000000"/>
          <w:sz w:val="28"/>
        </w:rPr>
        <w:t>
      Docklift ship - наплавное</w:t>
      </w:r>
    </w:p>
    <w:p>
      <w:pPr>
        <w:spacing w:after="0"/>
        <w:ind w:left="0"/>
        <w:jc w:val="both"/>
      </w:pPr>
      <w:r>
        <w:rPr>
          <w:rFonts w:ascii="Times New Roman"/>
          <w:b w:val="false"/>
          <w:i w:val="false"/>
          <w:color w:val="000000"/>
          <w:sz w:val="28"/>
        </w:rPr>
        <w:t>
      Dredger - земснаряд</w:t>
      </w:r>
    </w:p>
    <w:p>
      <w:pPr>
        <w:spacing w:after="0"/>
        <w:ind w:left="0"/>
        <w:jc w:val="both"/>
      </w:pPr>
      <w:r>
        <w:rPr>
          <w:rFonts w:ascii="Times New Roman"/>
          <w:b w:val="false"/>
          <w:i w:val="false"/>
          <w:color w:val="000000"/>
          <w:sz w:val="28"/>
        </w:rPr>
        <w:t>
      Fishing vessel - рыболовное</w:t>
      </w:r>
    </w:p>
    <w:p>
      <w:pPr>
        <w:spacing w:after="0"/>
        <w:ind w:left="0"/>
        <w:jc w:val="both"/>
      </w:pPr>
      <w:r>
        <w:rPr>
          <w:rFonts w:ascii="Times New Roman"/>
          <w:b w:val="false"/>
          <w:i w:val="false"/>
          <w:color w:val="000000"/>
          <w:sz w:val="28"/>
        </w:rPr>
        <w:t>
      Floating crane - плавкран</w:t>
      </w:r>
    </w:p>
    <w:p>
      <w:pPr>
        <w:spacing w:after="0"/>
        <w:ind w:left="0"/>
        <w:jc w:val="both"/>
      </w:pPr>
      <w:r>
        <w:rPr>
          <w:rFonts w:ascii="Times New Roman"/>
          <w:b w:val="false"/>
          <w:i w:val="false"/>
          <w:color w:val="000000"/>
          <w:sz w:val="28"/>
        </w:rPr>
        <w:t>
      Floating dock - плавдок</w:t>
      </w:r>
    </w:p>
    <w:p>
      <w:pPr>
        <w:spacing w:after="0"/>
        <w:ind w:left="0"/>
        <w:jc w:val="both"/>
      </w:pPr>
      <w:r>
        <w:rPr>
          <w:rFonts w:ascii="Times New Roman"/>
          <w:b w:val="false"/>
          <w:i w:val="false"/>
          <w:color w:val="000000"/>
          <w:sz w:val="28"/>
        </w:rPr>
        <w:t>
      Hopper - грунтоотвозное</w:t>
      </w:r>
    </w:p>
    <w:p>
      <w:pPr>
        <w:spacing w:after="0"/>
        <w:ind w:left="0"/>
        <w:jc w:val="both"/>
      </w:pPr>
      <w:r>
        <w:rPr>
          <w:rFonts w:ascii="Times New Roman"/>
          <w:b w:val="false"/>
          <w:i w:val="false"/>
          <w:color w:val="000000"/>
          <w:sz w:val="28"/>
        </w:rPr>
        <w:t>
      Oil recovery ship - нефтесборное</w:t>
      </w:r>
    </w:p>
    <w:p>
      <w:pPr>
        <w:spacing w:after="0"/>
        <w:ind w:left="0"/>
        <w:jc w:val="both"/>
      </w:pPr>
      <w:r>
        <w:rPr>
          <w:rFonts w:ascii="Times New Roman"/>
          <w:b w:val="false"/>
          <w:i w:val="false"/>
          <w:color w:val="000000"/>
          <w:sz w:val="28"/>
        </w:rPr>
        <w:t>
      Oil tanker - нефтеналивное</w:t>
      </w:r>
    </w:p>
    <w:p>
      <w:pPr>
        <w:spacing w:after="0"/>
        <w:ind w:left="0"/>
        <w:jc w:val="both"/>
      </w:pPr>
      <w:r>
        <w:rPr>
          <w:rFonts w:ascii="Times New Roman"/>
          <w:b w:val="false"/>
          <w:i w:val="false"/>
          <w:color w:val="000000"/>
          <w:sz w:val="28"/>
        </w:rPr>
        <w:t>
      Oil/bulk carrier - нефтенавалочное</w:t>
      </w:r>
    </w:p>
    <w:p>
      <w:pPr>
        <w:spacing w:after="0"/>
        <w:ind w:left="0"/>
        <w:jc w:val="both"/>
      </w:pPr>
      <w:r>
        <w:rPr>
          <w:rFonts w:ascii="Times New Roman"/>
          <w:b w:val="false"/>
          <w:i w:val="false"/>
          <w:color w:val="000000"/>
          <w:sz w:val="28"/>
        </w:rPr>
        <w:t>
      Oil/bulk/ore carrier - нефтерудонавалочное</w:t>
      </w:r>
    </w:p>
    <w:p>
      <w:pPr>
        <w:spacing w:after="0"/>
        <w:ind w:left="0"/>
        <w:jc w:val="both"/>
      </w:pPr>
      <w:r>
        <w:rPr>
          <w:rFonts w:ascii="Times New Roman"/>
          <w:b w:val="false"/>
          <w:i w:val="false"/>
          <w:color w:val="000000"/>
          <w:sz w:val="28"/>
        </w:rPr>
        <w:t>
      Ore carrier - рудовоз</w:t>
      </w:r>
    </w:p>
    <w:p>
      <w:pPr>
        <w:spacing w:after="0"/>
        <w:ind w:left="0"/>
        <w:jc w:val="both"/>
      </w:pPr>
      <w:r>
        <w:rPr>
          <w:rFonts w:ascii="Times New Roman"/>
          <w:b w:val="false"/>
          <w:i w:val="false"/>
          <w:color w:val="000000"/>
          <w:sz w:val="28"/>
        </w:rPr>
        <w:t>
      Passenger ship - пассажирское</w:t>
      </w:r>
    </w:p>
    <w:p>
      <w:pPr>
        <w:spacing w:after="0"/>
        <w:ind w:left="0"/>
        <w:jc w:val="both"/>
      </w:pPr>
      <w:r>
        <w:rPr>
          <w:rFonts w:ascii="Times New Roman"/>
          <w:b w:val="false"/>
          <w:i w:val="false"/>
          <w:color w:val="000000"/>
          <w:sz w:val="28"/>
        </w:rPr>
        <w:t>
      Pontoon - понтон</w:t>
      </w:r>
    </w:p>
    <w:p>
      <w:pPr>
        <w:spacing w:after="0"/>
        <w:ind w:left="0"/>
        <w:jc w:val="both"/>
      </w:pPr>
      <w:r>
        <w:rPr>
          <w:rFonts w:ascii="Times New Roman"/>
          <w:b w:val="false"/>
          <w:i w:val="false"/>
          <w:color w:val="000000"/>
          <w:sz w:val="28"/>
        </w:rPr>
        <w:t>
      Ro-ro passenger ship - пассажирское накатное</w:t>
      </w:r>
    </w:p>
    <w:p>
      <w:pPr>
        <w:spacing w:after="0"/>
        <w:ind w:left="0"/>
        <w:jc w:val="both"/>
      </w:pPr>
      <w:r>
        <w:rPr>
          <w:rFonts w:ascii="Times New Roman"/>
          <w:b w:val="false"/>
          <w:i w:val="false"/>
          <w:color w:val="000000"/>
          <w:sz w:val="28"/>
        </w:rPr>
        <w:t>
      Ro-ro ship - накатное</w:t>
      </w:r>
    </w:p>
    <w:p>
      <w:pPr>
        <w:spacing w:after="0"/>
        <w:ind w:left="0"/>
        <w:jc w:val="both"/>
      </w:pPr>
      <w:r>
        <w:rPr>
          <w:rFonts w:ascii="Times New Roman"/>
          <w:b w:val="false"/>
          <w:i w:val="false"/>
          <w:color w:val="000000"/>
          <w:sz w:val="28"/>
        </w:rPr>
        <w:t>
      Salvage ship - спасатель</w:t>
      </w:r>
    </w:p>
    <w:p>
      <w:pPr>
        <w:spacing w:after="0"/>
        <w:ind w:left="0"/>
        <w:jc w:val="both"/>
      </w:pPr>
      <w:r>
        <w:rPr>
          <w:rFonts w:ascii="Times New Roman"/>
          <w:b w:val="false"/>
          <w:i w:val="false"/>
          <w:color w:val="000000"/>
          <w:sz w:val="28"/>
        </w:rPr>
        <w:t>
      Shipborne barge - судовая баржа</w:t>
      </w:r>
    </w:p>
    <w:p>
      <w:pPr>
        <w:spacing w:after="0"/>
        <w:ind w:left="0"/>
        <w:jc w:val="both"/>
      </w:pPr>
      <w:r>
        <w:rPr>
          <w:rFonts w:ascii="Times New Roman"/>
          <w:b w:val="false"/>
          <w:i w:val="false"/>
          <w:color w:val="000000"/>
          <w:sz w:val="28"/>
        </w:rPr>
        <w:t>
      Special purpose ship - специального назначения</w:t>
      </w:r>
    </w:p>
    <w:p>
      <w:pPr>
        <w:spacing w:after="0"/>
        <w:ind w:left="0"/>
        <w:jc w:val="both"/>
      </w:pPr>
      <w:r>
        <w:rPr>
          <w:rFonts w:ascii="Times New Roman"/>
          <w:b w:val="false"/>
          <w:i w:val="false"/>
          <w:color w:val="000000"/>
          <w:sz w:val="28"/>
        </w:rPr>
        <w:t>
      Supply vessel - судно обеспечения</w:t>
      </w:r>
    </w:p>
    <w:p>
      <w:pPr>
        <w:spacing w:after="0"/>
        <w:ind w:left="0"/>
        <w:jc w:val="both"/>
      </w:pPr>
      <w:r>
        <w:rPr>
          <w:rFonts w:ascii="Times New Roman"/>
          <w:b w:val="false"/>
          <w:i w:val="false"/>
          <w:color w:val="000000"/>
          <w:sz w:val="28"/>
        </w:rPr>
        <w:t>
      Tanker - наливное</w:t>
      </w:r>
    </w:p>
    <w:p>
      <w:pPr>
        <w:spacing w:after="0"/>
        <w:ind w:left="0"/>
        <w:jc w:val="both"/>
      </w:pPr>
      <w:r>
        <w:rPr>
          <w:rFonts w:ascii="Times New Roman"/>
          <w:b w:val="false"/>
          <w:i w:val="false"/>
          <w:color w:val="000000"/>
          <w:sz w:val="28"/>
        </w:rPr>
        <w:t>
      Tanker (water) - наливное (вода)</w:t>
      </w:r>
    </w:p>
    <w:p>
      <w:pPr>
        <w:spacing w:after="0"/>
        <w:ind w:left="0"/>
        <w:jc w:val="both"/>
      </w:pPr>
      <w:r>
        <w:rPr>
          <w:rFonts w:ascii="Times New Roman"/>
          <w:b w:val="false"/>
          <w:i w:val="false"/>
          <w:color w:val="000000"/>
          <w:sz w:val="28"/>
        </w:rPr>
        <w:t>
      Tanker (wine) - наливное (вино)</w:t>
      </w:r>
    </w:p>
    <w:p>
      <w:pPr>
        <w:spacing w:after="0"/>
        <w:ind w:left="0"/>
        <w:jc w:val="both"/>
      </w:pPr>
      <w:r>
        <w:rPr>
          <w:rFonts w:ascii="Times New Roman"/>
          <w:b w:val="false"/>
          <w:i w:val="false"/>
          <w:color w:val="000000"/>
          <w:sz w:val="28"/>
        </w:rPr>
        <w:t>
      Timber carrier - лесовоз</w:t>
      </w:r>
    </w:p>
    <w:p>
      <w:pPr>
        <w:spacing w:after="0"/>
        <w:ind w:left="0"/>
        <w:jc w:val="both"/>
      </w:pPr>
      <w:r>
        <w:rPr>
          <w:rFonts w:ascii="Times New Roman"/>
          <w:b w:val="false"/>
          <w:i w:val="false"/>
          <w:color w:val="000000"/>
          <w:sz w:val="28"/>
        </w:rPr>
        <w:t>
      Tug - буксир.</w:t>
      </w:r>
    </w:p>
    <w:bookmarkStart w:name="z604" w:id="608"/>
    <w:p>
      <w:pPr>
        <w:spacing w:after="0"/>
        <w:ind w:left="0"/>
        <w:jc w:val="both"/>
      </w:pPr>
      <w:r>
        <w:rPr>
          <w:rFonts w:ascii="Times New Roman"/>
          <w:b w:val="false"/>
          <w:i w:val="false"/>
          <w:color w:val="000000"/>
          <w:sz w:val="28"/>
        </w:rPr>
        <w:t>
      Словесная характеристика в символе класса записывается на английском языке. По желанию судовладельца она записывается на двух языках: английском и русском (Oil tanker (нефтеналивное) (ESP).</w:t>
      </w:r>
    </w:p>
    <w:bookmarkEnd w:id="608"/>
    <w:bookmarkStart w:name="z605" w:id="609"/>
    <w:p>
      <w:pPr>
        <w:spacing w:after="0"/>
        <w:ind w:left="0"/>
        <w:jc w:val="both"/>
      </w:pPr>
      <w:r>
        <w:rPr>
          <w:rFonts w:ascii="Times New Roman"/>
          <w:b w:val="false"/>
          <w:i w:val="false"/>
          <w:color w:val="000000"/>
          <w:sz w:val="28"/>
        </w:rPr>
        <w:t>
      47. Специальные знаки и словесные характеристики в символе класса плавучих буровых установок, морских прогулочных судов указываются в соответствии с требованиями Регистра судоходства.</w:t>
      </w:r>
    </w:p>
    <w:bookmarkEnd w:id="609"/>
    <w:bookmarkStart w:name="z606" w:id="610"/>
    <w:p>
      <w:pPr>
        <w:spacing w:after="0"/>
        <w:ind w:left="0"/>
        <w:jc w:val="both"/>
      </w:pPr>
      <w:r>
        <w:rPr>
          <w:rFonts w:ascii="Times New Roman"/>
          <w:b w:val="false"/>
          <w:i w:val="false"/>
          <w:color w:val="000000"/>
          <w:sz w:val="28"/>
        </w:rPr>
        <w:t>
      Со словесной характеристикой "Tanker" указывается в скобках конкретный перевозимый судном груз ("Tanker (water)", "Tanker (wine)".</w:t>
      </w:r>
    </w:p>
    <w:bookmarkEnd w:id="610"/>
    <w:bookmarkStart w:name="z607" w:id="611"/>
    <w:p>
      <w:pPr>
        <w:spacing w:after="0"/>
        <w:ind w:left="0"/>
        <w:jc w:val="both"/>
      </w:pPr>
      <w:r>
        <w:rPr>
          <w:rFonts w:ascii="Times New Roman"/>
          <w:b w:val="false"/>
          <w:i w:val="false"/>
          <w:color w:val="000000"/>
          <w:sz w:val="28"/>
        </w:rPr>
        <w:t>
      Для судов ограниченного района плавания "Berth-connected ship" в качестве словесной характеристики указывается назначение судна из перечисленного в определении стоечного судна в соответствии с подпунктом 6) пункта 27 настоящих Правил.</w:t>
      </w:r>
    </w:p>
    <w:bookmarkEnd w:id="611"/>
    <w:bookmarkStart w:name="z608" w:id="612"/>
    <w:p>
      <w:pPr>
        <w:spacing w:after="0"/>
        <w:ind w:left="0"/>
        <w:jc w:val="both"/>
      </w:pPr>
      <w:r>
        <w:rPr>
          <w:rFonts w:ascii="Times New Roman"/>
          <w:b w:val="false"/>
          <w:i w:val="false"/>
          <w:color w:val="000000"/>
          <w:sz w:val="28"/>
        </w:rPr>
        <w:t>
      Если объем требований настоящих Правил, которому соответствует судно, позволяет, то в символе класса допускается записывать две и более словесные характеристики ("Passenger hydrofoil craft", "Supply vessel, Salvage ship, Tug"), либо словесная характеристика приводится в виде сложносокращенного слова ("Oil/bulk carrier", "Oil/bulk/ore carrier").</w:t>
      </w:r>
    </w:p>
    <w:bookmarkEnd w:id="612"/>
    <w:bookmarkStart w:name="z609" w:id="613"/>
    <w:p>
      <w:pPr>
        <w:spacing w:after="0"/>
        <w:ind w:left="0"/>
        <w:jc w:val="both"/>
      </w:pPr>
      <w:r>
        <w:rPr>
          <w:rFonts w:ascii="Times New Roman"/>
          <w:b w:val="false"/>
          <w:i w:val="false"/>
          <w:color w:val="000000"/>
          <w:sz w:val="28"/>
        </w:rPr>
        <w:t xml:space="preserve">
      Если нефтеналивное или нефтесборное судно отвечает требованиям, предъявляемым к судам, перевозящим или собирающим с поверхности моря и перевозящим нефтепродукты с температурой вспышки выше 60 </w:t>
      </w:r>
      <w:r>
        <w:rPr>
          <w:rFonts w:ascii="Times New Roman"/>
          <w:b w:val="false"/>
          <w:i w:val="false"/>
          <w:color w:val="000000"/>
          <w:vertAlign w:val="superscript"/>
        </w:rPr>
        <w:t>о</w:t>
      </w:r>
      <w:r>
        <w:rPr>
          <w:rFonts w:ascii="Times New Roman"/>
          <w:b w:val="false"/>
          <w:i w:val="false"/>
          <w:color w:val="000000"/>
          <w:sz w:val="28"/>
        </w:rPr>
        <w:t xml:space="preserve">С, эта температура указывается в словесной характеристике ("Oil tanker" (&gt;60 </w:t>
      </w:r>
      <w:r>
        <w:rPr>
          <w:rFonts w:ascii="Times New Roman"/>
          <w:b w:val="false"/>
          <w:i w:val="false"/>
          <w:color w:val="000000"/>
          <w:vertAlign w:val="superscript"/>
        </w:rPr>
        <w:t>о</w:t>
      </w:r>
      <w:r>
        <w:rPr>
          <w:rFonts w:ascii="Times New Roman"/>
          <w:b w:val="false"/>
          <w:i w:val="false"/>
          <w:color w:val="000000"/>
          <w:sz w:val="28"/>
        </w:rPr>
        <w:t xml:space="preserve">C), "Oil/ore carrier" (&gt;60 </w:t>
      </w:r>
      <w:r>
        <w:rPr>
          <w:rFonts w:ascii="Times New Roman"/>
          <w:b w:val="false"/>
          <w:i w:val="false"/>
          <w:color w:val="000000"/>
          <w:vertAlign w:val="superscript"/>
        </w:rPr>
        <w:t>о</w:t>
      </w:r>
      <w:r>
        <w:rPr>
          <w:rFonts w:ascii="Times New Roman"/>
          <w:b w:val="false"/>
          <w:i w:val="false"/>
          <w:color w:val="000000"/>
          <w:sz w:val="28"/>
        </w:rPr>
        <w:t xml:space="preserve">C), "Oil recovery ship" (&gt;60 </w:t>
      </w:r>
      <w:r>
        <w:rPr>
          <w:rFonts w:ascii="Times New Roman"/>
          <w:b w:val="false"/>
          <w:i w:val="false"/>
          <w:color w:val="000000"/>
          <w:vertAlign w:val="superscript"/>
        </w:rPr>
        <w:t>о</w:t>
      </w:r>
      <w:r>
        <w:rPr>
          <w:rFonts w:ascii="Times New Roman"/>
          <w:b w:val="false"/>
          <w:i w:val="false"/>
          <w:color w:val="000000"/>
          <w:sz w:val="28"/>
        </w:rPr>
        <w:t>C).</w:t>
      </w:r>
    </w:p>
    <w:bookmarkEnd w:id="613"/>
    <w:bookmarkStart w:name="z610" w:id="614"/>
    <w:p>
      <w:pPr>
        <w:spacing w:after="0"/>
        <w:ind w:left="0"/>
        <w:jc w:val="both"/>
      </w:pPr>
      <w:r>
        <w:rPr>
          <w:rFonts w:ascii="Times New Roman"/>
          <w:b w:val="false"/>
          <w:i w:val="false"/>
          <w:color w:val="000000"/>
          <w:sz w:val="28"/>
        </w:rPr>
        <w:t>
      48. Для навалочных судов, полностью соответствующих требованиям настоящих Правил, после словесной характеристики добавляется знак CSR.</w:t>
      </w:r>
    </w:p>
    <w:bookmarkEnd w:id="614"/>
    <w:bookmarkStart w:name="z611" w:id="615"/>
    <w:p>
      <w:pPr>
        <w:spacing w:after="0"/>
        <w:ind w:left="0"/>
        <w:jc w:val="both"/>
      </w:pPr>
      <w:r>
        <w:rPr>
          <w:rFonts w:ascii="Times New Roman"/>
          <w:b w:val="false"/>
          <w:i w:val="false"/>
          <w:color w:val="000000"/>
          <w:sz w:val="28"/>
        </w:rPr>
        <w:t>
      При добавлении к основному символу класса словесной характеристики "Bulk carrier" для судов длиной 150 м и более при выполнении соответствующих требований настоящих Правил после словесной характеристики добавляется один из следующих знаков:</w:t>
      </w:r>
    </w:p>
    <w:bookmarkEnd w:id="615"/>
    <w:bookmarkStart w:name="z612" w:id="616"/>
    <w:p>
      <w:pPr>
        <w:spacing w:after="0"/>
        <w:ind w:left="0"/>
        <w:jc w:val="both"/>
      </w:pPr>
      <w:r>
        <w:rPr>
          <w:rFonts w:ascii="Times New Roman"/>
          <w:b w:val="false"/>
          <w:i w:val="false"/>
          <w:color w:val="000000"/>
          <w:sz w:val="28"/>
        </w:rPr>
        <w:t>
      1) ВС-А - судам, предназначенным для перевозки навалочных грузов плотностью 1 т/м</w:t>
      </w:r>
      <w:r>
        <w:rPr>
          <w:rFonts w:ascii="Times New Roman"/>
          <w:b w:val="false"/>
          <w:i w:val="false"/>
          <w:color w:val="000000"/>
          <w:vertAlign w:val="superscript"/>
        </w:rPr>
        <w:t>3</w:t>
      </w:r>
      <w:r>
        <w:rPr>
          <w:rFonts w:ascii="Times New Roman"/>
          <w:b w:val="false"/>
          <w:i w:val="false"/>
          <w:color w:val="000000"/>
          <w:sz w:val="28"/>
        </w:rPr>
        <w:t xml:space="preserve"> и более, при максимальной осадке которых определенные трюмы остаются пустыми;</w:t>
      </w:r>
    </w:p>
    <w:bookmarkEnd w:id="616"/>
    <w:bookmarkStart w:name="z613" w:id="617"/>
    <w:p>
      <w:pPr>
        <w:spacing w:after="0"/>
        <w:ind w:left="0"/>
        <w:jc w:val="both"/>
      </w:pPr>
      <w:r>
        <w:rPr>
          <w:rFonts w:ascii="Times New Roman"/>
          <w:b w:val="false"/>
          <w:i w:val="false"/>
          <w:color w:val="000000"/>
          <w:sz w:val="28"/>
        </w:rPr>
        <w:t>
      2) ВС-В - судам, предназначенным для перевозки навалочных грузов плотностью 1 т/м</w:t>
      </w:r>
      <w:r>
        <w:rPr>
          <w:rFonts w:ascii="Times New Roman"/>
          <w:b w:val="false"/>
          <w:i w:val="false"/>
          <w:color w:val="000000"/>
          <w:vertAlign w:val="superscript"/>
        </w:rPr>
        <w:t>3</w:t>
      </w:r>
      <w:r>
        <w:rPr>
          <w:rFonts w:ascii="Times New Roman"/>
          <w:b w:val="false"/>
          <w:i w:val="false"/>
          <w:color w:val="000000"/>
          <w:sz w:val="28"/>
        </w:rPr>
        <w:t xml:space="preserve"> и более, при загрузке всех трюмов;</w:t>
      </w:r>
    </w:p>
    <w:bookmarkEnd w:id="617"/>
    <w:bookmarkStart w:name="z614" w:id="618"/>
    <w:p>
      <w:pPr>
        <w:spacing w:after="0"/>
        <w:ind w:left="0"/>
        <w:jc w:val="both"/>
      </w:pPr>
      <w:r>
        <w:rPr>
          <w:rFonts w:ascii="Times New Roman"/>
          <w:b w:val="false"/>
          <w:i w:val="false"/>
          <w:color w:val="000000"/>
          <w:sz w:val="28"/>
        </w:rPr>
        <w:t>
      3) ВС-С - судам, предназначенным для перевозки навалочных грузов плотностью менее 1 т/м</w:t>
      </w:r>
      <w:r>
        <w:rPr>
          <w:rFonts w:ascii="Times New Roman"/>
          <w:b w:val="false"/>
          <w:i w:val="false"/>
          <w:color w:val="000000"/>
          <w:vertAlign w:val="superscript"/>
        </w:rPr>
        <w:t>3</w:t>
      </w:r>
      <w:r>
        <w:rPr>
          <w:rFonts w:ascii="Times New Roman"/>
          <w:b w:val="false"/>
          <w:i w:val="false"/>
          <w:color w:val="000000"/>
          <w:sz w:val="28"/>
        </w:rPr>
        <w:t>.</w:t>
      </w:r>
    </w:p>
    <w:bookmarkEnd w:id="618"/>
    <w:bookmarkStart w:name="z615" w:id="619"/>
    <w:p>
      <w:pPr>
        <w:spacing w:after="0"/>
        <w:ind w:left="0"/>
        <w:jc w:val="both"/>
      </w:pPr>
      <w:r>
        <w:rPr>
          <w:rFonts w:ascii="Times New Roman"/>
          <w:b w:val="false"/>
          <w:i w:val="false"/>
          <w:color w:val="000000"/>
          <w:sz w:val="28"/>
        </w:rPr>
        <w:t>
      Для навалочных судов, в символе класса которых имеется знак ВС-А или ВС-В, грузовые трюмы которых спроектированы для погрузки/выгрузки при помощи грейферов массой каждого 20 т и более в соответствии с требованиями настоящих Правил, после указанного знака добавляется знак GRAB(X), где вместо X указывается масса грейфера в тоннах (GRAB(30t).</w:t>
      </w:r>
    </w:p>
    <w:bookmarkEnd w:id="619"/>
    <w:bookmarkStart w:name="z616" w:id="620"/>
    <w:p>
      <w:pPr>
        <w:spacing w:after="0"/>
        <w:ind w:left="0"/>
        <w:jc w:val="both"/>
      </w:pPr>
      <w:r>
        <w:rPr>
          <w:rFonts w:ascii="Times New Roman"/>
          <w:b w:val="false"/>
          <w:i w:val="false"/>
          <w:color w:val="000000"/>
          <w:sz w:val="28"/>
        </w:rPr>
        <w:t>
      Для всех других навалочных судов добавление знака GRAB(X) является добровольным.</w:t>
      </w:r>
    </w:p>
    <w:bookmarkEnd w:id="620"/>
    <w:bookmarkStart w:name="z617" w:id="621"/>
    <w:p>
      <w:pPr>
        <w:spacing w:after="0"/>
        <w:ind w:left="0"/>
        <w:jc w:val="both"/>
      </w:pPr>
      <w:r>
        <w:rPr>
          <w:rFonts w:ascii="Times New Roman"/>
          <w:b w:val="false"/>
          <w:i w:val="false"/>
          <w:color w:val="000000"/>
          <w:sz w:val="28"/>
        </w:rPr>
        <w:t>
      Если судно не было изначально спроектировано для погрузки и разгрузки в нескольких портах, после всех указанных знаков добавляется запись "(no MP)".</w:t>
      </w:r>
    </w:p>
    <w:bookmarkEnd w:id="621"/>
    <w:bookmarkStart w:name="z618" w:id="622"/>
    <w:p>
      <w:pPr>
        <w:spacing w:after="0"/>
        <w:ind w:left="0"/>
        <w:jc w:val="both"/>
      </w:pPr>
      <w:r>
        <w:rPr>
          <w:rFonts w:ascii="Times New Roman"/>
          <w:b w:val="false"/>
          <w:i w:val="false"/>
          <w:color w:val="000000"/>
          <w:sz w:val="28"/>
        </w:rPr>
        <w:t xml:space="preserve">
      При добавлении к основному символу класса самоходных судов словесных характеристик "Chemical tanker", "Oil tanker", "Bulk carrier", "Ore carrier" или их словообразований ("Oil/bulk carrier", "Oil/ore carrier") после словесной характеристики добавляется: (ESP), что указывает на необходимость предъявления этих судов к освидетельствованиям по расширенной программе (Oil/ore carrier (&gt;60 </w:t>
      </w:r>
      <w:r>
        <w:rPr>
          <w:rFonts w:ascii="Times New Roman"/>
          <w:b w:val="false"/>
          <w:i w:val="false"/>
          <w:color w:val="000000"/>
          <w:vertAlign w:val="superscript"/>
        </w:rPr>
        <w:t>о</w:t>
      </w:r>
      <w:r>
        <w:rPr>
          <w:rFonts w:ascii="Times New Roman"/>
          <w:b w:val="false"/>
          <w:i w:val="false"/>
          <w:color w:val="000000"/>
          <w:sz w:val="28"/>
        </w:rPr>
        <w:t>C)(ESP).</w:t>
      </w:r>
    </w:p>
    <w:bookmarkEnd w:id="622"/>
    <w:bookmarkStart w:name="z10711" w:id="623"/>
    <w:p>
      <w:pPr>
        <w:spacing w:after="0"/>
        <w:ind w:left="0"/>
        <w:jc w:val="both"/>
      </w:pPr>
      <w:r>
        <w:rPr>
          <w:rFonts w:ascii="Times New Roman"/>
          <w:b w:val="false"/>
          <w:i w:val="false"/>
          <w:color w:val="000000"/>
          <w:sz w:val="28"/>
        </w:rPr>
        <w:t>
      48-1. Для судов, использующих газы или иные виды топлива с низкой температурой вспышки, в словесной характеристике указывается, что судно использует сжиженый природный газ в качестве топлива (LNG).</w:t>
      </w:r>
    </w:p>
    <w:bookmarkEnd w:id="623"/>
    <w:p>
      <w:pPr>
        <w:spacing w:after="0"/>
        <w:ind w:left="0"/>
        <w:jc w:val="both"/>
      </w:pPr>
      <w:r>
        <w:rPr>
          <w:rFonts w:ascii="Times New Roman"/>
          <w:b w:val="false"/>
          <w:i w:val="false"/>
          <w:color w:val="000000"/>
          <w:sz w:val="28"/>
        </w:rPr>
        <w:t>
      Для целей данных Правил топливом с низкой температурой вспышки является газообразное или жидкое топливо с температурой вспышки ниже 60 °С.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48-1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2" w:id="624"/>
    <w:p>
      <w:pPr>
        <w:spacing w:after="0"/>
        <w:ind w:left="0"/>
        <w:jc w:val="both"/>
      </w:pPr>
      <w:r>
        <w:rPr>
          <w:rFonts w:ascii="Times New Roman"/>
          <w:b w:val="false"/>
          <w:i w:val="false"/>
          <w:color w:val="000000"/>
          <w:sz w:val="28"/>
        </w:rPr>
        <w:t>
      48-2. Газовозам, перевозящим сжиженный природный газ и предназначенным для обеспечения передачи сжиженного природного газа на суда, использующие его в качестве топлива, после словесной характеристики Gas carrier в основном символе класса добавляется дополнительная словесная характеристика LNG bunkering ship.</w:t>
      </w:r>
    </w:p>
    <w:bookmarkEnd w:id="624"/>
    <w:p>
      <w:pPr>
        <w:spacing w:after="0"/>
        <w:ind w:left="0"/>
        <w:jc w:val="both"/>
      </w:pPr>
      <w:r>
        <w:rPr>
          <w:rFonts w:ascii="Times New Roman"/>
          <w:b w:val="false"/>
          <w:i w:val="false"/>
          <w:color w:val="000000"/>
          <w:sz w:val="28"/>
        </w:rPr>
        <w:t>
      При наличии на судне дополнительных функций, связанных с обслуживанием судов, использующих сжиженый природный газ в качестве топлива, судну присваиваются следующие знаки, добавляемые после дополнительной словесной характеристики:</w:t>
      </w:r>
    </w:p>
    <w:p>
      <w:pPr>
        <w:spacing w:after="0"/>
        <w:ind w:left="0"/>
        <w:jc w:val="both"/>
      </w:pPr>
      <w:r>
        <w:rPr>
          <w:rFonts w:ascii="Times New Roman"/>
          <w:b w:val="false"/>
          <w:i w:val="false"/>
          <w:color w:val="000000"/>
          <w:sz w:val="28"/>
        </w:rPr>
        <w:t>
      RE – предусмотрен прием сжиженного природного газа из судна, работающего на газе, топливные емкости которого очищены от сжиженого природного газа;</w:t>
      </w:r>
    </w:p>
    <w:p>
      <w:pPr>
        <w:spacing w:after="0"/>
        <w:ind w:left="0"/>
        <w:jc w:val="both"/>
      </w:pPr>
      <w:r>
        <w:rPr>
          <w:rFonts w:ascii="Times New Roman"/>
          <w:b w:val="false"/>
          <w:i w:val="false"/>
          <w:color w:val="000000"/>
          <w:sz w:val="28"/>
        </w:rPr>
        <w:t>
      IG-Supply – предусмотрена подача инертного газа и сухого воздуха для обеспечения дегазации и аэрации в соответствии с пунктом 6.10.4 Международного кодекса по безопасности для судов, использующих газы или иные виды топлива с низкой температурой вспышки, с поправками, принятого резолюцией Международной морской организации MSC. 391 (95) (далее - Кодекс МГТ);</w:t>
      </w:r>
    </w:p>
    <w:p>
      <w:pPr>
        <w:spacing w:after="0"/>
        <w:ind w:left="0"/>
        <w:jc w:val="both"/>
      </w:pPr>
      <w:r>
        <w:rPr>
          <w:rFonts w:ascii="Times New Roman"/>
          <w:b w:val="false"/>
          <w:i w:val="false"/>
          <w:color w:val="000000"/>
          <w:sz w:val="28"/>
        </w:rPr>
        <w:t>
      BOG – предусмотрена система контроля и утилизации паров груза, образующихся в процессе бункеровки.</w:t>
      </w:r>
    </w:p>
    <w:p>
      <w:pPr>
        <w:spacing w:after="0"/>
        <w:ind w:left="0"/>
        <w:jc w:val="both"/>
      </w:pPr>
      <w:r>
        <w:rPr>
          <w:rFonts w:ascii="Times New Roman"/>
          <w:b w:val="false"/>
          <w:i w:val="false"/>
          <w:color w:val="000000"/>
          <w:sz w:val="28"/>
        </w:rPr>
        <w:t>
      Судно-бункеровщик сжиженного природного газа соответствует требованиям Международного кодекса постройки и оборудования судов, перевозящих сжиженные газы наливом, с поправками, принятого резолюцией Международной морской организации MSC. 370 (93).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48-2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625"/>
    <w:p>
      <w:pPr>
        <w:spacing w:after="0"/>
        <w:ind w:left="0"/>
        <w:jc w:val="both"/>
      </w:pPr>
      <w:r>
        <w:rPr>
          <w:rFonts w:ascii="Times New Roman"/>
          <w:b w:val="false"/>
          <w:i w:val="false"/>
          <w:color w:val="000000"/>
          <w:sz w:val="28"/>
        </w:rPr>
        <w:t>
      49. Если выполнение определенного объема требований Правил, необходимого для введения в символ класса соответствующих знаков, подтверждается лишь при установленных Регистром судоходства ограничениях, то после символа класса в скобках указываются знаки и условия, при превышении которых эти знаки теряют силу.</w:t>
      </w:r>
    </w:p>
    <w:bookmarkEnd w:id="625"/>
    <w:bookmarkStart w:name="z620" w:id="626"/>
    <w:p>
      <w:pPr>
        <w:spacing w:after="0"/>
        <w:ind w:left="0"/>
        <w:jc w:val="left"/>
      </w:pPr>
      <w:r>
        <w:rPr>
          <w:rFonts w:ascii="Times New Roman"/>
          <w:b/>
          <w:i w:val="false"/>
          <w:color w:val="000000"/>
        </w:rPr>
        <w:t xml:space="preserve"> Параграф 13. Дополнительные характеристики и</w:t>
      </w:r>
      <w:r>
        <w:br/>
      </w:r>
      <w:r>
        <w:rPr>
          <w:rFonts w:ascii="Times New Roman"/>
          <w:b/>
          <w:i w:val="false"/>
          <w:color w:val="000000"/>
        </w:rPr>
        <w:t>изменение знаков символа класса</w:t>
      </w:r>
    </w:p>
    <w:bookmarkEnd w:id="626"/>
    <w:bookmarkStart w:name="z621" w:id="627"/>
    <w:p>
      <w:pPr>
        <w:spacing w:after="0"/>
        <w:ind w:left="0"/>
        <w:jc w:val="both"/>
      </w:pPr>
      <w:r>
        <w:rPr>
          <w:rFonts w:ascii="Times New Roman"/>
          <w:b w:val="false"/>
          <w:i w:val="false"/>
          <w:color w:val="000000"/>
          <w:sz w:val="28"/>
        </w:rPr>
        <w:t>
      50. При выполнении определенных требований Регистра судоходства, обусловленных конструктивными особенностями либо эксплуатационными качествами судна, выполнение которых не отражается знаками и словесной характеристикой в символе класса, подтверждение соответствия судна таким требованиям удостоверяется записью.</w:t>
      </w:r>
    </w:p>
    <w:bookmarkEnd w:id="627"/>
    <w:bookmarkStart w:name="z622" w:id="628"/>
    <w:p>
      <w:pPr>
        <w:spacing w:after="0"/>
        <w:ind w:left="0"/>
        <w:jc w:val="both"/>
      </w:pPr>
      <w:r>
        <w:rPr>
          <w:rFonts w:ascii="Times New Roman"/>
          <w:b w:val="false"/>
          <w:i w:val="false"/>
          <w:color w:val="000000"/>
          <w:sz w:val="28"/>
        </w:rPr>
        <w:t>
      51. Для навалочных судов, в символе класса которых указаны знаки ВС-А, ВС-В или ВС-С, в судовых документах записываются ограничения, которые соблюдают в процессе эксплуатации как следствие условий загрузки, примененных при проектировании в следующих случаях:</w:t>
      </w:r>
    </w:p>
    <w:bookmarkEnd w:id="628"/>
    <w:bookmarkStart w:name="z623" w:id="629"/>
    <w:p>
      <w:pPr>
        <w:spacing w:after="0"/>
        <w:ind w:left="0"/>
        <w:jc w:val="both"/>
      </w:pPr>
      <w:r>
        <w:rPr>
          <w:rFonts w:ascii="Times New Roman"/>
          <w:b w:val="false"/>
          <w:i w:val="false"/>
          <w:color w:val="000000"/>
          <w:sz w:val="28"/>
        </w:rPr>
        <w:t>
      для знаков ВС-А и ВС-В указывается "maximum cargo density... t/m</w:t>
      </w:r>
      <w:r>
        <w:rPr>
          <w:rFonts w:ascii="Times New Roman"/>
          <w:b w:val="false"/>
          <w:i w:val="false"/>
          <w:color w:val="000000"/>
          <w:vertAlign w:val="superscript"/>
        </w:rPr>
        <w:t>3</w:t>
      </w:r>
      <w:r>
        <w:rPr>
          <w:rFonts w:ascii="Times New Roman"/>
          <w:b w:val="false"/>
          <w:i w:val="false"/>
          <w:color w:val="000000"/>
          <w:sz w:val="28"/>
        </w:rPr>
        <w:t>", если максимальная плотность груза менее 3 т/м</w:t>
      </w:r>
      <w:r>
        <w:rPr>
          <w:rFonts w:ascii="Times New Roman"/>
          <w:b w:val="false"/>
          <w:i w:val="false"/>
          <w:color w:val="000000"/>
          <w:vertAlign w:val="superscript"/>
        </w:rPr>
        <w:t>3</w:t>
      </w:r>
      <w:r>
        <w:rPr>
          <w:rFonts w:ascii="Times New Roman"/>
          <w:b w:val="false"/>
          <w:i w:val="false"/>
          <w:color w:val="000000"/>
          <w:sz w:val="28"/>
        </w:rPr>
        <w:t>;</w:t>
      </w:r>
    </w:p>
    <w:bookmarkEnd w:id="629"/>
    <w:bookmarkStart w:name="z624" w:id="630"/>
    <w:p>
      <w:pPr>
        <w:spacing w:after="0"/>
        <w:ind w:left="0"/>
        <w:jc w:val="both"/>
      </w:pPr>
      <w:r>
        <w:rPr>
          <w:rFonts w:ascii="Times New Roman"/>
          <w:b w:val="false"/>
          <w:i w:val="false"/>
          <w:color w:val="000000"/>
          <w:sz w:val="28"/>
        </w:rPr>
        <w:t>
      для знака ВС-А, кроме того, указывается допустимая комбинация определенных пустых грузовых трюмов, например: "cargo holds Nos. 2, 4,... may be empty".</w:t>
      </w:r>
    </w:p>
    <w:bookmarkEnd w:id="630"/>
    <w:bookmarkStart w:name="z625" w:id="631"/>
    <w:p>
      <w:pPr>
        <w:spacing w:after="0"/>
        <w:ind w:left="0"/>
        <w:jc w:val="left"/>
      </w:pPr>
      <w:r>
        <w:rPr>
          <w:rFonts w:ascii="Times New Roman"/>
          <w:b/>
          <w:i w:val="false"/>
          <w:color w:val="000000"/>
        </w:rPr>
        <w:t xml:space="preserve"> Глава 3. Освидетельствования</w:t>
      </w:r>
    </w:p>
    <w:bookmarkEnd w:id="631"/>
    <w:p>
      <w:pPr>
        <w:spacing w:after="0"/>
        <w:ind w:left="0"/>
        <w:jc w:val="both"/>
      </w:pPr>
      <w:r>
        <w:rPr>
          <w:rFonts w:ascii="Times New Roman"/>
          <w:b w:val="false"/>
          <w:i w:val="false"/>
          <w:color w:val="ff0000"/>
          <w:sz w:val="28"/>
        </w:rPr>
        <w:t xml:space="preserve">
      Сноска. Заголовок главы 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6" w:id="632"/>
    <w:p>
      <w:pPr>
        <w:spacing w:after="0"/>
        <w:ind w:left="0"/>
        <w:jc w:val="both"/>
      </w:pPr>
      <w:r>
        <w:rPr>
          <w:rFonts w:ascii="Times New Roman"/>
          <w:b w:val="false"/>
          <w:i w:val="false"/>
          <w:color w:val="000000"/>
          <w:sz w:val="28"/>
        </w:rPr>
        <w:t>
      52. Для осуществления освидетельствований судовладельцы, администрация судостроительных и судоремонтных предприятий, заводов-изготовителей и других предприятий обеспечивают работникам Регистра судоходства проведение освидетельствований судов, свободный доступ во все места, где выполняются работы, связанные с изготовлением и испытанием материалов и изделий, и обеспечивают все необходимые условия проведения освидетельствований.</w:t>
      </w:r>
    </w:p>
    <w:bookmarkEnd w:id="632"/>
    <w:bookmarkStart w:name="z627" w:id="633"/>
    <w:p>
      <w:pPr>
        <w:spacing w:after="0"/>
        <w:ind w:left="0"/>
        <w:jc w:val="both"/>
      </w:pPr>
      <w:r>
        <w:rPr>
          <w:rFonts w:ascii="Times New Roman"/>
          <w:b w:val="false"/>
          <w:i w:val="false"/>
          <w:color w:val="000000"/>
          <w:sz w:val="28"/>
        </w:rPr>
        <w:t>
      53. Судовладельцы, судостроительные и судоремонтные предприятия, проектные организации и заводы-изготовители руководствуются рекомендациями предъявляемыми Регистром судоходства или его работниками при осуществлении ими своей деятельности.</w:t>
      </w:r>
    </w:p>
    <w:bookmarkEnd w:id="633"/>
    <w:bookmarkStart w:name="z628" w:id="634"/>
    <w:p>
      <w:pPr>
        <w:spacing w:after="0"/>
        <w:ind w:left="0"/>
        <w:jc w:val="both"/>
      </w:pPr>
      <w:r>
        <w:rPr>
          <w:rFonts w:ascii="Times New Roman"/>
          <w:b w:val="false"/>
          <w:i w:val="false"/>
          <w:color w:val="000000"/>
          <w:sz w:val="28"/>
        </w:rPr>
        <w:t>
      54. Изменения, касающиеся материалов и конструкции судна, МСП и изделий, на которые распространяются требования правил, производимые судовладельцами, судостроительными и судоремонтными предприятий, проектными организациями и заводами - изготовителями, одобряются Регистром судоходства до их реализации.</w:t>
      </w:r>
    </w:p>
    <w:bookmarkEnd w:id="634"/>
    <w:bookmarkStart w:name="z629" w:id="635"/>
    <w:p>
      <w:pPr>
        <w:spacing w:after="0"/>
        <w:ind w:left="0"/>
        <w:jc w:val="both"/>
      </w:pPr>
      <w:r>
        <w:rPr>
          <w:rFonts w:ascii="Times New Roman"/>
          <w:b w:val="false"/>
          <w:i w:val="false"/>
          <w:color w:val="000000"/>
          <w:sz w:val="28"/>
        </w:rPr>
        <w:t>
      55. Спорные вопросы, возникающие в процессе деятельности Регистра судоходства, разрешаются путем переговоров.</w:t>
      </w:r>
    </w:p>
    <w:bookmarkEnd w:id="635"/>
    <w:bookmarkStart w:name="z630" w:id="636"/>
    <w:p>
      <w:pPr>
        <w:spacing w:after="0"/>
        <w:ind w:left="0"/>
        <w:jc w:val="both"/>
      </w:pPr>
      <w:r>
        <w:rPr>
          <w:rFonts w:ascii="Times New Roman"/>
          <w:b w:val="false"/>
          <w:i w:val="false"/>
          <w:color w:val="000000"/>
          <w:sz w:val="28"/>
        </w:rPr>
        <w:t>
      В случае недостижения взаимного согласия - споры и разногласия Сторон разрешаются в судебном порядке.</w:t>
      </w:r>
    </w:p>
    <w:bookmarkEnd w:id="636"/>
    <w:bookmarkStart w:name="z631" w:id="637"/>
    <w:p>
      <w:pPr>
        <w:spacing w:after="0"/>
        <w:ind w:left="0"/>
        <w:jc w:val="both"/>
      </w:pPr>
      <w:r>
        <w:rPr>
          <w:rFonts w:ascii="Times New Roman"/>
          <w:b w:val="false"/>
          <w:i w:val="false"/>
          <w:color w:val="000000"/>
          <w:sz w:val="28"/>
        </w:rPr>
        <w:t>
      56. Регистр судоходства отказывает от проведения освидетельствований, если судостроительная, судоремонтная организация или завод-изготовитель систематически нарушает правила, а также, если Сторона, заключившая с Регистром судоходства договор, нарушает его.</w:t>
      </w:r>
    </w:p>
    <w:bookmarkEnd w:id="637"/>
    <w:bookmarkStart w:name="z632" w:id="638"/>
    <w:p>
      <w:pPr>
        <w:spacing w:after="0"/>
        <w:ind w:left="0"/>
        <w:jc w:val="both"/>
      </w:pPr>
      <w:r>
        <w:rPr>
          <w:rFonts w:ascii="Times New Roman"/>
          <w:b w:val="false"/>
          <w:i w:val="false"/>
          <w:color w:val="000000"/>
          <w:sz w:val="28"/>
        </w:rPr>
        <w:t>
      57. При обнаружении дефектов материала или изделия, имеющего действующий документ, Регистр судоходства требует проведения дополнительных испытаний или соответствующих исправлений, а если не устраняются обнаруженные дефекты, аннулирует этот документ.</w:t>
      </w:r>
    </w:p>
    <w:bookmarkEnd w:id="638"/>
    <w:bookmarkStart w:name="z633" w:id="639"/>
    <w:p>
      <w:pPr>
        <w:spacing w:after="0"/>
        <w:ind w:left="0"/>
        <w:jc w:val="both"/>
      </w:pPr>
      <w:r>
        <w:rPr>
          <w:rFonts w:ascii="Times New Roman"/>
          <w:b w:val="false"/>
          <w:i w:val="false"/>
          <w:color w:val="000000"/>
          <w:sz w:val="28"/>
        </w:rPr>
        <w:t>
      58. В соответствующих частях настоящих Правил приводятся перечни материалов и изделий, освидетельствование при изготовлении которых осуществляется Регистром судоходства, а также регламентированные Регистром судоходства технологические процессы.</w:t>
      </w:r>
    </w:p>
    <w:bookmarkEnd w:id="639"/>
    <w:bookmarkStart w:name="z634" w:id="640"/>
    <w:p>
      <w:pPr>
        <w:spacing w:after="0"/>
        <w:ind w:left="0"/>
        <w:jc w:val="both"/>
      </w:pPr>
      <w:r>
        <w:rPr>
          <w:rFonts w:ascii="Times New Roman"/>
          <w:b w:val="false"/>
          <w:i w:val="false"/>
          <w:color w:val="000000"/>
          <w:sz w:val="28"/>
        </w:rPr>
        <w:t>
      Регистр судоходства по согласованию проводит освидетельствования материалов и изделий, не перечисленных в указанных выше перечнях.</w:t>
      </w:r>
    </w:p>
    <w:bookmarkEnd w:id="640"/>
    <w:bookmarkStart w:name="z635" w:id="641"/>
    <w:p>
      <w:pPr>
        <w:spacing w:after="0"/>
        <w:ind w:left="0"/>
        <w:jc w:val="both"/>
      </w:pPr>
      <w:r>
        <w:rPr>
          <w:rFonts w:ascii="Times New Roman"/>
          <w:b w:val="false"/>
          <w:i w:val="false"/>
          <w:color w:val="000000"/>
          <w:sz w:val="28"/>
        </w:rPr>
        <w:t>
      59. Изготовление материалов и изделий, относящихся к компетенции Регистра судоходства, производится по одобренной Регистром судоходства технической документации.</w:t>
      </w:r>
    </w:p>
    <w:bookmarkEnd w:id="641"/>
    <w:bookmarkStart w:name="z636" w:id="642"/>
    <w:p>
      <w:pPr>
        <w:spacing w:after="0"/>
        <w:ind w:left="0"/>
        <w:jc w:val="both"/>
      </w:pPr>
      <w:r>
        <w:rPr>
          <w:rFonts w:ascii="Times New Roman"/>
          <w:b w:val="false"/>
          <w:i w:val="false"/>
          <w:color w:val="000000"/>
          <w:sz w:val="28"/>
        </w:rPr>
        <w:t>
      60. При проведении освидетельствований Регистр судоходства проверяет выполнение конструктивных, технологических и производственных нормативов и процессов, не регламентированных настоящими Правилами, но влияющих на выполнение требований Регистра судоходства.</w:t>
      </w:r>
    </w:p>
    <w:bookmarkEnd w:id="642"/>
    <w:bookmarkStart w:name="z637" w:id="643"/>
    <w:p>
      <w:pPr>
        <w:spacing w:after="0"/>
        <w:ind w:left="0"/>
        <w:jc w:val="both"/>
      </w:pPr>
      <w:r>
        <w:rPr>
          <w:rFonts w:ascii="Times New Roman"/>
          <w:b w:val="false"/>
          <w:i w:val="false"/>
          <w:color w:val="000000"/>
          <w:sz w:val="28"/>
        </w:rPr>
        <w:t>
      61. Применение новых или впервые предъявляемых Регистру судоходства материалов, изделий или технологических процессов, отнесенных к номенклатуре Регистра судоходства, при постройке и ремонте судов, МСП, изготовлении материалов и изделий подлежит одобрению Регистром судоходства. Для этого образцы материала, изделия или новые технологические процессы после одобрения Регистром судоходства технической документации подвергают испытаниям в объеме, согласованном с Регистром судоходства.</w:t>
      </w:r>
    </w:p>
    <w:bookmarkEnd w:id="643"/>
    <w:bookmarkStart w:name="z10713" w:id="644"/>
    <w:p>
      <w:pPr>
        <w:spacing w:after="0"/>
        <w:ind w:left="0"/>
        <w:jc w:val="both"/>
      </w:pPr>
      <w:r>
        <w:rPr>
          <w:rFonts w:ascii="Times New Roman"/>
          <w:b w:val="false"/>
          <w:i w:val="false"/>
          <w:color w:val="000000"/>
          <w:sz w:val="28"/>
        </w:rPr>
        <w:t xml:space="preserve">
      61-1. Для судов, использующих газы или иные виды топлива с низкой температурой вспышки, Регистром судоходства или признанным иностранным классификационным обществом разрабатывается и одобряется план освидетельствований системы хранения топлива в виде сжиженного газа. </w:t>
      </w:r>
    </w:p>
    <w:bookmarkEnd w:id="644"/>
    <w:p>
      <w:pPr>
        <w:spacing w:after="0"/>
        <w:ind w:left="0"/>
        <w:jc w:val="both"/>
      </w:pPr>
      <w:r>
        <w:rPr>
          <w:rFonts w:ascii="Times New Roman"/>
          <w:b w:val="false"/>
          <w:i w:val="false"/>
          <w:color w:val="000000"/>
          <w:sz w:val="28"/>
        </w:rPr>
        <w:t>
      В плане освидетельствований указываются аспекты осмотра и/или подтверждения в процессе освидетельствований системы хранения топлива в виде сжиженного газа на протяжении срока службы системы и, в частности, любые необходимые виды освидетельствований в ходе эксплуатации, технического обслуживания и испытаний, которые были использованы как исходные данные при выборе расчетных параметров системы хранения топлива в виде сжиженного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61-1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4" w:id="645"/>
    <w:p>
      <w:pPr>
        <w:spacing w:after="0"/>
        <w:ind w:left="0"/>
        <w:jc w:val="both"/>
      </w:pPr>
      <w:r>
        <w:rPr>
          <w:rFonts w:ascii="Times New Roman"/>
          <w:b w:val="false"/>
          <w:i w:val="false"/>
          <w:color w:val="000000"/>
          <w:sz w:val="28"/>
        </w:rPr>
        <w:t>
      61-2. Проверки и техническое обслуживание электроустановок во взрывоопасных помещениях выполняются в соответствии с Межгосударственным стандартом ГОСТ IEC 60079-17-2007 "Взрывоопасные среды. Часть 17. Проверки и техническое обслуживание электроустановок".</w:t>
      </w:r>
    </w:p>
    <w:bookmarkEnd w:id="645"/>
    <w:p>
      <w:pPr>
        <w:spacing w:after="0"/>
        <w:ind w:left="0"/>
        <w:jc w:val="both"/>
      </w:pPr>
      <w:r>
        <w:rPr>
          <w:rFonts w:ascii="Times New Roman"/>
          <w:b w:val="false"/>
          <w:i w:val="false"/>
          <w:color w:val="000000"/>
          <w:sz w:val="28"/>
        </w:rPr>
        <w:t>
      Применение эксплуатационных методов или процедур к арматуре, материалу, средству, прибору, единице оборудования, иных, чем указано в Кодексе МГТ,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61-2 в соответствии с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8" w:id="646"/>
    <w:p>
      <w:pPr>
        <w:spacing w:after="0"/>
        <w:ind w:left="0"/>
        <w:jc w:val="both"/>
      </w:pPr>
      <w:r>
        <w:rPr>
          <w:rFonts w:ascii="Times New Roman"/>
          <w:b w:val="false"/>
          <w:i w:val="false"/>
          <w:color w:val="000000"/>
          <w:sz w:val="28"/>
        </w:rPr>
        <w:t>
      62. Освидетельствования Регистром судоходства при изготовлении материалов и изделий проводятся его работниками или поручаются им другой классификационной организации на основании договора о взаимозамещении.</w:t>
      </w:r>
    </w:p>
    <w:bookmarkEnd w:id="646"/>
    <w:bookmarkStart w:name="z639" w:id="647"/>
    <w:p>
      <w:pPr>
        <w:spacing w:after="0"/>
        <w:ind w:left="0"/>
        <w:jc w:val="both"/>
      </w:pPr>
      <w:r>
        <w:rPr>
          <w:rFonts w:ascii="Times New Roman"/>
          <w:b w:val="false"/>
          <w:i w:val="false"/>
          <w:color w:val="000000"/>
          <w:sz w:val="28"/>
        </w:rPr>
        <w:t>
      63. В установленных Регистром судоходства случаях предприятие-изготовитель подлежит освидетельствованию Регистром судоходства для проверки предприятия изготавливать материалы и изделия, отвечающие требованиям Регистра судоходства.</w:t>
      </w:r>
    </w:p>
    <w:bookmarkEnd w:id="647"/>
    <w:bookmarkStart w:name="z640" w:id="648"/>
    <w:p>
      <w:pPr>
        <w:spacing w:after="0"/>
        <w:ind w:left="0"/>
        <w:jc w:val="both"/>
      </w:pPr>
      <w:r>
        <w:rPr>
          <w:rFonts w:ascii="Times New Roman"/>
          <w:b w:val="false"/>
          <w:i w:val="false"/>
          <w:color w:val="000000"/>
          <w:sz w:val="28"/>
        </w:rPr>
        <w:t>
      64. В процессе освидетельствований при изготовлении материалы и изделия подвергаются необходимым освидетельствованиям и испытаниям в установленном Регистром судоходства порядке и объеме.</w:t>
      </w:r>
    </w:p>
    <w:bookmarkEnd w:id="648"/>
    <w:bookmarkStart w:name="z641" w:id="649"/>
    <w:p>
      <w:pPr>
        <w:spacing w:after="0"/>
        <w:ind w:left="0"/>
        <w:jc w:val="both"/>
      </w:pPr>
      <w:r>
        <w:rPr>
          <w:rFonts w:ascii="Times New Roman"/>
          <w:b w:val="false"/>
          <w:i w:val="false"/>
          <w:color w:val="000000"/>
          <w:sz w:val="28"/>
        </w:rPr>
        <w:t>
      65. Материалы и изделия, изготовленные в соответствии с требованиями Регистра судоходства, имеют установленные Регистром судоходства документы и в необходимых случаях клейма, и маркировку, позволяющие установить их соответствие этим документам.</w:t>
      </w:r>
    </w:p>
    <w:bookmarkEnd w:id="649"/>
    <w:bookmarkStart w:name="z642" w:id="650"/>
    <w:p>
      <w:pPr>
        <w:spacing w:after="0"/>
        <w:ind w:left="0"/>
        <w:jc w:val="both"/>
      </w:pPr>
      <w:r>
        <w:rPr>
          <w:rFonts w:ascii="Times New Roman"/>
          <w:b w:val="false"/>
          <w:i w:val="false"/>
          <w:color w:val="000000"/>
          <w:sz w:val="28"/>
        </w:rPr>
        <w:t>
      66. В обоснованных случаях, Регистр судоходства для отдельных изделий устанавливает специальные условия для их применения.</w:t>
      </w:r>
    </w:p>
    <w:bookmarkEnd w:id="650"/>
    <w:bookmarkStart w:name="z643" w:id="651"/>
    <w:p>
      <w:pPr>
        <w:spacing w:after="0"/>
        <w:ind w:left="0"/>
        <w:jc w:val="both"/>
      </w:pPr>
      <w:r>
        <w:rPr>
          <w:rFonts w:ascii="Times New Roman"/>
          <w:b w:val="false"/>
          <w:i w:val="false"/>
          <w:color w:val="000000"/>
          <w:sz w:val="28"/>
        </w:rPr>
        <w:t>
      67. Освидетельствования при постройке, восстановлении или переоборудовании судов и МСП проводят работники Регистра судоходства на основании одобренной Регистром судоходства технической документации. Объем осмотров, измерений и испытаний, проводимых при освидетельствованиях, устанавливается Регистром судоходства на основании действующих инструкций и в зависимости от конкретных условий.</w:t>
      </w:r>
    </w:p>
    <w:bookmarkEnd w:id="651"/>
    <w:bookmarkStart w:name="z644" w:id="652"/>
    <w:p>
      <w:pPr>
        <w:spacing w:after="0"/>
        <w:ind w:left="0"/>
        <w:jc w:val="both"/>
      </w:pPr>
      <w:r>
        <w:rPr>
          <w:rFonts w:ascii="Times New Roman"/>
          <w:b w:val="false"/>
          <w:i w:val="false"/>
          <w:color w:val="000000"/>
          <w:sz w:val="28"/>
        </w:rPr>
        <w:t>
      68. Освидетельствование судов и МСП в эксплуатации проводится в соответствии с Правилами Регистра судоходства.</w:t>
      </w:r>
    </w:p>
    <w:bookmarkEnd w:id="652"/>
    <w:bookmarkStart w:name="z645" w:id="653"/>
    <w:p>
      <w:pPr>
        <w:spacing w:after="0"/>
        <w:ind w:left="0"/>
        <w:jc w:val="left"/>
      </w:pPr>
      <w:r>
        <w:rPr>
          <w:rFonts w:ascii="Times New Roman"/>
          <w:b/>
          <w:i w:val="false"/>
          <w:color w:val="000000"/>
        </w:rPr>
        <w:t xml:space="preserve"> Глава 4. Техническое наблюдение</w:t>
      </w:r>
    </w:p>
    <w:bookmarkEnd w:id="653"/>
    <w:p>
      <w:pPr>
        <w:spacing w:after="0"/>
        <w:ind w:left="0"/>
        <w:jc w:val="both"/>
      </w:pPr>
      <w:r>
        <w:rPr>
          <w:rFonts w:ascii="Times New Roman"/>
          <w:b w:val="false"/>
          <w:i w:val="false"/>
          <w:color w:val="ff0000"/>
          <w:sz w:val="28"/>
        </w:rPr>
        <w:t xml:space="preserve">
      Сноска. Заголовок главы 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6" w:id="654"/>
    <w:p>
      <w:pPr>
        <w:spacing w:after="0"/>
        <w:ind w:left="0"/>
        <w:jc w:val="both"/>
      </w:pPr>
      <w:r>
        <w:rPr>
          <w:rFonts w:ascii="Times New Roman"/>
          <w:b w:val="false"/>
          <w:i w:val="false"/>
          <w:color w:val="000000"/>
          <w:sz w:val="28"/>
        </w:rPr>
        <w:t>
      69. Техническое наблюдение Регистром судоходства осуществляется по заявкам организаций на договорной основе.</w:t>
      </w:r>
    </w:p>
    <w:bookmarkEnd w:id="654"/>
    <w:bookmarkStart w:name="z647" w:id="655"/>
    <w:p>
      <w:pPr>
        <w:spacing w:after="0"/>
        <w:ind w:left="0"/>
        <w:jc w:val="both"/>
      </w:pPr>
      <w:r>
        <w:rPr>
          <w:rFonts w:ascii="Times New Roman"/>
          <w:b w:val="false"/>
          <w:i w:val="false"/>
          <w:color w:val="000000"/>
          <w:sz w:val="28"/>
        </w:rPr>
        <w:t>
      70. Номенклатура объектов технического наблюдения, объем и методы проверок, измерений и испытаний устанавливаются Правилами Регистра судоходства и в каждом случае подлежат уточнению при заключении договора с учетом конкретных условий производства.</w:t>
      </w:r>
    </w:p>
    <w:bookmarkEnd w:id="655"/>
    <w:bookmarkStart w:name="z648" w:id="656"/>
    <w:p>
      <w:pPr>
        <w:spacing w:after="0"/>
        <w:ind w:left="0"/>
        <w:jc w:val="both"/>
      </w:pPr>
      <w:r>
        <w:rPr>
          <w:rFonts w:ascii="Times New Roman"/>
          <w:b w:val="false"/>
          <w:i w:val="false"/>
          <w:color w:val="000000"/>
          <w:sz w:val="28"/>
        </w:rPr>
        <w:t>
      71. К договору на техническое наблюдение прилагается перечень контрольных проверок объектов и технологических операций, предъявляемый работнику Регистра судоходства.</w:t>
      </w:r>
    </w:p>
    <w:bookmarkEnd w:id="656"/>
    <w:bookmarkStart w:name="z649" w:id="657"/>
    <w:p>
      <w:pPr>
        <w:spacing w:after="0"/>
        <w:ind w:left="0"/>
        <w:jc w:val="both"/>
      </w:pPr>
      <w:r>
        <w:rPr>
          <w:rFonts w:ascii="Times New Roman"/>
          <w:b w:val="false"/>
          <w:i w:val="false"/>
          <w:color w:val="000000"/>
          <w:sz w:val="28"/>
        </w:rPr>
        <w:t>
      Указанные проверки осуществляются персоналом судостроительных или судоремонтных организаций и оформляются соответствующими документами.</w:t>
      </w:r>
    </w:p>
    <w:bookmarkEnd w:id="657"/>
    <w:bookmarkStart w:name="z650" w:id="658"/>
    <w:p>
      <w:pPr>
        <w:spacing w:after="0"/>
        <w:ind w:left="0"/>
        <w:jc w:val="both"/>
      </w:pPr>
      <w:r>
        <w:rPr>
          <w:rFonts w:ascii="Times New Roman"/>
          <w:b w:val="false"/>
          <w:i w:val="false"/>
          <w:color w:val="000000"/>
          <w:sz w:val="28"/>
        </w:rPr>
        <w:t>
      72. Судостроительные или судоремонтные организации обеспечивают работнику Регистра судоходства для осуществления технического наблюдения, следующие условия:</w:t>
      </w:r>
    </w:p>
    <w:bookmarkEnd w:id="658"/>
    <w:bookmarkStart w:name="z651" w:id="659"/>
    <w:p>
      <w:pPr>
        <w:spacing w:after="0"/>
        <w:ind w:left="0"/>
        <w:jc w:val="both"/>
      </w:pPr>
      <w:r>
        <w:rPr>
          <w:rFonts w:ascii="Times New Roman"/>
          <w:b w:val="false"/>
          <w:i w:val="false"/>
          <w:color w:val="000000"/>
          <w:sz w:val="28"/>
        </w:rPr>
        <w:t>
      1) представляют требуемую для работы техническую документацию;</w:t>
      </w:r>
    </w:p>
    <w:bookmarkEnd w:id="659"/>
    <w:bookmarkStart w:name="z652" w:id="660"/>
    <w:p>
      <w:pPr>
        <w:spacing w:after="0"/>
        <w:ind w:left="0"/>
        <w:jc w:val="both"/>
      </w:pPr>
      <w:r>
        <w:rPr>
          <w:rFonts w:ascii="Times New Roman"/>
          <w:b w:val="false"/>
          <w:i w:val="false"/>
          <w:color w:val="000000"/>
          <w:sz w:val="28"/>
        </w:rPr>
        <w:t>
      2) готовят объекты к проведению проверок;</w:t>
      </w:r>
    </w:p>
    <w:bookmarkEnd w:id="660"/>
    <w:bookmarkStart w:name="z653" w:id="661"/>
    <w:p>
      <w:pPr>
        <w:spacing w:after="0"/>
        <w:ind w:left="0"/>
        <w:jc w:val="both"/>
      </w:pPr>
      <w:r>
        <w:rPr>
          <w:rFonts w:ascii="Times New Roman"/>
          <w:b w:val="false"/>
          <w:i w:val="false"/>
          <w:color w:val="000000"/>
          <w:sz w:val="28"/>
        </w:rPr>
        <w:t>
      3) обеспечивают безопасность проведения технического наблюдения работником Регистра судоходства;</w:t>
      </w:r>
    </w:p>
    <w:bookmarkEnd w:id="661"/>
    <w:bookmarkStart w:name="z654" w:id="662"/>
    <w:p>
      <w:pPr>
        <w:spacing w:after="0"/>
        <w:ind w:left="0"/>
        <w:jc w:val="both"/>
      </w:pPr>
      <w:r>
        <w:rPr>
          <w:rFonts w:ascii="Times New Roman"/>
          <w:b w:val="false"/>
          <w:i w:val="false"/>
          <w:color w:val="000000"/>
          <w:sz w:val="28"/>
        </w:rPr>
        <w:t>
      4) обеспечивают присутствие должностных лиц, уполномоченных предъявлять работнику Регистра судоходства объекты к проверкам;</w:t>
      </w:r>
    </w:p>
    <w:bookmarkEnd w:id="662"/>
    <w:bookmarkStart w:name="z655" w:id="663"/>
    <w:p>
      <w:pPr>
        <w:spacing w:after="0"/>
        <w:ind w:left="0"/>
        <w:jc w:val="both"/>
      </w:pPr>
      <w:r>
        <w:rPr>
          <w:rFonts w:ascii="Times New Roman"/>
          <w:b w:val="false"/>
          <w:i w:val="false"/>
          <w:color w:val="000000"/>
          <w:sz w:val="28"/>
        </w:rPr>
        <w:t>
      5) своевременно направляют заявку в Регистр судоходства с указанием даты и места проведения проверок и испытаний объектов.</w:t>
      </w:r>
    </w:p>
    <w:bookmarkEnd w:id="663"/>
    <w:bookmarkStart w:name="z656" w:id="664"/>
    <w:p>
      <w:pPr>
        <w:spacing w:after="0"/>
        <w:ind w:left="0"/>
        <w:jc w:val="both"/>
      </w:pPr>
      <w:r>
        <w:rPr>
          <w:rFonts w:ascii="Times New Roman"/>
          <w:b w:val="false"/>
          <w:i w:val="false"/>
          <w:color w:val="000000"/>
          <w:sz w:val="28"/>
        </w:rPr>
        <w:t>
      73. При несоблюдении указанных условий проведения технического наблюдения работник Регистра судоходства отказывается от проведения проверок и участия в испытаниях и в срок, установленный Правилами Регистра судоходства, направляет в Регистр судоходства письменные обоснования отказа от проведения технического наблюдения.</w:t>
      </w:r>
    </w:p>
    <w:bookmarkEnd w:id="664"/>
    <w:bookmarkStart w:name="z657" w:id="665"/>
    <w:p>
      <w:pPr>
        <w:spacing w:after="0"/>
        <w:ind w:left="0"/>
        <w:jc w:val="both"/>
      </w:pPr>
      <w:r>
        <w:rPr>
          <w:rFonts w:ascii="Times New Roman"/>
          <w:b w:val="false"/>
          <w:i w:val="false"/>
          <w:color w:val="000000"/>
          <w:sz w:val="28"/>
        </w:rPr>
        <w:t>
      74. Материалы и изделия допускаются к установке на судах только при наличии на них документов Регистра судоходства.</w:t>
      </w:r>
    </w:p>
    <w:bookmarkEnd w:id="665"/>
    <w:bookmarkStart w:name="z658" w:id="666"/>
    <w:p>
      <w:pPr>
        <w:spacing w:after="0"/>
        <w:ind w:left="0"/>
        <w:jc w:val="both"/>
      </w:pPr>
      <w:r>
        <w:rPr>
          <w:rFonts w:ascii="Times New Roman"/>
          <w:b w:val="false"/>
          <w:i w:val="false"/>
          <w:color w:val="000000"/>
          <w:sz w:val="28"/>
        </w:rPr>
        <w:t>
      75. По согласованию с Регистром судоходства вместо выдачи документов на материалы и изделия, устанавливаемые на судах, допускается подтверждение документов организации-изготовителя на материалы и изделия массового выпуска, включая сменно-запасные части, путем их подписания и заверения личным штампом работника Регистра судоходства.</w:t>
      </w:r>
    </w:p>
    <w:bookmarkEnd w:id="666"/>
    <w:bookmarkStart w:name="z659" w:id="667"/>
    <w:p>
      <w:pPr>
        <w:spacing w:after="0"/>
        <w:ind w:left="0"/>
        <w:jc w:val="both"/>
      </w:pPr>
      <w:r>
        <w:rPr>
          <w:rFonts w:ascii="Times New Roman"/>
          <w:b w:val="false"/>
          <w:i w:val="false"/>
          <w:color w:val="000000"/>
          <w:sz w:val="28"/>
        </w:rPr>
        <w:t>
      76. Новые и впервые предъявляемые Регистру судоходства типовые материалы и изделия согласовываются Регистром судоходства для применения по назначению.</w:t>
      </w:r>
    </w:p>
    <w:bookmarkEnd w:id="667"/>
    <w:bookmarkStart w:name="z660" w:id="668"/>
    <w:p>
      <w:pPr>
        <w:spacing w:after="0"/>
        <w:ind w:left="0"/>
        <w:jc w:val="left"/>
      </w:pPr>
      <w:r>
        <w:rPr>
          <w:rFonts w:ascii="Times New Roman"/>
          <w:b/>
          <w:i w:val="false"/>
          <w:color w:val="000000"/>
        </w:rPr>
        <w:t xml:space="preserve"> Глава 5. Техническая документация на суда</w:t>
      </w:r>
    </w:p>
    <w:bookmarkEnd w:id="668"/>
    <w:p>
      <w:pPr>
        <w:spacing w:after="0"/>
        <w:ind w:left="0"/>
        <w:jc w:val="both"/>
      </w:pPr>
      <w:r>
        <w:rPr>
          <w:rFonts w:ascii="Times New Roman"/>
          <w:b w:val="false"/>
          <w:i w:val="false"/>
          <w:color w:val="ff0000"/>
          <w:sz w:val="28"/>
        </w:rPr>
        <w:t xml:space="preserve">
      Сноска. Заголовок главы 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1" w:id="669"/>
    <w:p>
      <w:pPr>
        <w:spacing w:after="0"/>
        <w:ind w:left="0"/>
        <w:jc w:val="left"/>
      </w:pPr>
      <w:r>
        <w:rPr>
          <w:rFonts w:ascii="Times New Roman"/>
          <w:b/>
          <w:i w:val="false"/>
          <w:color w:val="000000"/>
        </w:rPr>
        <w:t xml:space="preserve"> Параграф 1. Общие положения</w:t>
      </w:r>
    </w:p>
    <w:bookmarkEnd w:id="669"/>
    <w:bookmarkStart w:name="z662" w:id="670"/>
    <w:p>
      <w:pPr>
        <w:spacing w:after="0"/>
        <w:ind w:left="0"/>
        <w:jc w:val="both"/>
      </w:pPr>
      <w:r>
        <w:rPr>
          <w:rFonts w:ascii="Times New Roman"/>
          <w:b w:val="false"/>
          <w:i w:val="false"/>
          <w:color w:val="000000"/>
          <w:sz w:val="28"/>
        </w:rPr>
        <w:t>
      77. Общие требования, относящиеся к рассмотрению и одобрению (согласованию) технической документации на суда, материалы и изделия, приведены настоящих Правилах.</w:t>
      </w:r>
    </w:p>
    <w:bookmarkEnd w:id="670"/>
    <w:bookmarkStart w:name="z663" w:id="671"/>
    <w:p>
      <w:pPr>
        <w:spacing w:after="0"/>
        <w:ind w:left="0"/>
        <w:jc w:val="both"/>
      </w:pPr>
      <w:r>
        <w:rPr>
          <w:rFonts w:ascii="Times New Roman"/>
          <w:b w:val="false"/>
          <w:i w:val="false"/>
          <w:color w:val="000000"/>
          <w:sz w:val="28"/>
        </w:rPr>
        <w:t>
      78. В настоящей главе Правил приведены перечни документации технического и техно- рабочего проектов, а также рабочей документации для судна в постройке, представляемой Регистру судоходства на рассмотрение и одобрение.</w:t>
      </w:r>
    </w:p>
    <w:bookmarkEnd w:id="671"/>
    <w:bookmarkStart w:name="z664" w:id="672"/>
    <w:p>
      <w:pPr>
        <w:spacing w:after="0"/>
        <w:ind w:left="0"/>
        <w:jc w:val="both"/>
      </w:pPr>
      <w:r>
        <w:rPr>
          <w:rFonts w:ascii="Times New Roman"/>
          <w:b w:val="false"/>
          <w:i w:val="false"/>
          <w:color w:val="000000"/>
          <w:sz w:val="28"/>
        </w:rPr>
        <w:t>
      79. Требования к объему технической документации переоборудуемого, ремонтируемого или восстанавливаемого судна, при переклассификации судна, а также при первоначальном освидетельствовании судна, построенного без технического наблюдения Регистра судоходства или другой классификационной организации, приведены настоящих Правилах.</w:t>
      </w:r>
    </w:p>
    <w:bookmarkEnd w:id="672"/>
    <w:bookmarkStart w:name="z665" w:id="673"/>
    <w:p>
      <w:pPr>
        <w:spacing w:after="0"/>
        <w:ind w:left="0"/>
        <w:jc w:val="both"/>
      </w:pPr>
      <w:r>
        <w:rPr>
          <w:rFonts w:ascii="Times New Roman"/>
          <w:b w:val="false"/>
          <w:i w:val="false"/>
          <w:color w:val="000000"/>
          <w:sz w:val="28"/>
        </w:rPr>
        <w:t>
      80. Требования к объему технической документации на материалы и изделия для судов приведены в настоящих Правилах.</w:t>
      </w:r>
    </w:p>
    <w:bookmarkEnd w:id="673"/>
    <w:bookmarkStart w:name="z666" w:id="674"/>
    <w:p>
      <w:pPr>
        <w:spacing w:after="0"/>
        <w:ind w:left="0"/>
        <w:jc w:val="left"/>
      </w:pPr>
      <w:r>
        <w:rPr>
          <w:rFonts w:ascii="Times New Roman"/>
          <w:b/>
          <w:i w:val="false"/>
          <w:color w:val="000000"/>
        </w:rPr>
        <w:t xml:space="preserve"> Параграф 2. Документация технического и технорабочего</w:t>
      </w:r>
      <w:r>
        <w:br/>
      </w:r>
      <w:r>
        <w:rPr>
          <w:rFonts w:ascii="Times New Roman"/>
          <w:b/>
          <w:i w:val="false"/>
          <w:color w:val="000000"/>
        </w:rPr>
        <w:t>проектов для судна в постройке</w:t>
      </w:r>
    </w:p>
    <w:bookmarkEnd w:id="674"/>
    <w:bookmarkStart w:name="z667" w:id="675"/>
    <w:p>
      <w:pPr>
        <w:spacing w:after="0"/>
        <w:ind w:left="0"/>
        <w:jc w:val="both"/>
      </w:pPr>
      <w:r>
        <w:rPr>
          <w:rFonts w:ascii="Times New Roman"/>
          <w:b w:val="false"/>
          <w:i w:val="false"/>
          <w:color w:val="000000"/>
          <w:sz w:val="28"/>
        </w:rPr>
        <w:t>
      81. До начала постройки судна на рассмотрение Регистру судоходства представляется проектная техническая документация, которая позволяет убедиться, что требования Регистра судоходства применительно к данному судну выполнены.</w:t>
      </w:r>
    </w:p>
    <w:bookmarkEnd w:id="675"/>
    <w:bookmarkStart w:name="z668" w:id="676"/>
    <w:p>
      <w:pPr>
        <w:spacing w:after="0"/>
        <w:ind w:left="0"/>
        <w:jc w:val="both"/>
      </w:pPr>
      <w:r>
        <w:rPr>
          <w:rFonts w:ascii="Times New Roman"/>
          <w:b w:val="false"/>
          <w:i w:val="false"/>
          <w:color w:val="000000"/>
          <w:sz w:val="28"/>
        </w:rPr>
        <w:t>
      82. Представляемая на рассмотрение следующая документация передается в трех экземплярах, укомплектованной перечнем, с учетом особенностей и типа судна:</w:t>
      </w:r>
    </w:p>
    <w:bookmarkEnd w:id="676"/>
    <w:bookmarkStart w:name="z669" w:id="677"/>
    <w:p>
      <w:pPr>
        <w:spacing w:after="0"/>
        <w:ind w:left="0"/>
        <w:jc w:val="both"/>
      </w:pPr>
      <w:r>
        <w:rPr>
          <w:rFonts w:ascii="Times New Roman"/>
          <w:b w:val="false"/>
          <w:i w:val="false"/>
          <w:color w:val="000000"/>
          <w:sz w:val="28"/>
        </w:rPr>
        <w:t>
      1) спецификация общесудовая (штамп об одобрении не ставится);</w:t>
      </w:r>
    </w:p>
    <w:bookmarkEnd w:id="677"/>
    <w:bookmarkStart w:name="z670" w:id="678"/>
    <w:p>
      <w:pPr>
        <w:spacing w:after="0"/>
        <w:ind w:left="0"/>
        <w:jc w:val="both"/>
      </w:pPr>
      <w:r>
        <w:rPr>
          <w:rFonts w:ascii="Times New Roman"/>
          <w:b w:val="false"/>
          <w:i w:val="false"/>
          <w:color w:val="000000"/>
          <w:sz w:val="28"/>
        </w:rPr>
        <w:t>
      2) чертежи общего расположения с указанием путей эвакуации;</w:t>
      </w:r>
    </w:p>
    <w:bookmarkEnd w:id="678"/>
    <w:bookmarkStart w:name="z671" w:id="679"/>
    <w:p>
      <w:pPr>
        <w:spacing w:after="0"/>
        <w:ind w:left="0"/>
        <w:jc w:val="both"/>
      </w:pPr>
      <w:r>
        <w:rPr>
          <w:rFonts w:ascii="Times New Roman"/>
          <w:b w:val="false"/>
          <w:i w:val="false"/>
          <w:color w:val="000000"/>
          <w:sz w:val="28"/>
        </w:rPr>
        <w:t>
      3) перечень комплектующего оборудования и материалов с указанием основных технических данных, предприятия-изготовителя и наличия одобрения Регистром судоходства или другим компетентным органом (штамп об одобрении не ставится);</w:t>
      </w:r>
    </w:p>
    <w:bookmarkEnd w:id="679"/>
    <w:bookmarkStart w:name="z672" w:id="680"/>
    <w:p>
      <w:pPr>
        <w:spacing w:after="0"/>
        <w:ind w:left="0"/>
        <w:jc w:val="both"/>
      </w:pPr>
      <w:r>
        <w:rPr>
          <w:rFonts w:ascii="Times New Roman"/>
          <w:b w:val="false"/>
          <w:i w:val="false"/>
          <w:color w:val="000000"/>
          <w:sz w:val="28"/>
        </w:rPr>
        <w:t>
      4) чертеж взрывоопасных зон и пространств;</w:t>
      </w:r>
    </w:p>
    <w:bookmarkEnd w:id="680"/>
    <w:bookmarkStart w:name="z673" w:id="681"/>
    <w:p>
      <w:pPr>
        <w:spacing w:after="0"/>
        <w:ind w:left="0"/>
        <w:jc w:val="both"/>
      </w:pPr>
      <w:r>
        <w:rPr>
          <w:rFonts w:ascii="Times New Roman"/>
          <w:b w:val="false"/>
          <w:i w:val="false"/>
          <w:color w:val="000000"/>
          <w:sz w:val="28"/>
        </w:rPr>
        <w:t>
      5) перечень режимных мероприятий, выполняемых судовладельцем при подготовке нефтесборного судна к выполнению операций по ликвидации разлива нефти;</w:t>
      </w:r>
    </w:p>
    <w:bookmarkEnd w:id="681"/>
    <w:bookmarkStart w:name="z674" w:id="682"/>
    <w:p>
      <w:pPr>
        <w:spacing w:after="0"/>
        <w:ind w:left="0"/>
        <w:jc w:val="both"/>
      </w:pPr>
      <w:r>
        <w:rPr>
          <w:rFonts w:ascii="Times New Roman"/>
          <w:b w:val="false"/>
          <w:i w:val="false"/>
          <w:color w:val="000000"/>
          <w:sz w:val="28"/>
        </w:rPr>
        <w:t>
      6) перечень мероприятий и технических решений, обеспечивающих электростатическую и гальваническую искробезопасность, включая описания и схемы размещения конструктивных средств и оборудования, предназначенных для этих целей;</w:t>
      </w:r>
    </w:p>
    <w:bookmarkEnd w:id="682"/>
    <w:bookmarkStart w:name="z675" w:id="683"/>
    <w:p>
      <w:pPr>
        <w:spacing w:after="0"/>
        <w:ind w:left="0"/>
        <w:jc w:val="both"/>
      </w:pPr>
      <w:r>
        <w:rPr>
          <w:rFonts w:ascii="Times New Roman"/>
          <w:b w:val="false"/>
          <w:i w:val="false"/>
          <w:color w:val="000000"/>
          <w:sz w:val="28"/>
        </w:rPr>
        <w:t>
      7) чертеж размещения на судне опознавательного номера ИМО в соответствии с требованиями Правил XI-1/3 Международной конвенции по охране человеческой жизни на море 1974 года с поправками (далее – СОЛАС-74) (для всех пассажирских судов валовой вместимостью 100 и более и для всех грузовых судов валовой вместимостью 300 и более).</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6" w:id="684"/>
    <w:p>
      <w:pPr>
        <w:spacing w:after="0"/>
        <w:ind w:left="0"/>
        <w:jc w:val="both"/>
      </w:pPr>
      <w:r>
        <w:rPr>
          <w:rFonts w:ascii="Times New Roman"/>
          <w:b w:val="false"/>
          <w:i w:val="false"/>
          <w:color w:val="000000"/>
          <w:sz w:val="28"/>
        </w:rPr>
        <w:t>
      83. При последующем одобрении рабочей документации по корпусу представляются (на всех перечисленных конструктивных чертежах указывают размеры связей корпуса, их материал с указанием категорий согласно раздела 14 настоящих Правил, а также приводят характерные сечения и узлы, типы и размеры угловых швов):</w:t>
      </w:r>
    </w:p>
    <w:bookmarkEnd w:id="684"/>
    <w:bookmarkStart w:name="z677" w:id="685"/>
    <w:p>
      <w:pPr>
        <w:spacing w:after="0"/>
        <w:ind w:left="0"/>
        <w:jc w:val="both"/>
      </w:pPr>
      <w:r>
        <w:rPr>
          <w:rFonts w:ascii="Times New Roman"/>
          <w:b w:val="false"/>
          <w:i w:val="false"/>
          <w:color w:val="000000"/>
          <w:sz w:val="28"/>
        </w:rPr>
        <w:t>
      1) определение размеров связей конструкций корпуса, а также расчеты общей продольной прочности и устойчивости связей для всех спецификационных случаев загрузки судна, включая случаи погрузки и перевозки незерновых навалочных грузов (штамп об одобрении не ставится);</w:t>
      </w:r>
    </w:p>
    <w:bookmarkEnd w:id="685"/>
    <w:bookmarkStart w:name="z678" w:id="686"/>
    <w:p>
      <w:pPr>
        <w:spacing w:after="0"/>
        <w:ind w:left="0"/>
        <w:jc w:val="both"/>
      </w:pPr>
      <w:r>
        <w:rPr>
          <w:rFonts w:ascii="Times New Roman"/>
          <w:b w:val="false"/>
          <w:i w:val="false"/>
          <w:color w:val="000000"/>
          <w:sz w:val="28"/>
        </w:rPr>
        <w:t>
      2) мидель-шпангоут и типовые поперечные сечения с указанием расстояний между основными связями продольного и поперечного набора, главных размерений судна и их соотношений, символа класса судна;</w:t>
      </w:r>
    </w:p>
    <w:bookmarkEnd w:id="686"/>
    <w:bookmarkStart w:name="z679" w:id="687"/>
    <w:p>
      <w:pPr>
        <w:spacing w:after="0"/>
        <w:ind w:left="0"/>
        <w:jc w:val="both"/>
      </w:pPr>
      <w:r>
        <w:rPr>
          <w:rFonts w:ascii="Times New Roman"/>
          <w:b w:val="false"/>
          <w:i w:val="false"/>
          <w:color w:val="000000"/>
          <w:sz w:val="28"/>
        </w:rPr>
        <w:t>
      3) конструктивный продольный разрез с указанием шпации, границ участков длины судна, положения непроницаемых переборок, пиллерсов, расположения надстроек и рубок;</w:t>
      </w:r>
    </w:p>
    <w:bookmarkEnd w:id="687"/>
    <w:bookmarkStart w:name="z680" w:id="688"/>
    <w:p>
      <w:pPr>
        <w:spacing w:after="0"/>
        <w:ind w:left="0"/>
        <w:jc w:val="both"/>
      </w:pPr>
      <w:r>
        <w:rPr>
          <w:rFonts w:ascii="Times New Roman"/>
          <w:b w:val="false"/>
          <w:i w:val="false"/>
          <w:color w:val="000000"/>
          <w:sz w:val="28"/>
        </w:rPr>
        <w:t>
      4) конструктивные чертежи палуб и платформ с указанием величин расчетных нагрузок (в том числе от автопогрузчиков и контейнеров), положения и размеров вырезов, их подкреплений, конструкций окончания продольных комингсов;</w:t>
      </w:r>
    </w:p>
    <w:bookmarkEnd w:id="688"/>
    <w:bookmarkStart w:name="z681" w:id="689"/>
    <w:p>
      <w:pPr>
        <w:spacing w:after="0"/>
        <w:ind w:left="0"/>
        <w:jc w:val="both"/>
      </w:pPr>
      <w:r>
        <w:rPr>
          <w:rFonts w:ascii="Times New Roman"/>
          <w:b w:val="false"/>
          <w:i w:val="false"/>
          <w:color w:val="000000"/>
          <w:sz w:val="28"/>
        </w:rPr>
        <w:t>
      5) конструктивный чертеж двойного дна (днища). Предоставляют сечения по конструкции кингстонных ящиков и указывают давление в системе продувания. Для судов, предназначенных для перевозки навалочных грузов, и рудовозов указывается допустимая нагрузка на второе дно;</w:t>
      </w:r>
    </w:p>
    <w:bookmarkEnd w:id="689"/>
    <w:bookmarkStart w:name="z682" w:id="690"/>
    <w:p>
      <w:pPr>
        <w:spacing w:after="0"/>
        <w:ind w:left="0"/>
        <w:jc w:val="both"/>
      </w:pPr>
      <w:r>
        <w:rPr>
          <w:rFonts w:ascii="Times New Roman"/>
          <w:b w:val="false"/>
          <w:i w:val="false"/>
          <w:color w:val="000000"/>
          <w:sz w:val="28"/>
        </w:rPr>
        <w:t>
      6) растяжка наружной обшивки с указанием границ районов корпуса судна, положения и размеров вырезов в наружной обшивке, а для судна с ледовыми усилениями - также верхней и нижней границ ледового пояса и соответствующих им осадок носом и кормой (с учетом дифферента), расположения промежуточных шпангоутов. Для судов из стеклопластика растяжка наружной обшивки представляется, если обшивка имеет разную толщину;</w:t>
      </w:r>
    </w:p>
    <w:bookmarkEnd w:id="690"/>
    <w:bookmarkStart w:name="z683" w:id="691"/>
    <w:p>
      <w:pPr>
        <w:spacing w:after="0"/>
        <w:ind w:left="0"/>
        <w:jc w:val="both"/>
      </w:pPr>
      <w:r>
        <w:rPr>
          <w:rFonts w:ascii="Times New Roman"/>
          <w:b w:val="false"/>
          <w:i w:val="false"/>
          <w:color w:val="000000"/>
          <w:sz w:val="28"/>
        </w:rPr>
        <w:t>
      7) чертежи продольных и поперечных переборок, в том числе отбойных переборок цистерн (для цистерн указываются высоты переливных и воздушных труб);</w:t>
      </w:r>
    </w:p>
    <w:bookmarkEnd w:id="691"/>
    <w:bookmarkStart w:name="z684" w:id="692"/>
    <w:p>
      <w:pPr>
        <w:spacing w:after="0"/>
        <w:ind w:left="0"/>
        <w:jc w:val="both"/>
      </w:pPr>
      <w:r>
        <w:rPr>
          <w:rFonts w:ascii="Times New Roman"/>
          <w:b w:val="false"/>
          <w:i w:val="false"/>
          <w:color w:val="000000"/>
          <w:sz w:val="28"/>
        </w:rPr>
        <w:t>
      8) чертеж набора кормовой части и ахтерштевня;</w:t>
      </w:r>
    </w:p>
    <w:bookmarkEnd w:id="692"/>
    <w:bookmarkStart w:name="z685" w:id="693"/>
    <w:p>
      <w:pPr>
        <w:spacing w:after="0"/>
        <w:ind w:left="0"/>
        <w:jc w:val="both"/>
      </w:pPr>
      <w:r>
        <w:rPr>
          <w:rFonts w:ascii="Times New Roman"/>
          <w:b w:val="false"/>
          <w:i w:val="false"/>
          <w:color w:val="000000"/>
          <w:sz w:val="28"/>
        </w:rPr>
        <w:t>
      9) чертеж набора носовой части и форштевня;</w:t>
      </w:r>
    </w:p>
    <w:bookmarkEnd w:id="693"/>
    <w:bookmarkStart w:name="z686" w:id="694"/>
    <w:p>
      <w:pPr>
        <w:spacing w:after="0"/>
        <w:ind w:left="0"/>
        <w:jc w:val="both"/>
      </w:pPr>
      <w:r>
        <w:rPr>
          <w:rFonts w:ascii="Times New Roman"/>
          <w:b w:val="false"/>
          <w:i w:val="false"/>
          <w:color w:val="000000"/>
          <w:sz w:val="28"/>
        </w:rPr>
        <w:t>
      10) чертежи кронштейнов и выкружек гребных валов, а также неповоротных насадок;</w:t>
      </w:r>
    </w:p>
    <w:bookmarkEnd w:id="694"/>
    <w:bookmarkStart w:name="z687" w:id="695"/>
    <w:p>
      <w:pPr>
        <w:spacing w:after="0"/>
        <w:ind w:left="0"/>
        <w:jc w:val="both"/>
      </w:pPr>
      <w:r>
        <w:rPr>
          <w:rFonts w:ascii="Times New Roman"/>
          <w:b w:val="false"/>
          <w:i w:val="false"/>
          <w:color w:val="000000"/>
          <w:sz w:val="28"/>
        </w:rPr>
        <w:t>
      11) чертежи фундаментов под главные механизмы и котлы с конструкцией днища под ними и указанием типа и мощности механизма, а также указанием, что фундаменты соответствуют условиям технической документации поставщика главных механизмов и котлов или что специальные требования поставщика к фундаментам отсутствуют;</w:t>
      </w:r>
    </w:p>
    <w:bookmarkEnd w:id="695"/>
    <w:bookmarkStart w:name="z688" w:id="696"/>
    <w:p>
      <w:pPr>
        <w:spacing w:after="0"/>
        <w:ind w:left="0"/>
        <w:jc w:val="both"/>
      </w:pPr>
      <w:r>
        <w:rPr>
          <w:rFonts w:ascii="Times New Roman"/>
          <w:b w:val="false"/>
          <w:i w:val="false"/>
          <w:color w:val="000000"/>
          <w:sz w:val="28"/>
        </w:rPr>
        <w:t>
      12) чертеж надстроек и рубок;</w:t>
      </w:r>
    </w:p>
    <w:bookmarkEnd w:id="696"/>
    <w:bookmarkStart w:name="z689" w:id="697"/>
    <w:p>
      <w:pPr>
        <w:spacing w:after="0"/>
        <w:ind w:left="0"/>
        <w:jc w:val="both"/>
      </w:pPr>
      <w:r>
        <w:rPr>
          <w:rFonts w:ascii="Times New Roman"/>
          <w:b w:val="false"/>
          <w:i w:val="false"/>
          <w:color w:val="000000"/>
          <w:sz w:val="28"/>
        </w:rPr>
        <w:t>
      13) основные параметры амортизационной защиты корпуса от повреждений при швартовках (для судов, швартующихся в море к другим судам).</w:t>
      </w:r>
    </w:p>
    <w:bookmarkEnd w:id="697"/>
    <w:bookmarkStart w:name="z690" w:id="698"/>
    <w:p>
      <w:pPr>
        <w:spacing w:after="0"/>
        <w:ind w:left="0"/>
        <w:jc w:val="both"/>
      </w:pPr>
      <w:r>
        <w:rPr>
          <w:rFonts w:ascii="Times New Roman"/>
          <w:b w:val="false"/>
          <w:i w:val="false"/>
          <w:color w:val="000000"/>
          <w:sz w:val="28"/>
        </w:rPr>
        <w:t>
      84. Без последующего одобрения рабочей документации представляется документация, указанная в пункте 83 настоящих Правил, причем на чертеже (подпункт 5) пункта 83 настоящих Правил) двойного дна указываются таблицы напоров, отсеки, размеры и расположение горловин и других вырезов.</w:t>
      </w:r>
    </w:p>
    <w:bookmarkEnd w:id="698"/>
    <w:bookmarkStart w:name="z691" w:id="699"/>
    <w:p>
      <w:pPr>
        <w:spacing w:after="0"/>
        <w:ind w:left="0"/>
        <w:jc w:val="both"/>
      </w:pPr>
      <w:r>
        <w:rPr>
          <w:rFonts w:ascii="Times New Roman"/>
          <w:b w:val="false"/>
          <w:i w:val="false"/>
          <w:color w:val="000000"/>
          <w:sz w:val="28"/>
        </w:rPr>
        <w:t>
      Дополнительно представляются:</w:t>
      </w:r>
    </w:p>
    <w:bookmarkEnd w:id="699"/>
    <w:bookmarkStart w:name="z692" w:id="700"/>
    <w:p>
      <w:pPr>
        <w:spacing w:after="0"/>
        <w:ind w:left="0"/>
        <w:jc w:val="both"/>
      </w:pPr>
      <w:r>
        <w:rPr>
          <w:rFonts w:ascii="Times New Roman"/>
          <w:b w:val="false"/>
          <w:i w:val="false"/>
          <w:color w:val="000000"/>
          <w:sz w:val="28"/>
        </w:rPr>
        <w:t>
      1) схема контроля сварных швов и таблица сварки корпуса судна, содержащая следующие сведения:</w:t>
      </w:r>
    </w:p>
    <w:bookmarkEnd w:id="700"/>
    <w:p>
      <w:pPr>
        <w:spacing w:after="0"/>
        <w:ind w:left="0"/>
        <w:jc w:val="both"/>
      </w:pPr>
      <w:r>
        <w:rPr>
          <w:rFonts w:ascii="Times New Roman"/>
          <w:b w:val="false"/>
          <w:i w:val="false"/>
          <w:color w:val="000000"/>
          <w:sz w:val="28"/>
        </w:rPr>
        <w:t>
      наименование соединяемых элементов и их толщину;</w:t>
      </w:r>
    </w:p>
    <w:p>
      <w:pPr>
        <w:spacing w:after="0"/>
        <w:ind w:left="0"/>
        <w:jc w:val="both"/>
      </w:pPr>
      <w:r>
        <w:rPr>
          <w:rFonts w:ascii="Times New Roman"/>
          <w:b w:val="false"/>
          <w:i w:val="false"/>
          <w:color w:val="000000"/>
          <w:sz w:val="28"/>
        </w:rPr>
        <w:t>
      форму или условные обозначения подготовки кромок;</w:t>
      </w:r>
    </w:p>
    <w:p>
      <w:pPr>
        <w:spacing w:after="0"/>
        <w:ind w:left="0"/>
        <w:jc w:val="both"/>
      </w:pPr>
      <w:r>
        <w:rPr>
          <w:rFonts w:ascii="Times New Roman"/>
          <w:b w:val="false"/>
          <w:i w:val="false"/>
          <w:color w:val="000000"/>
          <w:sz w:val="28"/>
        </w:rPr>
        <w:t>
      марки и категории основного металла;</w:t>
      </w:r>
    </w:p>
    <w:p>
      <w:pPr>
        <w:spacing w:after="0"/>
        <w:ind w:left="0"/>
        <w:jc w:val="both"/>
      </w:pPr>
      <w:r>
        <w:rPr>
          <w:rFonts w:ascii="Times New Roman"/>
          <w:b w:val="false"/>
          <w:i w:val="false"/>
          <w:color w:val="000000"/>
          <w:sz w:val="28"/>
        </w:rPr>
        <w:t>
      марки и категории сварочных материалов;</w:t>
      </w:r>
    </w:p>
    <w:p>
      <w:pPr>
        <w:spacing w:after="0"/>
        <w:ind w:left="0"/>
        <w:jc w:val="both"/>
      </w:pPr>
      <w:r>
        <w:rPr>
          <w:rFonts w:ascii="Times New Roman"/>
          <w:b w:val="false"/>
          <w:i w:val="false"/>
          <w:color w:val="000000"/>
          <w:sz w:val="28"/>
        </w:rPr>
        <w:t>
      способ сварки и положение шва в пространстве.</w:t>
      </w:r>
    </w:p>
    <w:bookmarkStart w:name="z693" w:id="701"/>
    <w:p>
      <w:pPr>
        <w:spacing w:after="0"/>
        <w:ind w:left="0"/>
        <w:jc w:val="both"/>
      </w:pPr>
      <w:r>
        <w:rPr>
          <w:rFonts w:ascii="Times New Roman"/>
          <w:b w:val="false"/>
          <w:i w:val="false"/>
          <w:color w:val="000000"/>
          <w:sz w:val="28"/>
        </w:rPr>
        <w:t>
      Если перечисленные в подпункте 1) пункта 84 настоящих Правил сведения приведены в полном объеме в чертежах корпуса судна, таблицу сварки допускается не представлять;</w:t>
      </w:r>
    </w:p>
    <w:bookmarkEnd w:id="701"/>
    <w:bookmarkStart w:name="z694" w:id="702"/>
    <w:p>
      <w:pPr>
        <w:spacing w:after="0"/>
        <w:ind w:left="0"/>
        <w:jc w:val="both"/>
      </w:pPr>
      <w:r>
        <w:rPr>
          <w:rFonts w:ascii="Times New Roman"/>
          <w:b w:val="false"/>
          <w:i w:val="false"/>
          <w:color w:val="000000"/>
          <w:sz w:val="28"/>
        </w:rPr>
        <w:t>
      2) схема разбивки корпуса на секции с краткой технологией сборки и сварки (штамп об одобрении не ставится);</w:t>
      </w:r>
    </w:p>
    <w:bookmarkEnd w:id="702"/>
    <w:bookmarkStart w:name="z695" w:id="703"/>
    <w:p>
      <w:pPr>
        <w:spacing w:after="0"/>
        <w:ind w:left="0"/>
        <w:jc w:val="both"/>
      </w:pPr>
      <w:r>
        <w:rPr>
          <w:rFonts w:ascii="Times New Roman"/>
          <w:b w:val="false"/>
          <w:i w:val="false"/>
          <w:color w:val="000000"/>
          <w:sz w:val="28"/>
        </w:rPr>
        <w:t>
      3) описание принципиального технологического процесса стыкования частей корпуса на плаву, разработанного на основе признанных Регистром судоходства методов выполнения подобных работ;</w:t>
      </w:r>
    </w:p>
    <w:bookmarkEnd w:id="703"/>
    <w:bookmarkStart w:name="z696" w:id="704"/>
    <w:p>
      <w:pPr>
        <w:spacing w:after="0"/>
        <w:ind w:left="0"/>
        <w:jc w:val="both"/>
      </w:pPr>
      <w:r>
        <w:rPr>
          <w:rFonts w:ascii="Times New Roman"/>
          <w:b w:val="false"/>
          <w:i w:val="false"/>
          <w:color w:val="000000"/>
          <w:sz w:val="28"/>
        </w:rPr>
        <w:t>
      4) подробное описание технологического процесса изготовления корпуса, содержащее сведения о материалах, методах формования элементов корпуса, необходимых условиях, выполнение которых требуется при постройке корпуса, а также анализ местной и общей прочности конструкции (только для судов из стеклопластика);</w:t>
      </w:r>
    </w:p>
    <w:bookmarkEnd w:id="704"/>
    <w:bookmarkStart w:name="z697" w:id="705"/>
    <w:p>
      <w:pPr>
        <w:spacing w:after="0"/>
        <w:ind w:left="0"/>
        <w:jc w:val="both"/>
      </w:pPr>
      <w:r>
        <w:rPr>
          <w:rFonts w:ascii="Times New Roman"/>
          <w:b w:val="false"/>
          <w:i w:val="false"/>
          <w:color w:val="000000"/>
          <w:sz w:val="28"/>
        </w:rPr>
        <w:t>
      5) схема испытаний на непроницаемость корпусных конструкций;</w:t>
      </w:r>
    </w:p>
    <w:bookmarkEnd w:id="705"/>
    <w:bookmarkStart w:name="z698" w:id="706"/>
    <w:p>
      <w:pPr>
        <w:spacing w:after="0"/>
        <w:ind w:left="0"/>
        <w:jc w:val="both"/>
      </w:pPr>
      <w:r>
        <w:rPr>
          <w:rFonts w:ascii="Times New Roman"/>
          <w:b w:val="false"/>
          <w:i w:val="false"/>
          <w:color w:val="000000"/>
          <w:sz w:val="28"/>
        </w:rPr>
        <w:t>
      6) чертежи проходов трубопроводов, вентиляционных каналов, кабельных проходов. через переборки, палубы, второе дно, водонепроницаемые флоры и рамные связи;</w:t>
      </w:r>
    </w:p>
    <w:bookmarkEnd w:id="706"/>
    <w:bookmarkStart w:name="z699" w:id="707"/>
    <w:p>
      <w:pPr>
        <w:spacing w:after="0"/>
        <w:ind w:left="0"/>
        <w:jc w:val="both"/>
      </w:pPr>
      <w:r>
        <w:rPr>
          <w:rFonts w:ascii="Times New Roman"/>
          <w:b w:val="false"/>
          <w:i w:val="false"/>
          <w:color w:val="000000"/>
          <w:sz w:val="28"/>
        </w:rPr>
        <w:t>
      7) ведомость окраски корпуса;</w:t>
      </w:r>
    </w:p>
    <w:bookmarkEnd w:id="707"/>
    <w:bookmarkStart w:name="z700" w:id="708"/>
    <w:p>
      <w:pPr>
        <w:spacing w:after="0"/>
        <w:ind w:left="0"/>
        <w:jc w:val="both"/>
      </w:pPr>
      <w:r>
        <w:rPr>
          <w:rFonts w:ascii="Times New Roman"/>
          <w:b w:val="false"/>
          <w:i w:val="false"/>
          <w:color w:val="000000"/>
          <w:sz w:val="28"/>
        </w:rPr>
        <w:t>
      8) программа швартовных и ходовых испытаний;</w:t>
      </w:r>
    </w:p>
    <w:bookmarkEnd w:id="708"/>
    <w:bookmarkStart w:name="z701" w:id="709"/>
    <w:p>
      <w:pPr>
        <w:spacing w:after="0"/>
        <w:ind w:left="0"/>
        <w:jc w:val="both"/>
      </w:pPr>
      <w:r>
        <w:rPr>
          <w:rFonts w:ascii="Times New Roman"/>
          <w:b w:val="false"/>
          <w:i w:val="false"/>
          <w:color w:val="000000"/>
          <w:sz w:val="28"/>
        </w:rPr>
        <w:t>
      9) Инструкция по загрузке для судов длиной 65 м и более.</w:t>
      </w:r>
    </w:p>
    <w:bookmarkEnd w:id="709"/>
    <w:bookmarkStart w:name="z702" w:id="710"/>
    <w:p>
      <w:pPr>
        <w:spacing w:after="0"/>
        <w:ind w:left="0"/>
        <w:jc w:val="both"/>
      </w:pPr>
      <w:r>
        <w:rPr>
          <w:rFonts w:ascii="Times New Roman"/>
          <w:b w:val="false"/>
          <w:i w:val="false"/>
          <w:color w:val="000000"/>
          <w:sz w:val="28"/>
        </w:rPr>
        <w:t>
      85. При последующем одобрении рабочей документации по устройствам, оборудованию и снабжению представляются:</w:t>
      </w:r>
    </w:p>
    <w:bookmarkEnd w:id="710"/>
    <w:bookmarkStart w:name="z703" w:id="711"/>
    <w:p>
      <w:pPr>
        <w:spacing w:after="0"/>
        <w:ind w:left="0"/>
        <w:jc w:val="both"/>
      </w:pPr>
      <w:r>
        <w:rPr>
          <w:rFonts w:ascii="Times New Roman"/>
          <w:b w:val="false"/>
          <w:i w:val="false"/>
          <w:color w:val="000000"/>
          <w:sz w:val="28"/>
        </w:rPr>
        <w:t>
      1) схема расположения отверстий в корпусе, надстройках и рубках с указанием высоты комингсов и типа закрытий отверстий;</w:t>
      </w:r>
    </w:p>
    <w:bookmarkEnd w:id="711"/>
    <w:bookmarkStart w:name="z704" w:id="712"/>
    <w:p>
      <w:pPr>
        <w:spacing w:after="0"/>
        <w:ind w:left="0"/>
        <w:jc w:val="both"/>
      </w:pPr>
      <w:r>
        <w:rPr>
          <w:rFonts w:ascii="Times New Roman"/>
          <w:b w:val="false"/>
          <w:i w:val="false"/>
          <w:color w:val="000000"/>
          <w:sz w:val="28"/>
        </w:rPr>
        <w:t>
      2) расчет прочности закрытий отверстий (штамп об одобрении не ставится);</w:t>
      </w:r>
    </w:p>
    <w:bookmarkEnd w:id="712"/>
    <w:bookmarkStart w:name="z705" w:id="713"/>
    <w:p>
      <w:pPr>
        <w:spacing w:after="0"/>
        <w:ind w:left="0"/>
        <w:jc w:val="both"/>
      </w:pPr>
      <w:r>
        <w:rPr>
          <w:rFonts w:ascii="Times New Roman"/>
          <w:b w:val="false"/>
          <w:i w:val="false"/>
          <w:color w:val="000000"/>
          <w:sz w:val="28"/>
        </w:rPr>
        <w:t>
      3) чертежи общего расположения рулевого устройства, средств активного управления судами, якорного, швартовного и буксирного устройств;</w:t>
      </w:r>
    </w:p>
    <w:bookmarkEnd w:id="713"/>
    <w:bookmarkStart w:name="z706" w:id="714"/>
    <w:p>
      <w:pPr>
        <w:spacing w:after="0"/>
        <w:ind w:left="0"/>
        <w:jc w:val="both"/>
      </w:pPr>
      <w:r>
        <w:rPr>
          <w:rFonts w:ascii="Times New Roman"/>
          <w:b w:val="false"/>
          <w:i w:val="false"/>
          <w:color w:val="000000"/>
          <w:sz w:val="28"/>
        </w:rPr>
        <w:t>
      4) расчеты прочности и эффективности рулевого устройства и расчеты средств активного управления судами, якорного, швартовного и буксирного устройств, а также для буксиров - диаграмма тягового усилия (штамп об одобрении не ставится);</w:t>
      </w:r>
    </w:p>
    <w:bookmarkEnd w:id="714"/>
    <w:bookmarkStart w:name="z707" w:id="715"/>
    <w:p>
      <w:pPr>
        <w:spacing w:after="0"/>
        <w:ind w:left="0"/>
        <w:jc w:val="both"/>
      </w:pPr>
      <w:r>
        <w:rPr>
          <w:rFonts w:ascii="Times New Roman"/>
          <w:b w:val="false"/>
          <w:i w:val="false"/>
          <w:color w:val="000000"/>
          <w:sz w:val="28"/>
        </w:rPr>
        <w:t>
      5) чертежи сигнальных мачт и такелажа;</w:t>
      </w:r>
    </w:p>
    <w:bookmarkEnd w:id="715"/>
    <w:bookmarkStart w:name="z708" w:id="716"/>
    <w:p>
      <w:pPr>
        <w:spacing w:after="0"/>
        <w:ind w:left="0"/>
        <w:jc w:val="both"/>
      </w:pPr>
      <w:r>
        <w:rPr>
          <w:rFonts w:ascii="Times New Roman"/>
          <w:b w:val="false"/>
          <w:i w:val="false"/>
          <w:color w:val="000000"/>
          <w:sz w:val="28"/>
        </w:rPr>
        <w:t>
      6) расчет сигнальных мачт и такелажа (штамп об одобрении не ставится);</w:t>
      </w:r>
    </w:p>
    <w:bookmarkEnd w:id="716"/>
    <w:bookmarkStart w:name="z709" w:id="717"/>
    <w:p>
      <w:pPr>
        <w:spacing w:after="0"/>
        <w:ind w:left="0"/>
        <w:jc w:val="both"/>
      </w:pPr>
      <w:r>
        <w:rPr>
          <w:rFonts w:ascii="Times New Roman"/>
          <w:b w:val="false"/>
          <w:i w:val="false"/>
          <w:color w:val="000000"/>
          <w:sz w:val="28"/>
        </w:rPr>
        <w:t>
      7) чертеж общего расположения направляющих элементов для контейнеров в трюмах;</w:t>
      </w:r>
    </w:p>
    <w:bookmarkEnd w:id="717"/>
    <w:bookmarkStart w:name="z710" w:id="718"/>
    <w:p>
      <w:pPr>
        <w:spacing w:after="0"/>
        <w:ind w:left="0"/>
        <w:jc w:val="both"/>
      </w:pPr>
      <w:r>
        <w:rPr>
          <w:rFonts w:ascii="Times New Roman"/>
          <w:b w:val="false"/>
          <w:i w:val="false"/>
          <w:color w:val="000000"/>
          <w:sz w:val="28"/>
        </w:rPr>
        <w:t>
      8) расчет направляющих элементов для контейнеров в трюмах (штамп об одобрении не ставится);</w:t>
      </w:r>
    </w:p>
    <w:bookmarkEnd w:id="718"/>
    <w:bookmarkStart w:name="z711" w:id="719"/>
    <w:p>
      <w:pPr>
        <w:spacing w:after="0"/>
        <w:ind w:left="0"/>
        <w:jc w:val="both"/>
      </w:pPr>
      <w:r>
        <w:rPr>
          <w:rFonts w:ascii="Times New Roman"/>
          <w:b w:val="false"/>
          <w:i w:val="false"/>
          <w:color w:val="000000"/>
          <w:sz w:val="28"/>
        </w:rPr>
        <w:t>
      9) чертежи устройства и закрытия отверстий в переборках деления судна на отсеки.</w:t>
      </w:r>
    </w:p>
    <w:bookmarkEnd w:id="719"/>
    <w:bookmarkStart w:name="z712" w:id="720"/>
    <w:p>
      <w:pPr>
        <w:spacing w:after="0"/>
        <w:ind w:left="0"/>
        <w:jc w:val="both"/>
      </w:pPr>
      <w:r>
        <w:rPr>
          <w:rFonts w:ascii="Times New Roman"/>
          <w:b w:val="false"/>
          <w:i w:val="false"/>
          <w:color w:val="000000"/>
          <w:sz w:val="28"/>
        </w:rPr>
        <w:t>
      86. Без последующего одобрения рабочей документации необходимо представить документацию, указанную в пункте 84 настоящих Правил, и дополнительно:</w:t>
      </w:r>
    </w:p>
    <w:bookmarkEnd w:id="720"/>
    <w:bookmarkStart w:name="z713" w:id="721"/>
    <w:p>
      <w:pPr>
        <w:spacing w:after="0"/>
        <w:ind w:left="0"/>
        <w:jc w:val="both"/>
      </w:pPr>
      <w:r>
        <w:rPr>
          <w:rFonts w:ascii="Times New Roman"/>
          <w:b w:val="false"/>
          <w:i w:val="false"/>
          <w:color w:val="000000"/>
          <w:sz w:val="28"/>
        </w:rPr>
        <w:t>
      1) ведомость аварийного снабжения и его расположение;</w:t>
      </w:r>
    </w:p>
    <w:bookmarkEnd w:id="721"/>
    <w:bookmarkStart w:name="z714" w:id="722"/>
    <w:p>
      <w:pPr>
        <w:spacing w:after="0"/>
        <w:ind w:left="0"/>
        <w:jc w:val="both"/>
      </w:pPr>
      <w:r>
        <w:rPr>
          <w:rFonts w:ascii="Times New Roman"/>
          <w:b w:val="false"/>
          <w:i w:val="false"/>
          <w:color w:val="000000"/>
          <w:sz w:val="28"/>
        </w:rPr>
        <w:t>
      2) программу швартовных и ходовых испытаний;</w:t>
      </w:r>
    </w:p>
    <w:bookmarkEnd w:id="722"/>
    <w:bookmarkStart w:name="z715" w:id="723"/>
    <w:p>
      <w:pPr>
        <w:spacing w:after="0"/>
        <w:ind w:left="0"/>
        <w:jc w:val="both"/>
      </w:pPr>
      <w:r>
        <w:rPr>
          <w:rFonts w:ascii="Times New Roman"/>
          <w:b w:val="false"/>
          <w:i w:val="false"/>
          <w:color w:val="000000"/>
          <w:sz w:val="28"/>
        </w:rPr>
        <w:t>
      3) документацию, указанную в пункте 857 настоящих Правил.</w:t>
      </w:r>
    </w:p>
    <w:bookmarkEnd w:id="723"/>
    <w:bookmarkStart w:name="z716" w:id="724"/>
    <w:p>
      <w:pPr>
        <w:spacing w:after="0"/>
        <w:ind w:left="0"/>
        <w:jc w:val="both"/>
      </w:pPr>
      <w:r>
        <w:rPr>
          <w:rFonts w:ascii="Times New Roman"/>
          <w:b w:val="false"/>
          <w:i w:val="false"/>
          <w:color w:val="000000"/>
          <w:sz w:val="28"/>
        </w:rPr>
        <w:t>
      87. Документация по остойчивости (штампы об одобрении не ставятся) и маневренности, разработанная проектной, судостроительной или судоремонтной организациями, включает в себя:</w:t>
      </w:r>
    </w:p>
    <w:bookmarkEnd w:id="724"/>
    <w:bookmarkStart w:name="z717" w:id="725"/>
    <w:p>
      <w:pPr>
        <w:spacing w:after="0"/>
        <w:ind w:left="0"/>
        <w:jc w:val="both"/>
      </w:pPr>
      <w:r>
        <w:rPr>
          <w:rFonts w:ascii="Times New Roman"/>
          <w:b w:val="false"/>
          <w:i w:val="false"/>
          <w:color w:val="000000"/>
          <w:sz w:val="28"/>
        </w:rPr>
        <w:t>
      1) теоретический чертеж, таблицы координат теоретического чертежа;</w:t>
      </w:r>
    </w:p>
    <w:bookmarkEnd w:id="725"/>
    <w:bookmarkStart w:name="z718" w:id="726"/>
    <w:p>
      <w:pPr>
        <w:spacing w:after="0"/>
        <w:ind w:left="0"/>
        <w:jc w:val="both"/>
      </w:pPr>
      <w:r>
        <w:rPr>
          <w:rFonts w:ascii="Times New Roman"/>
          <w:b w:val="false"/>
          <w:i w:val="false"/>
          <w:color w:val="000000"/>
          <w:sz w:val="28"/>
        </w:rPr>
        <w:t>
      2) гидростатические кривые;</w:t>
      </w:r>
    </w:p>
    <w:bookmarkEnd w:id="726"/>
    <w:bookmarkStart w:name="z719" w:id="727"/>
    <w:p>
      <w:pPr>
        <w:spacing w:after="0"/>
        <w:ind w:left="0"/>
        <w:jc w:val="both"/>
      </w:pPr>
      <w:r>
        <w:rPr>
          <w:rFonts w:ascii="Times New Roman"/>
          <w:b w:val="false"/>
          <w:i w:val="false"/>
          <w:color w:val="000000"/>
          <w:sz w:val="28"/>
        </w:rPr>
        <w:t>
      3) кривые площадей и статических моментов шпангоутов;</w:t>
      </w:r>
    </w:p>
    <w:bookmarkEnd w:id="727"/>
    <w:bookmarkStart w:name="z720" w:id="728"/>
    <w:p>
      <w:pPr>
        <w:spacing w:after="0"/>
        <w:ind w:left="0"/>
        <w:jc w:val="both"/>
      </w:pPr>
      <w:r>
        <w:rPr>
          <w:rFonts w:ascii="Times New Roman"/>
          <w:b w:val="false"/>
          <w:i w:val="false"/>
          <w:color w:val="000000"/>
          <w:sz w:val="28"/>
        </w:rPr>
        <w:t>
      4) расчеты и кривые плеч остойчивости формы (пантокарены) с эскизами учитываемых объемов корпуса;</w:t>
      </w:r>
    </w:p>
    <w:bookmarkEnd w:id="728"/>
    <w:bookmarkStart w:name="z721" w:id="729"/>
    <w:p>
      <w:pPr>
        <w:spacing w:after="0"/>
        <w:ind w:left="0"/>
        <w:jc w:val="both"/>
      </w:pPr>
      <w:r>
        <w:rPr>
          <w:rFonts w:ascii="Times New Roman"/>
          <w:b w:val="false"/>
          <w:i w:val="false"/>
          <w:color w:val="000000"/>
          <w:sz w:val="28"/>
        </w:rPr>
        <w:t>
      5) сводную таблицу водоизмещения, положения центра тяжести, дифферента и начальной остойчивости для различных вариантов нагрузки;</w:t>
      </w:r>
    </w:p>
    <w:bookmarkEnd w:id="729"/>
    <w:bookmarkStart w:name="z722" w:id="730"/>
    <w:p>
      <w:pPr>
        <w:spacing w:after="0"/>
        <w:ind w:left="0"/>
        <w:jc w:val="both"/>
      </w:pPr>
      <w:r>
        <w:rPr>
          <w:rFonts w:ascii="Times New Roman"/>
          <w:b w:val="false"/>
          <w:i w:val="false"/>
          <w:color w:val="000000"/>
          <w:sz w:val="28"/>
        </w:rPr>
        <w:t>
      6) расчетные материалы, связанные с проверкой остойчивости судна по Правилам;</w:t>
      </w:r>
    </w:p>
    <w:bookmarkEnd w:id="730"/>
    <w:bookmarkStart w:name="z723" w:id="731"/>
    <w:p>
      <w:pPr>
        <w:spacing w:after="0"/>
        <w:ind w:left="0"/>
        <w:jc w:val="both"/>
      </w:pPr>
      <w:r>
        <w:rPr>
          <w:rFonts w:ascii="Times New Roman"/>
          <w:b w:val="false"/>
          <w:i w:val="false"/>
          <w:color w:val="000000"/>
          <w:sz w:val="28"/>
        </w:rPr>
        <w:t>
      таблицы масс для различных вариантов нагрузки судна с указанием распределения груза, топлива, пресной воды и жидкого балласта по цистернам;</w:t>
      </w:r>
    </w:p>
    <w:bookmarkEnd w:id="731"/>
    <w:bookmarkStart w:name="z724" w:id="732"/>
    <w:p>
      <w:pPr>
        <w:spacing w:after="0"/>
        <w:ind w:left="0"/>
        <w:jc w:val="both"/>
      </w:pPr>
      <w:r>
        <w:rPr>
          <w:rFonts w:ascii="Times New Roman"/>
          <w:b w:val="false"/>
          <w:i w:val="false"/>
          <w:color w:val="000000"/>
          <w:sz w:val="28"/>
        </w:rPr>
        <w:t>
      расчеты амплитуд качки и критерия погоды;</w:t>
      </w:r>
    </w:p>
    <w:bookmarkEnd w:id="732"/>
    <w:bookmarkStart w:name="z725" w:id="733"/>
    <w:p>
      <w:pPr>
        <w:spacing w:after="0"/>
        <w:ind w:left="0"/>
        <w:jc w:val="both"/>
      </w:pPr>
      <w:r>
        <w:rPr>
          <w:rFonts w:ascii="Times New Roman"/>
          <w:b w:val="false"/>
          <w:i w:val="false"/>
          <w:color w:val="000000"/>
          <w:sz w:val="28"/>
        </w:rPr>
        <w:t>
      схемы парусности и расчеты кренящих моментов;</w:t>
      </w:r>
    </w:p>
    <w:bookmarkEnd w:id="733"/>
    <w:bookmarkStart w:name="z726" w:id="734"/>
    <w:p>
      <w:pPr>
        <w:spacing w:after="0"/>
        <w:ind w:left="0"/>
        <w:jc w:val="both"/>
      </w:pPr>
      <w:r>
        <w:rPr>
          <w:rFonts w:ascii="Times New Roman"/>
          <w:b w:val="false"/>
          <w:i w:val="false"/>
          <w:color w:val="000000"/>
          <w:sz w:val="28"/>
        </w:rPr>
        <w:t>
      расчеты крена от скопления пассажиров и циркуляции; расчеты обледенения, углов заливания, поправок на влияние свободных поверхностей жидких грузов и запасов;</w:t>
      </w:r>
    </w:p>
    <w:bookmarkEnd w:id="734"/>
    <w:bookmarkStart w:name="z727" w:id="735"/>
    <w:p>
      <w:pPr>
        <w:spacing w:after="0"/>
        <w:ind w:left="0"/>
        <w:jc w:val="both"/>
      </w:pPr>
      <w:r>
        <w:rPr>
          <w:rFonts w:ascii="Times New Roman"/>
          <w:b w:val="false"/>
          <w:i w:val="false"/>
          <w:color w:val="000000"/>
          <w:sz w:val="28"/>
        </w:rPr>
        <w:t>
      схемы расположения отверстий в корпусе, надстройках и рубках;</w:t>
      </w:r>
    </w:p>
    <w:bookmarkEnd w:id="735"/>
    <w:bookmarkStart w:name="z728" w:id="736"/>
    <w:p>
      <w:pPr>
        <w:spacing w:after="0"/>
        <w:ind w:left="0"/>
        <w:jc w:val="both"/>
      </w:pPr>
      <w:r>
        <w:rPr>
          <w:rFonts w:ascii="Times New Roman"/>
          <w:b w:val="false"/>
          <w:i w:val="false"/>
          <w:color w:val="000000"/>
          <w:sz w:val="28"/>
        </w:rPr>
        <w:t>
      7) сводная таблица результатов проверки остойчивости по Правилам и диаграммы статической или динамической остойчивости;</w:t>
      </w:r>
    </w:p>
    <w:bookmarkEnd w:id="736"/>
    <w:bookmarkStart w:name="z729" w:id="737"/>
    <w:p>
      <w:pPr>
        <w:spacing w:after="0"/>
        <w:ind w:left="0"/>
        <w:jc w:val="both"/>
      </w:pPr>
      <w:r>
        <w:rPr>
          <w:rFonts w:ascii="Times New Roman"/>
          <w:b w:val="false"/>
          <w:i w:val="false"/>
          <w:color w:val="000000"/>
          <w:sz w:val="28"/>
        </w:rPr>
        <w:t>
      8) расчеты остойчивости при погрузке, выгрузке и размещении незерновых навалочных грузов;</w:t>
      </w:r>
    </w:p>
    <w:bookmarkEnd w:id="737"/>
    <w:bookmarkStart w:name="z730" w:id="738"/>
    <w:p>
      <w:pPr>
        <w:spacing w:after="0"/>
        <w:ind w:left="0"/>
        <w:jc w:val="both"/>
      </w:pPr>
      <w:r>
        <w:rPr>
          <w:rFonts w:ascii="Times New Roman"/>
          <w:b w:val="false"/>
          <w:i w:val="false"/>
          <w:color w:val="000000"/>
          <w:sz w:val="28"/>
        </w:rPr>
        <w:t>
      9) программа натурных маневренных испытаний.</w:t>
      </w:r>
    </w:p>
    <w:bookmarkEnd w:id="738"/>
    <w:bookmarkStart w:name="z731" w:id="739"/>
    <w:p>
      <w:pPr>
        <w:spacing w:after="0"/>
        <w:ind w:left="0"/>
        <w:jc w:val="both"/>
      </w:pPr>
      <w:r>
        <w:rPr>
          <w:rFonts w:ascii="Times New Roman"/>
          <w:b w:val="false"/>
          <w:i w:val="false"/>
          <w:color w:val="000000"/>
          <w:sz w:val="28"/>
        </w:rPr>
        <w:t>
      88. Документация по делению на отсеки состоит из:</w:t>
      </w:r>
    </w:p>
    <w:bookmarkEnd w:id="739"/>
    <w:bookmarkStart w:name="z732" w:id="740"/>
    <w:p>
      <w:pPr>
        <w:spacing w:after="0"/>
        <w:ind w:left="0"/>
        <w:jc w:val="both"/>
      </w:pPr>
      <w:r>
        <w:rPr>
          <w:rFonts w:ascii="Times New Roman"/>
          <w:b w:val="false"/>
          <w:i w:val="false"/>
          <w:color w:val="000000"/>
          <w:sz w:val="28"/>
        </w:rPr>
        <w:t>
      1) материалов по вероятностной оценке деления судна на отсеки (если требуются) и кривых предельных длин отсеков (штамп об одобрении не ставится);</w:t>
      </w:r>
    </w:p>
    <w:bookmarkEnd w:id="740"/>
    <w:bookmarkStart w:name="z733" w:id="741"/>
    <w:p>
      <w:pPr>
        <w:spacing w:after="0"/>
        <w:ind w:left="0"/>
        <w:jc w:val="both"/>
      </w:pPr>
      <w:r>
        <w:rPr>
          <w:rFonts w:ascii="Times New Roman"/>
          <w:b w:val="false"/>
          <w:i w:val="false"/>
          <w:color w:val="000000"/>
          <w:sz w:val="28"/>
        </w:rPr>
        <w:t>
      2) расчеты аварийной посадки и остойчивости судна, включая диаграммы статической остойчивости (штамп об одобрении не ставится);</w:t>
      </w:r>
    </w:p>
    <w:bookmarkEnd w:id="741"/>
    <w:bookmarkStart w:name="z734" w:id="742"/>
    <w:p>
      <w:pPr>
        <w:spacing w:after="0"/>
        <w:ind w:left="0"/>
        <w:jc w:val="both"/>
      </w:pPr>
      <w:r>
        <w:rPr>
          <w:rFonts w:ascii="Times New Roman"/>
          <w:b w:val="false"/>
          <w:i w:val="false"/>
          <w:color w:val="000000"/>
          <w:sz w:val="28"/>
        </w:rPr>
        <w:t>
      3) схема деления судна на отсеки, показывающая расположение всех водонепроницаемых конструкций и отверстий с указанием типа их закрытий, а также расположение устройств для выравнивания крена и дифферента поврежденного судна;</w:t>
      </w:r>
    </w:p>
    <w:bookmarkEnd w:id="742"/>
    <w:bookmarkStart w:name="z735" w:id="743"/>
    <w:p>
      <w:pPr>
        <w:spacing w:after="0"/>
        <w:ind w:left="0"/>
        <w:jc w:val="both"/>
      </w:pPr>
      <w:r>
        <w:rPr>
          <w:rFonts w:ascii="Times New Roman"/>
          <w:b w:val="false"/>
          <w:i w:val="false"/>
          <w:color w:val="000000"/>
          <w:sz w:val="28"/>
        </w:rPr>
        <w:t>
      4) пантокарены (для поврежденного судна), если это необходимо при принятом методе расчета аварийной остойчивости (штамп об одобрении не ставится);</w:t>
      </w:r>
    </w:p>
    <w:bookmarkEnd w:id="743"/>
    <w:bookmarkStart w:name="z736" w:id="744"/>
    <w:p>
      <w:pPr>
        <w:spacing w:after="0"/>
        <w:ind w:left="0"/>
        <w:jc w:val="both"/>
      </w:pPr>
      <w:r>
        <w:rPr>
          <w:rFonts w:ascii="Times New Roman"/>
          <w:b w:val="false"/>
          <w:i w:val="false"/>
          <w:color w:val="000000"/>
          <w:sz w:val="28"/>
        </w:rPr>
        <w:t>
      5) расчеты сечений перетоков и времени спрямления судна (штамп об одобрении не ставится);</w:t>
      </w:r>
    </w:p>
    <w:bookmarkEnd w:id="744"/>
    <w:bookmarkStart w:name="z737" w:id="745"/>
    <w:p>
      <w:pPr>
        <w:spacing w:after="0"/>
        <w:ind w:left="0"/>
        <w:jc w:val="both"/>
      </w:pPr>
      <w:r>
        <w:rPr>
          <w:rFonts w:ascii="Times New Roman"/>
          <w:b w:val="false"/>
          <w:i w:val="false"/>
          <w:color w:val="000000"/>
          <w:sz w:val="28"/>
        </w:rPr>
        <w:t>
      6) таблица координат угловых точек отсеков и цистерн.</w:t>
      </w:r>
    </w:p>
    <w:bookmarkEnd w:id="745"/>
    <w:bookmarkStart w:name="z738" w:id="746"/>
    <w:p>
      <w:pPr>
        <w:spacing w:after="0"/>
        <w:ind w:left="0"/>
        <w:jc w:val="both"/>
      </w:pPr>
      <w:r>
        <w:rPr>
          <w:rFonts w:ascii="Times New Roman"/>
          <w:b w:val="false"/>
          <w:i w:val="false"/>
          <w:color w:val="000000"/>
          <w:sz w:val="28"/>
        </w:rPr>
        <w:t>
      7) проект установки датчиков аварийно-предупредительной сигнализации появления воды в отсеках навалочного судна, включающий в себя техническое описание оборудования системы аварийно-предупредительной сигнализации;</w:t>
      </w:r>
    </w:p>
    <w:bookmarkEnd w:id="746"/>
    <w:bookmarkStart w:name="z739" w:id="747"/>
    <w:p>
      <w:pPr>
        <w:spacing w:after="0"/>
        <w:ind w:left="0"/>
        <w:jc w:val="both"/>
      </w:pPr>
      <w:r>
        <w:rPr>
          <w:rFonts w:ascii="Times New Roman"/>
          <w:b w:val="false"/>
          <w:i w:val="false"/>
          <w:color w:val="000000"/>
          <w:sz w:val="28"/>
        </w:rPr>
        <w:t>
      сертификат о типовом одобрении системы аварийно-предупредительной сигнализации;</w:t>
      </w:r>
    </w:p>
    <w:bookmarkEnd w:id="747"/>
    <w:bookmarkStart w:name="z740" w:id="748"/>
    <w:p>
      <w:pPr>
        <w:spacing w:after="0"/>
        <w:ind w:left="0"/>
        <w:jc w:val="both"/>
      </w:pPr>
      <w:r>
        <w:rPr>
          <w:rFonts w:ascii="Times New Roman"/>
          <w:b w:val="false"/>
          <w:i w:val="false"/>
          <w:color w:val="000000"/>
          <w:sz w:val="28"/>
        </w:rPr>
        <w:t>
      размещение системы аварийно-предупредительной сигнализации с обозначением на схеме общего расположения судна местоположения оборудования;</w:t>
      </w:r>
    </w:p>
    <w:bookmarkEnd w:id="748"/>
    <w:bookmarkStart w:name="z741" w:id="749"/>
    <w:p>
      <w:pPr>
        <w:spacing w:after="0"/>
        <w:ind w:left="0"/>
        <w:jc w:val="both"/>
      </w:pPr>
      <w:r>
        <w:rPr>
          <w:rFonts w:ascii="Times New Roman"/>
          <w:b w:val="false"/>
          <w:i w:val="false"/>
          <w:color w:val="000000"/>
          <w:sz w:val="28"/>
        </w:rPr>
        <w:t>
      документы с указанием креплений, защиты и методов испытаний оборудования аварийно-предупредительной сигнализации;</w:t>
      </w:r>
    </w:p>
    <w:bookmarkEnd w:id="749"/>
    <w:bookmarkStart w:name="z742" w:id="750"/>
    <w:p>
      <w:pPr>
        <w:spacing w:after="0"/>
        <w:ind w:left="0"/>
        <w:jc w:val="both"/>
      </w:pPr>
      <w:r>
        <w:rPr>
          <w:rFonts w:ascii="Times New Roman"/>
          <w:b w:val="false"/>
          <w:i w:val="false"/>
          <w:color w:val="000000"/>
          <w:sz w:val="28"/>
        </w:rPr>
        <w:t>
      список грузов, в 50 % смеси которых с морской водой датчики, закрытые защитным ограждением, работоспособны;</w:t>
      </w:r>
    </w:p>
    <w:bookmarkEnd w:id="750"/>
    <w:bookmarkStart w:name="z743" w:id="751"/>
    <w:p>
      <w:pPr>
        <w:spacing w:after="0"/>
        <w:ind w:left="0"/>
        <w:jc w:val="both"/>
      </w:pPr>
      <w:r>
        <w:rPr>
          <w:rFonts w:ascii="Times New Roman"/>
          <w:b w:val="false"/>
          <w:i w:val="false"/>
          <w:color w:val="000000"/>
          <w:sz w:val="28"/>
        </w:rPr>
        <w:t>
      описание процедур, необходимых для выполнения в случае появления сбоев в работе системы аварийно-предупредительной сигнализации;</w:t>
      </w:r>
    </w:p>
    <w:bookmarkEnd w:id="751"/>
    <w:bookmarkStart w:name="z744" w:id="752"/>
    <w:p>
      <w:pPr>
        <w:spacing w:after="0"/>
        <w:ind w:left="0"/>
        <w:jc w:val="both"/>
      </w:pPr>
      <w:r>
        <w:rPr>
          <w:rFonts w:ascii="Times New Roman"/>
          <w:b w:val="false"/>
          <w:i w:val="false"/>
          <w:color w:val="000000"/>
          <w:sz w:val="28"/>
        </w:rPr>
        <w:t>
      требования по техническому обслуживанию оборудования системы аварийно-предупредительной сигнализации.</w:t>
      </w:r>
    </w:p>
    <w:bookmarkEnd w:id="752"/>
    <w:bookmarkStart w:name="z745" w:id="753"/>
    <w:p>
      <w:pPr>
        <w:spacing w:after="0"/>
        <w:ind w:left="0"/>
        <w:jc w:val="both"/>
      </w:pPr>
      <w:r>
        <w:rPr>
          <w:rFonts w:ascii="Times New Roman"/>
          <w:b w:val="false"/>
          <w:i w:val="false"/>
          <w:color w:val="000000"/>
          <w:sz w:val="28"/>
        </w:rPr>
        <w:t>
      89. При последующем одобрении рабочей документации по противопожарной защите представляются:</w:t>
      </w:r>
    </w:p>
    <w:bookmarkEnd w:id="753"/>
    <w:bookmarkStart w:name="z746" w:id="754"/>
    <w:p>
      <w:pPr>
        <w:spacing w:after="0"/>
        <w:ind w:left="0"/>
        <w:jc w:val="both"/>
      </w:pPr>
      <w:r>
        <w:rPr>
          <w:rFonts w:ascii="Times New Roman"/>
          <w:b w:val="false"/>
          <w:i w:val="false"/>
          <w:color w:val="000000"/>
          <w:sz w:val="28"/>
        </w:rPr>
        <w:t>
      1) документы по конструктивной противопожарной защите:</w:t>
      </w:r>
    </w:p>
    <w:bookmarkEnd w:id="754"/>
    <w:bookmarkStart w:name="z747" w:id="755"/>
    <w:p>
      <w:pPr>
        <w:spacing w:after="0"/>
        <w:ind w:left="0"/>
        <w:jc w:val="both"/>
      </w:pPr>
      <w:r>
        <w:rPr>
          <w:rFonts w:ascii="Times New Roman"/>
          <w:b w:val="false"/>
          <w:i w:val="false"/>
          <w:color w:val="000000"/>
          <w:sz w:val="28"/>
        </w:rPr>
        <w:t>
      чертежи расположения противопожарных конструкций, включая двери и места прохода (вырезы) в этих конструкциях, с указанием категорий помещений согласно пунктам 2149, 2151, 2176 или 2185 настоящих Правил, а также номеров свидетельств о типовом одобрении на конструкции, двери и места прохода (вырезы);</w:t>
      </w:r>
    </w:p>
    <w:bookmarkEnd w:id="755"/>
    <w:bookmarkStart w:name="z748" w:id="756"/>
    <w:p>
      <w:pPr>
        <w:spacing w:after="0"/>
        <w:ind w:left="0"/>
        <w:jc w:val="both"/>
      </w:pPr>
      <w:r>
        <w:rPr>
          <w:rFonts w:ascii="Times New Roman"/>
          <w:b w:val="false"/>
          <w:i w:val="false"/>
          <w:color w:val="000000"/>
          <w:sz w:val="28"/>
        </w:rPr>
        <w:t>
      схемы или описание изоляции, зашивки, облицовки, покрытий палуб и других отделочных материалов в соответствии с главой 142 и пунктами 2109 - 2113 настоящих Правил;</w:t>
      </w:r>
    </w:p>
    <w:bookmarkEnd w:id="756"/>
    <w:bookmarkStart w:name="z749" w:id="757"/>
    <w:p>
      <w:pPr>
        <w:spacing w:after="0"/>
        <w:ind w:left="0"/>
        <w:jc w:val="both"/>
      </w:pPr>
      <w:r>
        <w:rPr>
          <w:rFonts w:ascii="Times New Roman"/>
          <w:b w:val="false"/>
          <w:i w:val="false"/>
          <w:color w:val="000000"/>
          <w:sz w:val="28"/>
        </w:rPr>
        <w:t>
      расчеты, требуемые пунктами 2108 и 2114 настоящих Правил;</w:t>
      </w:r>
    </w:p>
    <w:bookmarkEnd w:id="757"/>
    <w:bookmarkStart w:name="z750" w:id="758"/>
    <w:p>
      <w:pPr>
        <w:spacing w:after="0"/>
        <w:ind w:left="0"/>
        <w:jc w:val="both"/>
      </w:pPr>
      <w:r>
        <w:rPr>
          <w:rFonts w:ascii="Times New Roman"/>
          <w:b w:val="false"/>
          <w:i w:val="false"/>
          <w:color w:val="000000"/>
          <w:sz w:val="28"/>
        </w:rPr>
        <w:t>
      2) принципиальные схемы систем пожаротушения и системы обнаружения дыма путем забора проб воздуха с расчетами и другими данными, подтверждающими выполнение требований раздела 8 настоящих Правил;</w:t>
      </w:r>
    </w:p>
    <w:bookmarkEnd w:id="758"/>
    <w:bookmarkStart w:name="z751" w:id="759"/>
    <w:p>
      <w:pPr>
        <w:spacing w:after="0"/>
        <w:ind w:left="0"/>
        <w:jc w:val="both"/>
      </w:pPr>
      <w:r>
        <w:rPr>
          <w:rFonts w:ascii="Times New Roman"/>
          <w:b w:val="false"/>
          <w:i w:val="false"/>
          <w:color w:val="000000"/>
          <w:sz w:val="28"/>
        </w:rPr>
        <w:t>
      3) ведомость противопожарного снабжения с указанием номеров свидетельств о типовом одобрении на предметы снабжения.</w:t>
      </w:r>
    </w:p>
    <w:bookmarkEnd w:id="759"/>
    <w:bookmarkStart w:name="z752" w:id="760"/>
    <w:p>
      <w:pPr>
        <w:spacing w:after="0"/>
        <w:ind w:left="0"/>
        <w:jc w:val="both"/>
      </w:pPr>
      <w:r>
        <w:rPr>
          <w:rFonts w:ascii="Times New Roman"/>
          <w:b w:val="false"/>
          <w:i w:val="false"/>
          <w:color w:val="000000"/>
          <w:sz w:val="28"/>
        </w:rPr>
        <w:t>
      90. Без последующего одобрения рабочей документации представляется документация, указанная в пункте 98 настоящих Правил, и дополнительно:</w:t>
      </w:r>
    </w:p>
    <w:bookmarkEnd w:id="760"/>
    <w:bookmarkStart w:name="z753" w:id="761"/>
    <w:p>
      <w:pPr>
        <w:spacing w:after="0"/>
        <w:ind w:left="0"/>
        <w:jc w:val="both"/>
      </w:pPr>
      <w:r>
        <w:rPr>
          <w:rFonts w:ascii="Times New Roman"/>
          <w:b w:val="false"/>
          <w:i w:val="false"/>
          <w:color w:val="000000"/>
          <w:sz w:val="28"/>
        </w:rPr>
        <w:t>
      1) конструктивные чертежи узлов и деталей противопожарных конструкций;</w:t>
      </w:r>
    </w:p>
    <w:bookmarkEnd w:id="761"/>
    <w:bookmarkStart w:name="z754" w:id="762"/>
    <w:p>
      <w:pPr>
        <w:spacing w:after="0"/>
        <w:ind w:left="0"/>
        <w:jc w:val="both"/>
      </w:pPr>
      <w:r>
        <w:rPr>
          <w:rFonts w:ascii="Times New Roman"/>
          <w:b w:val="false"/>
          <w:i w:val="false"/>
          <w:color w:val="000000"/>
          <w:sz w:val="28"/>
        </w:rPr>
        <w:t>
      2) конструктивные чертежи изоляции, зашивки и палубных покрытий;</w:t>
      </w:r>
    </w:p>
    <w:bookmarkEnd w:id="762"/>
    <w:bookmarkStart w:name="z755" w:id="763"/>
    <w:p>
      <w:pPr>
        <w:spacing w:after="0"/>
        <w:ind w:left="0"/>
        <w:jc w:val="both"/>
      </w:pPr>
      <w:r>
        <w:rPr>
          <w:rFonts w:ascii="Times New Roman"/>
          <w:b w:val="false"/>
          <w:i w:val="false"/>
          <w:color w:val="000000"/>
          <w:sz w:val="28"/>
        </w:rPr>
        <w:t>
      3) чертежи расположения противопожарного снабжения;</w:t>
      </w:r>
    </w:p>
    <w:bookmarkEnd w:id="763"/>
    <w:bookmarkStart w:name="z756" w:id="764"/>
    <w:p>
      <w:pPr>
        <w:spacing w:after="0"/>
        <w:ind w:left="0"/>
        <w:jc w:val="both"/>
      </w:pPr>
      <w:r>
        <w:rPr>
          <w:rFonts w:ascii="Times New Roman"/>
          <w:b w:val="false"/>
          <w:i w:val="false"/>
          <w:color w:val="000000"/>
          <w:sz w:val="28"/>
        </w:rPr>
        <w:t>
      4) ведомость запасных частей и инструментов;</w:t>
      </w:r>
    </w:p>
    <w:bookmarkEnd w:id="764"/>
    <w:bookmarkStart w:name="z757" w:id="765"/>
    <w:p>
      <w:pPr>
        <w:spacing w:after="0"/>
        <w:ind w:left="0"/>
        <w:jc w:val="both"/>
      </w:pPr>
      <w:r>
        <w:rPr>
          <w:rFonts w:ascii="Times New Roman"/>
          <w:b w:val="false"/>
          <w:i w:val="false"/>
          <w:color w:val="000000"/>
          <w:sz w:val="28"/>
        </w:rPr>
        <w:t>
      5) программы испытаний систем пожаротушения;</w:t>
      </w:r>
    </w:p>
    <w:bookmarkEnd w:id="765"/>
    <w:bookmarkStart w:name="z758" w:id="766"/>
    <w:p>
      <w:pPr>
        <w:spacing w:after="0"/>
        <w:ind w:left="0"/>
        <w:jc w:val="both"/>
      </w:pPr>
      <w:r>
        <w:rPr>
          <w:rFonts w:ascii="Times New Roman"/>
          <w:b w:val="false"/>
          <w:i w:val="false"/>
          <w:color w:val="000000"/>
          <w:sz w:val="28"/>
        </w:rPr>
        <w:t>
      6) предварительный пожарный план (подпункт 8) пункта 105 настоящих Правил).</w:t>
      </w:r>
    </w:p>
    <w:bookmarkEnd w:id="766"/>
    <w:bookmarkStart w:name="z759" w:id="767"/>
    <w:p>
      <w:pPr>
        <w:spacing w:after="0"/>
        <w:ind w:left="0"/>
        <w:jc w:val="both"/>
      </w:pPr>
      <w:r>
        <w:rPr>
          <w:rFonts w:ascii="Times New Roman"/>
          <w:b w:val="false"/>
          <w:i w:val="false"/>
          <w:color w:val="000000"/>
          <w:sz w:val="28"/>
        </w:rPr>
        <w:t>
      91. При последующем одобрении рабочей документации представляются по механическим и котельным установкам:</w:t>
      </w:r>
    </w:p>
    <w:bookmarkEnd w:id="767"/>
    <w:bookmarkStart w:name="z760" w:id="768"/>
    <w:p>
      <w:pPr>
        <w:spacing w:after="0"/>
        <w:ind w:left="0"/>
        <w:jc w:val="both"/>
      </w:pPr>
      <w:r>
        <w:rPr>
          <w:rFonts w:ascii="Times New Roman"/>
          <w:b w:val="false"/>
          <w:i w:val="false"/>
          <w:color w:val="000000"/>
          <w:sz w:val="28"/>
        </w:rPr>
        <w:t>
      1) чертежи расположения механизмов и оборудования в машинных помещениях категории А в соответствии с главой 172 настоящих Правил с указанием выходных путей и в помещениях аварийных дизель-генераторов;</w:t>
      </w:r>
    </w:p>
    <w:bookmarkEnd w:id="768"/>
    <w:bookmarkStart w:name="z761" w:id="769"/>
    <w:p>
      <w:pPr>
        <w:spacing w:after="0"/>
        <w:ind w:left="0"/>
        <w:jc w:val="both"/>
      </w:pPr>
      <w:r>
        <w:rPr>
          <w:rFonts w:ascii="Times New Roman"/>
          <w:b w:val="false"/>
          <w:i w:val="false"/>
          <w:color w:val="000000"/>
          <w:sz w:val="28"/>
        </w:rPr>
        <w:t>
      2) схема и описание дистанционного управления главными механизмами со сведениями об оборудовании дистанционных постов управления органами управления, приборами индикации и сигнализации, средствами связи и другими устройствами;</w:t>
      </w:r>
    </w:p>
    <w:bookmarkEnd w:id="769"/>
    <w:bookmarkStart w:name="z762" w:id="770"/>
    <w:p>
      <w:pPr>
        <w:spacing w:after="0"/>
        <w:ind w:left="0"/>
        <w:jc w:val="both"/>
      </w:pPr>
      <w:r>
        <w:rPr>
          <w:rFonts w:ascii="Times New Roman"/>
          <w:b w:val="false"/>
          <w:i w:val="false"/>
          <w:color w:val="000000"/>
          <w:sz w:val="28"/>
        </w:rPr>
        <w:t>
      3) документы по валопроводу:</w:t>
      </w:r>
    </w:p>
    <w:bookmarkEnd w:id="770"/>
    <w:p>
      <w:pPr>
        <w:spacing w:after="0"/>
        <w:ind w:left="0"/>
        <w:jc w:val="both"/>
      </w:pPr>
      <w:r>
        <w:rPr>
          <w:rFonts w:ascii="Times New Roman"/>
          <w:b w:val="false"/>
          <w:i w:val="false"/>
          <w:color w:val="000000"/>
          <w:sz w:val="28"/>
        </w:rPr>
        <w:t>
      чертеж общего вида валопровода;</w:t>
      </w:r>
    </w:p>
    <w:p>
      <w:pPr>
        <w:spacing w:after="0"/>
        <w:ind w:left="0"/>
        <w:jc w:val="both"/>
      </w:pPr>
      <w:r>
        <w:rPr>
          <w:rFonts w:ascii="Times New Roman"/>
          <w:b w:val="false"/>
          <w:i w:val="false"/>
          <w:color w:val="000000"/>
          <w:sz w:val="28"/>
        </w:rPr>
        <w:t>
      чертежи дейдвудной трубы и деталей дейдвудного устройства;</w:t>
      </w:r>
    </w:p>
    <w:p>
      <w:pPr>
        <w:spacing w:after="0"/>
        <w:ind w:left="0"/>
        <w:jc w:val="both"/>
      </w:pPr>
      <w:r>
        <w:rPr>
          <w:rFonts w:ascii="Times New Roman"/>
          <w:b w:val="false"/>
          <w:i w:val="false"/>
          <w:color w:val="000000"/>
          <w:sz w:val="28"/>
        </w:rPr>
        <w:t>
      чертежи валов (гребных, промежуточных, упорных);</w:t>
      </w:r>
    </w:p>
    <w:p>
      <w:pPr>
        <w:spacing w:after="0"/>
        <w:ind w:left="0"/>
        <w:jc w:val="both"/>
      </w:pPr>
      <w:r>
        <w:rPr>
          <w:rFonts w:ascii="Times New Roman"/>
          <w:b w:val="false"/>
          <w:i w:val="false"/>
          <w:color w:val="000000"/>
          <w:sz w:val="28"/>
        </w:rPr>
        <w:t>
      чертежи соединений валов и соединительных муфт;</w:t>
      </w:r>
    </w:p>
    <w:p>
      <w:pPr>
        <w:spacing w:after="0"/>
        <w:ind w:left="0"/>
        <w:jc w:val="both"/>
      </w:pPr>
      <w:r>
        <w:rPr>
          <w:rFonts w:ascii="Times New Roman"/>
          <w:b w:val="false"/>
          <w:i w:val="false"/>
          <w:color w:val="000000"/>
          <w:sz w:val="28"/>
        </w:rPr>
        <w:t>
      чертежи опорных и упорных подшипников валопровода и их крепления к фундаментам;</w:t>
      </w:r>
    </w:p>
    <w:bookmarkStart w:name="z763" w:id="771"/>
    <w:p>
      <w:pPr>
        <w:spacing w:after="0"/>
        <w:ind w:left="0"/>
        <w:jc w:val="both"/>
      </w:pPr>
      <w:r>
        <w:rPr>
          <w:rFonts w:ascii="Times New Roman"/>
          <w:b w:val="false"/>
          <w:i w:val="false"/>
          <w:color w:val="000000"/>
          <w:sz w:val="28"/>
        </w:rPr>
        <w:t>
      расчет прочности валов и деталей их соединений (штамп об одобрении не ставится);</w:t>
      </w:r>
    </w:p>
    <w:bookmarkEnd w:id="771"/>
    <w:bookmarkStart w:name="z764" w:id="772"/>
    <w:p>
      <w:pPr>
        <w:spacing w:after="0"/>
        <w:ind w:left="0"/>
        <w:jc w:val="both"/>
      </w:pPr>
      <w:r>
        <w:rPr>
          <w:rFonts w:ascii="Times New Roman"/>
          <w:b w:val="false"/>
          <w:i w:val="false"/>
          <w:color w:val="000000"/>
          <w:sz w:val="28"/>
        </w:rPr>
        <w:t>
      расчет количества опор валопровода, координат их расположения и воспринимаемых нагрузок (штамп об одобрении не ставится);</w:t>
      </w:r>
    </w:p>
    <w:bookmarkEnd w:id="772"/>
    <w:bookmarkStart w:name="z765" w:id="773"/>
    <w:p>
      <w:pPr>
        <w:spacing w:after="0"/>
        <w:ind w:left="0"/>
        <w:jc w:val="both"/>
      </w:pPr>
      <w:r>
        <w:rPr>
          <w:rFonts w:ascii="Times New Roman"/>
          <w:b w:val="false"/>
          <w:i w:val="false"/>
          <w:color w:val="000000"/>
          <w:sz w:val="28"/>
        </w:rPr>
        <w:t>
      расчет посадки гребного винта и соединительных муфт валопровода (штамп об одобрении не ставится);</w:t>
      </w:r>
    </w:p>
    <w:bookmarkEnd w:id="773"/>
    <w:bookmarkStart w:name="z766" w:id="774"/>
    <w:p>
      <w:pPr>
        <w:spacing w:after="0"/>
        <w:ind w:left="0"/>
        <w:jc w:val="both"/>
      </w:pPr>
      <w:r>
        <w:rPr>
          <w:rFonts w:ascii="Times New Roman"/>
          <w:b w:val="false"/>
          <w:i w:val="false"/>
          <w:color w:val="000000"/>
          <w:sz w:val="28"/>
        </w:rPr>
        <w:t>
      расчеты на крутильные колебания в соответствии с требованиями подраздела 8 раздела 9 настоящих Правил (штамп об одобрении не ставится). В отдельных случаях требуется расчет осевых колебаний;</w:t>
      </w:r>
    </w:p>
    <w:bookmarkEnd w:id="774"/>
    <w:bookmarkStart w:name="z767" w:id="775"/>
    <w:p>
      <w:pPr>
        <w:spacing w:after="0"/>
        <w:ind w:left="0"/>
        <w:jc w:val="both"/>
      </w:pPr>
      <w:r>
        <w:rPr>
          <w:rFonts w:ascii="Times New Roman"/>
          <w:b w:val="false"/>
          <w:i w:val="false"/>
          <w:color w:val="000000"/>
          <w:sz w:val="28"/>
        </w:rPr>
        <w:t>
      схемы смазки и охлаждения дейдвудных подшипников и уплотнений дейдвудных устройств;</w:t>
      </w:r>
    </w:p>
    <w:bookmarkEnd w:id="775"/>
    <w:bookmarkStart w:name="z768" w:id="776"/>
    <w:p>
      <w:pPr>
        <w:spacing w:after="0"/>
        <w:ind w:left="0"/>
        <w:jc w:val="both"/>
      </w:pPr>
      <w:r>
        <w:rPr>
          <w:rFonts w:ascii="Times New Roman"/>
          <w:b w:val="false"/>
          <w:i w:val="false"/>
          <w:color w:val="000000"/>
          <w:sz w:val="28"/>
        </w:rPr>
        <w:t>
      расчет изгибных колебаний валопровода в соответствии с требованиями подраздела 5 раздела 9 настоящих Правил (штамп об одобрении не ставится);</w:t>
      </w:r>
    </w:p>
    <w:bookmarkEnd w:id="776"/>
    <w:bookmarkStart w:name="z769" w:id="777"/>
    <w:p>
      <w:pPr>
        <w:spacing w:after="0"/>
        <w:ind w:left="0"/>
        <w:jc w:val="both"/>
      </w:pPr>
      <w:r>
        <w:rPr>
          <w:rFonts w:ascii="Times New Roman"/>
          <w:b w:val="false"/>
          <w:i w:val="false"/>
          <w:color w:val="000000"/>
          <w:sz w:val="28"/>
        </w:rPr>
        <w:t>
      4) документы по гребному винту:</w:t>
      </w:r>
    </w:p>
    <w:bookmarkEnd w:id="777"/>
    <w:bookmarkStart w:name="z770" w:id="778"/>
    <w:p>
      <w:pPr>
        <w:spacing w:after="0"/>
        <w:ind w:left="0"/>
        <w:jc w:val="both"/>
      </w:pPr>
      <w:r>
        <w:rPr>
          <w:rFonts w:ascii="Times New Roman"/>
          <w:b w:val="false"/>
          <w:i w:val="false"/>
          <w:color w:val="000000"/>
          <w:sz w:val="28"/>
        </w:rPr>
        <w:t>
      чертеж общего вида гребного винта;</w:t>
      </w:r>
    </w:p>
    <w:bookmarkEnd w:id="778"/>
    <w:bookmarkStart w:name="z771" w:id="779"/>
    <w:p>
      <w:pPr>
        <w:spacing w:after="0"/>
        <w:ind w:left="0"/>
        <w:jc w:val="both"/>
      </w:pPr>
      <w:r>
        <w:rPr>
          <w:rFonts w:ascii="Times New Roman"/>
          <w:b w:val="false"/>
          <w:i w:val="false"/>
          <w:color w:val="000000"/>
          <w:sz w:val="28"/>
        </w:rPr>
        <w:t>
      чертежи лопасти, ступицы и деталей их крепления (для гребного винта со съемными лопастями и ВРШ);</w:t>
      </w:r>
    </w:p>
    <w:bookmarkEnd w:id="779"/>
    <w:bookmarkStart w:name="z772" w:id="780"/>
    <w:p>
      <w:pPr>
        <w:spacing w:after="0"/>
        <w:ind w:left="0"/>
        <w:jc w:val="both"/>
      </w:pPr>
      <w:r>
        <w:rPr>
          <w:rFonts w:ascii="Times New Roman"/>
          <w:b w:val="false"/>
          <w:i w:val="false"/>
          <w:color w:val="000000"/>
          <w:sz w:val="28"/>
        </w:rPr>
        <w:t>
      схемы систем изменения шага и управления винта регулируемого шага (далее - ВРШ) и их описание (на описаниях штамп об одобрении не ставится);</w:t>
      </w:r>
    </w:p>
    <w:bookmarkEnd w:id="780"/>
    <w:bookmarkStart w:name="z773" w:id="781"/>
    <w:p>
      <w:pPr>
        <w:spacing w:after="0"/>
        <w:ind w:left="0"/>
        <w:jc w:val="both"/>
      </w:pPr>
      <w:r>
        <w:rPr>
          <w:rFonts w:ascii="Times New Roman"/>
          <w:b w:val="false"/>
          <w:i w:val="false"/>
          <w:color w:val="000000"/>
          <w:sz w:val="28"/>
        </w:rPr>
        <w:t>
      чертежи основных деталей механизма изменения шага ВРШ, в том числе гидроцилиндры, силовые штанги, поршни, ползуны, трубы подвода масла к гидроцилиндру в ступице;</w:t>
      </w:r>
    </w:p>
    <w:bookmarkEnd w:id="781"/>
    <w:bookmarkStart w:name="z774" w:id="782"/>
    <w:p>
      <w:pPr>
        <w:spacing w:after="0"/>
        <w:ind w:left="0"/>
        <w:jc w:val="both"/>
      </w:pPr>
      <w:r>
        <w:rPr>
          <w:rFonts w:ascii="Times New Roman"/>
          <w:b w:val="false"/>
          <w:i w:val="false"/>
          <w:color w:val="000000"/>
          <w:sz w:val="28"/>
        </w:rPr>
        <w:t>
      расчет прочности лопасти гребного винта, а для винтов со съемными лопастями и ВРШ - также расчет крепления лопастей к ступице (штамп об одобрении не ставится);</w:t>
      </w:r>
    </w:p>
    <w:bookmarkEnd w:id="782"/>
    <w:bookmarkStart w:name="z775" w:id="783"/>
    <w:p>
      <w:pPr>
        <w:spacing w:after="0"/>
        <w:ind w:left="0"/>
        <w:jc w:val="both"/>
      </w:pPr>
      <w:r>
        <w:rPr>
          <w:rFonts w:ascii="Times New Roman"/>
          <w:b w:val="false"/>
          <w:i w:val="false"/>
          <w:color w:val="000000"/>
          <w:sz w:val="28"/>
        </w:rPr>
        <w:t>
      5) документы по средствам активного управления судном (далее - САУС):</w:t>
      </w:r>
    </w:p>
    <w:bookmarkEnd w:id="783"/>
    <w:bookmarkStart w:name="z776" w:id="784"/>
    <w:p>
      <w:pPr>
        <w:spacing w:after="0"/>
        <w:ind w:left="0"/>
        <w:jc w:val="both"/>
      </w:pPr>
      <w:r>
        <w:rPr>
          <w:rFonts w:ascii="Times New Roman"/>
          <w:b w:val="false"/>
          <w:i w:val="false"/>
          <w:color w:val="000000"/>
          <w:sz w:val="28"/>
        </w:rPr>
        <w:t>
      чертежи общего вида с необходимыми разрезами и узлами уплотнений;</w:t>
      </w:r>
    </w:p>
    <w:bookmarkEnd w:id="784"/>
    <w:bookmarkStart w:name="z777" w:id="785"/>
    <w:p>
      <w:pPr>
        <w:spacing w:after="0"/>
        <w:ind w:left="0"/>
        <w:jc w:val="both"/>
      </w:pPr>
      <w:r>
        <w:rPr>
          <w:rFonts w:ascii="Times New Roman"/>
          <w:b w:val="false"/>
          <w:i w:val="false"/>
          <w:color w:val="000000"/>
          <w:sz w:val="28"/>
        </w:rPr>
        <w:t>
      чертежи и расчеты гребного винта, валов, муфт, зубчатых колес и шестерен движительных колонок, водометов и подруливающих устройств (на расчетах штамп об одобрении не ставится);</w:t>
      </w:r>
    </w:p>
    <w:bookmarkEnd w:id="785"/>
    <w:bookmarkStart w:name="z778" w:id="786"/>
    <w:p>
      <w:pPr>
        <w:spacing w:after="0"/>
        <w:ind w:left="0"/>
        <w:jc w:val="both"/>
      </w:pPr>
      <w:r>
        <w:rPr>
          <w:rFonts w:ascii="Times New Roman"/>
          <w:b w:val="false"/>
          <w:i w:val="false"/>
          <w:color w:val="000000"/>
          <w:sz w:val="28"/>
        </w:rPr>
        <w:t>
      чертежи валов, передач, роторов, лопастей и механизма поворота лопастей крыльчатых движителей, а также расчеты прочности ведущего вала ротора, лопасти, передачи (на расчетах штамп об одобрении не ставится);</w:t>
      </w:r>
    </w:p>
    <w:bookmarkEnd w:id="786"/>
    <w:bookmarkStart w:name="z779" w:id="787"/>
    <w:p>
      <w:pPr>
        <w:spacing w:after="0"/>
        <w:ind w:left="0"/>
        <w:jc w:val="both"/>
      </w:pPr>
      <w:r>
        <w:rPr>
          <w:rFonts w:ascii="Times New Roman"/>
          <w:b w:val="false"/>
          <w:i w:val="false"/>
          <w:color w:val="000000"/>
          <w:sz w:val="28"/>
        </w:rPr>
        <w:t>
      чертежи подшипников и уплотнений;</w:t>
      </w:r>
    </w:p>
    <w:bookmarkEnd w:id="787"/>
    <w:bookmarkStart w:name="z780" w:id="788"/>
    <w:p>
      <w:pPr>
        <w:spacing w:after="0"/>
        <w:ind w:left="0"/>
        <w:jc w:val="both"/>
      </w:pPr>
      <w:r>
        <w:rPr>
          <w:rFonts w:ascii="Times New Roman"/>
          <w:b w:val="false"/>
          <w:i w:val="false"/>
          <w:color w:val="000000"/>
          <w:sz w:val="28"/>
        </w:rPr>
        <w:t>
      чертежи деталей корпуса и расчеты соединений, чертежи насадок винтов и тоннелей (на расчетах штампы об одобрении не ставятся);</w:t>
      </w:r>
    </w:p>
    <w:bookmarkEnd w:id="788"/>
    <w:bookmarkStart w:name="z781" w:id="789"/>
    <w:p>
      <w:pPr>
        <w:spacing w:after="0"/>
        <w:ind w:left="0"/>
        <w:jc w:val="both"/>
      </w:pPr>
      <w:r>
        <w:rPr>
          <w:rFonts w:ascii="Times New Roman"/>
          <w:b w:val="false"/>
          <w:i w:val="false"/>
          <w:color w:val="000000"/>
          <w:sz w:val="28"/>
        </w:rPr>
        <w:t>
      схемы систем охлаждения, смазки, гидравлики разворота колонок (лопастей ВРШ), а также данные трубопроводов перечисленных систем;</w:t>
      </w:r>
    </w:p>
    <w:bookmarkEnd w:id="789"/>
    <w:bookmarkStart w:name="z782" w:id="790"/>
    <w:p>
      <w:pPr>
        <w:spacing w:after="0"/>
        <w:ind w:left="0"/>
        <w:jc w:val="both"/>
      </w:pPr>
      <w:r>
        <w:rPr>
          <w:rFonts w:ascii="Times New Roman"/>
          <w:b w:val="false"/>
          <w:i w:val="false"/>
          <w:color w:val="000000"/>
          <w:sz w:val="28"/>
        </w:rPr>
        <w:t>
      расчеты и схемы электропривода для электроприводных САУС (на расчетах штамп об одобрении не ставится);</w:t>
      </w:r>
    </w:p>
    <w:bookmarkEnd w:id="790"/>
    <w:bookmarkStart w:name="z783" w:id="791"/>
    <w:p>
      <w:pPr>
        <w:spacing w:after="0"/>
        <w:ind w:left="0"/>
        <w:jc w:val="both"/>
      </w:pPr>
      <w:r>
        <w:rPr>
          <w:rFonts w:ascii="Times New Roman"/>
          <w:b w:val="false"/>
          <w:i w:val="false"/>
          <w:color w:val="000000"/>
          <w:sz w:val="28"/>
        </w:rPr>
        <w:t>
      документация по системам контроля, управления и защиты;</w:t>
      </w:r>
    </w:p>
    <w:bookmarkEnd w:id="791"/>
    <w:bookmarkStart w:name="z784" w:id="792"/>
    <w:p>
      <w:pPr>
        <w:spacing w:after="0"/>
        <w:ind w:left="0"/>
        <w:jc w:val="both"/>
      </w:pPr>
      <w:r>
        <w:rPr>
          <w:rFonts w:ascii="Times New Roman"/>
          <w:b w:val="false"/>
          <w:i w:val="false"/>
          <w:color w:val="000000"/>
          <w:sz w:val="28"/>
        </w:rPr>
        <w:t>
      расчеты крутильных колебаний (для главных САУС и систем динамического позиционирования) и ресурса подшипников качения (на расчетах штамп об одобрении не ставится).</w:t>
      </w:r>
    </w:p>
    <w:bookmarkEnd w:id="792"/>
    <w:bookmarkStart w:name="z785" w:id="793"/>
    <w:p>
      <w:pPr>
        <w:spacing w:after="0"/>
        <w:ind w:left="0"/>
        <w:jc w:val="both"/>
      </w:pPr>
      <w:r>
        <w:rPr>
          <w:rFonts w:ascii="Times New Roman"/>
          <w:b w:val="false"/>
          <w:i w:val="false"/>
          <w:color w:val="000000"/>
          <w:sz w:val="28"/>
        </w:rPr>
        <w:t>
      Дополнительно Регистр судоходства требует представление расчетов вращательных и маятниковых колебаний для винторулевых колонок в случае их применения в качестве главных САУС;</w:t>
      </w:r>
    </w:p>
    <w:bookmarkEnd w:id="793"/>
    <w:bookmarkStart w:name="z786" w:id="794"/>
    <w:p>
      <w:pPr>
        <w:spacing w:after="0"/>
        <w:ind w:left="0"/>
        <w:jc w:val="both"/>
      </w:pPr>
      <w:r>
        <w:rPr>
          <w:rFonts w:ascii="Times New Roman"/>
          <w:b w:val="false"/>
          <w:i w:val="false"/>
          <w:color w:val="000000"/>
          <w:sz w:val="28"/>
        </w:rPr>
        <w:t>
      спецификация материалов основных деталей;</w:t>
      </w:r>
    </w:p>
    <w:bookmarkEnd w:id="794"/>
    <w:bookmarkStart w:name="z787" w:id="795"/>
    <w:p>
      <w:pPr>
        <w:spacing w:after="0"/>
        <w:ind w:left="0"/>
        <w:jc w:val="both"/>
      </w:pPr>
      <w:r>
        <w:rPr>
          <w:rFonts w:ascii="Times New Roman"/>
          <w:b w:val="false"/>
          <w:i w:val="false"/>
          <w:color w:val="000000"/>
          <w:sz w:val="28"/>
        </w:rPr>
        <w:t>
      программа испытаний головного и опытного образца;</w:t>
      </w:r>
    </w:p>
    <w:bookmarkEnd w:id="795"/>
    <w:bookmarkStart w:name="z788" w:id="796"/>
    <w:p>
      <w:pPr>
        <w:spacing w:after="0"/>
        <w:ind w:left="0"/>
        <w:jc w:val="both"/>
      </w:pPr>
      <w:r>
        <w:rPr>
          <w:rFonts w:ascii="Times New Roman"/>
          <w:b w:val="false"/>
          <w:i w:val="false"/>
          <w:color w:val="000000"/>
          <w:sz w:val="28"/>
        </w:rPr>
        <w:t>
      описание, руководство по эксплуатации и обслуживанию (штамп об одобрении не ставится);</w:t>
      </w:r>
    </w:p>
    <w:bookmarkEnd w:id="796"/>
    <w:bookmarkStart w:name="z789" w:id="797"/>
    <w:p>
      <w:pPr>
        <w:spacing w:after="0"/>
        <w:ind w:left="0"/>
        <w:jc w:val="both"/>
      </w:pPr>
      <w:r>
        <w:rPr>
          <w:rFonts w:ascii="Times New Roman"/>
          <w:b w:val="false"/>
          <w:i w:val="false"/>
          <w:color w:val="000000"/>
          <w:sz w:val="28"/>
        </w:rPr>
        <w:t>
      6) документы по холодильным установкам (раздел 3 настоящих Правил).</w:t>
      </w:r>
    </w:p>
    <w:bookmarkEnd w:id="797"/>
    <w:bookmarkStart w:name="z790" w:id="798"/>
    <w:p>
      <w:pPr>
        <w:spacing w:after="0"/>
        <w:ind w:left="0"/>
        <w:jc w:val="both"/>
      </w:pPr>
      <w:r>
        <w:rPr>
          <w:rFonts w:ascii="Times New Roman"/>
          <w:b w:val="false"/>
          <w:i w:val="false"/>
          <w:color w:val="000000"/>
          <w:sz w:val="28"/>
        </w:rPr>
        <w:t>
      92. Без последующего одобрения рабочей документации следует представить документацию, указанную в пункте 90 настоящих Правил, в которой содержатся сведения по обработке и геометрии рабочих поверхностей, термической обработке, допускам сопрягаемых деталей, гидравлическим испытаниям, неразрушающему контролю, и дополнительно:</w:t>
      </w:r>
    </w:p>
    <w:bookmarkEnd w:id="798"/>
    <w:bookmarkStart w:name="z791" w:id="799"/>
    <w:p>
      <w:pPr>
        <w:spacing w:after="0"/>
        <w:ind w:left="0"/>
        <w:jc w:val="both"/>
      </w:pPr>
      <w:r>
        <w:rPr>
          <w:rFonts w:ascii="Times New Roman"/>
          <w:b w:val="false"/>
          <w:i w:val="false"/>
          <w:color w:val="000000"/>
          <w:sz w:val="28"/>
        </w:rPr>
        <w:t>
      1) расчет параметров центровки валопровода (штамп об одобрении не ставится);</w:t>
      </w:r>
    </w:p>
    <w:bookmarkEnd w:id="799"/>
    <w:bookmarkStart w:name="z792" w:id="800"/>
    <w:p>
      <w:pPr>
        <w:spacing w:after="0"/>
        <w:ind w:left="0"/>
        <w:jc w:val="both"/>
      </w:pPr>
      <w:r>
        <w:rPr>
          <w:rFonts w:ascii="Times New Roman"/>
          <w:b w:val="false"/>
          <w:i w:val="false"/>
          <w:color w:val="000000"/>
          <w:sz w:val="28"/>
        </w:rPr>
        <w:t>
      2) чертежи установки на фундаменты и узлов крепления главных механизмов, подшипников валопровода и котлов;</w:t>
      </w:r>
    </w:p>
    <w:bookmarkEnd w:id="800"/>
    <w:bookmarkStart w:name="z793" w:id="801"/>
    <w:p>
      <w:pPr>
        <w:spacing w:after="0"/>
        <w:ind w:left="0"/>
        <w:jc w:val="both"/>
      </w:pPr>
      <w:r>
        <w:rPr>
          <w:rFonts w:ascii="Times New Roman"/>
          <w:b w:val="false"/>
          <w:i w:val="false"/>
          <w:color w:val="000000"/>
          <w:sz w:val="28"/>
        </w:rPr>
        <w:t>
      3) ведомость запасных частей;</w:t>
      </w:r>
    </w:p>
    <w:bookmarkEnd w:id="801"/>
    <w:bookmarkStart w:name="z794" w:id="802"/>
    <w:p>
      <w:pPr>
        <w:spacing w:after="0"/>
        <w:ind w:left="0"/>
        <w:jc w:val="both"/>
      </w:pPr>
      <w:r>
        <w:rPr>
          <w:rFonts w:ascii="Times New Roman"/>
          <w:b w:val="false"/>
          <w:i w:val="false"/>
          <w:color w:val="000000"/>
          <w:sz w:val="28"/>
        </w:rPr>
        <w:t>
      4) программу швартовных и ходовых испытаний.</w:t>
      </w:r>
    </w:p>
    <w:bookmarkEnd w:id="802"/>
    <w:bookmarkStart w:name="z795" w:id="803"/>
    <w:p>
      <w:pPr>
        <w:spacing w:after="0"/>
        <w:ind w:left="0"/>
        <w:jc w:val="both"/>
      </w:pPr>
      <w:r>
        <w:rPr>
          <w:rFonts w:ascii="Times New Roman"/>
          <w:b w:val="false"/>
          <w:i w:val="false"/>
          <w:color w:val="000000"/>
          <w:sz w:val="28"/>
        </w:rPr>
        <w:t>
      93. При последующем одобрении рабочей документации для оборудования автоматизации представляются:</w:t>
      </w:r>
    </w:p>
    <w:bookmarkEnd w:id="803"/>
    <w:bookmarkStart w:name="z796" w:id="804"/>
    <w:p>
      <w:pPr>
        <w:spacing w:after="0"/>
        <w:ind w:left="0"/>
        <w:jc w:val="both"/>
      </w:pPr>
      <w:r>
        <w:rPr>
          <w:rFonts w:ascii="Times New Roman"/>
          <w:b w:val="false"/>
          <w:i w:val="false"/>
          <w:color w:val="000000"/>
          <w:sz w:val="28"/>
        </w:rPr>
        <w:t>
      1) перечень систем, устройств и элементов автоматизации, их техническое описание с указанием назначения и принципа действия, сведений о надежности и об одобрении Регистром судоходства;</w:t>
      </w:r>
    </w:p>
    <w:bookmarkEnd w:id="804"/>
    <w:bookmarkStart w:name="z797" w:id="805"/>
    <w:p>
      <w:pPr>
        <w:spacing w:after="0"/>
        <w:ind w:left="0"/>
        <w:jc w:val="both"/>
      </w:pPr>
      <w:r>
        <w:rPr>
          <w:rFonts w:ascii="Times New Roman"/>
          <w:b w:val="false"/>
          <w:i w:val="false"/>
          <w:color w:val="000000"/>
          <w:sz w:val="28"/>
        </w:rPr>
        <w:t>
      2) принципиальные и функциональные схемы систем аварийно-предупредительной сигнализации (далее - АПС), включая схемы питания;</w:t>
      </w:r>
    </w:p>
    <w:bookmarkEnd w:id="805"/>
    <w:bookmarkStart w:name="z798" w:id="806"/>
    <w:p>
      <w:pPr>
        <w:spacing w:after="0"/>
        <w:ind w:left="0"/>
        <w:jc w:val="both"/>
      </w:pPr>
      <w:r>
        <w:rPr>
          <w:rFonts w:ascii="Times New Roman"/>
          <w:b w:val="false"/>
          <w:i w:val="false"/>
          <w:color w:val="000000"/>
          <w:sz w:val="28"/>
        </w:rPr>
        <w:t>
      3) перечень контролируемых параметров с указанием типов приборов, заводов-изготовителей, сведений о надежности и об одобрении приборов Регистром судоходства;</w:t>
      </w:r>
    </w:p>
    <w:bookmarkEnd w:id="806"/>
    <w:bookmarkStart w:name="z799" w:id="807"/>
    <w:p>
      <w:pPr>
        <w:spacing w:after="0"/>
        <w:ind w:left="0"/>
        <w:jc w:val="both"/>
      </w:pPr>
      <w:r>
        <w:rPr>
          <w:rFonts w:ascii="Times New Roman"/>
          <w:b w:val="false"/>
          <w:i w:val="false"/>
          <w:color w:val="000000"/>
          <w:sz w:val="28"/>
        </w:rPr>
        <w:t>
      4) техническая документация по системам дистанционного автоматизированного управления (далее - ДАУ) главными двигателями и ВРШ:</w:t>
      </w:r>
    </w:p>
    <w:bookmarkEnd w:id="807"/>
    <w:bookmarkStart w:name="z800" w:id="808"/>
    <w:p>
      <w:pPr>
        <w:spacing w:after="0"/>
        <w:ind w:left="0"/>
        <w:jc w:val="both"/>
      </w:pPr>
      <w:r>
        <w:rPr>
          <w:rFonts w:ascii="Times New Roman"/>
          <w:b w:val="false"/>
          <w:i w:val="false"/>
          <w:color w:val="000000"/>
          <w:sz w:val="28"/>
        </w:rPr>
        <w:t>
      функциональные и принципиальные схемы, лицевые панели пультов ДАУ с указанием всех приборов, схемы питания ДАУ, схемы защиты, сигнализации и индикации параметров главных двигателей и ВРШ;</w:t>
      </w:r>
    </w:p>
    <w:bookmarkEnd w:id="808"/>
    <w:bookmarkStart w:name="z801" w:id="809"/>
    <w:p>
      <w:pPr>
        <w:spacing w:after="0"/>
        <w:ind w:left="0"/>
        <w:jc w:val="both"/>
      </w:pPr>
      <w:r>
        <w:rPr>
          <w:rFonts w:ascii="Times New Roman"/>
          <w:b w:val="false"/>
          <w:i w:val="false"/>
          <w:color w:val="000000"/>
          <w:sz w:val="28"/>
        </w:rPr>
        <w:t>
      5) функциональные и принципиальные схемы автоматизации систем главных двигателей (систем охлаждения, смазки, топливоподготовки);</w:t>
      </w:r>
    </w:p>
    <w:bookmarkEnd w:id="809"/>
    <w:bookmarkStart w:name="z802" w:id="810"/>
    <w:p>
      <w:pPr>
        <w:spacing w:after="0"/>
        <w:ind w:left="0"/>
        <w:jc w:val="both"/>
      </w:pPr>
      <w:r>
        <w:rPr>
          <w:rFonts w:ascii="Times New Roman"/>
          <w:b w:val="false"/>
          <w:i w:val="false"/>
          <w:color w:val="000000"/>
          <w:sz w:val="28"/>
        </w:rPr>
        <w:t>
      6) техническая документация по автоматизации вспомогательных двигателей и электростанции:</w:t>
      </w:r>
    </w:p>
    <w:bookmarkEnd w:id="810"/>
    <w:bookmarkStart w:name="z803" w:id="811"/>
    <w:p>
      <w:pPr>
        <w:spacing w:after="0"/>
        <w:ind w:left="0"/>
        <w:jc w:val="both"/>
      </w:pPr>
      <w:r>
        <w:rPr>
          <w:rFonts w:ascii="Times New Roman"/>
          <w:b w:val="false"/>
          <w:i w:val="false"/>
          <w:color w:val="000000"/>
          <w:sz w:val="28"/>
        </w:rPr>
        <w:t>
      функциональные и принципиальные схемы, лицевые панели пультов управления электростанцией с указанием всех приборов, схемы питания, схемы защит, сигнализации и индикации параметров вспомогательных двигателей и электрогенераторов;</w:t>
      </w:r>
    </w:p>
    <w:bookmarkEnd w:id="811"/>
    <w:bookmarkStart w:name="z804" w:id="812"/>
    <w:p>
      <w:pPr>
        <w:spacing w:after="0"/>
        <w:ind w:left="0"/>
        <w:jc w:val="both"/>
      </w:pPr>
      <w:r>
        <w:rPr>
          <w:rFonts w:ascii="Times New Roman"/>
          <w:b w:val="false"/>
          <w:i w:val="false"/>
          <w:color w:val="000000"/>
          <w:sz w:val="28"/>
        </w:rPr>
        <w:t>
      7) техническая документация по автоматизации котельной установки:</w:t>
      </w:r>
    </w:p>
    <w:bookmarkEnd w:id="812"/>
    <w:bookmarkStart w:name="z805" w:id="813"/>
    <w:p>
      <w:pPr>
        <w:spacing w:after="0"/>
        <w:ind w:left="0"/>
        <w:jc w:val="both"/>
      </w:pPr>
      <w:r>
        <w:rPr>
          <w:rFonts w:ascii="Times New Roman"/>
          <w:b w:val="false"/>
          <w:i w:val="false"/>
          <w:color w:val="000000"/>
          <w:sz w:val="28"/>
        </w:rPr>
        <w:t>
      функциональные и принципиальные схемы, лицевые панели пультов управления с указанием всех приборов, схемы питания, схемы защит, сигнализации и индикации параметров;</w:t>
      </w:r>
    </w:p>
    <w:bookmarkEnd w:id="813"/>
    <w:bookmarkStart w:name="z806" w:id="814"/>
    <w:p>
      <w:pPr>
        <w:spacing w:after="0"/>
        <w:ind w:left="0"/>
        <w:jc w:val="both"/>
      </w:pPr>
      <w:r>
        <w:rPr>
          <w:rFonts w:ascii="Times New Roman"/>
          <w:b w:val="false"/>
          <w:i w:val="false"/>
          <w:color w:val="000000"/>
          <w:sz w:val="28"/>
        </w:rPr>
        <w:t>
      8) функциональные и принципиальные схемы автоматизации компрессоров пускового воздуха, включая схемы защит, сигнализации и индикации;</w:t>
      </w:r>
    </w:p>
    <w:bookmarkEnd w:id="814"/>
    <w:bookmarkStart w:name="z807" w:id="815"/>
    <w:p>
      <w:pPr>
        <w:spacing w:after="0"/>
        <w:ind w:left="0"/>
        <w:jc w:val="both"/>
      </w:pPr>
      <w:r>
        <w:rPr>
          <w:rFonts w:ascii="Times New Roman"/>
          <w:b w:val="false"/>
          <w:i w:val="false"/>
          <w:color w:val="000000"/>
          <w:sz w:val="28"/>
        </w:rPr>
        <w:t>
      9) функциональные и принципиальные схемы автоматизации и дистанционного управления осушительной и балластной системами, схемы питания, сигнализации и индикации;</w:t>
      </w:r>
    </w:p>
    <w:bookmarkEnd w:id="815"/>
    <w:bookmarkStart w:name="z808" w:id="816"/>
    <w:p>
      <w:pPr>
        <w:spacing w:after="0"/>
        <w:ind w:left="0"/>
        <w:jc w:val="both"/>
      </w:pPr>
      <w:r>
        <w:rPr>
          <w:rFonts w:ascii="Times New Roman"/>
          <w:b w:val="false"/>
          <w:i w:val="false"/>
          <w:color w:val="000000"/>
          <w:sz w:val="28"/>
        </w:rPr>
        <w:t>
      10) функциональные и принципиальные схемы систем дистанционного измерения уровня в цистернах;</w:t>
      </w:r>
    </w:p>
    <w:bookmarkEnd w:id="816"/>
    <w:bookmarkStart w:name="z809" w:id="817"/>
    <w:p>
      <w:pPr>
        <w:spacing w:after="0"/>
        <w:ind w:left="0"/>
        <w:jc w:val="both"/>
      </w:pPr>
      <w:r>
        <w:rPr>
          <w:rFonts w:ascii="Times New Roman"/>
          <w:b w:val="false"/>
          <w:i w:val="false"/>
          <w:color w:val="000000"/>
          <w:sz w:val="28"/>
        </w:rPr>
        <w:t>
      11) чертежи лицевых панелей пультов и щитов систем управления и сигнализации в центральном пульте управления (далее - ЦПУ) и на ходовом мостике с указанием всех приборов;</w:t>
      </w:r>
    </w:p>
    <w:bookmarkEnd w:id="817"/>
    <w:bookmarkStart w:name="z810" w:id="818"/>
    <w:p>
      <w:pPr>
        <w:spacing w:after="0"/>
        <w:ind w:left="0"/>
        <w:jc w:val="both"/>
      </w:pPr>
      <w:r>
        <w:rPr>
          <w:rFonts w:ascii="Times New Roman"/>
          <w:b w:val="false"/>
          <w:i w:val="false"/>
          <w:color w:val="000000"/>
          <w:sz w:val="28"/>
        </w:rPr>
        <w:t>
      12) чертежи общего расположения оборудования автоматизации в ЦПУ и на ходовом мостике;</w:t>
      </w:r>
    </w:p>
    <w:bookmarkEnd w:id="818"/>
    <w:bookmarkStart w:name="z811" w:id="819"/>
    <w:p>
      <w:pPr>
        <w:spacing w:after="0"/>
        <w:ind w:left="0"/>
        <w:jc w:val="both"/>
      </w:pPr>
      <w:r>
        <w:rPr>
          <w:rFonts w:ascii="Times New Roman"/>
          <w:b w:val="false"/>
          <w:i w:val="false"/>
          <w:color w:val="000000"/>
          <w:sz w:val="28"/>
        </w:rPr>
        <w:t>
      13) ведомость запасных частей для отдельных систем автоматизации.</w:t>
      </w:r>
    </w:p>
    <w:bookmarkEnd w:id="819"/>
    <w:bookmarkStart w:name="z812" w:id="820"/>
    <w:p>
      <w:pPr>
        <w:spacing w:after="0"/>
        <w:ind w:left="0"/>
        <w:jc w:val="both"/>
      </w:pPr>
      <w:r>
        <w:rPr>
          <w:rFonts w:ascii="Times New Roman"/>
          <w:b w:val="false"/>
          <w:i w:val="false"/>
          <w:color w:val="000000"/>
          <w:sz w:val="28"/>
        </w:rPr>
        <w:t>
      94. Без последующего одобрения рабочей документации следует представить документацию, указанную в пункте 93 настоящих Правил, и дополнительно:</w:t>
      </w:r>
    </w:p>
    <w:bookmarkEnd w:id="820"/>
    <w:bookmarkStart w:name="z813" w:id="821"/>
    <w:p>
      <w:pPr>
        <w:spacing w:after="0"/>
        <w:ind w:left="0"/>
        <w:jc w:val="both"/>
      </w:pPr>
      <w:r>
        <w:rPr>
          <w:rFonts w:ascii="Times New Roman"/>
          <w:b w:val="false"/>
          <w:i w:val="false"/>
          <w:color w:val="000000"/>
          <w:sz w:val="28"/>
        </w:rPr>
        <w:t>
      1) функциональные и принципиальные схемы автоматизации систем, перечисленных в соответствующих разделах Правил, но не указанных в пункте 93 настоящих Правил;</w:t>
      </w:r>
    </w:p>
    <w:bookmarkEnd w:id="821"/>
    <w:bookmarkStart w:name="z814" w:id="822"/>
    <w:p>
      <w:pPr>
        <w:spacing w:after="0"/>
        <w:ind w:left="0"/>
        <w:jc w:val="both"/>
      </w:pPr>
      <w:r>
        <w:rPr>
          <w:rFonts w:ascii="Times New Roman"/>
          <w:b w:val="false"/>
          <w:i w:val="false"/>
          <w:color w:val="000000"/>
          <w:sz w:val="28"/>
        </w:rPr>
        <w:t>
      2) программу швартовных и ходовых испытаний;</w:t>
      </w:r>
    </w:p>
    <w:bookmarkEnd w:id="822"/>
    <w:bookmarkStart w:name="z815" w:id="823"/>
    <w:p>
      <w:pPr>
        <w:spacing w:after="0"/>
        <w:ind w:left="0"/>
        <w:jc w:val="both"/>
      </w:pPr>
      <w:r>
        <w:rPr>
          <w:rFonts w:ascii="Times New Roman"/>
          <w:b w:val="false"/>
          <w:i w:val="false"/>
          <w:color w:val="000000"/>
          <w:sz w:val="28"/>
        </w:rPr>
        <w:t>
      3) ведомость запасных частей для отдельных систем автоматизации.</w:t>
      </w:r>
    </w:p>
    <w:bookmarkEnd w:id="823"/>
    <w:bookmarkStart w:name="z816" w:id="824"/>
    <w:p>
      <w:pPr>
        <w:spacing w:after="0"/>
        <w:ind w:left="0"/>
        <w:jc w:val="both"/>
      </w:pPr>
      <w:r>
        <w:rPr>
          <w:rFonts w:ascii="Times New Roman"/>
          <w:b w:val="false"/>
          <w:i w:val="false"/>
          <w:color w:val="000000"/>
          <w:sz w:val="28"/>
        </w:rPr>
        <w:t>
      95. При последующем одобрении рабочей документации представляются по системам и трубопроводам:</w:t>
      </w:r>
    </w:p>
    <w:bookmarkEnd w:id="824"/>
    <w:bookmarkStart w:name="z817" w:id="825"/>
    <w:p>
      <w:pPr>
        <w:spacing w:after="0"/>
        <w:ind w:left="0"/>
        <w:jc w:val="both"/>
      </w:pPr>
      <w:r>
        <w:rPr>
          <w:rFonts w:ascii="Times New Roman"/>
          <w:b w:val="false"/>
          <w:i w:val="false"/>
          <w:color w:val="000000"/>
          <w:sz w:val="28"/>
        </w:rPr>
        <w:t>
      1) документы по общесудовым системам:</w:t>
      </w:r>
    </w:p>
    <w:bookmarkEnd w:id="825"/>
    <w:bookmarkStart w:name="z818" w:id="826"/>
    <w:p>
      <w:pPr>
        <w:spacing w:after="0"/>
        <w:ind w:left="0"/>
        <w:jc w:val="both"/>
      </w:pPr>
      <w:r>
        <w:rPr>
          <w:rFonts w:ascii="Times New Roman"/>
          <w:b w:val="false"/>
          <w:i w:val="false"/>
          <w:color w:val="000000"/>
          <w:sz w:val="28"/>
        </w:rPr>
        <w:t>
      схема осушительной системы;</w:t>
      </w:r>
    </w:p>
    <w:bookmarkEnd w:id="826"/>
    <w:bookmarkStart w:name="z819" w:id="827"/>
    <w:p>
      <w:pPr>
        <w:spacing w:after="0"/>
        <w:ind w:left="0"/>
        <w:jc w:val="both"/>
      </w:pPr>
      <w:r>
        <w:rPr>
          <w:rFonts w:ascii="Times New Roman"/>
          <w:b w:val="false"/>
          <w:i w:val="false"/>
          <w:color w:val="000000"/>
          <w:sz w:val="28"/>
        </w:rPr>
        <w:t>
      схема балластной системы;</w:t>
      </w:r>
    </w:p>
    <w:bookmarkEnd w:id="827"/>
    <w:bookmarkStart w:name="z820" w:id="828"/>
    <w:p>
      <w:pPr>
        <w:spacing w:after="0"/>
        <w:ind w:left="0"/>
        <w:jc w:val="both"/>
      </w:pPr>
      <w:r>
        <w:rPr>
          <w:rFonts w:ascii="Times New Roman"/>
          <w:b w:val="false"/>
          <w:i w:val="false"/>
          <w:color w:val="000000"/>
          <w:sz w:val="28"/>
        </w:rPr>
        <w:t>
      схемы креновой и дифферентной систем и устройств (автоматических и управляемых вручную) для выравнивания аварийной посадки судна контрзатоплением;</w:t>
      </w:r>
    </w:p>
    <w:bookmarkEnd w:id="828"/>
    <w:bookmarkStart w:name="z821" w:id="829"/>
    <w:p>
      <w:pPr>
        <w:spacing w:after="0"/>
        <w:ind w:left="0"/>
        <w:jc w:val="both"/>
      </w:pPr>
      <w:r>
        <w:rPr>
          <w:rFonts w:ascii="Times New Roman"/>
          <w:b w:val="false"/>
          <w:i w:val="false"/>
          <w:color w:val="000000"/>
          <w:sz w:val="28"/>
        </w:rPr>
        <w:t>
      схемы воздушных, переливных и измерительных труб;</w:t>
      </w:r>
    </w:p>
    <w:bookmarkEnd w:id="829"/>
    <w:bookmarkStart w:name="z822" w:id="830"/>
    <w:p>
      <w:pPr>
        <w:spacing w:after="0"/>
        <w:ind w:left="0"/>
        <w:jc w:val="both"/>
      </w:pPr>
      <w:r>
        <w:rPr>
          <w:rFonts w:ascii="Times New Roman"/>
          <w:b w:val="false"/>
          <w:i w:val="false"/>
          <w:color w:val="000000"/>
          <w:sz w:val="28"/>
        </w:rPr>
        <w:t>
      схемы систем вентиляции и кондиционирования воздуха жилых, служебных, грузовых, машинных и производственных помещений с нанесением водонепроницаемых и противопожарных переборок, расположения противопожарных заслонок, а также с указанием закрытий вентиляционных каналов и отверстий;</w:t>
      </w:r>
    </w:p>
    <w:bookmarkEnd w:id="830"/>
    <w:bookmarkStart w:name="z823" w:id="831"/>
    <w:p>
      <w:pPr>
        <w:spacing w:after="0"/>
        <w:ind w:left="0"/>
        <w:jc w:val="both"/>
      </w:pPr>
      <w:r>
        <w:rPr>
          <w:rFonts w:ascii="Times New Roman"/>
          <w:b w:val="false"/>
          <w:i w:val="false"/>
          <w:color w:val="000000"/>
          <w:sz w:val="28"/>
        </w:rPr>
        <w:t>
      схемы систем сточных и хозяйственно-бытовых вод, а также шпигатов с нанесением водонепроницаемых переборок, палубы надводного борта и расстояний от ватерлинии или палубы надводного борта до соответствующих отверстий, указанных в пунктах 3092 и 3094 настоящих Правил;</w:t>
      </w:r>
    </w:p>
    <w:bookmarkEnd w:id="831"/>
    <w:bookmarkStart w:name="z824" w:id="832"/>
    <w:p>
      <w:pPr>
        <w:spacing w:after="0"/>
        <w:ind w:left="0"/>
        <w:jc w:val="both"/>
      </w:pPr>
      <w:r>
        <w:rPr>
          <w:rFonts w:ascii="Times New Roman"/>
          <w:b w:val="false"/>
          <w:i w:val="false"/>
          <w:color w:val="000000"/>
          <w:sz w:val="28"/>
        </w:rPr>
        <w:t>
      схемы систем обогрева и продувания кингстонных ящиков, обогрева бортовой арматуры, подогрева жидкостей в цистернах, пропаривания цистерн;</w:t>
      </w:r>
    </w:p>
    <w:bookmarkEnd w:id="832"/>
    <w:bookmarkStart w:name="z825" w:id="833"/>
    <w:p>
      <w:pPr>
        <w:spacing w:after="0"/>
        <w:ind w:left="0"/>
        <w:jc w:val="both"/>
      </w:pPr>
      <w:r>
        <w:rPr>
          <w:rFonts w:ascii="Times New Roman"/>
          <w:b w:val="false"/>
          <w:i w:val="false"/>
          <w:color w:val="000000"/>
          <w:sz w:val="28"/>
        </w:rPr>
        <w:t>
      схема системы сжатого воздуха для тифонов, для продувания кингстонных ящиков;</w:t>
      </w:r>
    </w:p>
    <w:bookmarkEnd w:id="833"/>
    <w:bookmarkStart w:name="z826" w:id="834"/>
    <w:p>
      <w:pPr>
        <w:spacing w:after="0"/>
        <w:ind w:left="0"/>
        <w:jc w:val="both"/>
      </w:pPr>
      <w:r>
        <w:rPr>
          <w:rFonts w:ascii="Times New Roman"/>
          <w:b w:val="false"/>
          <w:i w:val="false"/>
          <w:color w:val="000000"/>
          <w:sz w:val="28"/>
        </w:rPr>
        <w:t>
      схемы систем гидравлики для приводов механизмов и устройств;</w:t>
      </w:r>
    </w:p>
    <w:bookmarkEnd w:id="834"/>
    <w:bookmarkStart w:name="z827" w:id="835"/>
    <w:p>
      <w:pPr>
        <w:spacing w:after="0"/>
        <w:ind w:left="0"/>
        <w:jc w:val="both"/>
      </w:pPr>
      <w:r>
        <w:rPr>
          <w:rFonts w:ascii="Times New Roman"/>
          <w:b w:val="false"/>
          <w:i w:val="false"/>
          <w:color w:val="000000"/>
          <w:sz w:val="28"/>
        </w:rPr>
        <w:t>
      схемы систем: грузовой, зачистной, сдачи паров груза, газоотводной (для нефтеналивных и комбинированных судов);</w:t>
      </w:r>
    </w:p>
    <w:bookmarkEnd w:id="835"/>
    <w:bookmarkStart w:name="z828" w:id="836"/>
    <w:p>
      <w:pPr>
        <w:spacing w:after="0"/>
        <w:ind w:left="0"/>
        <w:jc w:val="both"/>
      </w:pPr>
      <w:r>
        <w:rPr>
          <w:rFonts w:ascii="Times New Roman"/>
          <w:b w:val="false"/>
          <w:i w:val="false"/>
          <w:color w:val="000000"/>
          <w:sz w:val="28"/>
        </w:rPr>
        <w:t>
      расчеты систем: осушительной, балластной, сдачи паров груза;</w:t>
      </w:r>
    </w:p>
    <w:bookmarkEnd w:id="836"/>
    <w:bookmarkStart w:name="z829" w:id="837"/>
    <w:p>
      <w:pPr>
        <w:spacing w:after="0"/>
        <w:ind w:left="0"/>
        <w:jc w:val="both"/>
      </w:pPr>
      <w:r>
        <w:rPr>
          <w:rFonts w:ascii="Times New Roman"/>
          <w:b w:val="false"/>
          <w:i w:val="false"/>
          <w:color w:val="000000"/>
          <w:sz w:val="28"/>
        </w:rPr>
        <w:t>
      вентиляции помещений: аккумуляторных, грузовых насосных, закрытых помещений и трюмов, предназначенных для перевозки автотранспорта и подвижной техники (штамп об одобрении не ставится);</w:t>
      </w:r>
    </w:p>
    <w:bookmarkEnd w:id="837"/>
    <w:bookmarkStart w:name="z830" w:id="838"/>
    <w:p>
      <w:pPr>
        <w:spacing w:after="0"/>
        <w:ind w:left="0"/>
        <w:jc w:val="both"/>
      </w:pPr>
      <w:r>
        <w:rPr>
          <w:rFonts w:ascii="Times New Roman"/>
          <w:b w:val="false"/>
          <w:i w:val="false"/>
          <w:color w:val="000000"/>
          <w:sz w:val="28"/>
        </w:rPr>
        <w:t>
      схема системы органического теплоносителя;</w:t>
      </w:r>
    </w:p>
    <w:bookmarkEnd w:id="838"/>
    <w:bookmarkStart w:name="z831" w:id="839"/>
    <w:p>
      <w:pPr>
        <w:spacing w:after="0"/>
        <w:ind w:left="0"/>
        <w:jc w:val="both"/>
      </w:pPr>
      <w:r>
        <w:rPr>
          <w:rFonts w:ascii="Times New Roman"/>
          <w:b w:val="false"/>
          <w:i w:val="false"/>
          <w:color w:val="000000"/>
          <w:sz w:val="28"/>
        </w:rPr>
        <w:t>
      2) документы по системам механических установок:</w:t>
      </w:r>
    </w:p>
    <w:bookmarkEnd w:id="839"/>
    <w:p>
      <w:pPr>
        <w:spacing w:after="0"/>
        <w:ind w:left="0"/>
        <w:jc w:val="both"/>
      </w:pPr>
      <w:r>
        <w:rPr>
          <w:rFonts w:ascii="Times New Roman"/>
          <w:b w:val="false"/>
          <w:i w:val="false"/>
          <w:color w:val="000000"/>
          <w:sz w:val="28"/>
        </w:rPr>
        <w:t>
      схемы систем свежего и отработавшего пара;</w:t>
      </w:r>
    </w:p>
    <w:p>
      <w:pPr>
        <w:spacing w:after="0"/>
        <w:ind w:left="0"/>
        <w:jc w:val="both"/>
      </w:pPr>
      <w:r>
        <w:rPr>
          <w:rFonts w:ascii="Times New Roman"/>
          <w:b w:val="false"/>
          <w:i w:val="false"/>
          <w:color w:val="000000"/>
          <w:sz w:val="28"/>
        </w:rPr>
        <w:t>
      схемы систем продувания котлов, механизмов и паропроводов;</w:t>
      </w:r>
    </w:p>
    <w:p>
      <w:pPr>
        <w:spacing w:after="0"/>
        <w:ind w:left="0"/>
        <w:jc w:val="both"/>
      </w:pPr>
      <w:r>
        <w:rPr>
          <w:rFonts w:ascii="Times New Roman"/>
          <w:b w:val="false"/>
          <w:i w:val="false"/>
          <w:color w:val="000000"/>
          <w:sz w:val="28"/>
        </w:rPr>
        <w:t>
      схема конденсатно-питательной системы;</w:t>
      </w:r>
    </w:p>
    <w:p>
      <w:pPr>
        <w:spacing w:after="0"/>
        <w:ind w:left="0"/>
        <w:jc w:val="both"/>
      </w:pPr>
      <w:r>
        <w:rPr>
          <w:rFonts w:ascii="Times New Roman"/>
          <w:b w:val="false"/>
          <w:i w:val="false"/>
          <w:color w:val="000000"/>
          <w:sz w:val="28"/>
        </w:rPr>
        <w:t>
      схема топливной системы;</w:t>
      </w:r>
    </w:p>
    <w:p>
      <w:pPr>
        <w:spacing w:after="0"/>
        <w:ind w:left="0"/>
        <w:jc w:val="both"/>
      </w:pPr>
      <w:r>
        <w:rPr>
          <w:rFonts w:ascii="Times New Roman"/>
          <w:b w:val="false"/>
          <w:i w:val="false"/>
          <w:color w:val="000000"/>
          <w:sz w:val="28"/>
        </w:rPr>
        <w:t>
      схема масляной системы,</w:t>
      </w:r>
    </w:p>
    <w:p>
      <w:pPr>
        <w:spacing w:after="0"/>
        <w:ind w:left="0"/>
        <w:jc w:val="both"/>
      </w:pPr>
      <w:r>
        <w:rPr>
          <w:rFonts w:ascii="Times New Roman"/>
          <w:b w:val="false"/>
          <w:i w:val="false"/>
          <w:color w:val="000000"/>
          <w:sz w:val="28"/>
        </w:rPr>
        <w:t>
      схемы систем охлаждения пресной и забортной водой;</w:t>
      </w:r>
    </w:p>
    <w:p>
      <w:pPr>
        <w:spacing w:after="0"/>
        <w:ind w:left="0"/>
        <w:jc w:val="both"/>
      </w:pPr>
      <w:r>
        <w:rPr>
          <w:rFonts w:ascii="Times New Roman"/>
          <w:b w:val="false"/>
          <w:i w:val="false"/>
          <w:color w:val="000000"/>
          <w:sz w:val="28"/>
        </w:rPr>
        <w:t>
      схема системы пускового воздуха;</w:t>
      </w:r>
    </w:p>
    <w:p>
      <w:pPr>
        <w:spacing w:after="0"/>
        <w:ind w:left="0"/>
        <w:jc w:val="both"/>
      </w:pPr>
      <w:r>
        <w:rPr>
          <w:rFonts w:ascii="Times New Roman"/>
          <w:b w:val="false"/>
          <w:i w:val="false"/>
          <w:color w:val="000000"/>
          <w:sz w:val="28"/>
        </w:rPr>
        <w:t>
      схема газовыпускных трубопроводов и дымоходов;</w:t>
      </w:r>
    </w:p>
    <w:p>
      <w:pPr>
        <w:spacing w:after="0"/>
        <w:ind w:left="0"/>
        <w:jc w:val="both"/>
      </w:pPr>
      <w:r>
        <w:rPr>
          <w:rFonts w:ascii="Times New Roman"/>
          <w:b w:val="false"/>
          <w:i w:val="false"/>
          <w:color w:val="000000"/>
          <w:sz w:val="28"/>
        </w:rPr>
        <w:t>
      чертеж оборудования кингстонных и ледовых ящиков;</w:t>
      </w:r>
    </w:p>
    <w:p>
      <w:pPr>
        <w:spacing w:after="0"/>
        <w:ind w:left="0"/>
        <w:jc w:val="both"/>
      </w:pPr>
      <w:r>
        <w:rPr>
          <w:rFonts w:ascii="Times New Roman"/>
          <w:b w:val="false"/>
          <w:i w:val="false"/>
          <w:color w:val="000000"/>
          <w:sz w:val="28"/>
        </w:rPr>
        <w:t>
      расчет системы пускового воздуха (штамп одобрения не ставится);</w:t>
      </w:r>
    </w:p>
    <w:p>
      <w:pPr>
        <w:spacing w:after="0"/>
        <w:ind w:left="0"/>
        <w:jc w:val="both"/>
      </w:pPr>
      <w:r>
        <w:rPr>
          <w:rFonts w:ascii="Times New Roman"/>
          <w:b w:val="false"/>
          <w:i w:val="false"/>
          <w:color w:val="000000"/>
          <w:sz w:val="28"/>
        </w:rPr>
        <w:t>
      расчет объема расходной топливной цистерны аварийного дизель-генератора (штамп одобрения не ставится).</w:t>
      </w:r>
    </w:p>
    <w:bookmarkStart w:name="z832" w:id="840"/>
    <w:p>
      <w:pPr>
        <w:spacing w:after="0"/>
        <w:ind w:left="0"/>
        <w:jc w:val="both"/>
      </w:pPr>
      <w:r>
        <w:rPr>
          <w:rFonts w:ascii="Times New Roman"/>
          <w:b w:val="false"/>
          <w:i w:val="false"/>
          <w:color w:val="000000"/>
          <w:sz w:val="28"/>
        </w:rPr>
        <w:t>
      96. Без последующего одобрения рабочей документации представляется документация, указанная в пункте 95 настоящих Правил, в которой содержатся сведения по материалам, изоляции, изготовлению, монтажу, размещению, гидравлическим испытаниям, и дополнительно:</w:t>
      </w:r>
    </w:p>
    <w:bookmarkEnd w:id="840"/>
    <w:bookmarkStart w:name="z833" w:id="841"/>
    <w:p>
      <w:pPr>
        <w:spacing w:after="0"/>
        <w:ind w:left="0"/>
        <w:jc w:val="both"/>
      </w:pPr>
      <w:r>
        <w:rPr>
          <w:rFonts w:ascii="Times New Roman"/>
          <w:b w:val="false"/>
          <w:i w:val="false"/>
          <w:color w:val="000000"/>
          <w:sz w:val="28"/>
        </w:rPr>
        <w:t>
      1) чертежи глушителей и искрогасителей газовыпускных трубопроводов и дымоходов;</w:t>
      </w:r>
    </w:p>
    <w:bookmarkEnd w:id="841"/>
    <w:bookmarkStart w:name="z834" w:id="842"/>
    <w:p>
      <w:pPr>
        <w:spacing w:after="0"/>
        <w:ind w:left="0"/>
        <w:jc w:val="both"/>
      </w:pPr>
      <w:r>
        <w:rPr>
          <w:rFonts w:ascii="Times New Roman"/>
          <w:b w:val="false"/>
          <w:i w:val="false"/>
          <w:color w:val="000000"/>
          <w:sz w:val="28"/>
        </w:rPr>
        <w:t>
      2) программа швартовных и ходовых испытаний.</w:t>
      </w:r>
    </w:p>
    <w:bookmarkEnd w:id="842"/>
    <w:bookmarkStart w:name="z835" w:id="843"/>
    <w:p>
      <w:pPr>
        <w:spacing w:after="0"/>
        <w:ind w:left="0"/>
        <w:jc w:val="both"/>
      </w:pPr>
      <w:r>
        <w:rPr>
          <w:rFonts w:ascii="Times New Roman"/>
          <w:b w:val="false"/>
          <w:i w:val="false"/>
          <w:color w:val="000000"/>
          <w:sz w:val="28"/>
        </w:rPr>
        <w:t>
      97. При последующем одобрении рабочей документации по электрическому оборудованию представляются:</w:t>
      </w:r>
    </w:p>
    <w:bookmarkEnd w:id="843"/>
    <w:bookmarkStart w:name="z836" w:id="844"/>
    <w:p>
      <w:pPr>
        <w:spacing w:after="0"/>
        <w:ind w:left="0"/>
        <w:jc w:val="both"/>
      </w:pPr>
      <w:r>
        <w:rPr>
          <w:rFonts w:ascii="Times New Roman"/>
          <w:b w:val="false"/>
          <w:i w:val="false"/>
          <w:color w:val="000000"/>
          <w:sz w:val="28"/>
        </w:rPr>
        <w:t>
      1) принципиальные схемы генерирования и распределения электроэнергии от основных и аварийных источников: силовых сетей, освещения (до групповых щитов) и сигнально-отличительных фонарей;</w:t>
      </w:r>
    </w:p>
    <w:bookmarkEnd w:id="844"/>
    <w:bookmarkStart w:name="z837" w:id="845"/>
    <w:p>
      <w:pPr>
        <w:spacing w:after="0"/>
        <w:ind w:left="0"/>
        <w:jc w:val="both"/>
      </w:pPr>
      <w:r>
        <w:rPr>
          <w:rFonts w:ascii="Times New Roman"/>
          <w:b w:val="false"/>
          <w:i w:val="false"/>
          <w:color w:val="000000"/>
          <w:sz w:val="28"/>
        </w:rPr>
        <w:t>
      2) принципиальные схемы и общий вид главных и аварийных распределительных щитов, пультов управления и других распределительных устройств нетипового исполнения;</w:t>
      </w:r>
    </w:p>
    <w:bookmarkEnd w:id="845"/>
    <w:bookmarkStart w:name="z838" w:id="846"/>
    <w:p>
      <w:pPr>
        <w:spacing w:after="0"/>
        <w:ind w:left="0"/>
        <w:jc w:val="both"/>
      </w:pPr>
      <w:r>
        <w:rPr>
          <w:rFonts w:ascii="Times New Roman"/>
          <w:b w:val="false"/>
          <w:i w:val="false"/>
          <w:color w:val="000000"/>
          <w:sz w:val="28"/>
        </w:rPr>
        <w:t>
      3) результаты расчета необходимой мощности судовой электростанции для обеспечения режимов работы, указанных в пункте 4830 настоящих Правил, обоснование выбора числа и мощности генераторов, а также расчет мощности аварийных источников электрической энергии (штамп об одобрении не ставится);</w:t>
      </w:r>
    </w:p>
    <w:bookmarkEnd w:id="846"/>
    <w:bookmarkStart w:name="z839" w:id="847"/>
    <w:p>
      <w:pPr>
        <w:spacing w:after="0"/>
        <w:ind w:left="0"/>
        <w:jc w:val="both"/>
      </w:pPr>
      <w:r>
        <w:rPr>
          <w:rFonts w:ascii="Times New Roman"/>
          <w:b w:val="false"/>
          <w:i w:val="false"/>
          <w:color w:val="000000"/>
          <w:sz w:val="28"/>
        </w:rPr>
        <w:t>
      4) результаты расчета сечения кабелей с указанием их типов, токов и защиты (штамп об одобрении не ставится);</w:t>
      </w:r>
    </w:p>
    <w:bookmarkEnd w:id="847"/>
    <w:bookmarkStart w:name="z840" w:id="848"/>
    <w:p>
      <w:pPr>
        <w:spacing w:after="0"/>
        <w:ind w:left="0"/>
        <w:jc w:val="both"/>
      </w:pPr>
      <w:r>
        <w:rPr>
          <w:rFonts w:ascii="Times New Roman"/>
          <w:b w:val="false"/>
          <w:i w:val="false"/>
          <w:color w:val="000000"/>
          <w:sz w:val="28"/>
        </w:rPr>
        <w:t>
      5) принципиальные или развернутые схемы главного тока, возбуждения, управления, контроля, сигнализации, защиты и блокировки гребной электрической установки;</w:t>
      </w:r>
    </w:p>
    <w:bookmarkEnd w:id="848"/>
    <w:bookmarkStart w:name="z841" w:id="849"/>
    <w:p>
      <w:pPr>
        <w:spacing w:after="0"/>
        <w:ind w:left="0"/>
        <w:jc w:val="both"/>
      </w:pPr>
      <w:r>
        <w:rPr>
          <w:rFonts w:ascii="Times New Roman"/>
          <w:b w:val="false"/>
          <w:i w:val="false"/>
          <w:color w:val="000000"/>
          <w:sz w:val="28"/>
        </w:rPr>
        <w:t>
      6) результаты расчета необходимой мощности генераторов гребной установки для обеспечения работы во всех режимах (штамп об одобрении не ставится);</w:t>
      </w:r>
    </w:p>
    <w:bookmarkEnd w:id="849"/>
    <w:bookmarkStart w:name="z842" w:id="850"/>
    <w:p>
      <w:pPr>
        <w:spacing w:after="0"/>
        <w:ind w:left="0"/>
        <w:jc w:val="both"/>
      </w:pPr>
      <w:r>
        <w:rPr>
          <w:rFonts w:ascii="Times New Roman"/>
          <w:b w:val="false"/>
          <w:i w:val="false"/>
          <w:color w:val="000000"/>
          <w:sz w:val="28"/>
        </w:rPr>
        <w:t>
      7) результаты расчета токов короткого замыкания и анализ селективных свойств защитных устройств для установок с номинальным током генераторов или параллельно работающих генераторов выше 1000 А (штамп об одобрении не ставится);</w:t>
      </w:r>
    </w:p>
    <w:bookmarkEnd w:id="850"/>
    <w:bookmarkStart w:name="z843" w:id="851"/>
    <w:p>
      <w:pPr>
        <w:spacing w:after="0"/>
        <w:ind w:left="0"/>
        <w:jc w:val="both"/>
      </w:pPr>
      <w:r>
        <w:rPr>
          <w:rFonts w:ascii="Times New Roman"/>
          <w:b w:val="false"/>
          <w:i w:val="false"/>
          <w:color w:val="000000"/>
          <w:sz w:val="28"/>
        </w:rPr>
        <w:t>
      8) результаты расчета освещенности помещений и пространств (штамп об одобрении не ставится);</w:t>
      </w:r>
    </w:p>
    <w:bookmarkEnd w:id="851"/>
    <w:bookmarkStart w:name="z844" w:id="852"/>
    <w:p>
      <w:pPr>
        <w:spacing w:after="0"/>
        <w:ind w:left="0"/>
        <w:jc w:val="both"/>
      </w:pPr>
      <w:r>
        <w:rPr>
          <w:rFonts w:ascii="Times New Roman"/>
          <w:b w:val="false"/>
          <w:i w:val="false"/>
          <w:color w:val="000000"/>
          <w:sz w:val="28"/>
        </w:rPr>
        <w:t>
      9) принципиальные схемы электрического машинного телеграфа, телефонной связи, авральной сигнализации, сигнализации обнаружения пожара, сигнализации предупреждения о пуске системы объемного пожаротушения, сигнализации о закрытии водонепроницаемых и противопожарных дверей, сигнализации в помещения механиков;</w:t>
      </w:r>
    </w:p>
    <w:bookmarkEnd w:id="852"/>
    <w:bookmarkStart w:name="z845" w:id="853"/>
    <w:p>
      <w:pPr>
        <w:spacing w:after="0"/>
        <w:ind w:left="0"/>
        <w:jc w:val="both"/>
      </w:pPr>
      <w:r>
        <w:rPr>
          <w:rFonts w:ascii="Times New Roman"/>
          <w:b w:val="false"/>
          <w:i w:val="false"/>
          <w:color w:val="000000"/>
          <w:sz w:val="28"/>
        </w:rPr>
        <w:t>
      10) принципиальные схемы электроприводов ответственного назначения;</w:t>
      </w:r>
    </w:p>
    <w:bookmarkEnd w:id="853"/>
    <w:bookmarkStart w:name="z846" w:id="854"/>
    <w:p>
      <w:pPr>
        <w:spacing w:after="0"/>
        <w:ind w:left="0"/>
        <w:jc w:val="both"/>
      </w:pPr>
      <w:r>
        <w:rPr>
          <w:rFonts w:ascii="Times New Roman"/>
          <w:b w:val="false"/>
          <w:i w:val="false"/>
          <w:color w:val="000000"/>
          <w:sz w:val="28"/>
        </w:rPr>
        <w:t>
      11) схемы систем смазки электрических машин и систем воздушного охлаждения главных электрических машин;</w:t>
      </w:r>
    </w:p>
    <w:bookmarkEnd w:id="854"/>
    <w:bookmarkStart w:name="z847" w:id="855"/>
    <w:p>
      <w:pPr>
        <w:spacing w:after="0"/>
        <w:ind w:left="0"/>
        <w:jc w:val="both"/>
      </w:pPr>
      <w:r>
        <w:rPr>
          <w:rFonts w:ascii="Times New Roman"/>
          <w:b w:val="false"/>
          <w:i w:val="false"/>
          <w:color w:val="000000"/>
          <w:sz w:val="28"/>
        </w:rPr>
        <w:t>
      12) схемы защитного заземления, чертежи и, при необходимости, расчеты молниеотводных устройств для танкеров, газовозов, буровых установок и судов с неметаллическим корпусом;</w:t>
      </w:r>
    </w:p>
    <w:bookmarkEnd w:id="855"/>
    <w:bookmarkStart w:name="z848" w:id="856"/>
    <w:p>
      <w:pPr>
        <w:spacing w:after="0"/>
        <w:ind w:left="0"/>
        <w:jc w:val="both"/>
      </w:pPr>
      <w:r>
        <w:rPr>
          <w:rFonts w:ascii="Times New Roman"/>
          <w:b w:val="false"/>
          <w:i w:val="false"/>
          <w:color w:val="000000"/>
          <w:sz w:val="28"/>
        </w:rPr>
        <w:t>
      13) принципиальная схема трассы кабелей с указанием помещений, через которые она проходит;</w:t>
      </w:r>
    </w:p>
    <w:bookmarkEnd w:id="856"/>
    <w:bookmarkStart w:name="z849" w:id="857"/>
    <w:p>
      <w:pPr>
        <w:spacing w:after="0"/>
        <w:ind w:left="0"/>
        <w:jc w:val="both"/>
      </w:pPr>
      <w:r>
        <w:rPr>
          <w:rFonts w:ascii="Times New Roman"/>
          <w:b w:val="false"/>
          <w:i w:val="false"/>
          <w:color w:val="000000"/>
          <w:sz w:val="28"/>
        </w:rPr>
        <w:t>
      14) результаты расчета емкости аккумуляторных батарей аварийного освещения, сигнально-отличительных фонарей, авральной, пожарной сигнализации и средств объемного пожаротушения, пусковых устройств аварийного дизель-генератора (штамп об одобрении не ставится);</w:t>
      </w:r>
    </w:p>
    <w:bookmarkEnd w:id="857"/>
    <w:bookmarkStart w:name="z850" w:id="858"/>
    <w:p>
      <w:pPr>
        <w:spacing w:after="0"/>
        <w:ind w:left="0"/>
        <w:jc w:val="both"/>
      </w:pPr>
      <w:r>
        <w:rPr>
          <w:rFonts w:ascii="Times New Roman"/>
          <w:b w:val="false"/>
          <w:i w:val="false"/>
          <w:color w:val="000000"/>
          <w:sz w:val="28"/>
        </w:rPr>
        <w:t>
      15) результаты предварительных расчетов коэффициентов несинусоидальности напряжения в различных участках судовой сети при использовании силовых полупроводниковых устройств (штамп об одобрении не ставится);</w:t>
      </w:r>
    </w:p>
    <w:bookmarkEnd w:id="858"/>
    <w:bookmarkStart w:name="z851" w:id="859"/>
    <w:p>
      <w:pPr>
        <w:spacing w:after="0"/>
        <w:ind w:left="0"/>
        <w:jc w:val="both"/>
      </w:pPr>
      <w:r>
        <w:rPr>
          <w:rFonts w:ascii="Times New Roman"/>
          <w:b w:val="false"/>
          <w:i w:val="false"/>
          <w:color w:val="000000"/>
          <w:sz w:val="28"/>
        </w:rPr>
        <w:t>
      16) сведения об устанавливаемом электрооборудовании во взрывоопасных зонах, пространствах и помещениях с указанием его исполнения по каждому помещению;</w:t>
      </w:r>
    </w:p>
    <w:bookmarkEnd w:id="859"/>
    <w:bookmarkStart w:name="z852" w:id="860"/>
    <w:p>
      <w:pPr>
        <w:spacing w:after="0"/>
        <w:ind w:left="0"/>
        <w:jc w:val="both"/>
      </w:pPr>
      <w:r>
        <w:rPr>
          <w:rFonts w:ascii="Times New Roman"/>
          <w:b w:val="false"/>
          <w:i w:val="false"/>
          <w:color w:val="000000"/>
          <w:sz w:val="28"/>
        </w:rPr>
        <w:t>
      17) расчет ожидаемой эффективности защиты генераторных агрегатов от перегрузки путем отключения части потребителей с обоснованием числа ступеней отключения и перечнем отключаемых потребителей в каждой ступени (штамп об одобрении не ставится);</w:t>
      </w:r>
    </w:p>
    <w:bookmarkEnd w:id="860"/>
    <w:bookmarkStart w:name="z853" w:id="861"/>
    <w:p>
      <w:pPr>
        <w:spacing w:after="0"/>
        <w:ind w:left="0"/>
        <w:jc w:val="both"/>
      </w:pPr>
      <w:r>
        <w:rPr>
          <w:rFonts w:ascii="Times New Roman"/>
          <w:b w:val="false"/>
          <w:i w:val="false"/>
          <w:color w:val="000000"/>
          <w:sz w:val="28"/>
        </w:rPr>
        <w:t>
      18) схема и чертеж системы отключения и блокировки электрооборудования, не используемого при выполнении операций по ликвидации разлива нефти;</w:t>
      </w:r>
    </w:p>
    <w:bookmarkEnd w:id="861"/>
    <w:bookmarkStart w:name="z854" w:id="862"/>
    <w:p>
      <w:pPr>
        <w:spacing w:after="0"/>
        <w:ind w:left="0"/>
        <w:jc w:val="both"/>
      </w:pPr>
      <w:r>
        <w:rPr>
          <w:rFonts w:ascii="Times New Roman"/>
          <w:b w:val="false"/>
          <w:i w:val="false"/>
          <w:color w:val="000000"/>
          <w:sz w:val="28"/>
        </w:rPr>
        <w:t>
      19) инструкция по подготовке и эксплуатации электрооборудования при ликвидации разлива нефти, определяющая порядок отключения и блокировки электропотребителей, не имеющих свидетельств о взрывозащищенности (штамп об одобрении не ставится);</w:t>
      </w:r>
    </w:p>
    <w:bookmarkEnd w:id="862"/>
    <w:bookmarkStart w:name="z855" w:id="863"/>
    <w:p>
      <w:pPr>
        <w:spacing w:after="0"/>
        <w:ind w:left="0"/>
        <w:jc w:val="both"/>
      </w:pPr>
      <w:r>
        <w:rPr>
          <w:rFonts w:ascii="Times New Roman"/>
          <w:b w:val="false"/>
          <w:i w:val="false"/>
          <w:color w:val="000000"/>
          <w:sz w:val="28"/>
        </w:rPr>
        <w:t>
      20) чертежи расположения оборудования и прокладки кабелей во взрывоопасных зонах и пространствах. Документация (сертификаты компетентных органов), подтверждающая использование электрооборудования во взрывоопасных зонах и пространствах;</w:t>
      </w:r>
    </w:p>
    <w:bookmarkEnd w:id="863"/>
    <w:bookmarkStart w:name="z856" w:id="864"/>
    <w:p>
      <w:pPr>
        <w:spacing w:after="0"/>
        <w:ind w:left="0"/>
        <w:jc w:val="both"/>
      </w:pPr>
      <w:r>
        <w:rPr>
          <w:rFonts w:ascii="Times New Roman"/>
          <w:b w:val="false"/>
          <w:i w:val="false"/>
          <w:color w:val="000000"/>
          <w:sz w:val="28"/>
        </w:rPr>
        <w:t>
      21) документация на стационарные и переносные приборы для измерения и сигнализации взрывоопасных концентраций газов;</w:t>
      </w:r>
    </w:p>
    <w:bookmarkEnd w:id="864"/>
    <w:bookmarkStart w:name="z857" w:id="865"/>
    <w:p>
      <w:pPr>
        <w:spacing w:after="0"/>
        <w:ind w:left="0"/>
        <w:jc w:val="both"/>
      </w:pPr>
      <w:r>
        <w:rPr>
          <w:rFonts w:ascii="Times New Roman"/>
          <w:b w:val="false"/>
          <w:i w:val="false"/>
          <w:color w:val="000000"/>
          <w:sz w:val="28"/>
        </w:rPr>
        <w:t>
      22) расчет провалов напряжения при включении потребителя, имеющего наибольшую пусковую мощность (штамп об одобрении не ставится);</w:t>
      </w:r>
    </w:p>
    <w:bookmarkEnd w:id="865"/>
    <w:bookmarkStart w:name="z858" w:id="866"/>
    <w:p>
      <w:pPr>
        <w:spacing w:after="0"/>
        <w:ind w:left="0"/>
        <w:jc w:val="both"/>
      </w:pPr>
      <w:r>
        <w:rPr>
          <w:rFonts w:ascii="Times New Roman"/>
          <w:b w:val="false"/>
          <w:i w:val="false"/>
          <w:color w:val="000000"/>
          <w:sz w:val="28"/>
        </w:rPr>
        <w:t>
      23) ведомость устанавливаемого на судне электрического оборудования ответственного назначения с указанием технических характеристик и сведений об одобрении этого оборудования Регистром судоходства или другим компетентным органом;</w:t>
      </w:r>
    </w:p>
    <w:bookmarkEnd w:id="866"/>
    <w:bookmarkStart w:name="z859" w:id="867"/>
    <w:p>
      <w:pPr>
        <w:spacing w:after="0"/>
        <w:ind w:left="0"/>
        <w:jc w:val="both"/>
      </w:pPr>
      <w:r>
        <w:rPr>
          <w:rFonts w:ascii="Times New Roman"/>
          <w:b w:val="false"/>
          <w:i w:val="false"/>
          <w:color w:val="000000"/>
          <w:sz w:val="28"/>
        </w:rPr>
        <w:t>
      24) перечень мероприятий по обеспечению электромагнитной совместимости технических средств судна;</w:t>
      </w:r>
    </w:p>
    <w:bookmarkEnd w:id="867"/>
    <w:bookmarkStart w:name="z860" w:id="868"/>
    <w:p>
      <w:pPr>
        <w:spacing w:after="0"/>
        <w:ind w:left="0"/>
        <w:jc w:val="both"/>
      </w:pPr>
      <w:r>
        <w:rPr>
          <w:rFonts w:ascii="Times New Roman"/>
          <w:b w:val="false"/>
          <w:i w:val="false"/>
          <w:color w:val="000000"/>
          <w:sz w:val="28"/>
        </w:rPr>
        <w:t>
      25) ведомость запасных частей.</w:t>
      </w:r>
    </w:p>
    <w:bookmarkEnd w:id="868"/>
    <w:bookmarkStart w:name="z861" w:id="869"/>
    <w:p>
      <w:pPr>
        <w:spacing w:after="0"/>
        <w:ind w:left="0"/>
        <w:jc w:val="both"/>
      </w:pPr>
      <w:r>
        <w:rPr>
          <w:rFonts w:ascii="Times New Roman"/>
          <w:b w:val="false"/>
          <w:i w:val="false"/>
          <w:color w:val="000000"/>
          <w:sz w:val="28"/>
        </w:rPr>
        <w:t>
      98. Без последующего одобрения рабочей документации необходимо представить документацию, указанную в пункте 97 настоящих Правил, и дополнительно:</w:t>
      </w:r>
    </w:p>
    <w:bookmarkEnd w:id="869"/>
    <w:bookmarkStart w:name="z862" w:id="870"/>
    <w:p>
      <w:pPr>
        <w:spacing w:after="0"/>
        <w:ind w:left="0"/>
        <w:jc w:val="both"/>
      </w:pPr>
      <w:r>
        <w:rPr>
          <w:rFonts w:ascii="Times New Roman"/>
          <w:b w:val="false"/>
          <w:i w:val="false"/>
          <w:color w:val="000000"/>
          <w:sz w:val="28"/>
        </w:rPr>
        <w:t>
      1) чертежи прокладки кабельных трасс и их проходов через водонепроницаемые, газонепроницаемые и противопожарные переборки, палубы и платформы с указанием мероприятий по борьбе с помехами радиоприему;</w:t>
      </w:r>
    </w:p>
    <w:bookmarkEnd w:id="870"/>
    <w:bookmarkStart w:name="z863" w:id="871"/>
    <w:p>
      <w:pPr>
        <w:spacing w:after="0"/>
        <w:ind w:left="0"/>
        <w:jc w:val="both"/>
      </w:pPr>
      <w:r>
        <w:rPr>
          <w:rFonts w:ascii="Times New Roman"/>
          <w:b w:val="false"/>
          <w:i w:val="false"/>
          <w:color w:val="000000"/>
          <w:sz w:val="28"/>
        </w:rPr>
        <w:t>
      2) схемы основного и аварийного освещения помещений и мест расположения ответственных устройств, путей эвакуации, мест посадки в спасательные средства на палубе и за бортом (от групповых распределительных щитов);</w:t>
      </w:r>
    </w:p>
    <w:bookmarkEnd w:id="871"/>
    <w:bookmarkStart w:name="z864" w:id="872"/>
    <w:p>
      <w:pPr>
        <w:spacing w:after="0"/>
        <w:ind w:left="0"/>
        <w:jc w:val="both"/>
      </w:pPr>
      <w:r>
        <w:rPr>
          <w:rFonts w:ascii="Times New Roman"/>
          <w:b w:val="false"/>
          <w:i w:val="false"/>
          <w:color w:val="000000"/>
          <w:sz w:val="28"/>
        </w:rPr>
        <w:t>
      3) программу швартовных и ходовых испытаний;</w:t>
      </w:r>
    </w:p>
    <w:bookmarkEnd w:id="872"/>
    <w:bookmarkStart w:name="z865" w:id="873"/>
    <w:p>
      <w:pPr>
        <w:spacing w:after="0"/>
        <w:ind w:left="0"/>
        <w:jc w:val="both"/>
      </w:pPr>
      <w:r>
        <w:rPr>
          <w:rFonts w:ascii="Times New Roman"/>
          <w:b w:val="false"/>
          <w:i w:val="false"/>
          <w:color w:val="000000"/>
          <w:sz w:val="28"/>
        </w:rPr>
        <w:t>
      4) чертежи расположения и установки электрического оборудования во всех помещениях и пространствах судна;</w:t>
      </w:r>
    </w:p>
    <w:bookmarkEnd w:id="873"/>
    <w:bookmarkStart w:name="z866" w:id="874"/>
    <w:p>
      <w:pPr>
        <w:spacing w:after="0"/>
        <w:ind w:left="0"/>
        <w:jc w:val="both"/>
      </w:pPr>
      <w:r>
        <w:rPr>
          <w:rFonts w:ascii="Times New Roman"/>
          <w:b w:val="false"/>
          <w:i w:val="false"/>
          <w:color w:val="000000"/>
          <w:sz w:val="28"/>
        </w:rPr>
        <w:t>
      5) конструктивные сборочные чертежи (только для нетиповых изделий): главных и аварийных распределительных щитов, щитов электрической гребной установки, постов и пультов управления, специальных щитов, распределительных силовых и осветительных щитов;</w:t>
      </w:r>
    </w:p>
    <w:bookmarkEnd w:id="874"/>
    <w:bookmarkStart w:name="z867" w:id="875"/>
    <w:p>
      <w:pPr>
        <w:spacing w:after="0"/>
        <w:ind w:left="0"/>
        <w:jc w:val="both"/>
      </w:pPr>
      <w:r>
        <w:rPr>
          <w:rFonts w:ascii="Times New Roman"/>
          <w:b w:val="false"/>
          <w:i w:val="false"/>
          <w:color w:val="000000"/>
          <w:sz w:val="28"/>
        </w:rPr>
        <w:t>
      6) схемы и чертежи установки и размещения устройств для измерения неэлектрических величин (измерителей уровня, давления, температуры).</w:t>
      </w:r>
    </w:p>
    <w:bookmarkEnd w:id="875"/>
    <w:bookmarkStart w:name="z868" w:id="876"/>
    <w:p>
      <w:pPr>
        <w:spacing w:after="0"/>
        <w:ind w:left="0"/>
        <w:jc w:val="both"/>
      </w:pPr>
      <w:r>
        <w:rPr>
          <w:rFonts w:ascii="Times New Roman"/>
          <w:b w:val="false"/>
          <w:i w:val="false"/>
          <w:color w:val="000000"/>
          <w:sz w:val="28"/>
        </w:rPr>
        <w:t>
      99. Если предусматривается классификация холодильных установок, необходимо чтобы документация, указанная в пунктах 97 и 98 настоящих Правил, содержала сведения по электрическому оборудованию холодильной установки.</w:t>
      </w:r>
    </w:p>
    <w:bookmarkEnd w:id="876"/>
    <w:bookmarkStart w:name="z869" w:id="877"/>
    <w:p>
      <w:pPr>
        <w:spacing w:after="0"/>
        <w:ind w:left="0"/>
        <w:jc w:val="left"/>
      </w:pPr>
      <w:r>
        <w:rPr>
          <w:rFonts w:ascii="Times New Roman"/>
          <w:b/>
          <w:i w:val="false"/>
          <w:color w:val="000000"/>
        </w:rPr>
        <w:t xml:space="preserve"> Параграф 3. Рабочая документация для судна в постройке</w:t>
      </w:r>
    </w:p>
    <w:bookmarkEnd w:id="877"/>
    <w:bookmarkStart w:name="z870" w:id="878"/>
    <w:p>
      <w:pPr>
        <w:spacing w:after="0"/>
        <w:ind w:left="0"/>
        <w:jc w:val="both"/>
      </w:pPr>
      <w:r>
        <w:rPr>
          <w:rFonts w:ascii="Times New Roman"/>
          <w:b w:val="false"/>
          <w:i w:val="false"/>
          <w:color w:val="000000"/>
          <w:sz w:val="28"/>
        </w:rPr>
        <w:t>
      100. Общими рабочими документами для судна в постройке являются:</w:t>
      </w:r>
    </w:p>
    <w:bookmarkEnd w:id="878"/>
    <w:bookmarkStart w:name="z871" w:id="879"/>
    <w:p>
      <w:pPr>
        <w:spacing w:after="0"/>
        <w:ind w:left="0"/>
        <w:jc w:val="both"/>
      </w:pPr>
      <w:r>
        <w:rPr>
          <w:rFonts w:ascii="Times New Roman"/>
          <w:b w:val="false"/>
          <w:i w:val="false"/>
          <w:color w:val="000000"/>
          <w:sz w:val="28"/>
        </w:rPr>
        <w:t>
      1) ведомости (перечни) аварийного, противопожарного и другого снабжения с указанием основных технических характеристик и мест его расположения на судне;</w:t>
      </w:r>
    </w:p>
    <w:bookmarkEnd w:id="879"/>
    <w:bookmarkStart w:name="z872" w:id="880"/>
    <w:p>
      <w:pPr>
        <w:spacing w:after="0"/>
        <w:ind w:left="0"/>
        <w:jc w:val="both"/>
      </w:pPr>
      <w:r>
        <w:rPr>
          <w:rFonts w:ascii="Times New Roman"/>
          <w:b w:val="false"/>
          <w:i w:val="false"/>
          <w:color w:val="000000"/>
          <w:sz w:val="28"/>
        </w:rPr>
        <w:t>
      ведомости запасных частей и специнструментов. Представляются по всем разделам, где это регламентируется настоящими Правилами;</w:t>
      </w:r>
    </w:p>
    <w:bookmarkEnd w:id="880"/>
    <w:bookmarkStart w:name="z873" w:id="881"/>
    <w:p>
      <w:pPr>
        <w:spacing w:after="0"/>
        <w:ind w:left="0"/>
        <w:jc w:val="both"/>
      </w:pPr>
      <w:r>
        <w:rPr>
          <w:rFonts w:ascii="Times New Roman"/>
          <w:b w:val="false"/>
          <w:i w:val="false"/>
          <w:color w:val="000000"/>
          <w:sz w:val="28"/>
        </w:rPr>
        <w:t>
      2) программы швартовных и ходовых испытаний;</w:t>
      </w:r>
    </w:p>
    <w:bookmarkEnd w:id="881"/>
    <w:bookmarkStart w:name="z874" w:id="882"/>
    <w:p>
      <w:pPr>
        <w:spacing w:after="0"/>
        <w:ind w:left="0"/>
        <w:jc w:val="both"/>
      </w:pPr>
      <w:r>
        <w:rPr>
          <w:rFonts w:ascii="Times New Roman"/>
          <w:b w:val="false"/>
          <w:i w:val="false"/>
          <w:color w:val="000000"/>
          <w:sz w:val="28"/>
        </w:rPr>
        <w:t>
      3) чертеж размещения на судне опознавательного номера ИМО в соответствии с требованиями Правил XI-1/3 СОЛАС-74 (для всех пассажирских судов валовой вместимостью 100 и более и для всех грузовых судов валовой вместимостью 300 и более).</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5" w:id="883"/>
    <w:p>
      <w:pPr>
        <w:spacing w:after="0"/>
        <w:ind w:left="0"/>
        <w:jc w:val="both"/>
      </w:pPr>
      <w:r>
        <w:rPr>
          <w:rFonts w:ascii="Times New Roman"/>
          <w:b w:val="false"/>
          <w:i w:val="false"/>
          <w:color w:val="000000"/>
          <w:sz w:val="28"/>
        </w:rPr>
        <w:t>
      101. К документации по корпусу относятся:</w:t>
      </w:r>
    </w:p>
    <w:bookmarkEnd w:id="883"/>
    <w:bookmarkStart w:name="z876" w:id="884"/>
    <w:p>
      <w:pPr>
        <w:spacing w:after="0"/>
        <w:ind w:left="0"/>
        <w:jc w:val="both"/>
      </w:pPr>
      <w:r>
        <w:rPr>
          <w:rFonts w:ascii="Times New Roman"/>
          <w:b w:val="false"/>
          <w:i w:val="false"/>
          <w:color w:val="000000"/>
          <w:sz w:val="28"/>
        </w:rPr>
        <w:t>
      1) чертежи форштевня и ахтерштевня;</w:t>
      </w:r>
    </w:p>
    <w:bookmarkEnd w:id="884"/>
    <w:bookmarkStart w:name="z877" w:id="885"/>
    <w:p>
      <w:pPr>
        <w:spacing w:after="0"/>
        <w:ind w:left="0"/>
        <w:jc w:val="both"/>
      </w:pPr>
      <w:r>
        <w:rPr>
          <w:rFonts w:ascii="Times New Roman"/>
          <w:b w:val="false"/>
          <w:i w:val="false"/>
          <w:color w:val="000000"/>
          <w:sz w:val="28"/>
        </w:rPr>
        <w:t>
      2) чертежи секций и узлов основного корпуса, в том числе палуб, поперечных и продольных переборок, бортов, днища, двойного дна (с указанием расположения горловин и вырезов), цистерн вне двойного дна, являющихся частью корпуса;</w:t>
      </w:r>
    </w:p>
    <w:bookmarkEnd w:id="885"/>
    <w:bookmarkStart w:name="z878" w:id="886"/>
    <w:p>
      <w:pPr>
        <w:spacing w:after="0"/>
        <w:ind w:left="0"/>
        <w:jc w:val="both"/>
      </w:pPr>
      <w:r>
        <w:rPr>
          <w:rFonts w:ascii="Times New Roman"/>
          <w:b w:val="false"/>
          <w:i w:val="false"/>
          <w:color w:val="000000"/>
          <w:sz w:val="28"/>
        </w:rPr>
        <w:t>
      3) чертежи секций и узлов надстроек и рубок;</w:t>
      </w:r>
    </w:p>
    <w:bookmarkEnd w:id="886"/>
    <w:bookmarkStart w:name="z879" w:id="887"/>
    <w:p>
      <w:pPr>
        <w:spacing w:after="0"/>
        <w:ind w:left="0"/>
        <w:jc w:val="both"/>
      </w:pPr>
      <w:r>
        <w:rPr>
          <w:rFonts w:ascii="Times New Roman"/>
          <w:b w:val="false"/>
          <w:i w:val="false"/>
          <w:color w:val="000000"/>
          <w:sz w:val="28"/>
        </w:rPr>
        <w:t>
      4) чертежи машинно-котельных шахт, комингсов, тамбуров и других ограждений отверстий в корпусе судна;</w:t>
      </w:r>
    </w:p>
    <w:bookmarkEnd w:id="887"/>
    <w:bookmarkStart w:name="z880" w:id="888"/>
    <w:p>
      <w:pPr>
        <w:spacing w:after="0"/>
        <w:ind w:left="0"/>
        <w:jc w:val="both"/>
      </w:pPr>
      <w:r>
        <w:rPr>
          <w:rFonts w:ascii="Times New Roman"/>
          <w:b w:val="false"/>
          <w:i w:val="false"/>
          <w:color w:val="000000"/>
          <w:sz w:val="28"/>
        </w:rPr>
        <w:t>
      5) чертежи туннеля гребного вала, рецессов, шахт аварийных выходов;</w:t>
      </w:r>
    </w:p>
    <w:bookmarkEnd w:id="888"/>
    <w:bookmarkStart w:name="z881" w:id="889"/>
    <w:p>
      <w:pPr>
        <w:spacing w:after="0"/>
        <w:ind w:left="0"/>
        <w:jc w:val="both"/>
      </w:pPr>
      <w:r>
        <w:rPr>
          <w:rFonts w:ascii="Times New Roman"/>
          <w:b w:val="false"/>
          <w:i w:val="false"/>
          <w:color w:val="000000"/>
          <w:sz w:val="28"/>
        </w:rPr>
        <w:t>
      6) чертежи кронштейнов и выкружек гребных валов;</w:t>
      </w:r>
    </w:p>
    <w:bookmarkEnd w:id="889"/>
    <w:bookmarkStart w:name="z882" w:id="890"/>
    <w:p>
      <w:pPr>
        <w:spacing w:after="0"/>
        <w:ind w:left="0"/>
        <w:jc w:val="both"/>
      </w:pPr>
      <w:r>
        <w:rPr>
          <w:rFonts w:ascii="Times New Roman"/>
          <w:b w:val="false"/>
          <w:i w:val="false"/>
          <w:color w:val="000000"/>
          <w:sz w:val="28"/>
        </w:rPr>
        <w:t>
      7) чертежи фундаментов под главные механизмы, котлы и подшипники валопровода, фундаментов под вспомогательные механизмы, оборудование и устройства, включенные в номенклатуру;</w:t>
      </w:r>
    </w:p>
    <w:bookmarkEnd w:id="890"/>
    <w:bookmarkStart w:name="z883" w:id="891"/>
    <w:p>
      <w:pPr>
        <w:spacing w:after="0"/>
        <w:ind w:left="0"/>
        <w:jc w:val="both"/>
      </w:pPr>
      <w:r>
        <w:rPr>
          <w:rFonts w:ascii="Times New Roman"/>
          <w:b w:val="false"/>
          <w:i w:val="false"/>
          <w:color w:val="000000"/>
          <w:sz w:val="28"/>
        </w:rPr>
        <w:t>
      8) чертежи фальшборта;</w:t>
      </w:r>
    </w:p>
    <w:bookmarkEnd w:id="891"/>
    <w:bookmarkStart w:name="z884" w:id="892"/>
    <w:p>
      <w:pPr>
        <w:spacing w:after="0"/>
        <w:ind w:left="0"/>
        <w:jc w:val="both"/>
      </w:pPr>
      <w:r>
        <w:rPr>
          <w:rFonts w:ascii="Times New Roman"/>
          <w:b w:val="false"/>
          <w:i w:val="false"/>
          <w:color w:val="000000"/>
          <w:sz w:val="28"/>
        </w:rPr>
        <w:t>
      9) схема испытаний корпуса на водонепроницаемость;</w:t>
      </w:r>
    </w:p>
    <w:bookmarkEnd w:id="892"/>
    <w:bookmarkStart w:name="z885" w:id="893"/>
    <w:p>
      <w:pPr>
        <w:spacing w:after="0"/>
        <w:ind w:left="0"/>
        <w:jc w:val="both"/>
      </w:pPr>
      <w:r>
        <w:rPr>
          <w:rFonts w:ascii="Times New Roman"/>
          <w:b w:val="false"/>
          <w:i w:val="false"/>
          <w:color w:val="000000"/>
          <w:sz w:val="28"/>
        </w:rPr>
        <w:t>
      10) схема контроля сварных швов корпуса и надстроек с таблицей сварки, содержащей сведения, приведенные в подпункте 1) пункта 83 настоящих Правил;</w:t>
      </w:r>
    </w:p>
    <w:bookmarkEnd w:id="893"/>
    <w:bookmarkStart w:name="z886" w:id="894"/>
    <w:p>
      <w:pPr>
        <w:spacing w:after="0"/>
        <w:ind w:left="0"/>
        <w:jc w:val="both"/>
      </w:pPr>
      <w:r>
        <w:rPr>
          <w:rFonts w:ascii="Times New Roman"/>
          <w:b w:val="false"/>
          <w:i w:val="false"/>
          <w:color w:val="000000"/>
          <w:sz w:val="28"/>
        </w:rPr>
        <w:t>
      11) схема разбивки корпуса на секции;</w:t>
      </w:r>
    </w:p>
    <w:bookmarkEnd w:id="894"/>
    <w:bookmarkStart w:name="z887" w:id="895"/>
    <w:p>
      <w:pPr>
        <w:spacing w:after="0"/>
        <w:ind w:left="0"/>
        <w:jc w:val="both"/>
      </w:pPr>
      <w:r>
        <w:rPr>
          <w:rFonts w:ascii="Times New Roman"/>
          <w:b w:val="false"/>
          <w:i w:val="false"/>
          <w:color w:val="000000"/>
          <w:sz w:val="28"/>
        </w:rPr>
        <w:t>
      12) описание принципиального технологического процесса стыкования частей корпуса на плаву, разработанного на основе признанных Регистром судоходства методов выполнения подобных работ;</w:t>
      </w:r>
    </w:p>
    <w:bookmarkEnd w:id="895"/>
    <w:bookmarkStart w:name="z888" w:id="896"/>
    <w:p>
      <w:pPr>
        <w:spacing w:after="0"/>
        <w:ind w:left="0"/>
        <w:jc w:val="both"/>
      </w:pPr>
      <w:r>
        <w:rPr>
          <w:rFonts w:ascii="Times New Roman"/>
          <w:b w:val="false"/>
          <w:i w:val="false"/>
          <w:color w:val="000000"/>
          <w:sz w:val="28"/>
        </w:rPr>
        <w:t>
      13) ведомость окраски корпуса;</w:t>
      </w:r>
    </w:p>
    <w:bookmarkEnd w:id="896"/>
    <w:bookmarkStart w:name="z889" w:id="897"/>
    <w:p>
      <w:pPr>
        <w:spacing w:after="0"/>
        <w:ind w:left="0"/>
        <w:jc w:val="both"/>
      </w:pPr>
      <w:r>
        <w:rPr>
          <w:rFonts w:ascii="Times New Roman"/>
          <w:b w:val="false"/>
          <w:i w:val="false"/>
          <w:color w:val="000000"/>
          <w:sz w:val="28"/>
        </w:rPr>
        <w:t>
      14) Инструкция по загрузке для судов длиной 65 м и более (параграф 8 главы 11 настоящих Правил);</w:t>
      </w:r>
    </w:p>
    <w:bookmarkEnd w:id="897"/>
    <w:bookmarkStart w:name="z890" w:id="898"/>
    <w:p>
      <w:pPr>
        <w:spacing w:after="0"/>
        <w:ind w:left="0"/>
        <w:jc w:val="both"/>
      </w:pPr>
      <w:r>
        <w:rPr>
          <w:rFonts w:ascii="Times New Roman"/>
          <w:b w:val="false"/>
          <w:i w:val="false"/>
          <w:color w:val="000000"/>
          <w:sz w:val="28"/>
        </w:rPr>
        <w:t>
      15) Информация об остойчивости и прочности при погрузке, выгрузке и размещении незерновых навалочных грузов (пункт 218 настоящих Правил).</w:t>
      </w:r>
    </w:p>
    <w:bookmarkEnd w:id="898"/>
    <w:bookmarkStart w:name="z891" w:id="899"/>
    <w:p>
      <w:pPr>
        <w:spacing w:after="0"/>
        <w:ind w:left="0"/>
        <w:jc w:val="both"/>
      </w:pPr>
      <w:r>
        <w:rPr>
          <w:rFonts w:ascii="Times New Roman"/>
          <w:b w:val="false"/>
          <w:i w:val="false"/>
          <w:color w:val="000000"/>
          <w:sz w:val="28"/>
        </w:rPr>
        <w:t>
      102. К документации по устройствам, оборудованию и снабжению для судна в постройке относятся:</w:t>
      </w:r>
    </w:p>
    <w:bookmarkEnd w:id="899"/>
    <w:bookmarkStart w:name="z892" w:id="900"/>
    <w:p>
      <w:pPr>
        <w:spacing w:after="0"/>
        <w:ind w:left="0"/>
        <w:jc w:val="both"/>
      </w:pPr>
      <w:r>
        <w:rPr>
          <w:rFonts w:ascii="Times New Roman"/>
          <w:b w:val="false"/>
          <w:i w:val="false"/>
          <w:color w:val="000000"/>
          <w:sz w:val="28"/>
        </w:rPr>
        <w:t>
      1) чертежи общих видов узлов и деталей закрытий отверстий в корпусе, надстройках и рубках, в переборках деления судна на отсеки;</w:t>
      </w:r>
    </w:p>
    <w:bookmarkEnd w:id="900"/>
    <w:bookmarkStart w:name="z893" w:id="901"/>
    <w:p>
      <w:pPr>
        <w:spacing w:after="0"/>
        <w:ind w:left="0"/>
        <w:jc w:val="both"/>
      </w:pPr>
      <w:r>
        <w:rPr>
          <w:rFonts w:ascii="Times New Roman"/>
          <w:b w:val="false"/>
          <w:i w:val="false"/>
          <w:color w:val="000000"/>
          <w:sz w:val="28"/>
        </w:rPr>
        <w:t>
      2) чертежи общих видов узлов и деталей рулевого устройства, средств активного управления судами, якорного, швартовного, буксирного устройств, рангоута и такелажа, леерного ограждения;</w:t>
      </w:r>
    </w:p>
    <w:bookmarkEnd w:id="901"/>
    <w:bookmarkStart w:name="z894" w:id="902"/>
    <w:p>
      <w:pPr>
        <w:spacing w:after="0"/>
        <w:ind w:left="0"/>
        <w:jc w:val="both"/>
      </w:pPr>
      <w:r>
        <w:rPr>
          <w:rFonts w:ascii="Times New Roman"/>
          <w:b w:val="false"/>
          <w:i w:val="false"/>
          <w:color w:val="000000"/>
          <w:sz w:val="28"/>
        </w:rPr>
        <w:t>
      3) чертежи общих видов узлов и деталей устройств для разделения сыпучих грузов.</w:t>
      </w:r>
    </w:p>
    <w:bookmarkEnd w:id="902"/>
    <w:bookmarkStart w:name="z895" w:id="903"/>
    <w:p>
      <w:pPr>
        <w:spacing w:after="0"/>
        <w:ind w:left="0"/>
        <w:jc w:val="both"/>
      </w:pPr>
      <w:r>
        <w:rPr>
          <w:rFonts w:ascii="Times New Roman"/>
          <w:b w:val="false"/>
          <w:i w:val="false"/>
          <w:color w:val="000000"/>
          <w:sz w:val="28"/>
        </w:rPr>
        <w:t>
      103. Документация по остойчивости и маневренности для судна в постройке содержит предварительную Информацию об остойчивости и расчетные материалы, если эти материалы не вошли в состав документации, представляемой в соответствии с пунктом 87 настоящих Правил.</w:t>
      </w:r>
    </w:p>
    <w:bookmarkEnd w:id="903"/>
    <w:bookmarkStart w:name="z896" w:id="904"/>
    <w:p>
      <w:pPr>
        <w:spacing w:after="0"/>
        <w:ind w:left="0"/>
        <w:jc w:val="both"/>
      </w:pPr>
      <w:r>
        <w:rPr>
          <w:rFonts w:ascii="Times New Roman"/>
          <w:b w:val="false"/>
          <w:i w:val="false"/>
          <w:color w:val="000000"/>
          <w:sz w:val="28"/>
        </w:rPr>
        <w:t>
      104. Документация по делению на отсеки для судна в постройке содержит Информацию об аварийной посадке и остойчивости и расчетные материалы, на основании которых она составлена, если эти материалы не вошли в состав документации, представляемой в соответствии с пунктом 88 настоящих Правил.</w:t>
      </w:r>
    </w:p>
    <w:bookmarkEnd w:id="904"/>
    <w:bookmarkStart w:name="z897" w:id="905"/>
    <w:p>
      <w:pPr>
        <w:spacing w:after="0"/>
        <w:ind w:left="0"/>
        <w:jc w:val="both"/>
      </w:pPr>
      <w:r>
        <w:rPr>
          <w:rFonts w:ascii="Times New Roman"/>
          <w:b w:val="false"/>
          <w:i w:val="false"/>
          <w:color w:val="000000"/>
          <w:sz w:val="28"/>
        </w:rPr>
        <w:t>
      105. Документация по противопожарной защите для судна в постройке включает в себя:</w:t>
      </w:r>
    </w:p>
    <w:bookmarkEnd w:id="905"/>
    <w:bookmarkStart w:name="z898" w:id="906"/>
    <w:p>
      <w:pPr>
        <w:spacing w:after="0"/>
        <w:ind w:left="0"/>
        <w:jc w:val="both"/>
      </w:pPr>
      <w:r>
        <w:rPr>
          <w:rFonts w:ascii="Times New Roman"/>
          <w:b w:val="false"/>
          <w:i w:val="false"/>
          <w:color w:val="000000"/>
          <w:sz w:val="28"/>
        </w:rPr>
        <w:t>
      1) конструктивные чертежи узлов и деталей противопожарных конструкций;</w:t>
      </w:r>
    </w:p>
    <w:bookmarkEnd w:id="906"/>
    <w:bookmarkStart w:name="z899" w:id="907"/>
    <w:p>
      <w:pPr>
        <w:spacing w:after="0"/>
        <w:ind w:left="0"/>
        <w:jc w:val="both"/>
      </w:pPr>
      <w:r>
        <w:rPr>
          <w:rFonts w:ascii="Times New Roman"/>
          <w:b w:val="false"/>
          <w:i w:val="false"/>
          <w:color w:val="000000"/>
          <w:sz w:val="28"/>
        </w:rPr>
        <w:t>
      2) конструктивные чертежи изоляции, зашивки и палубных покрытий;</w:t>
      </w:r>
    </w:p>
    <w:bookmarkEnd w:id="907"/>
    <w:bookmarkStart w:name="z900" w:id="908"/>
    <w:p>
      <w:pPr>
        <w:spacing w:after="0"/>
        <w:ind w:left="0"/>
        <w:jc w:val="both"/>
      </w:pPr>
      <w:r>
        <w:rPr>
          <w:rFonts w:ascii="Times New Roman"/>
          <w:b w:val="false"/>
          <w:i w:val="false"/>
          <w:color w:val="000000"/>
          <w:sz w:val="28"/>
        </w:rPr>
        <w:t>
      3) конструктивные чертежи узлов и оборудования систем пожаротушения с необходимыми расчетами;</w:t>
      </w:r>
    </w:p>
    <w:bookmarkEnd w:id="908"/>
    <w:bookmarkStart w:name="z901" w:id="909"/>
    <w:p>
      <w:pPr>
        <w:spacing w:after="0"/>
        <w:ind w:left="0"/>
        <w:jc w:val="both"/>
      </w:pPr>
      <w:r>
        <w:rPr>
          <w:rFonts w:ascii="Times New Roman"/>
          <w:b w:val="false"/>
          <w:i w:val="false"/>
          <w:color w:val="000000"/>
          <w:sz w:val="28"/>
        </w:rPr>
        <w:t>
      4) чертежи расположения противопожарного снабжения;</w:t>
      </w:r>
    </w:p>
    <w:bookmarkEnd w:id="909"/>
    <w:bookmarkStart w:name="z902" w:id="910"/>
    <w:p>
      <w:pPr>
        <w:spacing w:after="0"/>
        <w:ind w:left="0"/>
        <w:jc w:val="both"/>
      </w:pPr>
      <w:r>
        <w:rPr>
          <w:rFonts w:ascii="Times New Roman"/>
          <w:b w:val="false"/>
          <w:i w:val="false"/>
          <w:color w:val="000000"/>
          <w:sz w:val="28"/>
        </w:rPr>
        <w:t>
      5) ведомость запасных частей и инструментов;</w:t>
      </w:r>
    </w:p>
    <w:bookmarkEnd w:id="910"/>
    <w:bookmarkStart w:name="z903" w:id="911"/>
    <w:p>
      <w:pPr>
        <w:spacing w:after="0"/>
        <w:ind w:left="0"/>
        <w:jc w:val="both"/>
      </w:pPr>
      <w:r>
        <w:rPr>
          <w:rFonts w:ascii="Times New Roman"/>
          <w:b w:val="false"/>
          <w:i w:val="false"/>
          <w:color w:val="000000"/>
          <w:sz w:val="28"/>
        </w:rPr>
        <w:t>
      6) программы испытаний систем пожаротушения;</w:t>
      </w:r>
    </w:p>
    <w:bookmarkEnd w:id="911"/>
    <w:bookmarkStart w:name="z904" w:id="912"/>
    <w:p>
      <w:pPr>
        <w:spacing w:after="0"/>
        <w:ind w:left="0"/>
        <w:jc w:val="both"/>
      </w:pPr>
      <w:r>
        <w:rPr>
          <w:rFonts w:ascii="Times New Roman"/>
          <w:b w:val="false"/>
          <w:i w:val="false"/>
          <w:color w:val="000000"/>
          <w:sz w:val="28"/>
        </w:rPr>
        <w:t>
      7) эксплуатационные схемы и инструкции по системам пожаротушения, которые должны быть на борту судна согласно раздела 8 настоящих Правил;</w:t>
      </w:r>
    </w:p>
    <w:bookmarkEnd w:id="912"/>
    <w:bookmarkStart w:name="z905" w:id="913"/>
    <w:p>
      <w:pPr>
        <w:spacing w:after="0"/>
        <w:ind w:left="0"/>
        <w:jc w:val="both"/>
      </w:pPr>
      <w:r>
        <w:rPr>
          <w:rFonts w:ascii="Times New Roman"/>
          <w:b w:val="false"/>
          <w:i w:val="false"/>
          <w:color w:val="000000"/>
          <w:sz w:val="28"/>
        </w:rPr>
        <w:t>
      8) пожарный план согласно главы 140 настоящих Правил (штамп об одобрении ставится по завершении постройки судна).</w:t>
      </w:r>
    </w:p>
    <w:bookmarkEnd w:id="913"/>
    <w:bookmarkStart w:name="z906" w:id="914"/>
    <w:p>
      <w:pPr>
        <w:spacing w:after="0"/>
        <w:ind w:left="0"/>
        <w:jc w:val="both"/>
      </w:pPr>
      <w:r>
        <w:rPr>
          <w:rFonts w:ascii="Times New Roman"/>
          <w:b w:val="false"/>
          <w:i w:val="false"/>
          <w:color w:val="000000"/>
          <w:sz w:val="28"/>
        </w:rPr>
        <w:t>
      106. Документация по системам и трубопроводам для судна в постройке включает в себя:</w:t>
      </w:r>
    </w:p>
    <w:bookmarkEnd w:id="914"/>
    <w:bookmarkStart w:name="z907" w:id="915"/>
    <w:p>
      <w:pPr>
        <w:spacing w:after="0"/>
        <w:ind w:left="0"/>
        <w:jc w:val="both"/>
      </w:pPr>
      <w:r>
        <w:rPr>
          <w:rFonts w:ascii="Times New Roman"/>
          <w:b w:val="false"/>
          <w:i w:val="false"/>
          <w:color w:val="000000"/>
          <w:sz w:val="28"/>
        </w:rPr>
        <w:t>
      1) чертежи судовых систем:</w:t>
      </w:r>
    </w:p>
    <w:bookmarkEnd w:id="915"/>
    <w:bookmarkStart w:name="z908" w:id="916"/>
    <w:p>
      <w:pPr>
        <w:spacing w:after="0"/>
        <w:ind w:left="0"/>
        <w:jc w:val="both"/>
      </w:pPr>
      <w:r>
        <w:rPr>
          <w:rFonts w:ascii="Times New Roman"/>
          <w:b w:val="false"/>
          <w:i w:val="false"/>
          <w:color w:val="000000"/>
          <w:sz w:val="28"/>
        </w:rPr>
        <w:t>
      осушительной;</w:t>
      </w:r>
    </w:p>
    <w:bookmarkEnd w:id="916"/>
    <w:bookmarkStart w:name="z909" w:id="917"/>
    <w:p>
      <w:pPr>
        <w:spacing w:after="0"/>
        <w:ind w:left="0"/>
        <w:jc w:val="both"/>
      </w:pPr>
      <w:r>
        <w:rPr>
          <w:rFonts w:ascii="Times New Roman"/>
          <w:b w:val="false"/>
          <w:i w:val="false"/>
          <w:color w:val="000000"/>
          <w:sz w:val="28"/>
        </w:rPr>
        <w:t>
      балластной;</w:t>
      </w:r>
    </w:p>
    <w:bookmarkEnd w:id="917"/>
    <w:bookmarkStart w:name="z910" w:id="918"/>
    <w:p>
      <w:pPr>
        <w:spacing w:after="0"/>
        <w:ind w:left="0"/>
        <w:jc w:val="both"/>
      </w:pPr>
      <w:r>
        <w:rPr>
          <w:rFonts w:ascii="Times New Roman"/>
          <w:b w:val="false"/>
          <w:i w:val="false"/>
          <w:color w:val="000000"/>
          <w:sz w:val="28"/>
        </w:rPr>
        <w:t>
      креновой и дифферентной, схема и конструкция устройств (автоматических и управляемых вручную) для выравнивания аварийной посадки судна контрзатоплением;</w:t>
      </w:r>
    </w:p>
    <w:bookmarkEnd w:id="918"/>
    <w:bookmarkStart w:name="z911" w:id="919"/>
    <w:p>
      <w:pPr>
        <w:spacing w:after="0"/>
        <w:ind w:left="0"/>
        <w:jc w:val="both"/>
      </w:pPr>
      <w:r>
        <w:rPr>
          <w:rFonts w:ascii="Times New Roman"/>
          <w:b w:val="false"/>
          <w:i w:val="false"/>
          <w:color w:val="000000"/>
          <w:sz w:val="28"/>
        </w:rPr>
        <w:t>
      воздушных, переливных, измерительных труб, указателей уровня жидкостей, систем дистанционного замера уровня в топливных цистернах, грузовых и сливных танках наливных судов;</w:t>
      </w:r>
    </w:p>
    <w:bookmarkEnd w:id="919"/>
    <w:bookmarkStart w:name="z912" w:id="920"/>
    <w:p>
      <w:pPr>
        <w:spacing w:after="0"/>
        <w:ind w:left="0"/>
        <w:jc w:val="both"/>
      </w:pPr>
      <w:r>
        <w:rPr>
          <w:rFonts w:ascii="Times New Roman"/>
          <w:b w:val="false"/>
          <w:i w:val="false"/>
          <w:color w:val="000000"/>
          <w:sz w:val="28"/>
        </w:rPr>
        <w:t>
      вентиляции жилых, служебных, грузовых, машинных и производственных помещений, конструкции заслонок и устройств для перекрытия вентиляционных и других отверстий, необходимых для обеспечения противопожарной безопасности судна;</w:t>
      </w:r>
    </w:p>
    <w:bookmarkEnd w:id="920"/>
    <w:bookmarkStart w:name="z913" w:id="921"/>
    <w:p>
      <w:pPr>
        <w:spacing w:after="0"/>
        <w:ind w:left="0"/>
        <w:jc w:val="both"/>
      </w:pPr>
      <w:r>
        <w:rPr>
          <w:rFonts w:ascii="Times New Roman"/>
          <w:b w:val="false"/>
          <w:i w:val="false"/>
          <w:color w:val="000000"/>
          <w:sz w:val="28"/>
        </w:rPr>
        <w:t>
      газоотводных труб и газоотводного оборудования (конструкции огнепреградителей, пламепрерывающих сеток, дыхательных клапанов и высокоскоростных устройств);</w:t>
      </w:r>
    </w:p>
    <w:bookmarkEnd w:id="921"/>
    <w:p>
      <w:pPr>
        <w:spacing w:after="0"/>
        <w:ind w:left="0"/>
        <w:jc w:val="both"/>
      </w:pPr>
      <w:r>
        <w:rPr>
          <w:rFonts w:ascii="Times New Roman"/>
          <w:b w:val="false"/>
          <w:i w:val="false"/>
          <w:color w:val="000000"/>
          <w:sz w:val="28"/>
        </w:rPr>
        <w:t>
      сточно-фановой и шпигатов;</w:t>
      </w:r>
    </w:p>
    <w:p>
      <w:pPr>
        <w:spacing w:after="0"/>
        <w:ind w:left="0"/>
        <w:jc w:val="both"/>
      </w:pPr>
      <w:r>
        <w:rPr>
          <w:rFonts w:ascii="Times New Roman"/>
          <w:b w:val="false"/>
          <w:i w:val="false"/>
          <w:color w:val="000000"/>
          <w:sz w:val="28"/>
        </w:rPr>
        <w:t>
      грузовой и зачистной;</w:t>
      </w:r>
    </w:p>
    <w:p>
      <w:pPr>
        <w:spacing w:after="0"/>
        <w:ind w:left="0"/>
        <w:jc w:val="both"/>
      </w:pPr>
      <w:r>
        <w:rPr>
          <w:rFonts w:ascii="Times New Roman"/>
          <w:b w:val="false"/>
          <w:i w:val="false"/>
          <w:color w:val="000000"/>
          <w:sz w:val="28"/>
        </w:rPr>
        <w:t>
      подогрева жидкого груза;</w:t>
      </w:r>
    </w:p>
    <w:p>
      <w:pPr>
        <w:spacing w:after="0"/>
        <w:ind w:left="0"/>
        <w:jc w:val="both"/>
      </w:pPr>
      <w:r>
        <w:rPr>
          <w:rFonts w:ascii="Times New Roman"/>
          <w:b w:val="false"/>
          <w:i w:val="false"/>
          <w:color w:val="000000"/>
          <w:sz w:val="28"/>
        </w:rPr>
        <w:t>
      приема и перекачки топлива;</w:t>
      </w:r>
    </w:p>
    <w:p>
      <w:pPr>
        <w:spacing w:after="0"/>
        <w:ind w:left="0"/>
        <w:jc w:val="both"/>
      </w:pPr>
      <w:r>
        <w:rPr>
          <w:rFonts w:ascii="Times New Roman"/>
          <w:b w:val="false"/>
          <w:i w:val="false"/>
          <w:color w:val="000000"/>
          <w:sz w:val="28"/>
        </w:rPr>
        <w:t>
      органического теплоносителя;</w:t>
      </w:r>
    </w:p>
    <w:bookmarkStart w:name="z914" w:id="922"/>
    <w:p>
      <w:pPr>
        <w:spacing w:after="0"/>
        <w:ind w:left="0"/>
        <w:jc w:val="both"/>
      </w:pPr>
      <w:r>
        <w:rPr>
          <w:rFonts w:ascii="Times New Roman"/>
          <w:b w:val="false"/>
          <w:i w:val="false"/>
          <w:color w:val="000000"/>
          <w:sz w:val="28"/>
        </w:rPr>
        <w:t>
      2) чертежи трубопроводов силовых установок:</w:t>
      </w:r>
    </w:p>
    <w:bookmarkEnd w:id="922"/>
    <w:p>
      <w:pPr>
        <w:spacing w:after="0"/>
        <w:ind w:left="0"/>
        <w:jc w:val="both"/>
      </w:pPr>
      <w:r>
        <w:rPr>
          <w:rFonts w:ascii="Times New Roman"/>
          <w:b w:val="false"/>
          <w:i w:val="false"/>
          <w:color w:val="000000"/>
          <w:sz w:val="28"/>
        </w:rPr>
        <w:t>
      свежего и отработавшего пара и продувания;</w:t>
      </w:r>
    </w:p>
    <w:p>
      <w:pPr>
        <w:spacing w:after="0"/>
        <w:ind w:left="0"/>
        <w:jc w:val="both"/>
      </w:pPr>
      <w:r>
        <w:rPr>
          <w:rFonts w:ascii="Times New Roman"/>
          <w:b w:val="false"/>
          <w:i w:val="false"/>
          <w:color w:val="000000"/>
          <w:sz w:val="28"/>
        </w:rPr>
        <w:t>
      питательной воды, конденсата и испарительной установки;</w:t>
      </w:r>
    </w:p>
    <w:p>
      <w:pPr>
        <w:spacing w:after="0"/>
        <w:ind w:left="0"/>
        <w:jc w:val="both"/>
      </w:pPr>
      <w:r>
        <w:rPr>
          <w:rFonts w:ascii="Times New Roman"/>
          <w:b w:val="false"/>
          <w:i w:val="false"/>
          <w:color w:val="000000"/>
          <w:sz w:val="28"/>
        </w:rPr>
        <w:t>
      топливной;</w:t>
      </w:r>
    </w:p>
    <w:p>
      <w:pPr>
        <w:spacing w:after="0"/>
        <w:ind w:left="0"/>
        <w:jc w:val="both"/>
      </w:pPr>
      <w:r>
        <w:rPr>
          <w:rFonts w:ascii="Times New Roman"/>
          <w:b w:val="false"/>
          <w:i w:val="false"/>
          <w:color w:val="000000"/>
          <w:sz w:val="28"/>
        </w:rPr>
        <w:t>
      масляной;</w:t>
      </w:r>
    </w:p>
    <w:p>
      <w:pPr>
        <w:spacing w:after="0"/>
        <w:ind w:left="0"/>
        <w:jc w:val="both"/>
      </w:pPr>
      <w:r>
        <w:rPr>
          <w:rFonts w:ascii="Times New Roman"/>
          <w:b w:val="false"/>
          <w:i w:val="false"/>
          <w:color w:val="000000"/>
          <w:sz w:val="28"/>
        </w:rPr>
        <w:t>
      охлаждения;</w:t>
      </w:r>
    </w:p>
    <w:p>
      <w:pPr>
        <w:spacing w:after="0"/>
        <w:ind w:left="0"/>
        <w:jc w:val="both"/>
      </w:pPr>
      <w:r>
        <w:rPr>
          <w:rFonts w:ascii="Times New Roman"/>
          <w:b w:val="false"/>
          <w:i w:val="false"/>
          <w:color w:val="000000"/>
          <w:sz w:val="28"/>
        </w:rPr>
        <w:t>
      газовыхлопной и дымоходов;</w:t>
      </w:r>
    </w:p>
    <w:p>
      <w:pPr>
        <w:spacing w:after="0"/>
        <w:ind w:left="0"/>
        <w:jc w:val="both"/>
      </w:pPr>
      <w:r>
        <w:rPr>
          <w:rFonts w:ascii="Times New Roman"/>
          <w:b w:val="false"/>
          <w:i w:val="false"/>
          <w:color w:val="000000"/>
          <w:sz w:val="28"/>
        </w:rPr>
        <w:t>
      сжатого воздуха;</w:t>
      </w:r>
    </w:p>
    <w:p>
      <w:pPr>
        <w:spacing w:after="0"/>
        <w:ind w:left="0"/>
        <w:jc w:val="both"/>
      </w:pPr>
      <w:r>
        <w:rPr>
          <w:rFonts w:ascii="Times New Roman"/>
          <w:b w:val="false"/>
          <w:i w:val="false"/>
          <w:color w:val="000000"/>
          <w:sz w:val="28"/>
        </w:rPr>
        <w:t>
      подогрева топлива, воды и масла; конструктивные чертежи узлов и соединений нагревательных элементов;</w:t>
      </w:r>
    </w:p>
    <w:p>
      <w:pPr>
        <w:spacing w:after="0"/>
        <w:ind w:left="0"/>
        <w:jc w:val="both"/>
      </w:pPr>
      <w:r>
        <w:rPr>
          <w:rFonts w:ascii="Times New Roman"/>
          <w:b w:val="false"/>
          <w:i w:val="false"/>
          <w:color w:val="000000"/>
          <w:sz w:val="28"/>
        </w:rPr>
        <w:t>
      размещения и узлов крепления донной и бортовой арматуры;</w:t>
      </w:r>
    </w:p>
    <w:bookmarkStart w:name="z915" w:id="923"/>
    <w:p>
      <w:pPr>
        <w:spacing w:after="0"/>
        <w:ind w:left="0"/>
        <w:jc w:val="both"/>
      </w:pPr>
      <w:r>
        <w:rPr>
          <w:rFonts w:ascii="Times New Roman"/>
          <w:b w:val="false"/>
          <w:i w:val="false"/>
          <w:color w:val="000000"/>
          <w:sz w:val="28"/>
        </w:rPr>
        <w:t>
      3) конструктивные чертежи узлов прохода трубопроводов и вентиляционных каналов через водонепроницаемые переборки и противопожарные конструкции, палубы и платформы.</w:t>
      </w:r>
    </w:p>
    <w:bookmarkEnd w:id="923"/>
    <w:bookmarkStart w:name="z916" w:id="924"/>
    <w:p>
      <w:pPr>
        <w:spacing w:after="0"/>
        <w:ind w:left="0"/>
        <w:jc w:val="both"/>
      </w:pPr>
      <w:r>
        <w:rPr>
          <w:rFonts w:ascii="Times New Roman"/>
          <w:b w:val="false"/>
          <w:i w:val="false"/>
          <w:color w:val="000000"/>
          <w:sz w:val="28"/>
        </w:rPr>
        <w:t>
      107. К документации по механическим и котельным установкам относятся для судна в постройке:</w:t>
      </w:r>
    </w:p>
    <w:bookmarkEnd w:id="924"/>
    <w:bookmarkStart w:name="z917" w:id="925"/>
    <w:p>
      <w:pPr>
        <w:spacing w:after="0"/>
        <w:ind w:left="0"/>
        <w:jc w:val="both"/>
      </w:pPr>
      <w:r>
        <w:rPr>
          <w:rFonts w:ascii="Times New Roman"/>
          <w:b w:val="false"/>
          <w:i w:val="false"/>
          <w:color w:val="000000"/>
          <w:sz w:val="28"/>
        </w:rPr>
        <w:t>
      1) чертежи установки и крепления главных механизмов и паровых котлов;</w:t>
      </w:r>
    </w:p>
    <w:bookmarkEnd w:id="925"/>
    <w:bookmarkStart w:name="z918" w:id="926"/>
    <w:p>
      <w:pPr>
        <w:spacing w:after="0"/>
        <w:ind w:left="0"/>
        <w:jc w:val="both"/>
      </w:pPr>
      <w:r>
        <w:rPr>
          <w:rFonts w:ascii="Times New Roman"/>
          <w:b w:val="false"/>
          <w:i w:val="false"/>
          <w:color w:val="000000"/>
          <w:sz w:val="28"/>
        </w:rPr>
        <w:t>
      2) чертежи оборудования топливных и масляных цистерн;</w:t>
      </w:r>
    </w:p>
    <w:bookmarkEnd w:id="926"/>
    <w:bookmarkStart w:name="z919" w:id="927"/>
    <w:p>
      <w:pPr>
        <w:spacing w:after="0"/>
        <w:ind w:left="0"/>
        <w:jc w:val="both"/>
      </w:pPr>
      <w:r>
        <w:rPr>
          <w:rFonts w:ascii="Times New Roman"/>
          <w:b w:val="false"/>
          <w:i w:val="false"/>
          <w:color w:val="000000"/>
          <w:sz w:val="28"/>
        </w:rPr>
        <w:t>
      3) чертежи глушителей и искрогасителей выхлопных и дымовых труб;</w:t>
      </w:r>
    </w:p>
    <w:bookmarkEnd w:id="927"/>
    <w:bookmarkStart w:name="z920" w:id="928"/>
    <w:p>
      <w:pPr>
        <w:spacing w:after="0"/>
        <w:ind w:left="0"/>
        <w:jc w:val="both"/>
      </w:pPr>
      <w:r>
        <w:rPr>
          <w:rFonts w:ascii="Times New Roman"/>
          <w:b w:val="false"/>
          <w:i w:val="false"/>
          <w:color w:val="000000"/>
          <w:sz w:val="28"/>
        </w:rPr>
        <w:t>
      4) чертежи валопровода и дейдвудного устройства:</w:t>
      </w:r>
    </w:p>
    <w:bookmarkEnd w:id="928"/>
    <w:p>
      <w:pPr>
        <w:spacing w:after="0"/>
        <w:ind w:left="0"/>
        <w:jc w:val="both"/>
      </w:pPr>
      <w:r>
        <w:rPr>
          <w:rFonts w:ascii="Times New Roman"/>
          <w:b w:val="false"/>
          <w:i w:val="false"/>
          <w:color w:val="000000"/>
          <w:sz w:val="28"/>
        </w:rPr>
        <w:t>
      упорных, промежуточных и гребных валов;</w:t>
      </w:r>
    </w:p>
    <w:p>
      <w:pPr>
        <w:spacing w:after="0"/>
        <w:ind w:left="0"/>
        <w:jc w:val="both"/>
      </w:pPr>
      <w:r>
        <w:rPr>
          <w:rFonts w:ascii="Times New Roman"/>
          <w:b w:val="false"/>
          <w:i w:val="false"/>
          <w:color w:val="000000"/>
          <w:sz w:val="28"/>
        </w:rPr>
        <w:t>
      опорных, упорных подшипников и их креплений;</w:t>
      </w:r>
    </w:p>
    <w:p>
      <w:pPr>
        <w:spacing w:after="0"/>
        <w:ind w:left="0"/>
        <w:jc w:val="both"/>
      </w:pPr>
      <w:r>
        <w:rPr>
          <w:rFonts w:ascii="Times New Roman"/>
          <w:b w:val="false"/>
          <w:i w:val="false"/>
          <w:color w:val="000000"/>
          <w:sz w:val="28"/>
        </w:rPr>
        <w:t>
      соединительных муфт;</w:t>
      </w:r>
    </w:p>
    <w:p>
      <w:pPr>
        <w:spacing w:after="0"/>
        <w:ind w:left="0"/>
        <w:jc w:val="both"/>
      </w:pPr>
      <w:r>
        <w:rPr>
          <w:rFonts w:ascii="Times New Roman"/>
          <w:b w:val="false"/>
          <w:i w:val="false"/>
          <w:color w:val="000000"/>
          <w:sz w:val="28"/>
        </w:rPr>
        <w:t>
      дейдвудной трубы и деталей дейдвудного устройства (втулок, подшипников,</w:t>
      </w:r>
    </w:p>
    <w:bookmarkStart w:name="z921" w:id="929"/>
    <w:p>
      <w:pPr>
        <w:spacing w:after="0"/>
        <w:ind w:left="0"/>
        <w:jc w:val="both"/>
      </w:pPr>
      <w:r>
        <w:rPr>
          <w:rFonts w:ascii="Times New Roman"/>
          <w:b w:val="false"/>
          <w:i w:val="false"/>
          <w:color w:val="000000"/>
          <w:sz w:val="28"/>
        </w:rPr>
        <w:t>
      5) чертежи гребного винта фиксированного шага (с деталями крепления съемных лопастей, если винт со съемными лопастями);</w:t>
      </w:r>
    </w:p>
    <w:bookmarkEnd w:id="929"/>
    <w:bookmarkStart w:name="z922" w:id="930"/>
    <w:p>
      <w:pPr>
        <w:spacing w:after="0"/>
        <w:ind w:left="0"/>
        <w:jc w:val="both"/>
      </w:pPr>
      <w:r>
        <w:rPr>
          <w:rFonts w:ascii="Times New Roman"/>
          <w:b w:val="false"/>
          <w:i w:val="false"/>
          <w:color w:val="000000"/>
          <w:sz w:val="28"/>
        </w:rPr>
        <w:t>
      6) чертежи гребного винта регулируемого шага (далее - ВРШ):</w:t>
      </w:r>
    </w:p>
    <w:bookmarkEnd w:id="930"/>
    <w:p>
      <w:pPr>
        <w:spacing w:after="0"/>
        <w:ind w:left="0"/>
        <w:jc w:val="both"/>
      </w:pPr>
      <w:r>
        <w:rPr>
          <w:rFonts w:ascii="Times New Roman"/>
          <w:b w:val="false"/>
          <w:i w:val="false"/>
          <w:color w:val="000000"/>
          <w:sz w:val="28"/>
        </w:rPr>
        <w:t>
      ступицы в сборе;</w:t>
      </w:r>
    </w:p>
    <w:p>
      <w:pPr>
        <w:spacing w:after="0"/>
        <w:ind w:left="0"/>
        <w:jc w:val="both"/>
      </w:pPr>
      <w:r>
        <w:rPr>
          <w:rFonts w:ascii="Times New Roman"/>
          <w:b w:val="false"/>
          <w:i w:val="false"/>
          <w:color w:val="000000"/>
          <w:sz w:val="28"/>
        </w:rPr>
        <w:t>
      лопасти;</w:t>
      </w:r>
    </w:p>
    <w:p>
      <w:pPr>
        <w:spacing w:after="0"/>
        <w:ind w:left="0"/>
        <w:jc w:val="both"/>
      </w:pPr>
      <w:r>
        <w:rPr>
          <w:rFonts w:ascii="Times New Roman"/>
          <w:b w:val="false"/>
          <w:i w:val="false"/>
          <w:color w:val="000000"/>
          <w:sz w:val="28"/>
        </w:rPr>
        <w:t>
      гребного вала и крепления его к ступице;</w:t>
      </w:r>
    </w:p>
    <w:p>
      <w:pPr>
        <w:spacing w:after="0"/>
        <w:ind w:left="0"/>
        <w:jc w:val="both"/>
      </w:pPr>
      <w:r>
        <w:rPr>
          <w:rFonts w:ascii="Times New Roman"/>
          <w:b w:val="false"/>
          <w:i w:val="false"/>
          <w:color w:val="000000"/>
          <w:sz w:val="28"/>
        </w:rPr>
        <w:t>
      буксы масловвода в сборе;</w:t>
      </w:r>
    </w:p>
    <w:p>
      <w:pPr>
        <w:spacing w:after="0"/>
        <w:ind w:left="0"/>
        <w:jc w:val="both"/>
      </w:pPr>
      <w:r>
        <w:rPr>
          <w:rFonts w:ascii="Times New Roman"/>
          <w:b w:val="false"/>
          <w:i w:val="false"/>
          <w:color w:val="000000"/>
          <w:sz w:val="28"/>
        </w:rPr>
        <w:t>
      механизма изменения шага (далее - МИШ) в сборе;</w:t>
      </w:r>
    </w:p>
    <w:p>
      <w:pPr>
        <w:spacing w:after="0"/>
        <w:ind w:left="0"/>
        <w:jc w:val="both"/>
      </w:pPr>
      <w:r>
        <w:rPr>
          <w:rFonts w:ascii="Times New Roman"/>
          <w:b w:val="false"/>
          <w:i w:val="false"/>
          <w:color w:val="000000"/>
          <w:sz w:val="28"/>
        </w:rPr>
        <w:t>
      вала МИШ;</w:t>
      </w:r>
    </w:p>
    <w:bookmarkStart w:name="z923" w:id="931"/>
    <w:p>
      <w:pPr>
        <w:spacing w:after="0"/>
        <w:ind w:left="0"/>
        <w:jc w:val="both"/>
      </w:pPr>
      <w:r>
        <w:rPr>
          <w:rFonts w:ascii="Times New Roman"/>
          <w:b w:val="false"/>
          <w:i w:val="false"/>
          <w:color w:val="000000"/>
          <w:sz w:val="28"/>
        </w:rPr>
        <w:t>
      7) чертежи установки и крепления САУС:</w:t>
      </w:r>
    </w:p>
    <w:bookmarkEnd w:id="931"/>
    <w:p>
      <w:pPr>
        <w:spacing w:after="0"/>
        <w:ind w:left="0"/>
        <w:jc w:val="both"/>
      </w:pPr>
      <w:r>
        <w:rPr>
          <w:rFonts w:ascii="Times New Roman"/>
          <w:b w:val="false"/>
          <w:i w:val="false"/>
          <w:color w:val="000000"/>
          <w:sz w:val="28"/>
        </w:rPr>
        <w:t>
      чертежи винтов и крылаток (при применении ВРШ - подпункт 8) пункта 107 настоящих Правил);</w:t>
      </w:r>
    </w:p>
    <w:p>
      <w:pPr>
        <w:spacing w:after="0"/>
        <w:ind w:left="0"/>
        <w:jc w:val="both"/>
      </w:pPr>
      <w:r>
        <w:rPr>
          <w:rFonts w:ascii="Times New Roman"/>
          <w:b w:val="false"/>
          <w:i w:val="false"/>
          <w:color w:val="000000"/>
          <w:sz w:val="28"/>
        </w:rPr>
        <w:t>
      чертежи подшипников и уплотнений;</w:t>
      </w:r>
    </w:p>
    <w:p>
      <w:pPr>
        <w:spacing w:after="0"/>
        <w:ind w:left="0"/>
        <w:jc w:val="both"/>
      </w:pPr>
      <w:r>
        <w:rPr>
          <w:rFonts w:ascii="Times New Roman"/>
          <w:b w:val="false"/>
          <w:i w:val="false"/>
          <w:color w:val="000000"/>
          <w:sz w:val="28"/>
        </w:rPr>
        <w:t>
      чертежи валов, муфт, зубчатых колес, шестерен.</w:t>
      </w:r>
    </w:p>
    <w:bookmarkStart w:name="z924" w:id="932"/>
    <w:p>
      <w:pPr>
        <w:spacing w:after="0"/>
        <w:ind w:left="0"/>
        <w:jc w:val="both"/>
      </w:pPr>
      <w:r>
        <w:rPr>
          <w:rFonts w:ascii="Times New Roman"/>
          <w:b w:val="false"/>
          <w:i w:val="false"/>
          <w:color w:val="000000"/>
          <w:sz w:val="28"/>
        </w:rPr>
        <w:t>
      Для движителей, не охватываемых требованиями Правил, перечень рабочих чертежей устанавливается Регистром судоходства в каждом отдельном случае.</w:t>
      </w:r>
    </w:p>
    <w:bookmarkEnd w:id="932"/>
    <w:bookmarkStart w:name="z925" w:id="933"/>
    <w:p>
      <w:pPr>
        <w:spacing w:after="0"/>
        <w:ind w:left="0"/>
        <w:jc w:val="both"/>
      </w:pPr>
      <w:r>
        <w:rPr>
          <w:rFonts w:ascii="Times New Roman"/>
          <w:b w:val="false"/>
          <w:i w:val="false"/>
          <w:color w:val="000000"/>
          <w:sz w:val="28"/>
        </w:rPr>
        <w:t>
      108. К документам по системам и устройствам автоматизации для судна в постройке относятся установочные и конструктивные чертежи блоков систем и устройств автоматизации, датчиков, сигнализаторов, приборов, а также щитов и пультов управления и контроля.</w:t>
      </w:r>
    </w:p>
    <w:bookmarkEnd w:id="933"/>
    <w:bookmarkStart w:name="z926" w:id="934"/>
    <w:p>
      <w:pPr>
        <w:spacing w:after="0"/>
        <w:ind w:left="0"/>
        <w:jc w:val="both"/>
      </w:pPr>
      <w:r>
        <w:rPr>
          <w:rFonts w:ascii="Times New Roman"/>
          <w:b w:val="false"/>
          <w:i w:val="false"/>
          <w:color w:val="000000"/>
          <w:sz w:val="28"/>
        </w:rPr>
        <w:t>
      109. Документация по электрическому оборудованию для судна в постройке включает в себя:</w:t>
      </w:r>
    </w:p>
    <w:bookmarkEnd w:id="934"/>
    <w:bookmarkStart w:name="z927" w:id="935"/>
    <w:p>
      <w:pPr>
        <w:spacing w:after="0"/>
        <w:ind w:left="0"/>
        <w:jc w:val="both"/>
      </w:pPr>
      <w:r>
        <w:rPr>
          <w:rFonts w:ascii="Times New Roman"/>
          <w:b w:val="false"/>
          <w:i w:val="false"/>
          <w:color w:val="000000"/>
          <w:sz w:val="28"/>
        </w:rPr>
        <w:t>
      1) схемы основного и аварийного освещения помещений и мест расположения ответственных устройств, путей эвакуации, мест посадки в спасательные средства на палубе и за бортом (от групповых распределительных щитов);</w:t>
      </w:r>
    </w:p>
    <w:bookmarkEnd w:id="935"/>
    <w:bookmarkStart w:name="z928" w:id="936"/>
    <w:p>
      <w:pPr>
        <w:spacing w:after="0"/>
        <w:ind w:left="0"/>
        <w:jc w:val="both"/>
      </w:pPr>
      <w:r>
        <w:rPr>
          <w:rFonts w:ascii="Times New Roman"/>
          <w:b w:val="false"/>
          <w:i w:val="false"/>
          <w:color w:val="000000"/>
          <w:sz w:val="28"/>
        </w:rPr>
        <w:t>
      2) чертежи прокладки кабельных трасс и их проходов через водонепроницаемые, газонепроницаемые и противопожарные переборки, палубы и платформы;</w:t>
      </w:r>
    </w:p>
    <w:bookmarkEnd w:id="936"/>
    <w:bookmarkStart w:name="z929" w:id="937"/>
    <w:p>
      <w:pPr>
        <w:spacing w:after="0"/>
        <w:ind w:left="0"/>
        <w:jc w:val="both"/>
      </w:pPr>
      <w:r>
        <w:rPr>
          <w:rFonts w:ascii="Times New Roman"/>
          <w:b w:val="false"/>
          <w:i w:val="false"/>
          <w:color w:val="000000"/>
          <w:sz w:val="28"/>
        </w:rPr>
        <w:t>
      3) конструктивные сборочные чертежи (только нетиповых изделий), включающие:</w:t>
      </w:r>
    </w:p>
    <w:bookmarkEnd w:id="937"/>
    <w:p>
      <w:pPr>
        <w:spacing w:after="0"/>
        <w:ind w:left="0"/>
        <w:jc w:val="both"/>
      </w:pPr>
      <w:r>
        <w:rPr>
          <w:rFonts w:ascii="Times New Roman"/>
          <w:b w:val="false"/>
          <w:i w:val="false"/>
          <w:color w:val="000000"/>
          <w:sz w:val="28"/>
        </w:rPr>
        <w:t>
      главные распределительные щиты;</w:t>
      </w:r>
    </w:p>
    <w:p>
      <w:pPr>
        <w:spacing w:after="0"/>
        <w:ind w:left="0"/>
        <w:jc w:val="both"/>
      </w:pPr>
      <w:r>
        <w:rPr>
          <w:rFonts w:ascii="Times New Roman"/>
          <w:b w:val="false"/>
          <w:i w:val="false"/>
          <w:color w:val="000000"/>
          <w:sz w:val="28"/>
        </w:rPr>
        <w:t>
      щиты электрической гребной установки;</w:t>
      </w:r>
    </w:p>
    <w:p>
      <w:pPr>
        <w:spacing w:after="0"/>
        <w:ind w:left="0"/>
        <w:jc w:val="both"/>
      </w:pPr>
      <w:r>
        <w:rPr>
          <w:rFonts w:ascii="Times New Roman"/>
          <w:b w:val="false"/>
          <w:i w:val="false"/>
          <w:color w:val="000000"/>
          <w:sz w:val="28"/>
        </w:rPr>
        <w:t>
      аварийные распределительные щиты;</w:t>
      </w:r>
    </w:p>
    <w:p>
      <w:pPr>
        <w:spacing w:after="0"/>
        <w:ind w:left="0"/>
        <w:jc w:val="both"/>
      </w:pPr>
      <w:r>
        <w:rPr>
          <w:rFonts w:ascii="Times New Roman"/>
          <w:b w:val="false"/>
          <w:i w:val="false"/>
          <w:color w:val="000000"/>
          <w:sz w:val="28"/>
        </w:rPr>
        <w:t>
      посты и пульты управления;</w:t>
      </w:r>
    </w:p>
    <w:p>
      <w:pPr>
        <w:spacing w:after="0"/>
        <w:ind w:left="0"/>
        <w:jc w:val="both"/>
      </w:pPr>
      <w:r>
        <w:rPr>
          <w:rFonts w:ascii="Times New Roman"/>
          <w:b w:val="false"/>
          <w:i w:val="false"/>
          <w:color w:val="000000"/>
          <w:sz w:val="28"/>
        </w:rPr>
        <w:t>
      специальные щиты;</w:t>
      </w:r>
    </w:p>
    <w:p>
      <w:pPr>
        <w:spacing w:after="0"/>
        <w:ind w:left="0"/>
        <w:jc w:val="both"/>
      </w:pPr>
      <w:r>
        <w:rPr>
          <w:rFonts w:ascii="Times New Roman"/>
          <w:b w:val="false"/>
          <w:i w:val="false"/>
          <w:color w:val="000000"/>
          <w:sz w:val="28"/>
        </w:rPr>
        <w:t>
      распределительные силовые и осветительные щиты;</w:t>
      </w:r>
    </w:p>
    <w:bookmarkStart w:name="z930" w:id="938"/>
    <w:p>
      <w:pPr>
        <w:spacing w:after="0"/>
        <w:ind w:left="0"/>
        <w:jc w:val="both"/>
      </w:pPr>
      <w:r>
        <w:rPr>
          <w:rFonts w:ascii="Times New Roman"/>
          <w:b w:val="false"/>
          <w:i w:val="false"/>
          <w:color w:val="000000"/>
          <w:sz w:val="28"/>
        </w:rPr>
        <w:t>
      4) схемы и чертежи установки и размещения устройств для измерения неэлектрических величин (измерителей уровня, давления, температуры);</w:t>
      </w:r>
    </w:p>
    <w:bookmarkEnd w:id="938"/>
    <w:bookmarkStart w:name="z931" w:id="939"/>
    <w:p>
      <w:pPr>
        <w:spacing w:after="0"/>
        <w:ind w:left="0"/>
        <w:jc w:val="both"/>
      </w:pPr>
      <w:r>
        <w:rPr>
          <w:rFonts w:ascii="Times New Roman"/>
          <w:b w:val="false"/>
          <w:i w:val="false"/>
          <w:color w:val="000000"/>
          <w:sz w:val="28"/>
        </w:rPr>
        <w:t>
      5) схемы и чертежи устройств по борьбе с помехами радиоприему;</w:t>
      </w:r>
    </w:p>
    <w:bookmarkEnd w:id="939"/>
    <w:bookmarkStart w:name="z932" w:id="940"/>
    <w:p>
      <w:pPr>
        <w:spacing w:after="0"/>
        <w:ind w:left="0"/>
        <w:jc w:val="both"/>
      </w:pPr>
      <w:r>
        <w:rPr>
          <w:rFonts w:ascii="Times New Roman"/>
          <w:b w:val="false"/>
          <w:i w:val="false"/>
          <w:color w:val="000000"/>
          <w:sz w:val="28"/>
        </w:rPr>
        <w:t>
      6) чертежи расположения и установки электрического оборудования во всех помещениях и пространствах судна;</w:t>
      </w:r>
    </w:p>
    <w:bookmarkEnd w:id="940"/>
    <w:bookmarkStart w:name="z933" w:id="941"/>
    <w:p>
      <w:pPr>
        <w:spacing w:after="0"/>
        <w:ind w:left="0"/>
        <w:jc w:val="both"/>
      </w:pPr>
      <w:r>
        <w:rPr>
          <w:rFonts w:ascii="Times New Roman"/>
          <w:b w:val="false"/>
          <w:i w:val="false"/>
          <w:color w:val="000000"/>
          <w:sz w:val="28"/>
        </w:rPr>
        <w:t>
      7) корректированные чертежи и схемы, предусмотренные в пункте 96 настоящих Правил.</w:t>
      </w:r>
    </w:p>
    <w:bookmarkEnd w:id="941"/>
    <w:bookmarkStart w:name="z934" w:id="942"/>
    <w:p>
      <w:pPr>
        <w:spacing w:after="0"/>
        <w:ind w:left="0"/>
        <w:jc w:val="both"/>
      </w:pPr>
      <w:r>
        <w:rPr>
          <w:rFonts w:ascii="Times New Roman"/>
          <w:b w:val="false"/>
          <w:i w:val="false"/>
          <w:color w:val="000000"/>
          <w:sz w:val="28"/>
        </w:rPr>
        <w:t>
      110. Документация по холодильным установкам приведена в параграфе 3 главы 7 настоящих Правил.</w:t>
      </w:r>
    </w:p>
    <w:bookmarkEnd w:id="942"/>
    <w:bookmarkStart w:name="z935" w:id="943"/>
    <w:p>
      <w:pPr>
        <w:spacing w:after="0"/>
        <w:ind w:left="0"/>
        <w:jc w:val="left"/>
      </w:pPr>
      <w:r>
        <w:rPr>
          <w:rFonts w:ascii="Times New Roman"/>
          <w:b/>
          <w:i w:val="false"/>
          <w:color w:val="000000"/>
        </w:rPr>
        <w:t xml:space="preserve"> Раздел 3. Классификация холодильных установок</w:t>
      </w:r>
      <w:r>
        <w:br/>
      </w:r>
      <w:r>
        <w:rPr>
          <w:rFonts w:ascii="Times New Roman"/>
          <w:b/>
          <w:i w:val="false"/>
          <w:color w:val="000000"/>
        </w:rPr>
        <w:t>Глава 6. Класс и символ холодильных установок</w:t>
      </w:r>
    </w:p>
    <w:bookmarkEnd w:id="943"/>
    <w:p>
      <w:pPr>
        <w:spacing w:after="0"/>
        <w:ind w:left="0"/>
        <w:jc w:val="both"/>
      </w:pPr>
      <w:r>
        <w:rPr>
          <w:rFonts w:ascii="Times New Roman"/>
          <w:b w:val="false"/>
          <w:i w:val="false"/>
          <w:color w:val="ff0000"/>
          <w:sz w:val="28"/>
        </w:rPr>
        <w:t xml:space="preserve">
      Сноска. Заголовок главы 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7" w:id="944"/>
    <w:p>
      <w:pPr>
        <w:spacing w:after="0"/>
        <w:ind w:left="0"/>
        <w:jc w:val="left"/>
      </w:pPr>
      <w:r>
        <w:rPr>
          <w:rFonts w:ascii="Times New Roman"/>
          <w:b/>
          <w:i w:val="false"/>
          <w:color w:val="000000"/>
        </w:rPr>
        <w:t xml:space="preserve"> Параграф 1. Общие положения</w:t>
      </w:r>
    </w:p>
    <w:bookmarkEnd w:id="944"/>
    <w:bookmarkStart w:name="z938" w:id="945"/>
    <w:p>
      <w:pPr>
        <w:spacing w:after="0"/>
        <w:ind w:left="0"/>
        <w:jc w:val="both"/>
      </w:pPr>
      <w:r>
        <w:rPr>
          <w:rFonts w:ascii="Times New Roman"/>
          <w:b w:val="false"/>
          <w:i w:val="false"/>
          <w:color w:val="000000"/>
          <w:sz w:val="28"/>
        </w:rPr>
        <w:t>
      111. Из перечисленных в пункте 4 настоящих Правил Регистр судоходства по желанию судовладельца классифицирует:</w:t>
      </w:r>
    </w:p>
    <w:bookmarkEnd w:id="945"/>
    <w:bookmarkStart w:name="z939" w:id="946"/>
    <w:p>
      <w:pPr>
        <w:spacing w:after="0"/>
        <w:ind w:left="0"/>
        <w:jc w:val="both"/>
      </w:pPr>
      <w:r>
        <w:rPr>
          <w:rFonts w:ascii="Times New Roman"/>
          <w:b w:val="false"/>
          <w:i w:val="false"/>
          <w:color w:val="000000"/>
          <w:sz w:val="28"/>
        </w:rPr>
        <w:t>
      1) холодильные установки, предназначенные для создания и поддержания необходимых температур и условий в грузовых охлаждаемых помещениях транспортных судов и в термоизолированных грузовых контейнерах;</w:t>
      </w:r>
    </w:p>
    <w:bookmarkEnd w:id="946"/>
    <w:bookmarkStart w:name="z940" w:id="947"/>
    <w:p>
      <w:pPr>
        <w:spacing w:after="0"/>
        <w:ind w:left="0"/>
        <w:jc w:val="both"/>
      </w:pPr>
      <w:r>
        <w:rPr>
          <w:rFonts w:ascii="Times New Roman"/>
          <w:b w:val="false"/>
          <w:i w:val="false"/>
          <w:color w:val="000000"/>
          <w:sz w:val="28"/>
        </w:rPr>
        <w:t>
      2) холодильные установки, предназначенные для создания и поддержания необходимых температур и условий в грузовых охлаждаемых помещениях, для холодильной обработки продуктов промысла (охлаждение, замораживание) и обеспечения работы технологического оборудования на рыболовных и прочих судах, используемых для переработки биологических ресурсов моря;</w:t>
      </w:r>
    </w:p>
    <w:bookmarkEnd w:id="947"/>
    <w:bookmarkStart w:name="z941" w:id="948"/>
    <w:p>
      <w:pPr>
        <w:spacing w:after="0"/>
        <w:ind w:left="0"/>
        <w:jc w:val="both"/>
      </w:pPr>
      <w:r>
        <w:rPr>
          <w:rFonts w:ascii="Times New Roman"/>
          <w:b w:val="false"/>
          <w:i w:val="false"/>
          <w:color w:val="000000"/>
          <w:sz w:val="28"/>
        </w:rPr>
        <w:t>
      3) холодильные установки, предназначенные для поддержания требуемого режима перевозки сжиженных газов наливом на газовозах.</w:t>
      </w:r>
    </w:p>
    <w:bookmarkEnd w:id="948"/>
    <w:bookmarkStart w:name="z942" w:id="949"/>
    <w:p>
      <w:pPr>
        <w:spacing w:after="0"/>
        <w:ind w:left="0"/>
        <w:jc w:val="both"/>
      </w:pPr>
      <w:r>
        <w:rPr>
          <w:rFonts w:ascii="Times New Roman"/>
          <w:b w:val="false"/>
          <w:i w:val="false"/>
          <w:color w:val="000000"/>
          <w:sz w:val="28"/>
        </w:rPr>
        <w:t>
      Прочие холодильные установки из числа указанных в пункте 4 настоящих Правил, считаются неклассифицируемыми.</w:t>
      </w:r>
    </w:p>
    <w:bookmarkEnd w:id="949"/>
    <w:bookmarkStart w:name="z943" w:id="950"/>
    <w:p>
      <w:pPr>
        <w:spacing w:after="0"/>
        <w:ind w:left="0"/>
        <w:jc w:val="both"/>
      </w:pPr>
      <w:r>
        <w:rPr>
          <w:rFonts w:ascii="Times New Roman"/>
          <w:b w:val="false"/>
          <w:i w:val="false"/>
          <w:color w:val="000000"/>
          <w:sz w:val="28"/>
        </w:rPr>
        <w:t>
      112. Основной символ класса холодильной установки состоит из знаков:</w:t>
      </w:r>
    </w:p>
    <w:bookmarkEnd w:id="950"/>
    <w:p>
      <w:pPr>
        <w:spacing w:after="0"/>
        <w:ind w:left="0"/>
        <w:jc w:val="both"/>
      </w:pPr>
      <w:r>
        <w:rPr>
          <w:rFonts w:ascii="Times New Roman"/>
          <w:b w:val="false"/>
          <w:i w:val="false"/>
          <w:color w:val="000000"/>
          <w:sz w:val="28"/>
        </w:rPr>
        <w:t>
      REF</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 для установки, построенной по Правилам и освидетельствованной Регистром судоходства;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REF</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Т(указывается прежний класс холодильной установки)  - для установки, построенной по Правилам признанной Регистром судоходства классификационной организации, освидетельствованной этой организацией при постройке и классифицируемой впоследствии Регистром судоходства;</w:t>
      </w:r>
      <w:r>
        <w:br/>
      </w:r>
      <w:r>
        <w:rPr>
          <w:rFonts w:ascii="Times New Roman"/>
          <w:b w:val="false"/>
          <w:i w:val="false"/>
          <w:color w:val="000000"/>
          <w:sz w:val="28"/>
        </w:rPr>
        <w:t>
</w:t>
      </w:r>
      <w:r>
        <w:br/>
      </w:r>
    </w:p>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3100" cy="355600"/>
                    </a:xfrm>
                    <a:prstGeom prst="rect">
                      <a:avLst/>
                    </a:prstGeom>
                  </pic:spPr>
                </pic:pic>
              </a:graphicData>
            </a:graphic>
          </wp:inline>
        </w:drawing>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 для установки, построенной без освидетельствования признанной Регистром судоходства классификационной организации или вообще без освидетельствования классификационной организации, но классифицируемой впоследствии Регистром судоходства;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REF</w:t>
      </w:r>
    </w:p>
    <w:p>
      <w:pPr>
        <w:spacing w:after="0"/>
        <w:ind w:left="0"/>
        <w:jc w:val="both"/>
      </w:pPr>
      <w:r>
        <w:drawing>
          <wp:inline distT="0" distB="0" distL="0" distR="0">
            <wp:extent cx="381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81000" cy="495300"/>
                    </a:xfrm>
                    <a:prstGeom prst="rect">
                      <a:avLst/>
                    </a:prstGeom>
                  </pic:spPr>
                </pic:pic>
              </a:graphicData>
            </a:graphic>
          </wp:inline>
        </w:drawing>
      </w:r>
    </w:p>
    <w:p>
      <w:pPr>
        <w:spacing w:after="0"/>
        <w:ind w:left="0"/>
        <w:jc w:val="left"/>
      </w:pPr>
      <w:r>
        <w:rPr>
          <w:rFonts w:ascii="Times New Roman"/>
          <w:b w:val="false"/>
          <w:i w:val="false"/>
          <w:color w:val="000000"/>
          <w:sz w:val="28"/>
        </w:rPr>
        <w:t>Т- для установки, построенной по правилам общества - члена МАКО, освидетельствованной этим обществом при постройке и классифицируемой впоследствии Регистром судоходства, если холодильная установка не в полной мере отвечает требованиям раздела 14 настоящих Правил.</w:t>
      </w:r>
      <w:r>
        <w:br/>
      </w:r>
      <w:r>
        <w:rPr>
          <w:rFonts w:ascii="Times New Roman"/>
          <w:b w:val="false"/>
          <w:i w:val="false"/>
          <w:color w:val="000000"/>
          <w:sz w:val="28"/>
        </w:rPr>
        <w:t>
</w:t>
      </w:r>
    </w:p>
    <w:bookmarkStart w:name="z944" w:id="951"/>
    <w:p>
      <w:pPr>
        <w:spacing w:after="0"/>
        <w:ind w:left="0"/>
        <w:jc w:val="both"/>
      </w:pPr>
      <w:r>
        <w:rPr>
          <w:rFonts w:ascii="Times New Roman"/>
          <w:b w:val="false"/>
          <w:i w:val="false"/>
          <w:color w:val="000000"/>
          <w:sz w:val="28"/>
        </w:rPr>
        <w:t>
      113. Если мощность холодильной установки позволяет производить охлаждение на судне груза, предварительно не охлажденного, за время, в течение которого обеспечивается его сохранность, то к основному символу класса добавляется знак способности к охлаждению груза - PRECOOLING.</w:t>
      </w:r>
    </w:p>
    <w:bookmarkEnd w:id="951"/>
    <w:bookmarkStart w:name="z945" w:id="952"/>
    <w:p>
      <w:pPr>
        <w:spacing w:after="0"/>
        <w:ind w:left="0"/>
        <w:jc w:val="both"/>
      </w:pPr>
      <w:r>
        <w:rPr>
          <w:rFonts w:ascii="Times New Roman"/>
          <w:b w:val="false"/>
          <w:i w:val="false"/>
          <w:color w:val="000000"/>
          <w:sz w:val="28"/>
        </w:rPr>
        <w:t>
      114. Если установка предназначена для охлаждения или замораживания продуктов промысла и отвечает соответствующим требованиям раздела 14 настоящих Правил, то к основному символу класса добавляется знак способности к охлаждению или замораживанию продуктов промысла - QUICK FREEZING.</w:t>
      </w:r>
    </w:p>
    <w:bookmarkEnd w:id="952"/>
    <w:bookmarkStart w:name="z946" w:id="953"/>
    <w:p>
      <w:pPr>
        <w:spacing w:after="0"/>
        <w:ind w:left="0"/>
        <w:jc w:val="both"/>
      </w:pPr>
      <w:r>
        <w:rPr>
          <w:rFonts w:ascii="Times New Roman"/>
          <w:b w:val="false"/>
          <w:i w:val="false"/>
          <w:color w:val="000000"/>
          <w:sz w:val="28"/>
        </w:rPr>
        <w:t>
      115. Если холодильная установка предназначена для охлаждения груза, перевозимого в термоизолированных контейнерах, и она отвечает соответствующим требованиям раздела 14 настоящих Правил, то к основному символу класса холодильной установки добавляется дополнительный знак холодильных установок - CONTAINERS.</w:t>
      </w:r>
    </w:p>
    <w:bookmarkEnd w:id="953"/>
    <w:bookmarkStart w:name="z947" w:id="954"/>
    <w:p>
      <w:pPr>
        <w:spacing w:after="0"/>
        <w:ind w:left="0"/>
        <w:jc w:val="both"/>
      </w:pPr>
      <w:r>
        <w:rPr>
          <w:rFonts w:ascii="Times New Roman"/>
          <w:b w:val="false"/>
          <w:i w:val="false"/>
          <w:color w:val="000000"/>
          <w:sz w:val="28"/>
        </w:rPr>
        <w:t>
      Если судно оборудовано в дополнение к холодильной установке системой регулирования состава газовой среды в охлаждаемых помещениях и/или в термоизолированных контейнерах, которая отвечает соответствующим требованиям раздела 14 настоящих Правил, то к основному символу класса холодильной установки добавляется знак СА.</w:t>
      </w:r>
    </w:p>
    <w:bookmarkEnd w:id="954"/>
    <w:bookmarkStart w:name="z948" w:id="955"/>
    <w:p>
      <w:pPr>
        <w:spacing w:after="0"/>
        <w:ind w:left="0"/>
        <w:jc w:val="both"/>
      </w:pPr>
      <w:r>
        <w:rPr>
          <w:rFonts w:ascii="Times New Roman"/>
          <w:b w:val="false"/>
          <w:i w:val="false"/>
          <w:color w:val="000000"/>
          <w:sz w:val="28"/>
        </w:rPr>
        <w:t>
      Если холодильная установка предназначена для поддержания требуемого режима перевозки сжиженных газов наливом на газовозе, и она отвечает соответствующим требованиям раздела 14 настоящих Правил, то к основному символу класса холодильной установки добавляется знак LG.</w:t>
      </w:r>
    </w:p>
    <w:bookmarkEnd w:id="955"/>
    <w:bookmarkStart w:name="z949" w:id="956"/>
    <w:p>
      <w:pPr>
        <w:spacing w:after="0"/>
        <w:ind w:left="0"/>
        <w:jc w:val="both"/>
      </w:pPr>
      <w:r>
        <w:rPr>
          <w:rFonts w:ascii="Times New Roman"/>
          <w:b w:val="false"/>
          <w:i w:val="false"/>
          <w:color w:val="000000"/>
          <w:sz w:val="28"/>
        </w:rPr>
        <w:t>
      Регистр судоходства присваивает класс холодильной установке с постройки судна, а также присваивает или возобнавляет класс холодильной установке на судне в эксплуатации.</w:t>
      </w:r>
    </w:p>
    <w:bookmarkEnd w:id="956"/>
    <w:bookmarkStart w:name="z950" w:id="957"/>
    <w:p>
      <w:pPr>
        <w:spacing w:after="0"/>
        <w:ind w:left="0"/>
        <w:jc w:val="both"/>
      </w:pPr>
      <w:r>
        <w:rPr>
          <w:rFonts w:ascii="Times New Roman"/>
          <w:b w:val="false"/>
          <w:i w:val="false"/>
          <w:color w:val="000000"/>
          <w:sz w:val="28"/>
        </w:rPr>
        <w:t>
      116. Присвоение или возобновление класса означает, что холодильная установка полностью или в степени, признанной Регистром судоходства за достаточную, соответствует тем требованиям Регистра судоходства, которые к ней относятся, а ее техническое состояние соответствует спецификационным расчетным условиям.</w:t>
      </w:r>
    </w:p>
    <w:bookmarkEnd w:id="957"/>
    <w:bookmarkStart w:name="z951" w:id="958"/>
    <w:p>
      <w:pPr>
        <w:spacing w:after="0"/>
        <w:ind w:left="0"/>
        <w:jc w:val="both"/>
      </w:pPr>
      <w:r>
        <w:rPr>
          <w:rFonts w:ascii="Times New Roman"/>
          <w:b w:val="false"/>
          <w:i w:val="false"/>
          <w:color w:val="000000"/>
          <w:sz w:val="28"/>
        </w:rPr>
        <w:t>
      117. После проведения соответствующего освидетельствования присваивается или возобновляется класс на холодильную установку.</w:t>
      </w:r>
    </w:p>
    <w:bookmarkEnd w:id="958"/>
    <w:bookmarkStart w:name="z952" w:id="959"/>
    <w:p>
      <w:pPr>
        <w:spacing w:after="0"/>
        <w:ind w:left="0"/>
        <w:jc w:val="both"/>
      </w:pPr>
      <w:r>
        <w:rPr>
          <w:rFonts w:ascii="Times New Roman"/>
          <w:b w:val="false"/>
          <w:i w:val="false"/>
          <w:color w:val="000000"/>
          <w:sz w:val="28"/>
        </w:rPr>
        <w:t>
      118. Регистр судоходства исключает или изменяет в символе класса соответствующий знак при изменении или нарушении условий, послуживших основанием для введения в символ класса данного знака.</w:t>
      </w:r>
    </w:p>
    <w:bookmarkEnd w:id="959"/>
    <w:bookmarkStart w:name="z953" w:id="960"/>
    <w:p>
      <w:pPr>
        <w:spacing w:after="0"/>
        <w:ind w:left="0"/>
        <w:jc w:val="both"/>
      </w:pPr>
      <w:r>
        <w:rPr>
          <w:rFonts w:ascii="Times New Roman"/>
          <w:b w:val="false"/>
          <w:i w:val="false"/>
          <w:color w:val="000000"/>
          <w:sz w:val="28"/>
        </w:rPr>
        <w:t>
      119. В случае обращения судовладельца Регистр судоходства также осуществляет классификационную деятельность применительно к объектам, не указанным в пункте 3 настоящих Правил.</w:t>
      </w:r>
    </w:p>
    <w:bookmarkEnd w:id="960"/>
    <w:bookmarkStart w:name="z954" w:id="961"/>
    <w:p>
      <w:pPr>
        <w:spacing w:after="0"/>
        <w:ind w:left="0"/>
        <w:jc w:val="left"/>
      </w:pPr>
      <w:r>
        <w:rPr>
          <w:rFonts w:ascii="Times New Roman"/>
          <w:b/>
          <w:i w:val="false"/>
          <w:color w:val="000000"/>
        </w:rPr>
        <w:t xml:space="preserve"> Глава 7. Техническая документация холодильной установки</w:t>
      </w:r>
    </w:p>
    <w:bookmarkEnd w:id="961"/>
    <w:p>
      <w:pPr>
        <w:spacing w:after="0"/>
        <w:ind w:left="0"/>
        <w:jc w:val="both"/>
      </w:pPr>
      <w:r>
        <w:rPr>
          <w:rFonts w:ascii="Times New Roman"/>
          <w:b w:val="false"/>
          <w:i w:val="false"/>
          <w:color w:val="ff0000"/>
          <w:sz w:val="28"/>
        </w:rPr>
        <w:t xml:space="preserve">
      Сноска. Заголовок главы 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5" w:id="962"/>
    <w:p>
      <w:pPr>
        <w:spacing w:after="0"/>
        <w:ind w:left="0"/>
        <w:jc w:val="left"/>
      </w:pPr>
      <w:r>
        <w:rPr>
          <w:rFonts w:ascii="Times New Roman"/>
          <w:b/>
          <w:i w:val="false"/>
          <w:color w:val="000000"/>
        </w:rPr>
        <w:t xml:space="preserve"> Параграф 1. Документация технического и технорабочего проектов</w:t>
      </w:r>
      <w:r>
        <w:br/>
      </w:r>
      <w:r>
        <w:rPr>
          <w:rFonts w:ascii="Times New Roman"/>
          <w:b/>
          <w:i w:val="false"/>
          <w:color w:val="000000"/>
        </w:rPr>
        <w:t>классифицируемой холодильной установки</w:t>
      </w:r>
    </w:p>
    <w:bookmarkEnd w:id="962"/>
    <w:bookmarkStart w:name="z956" w:id="963"/>
    <w:p>
      <w:pPr>
        <w:spacing w:after="0"/>
        <w:ind w:left="0"/>
        <w:jc w:val="both"/>
      </w:pPr>
      <w:r>
        <w:rPr>
          <w:rFonts w:ascii="Times New Roman"/>
          <w:b w:val="false"/>
          <w:i w:val="false"/>
          <w:color w:val="000000"/>
          <w:sz w:val="28"/>
        </w:rPr>
        <w:t>
      120. До начала постройки судна на рассмотрение Регистру судоходства представляется проектная техническая документация, содержащая сведения, что требования Правил Регистра судоходства к холодильной установке выполнены. В пунктах 121 и 122 настоящих Правил приведены примерные перечни документов, представляемых Регистру судоходства на рассмотрение.</w:t>
      </w:r>
    </w:p>
    <w:bookmarkEnd w:id="963"/>
    <w:bookmarkStart w:name="z957" w:id="964"/>
    <w:p>
      <w:pPr>
        <w:spacing w:after="0"/>
        <w:ind w:left="0"/>
        <w:jc w:val="both"/>
      </w:pPr>
      <w:r>
        <w:rPr>
          <w:rFonts w:ascii="Times New Roman"/>
          <w:b w:val="false"/>
          <w:i w:val="false"/>
          <w:color w:val="000000"/>
          <w:sz w:val="28"/>
        </w:rPr>
        <w:t>
      121. При последующем одобрении рабочей документации представляются:</w:t>
      </w:r>
    </w:p>
    <w:bookmarkEnd w:id="964"/>
    <w:bookmarkStart w:name="z958" w:id="965"/>
    <w:p>
      <w:pPr>
        <w:spacing w:after="0"/>
        <w:ind w:left="0"/>
        <w:jc w:val="both"/>
      </w:pPr>
      <w:r>
        <w:rPr>
          <w:rFonts w:ascii="Times New Roman"/>
          <w:b w:val="false"/>
          <w:i w:val="false"/>
          <w:color w:val="000000"/>
          <w:sz w:val="28"/>
        </w:rPr>
        <w:t>
      1) техническое описание холодильной установки (штамп об одобрении не ставится);</w:t>
      </w:r>
    </w:p>
    <w:bookmarkEnd w:id="965"/>
    <w:bookmarkStart w:name="z959" w:id="966"/>
    <w:p>
      <w:pPr>
        <w:spacing w:after="0"/>
        <w:ind w:left="0"/>
        <w:jc w:val="both"/>
      </w:pPr>
      <w:r>
        <w:rPr>
          <w:rFonts w:ascii="Times New Roman"/>
          <w:b w:val="false"/>
          <w:i w:val="false"/>
          <w:color w:val="000000"/>
          <w:sz w:val="28"/>
        </w:rPr>
        <w:t>
      2) расчет холодильной мощности с указанием тепловой нагрузки от каждого охлаждаемого грузового помещения и технологического потребителя холода (штамп об одобрении не ставится);</w:t>
      </w:r>
    </w:p>
    <w:bookmarkEnd w:id="966"/>
    <w:bookmarkStart w:name="z960" w:id="967"/>
    <w:p>
      <w:pPr>
        <w:spacing w:after="0"/>
        <w:ind w:left="0"/>
        <w:jc w:val="both"/>
      </w:pPr>
      <w:r>
        <w:rPr>
          <w:rFonts w:ascii="Times New Roman"/>
          <w:b w:val="false"/>
          <w:i w:val="false"/>
          <w:color w:val="000000"/>
          <w:sz w:val="28"/>
        </w:rPr>
        <w:t>
      3) чертежи общего расположения холодильной установки на судне;</w:t>
      </w:r>
    </w:p>
    <w:bookmarkEnd w:id="967"/>
    <w:bookmarkStart w:name="z961" w:id="968"/>
    <w:p>
      <w:pPr>
        <w:spacing w:after="0"/>
        <w:ind w:left="0"/>
        <w:jc w:val="both"/>
      </w:pPr>
      <w:r>
        <w:rPr>
          <w:rFonts w:ascii="Times New Roman"/>
          <w:b w:val="false"/>
          <w:i w:val="false"/>
          <w:color w:val="000000"/>
          <w:sz w:val="28"/>
        </w:rPr>
        <w:t>
      4) принципиальные схемы систем основной и аварийной вентиляции отделения холодильных машин и других помещений с оборудованием под давлением холодильного агента с указанием водонепроницаемых и противопожарных переборок, а также кратности воздухообмена;</w:t>
      </w:r>
    </w:p>
    <w:bookmarkEnd w:id="968"/>
    <w:bookmarkStart w:name="z962" w:id="969"/>
    <w:p>
      <w:pPr>
        <w:spacing w:after="0"/>
        <w:ind w:left="0"/>
        <w:jc w:val="both"/>
      </w:pPr>
      <w:r>
        <w:rPr>
          <w:rFonts w:ascii="Times New Roman"/>
          <w:b w:val="false"/>
          <w:i w:val="false"/>
          <w:color w:val="000000"/>
          <w:sz w:val="28"/>
        </w:rPr>
        <w:t>
      5) принципиальные схемы систем холодильного агента, холодоносителя, охлаждающей воды с указанием мест установки контрольно-измерительных приборов и приборов автоматики;</w:t>
      </w:r>
    </w:p>
    <w:bookmarkEnd w:id="969"/>
    <w:bookmarkStart w:name="z963" w:id="970"/>
    <w:p>
      <w:pPr>
        <w:spacing w:after="0"/>
        <w:ind w:left="0"/>
        <w:jc w:val="both"/>
      </w:pPr>
      <w:r>
        <w:rPr>
          <w:rFonts w:ascii="Times New Roman"/>
          <w:b w:val="false"/>
          <w:i w:val="false"/>
          <w:color w:val="000000"/>
          <w:sz w:val="28"/>
        </w:rPr>
        <w:t>
      6) схема системы воздушного охлаждения с указанием водонепроницаемых и противопожарных переборок;</w:t>
      </w:r>
    </w:p>
    <w:bookmarkEnd w:id="970"/>
    <w:bookmarkStart w:name="z964" w:id="971"/>
    <w:p>
      <w:pPr>
        <w:spacing w:after="0"/>
        <w:ind w:left="0"/>
        <w:jc w:val="both"/>
      </w:pPr>
      <w:r>
        <w:rPr>
          <w:rFonts w:ascii="Times New Roman"/>
          <w:b w:val="false"/>
          <w:i w:val="false"/>
          <w:color w:val="000000"/>
          <w:sz w:val="28"/>
        </w:rPr>
        <w:t>
      7) чертежи расположения оборудования в отделении холодильных машин с указанием выходных путей;</w:t>
      </w:r>
    </w:p>
    <w:bookmarkEnd w:id="971"/>
    <w:bookmarkStart w:name="z965" w:id="972"/>
    <w:p>
      <w:pPr>
        <w:spacing w:after="0"/>
        <w:ind w:left="0"/>
        <w:jc w:val="both"/>
      </w:pPr>
      <w:r>
        <w:rPr>
          <w:rFonts w:ascii="Times New Roman"/>
          <w:b w:val="false"/>
          <w:i w:val="false"/>
          <w:color w:val="000000"/>
          <w:sz w:val="28"/>
        </w:rPr>
        <w:t>
      8) чертежи расположения оборудования в охлаждаемых помещениях с указанием мест размещения приборов контроля температуры;</w:t>
      </w:r>
    </w:p>
    <w:bookmarkEnd w:id="972"/>
    <w:bookmarkStart w:name="z966" w:id="973"/>
    <w:p>
      <w:pPr>
        <w:spacing w:after="0"/>
        <w:ind w:left="0"/>
        <w:jc w:val="both"/>
      </w:pPr>
      <w:r>
        <w:rPr>
          <w:rFonts w:ascii="Times New Roman"/>
          <w:b w:val="false"/>
          <w:i w:val="false"/>
          <w:color w:val="000000"/>
          <w:sz w:val="28"/>
        </w:rPr>
        <w:t>
      9) чертежи узлов изоляционных конструкций охлаждаемых помещений с техническими данными изоляционных материалов;</w:t>
      </w:r>
    </w:p>
    <w:bookmarkEnd w:id="973"/>
    <w:bookmarkStart w:name="z967" w:id="974"/>
    <w:p>
      <w:pPr>
        <w:spacing w:after="0"/>
        <w:ind w:left="0"/>
        <w:jc w:val="both"/>
      </w:pPr>
      <w:r>
        <w:rPr>
          <w:rFonts w:ascii="Times New Roman"/>
          <w:b w:val="false"/>
          <w:i w:val="false"/>
          <w:color w:val="000000"/>
          <w:sz w:val="28"/>
        </w:rPr>
        <w:t>
      10) принципиальная схема системы водяных завес отделения холодильных машин (если холодильный агент группы II);</w:t>
      </w:r>
    </w:p>
    <w:bookmarkEnd w:id="974"/>
    <w:bookmarkStart w:name="z968" w:id="975"/>
    <w:p>
      <w:pPr>
        <w:spacing w:after="0"/>
        <w:ind w:left="0"/>
        <w:jc w:val="both"/>
      </w:pPr>
      <w:r>
        <w:rPr>
          <w:rFonts w:ascii="Times New Roman"/>
          <w:b w:val="false"/>
          <w:i w:val="false"/>
          <w:color w:val="000000"/>
          <w:sz w:val="28"/>
        </w:rPr>
        <w:t>
      11) чертежи общего расположения на судне морозильных и охлаждающих устройств и другого технологического холодильного оборудования;</w:t>
      </w:r>
    </w:p>
    <w:bookmarkEnd w:id="975"/>
    <w:bookmarkStart w:name="z969" w:id="976"/>
    <w:p>
      <w:pPr>
        <w:spacing w:after="0"/>
        <w:ind w:left="0"/>
        <w:jc w:val="both"/>
      </w:pPr>
      <w:r>
        <w:rPr>
          <w:rFonts w:ascii="Times New Roman"/>
          <w:b w:val="false"/>
          <w:i w:val="false"/>
          <w:color w:val="000000"/>
          <w:sz w:val="28"/>
        </w:rPr>
        <w:t>
      12) принципиальные схемы систем автоматического регулирования, защиты и сигнализации;</w:t>
      </w:r>
    </w:p>
    <w:bookmarkEnd w:id="976"/>
    <w:bookmarkStart w:name="z970" w:id="977"/>
    <w:p>
      <w:pPr>
        <w:spacing w:after="0"/>
        <w:ind w:left="0"/>
        <w:jc w:val="both"/>
      </w:pPr>
      <w:r>
        <w:rPr>
          <w:rFonts w:ascii="Times New Roman"/>
          <w:b w:val="false"/>
          <w:i w:val="false"/>
          <w:color w:val="000000"/>
          <w:sz w:val="28"/>
        </w:rPr>
        <w:t>
      13) перечень механизмов, сосудов и аппаратов холодильной установки с указанием технических характеристик, типа (марки), завода-изготовителя и сведений об одобрении Регистром судоходства (штамп об одобрении не ставится);</w:t>
      </w:r>
    </w:p>
    <w:bookmarkEnd w:id="977"/>
    <w:bookmarkStart w:name="z971" w:id="978"/>
    <w:p>
      <w:pPr>
        <w:spacing w:after="0"/>
        <w:ind w:left="0"/>
        <w:jc w:val="both"/>
      </w:pPr>
      <w:r>
        <w:rPr>
          <w:rFonts w:ascii="Times New Roman"/>
          <w:b w:val="false"/>
          <w:i w:val="false"/>
          <w:color w:val="000000"/>
          <w:sz w:val="28"/>
        </w:rPr>
        <w:t>
      14) перечень регулирующих и измерительных устройств, устройств защиты и сигнализации с указанием технических характеристик, типа (марки), завода-изготовителя и сведений об одобрении Регистром судоходства (штамп об одобрении не ставится);</w:t>
      </w:r>
    </w:p>
    <w:bookmarkEnd w:id="978"/>
    <w:bookmarkStart w:name="z972" w:id="979"/>
    <w:p>
      <w:pPr>
        <w:spacing w:after="0"/>
        <w:ind w:left="0"/>
        <w:jc w:val="both"/>
      </w:pPr>
      <w:r>
        <w:rPr>
          <w:rFonts w:ascii="Times New Roman"/>
          <w:b w:val="false"/>
          <w:i w:val="false"/>
          <w:color w:val="000000"/>
          <w:sz w:val="28"/>
        </w:rPr>
        <w:t>
      15) таблицы величин площадей ограждающих поверхностей охлаждаемых грузовых помещений со сведениями о расчетном коэффициенте теплопередачи каждой поверхности и осредненном коэффициенте теплопередачи изоляционной конструкции помещений (штамп об одобрении не ставится);</w:t>
      </w:r>
    </w:p>
    <w:bookmarkEnd w:id="979"/>
    <w:bookmarkStart w:name="z973" w:id="980"/>
    <w:p>
      <w:pPr>
        <w:spacing w:after="0"/>
        <w:ind w:left="0"/>
        <w:jc w:val="both"/>
      </w:pPr>
      <w:r>
        <w:rPr>
          <w:rFonts w:ascii="Times New Roman"/>
          <w:b w:val="false"/>
          <w:i w:val="false"/>
          <w:color w:val="000000"/>
          <w:sz w:val="28"/>
        </w:rPr>
        <w:t>
      16) чертежи воздухопроводов охлаждения груза в термоизолированных контейнерах с указанием разводки по судну;</w:t>
      </w:r>
    </w:p>
    <w:bookmarkEnd w:id="980"/>
    <w:bookmarkStart w:name="z974" w:id="981"/>
    <w:p>
      <w:pPr>
        <w:spacing w:after="0"/>
        <w:ind w:left="0"/>
        <w:jc w:val="both"/>
      </w:pPr>
      <w:r>
        <w:rPr>
          <w:rFonts w:ascii="Times New Roman"/>
          <w:b w:val="false"/>
          <w:i w:val="false"/>
          <w:color w:val="000000"/>
          <w:sz w:val="28"/>
        </w:rPr>
        <w:t>
      17) чертежи изоляции воздухопроводов с техническими данными изоляционных материалов;</w:t>
      </w:r>
    </w:p>
    <w:bookmarkEnd w:id="981"/>
    <w:bookmarkStart w:name="z975" w:id="982"/>
    <w:p>
      <w:pPr>
        <w:spacing w:after="0"/>
        <w:ind w:left="0"/>
        <w:jc w:val="both"/>
      </w:pPr>
      <w:r>
        <w:rPr>
          <w:rFonts w:ascii="Times New Roman"/>
          <w:b w:val="false"/>
          <w:i w:val="false"/>
          <w:color w:val="000000"/>
          <w:sz w:val="28"/>
        </w:rPr>
        <w:t>
      18) чертежи уплотнительных и гибких соединений с указанием данных по материалам;</w:t>
      </w:r>
    </w:p>
    <w:bookmarkEnd w:id="982"/>
    <w:bookmarkStart w:name="z976" w:id="983"/>
    <w:p>
      <w:pPr>
        <w:spacing w:after="0"/>
        <w:ind w:left="0"/>
        <w:jc w:val="both"/>
      </w:pPr>
      <w:r>
        <w:rPr>
          <w:rFonts w:ascii="Times New Roman"/>
          <w:b w:val="false"/>
          <w:i w:val="false"/>
          <w:color w:val="000000"/>
          <w:sz w:val="28"/>
        </w:rPr>
        <w:t>
      19) чертежи общего расположения установки регулирования состава газовой среды;</w:t>
      </w:r>
    </w:p>
    <w:bookmarkEnd w:id="983"/>
    <w:bookmarkStart w:name="z977" w:id="984"/>
    <w:p>
      <w:pPr>
        <w:spacing w:after="0"/>
        <w:ind w:left="0"/>
        <w:jc w:val="both"/>
      </w:pPr>
      <w:r>
        <w:rPr>
          <w:rFonts w:ascii="Times New Roman"/>
          <w:b w:val="false"/>
          <w:i w:val="false"/>
          <w:color w:val="000000"/>
          <w:sz w:val="28"/>
        </w:rPr>
        <w:t>
      20) перечень оборудования системы регулирования состава газовой среды, в том числе регулирующих приборов, автоматических устройств, и сведения об их одобрении Регистром судоходства.</w:t>
      </w:r>
    </w:p>
    <w:bookmarkEnd w:id="984"/>
    <w:bookmarkStart w:name="z978" w:id="985"/>
    <w:p>
      <w:pPr>
        <w:spacing w:after="0"/>
        <w:ind w:left="0"/>
        <w:jc w:val="both"/>
      </w:pPr>
      <w:r>
        <w:rPr>
          <w:rFonts w:ascii="Times New Roman"/>
          <w:b w:val="false"/>
          <w:i w:val="false"/>
          <w:color w:val="000000"/>
          <w:sz w:val="28"/>
        </w:rPr>
        <w:t>
      122. Без последующего одобрения рабочей документации следует представить документацию, указанную в пункте 121 настоящих Правил, и дополнительно:</w:t>
      </w:r>
    </w:p>
    <w:bookmarkEnd w:id="985"/>
    <w:bookmarkStart w:name="z979" w:id="986"/>
    <w:p>
      <w:pPr>
        <w:spacing w:after="0"/>
        <w:ind w:left="0"/>
        <w:jc w:val="both"/>
      </w:pPr>
      <w:r>
        <w:rPr>
          <w:rFonts w:ascii="Times New Roman"/>
          <w:b w:val="false"/>
          <w:i w:val="false"/>
          <w:color w:val="000000"/>
          <w:sz w:val="28"/>
        </w:rPr>
        <w:t>
      1) чертежи установки и крепления механизмов, сосудов и аппаратов;</w:t>
      </w:r>
    </w:p>
    <w:bookmarkEnd w:id="986"/>
    <w:bookmarkStart w:name="z980" w:id="987"/>
    <w:p>
      <w:pPr>
        <w:spacing w:after="0"/>
        <w:ind w:left="0"/>
        <w:jc w:val="both"/>
      </w:pPr>
      <w:r>
        <w:rPr>
          <w:rFonts w:ascii="Times New Roman"/>
          <w:b w:val="false"/>
          <w:i w:val="false"/>
          <w:color w:val="000000"/>
          <w:sz w:val="28"/>
        </w:rPr>
        <w:t>
      2) чертежи расположения трубопроводов холодильного агента, холодоносителя и охлаждающей воды с указанием узлов прохода через переборки, палубы и платформы;</w:t>
      </w:r>
    </w:p>
    <w:bookmarkEnd w:id="987"/>
    <w:bookmarkStart w:name="z981" w:id="988"/>
    <w:p>
      <w:pPr>
        <w:spacing w:after="0"/>
        <w:ind w:left="0"/>
        <w:jc w:val="both"/>
      </w:pPr>
      <w:r>
        <w:rPr>
          <w:rFonts w:ascii="Times New Roman"/>
          <w:b w:val="false"/>
          <w:i w:val="false"/>
          <w:color w:val="000000"/>
          <w:sz w:val="28"/>
        </w:rPr>
        <w:t>
      3) чертеж расположения станции аварийного слива холодильного агента за борт;</w:t>
      </w:r>
    </w:p>
    <w:bookmarkEnd w:id="988"/>
    <w:bookmarkStart w:name="z982" w:id="989"/>
    <w:p>
      <w:pPr>
        <w:spacing w:after="0"/>
        <w:ind w:left="0"/>
        <w:jc w:val="both"/>
      </w:pPr>
      <w:r>
        <w:rPr>
          <w:rFonts w:ascii="Times New Roman"/>
          <w:b w:val="false"/>
          <w:i w:val="false"/>
          <w:color w:val="000000"/>
          <w:sz w:val="28"/>
        </w:rPr>
        <w:t>
      4) ведомость запасных частей;</w:t>
      </w:r>
    </w:p>
    <w:bookmarkEnd w:id="989"/>
    <w:bookmarkStart w:name="z983" w:id="990"/>
    <w:p>
      <w:pPr>
        <w:spacing w:after="0"/>
        <w:ind w:left="0"/>
        <w:jc w:val="both"/>
      </w:pPr>
      <w:r>
        <w:rPr>
          <w:rFonts w:ascii="Times New Roman"/>
          <w:b w:val="false"/>
          <w:i w:val="false"/>
          <w:color w:val="000000"/>
          <w:sz w:val="28"/>
        </w:rPr>
        <w:t>
      5) программу испытаний с указанием метода создания расчетной тепловой нагрузки (включая расчет потребной мощности дополнительных нагревателей) и метода определения фактического осредненного коэффициента теплопередачи изоляционной конструкции грузовых охлаждаемых помещений.</w:t>
      </w:r>
    </w:p>
    <w:bookmarkEnd w:id="990"/>
    <w:bookmarkStart w:name="z984" w:id="991"/>
    <w:p>
      <w:pPr>
        <w:spacing w:after="0"/>
        <w:ind w:left="0"/>
        <w:jc w:val="left"/>
      </w:pPr>
      <w:r>
        <w:rPr>
          <w:rFonts w:ascii="Times New Roman"/>
          <w:b/>
          <w:i w:val="false"/>
          <w:color w:val="000000"/>
        </w:rPr>
        <w:t xml:space="preserve"> Параграф 2. Документация технического и технорабочего</w:t>
      </w:r>
      <w:r>
        <w:br/>
      </w:r>
      <w:r>
        <w:rPr>
          <w:rFonts w:ascii="Times New Roman"/>
          <w:b/>
          <w:i w:val="false"/>
          <w:color w:val="000000"/>
        </w:rPr>
        <w:t>проектов неклассифицируемой холодильной установки.</w:t>
      </w:r>
      <w:r>
        <w:br/>
      </w:r>
      <w:r>
        <w:rPr>
          <w:rFonts w:ascii="Times New Roman"/>
          <w:b/>
          <w:i w:val="false"/>
          <w:color w:val="000000"/>
        </w:rPr>
        <w:t>Рабочая документация для холодильных установок</w:t>
      </w:r>
    </w:p>
    <w:bookmarkEnd w:id="991"/>
    <w:bookmarkStart w:name="z985" w:id="992"/>
    <w:p>
      <w:pPr>
        <w:spacing w:after="0"/>
        <w:ind w:left="0"/>
        <w:jc w:val="both"/>
      </w:pPr>
      <w:r>
        <w:rPr>
          <w:rFonts w:ascii="Times New Roman"/>
          <w:b w:val="false"/>
          <w:i w:val="false"/>
          <w:color w:val="000000"/>
          <w:sz w:val="28"/>
        </w:rPr>
        <w:t>
      123. При последующем одобрении рабочей документации представляется документация, указанная в подпунктах 3) - 5) пункта 121 (только для холодильного агента), в подпунктах 7), 10) и 11) пункта 121 (только в отношении устройств, работающих под давлением холодильного агента), в подпункте 12) пункта 121 (только в отношении защиты и сигнализации), в подпунктах 13), 14) пункта 121 настоящих Правил (только в отношении измерительных приборов в системе холодильного агента и устройств защиты и аварийной сигнализации).</w:t>
      </w:r>
    </w:p>
    <w:bookmarkEnd w:id="992"/>
    <w:bookmarkStart w:name="z986" w:id="993"/>
    <w:p>
      <w:pPr>
        <w:spacing w:after="0"/>
        <w:ind w:left="0"/>
        <w:jc w:val="both"/>
      </w:pPr>
      <w:r>
        <w:rPr>
          <w:rFonts w:ascii="Times New Roman"/>
          <w:b w:val="false"/>
          <w:i w:val="false"/>
          <w:color w:val="000000"/>
          <w:sz w:val="28"/>
        </w:rPr>
        <w:t>
      124. Без последующего одобрения рабочей документации представляется документация, указанная в пункте 123, а также в подпунктах 1) и 2) (только для холодильного агента) и подпункта 3) пункта 122 настоящих Правил.</w:t>
      </w:r>
    </w:p>
    <w:bookmarkEnd w:id="993"/>
    <w:bookmarkStart w:name="z987" w:id="994"/>
    <w:p>
      <w:pPr>
        <w:spacing w:after="0"/>
        <w:ind w:left="0"/>
        <w:jc w:val="both"/>
      </w:pPr>
      <w:r>
        <w:rPr>
          <w:rFonts w:ascii="Times New Roman"/>
          <w:b w:val="false"/>
          <w:i w:val="false"/>
          <w:color w:val="000000"/>
          <w:sz w:val="28"/>
        </w:rPr>
        <w:t>
      125. К рабочей документации для холодильных установок относятся:</w:t>
      </w:r>
    </w:p>
    <w:bookmarkEnd w:id="994"/>
    <w:bookmarkStart w:name="z988" w:id="995"/>
    <w:p>
      <w:pPr>
        <w:spacing w:after="0"/>
        <w:ind w:left="0"/>
        <w:jc w:val="both"/>
      </w:pPr>
      <w:r>
        <w:rPr>
          <w:rFonts w:ascii="Times New Roman"/>
          <w:b w:val="false"/>
          <w:i w:val="false"/>
          <w:color w:val="000000"/>
          <w:sz w:val="28"/>
        </w:rPr>
        <w:t>
      1) чертежи установки и крепления механизмов, сосудов, аппаратов;</w:t>
      </w:r>
    </w:p>
    <w:bookmarkEnd w:id="995"/>
    <w:bookmarkStart w:name="z989" w:id="996"/>
    <w:p>
      <w:pPr>
        <w:spacing w:after="0"/>
        <w:ind w:left="0"/>
        <w:jc w:val="both"/>
      </w:pPr>
      <w:r>
        <w:rPr>
          <w:rFonts w:ascii="Times New Roman"/>
          <w:b w:val="false"/>
          <w:i w:val="false"/>
          <w:color w:val="000000"/>
          <w:sz w:val="28"/>
        </w:rPr>
        <w:t>
      2) чертеж расположения трубопроводов холодильного агента;</w:t>
      </w:r>
    </w:p>
    <w:bookmarkEnd w:id="996"/>
    <w:bookmarkStart w:name="z990" w:id="997"/>
    <w:p>
      <w:pPr>
        <w:spacing w:after="0"/>
        <w:ind w:left="0"/>
        <w:jc w:val="both"/>
      </w:pPr>
      <w:r>
        <w:rPr>
          <w:rFonts w:ascii="Times New Roman"/>
          <w:b w:val="false"/>
          <w:i w:val="false"/>
          <w:color w:val="000000"/>
          <w:sz w:val="28"/>
        </w:rPr>
        <w:t>
      3) чертеж расположения трубопроводов холодоносителя и охлаждающей воды;</w:t>
      </w:r>
    </w:p>
    <w:bookmarkEnd w:id="997"/>
    <w:bookmarkStart w:name="z991" w:id="998"/>
    <w:p>
      <w:pPr>
        <w:spacing w:after="0"/>
        <w:ind w:left="0"/>
        <w:jc w:val="both"/>
      </w:pPr>
      <w:r>
        <w:rPr>
          <w:rFonts w:ascii="Times New Roman"/>
          <w:b w:val="false"/>
          <w:i w:val="false"/>
          <w:color w:val="000000"/>
          <w:sz w:val="28"/>
        </w:rPr>
        <w:t>
      4) чертеж системы воздушного охлаждения;</w:t>
      </w:r>
    </w:p>
    <w:bookmarkEnd w:id="998"/>
    <w:bookmarkStart w:name="z992" w:id="999"/>
    <w:p>
      <w:pPr>
        <w:spacing w:after="0"/>
        <w:ind w:left="0"/>
        <w:jc w:val="both"/>
      </w:pPr>
      <w:r>
        <w:rPr>
          <w:rFonts w:ascii="Times New Roman"/>
          <w:b w:val="false"/>
          <w:i w:val="false"/>
          <w:color w:val="000000"/>
          <w:sz w:val="28"/>
        </w:rPr>
        <w:t>
      5) чертеж системы водяных завес помещений холодильных машин;</w:t>
      </w:r>
    </w:p>
    <w:bookmarkEnd w:id="999"/>
    <w:bookmarkStart w:name="z993" w:id="1000"/>
    <w:p>
      <w:pPr>
        <w:spacing w:after="0"/>
        <w:ind w:left="0"/>
        <w:jc w:val="both"/>
      </w:pPr>
      <w:r>
        <w:rPr>
          <w:rFonts w:ascii="Times New Roman"/>
          <w:b w:val="false"/>
          <w:i w:val="false"/>
          <w:color w:val="000000"/>
          <w:sz w:val="28"/>
        </w:rPr>
        <w:t>
      6) чертеж расположения станции аварийного слива холодильного агента за борт;</w:t>
      </w:r>
    </w:p>
    <w:bookmarkEnd w:id="1000"/>
    <w:bookmarkStart w:name="z994" w:id="1001"/>
    <w:p>
      <w:pPr>
        <w:spacing w:after="0"/>
        <w:ind w:left="0"/>
        <w:jc w:val="both"/>
      </w:pPr>
      <w:r>
        <w:rPr>
          <w:rFonts w:ascii="Times New Roman"/>
          <w:b w:val="false"/>
          <w:i w:val="false"/>
          <w:color w:val="000000"/>
          <w:sz w:val="28"/>
        </w:rPr>
        <w:t>
      7) инструкция по обслуживанию и эксплуатации холодильной установки (штамп об одобрении не ставится);</w:t>
      </w:r>
    </w:p>
    <w:bookmarkEnd w:id="1001"/>
    <w:bookmarkStart w:name="z995" w:id="1002"/>
    <w:p>
      <w:pPr>
        <w:spacing w:after="0"/>
        <w:ind w:left="0"/>
        <w:jc w:val="both"/>
      </w:pPr>
      <w:r>
        <w:rPr>
          <w:rFonts w:ascii="Times New Roman"/>
          <w:b w:val="false"/>
          <w:i w:val="false"/>
          <w:color w:val="000000"/>
          <w:sz w:val="28"/>
        </w:rPr>
        <w:t>
      8) ведомость запасных частей;</w:t>
      </w:r>
    </w:p>
    <w:bookmarkEnd w:id="1002"/>
    <w:bookmarkStart w:name="z996" w:id="1003"/>
    <w:p>
      <w:pPr>
        <w:spacing w:after="0"/>
        <w:ind w:left="0"/>
        <w:jc w:val="both"/>
      </w:pPr>
      <w:r>
        <w:rPr>
          <w:rFonts w:ascii="Times New Roman"/>
          <w:b w:val="false"/>
          <w:i w:val="false"/>
          <w:color w:val="000000"/>
          <w:sz w:val="28"/>
        </w:rPr>
        <w:t>
      9) программа испытаний.</w:t>
      </w:r>
    </w:p>
    <w:bookmarkEnd w:id="1003"/>
    <w:bookmarkStart w:name="z997" w:id="1004"/>
    <w:p>
      <w:pPr>
        <w:spacing w:after="0"/>
        <w:ind w:left="0"/>
        <w:jc w:val="both"/>
      </w:pPr>
      <w:r>
        <w:rPr>
          <w:rFonts w:ascii="Times New Roman"/>
          <w:b w:val="false"/>
          <w:i w:val="false"/>
          <w:color w:val="000000"/>
          <w:sz w:val="28"/>
        </w:rPr>
        <w:t>
      Для неклассифицируемой холодильной установки представляются документы, указанные в подпунктах 1), 2), 5) и 6) пункта 124 настоящих Правил.</w:t>
      </w:r>
    </w:p>
    <w:bookmarkEnd w:id="1004"/>
    <w:bookmarkStart w:name="z998" w:id="1005"/>
    <w:p>
      <w:pPr>
        <w:spacing w:after="0"/>
        <w:ind w:left="0"/>
        <w:jc w:val="left"/>
      </w:pPr>
      <w:r>
        <w:rPr>
          <w:rFonts w:ascii="Times New Roman"/>
          <w:b/>
          <w:i w:val="false"/>
          <w:color w:val="000000"/>
        </w:rPr>
        <w:t xml:space="preserve"> Часть 2. Постройка судов</w:t>
      </w:r>
      <w:r>
        <w:br/>
      </w:r>
      <w:r>
        <w:rPr>
          <w:rFonts w:ascii="Times New Roman"/>
          <w:b/>
          <w:i w:val="false"/>
          <w:color w:val="000000"/>
        </w:rPr>
        <w:t>Раздел 4. Корпус</w:t>
      </w:r>
      <w:r>
        <w:br/>
      </w:r>
      <w:r>
        <w:rPr>
          <w:rFonts w:ascii="Times New Roman"/>
          <w:b/>
          <w:i w:val="false"/>
          <w:color w:val="000000"/>
        </w:rPr>
        <w:t>Подраздел 1. Принципы проектирования</w:t>
      </w:r>
      <w:r>
        <w:br/>
      </w:r>
      <w:r>
        <w:rPr>
          <w:rFonts w:ascii="Times New Roman"/>
          <w:b/>
          <w:i w:val="false"/>
          <w:color w:val="000000"/>
        </w:rPr>
        <w:t>Глава 8. Общие положения</w:t>
      </w:r>
    </w:p>
    <w:bookmarkEnd w:id="1005"/>
    <w:p>
      <w:pPr>
        <w:spacing w:after="0"/>
        <w:ind w:left="0"/>
        <w:jc w:val="both"/>
      </w:pPr>
      <w:r>
        <w:rPr>
          <w:rFonts w:ascii="Times New Roman"/>
          <w:b w:val="false"/>
          <w:i w:val="false"/>
          <w:color w:val="ff0000"/>
          <w:sz w:val="28"/>
        </w:rPr>
        <w:t xml:space="preserve">
      Сноска. Заголовок главы 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2" w:id="1006"/>
    <w:p>
      <w:pPr>
        <w:spacing w:after="0"/>
        <w:ind w:left="0"/>
        <w:jc w:val="left"/>
      </w:pPr>
      <w:r>
        <w:rPr>
          <w:rFonts w:ascii="Times New Roman"/>
          <w:b/>
          <w:i w:val="false"/>
          <w:color w:val="000000"/>
        </w:rPr>
        <w:t xml:space="preserve"> Параграф 1. Область распространения</w:t>
      </w:r>
    </w:p>
    <w:bookmarkEnd w:id="1006"/>
    <w:bookmarkStart w:name="z1003" w:id="1007"/>
    <w:p>
      <w:pPr>
        <w:spacing w:after="0"/>
        <w:ind w:left="0"/>
        <w:jc w:val="both"/>
      </w:pPr>
      <w:r>
        <w:rPr>
          <w:rFonts w:ascii="Times New Roman"/>
          <w:b w:val="false"/>
          <w:i w:val="false"/>
          <w:color w:val="000000"/>
          <w:sz w:val="28"/>
        </w:rPr>
        <w:t>
      126. Требования настоящего раздела Правил распространяются на стальные суда сварной конструкции длиной от 12 до 350 м, у которых соотношение главных размерений не превышает указанного в приложении 5 настоящих Правил.</w:t>
      </w:r>
    </w:p>
    <w:bookmarkEnd w:id="1007"/>
    <w:bookmarkStart w:name="z1004" w:id="1008"/>
    <w:p>
      <w:pPr>
        <w:spacing w:after="0"/>
        <w:ind w:left="0"/>
        <w:jc w:val="both"/>
      </w:pPr>
      <w:r>
        <w:rPr>
          <w:rFonts w:ascii="Times New Roman"/>
          <w:b w:val="false"/>
          <w:i w:val="false"/>
          <w:color w:val="000000"/>
          <w:sz w:val="28"/>
        </w:rPr>
        <w:t>
      Требования настоящей части Правил не распространяются на нефтеналивные суда длиной 150 м и более и навалочные суда длиной 90 м и более.</w:t>
      </w:r>
    </w:p>
    <w:bookmarkEnd w:id="1008"/>
    <w:bookmarkStart w:name="z1005" w:id="1009"/>
    <w:p>
      <w:pPr>
        <w:spacing w:after="0"/>
        <w:ind w:left="0"/>
        <w:jc w:val="both"/>
      </w:pPr>
      <w:r>
        <w:rPr>
          <w:rFonts w:ascii="Times New Roman"/>
          <w:b w:val="false"/>
          <w:i w:val="false"/>
          <w:color w:val="000000"/>
          <w:sz w:val="28"/>
        </w:rPr>
        <w:t>
      127. Размеры связей, обеспечивающих прочность корпусов судов, конструкция и главные размерения которых не регламентируются настоящими Правилами, являются предметом специального рассмотрения Регистром судоходства.</w:t>
      </w:r>
    </w:p>
    <w:bookmarkEnd w:id="1009"/>
    <w:bookmarkStart w:name="z1006" w:id="1010"/>
    <w:p>
      <w:pPr>
        <w:spacing w:after="0"/>
        <w:ind w:left="0"/>
        <w:jc w:val="left"/>
      </w:pPr>
      <w:r>
        <w:rPr>
          <w:rFonts w:ascii="Times New Roman"/>
          <w:b/>
          <w:i w:val="false"/>
          <w:color w:val="000000"/>
        </w:rPr>
        <w:t xml:space="preserve"> Параграф 2. Общие требования</w:t>
      </w:r>
    </w:p>
    <w:bookmarkEnd w:id="1010"/>
    <w:bookmarkStart w:name="z1007" w:id="1011"/>
    <w:p>
      <w:pPr>
        <w:spacing w:after="0"/>
        <w:ind w:left="0"/>
        <w:jc w:val="both"/>
      </w:pPr>
      <w:r>
        <w:rPr>
          <w:rFonts w:ascii="Times New Roman"/>
          <w:b w:val="false"/>
          <w:i w:val="false"/>
          <w:color w:val="000000"/>
          <w:sz w:val="28"/>
        </w:rPr>
        <w:t>
      128. Все конструкции, регламентируемые настоящей частью Правил, подлежат освидетельствованию Регистром судоходства. С этой целью обеспечивается доступ для их освидетельствования.</w:t>
      </w:r>
    </w:p>
    <w:bookmarkEnd w:id="1011"/>
    <w:bookmarkStart w:name="z1008" w:id="1012"/>
    <w:p>
      <w:pPr>
        <w:spacing w:after="0"/>
        <w:ind w:left="0"/>
        <w:jc w:val="both"/>
      </w:pPr>
      <w:r>
        <w:rPr>
          <w:rFonts w:ascii="Times New Roman"/>
          <w:b w:val="false"/>
          <w:i w:val="false"/>
          <w:color w:val="000000"/>
          <w:sz w:val="28"/>
        </w:rPr>
        <w:t>
      129. Необходимо чтобы конструкции, регламентируемые настоящей частью Правил, отвечали требованиям разделов 15 и 16 настоящих Правил и соответствовали одобренной технической документации, указанной в разделе 4 настоящих Правил.</w:t>
      </w:r>
    </w:p>
    <w:bookmarkEnd w:id="1012"/>
    <w:bookmarkStart w:name="z1009" w:id="1013"/>
    <w:p>
      <w:pPr>
        <w:spacing w:after="0"/>
        <w:ind w:left="0"/>
        <w:jc w:val="both"/>
      </w:pPr>
      <w:r>
        <w:rPr>
          <w:rFonts w:ascii="Times New Roman"/>
          <w:b w:val="false"/>
          <w:i w:val="false"/>
          <w:color w:val="000000"/>
          <w:sz w:val="28"/>
        </w:rPr>
        <w:t>
      130. Испытание непроницаемости корпусов судов производится по нормативам, указанным в приложении 6 настоящих Правил.</w:t>
      </w:r>
    </w:p>
    <w:bookmarkEnd w:id="1013"/>
    <w:bookmarkStart w:name="z1010" w:id="1014"/>
    <w:p>
      <w:pPr>
        <w:spacing w:after="0"/>
        <w:ind w:left="0"/>
        <w:jc w:val="left"/>
      </w:pPr>
      <w:r>
        <w:rPr>
          <w:rFonts w:ascii="Times New Roman"/>
          <w:b/>
          <w:i w:val="false"/>
          <w:color w:val="000000"/>
        </w:rPr>
        <w:t xml:space="preserve"> Параграф 3. Основные положения по определению размеров связей</w:t>
      </w:r>
    </w:p>
    <w:bookmarkEnd w:id="1014"/>
    <w:bookmarkStart w:name="z1011" w:id="1015"/>
    <w:p>
      <w:pPr>
        <w:spacing w:after="0"/>
        <w:ind w:left="0"/>
        <w:jc w:val="both"/>
      </w:pPr>
      <w:r>
        <w:rPr>
          <w:rFonts w:ascii="Times New Roman"/>
          <w:b w:val="false"/>
          <w:i w:val="false"/>
          <w:color w:val="000000"/>
          <w:sz w:val="28"/>
        </w:rPr>
        <w:t>
      131. Размеры элементов корпусных конструкций регламентируются при заданных настоящей частью Правил расчетных нагрузках, методах расчета и запасах прочности с учетом запаса на износ (параграф 5 главы 8 настоящих Правил).</w:t>
      </w:r>
    </w:p>
    <w:bookmarkEnd w:id="1015"/>
    <w:bookmarkStart w:name="z1012" w:id="1016"/>
    <w:p>
      <w:pPr>
        <w:spacing w:after="0"/>
        <w:ind w:left="0"/>
        <w:jc w:val="both"/>
      </w:pPr>
      <w:r>
        <w:rPr>
          <w:rFonts w:ascii="Times New Roman"/>
          <w:b w:val="false"/>
          <w:i w:val="false"/>
          <w:color w:val="000000"/>
          <w:sz w:val="28"/>
        </w:rPr>
        <w:t>
      132. Определение размеров связей в Правилах производится по расчетным схемам, представляющим конструкции в виде стержневых систем, работающих на изгиб, сдвиг, продольное нагружение и кручение с учетом влияния смежных конструкций.</w:t>
      </w:r>
    </w:p>
    <w:bookmarkEnd w:id="1016"/>
    <w:bookmarkStart w:name="z1013" w:id="1017"/>
    <w:p>
      <w:pPr>
        <w:spacing w:after="0"/>
        <w:ind w:left="0"/>
        <w:jc w:val="both"/>
      </w:pPr>
      <w:r>
        <w:rPr>
          <w:rFonts w:ascii="Times New Roman"/>
          <w:b w:val="false"/>
          <w:i w:val="false"/>
          <w:color w:val="000000"/>
          <w:sz w:val="28"/>
        </w:rPr>
        <w:t>
      133. В качестве расчетных характеристик материала конструкций корпуса в Правилах принимаются:</w:t>
      </w:r>
    </w:p>
    <w:bookmarkEnd w:id="101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 верхний предел текучести,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color w:val="000000"/>
          <w:sz w:val="28"/>
        </w:rPr>
        <w:t>п</w:t>
      </w:r>
      <w:r>
        <w:rPr>
          <w:rFonts w:ascii="Times New Roman"/>
          <w:b w:val="false"/>
          <w:i w:val="false"/>
          <w:color w:val="000000"/>
          <w:sz w:val="28"/>
        </w:rPr>
        <w:t xml:space="preserve"> - расчетный нормативный предел текучести по нормальным напряжениям, МПа,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color w:val="000000"/>
          <w:sz w:val="28"/>
        </w:rPr>
        <w:t>п</w:t>
      </w:r>
      <w:r>
        <w:rPr>
          <w:rFonts w:ascii="Times New Roman"/>
          <w:b w:val="false"/>
          <w:i w:val="false"/>
          <w:color w:val="000000"/>
          <w:sz w:val="28"/>
        </w:rPr>
        <w:t xml:space="preserve"> = 235/</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использования механических свойств стали, определяемый по приложению 7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расчетный нормативный предел текучести по касательным напряжениям, МПа,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0,57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(2)</w:t>
      </w:r>
      <w:r>
        <w:br/>
      </w:r>
      <w:r>
        <w:rPr>
          <w:rFonts w:ascii="Times New Roman"/>
          <w:b w:val="false"/>
          <w:i w:val="false"/>
          <w:color w:val="000000"/>
          <w:sz w:val="28"/>
        </w:rPr>
        <w:t>
</w:t>
      </w:r>
    </w:p>
    <w:bookmarkStart w:name="z1014" w:id="1018"/>
    <w:p>
      <w:pPr>
        <w:spacing w:after="0"/>
        <w:ind w:left="0"/>
        <w:jc w:val="both"/>
      </w:pPr>
      <w:r>
        <w:rPr>
          <w:rFonts w:ascii="Times New Roman"/>
          <w:b w:val="false"/>
          <w:i w:val="false"/>
          <w:color w:val="000000"/>
          <w:sz w:val="28"/>
        </w:rPr>
        <w:t xml:space="preserve">
      134. Требования к прочности конструктивных элементов и конструкций в целом при определении их размеров и прочностных характеристик формулируются в Правилах путем задания нормативных значений допускаемых напряжений для расчетных нормальных </w:t>
      </w:r>
    </w:p>
    <w:bookmarkEnd w:id="1018"/>
    <w:p>
      <w:pPr>
        <w:spacing w:after="0"/>
        <w:ind w:left="0"/>
        <w:jc w:val="both"/>
      </w:pPr>
      <w:r>
        <w:drawing>
          <wp:inline distT="0" distB="0" distL="0" distR="0">
            <wp:extent cx="143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35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касательных </w:t>
      </w:r>
    </w:p>
    <w:p>
      <w:pPr>
        <w:spacing w:after="0"/>
        <w:ind w:left="0"/>
        <w:jc w:val="both"/>
      </w:pPr>
      <w:r>
        <w:drawing>
          <wp:inline distT="0" distB="0" distL="0" distR="0">
            <wp:extent cx="1270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напряжений (где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допускаемых нормальных и касательных напряжений соответственно).</w:t>
      </w:r>
      <w:r>
        <w:br/>
      </w:r>
      <w:r>
        <w:rPr>
          <w:rFonts w:ascii="Times New Roman"/>
          <w:b w:val="false"/>
          <w:i w:val="false"/>
          <w:color w:val="000000"/>
          <w:sz w:val="28"/>
        </w:rPr>
        <w:t>
</w:t>
      </w:r>
    </w:p>
    <w:bookmarkStart w:name="z1015" w:id="1019"/>
    <w:p>
      <w:pPr>
        <w:spacing w:after="0"/>
        <w:ind w:left="0"/>
        <w:jc w:val="both"/>
      </w:pPr>
      <w:r>
        <w:rPr>
          <w:rFonts w:ascii="Times New Roman"/>
          <w:b w:val="false"/>
          <w:i w:val="false"/>
          <w:color w:val="000000"/>
          <w:sz w:val="28"/>
        </w:rPr>
        <w:t xml:space="preserve">
      Значения </w:t>
      </w:r>
    </w:p>
    <w:bookmarkEnd w:id="1019"/>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приводятся в соответствующих главах раздела 4 настоящих Правил.</w:t>
      </w:r>
      <w:r>
        <w:br/>
      </w:r>
      <w:r>
        <w:rPr>
          <w:rFonts w:ascii="Times New Roman"/>
          <w:b w:val="false"/>
          <w:i w:val="false"/>
          <w:color w:val="000000"/>
          <w:sz w:val="28"/>
        </w:rPr>
        <w:t>
</w:t>
      </w:r>
    </w:p>
    <w:bookmarkStart w:name="z1016" w:id="1020"/>
    <w:p>
      <w:pPr>
        <w:spacing w:after="0"/>
        <w:ind w:left="0"/>
        <w:jc w:val="both"/>
      </w:pPr>
      <w:r>
        <w:rPr>
          <w:rFonts w:ascii="Times New Roman"/>
          <w:b w:val="false"/>
          <w:i w:val="false"/>
          <w:color w:val="000000"/>
          <w:sz w:val="28"/>
        </w:rPr>
        <w:t>
      135. Требования устойчивости предъявляются к элементам конструкций, подверженным воздействию значительных сжимающих нормальных и/или касательных напряжений.</w:t>
      </w:r>
    </w:p>
    <w:bookmarkEnd w:id="1020"/>
    <w:bookmarkStart w:name="z1017" w:id="1021"/>
    <w:p>
      <w:pPr>
        <w:spacing w:after="0"/>
        <w:ind w:left="0"/>
        <w:jc w:val="both"/>
      </w:pPr>
      <w:r>
        <w:rPr>
          <w:rFonts w:ascii="Times New Roman"/>
          <w:b w:val="false"/>
          <w:i w:val="false"/>
          <w:color w:val="000000"/>
          <w:sz w:val="28"/>
        </w:rPr>
        <w:t>
      136. Толщина элементов корпуса судна, определенная в соответствии с требованиями раздела 4 настоящих Правил, равна не менее, минимальной толщины, указанной для конкретных конструкций в соответствующих главах раздела 4 настоящих Правил.</w:t>
      </w:r>
    </w:p>
    <w:bookmarkEnd w:id="1021"/>
    <w:bookmarkStart w:name="z1018" w:id="1022"/>
    <w:p>
      <w:pPr>
        <w:spacing w:after="0"/>
        <w:ind w:left="0"/>
        <w:jc w:val="both"/>
      </w:pPr>
      <w:r>
        <w:rPr>
          <w:rFonts w:ascii="Times New Roman"/>
          <w:b w:val="false"/>
          <w:i w:val="false"/>
          <w:color w:val="000000"/>
          <w:sz w:val="28"/>
        </w:rPr>
        <w:t>
      Для судов ограниченных районов плавания R2, R2-RSN, R3 и R3-RSN допускается уменьшением минимальной толщины элементов корпуса, но не более чем указано в приложении 8 настоящих Правил.</w:t>
      </w:r>
    </w:p>
    <w:bookmarkEnd w:id="1022"/>
    <w:bookmarkStart w:name="z1019" w:id="1023"/>
    <w:p>
      <w:pPr>
        <w:spacing w:after="0"/>
        <w:ind w:left="0"/>
        <w:jc w:val="both"/>
      </w:pPr>
      <w:r>
        <w:rPr>
          <w:rFonts w:ascii="Times New Roman"/>
          <w:b w:val="false"/>
          <w:i w:val="false"/>
          <w:color w:val="000000"/>
          <w:sz w:val="28"/>
        </w:rPr>
        <w:t>
      Во всех случаях, если это специально не оговорено, толщина связей корпуса равна не менее 4 мм.</w:t>
      </w:r>
    </w:p>
    <w:bookmarkEnd w:id="1023"/>
    <w:bookmarkStart w:name="z1020" w:id="1024"/>
    <w:p>
      <w:pPr>
        <w:spacing w:after="0"/>
        <w:ind w:left="0"/>
        <w:jc w:val="both"/>
      </w:pPr>
      <w:r>
        <w:rPr>
          <w:rFonts w:ascii="Times New Roman"/>
          <w:b w:val="false"/>
          <w:i w:val="false"/>
          <w:color w:val="000000"/>
          <w:sz w:val="28"/>
        </w:rPr>
        <w:t>
      137. Требования по определению размеров связей корпуса в настоящей части Правил основаны на предположении, что при постройке и в эксплуатации осуществляются меры по защите корпуса от коррозии в соответствии с действующими стандартами и иными действующими нормативными документами.</w:t>
      </w:r>
    </w:p>
    <w:bookmarkEnd w:id="1024"/>
    <w:bookmarkStart w:name="z1021" w:id="1025"/>
    <w:p>
      <w:pPr>
        <w:spacing w:after="0"/>
        <w:ind w:left="0"/>
        <w:jc w:val="both"/>
      </w:pPr>
      <w:r>
        <w:rPr>
          <w:rFonts w:ascii="Times New Roman"/>
          <w:b w:val="false"/>
          <w:i w:val="false"/>
          <w:color w:val="000000"/>
          <w:sz w:val="28"/>
        </w:rPr>
        <w:t>
      138. По согласованию с судовладельцем допускается уменьшение размеров отдельных элементов корпуса до значений, согласованных с Регистром судоходства.</w:t>
      </w:r>
    </w:p>
    <w:bookmarkEnd w:id="1025"/>
    <w:bookmarkStart w:name="z1022" w:id="1026"/>
    <w:p>
      <w:pPr>
        <w:spacing w:after="0"/>
        <w:ind w:left="0"/>
        <w:jc w:val="both"/>
      </w:pPr>
      <w:r>
        <w:rPr>
          <w:rFonts w:ascii="Times New Roman"/>
          <w:b w:val="false"/>
          <w:i w:val="false"/>
          <w:color w:val="000000"/>
          <w:sz w:val="28"/>
        </w:rPr>
        <w:t>
      Уменьшенные размеры, а также размеры, определенные в соответствии с требованиями настоящих Правил для 24-летнего срока эксплуатации судна, указывают в конструктивных чертежах корпуса, представляемых в Регистр судоходства для рассмотрения. В документы таких судов включается специальная отметка (пункт 50 настоящих Правил).</w:t>
      </w:r>
    </w:p>
    <w:bookmarkEnd w:id="1026"/>
    <w:bookmarkStart w:name="z1023" w:id="1027"/>
    <w:p>
      <w:pPr>
        <w:spacing w:after="0"/>
        <w:ind w:left="0"/>
        <w:jc w:val="left"/>
      </w:pPr>
      <w:r>
        <w:rPr>
          <w:rFonts w:ascii="Times New Roman"/>
          <w:b/>
          <w:i w:val="false"/>
          <w:color w:val="000000"/>
        </w:rPr>
        <w:t xml:space="preserve"> Параграф 4. Учет коррозионного износа</w:t>
      </w:r>
    </w:p>
    <w:bookmarkEnd w:id="1027"/>
    <w:bookmarkStart w:name="z1024" w:id="1028"/>
    <w:p>
      <w:pPr>
        <w:spacing w:after="0"/>
        <w:ind w:left="0"/>
        <w:jc w:val="both"/>
      </w:pPr>
      <w:r>
        <w:rPr>
          <w:rFonts w:ascii="Times New Roman"/>
          <w:b w:val="false"/>
          <w:i w:val="false"/>
          <w:color w:val="000000"/>
          <w:sz w:val="28"/>
        </w:rPr>
        <w:t xml:space="preserve">
      139. Запас на износ </w:t>
      </w:r>
      <w:r>
        <w:rPr>
          <w:rFonts w:ascii="Times New Roman"/>
          <w:b w:val="false"/>
          <w:i w:val="false"/>
          <w:color w:val="000000"/>
          <w:sz w:val="28"/>
          <w:u w:val="single"/>
        </w:rPr>
        <w:t>/\</w:t>
      </w:r>
      <w:r>
        <w:rPr>
          <w:rFonts w:ascii="Times New Roman"/>
          <w:b w:val="false"/>
          <w:i w:val="false"/>
          <w:color w:val="000000"/>
          <w:sz w:val="28"/>
        </w:rPr>
        <w:t>s, мм, принимается для конструкций, планируемый срок службы которых превышает 12 лет, и определяется по формуле:</w:t>
      </w:r>
    </w:p>
    <w:bookmarkEnd w:id="102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s = </w:t>
      </w:r>
      <w:r>
        <w:rPr>
          <w:rFonts w:ascii="Times New Roman"/>
          <w:b w:val="false"/>
          <w:i/>
          <w:color w:val="000000"/>
          <w:sz w:val="28"/>
        </w:rPr>
        <w:t>и</w:t>
      </w:r>
      <w:r>
        <w:rPr>
          <w:rFonts w:ascii="Times New Roman"/>
          <w:b w:val="false"/>
          <w:i w:val="false"/>
          <w:color w:val="000000"/>
          <w:sz w:val="28"/>
        </w:rPr>
        <w:t>(Т - 12) , (3)</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и</w:t>
      </w:r>
      <w:r>
        <w:rPr>
          <w:rFonts w:ascii="Times New Roman"/>
          <w:b w:val="false"/>
          <w:i w:val="false"/>
          <w:color w:val="000000"/>
          <w:sz w:val="28"/>
        </w:rPr>
        <w:t xml:space="preserve"> - среднегодовое уменьшение толщины связи, мм/год, вследствие коррозионного износа или истирания, согласно пункта 140 настоящих Правил;</w:t>
      </w:r>
    </w:p>
    <w:p>
      <w:pPr>
        <w:spacing w:after="0"/>
        <w:ind w:left="0"/>
        <w:jc w:val="both"/>
      </w:pPr>
      <w:r>
        <w:rPr>
          <w:rFonts w:ascii="Times New Roman"/>
          <w:b w:val="false"/>
          <w:i w:val="false"/>
          <w:color w:val="000000"/>
          <w:sz w:val="28"/>
        </w:rPr>
        <w:t>
      Т - планируемый срок службы конструкции, годы; если срок службы специально не устанавливается, следует принимать Т = 24.</w:t>
      </w:r>
    </w:p>
    <w:bookmarkStart w:name="z1025" w:id="1029"/>
    <w:p>
      <w:pPr>
        <w:spacing w:after="0"/>
        <w:ind w:left="0"/>
        <w:jc w:val="both"/>
      </w:pPr>
      <w:r>
        <w:rPr>
          <w:rFonts w:ascii="Times New Roman"/>
          <w:b w:val="false"/>
          <w:i w:val="false"/>
          <w:color w:val="000000"/>
          <w:sz w:val="28"/>
        </w:rPr>
        <w:t xml:space="preserve">
      Для конструкций, у которых планируемый срок службы меньше 12 лет, </w:t>
      </w:r>
      <w:r>
        <w:rPr>
          <w:rFonts w:ascii="Times New Roman"/>
          <w:b w:val="false"/>
          <w:i w:val="false"/>
          <w:color w:val="000000"/>
          <w:sz w:val="28"/>
          <w:u w:val="single"/>
        </w:rPr>
        <w:t>/\</w:t>
      </w:r>
      <w:r>
        <w:rPr>
          <w:rFonts w:ascii="Times New Roman"/>
          <w:b w:val="false"/>
          <w:i w:val="false"/>
          <w:color w:val="000000"/>
          <w:sz w:val="28"/>
        </w:rPr>
        <w:t>s = 0.</w:t>
      </w:r>
    </w:p>
    <w:bookmarkEnd w:id="1029"/>
    <w:bookmarkStart w:name="z1026" w:id="1030"/>
    <w:p>
      <w:pPr>
        <w:spacing w:after="0"/>
        <w:ind w:left="0"/>
        <w:jc w:val="both"/>
      </w:pPr>
      <w:r>
        <w:rPr>
          <w:rFonts w:ascii="Times New Roman"/>
          <w:b w:val="false"/>
          <w:i w:val="false"/>
          <w:color w:val="000000"/>
          <w:sz w:val="28"/>
        </w:rPr>
        <w:t>
      В чертежах корпусных конструкций, планируемый срок службы которых принимался менее 24 лет, дополнительно указывают размеры, определенные при Т = 24. В документы таких судов вносится специальная отметка (пункт 50 настоящих Правил).</w:t>
      </w:r>
    </w:p>
    <w:bookmarkEnd w:id="1030"/>
    <w:bookmarkStart w:name="z1027" w:id="1031"/>
    <w:p>
      <w:pPr>
        <w:spacing w:after="0"/>
        <w:ind w:left="0"/>
        <w:jc w:val="both"/>
      </w:pPr>
      <w:r>
        <w:rPr>
          <w:rFonts w:ascii="Times New Roman"/>
          <w:b w:val="false"/>
          <w:i w:val="false"/>
          <w:color w:val="000000"/>
          <w:sz w:val="28"/>
        </w:rPr>
        <w:t>
      140. При отсутствии специальных требований к условиям эксплуатации и средствам защиты корпуса от коррозии при определении размеров связей по Правилам следует руководствоваться данными по среднегодовому уменьшению толщины связей и, приведенными в приложении 9 настоящих Правил, в зависимости от группы судов и назначения помещения.</w:t>
      </w:r>
    </w:p>
    <w:bookmarkEnd w:id="1031"/>
    <w:bookmarkStart w:name="z1028" w:id="1032"/>
    <w:p>
      <w:pPr>
        <w:spacing w:after="0"/>
        <w:ind w:left="0"/>
        <w:jc w:val="both"/>
      </w:pPr>
      <w:r>
        <w:rPr>
          <w:rFonts w:ascii="Times New Roman"/>
          <w:b w:val="false"/>
          <w:i w:val="false"/>
          <w:color w:val="000000"/>
          <w:sz w:val="28"/>
        </w:rPr>
        <w:t>
      В приложении 9 настоящих Правил предусмотрено разделение всех судов по условиям коррозионного износа на две группы:</w:t>
      </w:r>
    </w:p>
    <w:bookmarkEnd w:id="1032"/>
    <w:bookmarkStart w:name="z1029" w:id="1033"/>
    <w:p>
      <w:pPr>
        <w:spacing w:after="0"/>
        <w:ind w:left="0"/>
        <w:jc w:val="both"/>
      </w:pPr>
      <w:r>
        <w:rPr>
          <w:rFonts w:ascii="Times New Roman"/>
          <w:b w:val="false"/>
          <w:i w:val="false"/>
          <w:color w:val="000000"/>
          <w:sz w:val="28"/>
        </w:rPr>
        <w:t>
      I - сухогрузные суда и аналогичные им по условиям эксплуатации;</w:t>
      </w:r>
    </w:p>
    <w:bookmarkEnd w:id="1033"/>
    <w:bookmarkStart w:name="z1030" w:id="1034"/>
    <w:p>
      <w:pPr>
        <w:spacing w:after="0"/>
        <w:ind w:left="0"/>
        <w:jc w:val="both"/>
      </w:pPr>
      <w:r>
        <w:rPr>
          <w:rFonts w:ascii="Times New Roman"/>
          <w:b w:val="false"/>
          <w:i w:val="false"/>
          <w:color w:val="000000"/>
          <w:sz w:val="28"/>
        </w:rPr>
        <w:t>
      II - наливные суда, суда для навалочных грузов, комбинированные суда и аналогичные им по условиям эксплуатации.</w:t>
      </w:r>
    </w:p>
    <w:bookmarkEnd w:id="1034"/>
    <w:bookmarkStart w:name="z1031" w:id="1035"/>
    <w:p>
      <w:pPr>
        <w:spacing w:after="0"/>
        <w:ind w:left="0"/>
        <w:jc w:val="both"/>
      </w:pPr>
      <w:r>
        <w:rPr>
          <w:rFonts w:ascii="Times New Roman"/>
          <w:b w:val="false"/>
          <w:i w:val="false"/>
          <w:color w:val="000000"/>
          <w:sz w:val="28"/>
        </w:rPr>
        <w:t>
      Для стенок, разделяющих отсеки разного назначения, и определяется как среднее значение для смежных отсеков.</w:t>
      </w:r>
    </w:p>
    <w:bookmarkEnd w:id="1035"/>
    <w:bookmarkStart w:name="z1032" w:id="1036"/>
    <w:p>
      <w:pPr>
        <w:spacing w:after="0"/>
        <w:ind w:left="0"/>
        <w:jc w:val="both"/>
      </w:pPr>
      <w:r>
        <w:rPr>
          <w:rFonts w:ascii="Times New Roman"/>
          <w:b w:val="false"/>
          <w:i w:val="false"/>
          <w:color w:val="000000"/>
          <w:sz w:val="28"/>
        </w:rPr>
        <w:t xml:space="preserve">
      Для судов ограниченного района плавания, предназначенных для эксплуатации только в пресноводных бассейнах, величина и возможно уменьшение в 2,5 раза для группы I и в 1,2 раза для группы II; для судов, предназначенных для эксплуатации в пресноводных бассейнах только часть времени, </w:t>
      </w:r>
      <w:r>
        <w:rPr>
          <w:rFonts w:ascii="Times New Roman"/>
          <w:b w:val="false"/>
          <w:i/>
          <w:color w:val="000000"/>
          <w:sz w:val="28"/>
        </w:rPr>
        <w:t>и</w:t>
      </w:r>
      <w:r>
        <w:rPr>
          <w:rFonts w:ascii="Times New Roman"/>
          <w:b w:val="false"/>
          <w:i w:val="false"/>
          <w:color w:val="000000"/>
          <w:sz w:val="28"/>
        </w:rPr>
        <w:t xml:space="preserve"> определяется линейной интерполяцией пропорционально этой части времени.</w:t>
      </w:r>
    </w:p>
    <w:bookmarkEnd w:id="1036"/>
    <w:bookmarkStart w:name="z1033" w:id="1037"/>
    <w:p>
      <w:pPr>
        <w:spacing w:after="0"/>
        <w:ind w:left="0"/>
        <w:jc w:val="both"/>
      </w:pPr>
      <w:r>
        <w:rPr>
          <w:rFonts w:ascii="Times New Roman"/>
          <w:b w:val="false"/>
          <w:i w:val="false"/>
          <w:color w:val="000000"/>
          <w:sz w:val="28"/>
        </w:rPr>
        <w:t xml:space="preserve">
      В чертежах корпусных конструкций, размеры которых принимались с учетом уменьшенного значения </w:t>
      </w:r>
      <w:r>
        <w:rPr>
          <w:rFonts w:ascii="Times New Roman"/>
          <w:b w:val="false"/>
          <w:i/>
          <w:color w:val="000000"/>
          <w:sz w:val="28"/>
        </w:rPr>
        <w:t>и</w:t>
      </w:r>
      <w:r>
        <w:rPr>
          <w:rFonts w:ascii="Times New Roman"/>
          <w:b w:val="false"/>
          <w:i w:val="false"/>
          <w:color w:val="000000"/>
          <w:sz w:val="28"/>
        </w:rPr>
        <w:t>, дополнительно указывают размеры, определенные при и согласно приложению 9 настоящих Правил. В документы таких судов вносится специальная отметка (пункт 50 настоящих Правил).</w:t>
      </w:r>
    </w:p>
    <w:bookmarkEnd w:id="1037"/>
    <w:bookmarkStart w:name="z1034" w:id="1038"/>
    <w:p>
      <w:pPr>
        <w:spacing w:after="0"/>
        <w:ind w:left="0"/>
        <w:jc w:val="both"/>
      </w:pPr>
      <w:r>
        <w:rPr>
          <w:rFonts w:ascii="Times New Roman"/>
          <w:b w:val="false"/>
          <w:i w:val="false"/>
          <w:color w:val="000000"/>
          <w:sz w:val="28"/>
        </w:rPr>
        <w:t xml:space="preserve">
      141. Коэффициент </w:t>
      </w:r>
    </w:p>
    <w:bookmarkEnd w:id="1038"/>
    <w:p>
      <w:pPr>
        <w:spacing w:after="0"/>
        <w:ind w:left="0"/>
        <w:jc w:val="both"/>
      </w:pPr>
      <w:r>
        <w:drawing>
          <wp:inline distT="0" distB="0" distL="0" distR="0">
            <wp:extent cx="419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9100" cy="241300"/>
                    </a:xfrm>
                    <a:prstGeom prst="rect">
                      <a:avLst/>
                    </a:prstGeom>
                  </pic:spPr>
                </pic:pic>
              </a:graphicData>
            </a:graphic>
          </wp:inline>
        </w:drawing>
      </w:r>
    </w:p>
    <w:p>
      <w:pPr>
        <w:spacing w:after="0"/>
        <w:ind w:left="0"/>
        <w:jc w:val="left"/>
      </w:pPr>
      <w:r>
        <w:rPr>
          <w:rFonts w:ascii="Times New Roman"/>
          <w:b w:val="false"/>
          <w:i w:val="false"/>
          <w:color w:val="000000"/>
          <w:sz w:val="28"/>
        </w:rPr>
        <w:t>учитывающий поправку на износ к площади сечения стенки и моменту сопротивления балок катаного профиля,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 момент сопротивления рассматриваемой балки согласно пункту 288 настоящих Правил;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color w:val="000000"/>
          <w:sz w:val="28"/>
        </w:rPr>
        <w:t>s</w:t>
      </w:r>
      <w:r>
        <w:rPr>
          <w:rFonts w:ascii="Times New Roman"/>
          <w:b w:val="false"/>
          <w:i w:val="false"/>
          <w:color w:val="000000"/>
          <w:sz w:val="28"/>
        </w:rPr>
        <w:t xml:space="preserve"> -пункт 139 настоящих Правил.</w:t>
      </w:r>
    </w:p>
    <w:bookmarkStart w:name="z1035" w:id="1039"/>
    <w:p>
      <w:pPr>
        <w:spacing w:after="0"/>
        <w:ind w:left="0"/>
        <w:jc w:val="left"/>
      </w:pPr>
      <w:r>
        <w:rPr>
          <w:rFonts w:ascii="Times New Roman"/>
          <w:b/>
          <w:i w:val="false"/>
          <w:color w:val="000000"/>
        </w:rPr>
        <w:t xml:space="preserve"> Параграф 5. Учет требований международных конвенций</w:t>
      </w:r>
    </w:p>
    <w:bookmarkEnd w:id="1039"/>
    <w:bookmarkStart w:name="z1036" w:id="1040"/>
    <w:p>
      <w:pPr>
        <w:spacing w:after="0"/>
        <w:ind w:left="0"/>
        <w:jc w:val="both"/>
      </w:pPr>
      <w:r>
        <w:rPr>
          <w:rFonts w:ascii="Times New Roman"/>
          <w:b w:val="false"/>
          <w:i w:val="false"/>
          <w:color w:val="000000"/>
          <w:sz w:val="28"/>
        </w:rPr>
        <w:t>
      142. Необходимо чтобы на пассажирских судах переборки пиков и машинного помещения, туннели гребных валов отвечали следующим требованиям</w:t>
      </w:r>
      <w:r>
        <w:rPr>
          <w:rFonts w:ascii="Times New Roman"/>
          <w:b w:val="false"/>
          <w:i w:val="false"/>
          <w:color w:val="000000"/>
          <w:vertAlign w:val="superscript"/>
        </w:rPr>
        <w:t>1</w:t>
      </w:r>
      <w:r>
        <w:rPr>
          <w:rFonts w:ascii="Times New Roman"/>
          <w:b w:val="false"/>
          <w:i w:val="false"/>
          <w:color w:val="000000"/>
          <w:sz w:val="28"/>
        </w:rPr>
        <w:t>:</w:t>
      </w:r>
    </w:p>
    <w:bookmarkEnd w:id="1040"/>
    <w:bookmarkStart w:name="z1037" w:id="1041"/>
    <w:p>
      <w:pPr>
        <w:spacing w:after="0"/>
        <w:ind w:left="0"/>
        <w:jc w:val="both"/>
      </w:pPr>
      <w:r>
        <w:rPr>
          <w:rFonts w:ascii="Times New Roman"/>
          <w:b w:val="false"/>
          <w:i w:val="false"/>
          <w:color w:val="000000"/>
          <w:sz w:val="28"/>
        </w:rPr>
        <w:t>
      1) устанавливается форпиковая или таранная переборка, которая была бы водонепроницаемой до палубы переборок. Эта переборка располагается на расстоянии не менее 5 % длины судна и не более 3 м плюс 5 % длины судна от носового перпендикуляра.</w:t>
      </w:r>
    </w:p>
    <w:bookmarkEnd w:id="1041"/>
    <w:bookmarkStart w:name="z1038" w:id="1042"/>
    <w:p>
      <w:pPr>
        <w:spacing w:after="0"/>
        <w:ind w:left="0"/>
        <w:jc w:val="both"/>
      </w:pPr>
      <w:r>
        <w:rPr>
          <w:rFonts w:ascii="Times New Roman"/>
          <w:b w:val="false"/>
          <w:i w:val="false"/>
          <w:color w:val="000000"/>
          <w:sz w:val="28"/>
        </w:rPr>
        <w:t>
      Носовой перпендикуляр должен совпадать с передней кромкой форштевня на уровне самой высокой грузовой ватерлинии деления на отсеки, когда форштевень является контуром внешней поверхности корпуса в носовой оконечности и исключает любые выступающие части, кроме бульбового носа;</w:t>
      </w:r>
    </w:p>
    <w:bookmarkEnd w:id="1042"/>
    <w:bookmarkStart w:name="z1039" w:id="1043"/>
    <w:p>
      <w:pPr>
        <w:spacing w:after="0"/>
        <w:ind w:left="0"/>
        <w:jc w:val="both"/>
      </w:pPr>
      <w:r>
        <w:rPr>
          <w:rFonts w:ascii="Times New Roman"/>
          <w:b w:val="false"/>
          <w:i w:val="false"/>
          <w:color w:val="000000"/>
          <w:sz w:val="28"/>
        </w:rPr>
        <w:t>
      2) если какая-либо часть корпуса судна ниже ватерлинии выступает за носовой перпендикуляр, например бульбовый нос, расстояние, оговоренное в подпункте 1) настоящего пункта, измеряется от точки, расположенной посередине длины такого выступа, либо на расстоянии, равном 1,5 % длины судна в нос от носового перпендикуляра, либо на расстоянии 3 м в нос от носового перпендикуляра, смотря по тому, какое из измерений дает наименьший результат;</w:t>
      </w:r>
    </w:p>
    <w:bookmarkEnd w:id="1043"/>
    <w:bookmarkStart w:name="z1040" w:id="1044"/>
    <w:p>
      <w:pPr>
        <w:spacing w:after="0"/>
        <w:ind w:left="0"/>
        <w:jc w:val="both"/>
      </w:pPr>
      <w:r>
        <w:rPr>
          <w:rFonts w:ascii="Times New Roman"/>
          <w:b w:val="false"/>
          <w:i w:val="false"/>
          <w:color w:val="000000"/>
          <w:sz w:val="28"/>
        </w:rPr>
        <w:t>
      3) если имеется длинная носовая надстройка, форпиковая или таранная переборка на всех пассажирских судах продлевается непроницаемой при воздействии моря до следующей сплошной палубы, расположенной непосредственно над палубой переборок. Продолжение выполняют так, чтобы исключить возможность его повреждения носовой дверью при повреждении или отрыве носовой двери;</w:t>
      </w:r>
    </w:p>
    <w:bookmarkEnd w:id="1044"/>
    <w:bookmarkStart w:name="z1041" w:id="1045"/>
    <w:p>
      <w:pPr>
        <w:spacing w:after="0"/>
        <w:ind w:left="0"/>
        <w:jc w:val="both"/>
      </w:pPr>
      <w:r>
        <w:rPr>
          <w:rFonts w:ascii="Times New Roman"/>
          <w:b w:val="false"/>
          <w:i w:val="false"/>
          <w:color w:val="000000"/>
          <w:sz w:val="28"/>
        </w:rPr>
        <w:t>
      4) продолжение, требуемое подпунктом 3) настоящего пункта, может не совпадать с переборкой, расположенной ниже палубы переборок, при условии, что все части продолжения не расположены в нос за пределы, указанные в подпунктах 1) или 2) настоящего пункта.</w:t>
      </w:r>
    </w:p>
    <w:bookmarkEnd w:id="1045"/>
    <w:bookmarkStart w:name="z1042" w:id="1046"/>
    <w:p>
      <w:pPr>
        <w:spacing w:after="0"/>
        <w:ind w:left="0"/>
        <w:jc w:val="both"/>
      </w:pPr>
      <w:r>
        <w:rPr>
          <w:rFonts w:ascii="Times New Roman"/>
          <w:b w:val="false"/>
          <w:i w:val="false"/>
          <w:color w:val="000000"/>
          <w:sz w:val="28"/>
        </w:rPr>
        <w:t>
      Однако на судах, построенных до 1 июля 1997 г., учитывается следующее:</w:t>
      </w:r>
    </w:p>
    <w:bookmarkEnd w:id="1046"/>
    <w:bookmarkStart w:name="z1043" w:id="1047"/>
    <w:p>
      <w:pPr>
        <w:spacing w:after="0"/>
        <w:ind w:left="0"/>
        <w:jc w:val="both"/>
      </w:pPr>
      <w:r>
        <w:rPr>
          <w:rFonts w:ascii="Times New Roman"/>
          <w:b w:val="false"/>
          <w:i w:val="false"/>
          <w:color w:val="000000"/>
          <w:sz w:val="28"/>
        </w:rPr>
        <w:t>
      если наклонная аппарель образует часть продолжения, то часть продолжения, которая находится выше 2,3 м над палубой переборок, выступает не более чем на 1 м в нос за пределы, указанные в подпунктах 1) или 2) настоящего пункта;</w:t>
      </w:r>
    </w:p>
    <w:bookmarkEnd w:id="1047"/>
    <w:bookmarkStart w:name="z1044" w:id="1048"/>
    <w:p>
      <w:pPr>
        <w:spacing w:after="0"/>
        <w:ind w:left="0"/>
        <w:jc w:val="both"/>
      </w:pPr>
      <w:r>
        <w:rPr>
          <w:rFonts w:ascii="Times New Roman"/>
          <w:b w:val="false"/>
          <w:i w:val="false"/>
          <w:color w:val="000000"/>
          <w:sz w:val="28"/>
        </w:rPr>
        <w:t>
      если существующая аппарель не отвечает требованиям для принятия ее в качестве продолжения таранной переборки и положение аппарели не допускает расположения такого продолжения в пределах, указанных в подпунктах 1) или 2) настоящего пункта, то такое продолжение находится в пределах ограниченного расстояния в корму за пределы, указанные в подпунктах 1) или 2) настоящего пункта. Это ограниченное расстояние в корму не более того, которое необходимо для обеспечения работы аппарели без помех.</w:t>
      </w:r>
    </w:p>
    <w:bookmarkEnd w:id="1048"/>
    <w:bookmarkStart w:name="z1045" w:id="1049"/>
    <w:p>
      <w:pPr>
        <w:spacing w:after="0"/>
        <w:ind w:left="0"/>
        <w:jc w:val="both"/>
      </w:pPr>
      <w:r>
        <w:rPr>
          <w:rFonts w:ascii="Times New Roman"/>
          <w:b w:val="false"/>
          <w:i w:val="false"/>
          <w:color w:val="000000"/>
          <w:sz w:val="28"/>
        </w:rPr>
        <w:t>
      Двери для проезда транспорта в продолжение таранной переборки выше палубы переборок открываются в нос. Необходимо чтобы это продолжение таранной переборки отвечало требованиям подпункта 3) настоящего пункта и было выполнено так, чтобы исключить возможность его повреждения аппарелью при повреждении или отрыве ее от корпуса судна;</w:t>
      </w:r>
    </w:p>
    <w:bookmarkEnd w:id="1049"/>
    <w:bookmarkStart w:name="z1046" w:id="1050"/>
    <w:p>
      <w:pPr>
        <w:spacing w:after="0"/>
        <w:ind w:left="0"/>
        <w:jc w:val="both"/>
      </w:pPr>
      <w:r>
        <w:rPr>
          <w:rFonts w:ascii="Times New Roman"/>
          <w:b w:val="false"/>
          <w:i w:val="false"/>
          <w:color w:val="000000"/>
          <w:sz w:val="28"/>
        </w:rPr>
        <w:t>
      5) аппарели, не отвечающие указанным требованиям, не следует считать продолжением таранной переборки;</w:t>
      </w:r>
    </w:p>
    <w:bookmarkEnd w:id="1050"/>
    <w:bookmarkStart w:name="z1047" w:id="1051"/>
    <w:p>
      <w:pPr>
        <w:spacing w:after="0"/>
        <w:ind w:left="0"/>
        <w:jc w:val="both"/>
      </w:pPr>
      <w:r>
        <w:rPr>
          <w:rFonts w:ascii="Times New Roman"/>
          <w:b w:val="false"/>
          <w:i w:val="false"/>
          <w:color w:val="000000"/>
          <w:sz w:val="28"/>
        </w:rPr>
        <w:t>
      6) ахтерпиковая переборка, а также носовая и кормовая переборки, отделяющие машинное помещение в нос и корму от грузовых и пассажирских помещений, также устанавливаются и быть водонепроницаемыми до палубы переборок.</w:t>
      </w:r>
    </w:p>
    <w:bookmarkEnd w:id="1051"/>
    <w:bookmarkStart w:name="z1048" w:id="1052"/>
    <w:p>
      <w:pPr>
        <w:spacing w:after="0"/>
        <w:ind w:left="0"/>
        <w:jc w:val="both"/>
      </w:pPr>
      <w:r>
        <w:rPr>
          <w:rFonts w:ascii="Times New Roman"/>
          <w:b w:val="false"/>
          <w:i w:val="false"/>
          <w:color w:val="000000"/>
          <w:sz w:val="28"/>
        </w:rPr>
        <w:t>
      Ахтерпиковая переборка может, однако, иметь уступ ниже палубы переборок при условии, что степень безопасности судна в отношении деления на отсеки при этом не снижается;</w:t>
      </w:r>
    </w:p>
    <w:bookmarkEnd w:id="1052"/>
    <w:bookmarkStart w:name="z1049" w:id="1053"/>
    <w:p>
      <w:pPr>
        <w:spacing w:after="0"/>
        <w:ind w:left="0"/>
        <w:jc w:val="both"/>
      </w:pPr>
      <w:r>
        <w:rPr>
          <w:rFonts w:ascii="Times New Roman"/>
          <w:b w:val="false"/>
          <w:i w:val="false"/>
          <w:color w:val="000000"/>
          <w:sz w:val="28"/>
        </w:rPr>
        <w:t>
      7) во всех случаях дейдвудные трубы заключают в водонепроницаемые помещения небольшого объема. Дейдвудный сальник располагается в водонепроницаемом туннеле гребного вала или другом, отделенном от отсека дейдвудной трубы водонепроницаемом помещении такого объема, чтобы в случае его затопления из-за просачивания воды через дейдвудный сальник предельная линия погружения не оказалась под водой.</w:t>
      </w:r>
    </w:p>
    <w:bookmarkEnd w:id="1053"/>
    <w:bookmarkStart w:name="z1050" w:id="1054"/>
    <w:p>
      <w:pPr>
        <w:spacing w:after="0"/>
        <w:ind w:left="0"/>
        <w:jc w:val="both"/>
      </w:pPr>
      <w:r>
        <w:rPr>
          <w:rFonts w:ascii="Times New Roman"/>
          <w:b w:val="false"/>
          <w:i w:val="false"/>
          <w:color w:val="000000"/>
          <w:sz w:val="28"/>
        </w:rPr>
        <w:t>
      143. Необходимо чтобы на грузовых судах переборки пиков и машинного помещения и дейдвудные трубы отвечали следующим требованиям</w:t>
      </w:r>
      <w:r>
        <w:rPr>
          <w:rFonts w:ascii="Times New Roman"/>
          <w:b w:val="false"/>
          <w:i w:val="false"/>
          <w:color w:val="000000"/>
          <w:vertAlign w:val="superscript"/>
        </w:rPr>
        <w:t>2</w:t>
      </w:r>
      <w:r>
        <w:rPr>
          <w:rFonts w:ascii="Times New Roman"/>
          <w:b w:val="false"/>
          <w:i w:val="false"/>
          <w:color w:val="000000"/>
          <w:sz w:val="28"/>
        </w:rPr>
        <w:t>:</w:t>
      </w:r>
    </w:p>
    <w:bookmarkEnd w:id="1054"/>
    <w:bookmarkStart w:name="z1051" w:id="1055"/>
    <w:p>
      <w:pPr>
        <w:spacing w:after="0"/>
        <w:ind w:left="0"/>
        <w:jc w:val="both"/>
      </w:pPr>
      <w:r>
        <w:rPr>
          <w:rFonts w:ascii="Times New Roman"/>
          <w:b w:val="false"/>
          <w:i w:val="false"/>
          <w:color w:val="000000"/>
          <w:sz w:val="28"/>
        </w:rPr>
        <w:t>
      1) устанавливается таранная переборка, которая была бы водонепроницаемой до палубы надводного борта. Эта переборка располагается от носового перпендикуляра на расстоянии не менее 5 % длины судна или 10 м, смотря по тому, что меньше. В отдельных случаях разрешается иное расстояние, но не более 8 % длины судна;</w:t>
      </w:r>
    </w:p>
    <w:bookmarkEnd w:id="1055"/>
    <w:bookmarkStart w:name="z1052" w:id="1056"/>
    <w:p>
      <w:pPr>
        <w:spacing w:after="0"/>
        <w:ind w:left="0"/>
        <w:jc w:val="both"/>
      </w:pPr>
      <w:r>
        <w:rPr>
          <w:rFonts w:ascii="Times New Roman"/>
          <w:b w:val="false"/>
          <w:i w:val="false"/>
          <w:color w:val="000000"/>
          <w:sz w:val="28"/>
        </w:rPr>
        <w:t>
      2) если какая-либо часть корпуса судна ниже ватерлинии выступает за носовой перпендикуляр, например бульбовый нос, расстояние, оговоренное в подпункте 1) пункта 143 настоящих Правил, измеряется от точки, расположенной посередине длины такого выступа, либо на расстоянии, равном 1,5 % длины судна в нос от носового перпендикуляра, либо на расстоянии 3 м в нос от носового перпендикуляра, смотря по тому, какое из измерений дает наименьший результат;</w:t>
      </w:r>
    </w:p>
    <w:bookmarkEnd w:id="1056"/>
    <w:bookmarkStart w:name="z1053" w:id="1057"/>
    <w:p>
      <w:pPr>
        <w:spacing w:after="0"/>
        <w:ind w:left="0"/>
        <w:jc w:val="both"/>
      </w:pPr>
      <w:r>
        <w:rPr>
          <w:rFonts w:ascii="Times New Roman"/>
          <w:b w:val="false"/>
          <w:i w:val="false"/>
          <w:color w:val="000000"/>
          <w:sz w:val="28"/>
        </w:rPr>
        <w:t>
      3) переборка имеет уступы или выступы (рецессы) при условии, что они находятся в пределах, указанных в подпунктах 1) или 2) настоящего пункта;</w:t>
      </w:r>
    </w:p>
    <w:bookmarkEnd w:id="1057"/>
    <w:bookmarkStart w:name="z1054" w:id="1058"/>
    <w:p>
      <w:pPr>
        <w:spacing w:after="0"/>
        <w:ind w:left="0"/>
        <w:jc w:val="both"/>
      </w:pPr>
      <w:r>
        <w:rPr>
          <w:rFonts w:ascii="Times New Roman"/>
          <w:b w:val="false"/>
          <w:i w:val="false"/>
          <w:color w:val="000000"/>
          <w:sz w:val="28"/>
        </w:rPr>
        <w:t>
      4) если имеется длинная носовая надстройка, таранная переборка продлевается непроницаемой при воздействии моря до палубы, расположенной непосредственно над палубой надводного борта. Допускается, чтобы продолжение таранной переборки не совпадало с переборкой, расположенной ниже палубы надводного борта, при условии, что оно находится в пределах, указанных в подпунктах 1) или 2) настоящего пункта, с исключением, допущенным в подпункте 5) настоящего пункта, и что часть палубы, образующая уступ, является надежно непроницаемой при воздействии моря;</w:t>
      </w:r>
    </w:p>
    <w:bookmarkEnd w:id="1058"/>
    <w:bookmarkStart w:name="z1055" w:id="1059"/>
    <w:p>
      <w:pPr>
        <w:spacing w:after="0"/>
        <w:ind w:left="0"/>
        <w:jc w:val="both"/>
      </w:pPr>
      <w:r>
        <w:rPr>
          <w:rFonts w:ascii="Times New Roman"/>
          <w:b w:val="false"/>
          <w:i w:val="false"/>
          <w:color w:val="000000"/>
          <w:sz w:val="28"/>
        </w:rPr>
        <w:t>
      5) если имеются двери в носу, а наклонная грузовая аппарель образует часть продолжения таранной переборки, выступающей над палубой надводного борта, часть аппарели, которая находится выше 2,3 м над палубой надводного борта, выступает в нос за пределы, указанные в подпунктах 1) или 2) настоящего пункта. Необходимо чтобы аппарель была непроницаемой по всей ее длине при воздействии моря;</w:t>
      </w:r>
    </w:p>
    <w:bookmarkEnd w:id="1059"/>
    <w:bookmarkStart w:name="z1056" w:id="1060"/>
    <w:p>
      <w:pPr>
        <w:spacing w:after="0"/>
        <w:ind w:left="0"/>
        <w:jc w:val="both"/>
      </w:pPr>
      <w:r>
        <w:rPr>
          <w:rFonts w:ascii="Times New Roman"/>
          <w:b w:val="false"/>
          <w:i w:val="false"/>
          <w:color w:val="000000"/>
          <w:sz w:val="28"/>
        </w:rPr>
        <w:t>
      6) число отверстий в продолжении таранной переборки, выступающей над палубой надводного борта, сводится к минимуму, совместимому с конструкцией и нормальной эксплуатацией судна;</w:t>
      </w:r>
    </w:p>
    <w:bookmarkEnd w:id="1060"/>
    <w:bookmarkStart w:name="z1057" w:id="1061"/>
    <w:p>
      <w:pPr>
        <w:spacing w:after="0"/>
        <w:ind w:left="0"/>
        <w:jc w:val="both"/>
      </w:pPr>
      <w:r>
        <w:rPr>
          <w:rFonts w:ascii="Times New Roman"/>
          <w:b w:val="false"/>
          <w:i w:val="false"/>
          <w:color w:val="000000"/>
          <w:sz w:val="28"/>
        </w:rPr>
        <w:t>
      7) устанавливаются переборки, отделяющие машинное помещение в нос и корму от грузовых и пассажирских помещений, которые были бы водонепроницаемыми до палубы надводного борта;</w:t>
      </w:r>
    </w:p>
    <w:bookmarkEnd w:id="1061"/>
    <w:bookmarkStart w:name="z1058" w:id="1062"/>
    <w:p>
      <w:pPr>
        <w:spacing w:after="0"/>
        <w:ind w:left="0"/>
        <w:jc w:val="both"/>
      </w:pPr>
      <w:r>
        <w:rPr>
          <w:rFonts w:ascii="Times New Roman"/>
          <w:b w:val="false"/>
          <w:i w:val="false"/>
          <w:color w:val="000000"/>
          <w:sz w:val="28"/>
        </w:rPr>
        <w:t>
      8) дейдвудные трубы заключают в водонепроницаемое помещение (помещения) небольшого объема. Возможно принятие других мер с целью сведения к минимуму опасности поступления воды внутрь судна при повреждении дейдвудных труб.</w:t>
      </w:r>
    </w:p>
    <w:bookmarkEnd w:id="1062"/>
    <w:bookmarkStart w:name="z1059" w:id="106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 </w:t>
      </w:r>
      <w:r>
        <w:rPr>
          <w:rFonts w:ascii="Times New Roman"/>
          <w:b w:val="false"/>
          <w:i w:val="false"/>
          <w:color w:val="000000"/>
          <w:vertAlign w:val="superscript"/>
        </w:rPr>
        <w:t>1</w:t>
      </w:r>
      <w:r>
        <w:rPr>
          <w:rFonts w:ascii="Times New Roman"/>
          <w:b w:val="false"/>
          <w:i w:val="false"/>
          <w:color w:val="000000"/>
          <w:sz w:val="28"/>
        </w:rPr>
        <w:t>Для целей настоящего пункта "длина судна - длина, измеренная между перпендикулярами из крайних точек судна на уровне самойвысокой грузовой ватерлинии деления на отсеки". Определение "самая высокая грузовая ватерлиния деления на отсеки" предусмотрено в пункте 6 настоящих Правил.</w:t>
      </w:r>
    </w:p>
    <w:bookmarkEnd w:id="1063"/>
    <w:bookmarkStart w:name="z1060" w:id="10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целей настояшего пункта определения "палуба надводного борта", "длина судна" и "носовой перпендикуляр" предусмотрены Правилами о грузовой марке.</w:t>
      </w:r>
    </w:p>
    <w:bookmarkEnd w:id="1064"/>
    <w:bookmarkStart w:name="z1061" w:id="1065"/>
    <w:p>
      <w:pPr>
        <w:spacing w:after="0"/>
        <w:ind w:left="0"/>
        <w:jc w:val="both"/>
      </w:pPr>
      <w:r>
        <w:rPr>
          <w:rFonts w:ascii="Times New Roman"/>
          <w:b w:val="false"/>
          <w:i w:val="false"/>
          <w:color w:val="000000"/>
          <w:sz w:val="28"/>
        </w:rPr>
        <w:t>
      144. Необходимо чтобы на пассажирских судах двойное дно соответствовало следующим требованиям:</w:t>
      </w:r>
    </w:p>
    <w:bookmarkEnd w:id="1065"/>
    <w:bookmarkStart w:name="z1062" w:id="1066"/>
    <w:p>
      <w:pPr>
        <w:spacing w:after="0"/>
        <w:ind w:left="0"/>
        <w:jc w:val="both"/>
      </w:pPr>
      <w:r>
        <w:rPr>
          <w:rFonts w:ascii="Times New Roman"/>
          <w:b w:val="false"/>
          <w:i w:val="false"/>
          <w:color w:val="000000"/>
          <w:sz w:val="28"/>
        </w:rPr>
        <w:t>
      1) двойное дно устраивается на протяжении от форпиковой до ахтерпиковой переборки, насколько это практически возможно и совместимо с конструкцией и нормальной эксплуатацией судна.</w:t>
      </w:r>
    </w:p>
    <w:bookmarkEnd w:id="1066"/>
    <w:bookmarkStart w:name="z1063" w:id="1067"/>
    <w:p>
      <w:pPr>
        <w:spacing w:after="0"/>
        <w:ind w:left="0"/>
        <w:jc w:val="both"/>
      </w:pPr>
      <w:r>
        <w:rPr>
          <w:rFonts w:ascii="Times New Roman"/>
          <w:b w:val="false"/>
          <w:i w:val="false"/>
          <w:color w:val="000000"/>
          <w:sz w:val="28"/>
        </w:rPr>
        <w:t>
      На судах длиной от 50 до 61 м двойное дно устраивают по меньшей мере от машинного помещения до форпиковой переборки или как можно ближе к ней.</w:t>
      </w:r>
    </w:p>
    <w:bookmarkEnd w:id="1067"/>
    <w:bookmarkStart w:name="z1064" w:id="1068"/>
    <w:p>
      <w:pPr>
        <w:spacing w:after="0"/>
        <w:ind w:left="0"/>
        <w:jc w:val="both"/>
      </w:pPr>
      <w:r>
        <w:rPr>
          <w:rFonts w:ascii="Times New Roman"/>
          <w:b w:val="false"/>
          <w:i w:val="false"/>
          <w:color w:val="000000"/>
          <w:sz w:val="28"/>
        </w:rPr>
        <w:t>
      На судах длиной от 61 до 76 м двойное дно устраивают по меньшей мере вне машинного помещения и доводится до форпиковой и ахтерпиковой переборок или как можно ближе к ним.</w:t>
      </w:r>
    </w:p>
    <w:bookmarkEnd w:id="1068"/>
    <w:bookmarkStart w:name="z1065" w:id="1069"/>
    <w:p>
      <w:pPr>
        <w:spacing w:after="0"/>
        <w:ind w:left="0"/>
        <w:jc w:val="both"/>
      </w:pPr>
      <w:r>
        <w:rPr>
          <w:rFonts w:ascii="Times New Roman"/>
          <w:b w:val="false"/>
          <w:i w:val="false"/>
          <w:color w:val="000000"/>
          <w:sz w:val="28"/>
        </w:rPr>
        <w:t>
      На судах длиной 76 м и более двойное дно устраивают в обе стороны от середины длины судна и доводится до форпиковой и ахтерпиковой переборок или как можно ближе к ним;</w:t>
      </w:r>
    </w:p>
    <w:bookmarkEnd w:id="1069"/>
    <w:bookmarkStart w:name="z1066" w:id="1070"/>
    <w:p>
      <w:pPr>
        <w:spacing w:after="0"/>
        <w:ind w:left="0"/>
        <w:jc w:val="both"/>
      </w:pPr>
      <w:r>
        <w:rPr>
          <w:rFonts w:ascii="Times New Roman"/>
          <w:b w:val="false"/>
          <w:i w:val="false"/>
          <w:color w:val="000000"/>
          <w:sz w:val="28"/>
        </w:rPr>
        <w:t>
      2) если требуется устройство двойного дна, его высота соответствует требованиям пункта 358 настоящих Правил, а настил второго дна простирается от борта до борта судна таким образом, чтобы днище судна было защищено до поворота скулы. Такая защита днища считается удовлетворительной, если линия пересечения наружной кромки крайнего междудонного листа с обшивкой скулы нигде не располагается ниже горизонтальной плоскости, проходящей через точку А на миделе, как указано в приложении 10 настоящих Правил;</w:t>
      </w:r>
    </w:p>
    <w:bookmarkEnd w:id="1070"/>
    <w:bookmarkStart w:name="z1067" w:id="1071"/>
    <w:p>
      <w:pPr>
        <w:spacing w:after="0"/>
        <w:ind w:left="0"/>
        <w:jc w:val="both"/>
      </w:pPr>
      <w:r>
        <w:rPr>
          <w:rFonts w:ascii="Times New Roman"/>
          <w:b w:val="false"/>
          <w:i w:val="false"/>
          <w:color w:val="000000"/>
          <w:sz w:val="28"/>
        </w:rPr>
        <w:t>
      3) небольшие колодцы, устроенные в двойном дне и предназначенные для осушения трюмов, не допускается иметь глубину более чем это необходимо. Во всех случаях глубина колодца не превышала высоты двойного дна в диаметральной плоскости минус 460 мм, и колодец не опускался ниже горизонтальной плоскости, упомянутой в подпункте 2) настоящего пункта Правил. Колодец, доходящий до обшивки днища, допускается только у кормового конца туннеля гребного вала. Прочие колодцы (например, для смазочного масла под главными двигателями) допускаются, если их устройство обеспечивает защиту, равноценную той, которая обеспечивается двойным дном, устроенным в соответствии с настоящим пунктом;</w:t>
      </w:r>
    </w:p>
    <w:bookmarkEnd w:id="1071"/>
    <w:bookmarkStart w:name="z1068" w:id="1072"/>
    <w:p>
      <w:pPr>
        <w:spacing w:after="0"/>
        <w:ind w:left="0"/>
        <w:jc w:val="both"/>
      </w:pPr>
      <w:r>
        <w:rPr>
          <w:rFonts w:ascii="Times New Roman"/>
          <w:b w:val="false"/>
          <w:i w:val="false"/>
          <w:color w:val="000000"/>
          <w:sz w:val="28"/>
        </w:rPr>
        <w:t>
      4) двойное дно допускается не устраивать в районе водонепроницаемых отсеков небольшого размера, используемых исключительно для перевозки жидкостей, при условии, что безопасность судна с повреждением днища или борта при этом не снижается.</w:t>
      </w:r>
    </w:p>
    <w:bookmarkEnd w:id="1072"/>
    <w:bookmarkStart w:name="z1069" w:id="1073"/>
    <w:p>
      <w:pPr>
        <w:spacing w:after="0"/>
        <w:ind w:left="0"/>
        <w:jc w:val="both"/>
      </w:pPr>
      <w:r>
        <w:rPr>
          <w:rFonts w:ascii="Times New Roman"/>
          <w:b w:val="false"/>
          <w:i w:val="false"/>
          <w:color w:val="000000"/>
          <w:sz w:val="28"/>
        </w:rPr>
        <w:t>
      145. Необходимо чтобы на грузовых судах, не являющихся наливными судами, двойное дно соответствовало следующим требованиям:</w:t>
      </w:r>
    </w:p>
    <w:bookmarkEnd w:id="1073"/>
    <w:bookmarkStart w:name="z1070" w:id="1074"/>
    <w:p>
      <w:pPr>
        <w:spacing w:after="0"/>
        <w:ind w:left="0"/>
        <w:jc w:val="both"/>
      </w:pPr>
      <w:r>
        <w:rPr>
          <w:rFonts w:ascii="Times New Roman"/>
          <w:b w:val="false"/>
          <w:i w:val="false"/>
          <w:color w:val="000000"/>
          <w:sz w:val="28"/>
        </w:rPr>
        <w:t>
      1) двойное дно устраивают на протяжении от таранной до ахтерпиковой переборки, насколько это практически возможно и совместимо с конструкцией и нормальной эксплуатацией судна;</w:t>
      </w:r>
    </w:p>
    <w:bookmarkEnd w:id="1074"/>
    <w:bookmarkStart w:name="z1071" w:id="1075"/>
    <w:p>
      <w:pPr>
        <w:spacing w:after="0"/>
        <w:ind w:left="0"/>
        <w:jc w:val="both"/>
      </w:pPr>
      <w:r>
        <w:rPr>
          <w:rFonts w:ascii="Times New Roman"/>
          <w:b w:val="false"/>
          <w:i w:val="false"/>
          <w:color w:val="000000"/>
          <w:sz w:val="28"/>
        </w:rPr>
        <w:t>
      2) высота двойного дна соответствует требованиям пункта 358 настоящих Правил, а настил второго дна простирается от борта до борта судна таким образом, чтобы днище судна было защищено до поворота скулы;</w:t>
      </w:r>
    </w:p>
    <w:bookmarkEnd w:id="1075"/>
    <w:bookmarkStart w:name="z1072" w:id="1076"/>
    <w:p>
      <w:pPr>
        <w:spacing w:after="0"/>
        <w:ind w:left="0"/>
        <w:jc w:val="both"/>
      </w:pPr>
      <w:r>
        <w:rPr>
          <w:rFonts w:ascii="Times New Roman"/>
          <w:b w:val="false"/>
          <w:i w:val="false"/>
          <w:color w:val="000000"/>
          <w:sz w:val="28"/>
        </w:rPr>
        <w:t>
      3) небольшие колодцы, устроенные в двойном дне и предназначенные для осушения трюмов, имеют глубину не более, чем это необходимо. Колодец, доходящий до обшивки днища, допускается только у кормового конца туннеля гребного вала. Прочие колодцы допускаются, если их устройство обеспечивает защиту, равноценную той, которая обеспечивается двойным дном, устроенным в соответствии с настоящим пунктом;</w:t>
      </w:r>
    </w:p>
    <w:bookmarkEnd w:id="1076"/>
    <w:bookmarkStart w:name="z1073" w:id="1077"/>
    <w:p>
      <w:pPr>
        <w:spacing w:after="0"/>
        <w:ind w:left="0"/>
        <w:jc w:val="both"/>
      </w:pPr>
      <w:r>
        <w:rPr>
          <w:rFonts w:ascii="Times New Roman"/>
          <w:b w:val="false"/>
          <w:i w:val="false"/>
          <w:color w:val="000000"/>
          <w:sz w:val="28"/>
        </w:rPr>
        <w:t>
      4) двойное дно допускается не устраиватся в районе водонепроницаемых отсеков, используемых исключительно для перевозки жидкостей, при условии, что безопасность судна в случае повреждения днища при этом не снижается.</w:t>
      </w:r>
    </w:p>
    <w:bookmarkEnd w:id="1077"/>
    <w:bookmarkStart w:name="z1074" w:id="1078"/>
    <w:p>
      <w:pPr>
        <w:spacing w:after="0"/>
        <w:ind w:left="0"/>
        <w:jc w:val="both"/>
      </w:pPr>
      <w:r>
        <w:rPr>
          <w:rFonts w:ascii="Times New Roman"/>
          <w:b w:val="false"/>
          <w:i w:val="false"/>
          <w:color w:val="000000"/>
          <w:sz w:val="28"/>
        </w:rPr>
        <w:t>
      146. Штормовые портики в фальшборте устанавливаются согласно требованиям пунктов 125-135 Правил о грузовой марке.</w:t>
      </w:r>
    </w:p>
    <w:bookmarkEnd w:id="1078"/>
    <w:bookmarkStart w:name="z1075" w:id="1079"/>
    <w:p>
      <w:pPr>
        <w:spacing w:after="0"/>
        <w:ind w:left="0"/>
        <w:jc w:val="both"/>
      </w:pPr>
      <w:r>
        <w:rPr>
          <w:rFonts w:ascii="Times New Roman"/>
          <w:b w:val="false"/>
          <w:i w:val="false"/>
          <w:color w:val="000000"/>
          <w:sz w:val="28"/>
        </w:rPr>
        <w:t>
      Нижние кромки штормовых портиков располагают возможно ближе к палубе, однако чтобы не затрагивали при этом ширстрек.</w:t>
      </w:r>
    </w:p>
    <w:bookmarkEnd w:id="1079"/>
    <w:bookmarkStart w:name="z1076" w:id="1080"/>
    <w:p>
      <w:pPr>
        <w:spacing w:after="0"/>
        <w:ind w:left="0"/>
        <w:jc w:val="both"/>
      </w:pPr>
      <w:r>
        <w:rPr>
          <w:rFonts w:ascii="Times New Roman"/>
          <w:b w:val="false"/>
          <w:i w:val="false"/>
          <w:color w:val="000000"/>
          <w:sz w:val="28"/>
        </w:rPr>
        <w:t>
      Вместо штормовых портиков на судах длиной 65 м и более, как правило, предусматривается сплошная прорезь между фальшбортом и кромкой ширстрека.</w:t>
      </w:r>
    </w:p>
    <w:bookmarkEnd w:id="1080"/>
    <w:bookmarkStart w:name="z1077" w:id="1081"/>
    <w:p>
      <w:pPr>
        <w:spacing w:after="0"/>
        <w:ind w:left="0"/>
        <w:jc w:val="both"/>
      </w:pPr>
      <w:r>
        <w:rPr>
          <w:rFonts w:ascii="Times New Roman"/>
          <w:b w:val="false"/>
          <w:i w:val="false"/>
          <w:color w:val="000000"/>
          <w:sz w:val="28"/>
        </w:rPr>
        <w:t>
      147. Необходимо чтобы конструкция водонепроницаемых палуб, шахт на пассажирских и грузовых судах соответствовала следующим требованиям:</w:t>
      </w:r>
    </w:p>
    <w:bookmarkEnd w:id="1081"/>
    <w:bookmarkStart w:name="z1078" w:id="1082"/>
    <w:p>
      <w:pPr>
        <w:spacing w:after="0"/>
        <w:ind w:left="0"/>
        <w:jc w:val="both"/>
      </w:pPr>
      <w:r>
        <w:rPr>
          <w:rFonts w:ascii="Times New Roman"/>
          <w:b w:val="false"/>
          <w:i w:val="false"/>
          <w:color w:val="000000"/>
          <w:sz w:val="28"/>
        </w:rPr>
        <w:t>
      1) водонепроницаемые палубы, шахты, туннели, коробчатые кили и вентиляционные каналы которые имели бы такую же прочность, как и водонепроницаемые переборки на том же уровне. Водонепроницаемые вентиляционные каналы и шахты доводят, по меньшей мере, до палубы переборок на пассажирских судах и до палубы надводного борта на грузовых судах;</w:t>
      </w:r>
    </w:p>
    <w:bookmarkEnd w:id="1082"/>
    <w:bookmarkStart w:name="z1079" w:id="1083"/>
    <w:p>
      <w:pPr>
        <w:spacing w:after="0"/>
        <w:ind w:left="0"/>
        <w:jc w:val="both"/>
      </w:pPr>
      <w:r>
        <w:rPr>
          <w:rFonts w:ascii="Times New Roman"/>
          <w:b w:val="false"/>
          <w:i w:val="false"/>
          <w:color w:val="000000"/>
          <w:sz w:val="28"/>
        </w:rPr>
        <w:t>
      2) если вентиляционная шахта, проходящая через надстройку, прорезает палубу переборок, необходимо чтобы шахта могла противостоять давлению воды, которая оказывается внутри ее, с учетом максимального угла крена, допустимого на промежуточных стадиях затопления;</w:t>
      </w:r>
    </w:p>
    <w:bookmarkEnd w:id="1083"/>
    <w:bookmarkStart w:name="z1080" w:id="1084"/>
    <w:p>
      <w:pPr>
        <w:spacing w:after="0"/>
        <w:ind w:left="0"/>
        <w:jc w:val="both"/>
      </w:pPr>
      <w:r>
        <w:rPr>
          <w:rFonts w:ascii="Times New Roman"/>
          <w:b w:val="false"/>
          <w:i w:val="false"/>
          <w:color w:val="000000"/>
          <w:sz w:val="28"/>
        </w:rPr>
        <w:t>
      3) если вся шахта или ее часть, прорезающая палубу переборок, расположены на главной накатной палубе, необходимо чтобы шахта могла противостоять динамическому давлению при качке от перемещения воды, оказавшейся на палубе, где размещаются транспортные средства.</w:t>
      </w:r>
    </w:p>
    <w:bookmarkEnd w:id="1084"/>
    <w:bookmarkStart w:name="z1081" w:id="1085"/>
    <w:p>
      <w:pPr>
        <w:spacing w:after="0"/>
        <w:ind w:left="0"/>
        <w:jc w:val="left"/>
      </w:pPr>
      <w:r>
        <w:rPr>
          <w:rFonts w:ascii="Times New Roman"/>
          <w:b/>
          <w:i w:val="false"/>
          <w:color w:val="000000"/>
        </w:rPr>
        <w:t xml:space="preserve"> Глава 9. Материалы</w:t>
      </w:r>
    </w:p>
    <w:bookmarkEnd w:id="1085"/>
    <w:p>
      <w:pPr>
        <w:spacing w:after="0"/>
        <w:ind w:left="0"/>
        <w:jc w:val="both"/>
      </w:pPr>
      <w:r>
        <w:rPr>
          <w:rFonts w:ascii="Times New Roman"/>
          <w:b w:val="false"/>
          <w:i w:val="false"/>
          <w:color w:val="ff0000"/>
          <w:sz w:val="28"/>
        </w:rPr>
        <w:t xml:space="preserve">
      Сноска. Заголовок главы 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2" w:id="1086"/>
    <w:p>
      <w:pPr>
        <w:spacing w:after="0"/>
        <w:ind w:left="0"/>
        <w:jc w:val="left"/>
      </w:pPr>
      <w:r>
        <w:rPr>
          <w:rFonts w:ascii="Times New Roman"/>
          <w:b/>
          <w:i w:val="false"/>
          <w:color w:val="000000"/>
        </w:rPr>
        <w:t xml:space="preserve"> Параграф 1. Сталь для корпусных конструкций</w:t>
      </w:r>
    </w:p>
    <w:bookmarkEnd w:id="1086"/>
    <w:bookmarkStart w:name="z1083" w:id="1087"/>
    <w:p>
      <w:pPr>
        <w:spacing w:after="0"/>
        <w:ind w:left="0"/>
        <w:jc w:val="both"/>
      </w:pPr>
      <w:r>
        <w:rPr>
          <w:rFonts w:ascii="Times New Roman"/>
          <w:b w:val="false"/>
          <w:i w:val="false"/>
          <w:color w:val="000000"/>
          <w:sz w:val="28"/>
        </w:rPr>
        <w:t xml:space="preserve">
      148. Для изготовления элементов конструкций корпуса предусматривается применение судостроительной стали нормальной прочности категорий А, В, D и Е с пределом текучести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=235 МПа, а также стали повышенной прочности АН, DH, ЕН и FH категорий А32, D32, Е32 и F32 с пределом текучести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315 МПа, А36, D36, Е36 и F36 с пределом текучести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355 МПа, А40, D40, Е40 и F40 с пределом текучести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390 МПа.</w:t>
      </w:r>
    </w:p>
    <w:bookmarkEnd w:id="1087"/>
    <w:bookmarkStart w:name="z1084" w:id="1088"/>
    <w:p>
      <w:pPr>
        <w:spacing w:after="0"/>
        <w:ind w:left="0"/>
        <w:jc w:val="both"/>
      </w:pPr>
      <w:r>
        <w:rPr>
          <w:rFonts w:ascii="Times New Roman"/>
          <w:b w:val="false"/>
          <w:i w:val="false"/>
          <w:color w:val="000000"/>
          <w:sz w:val="28"/>
        </w:rPr>
        <w:t>
      Применение сталей высокой прочности категорий D, E, F с пределом текучести 420 МПа и более является в каждом случае предметом специального рассмотрения Регистром судоходства.</w:t>
      </w:r>
    </w:p>
    <w:bookmarkEnd w:id="1088"/>
    <w:bookmarkStart w:name="z1085" w:id="1089"/>
    <w:p>
      <w:pPr>
        <w:spacing w:after="0"/>
        <w:ind w:left="0"/>
        <w:jc w:val="both"/>
      </w:pPr>
      <w:r>
        <w:rPr>
          <w:rFonts w:ascii="Times New Roman"/>
          <w:b w:val="false"/>
          <w:i w:val="false"/>
          <w:color w:val="000000"/>
          <w:sz w:val="28"/>
        </w:rPr>
        <w:t>
      149. Если в направлении толщины элемента конструкции действуют высокие местные напряжения, то при толщине конструктивного элемента более 18 мм он изготавливается из зет-стали, если не были приняты конструктивные меры по предотвращению слоистого разрыва.</w:t>
      </w:r>
    </w:p>
    <w:bookmarkEnd w:id="1089"/>
    <w:bookmarkStart w:name="z1086" w:id="1090"/>
    <w:p>
      <w:pPr>
        <w:spacing w:after="0"/>
        <w:ind w:left="0"/>
        <w:jc w:val="both"/>
      </w:pPr>
      <w:r>
        <w:rPr>
          <w:rFonts w:ascii="Times New Roman"/>
          <w:b w:val="false"/>
          <w:i w:val="false"/>
          <w:color w:val="000000"/>
          <w:sz w:val="28"/>
        </w:rPr>
        <w:t>
      150. При использовании плакированной стали механические свойства основного слоя применяют не ниже требуемых для категории стали, предписываемой пунктом 151 настоящих Правил.</w:t>
      </w:r>
    </w:p>
    <w:bookmarkEnd w:id="1090"/>
    <w:bookmarkStart w:name="z1087" w:id="1091"/>
    <w:p>
      <w:pPr>
        <w:spacing w:after="0"/>
        <w:ind w:left="0"/>
        <w:jc w:val="both"/>
      </w:pPr>
      <w:r>
        <w:rPr>
          <w:rFonts w:ascii="Times New Roman"/>
          <w:b w:val="false"/>
          <w:i w:val="false"/>
          <w:color w:val="000000"/>
          <w:sz w:val="28"/>
        </w:rPr>
        <w:t>
      В качестве основного слоя применяется судостроительная сталь согласно главы 586 настоящих Правил.</w:t>
      </w:r>
    </w:p>
    <w:bookmarkEnd w:id="1091"/>
    <w:bookmarkStart w:name="z1088" w:id="1092"/>
    <w:p>
      <w:pPr>
        <w:spacing w:after="0"/>
        <w:ind w:left="0"/>
        <w:jc w:val="left"/>
      </w:pPr>
      <w:r>
        <w:rPr>
          <w:rFonts w:ascii="Times New Roman"/>
          <w:b/>
          <w:i w:val="false"/>
          <w:color w:val="000000"/>
        </w:rPr>
        <w:t xml:space="preserve"> Параграф 2. Выбор стали для корпусных конструкций</w:t>
      </w:r>
    </w:p>
    <w:bookmarkEnd w:id="1092"/>
    <w:bookmarkStart w:name="z1089" w:id="1093"/>
    <w:p>
      <w:pPr>
        <w:spacing w:after="0"/>
        <w:ind w:left="0"/>
        <w:jc w:val="both"/>
      </w:pPr>
      <w:r>
        <w:rPr>
          <w:rFonts w:ascii="Times New Roman"/>
          <w:b w:val="false"/>
          <w:i w:val="false"/>
          <w:color w:val="000000"/>
          <w:sz w:val="28"/>
        </w:rPr>
        <w:t>
      151. Выбор стали для элементов конструкций корпуса, в том числе подверженных длительному воздействию низких температур, производится согласно приложениям 11, 12 и 13 настоящих Правил, для различных групп связей, исходя из фактически принятой для данного элемента толщины и расчетной температуры конструкций, определяемой по методике, согласованной с Регистром судоходства.</w:t>
      </w:r>
    </w:p>
    <w:bookmarkEnd w:id="1093"/>
    <w:bookmarkStart w:name="z1090" w:id="1094"/>
    <w:p>
      <w:pPr>
        <w:spacing w:after="0"/>
        <w:ind w:left="0"/>
        <w:jc w:val="both"/>
      </w:pPr>
      <w:r>
        <w:rPr>
          <w:rFonts w:ascii="Times New Roman"/>
          <w:b w:val="false"/>
          <w:i w:val="false"/>
          <w:color w:val="000000"/>
          <w:sz w:val="28"/>
        </w:rPr>
        <w:t xml:space="preserve">
      152. Расчетная температура конструкций, постоянно или периодически соприкасающихся с атмосферой, выражается через минимальную расчетную температуру окружающего воздуха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В качестве величины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при отсутствии каких-либо других указаний принимается минимальная среднесуточная температура воздуха, отмеченная за пятилетний период эксплуатации в наиболее неблагоприятных по условиям охлаждения акваториях.</w:t>
      </w:r>
    </w:p>
    <w:bookmarkEnd w:id="1094"/>
    <w:bookmarkStart w:name="z1091" w:id="1095"/>
    <w:p>
      <w:pPr>
        <w:spacing w:after="0"/>
        <w:ind w:left="0"/>
        <w:jc w:val="both"/>
      </w:pPr>
      <w:r>
        <w:rPr>
          <w:rFonts w:ascii="Times New Roman"/>
          <w:b w:val="false"/>
          <w:i w:val="false"/>
          <w:color w:val="000000"/>
          <w:sz w:val="28"/>
        </w:rPr>
        <w:t xml:space="preserve">
      153. В любом случае величина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не выше:</w:t>
      </w:r>
    </w:p>
    <w:bookmarkEnd w:id="1095"/>
    <w:bookmarkStart w:name="z1092" w:id="1096"/>
    <w:p>
      <w:pPr>
        <w:spacing w:after="0"/>
        <w:ind w:left="0"/>
        <w:jc w:val="both"/>
      </w:pPr>
      <w:r>
        <w:rPr>
          <w:rFonts w:ascii="Times New Roman"/>
          <w:b w:val="false"/>
          <w:i w:val="false"/>
          <w:color w:val="000000"/>
          <w:sz w:val="28"/>
        </w:rPr>
        <w:t>
      1) - 40</w:t>
      </w:r>
      <w:r>
        <w:rPr>
          <w:rFonts w:ascii="Times New Roman"/>
          <w:b w:val="false"/>
          <w:i w:val="false"/>
          <w:color w:val="000000"/>
          <w:vertAlign w:val="superscript"/>
        </w:rPr>
        <w:t>о</w:t>
      </w:r>
      <w:r>
        <w:rPr>
          <w:rFonts w:ascii="Times New Roman"/>
          <w:b w:val="false"/>
          <w:i w:val="false"/>
          <w:color w:val="000000"/>
          <w:sz w:val="28"/>
        </w:rPr>
        <w:t xml:space="preserve">С (при эксплуатации с заходом в устья северных рек величина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не должна превышать - 50 см) - для ледоколов категорий Icebreaker9, Icebreaker8, Icebreaker7;</w:t>
      </w:r>
    </w:p>
    <w:bookmarkEnd w:id="1096"/>
    <w:bookmarkStart w:name="z1093" w:id="1097"/>
    <w:p>
      <w:pPr>
        <w:spacing w:after="0"/>
        <w:ind w:left="0"/>
        <w:jc w:val="both"/>
      </w:pPr>
      <w:r>
        <w:rPr>
          <w:rFonts w:ascii="Times New Roman"/>
          <w:b w:val="false"/>
          <w:i w:val="false"/>
          <w:color w:val="000000"/>
          <w:sz w:val="28"/>
        </w:rPr>
        <w:t>
      2) - 30</w:t>
      </w:r>
      <w:r>
        <w:rPr>
          <w:rFonts w:ascii="Times New Roman"/>
          <w:b w:val="false"/>
          <w:i w:val="false"/>
          <w:color w:val="000000"/>
          <w:vertAlign w:val="superscript"/>
        </w:rPr>
        <w:t>о</w:t>
      </w:r>
      <w:r>
        <w:rPr>
          <w:rFonts w:ascii="Times New Roman"/>
          <w:b w:val="false"/>
          <w:i w:val="false"/>
          <w:color w:val="000000"/>
          <w:sz w:val="28"/>
        </w:rPr>
        <w:t>С - для ледоколов категории Icebreaker6;</w:t>
      </w:r>
    </w:p>
    <w:bookmarkEnd w:id="1097"/>
    <w:bookmarkStart w:name="z1094" w:id="1098"/>
    <w:p>
      <w:pPr>
        <w:spacing w:after="0"/>
        <w:ind w:left="0"/>
        <w:jc w:val="both"/>
      </w:pPr>
      <w:r>
        <w:rPr>
          <w:rFonts w:ascii="Times New Roman"/>
          <w:b w:val="false"/>
          <w:i w:val="false"/>
          <w:color w:val="000000"/>
          <w:sz w:val="28"/>
        </w:rPr>
        <w:t>
      3) - 10</w:t>
      </w:r>
      <w:r>
        <w:rPr>
          <w:rFonts w:ascii="Times New Roman"/>
          <w:b w:val="false"/>
          <w:i w:val="false"/>
          <w:color w:val="000000"/>
          <w:vertAlign w:val="superscript"/>
        </w:rPr>
        <w:t>о</w:t>
      </w:r>
      <w:r>
        <w:rPr>
          <w:rFonts w:ascii="Times New Roman"/>
          <w:b w:val="false"/>
          <w:i w:val="false"/>
          <w:color w:val="000000"/>
          <w:sz w:val="28"/>
        </w:rPr>
        <w:t>С - для судов ледового плавания категорий Ice3, Ice2;</w:t>
      </w:r>
    </w:p>
    <w:bookmarkEnd w:id="1098"/>
    <w:bookmarkStart w:name="z1095" w:id="1099"/>
    <w:p>
      <w:pPr>
        <w:spacing w:after="0"/>
        <w:ind w:left="0"/>
        <w:jc w:val="both"/>
      </w:pPr>
      <w:r>
        <w:rPr>
          <w:rFonts w:ascii="Times New Roman"/>
          <w:b w:val="false"/>
          <w:i w:val="false"/>
          <w:color w:val="000000"/>
          <w:sz w:val="28"/>
        </w:rPr>
        <w:t>
      4) 0</w:t>
      </w:r>
      <w:r>
        <w:rPr>
          <w:rFonts w:ascii="Times New Roman"/>
          <w:b w:val="false"/>
          <w:i w:val="false"/>
          <w:color w:val="000000"/>
          <w:vertAlign w:val="superscript"/>
        </w:rPr>
        <w:t>о</w:t>
      </w:r>
      <w:r>
        <w:rPr>
          <w:rFonts w:ascii="Times New Roman"/>
          <w:b w:val="false"/>
          <w:i w:val="false"/>
          <w:color w:val="000000"/>
          <w:sz w:val="28"/>
        </w:rPr>
        <w:t>С - для судов ледового плавания категории Ice1, а также не имеющих ледовых усилений.</w:t>
      </w:r>
    </w:p>
    <w:bookmarkEnd w:id="1099"/>
    <w:bookmarkStart w:name="z1096" w:id="1100"/>
    <w:p>
      <w:pPr>
        <w:spacing w:after="0"/>
        <w:ind w:left="0"/>
        <w:jc w:val="both"/>
      </w:pPr>
      <w:r>
        <w:rPr>
          <w:rFonts w:ascii="Times New Roman"/>
          <w:b w:val="false"/>
          <w:i w:val="false"/>
          <w:color w:val="000000"/>
          <w:sz w:val="28"/>
        </w:rPr>
        <w:t xml:space="preserve">
      154. Допускается приближенное определение расчетной температуры конструкций, исходя из установленной указанным путем величины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в соответствии с рекомендациями, приведенными в приложении 14 настоящих Правил.</w:t>
      </w:r>
    </w:p>
    <w:bookmarkEnd w:id="1100"/>
    <w:bookmarkStart w:name="z1097" w:id="1101"/>
    <w:p>
      <w:pPr>
        <w:spacing w:after="0"/>
        <w:ind w:left="0"/>
        <w:jc w:val="both"/>
      </w:pPr>
      <w:r>
        <w:rPr>
          <w:rFonts w:ascii="Times New Roman"/>
          <w:b w:val="false"/>
          <w:i w:val="false"/>
          <w:color w:val="000000"/>
          <w:sz w:val="28"/>
        </w:rPr>
        <w:t>
      155. При расчетных напряжениях растяжения в продольных связях верхней палубы и борта (ширстречного пояса) от перегибающего изгибающего момента на тихой воде (</w:t>
      </w:r>
    </w:p>
    <w:bookmarkEnd w:id="1101"/>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sw</w:t>
      </w:r>
      <w:r>
        <w:rPr>
          <w:rFonts w:ascii="Times New Roman"/>
          <w:b w:val="false"/>
          <w:i w:val="false"/>
          <w:color w:val="000000"/>
          <w:sz w:val="28"/>
        </w:rPr>
        <w:t>), превышающих величину 65/</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расчетная температура связей корректируют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sz w:val="28"/>
        </w:rPr>
        <w:t>р = -10(</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sw</w:t>
      </w:r>
      <w:r>
        <w:rPr>
          <w:rFonts w:ascii="Times New Roman"/>
          <w:b w:val="false"/>
          <w:i w:val="false"/>
          <w:color w:val="000000"/>
          <w:sz w:val="28"/>
        </w:rPr>
        <w:t>/ 65 - 1)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1098" w:id="1102"/>
    <w:p>
      <w:pPr>
        <w:spacing w:after="0"/>
        <w:ind w:left="0"/>
        <w:jc w:val="both"/>
      </w:pPr>
      <w:r>
        <w:rPr>
          <w:rFonts w:ascii="Times New Roman"/>
          <w:b w:val="false"/>
          <w:i w:val="false"/>
          <w:color w:val="000000"/>
          <w:sz w:val="28"/>
        </w:rPr>
        <w:t>
      156. Расчетная температура конструкций, расположенных внутри охлаждаемых помещений, принимается равной температуре в охлаждаемом помещении.</w:t>
      </w:r>
    </w:p>
    <w:bookmarkEnd w:id="1102"/>
    <w:bookmarkStart w:name="z1099" w:id="1103"/>
    <w:p>
      <w:pPr>
        <w:spacing w:after="0"/>
        <w:ind w:left="0"/>
        <w:jc w:val="both"/>
      </w:pPr>
      <w:r>
        <w:rPr>
          <w:rFonts w:ascii="Times New Roman"/>
          <w:b w:val="false"/>
          <w:i w:val="false"/>
          <w:color w:val="000000"/>
          <w:sz w:val="28"/>
        </w:rPr>
        <w:t>
      Расчетная температура конструкций, ограничивающих охлаждаемые помещения, принимается равной:</w:t>
      </w:r>
    </w:p>
    <w:bookmarkEnd w:id="1103"/>
    <w:bookmarkStart w:name="z1100" w:id="1104"/>
    <w:p>
      <w:pPr>
        <w:spacing w:after="0"/>
        <w:ind w:left="0"/>
        <w:jc w:val="both"/>
      </w:pPr>
      <w:r>
        <w:rPr>
          <w:rFonts w:ascii="Times New Roman"/>
          <w:b w:val="false"/>
          <w:i w:val="false"/>
          <w:color w:val="000000"/>
          <w:sz w:val="28"/>
        </w:rPr>
        <w:t>
      1) температуре охлаждаемого помещения при отсутствии изоляции со стороны охлаждаемого помещения;</w:t>
      </w:r>
    </w:p>
    <w:bookmarkEnd w:id="1104"/>
    <w:bookmarkStart w:name="z1101" w:id="1105"/>
    <w:p>
      <w:pPr>
        <w:spacing w:after="0"/>
        <w:ind w:left="0"/>
        <w:jc w:val="both"/>
      </w:pPr>
      <w:r>
        <w:rPr>
          <w:rFonts w:ascii="Times New Roman"/>
          <w:b w:val="false"/>
          <w:i w:val="false"/>
          <w:color w:val="000000"/>
          <w:sz w:val="28"/>
        </w:rPr>
        <w:t>
      2) температуре в помещении с неизолированной стороны при наличии изоляции со стороны охлаждаемого помещения и отсутствии ее с другой стороны;</w:t>
      </w:r>
    </w:p>
    <w:bookmarkEnd w:id="1105"/>
    <w:bookmarkStart w:name="z1102" w:id="1106"/>
    <w:p>
      <w:pPr>
        <w:spacing w:after="0"/>
        <w:ind w:left="0"/>
        <w:jc w:val="both"/>
      </w:pPr>
      <w:r>
        <w:rPr>
          <w:rFonts w:ascii="Times New Roman"/>
          <w:b w:val="false"/>
          <w:i w:val="false"/>
          <w:color w:val="000000"/>
          <w:sz w:val="28"/>
        </w:rPr>
        <w:t>
      3) средней температуре в соседних помещениях при наличии изоляции с обеих сторон.</w:t>
      </w:r>
    </w:p>
    <w:bookmarkEnd w:id="1106"/>
    <w:bookmarkStart w:name="z1103" w:id="1107"/>
    <w:p>
      <w:pPr>
        <w:spacing w:after="0"/>
        <w:ind w:left="0"/>
        <w:jc w:val="both"/>
      </w:pPr>
      <w:r>
        <w:rPr>
          <w:rFonts w:ascii="Times New Roman"/>
          <w:b w:val="false"/>
          <w:i w:val="false"/>
          <w:color w:val="000000"/>
          <w:sz w:val="28"/>
        </w:rPr>
        <w:t>
      157. Элементы конструкций корпуса в зависимости от уровня напряженности, наличия значительной концентрации напряжений, сложности оформления и изготовления узлов, а также предполагаемых последствий их разрушения для безопасности судна в целом подразделяются на три группы связей согласно приложению 15 настоящих Правил.</w:t>
      </w:r>
    </w:p>
    <w:bookmarkEnd w:id="1107"/>
    <w:bookmarkStart w:name="z1104" w:id="1108"/>
    <w:p>
      <w:pPr>
        <w:spacing w:after="0"/>
        <w:ind w:left="0"/>
        <w:jc w:val="both"/>
      </w:pPr>
      <w:r>
        <w:rPr>
          <w:rFonts w:ascii="Times New Roman"/>
          <w:b w:val="false"/>
          <w:i w:val="false"/>
          <w:color w:val="000000"/>
          <w:sz w:val="28"/>
        </w:rPr>
        <w:t>
      Категория стали в зависимости от толщины элемента корпуса определяется в соответствии с приложением 17 настоящих Правил.</w:t>
      </w:r>
    </w:p>
    <w:bookmarkEnd w:id="1108"/>
    <w:bookmarkStart w:name="z1105" w:id="1109"/>
    <w:p>
      <w:pPr>
        <w:spacing w:after="0"/>
        <w:ind w:left="0"/>
        <w:jc w:val="both"/>
      </w:pPr>
      <w:r>
        <w:rPr>
          <w:rFonts w:ascii="Times New Roman"/>
          <w:b w:val="false"/>
          <w:i w:val="false"/>
          <w:color w:val="000000"/>
          <w:sz w:val="28"/>
        </w:rPr>
        <w:t>
      158. Не упомянутые в приложении 15 настоящих Правил элементы корпусных конструкций, размеры которых регламентируются настоящей частью Правил, следует относить к группе I.</w:t>
      </w:r>
    </w:p>
    <w:bookmarkEnd w:id="1109"/>
    <w:bookmarkStart w:name="z1106" w:id="1110"/>
    <w:p>
      <w:pPr>
        <w:spacing w:after="0"/>
        <w:ind w:left="0"/>
        <w:jc w:val="both"/>
      </w:pPr>
      <w:r>
        <w:rPr>
          <w:rFonts w:ascii="Times New Roman"/>
          <w:b w:val="false"/>
          <w:i w:val="false"/>
          <w:color w:val="000000"/>
          <w:sz w:val="28"/>
        </w:rPr>
        <w:t>
      159. Для конструкций с высоким уровнем концентрации напряжений, подверженных динамическим нагрузкам (в частности, при швартовке судов в море) или находящихся в условиях сложного напряженного состояния, требуется применение стали категории D или Е. Сталь категории А не допускается.</w:t>
      </w:r>
    </w:p>
    <w:bookmarkEnd w:id="1110"/>
    <w:bookmarkStart w:name="z1107" w:id="1111"/>
    <w:p>
      <w:pPr>
        <w:spacing w:after="0"/>
        <w:ind w:left="0"/>
        <w:jc w:val="both"/>
      </w:pPr>
      <w:r>
        <w:rPr>
          <w:rFonts w:ascii="Times New Roman"/>
          <w:b w:val="false"/>
          <w:i w:val="false"/>
          <w:color w:val="000000"/>
          <w:sz w:val="28"/>
        </w:rPr>
        <w:t>
      160. В средней части судна ширина поясьев группы связей III или выполненных из сталей категорий Е или ЕН равна не менее 800 + 5</w:t>
      </w:r>
      <w:r>
        <w:rPr>
          <w:rFonts w:ascii="Times New Roman"/>
          <w:b w:val="false"/>
          <w:i/>
          <w:color w:val="000000"/>
          <w:sz w:val="28"/>
        </w:rPr>
        <w:t>L</w:t>
      </w:r>
      <w:r>
        <w:rPr>
          <w:rFonts w:ascii="Times New Roman"/>
          <w:b w:val="false"/>
          <w:i w:val="false"/>
          <w:color w:val="000000"/>
          <w:sz w:val="28"/>
        </w:rPr>
        <w:t>, мм, но может не превышать 1800 мм</w:t>
      </w:r>
    </w:p>
    <w:bookmarkEnd w:id="1111"/>
    <w:bookmarkStart w:name="z1108" w:id="1112"/>
    <w:p>
      <w:pPr>
        <w:spacing w:after="0"/>
        <w:ind w:left="0"/>
        <w:jc w:val="both"/>
      </w:pPr>
      <w:r>
        <w:rPr>
          <w:rFonts w:ascii="Times New Roman"/>
          <w:b w:val="false"/>
          <w:i w:val="false"/>
          <w:color w:val="000000"/>
          <w:sz w:val="28"/>
        </w:rPr>
        <w:t>
      161. Для судов длиной менее 40 м по всей длине судна применяется сталь, предписываемая для групп связей согласно приложению 15 настоящих Правил, для района вне средней части судна.</w:t>
      </w:r>
    </w:p>
    <w:bookmarkEnd w:id="1112"/>
    <w:bookmarkStart w:name="z1109" w:id="1113"/>
    <w:p>
      <w:pPr>
        <w:spacing w:after="0"/>
        <w:ind w:left="0"/>
        <w:jc w:val="both"/>
      </w:pPr>
      <w:r>
        <w:rPr>
          <w:rFonts w:ascii="Times New Roman"/>
          <w:b w:val="false"/>
          <w:i w:val="false"/>
          <w:color w:val="000000"/>
          <w:sz w:val="28"/>
        </w:rPr>
        <w:t>
      162. Листовые элементы ахтерштевня, рулей и кронштейнов гребных валов относят к группе связей II. Листовые элементы конструкции рулей в районе действия опорных усилий, то есть район нижней опоры полуподвесного руля или район верхней части подвесного руля, относят к группе связей III.</w:t>
      </w:r>
    </w:p>
    <w:bookmarkEnd w:id="1113"/>
    <w:bookmarkStart w:name="z1110" w:id="1114"/>
    <w:p>
      <w:pPr>
        <w:spacing w:after="0"/>
        <w:ind w:left="0"/>
        <w:jc w:val="left"/>
      </w:pPr>
      <w:r>
        <w:rPr>
          <w:rFonts w:ascii="Times New Roman"/>
          <w:b/>
          <w:i w:val="false"/>
          <w:color w:val="000000"/>
        </w:rPr>
        <w:t xml:space="preserve"> Параграф 3. Алюминиевые сплавы и антикоррозионные покрытия</w:t>
      </w:r>
    </w:p>
    <w:bookmarkEnd w:id="1114"/>
    <w:bookmarkStart w:name="z1111" w:id="1115"/>
    <w:p>
      <w:pPr>
        <w:spacing w:after="0"/>
        <w:ind w:left="0"/>
        <w:jc w:val="both"/>
      </w:pPr>
      <w:r>
        <w:rPr>
          <w:rFonts w:ascii="Times New Roman"/>
          <w:b w:val="false"/>
          <w:i w:val="false"/>
          <w:color w:val="000000"/>
          <w:sz w:val="28"/>
        </w:rPr>
        <w:t>
      163. Настоящим разделом Правил предусматривается применение алюминиевых сплавов:</w:t>
      </w:r>
    </w:p>
    <w:bookmarkEnd w:id="1115"/>
    <w:bookmarkStart w:name="z1112" w:id="1116"/>
    <w:p>
      <w:pPr>
        <w:spacing w:after="0"/>
        <w:ind w:left="0"/>
        <w:jc w:val="both"/>
      </w:pPr>
      <w:r>
        <w:rPr>
          <w:rFonts w:ascii="Times New Roman"/>
          <w:b w:val="false"/>
          <w:i w:val="false"/>
          <w:color w:val="000000"/>
          <w:sz w:val="28"/>
        </w:rPr>
        <w:t xml:space="preserve">
      при 12 &lt; L </w:t>
      </w:r>
      <w:r>
        <w:rPr>
          <w:rFonts w:ascii="Times New Roman"/>
          <w:b w:val="false"/>
          <w:i w:val="false"/>
          <w:color w:val="000000"/>
          <w:sz w:val="28"/>
          <w:u w:val="single"/>
        </w:rPr>
        <w:t>&lt;</w:t>
      </w:r>
      <w:r>
        <w:rPr>
          <w:rFonts w:ascii="Times New Roman"/>
          <w:b w:val="false"/>
          <w:i w:val="false"/>
          <w:color w:val="000000"/>
          <w:sz w:val="28"/>
        </w:rPr>
        <w:t xml:space="preserve"> 40 м - для корпуса, надстроек и рубок;</w:t>
      </w:r>
    </w:p>
    <w:bookmarkEnd w:id="1116"/>
    <w:bookmarkStart w:name="z1113" w:id="1117"/>
    <w:p>
      <w:pPr>
        <w:spacing w:after="0"/>
        <w:ind w:left="0"/>
        <w:jc w:val="both"/>
      </w:pPr>
      <w:r>
        <w:rPr>
          <w:rFonts w:ascii="Times New Roman"/>
          <w:b w:val="false"/>
          <w:i w:val="false"/>
          <w:color w:val="000000"/>
          <w:sz w:val="28"/>
        </w:rPr>
        <w:t>
      при L &gt; 40 м - для надстроек и рубок.</w:t>
      </w:r>
    </w:p>
    <w:bookmarkEnd w:id="1117"/>
    <w:bookmarkStart w:name="z1114" w:id="1118"/>
    <w:p>
      <w:pPr>
        <w:spacing w:after="0"/>
        <w:ind w:left="0"/>
        <w:jc w:val="both"/>
      </w:pPr>
      <w:r>
        <w:rPr>
          <w:rFonts w:ascii="Times New Roman"/>
          <w:b w:val="false"/>
          <w:i w:val="false"/>
          <w:color w:val="000000"/>
          <w:sz w:val="28"/>
        </w:rPr>
        <w:t>
      164. Необходимо чтобы внутренние поверхности балластных танков и цистерн имели защитные эпоксидные или эквивалентные им антикоррозионные покрытия, выполненные в соответствии с рекомендациями изготовителя. Наиболее предпочтительны светлые тона покрытий. Для судов валовой вместимостью 500 и более упомянутое покрытие выполняют в соответствии со Стандартом качества защитных покрытий (резолюции ИМО MSC.215(82) и MSC.216(82)). В необходимых случаях в дополнение к покрытиям возможно применение анодная зашита от коррозии.</w:t>
      </w:r>
    </w:p>
    <w:bookmarkEnd w:id="1118"/>
    <w:bookmarkStart w:name="z1115" w:id="1119"/>
    <w:p>
      <w:pPr>
        <w:spacing w:after="0"/>
        <w:ind w:left="0"/>
        <w:jc w:val="left"/>
      </w:pPr>
      <w:r>
        <w:rPr>
          <w:rFonts w:ascii="Times New Roman"/>
          <w:b/>
          <w:i w:val="false"/>
          <w:color w:val="000000"/>
        </w:rPr>
        <w:t xml:space="preserve"> Глава 10. Расчетные нагрузки</w:t>
      </w:r>
    </w:p>
    <w:bookmarkEnd w:id="1119"/>
    <w:p>
      <w:pPr>
        <w:spacing w:after="0"/>
        <w:ind w:left="0"/>
        <w:jc w:val="both"/>
      </w:pPr>
      <w:r>
        <w:rPr>
          <w:rFonts w:ascii="Times New Roman"/>
          <w:b w:val="false"/>
          <w:i w:val="false"/>
          <w:color w:val="ff0000"/>
          <w:sz w:val="28"/>
        </w:rPr>
        <w:t xml:space="preserve">
      Сноска. Заголовок главы 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6" w:id="1120"/>
    <w:p>
      <w:pPr>
        <w:spacing w:after="0"/>
        <w:ind w:left="0"/>
        <w:jc w:val="left"/>
      </w:pPr>
      <w:r>
        <w:rPr>
          <w:rFonts w:ascii="Times New Roman"/>
          <w:b/>
          <w:i w:val="false"/>
          <w:color w:val="000000"/>
        </w:rPr>
        <w:t xml:space="preserve"> Параграф 1. Общие положения</w:t>
      </w:r>
    </w:p>
    <w:bookmarkEnd w:id="1120"/>
    <w:bookmarkStart w:name="z1117" w:id="1121"/>
    <w:p>
      <w:pPr>
        <w:spacing w:after="0"/>
        <w:ind w:left="0"/>
        <w:jc w:val="both"/>
      </w:pPr>
      <w:r>
        <w:rPr>
          <w:rFonts w:ascii="Times New Roman"/>
          <w:b w:val="false"/>
          <w:i w:val="false"/>
          <w:color w:val="000000"/>
          <w:sz w:val="28"/>
        </w:rPr>
        <w:t>
      165. В настоящей главе приведены основные формулы для определения расчетных нагрузок, связанных с воздействием моря на корпус судна, и ускорений судна при качке, а также нагрузок от воздействия сухих и жидких грузов.</w:t>
      </w:r>
    </w:p>
    <w:bookmarkEnd w:id="1121"/>
    <w:bookmarkStart w:name="z1118" w:id="1122"/>
    <w:p>
      <w:pPr>
        <w:spacing w:after="0"/>
        <w:ind w:left="0"/>
        <w:jc w:val="both"/>
      </w:pPr>
      <w:r>
        <w:rPr>
          <w:rFonts w:ascii="Times New Roman"/>
          <w:b w:val="false"/>
          <w:i w:val="false"/>
          <w:color w:val="000000"/>
          <w:sz w:val="28"/>
        </w:rPr>
        <w:t>
      166. Нагрузки от ударов волн в носовую часть днища и развал бортов, от воздействия колесной техники, тяжеловесов и аварийные нагрузки приводятся в главах, относящихся к соответствующим конструкциям.</w:t>
      </w:r>
    </w:p>
    <w:bookmarkEnd w:id="1122"/>
    <w:bookmarkStart w:name="z1119" w:id="1123"/>
    <w:p>
      <w:pPr>
        <w:spacing w:after="0"/>
        <w:ind w:left="0"/>
        <w:jc w:val="both"/>
      </w:pPr>
      <w:r>
        <w:rPr>
          <w:rFonts w:ascii="Times New Roman"/>
          <w:b w:val="false"/>
          <w:i w:val="false"/>
          <w:color w:val="000000"/>
          <w:sz w:val="28"/>
        </w:rPr>
        <w:t>
      167. Правила определения значения и точки приложения расчетной нагрузки приводятся в главах, относящихся к конкретным конструкциям. Если подобные указания отсутствуют, нагрузка принимается на нижней кромке пластины, на середине расчетного пролета балки или в центре площади, воспринимающей распределенное давление.</w:t>
      </w:r>
    </w:p>
    <w:bookmarkEnd w:id="1123"/>
    <w:bookmarkStart w:name="z1120" w:id="1124"/>
    <w:p>
      <w:pPr>
        <w:spacing w:after="0"/>
        <w:ind w:left="0"/>
        <w:jc w:val="both"/>
      </w:pPr>
      <w:r>
        <w:rPr>
          <w:rFonts w:ascii="Times New Roman"/>
          <w:b w:val="false"/>
          <w:i w:val="false"/>
          <w:color w:val="000000"/>
          <w:sz w:val="28"/>
        </w:rPr>
        <w:t>
      168. Основным параметром расчетных нагрузок и ускорений, воспринимаемых корпусом судна со стороны моря, является волновой коэффициент ст определяемый в зависимости от длины судна:</w:t>
      </w:r>
    </w:p>
    <w:bookmarkEnd w:id="1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762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1" w:id="1125"/>
    <w:p>
      <w:pPr>
        <w:spacing w:after="0"/>
        <w:ind w:left="0"/>
        <w:jc w:val="both"/>
      </w:pPr>
      <w:r>
        <w:rPr>
          <w:rFonts w:ascii="Times New Roman"/>
          <w:b w:val="false"/>
          <w:i w:val="false"/>
          <w:color w:val="000000"/>
          <w:sz w:val="28"/>
        </w:rPr>
        <w:t xml:space="preserve">
      169. Для судов ограниченного района плавания волновой коэффициент cw умножают на редукционный коэффициент </w:t>
      </w:r>
    </w:p>
    <w:bookmarkEnd w:id="1125"/>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определяемый согласно приложению18 настоящих Правил.</w:t>
      </w:r>
      <w:r>
        <w:br/>
      </w:r>
      <w:r>
        <w:rPr>
          <w:rFonts w:ascii="Times New Roman"/>
          <w:b w:val="false"/>
          <w:i w:val="false"/>
          <w:color w:val="000000"/>
          <w:sz w:val="28"/>
        </w:rPr>
        <w:t>
</w:t>
      </w:r>
    </w:p>
    <w:bookmarkStart w:name="z1122" w:id="1126"/>
    <w:p>
      <w:pPr>
        <w:spacing w:after="0"/>
        <w:ind w:left="0"/>
        <w:jc w:val="left"/>
      </w:pPr>
      <w:r>
        <w:rPr>
          <w:rFonts w:ascii="Times New Roman"/>
          <w:b/>
          <w:i w:val="false"/>
          <w:color w:val="000000"/>
        </w:rPr>
        <w:t xml:space="preserve"> Параграф 2. Внешние нагрузки на корпус судна со стороны моря</w:t>
      </w:r>
    </w:p>
    <w:bookmarkEnd w:id="1126"/>
    <w:bookmarkStart w:name="z1123" w:id="1127"/>
    <w:p>
      <w:pPr>
        <w:spacing w:after="0"/>
        <w:ind w:left="0"/>
        <w:jc w:val="both"/>
      </w:pPr>
      <w:r>
        <w:rPr>
          <w:rFonts w:ascii="Times New Roman"/>
          <w:b w:val="false"/>
          <w:i w:val="false"/>
          <w:color w:val="000000"/>
          <w:sz w:val="28"/>
        </w:rPr>
        <w:t>
      170. Расчетное давление р, кПа, действующее на корпус судна со стороны моря, определяется по формулам:</w:t>
      </w:r>
    </w:p>
    <w:bookmarkEnd w:id="1127"/>
    <w:bookmarkStart w:name="z1124" w:id="1128"/>
    <w:p>
      <w:pPr>
        <w:spacing w:after="0"/>
        <w:ind w:left="0"/>
        <w:jc w:val="both"/>
      </w:pPr>
      <w:r>
        <w:rPr>
          <w:rFonts w:ascii="Times New Roman"/>
          <w:b w:val="false"/>
          <w:i w:val="false"/>
          <w:color w:val="000000"/>
          <w:sz w:val="28"/>
        </w:rPr>
        <w:t>
      для точек приложения нагрузок, расположенных ниже летней грузовой ватерлинии,</w:t>
      </w:r>
    </w:p>
    <w:bookmarkEnd w:id="112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(6)</w:t>
      </w:r>
    </w:p>
    <w:bookmarkStart w:name="z1125" w:id="1129"/>
    <w:p>
      <w:pPr>
        <w:spacing w:after="0"/>
        <w:ind w:left="0"/>
        <w:jc w:val="both"/>
      </w:pPr>
      <w:r>
        <w:rPr>
          <w:rFonts w:ascii="Times New Roman"/>
          <w:b w:val="false"/>
          <w:i w:val="false"/>
          <w:color w:val="000000"/>
          <w:sz w:val="28"/>
        </w:rPr>
        <w:t>
            для точек приложения нагрузок, расположенных выше летней грузовой ватерлинии,</w:t>
      </w:r>
    </w:p>
    <w:bookmarkEnd w:id="112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  (7)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статическое давление, кПа, определяемое по формуле рst = 10</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отстояние точки приложения нагрузки от летней грузовой ватерлинии,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 пункт 171 настоящих Правил.</w:t>
      </w:r>
    </w:p>
    <w:bookmarkStart w:name="z1126" w:id="1130"/>
    <w:p>
      <w:pPr>
        <w:spacing w:after="0"/>
        <w:ind w:left="0"/>
        <w:jc w:val="both"/>
      </w:pPr>
      <w:r>
        <w:rPr>
          <w:rFonts w:ascii="Times New Roman"/>
          <w:b w:val="false"/>
          <w:i w:val="false"/>
          <w:color w:val="000000"/>
          <w:sz w:val="28"/>
        </w:rPr>
        <w:t>
      171. Расчетное давление, обусловленное перемещениями корпуса относительно профиля волны, pw, кПа, определяется по формулам:</w:t>
      </w:r>
    </w:p>
    <w:bookmarkEnd w:id="1130"/>
    <w:bookmarkStart w:name="z1127" w:id="1131"/>
    <w:p>
      <w:pPr>
        <w:spacing w:after="0"/>
        <w:ind w:left="0"/>
        <w:jc w:val="both"/>
      </w:pPr>
      <w:r>
        <w:rPr>
          <w:rFonts w:ascii="Times New Roman"/>
          <w:b w:val="false"/>
          <w:i w:val="false"/>
          <w:color w:val="000000"/>
          <w:sz w:val="28"/>
        </w:rPr>
        <w:t>
      для точек приложения нагрузок, расположенных ниже летней грузовой ватерлинии,</w:t>
      </w:r>
    </w:p>
    <w:bookmarkEnd w:id="113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vertAlign w:val="subscript"/>
        </w:rPr>
        <w:t>0</w:t>
      </w:r>
      <w:r>
        <w:rPr>
          <w:rFonts w:ascii="Times New Roman"/>
          <w:b w:val="false"/>
          <w:i w:val="false"/>
          <w:color w:val="000000"/>
          <w:sz w:val="28"/>
        </w:rPr>
        <w:t xml:space="preserve"> - 1,5 с</w:t>
      </w:r>
      <w:r>
        <w:rPr>
          <w:rFonts w:ascii="Times New Roman"/>
          <w:b w:val="false"/>
          <w:i w:val="false"/>
          <w:color w:val="000000"/>
          <w:vertAlign w:val="subscript"/>
        </w:rPr>
        <w:t>w</w:t>
      </w:r>
      <w:r>
        <w:rPr>
          <w:rFonts w:ascii="Times New Roman"/>
          <w:b w:val="false"/>
          <w:i w:val="false"/>
          <w:color w:val="000000"/>
          <w:sz w:val="28"/>
        </w:rPr>
        <w:t>z</w:t>
      </w:r>
      <w:r>
        <w:rPr>
          <w:rFonts w:ascii="Times New Roman"/>
          <w:b w:val="false"/>
          <w:i w:val="false"/>
          <w:color w:val="000000"/>
          <w:vertAlign w:val="subscript"/>
        </w:rPr>
        <w:t>i</w:t>
      </w:r>
      <w:r>
        <w:rPr>
          <w:rFonts w:ascii="Times New Roman"/>
          <w:b w:val="false"/>
          <w:i w:val="false"/>
          <w:color w:val="000000"/>
          <w:sz w:val="28"/>
        </w:rPr>
        <w:t>/d ,  (8)</w:t>
      </w:r>
    </w:p>
    <w:bookmarkStart w:name="z1128" w:id="1132"/>
    <w:p>
      <w:pPr>
        <w:spacing w:after="0"/>
        <w:ind w:left="0"/>
        <w:jc w:val="both"/>
      </w:pPr>
      <w:r>
        <w:rPr>
          <w:rFonts w:ascii="Times New Roman"/>
          <w:b w:val="false"/>
          <w:i w:val="false"/>
          <w:color w:val="000000"/>
          <w:sz w:val="28"/>
        </w:rPr>
        <w:t>
            для точек приложения нагрузок, расположенных выше летней грузовой ватерлинии,</w:t>
      </w:r>
    </w:p>
    <w:bookmarkEnd w:id="113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vertAlign w:val="subscript"/>
        </w:rPr>
        <w:t>0</w:t>
      </w:r>
      <w:r>
        <w:rPr>
          <w:rFonts w:ascii="Times New Roman"/>
          <w:b w:val="false"/>
          <w:i w:val="false"/>
          <w:color w:val="000000"/>
          <w:sz w:val="28"/>
        </w:rPr>
        <w:t xml:space="preserve"> - 7,5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(9)</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 5</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color w:val="000000"/>
          <w:sz w:val="28"/>
        </w:rPr>
        <w:t>а</w:t>
      </w:r>
      <w:r>
        <w:rPr>
          <w:rFonts w:ascii="Times New Roman"/>
          <w:b w:val="false"/>
          <w:i w:val="false"/>
          <w:color w:val="000000"/>
          <w:vertAlign w:val="subscript"/>
        </w:rPr>
        <w:t>u</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val="false"/>
          <w:color w:val="000000"/>
          <w:sz w:val="28"/>
        </w:rPr>
        <w:t xml:space="preserve"> - пункты 168 и 169 настоящих Правил;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u</w:t>
      </w:r>
      <w:r>
        <w:rPr>
          <w:rFonts w:ascii="Times New Roman"/>
          <w:b w:val="false"/>
          <w:i w:val="false"/>
          <w:color w:val="000000"/>
          <w:sz w:val="28"/>
        </w:rPr>
        <w:t xml:space="preserve"> = 0,8</w:t>
      </w:r>
      <w:r>
        <w:rPr>
          <w:rFonts w:ascii="Times New Roman"/>
          <w:b w:val="false"/>
          <w:i/>
          <w:color w:val="000000"/>
          <w:sz w:val="28"/>
        </w:rPr>
        <w:t>u</w:t>
      </w:r>
      <w:r>
        <w:rPr>
          <w:rFonts w:ascii="Times New Roman"/>
          <w:b w:val="false"/>
          <w:i w:val="false"/>
          <w:color w:val="000000"/>
          <w:vertAlign w:val="subscript"/>
        </w:rPr>
        <w:t>0</w:t>
      </w:r>
      <w:r>
        <w:rPr>
          <w:rFonts w:ascii="Times New Roman"/>
          <w:b w:val="false"/>
          <w:i w:val="false"/>
          <w:color w:val="000000"/>
          <w:sz w:val="28"/>
        </w:rPr>
        <w:t>(L/10</w:t>
      </w:r>
      <w:r>
        <w:rPr>
          <w:rFonts w:ascii="Times New Roman"/>
          <w:b w:val="false"/>
          <w:i w:val="false"/>
          <w:color w:val="000000"/>
          <w:vertAlign w:val="superscript"/>
        </w:rPr>
        <w:t>3</w:t>
      </w:r>
      <w:r>
        <w:rPr>
          <w:rFonts w:ascii="Times New Roman"/>
          <w:b w:val="false"/>
          <w:i w:val="false"/>
          <w:color w:val="000000"/>
          <w:sz w:val="28"/>
        </w:rPr>
        <w:t xml:space="preserve"> + 0,4)/ </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x</w:t>
      </w:r>
      <w:r>
        <w:rPr>
          <w:rFonts w:ascii="Times New Roman"/>
          <w:b w:val="false"/>
          <w:i w:val="false"/>
          <w:color w:val="000000"/>
          <w:sz w:val="28"/>
        </w:rPr>
        <w:t>(1 - 2</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xml:space="preserve"> 0,267;</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x</w:t>
      </w:r>
      <w:r>
        <w:rPr>
          <w:rFonts w:ascii="Times New Roman"/>
          <w:b w:val="false"/>
          <w:i w:val="false"/>
          <w:color w:val="000000"/>
          <w:sz w:val="28"/>
        </w:rPr>
        <w:t xml:space="preserve"> - коэффициент, равный 0,8 и 0,5 для поперечных сечений в нос и корму от миделя, соответственно;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отстояние рассматриваемого поперечного сечения от ближайшего (носового или кормового) перпендикуляра, м;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пункт 170 настоящих Правил.</w:t>
      </w:r>
    </w:p>
    <w:bookmarkStart w:name="z1129" w:id="1133"/>
    <w:p>
      <w:pPr>
        <w:spacing w:after="0"/>
        <w:ind w:left="0"/>
        <w:jc w:val="both"/>
      </w:pPr>
      <w:r>
        <w:rPr>
          <w:rFonts w:ascii="Times New Roman"/>
          <w:b w:val="false"/>
          <w:i w:val="false"/>
          <w:color w:val="000000"/>
          <w:sz w:val="28"/>
        </w:rPr>
        <w:t xml:space="preserve">
      В любом случае произведение </w:t>
      </w:r>
      <w:r>
        <w:rPr>
          <w:rFonts w:ascii="Times New Roman"/>
          <w:b w:val="false"/>
          <w:i/>
          <w:color w:val="000000"/>
          <w:sz w:val="28"/>
        </w:rPr>
        <w:t>а</w:t>
      </w:r>
      <w:r>
        <w:rPr>
          <w:rFonts w:ascii="Times New Roman"/>
          <w:b w:val="false"/>
          <w:i w:val="false"/>
          <w:color w:val="000000"/>
          <w:vertAlign w:val="subscript"/>
        </w:rPr>
        <w:t>u</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val="false"/>
          <w:color w:val="000000"/>
          <w:sz w:val="28"/>
        </w:rPr>
        <w:t xml:space="preserve"> принимается не менее 0,6.</w:t>
      </w:r>
    </w:p>
    <w:bookmarkEnd w:id="1133"/>
    <w:bookmarkStart w:name="z1130" w:id="1134"/>
    <w:p>
      <w:pPr>
        <w:spacing w:after="0"/>
        <w:ind w:left="0"/>
        <w:jc w:val="both"/>
      </w:pPr>
      <w:r>
        <w:rPr>
          <w:rFonts w:ascii="Times New Roman"/>
          <w:b w:val="false"/>
          <w:i w:val="false"/>
          <w:color w:val="000000"/>
          <w:sz w:val="28"/>
        </w:rPr>
        <w:t xml:space="preserve">
      Распределение нагрузки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по контуру поперечного сечения судна показано в приложении 19 настоящих Правил.</w:t>
      </w:r>
    </w:p>
    <w:bookmarkEnd w:id="1134"/>
    <w:bookmarkStart w:name="z1131" w:id="1135"/>
    <w:p>
      <w:pPr>
        <w:spacing w:after="0"/>
        <w:ind w:left="0"/>
        <w:jc w:val="left"/>
      </w:pPr>
      <w:r>
        <w:rPr>
          <w:rFonts w:ascii="Times New Roman"/>
          <w:b/>
          <w:i w:val="false"/>
          <w:color w:val="000000"/>
        </w:rPr>
        <w:t xml:space="preserve"> Параграф 3. Ускорение судна при качке</w:t>
      </w:r>
    </w:p>
    <w:bookmarkEnd w:id="1135"/>
    <w:bookmarkStart w:name="z1132" w:id="1136"/>
    <w:p>
      <w:pPr>
        <w:spacing w:after="0"/>
        <w:ind w:left="0"/>
        <w:jc w:val="both"/>
      </w:pPr>
      <w:r>
        <w:rPr>
          <w:rFonts w:ascii="Times New Roman"/>
          <w:b w:val="false"/>
          <w:i w:val="false"/>
          <w:color w:val="000000"/>
          <w:sz w:val="28"/>
        </w:rPr>
        <w:t xml:space="preserve">
      172. Расчетное ускорение </w:t>
      </w:r>
      <w:r>
        <w:rPr>
          <w:rFonts w:ascii="Times New Roman"/>
          <w:b w:val="false"/>
          <w:i/>
          <w:color w:val="000000"/>
          <w:sz w:val="28"/>
        </w:rPr>
        <w:t>а</w:t>
      </w:r>
      <w:r>
        <w:rPr>
          <w:rFonts w:ascii="Times New Roman"/>
          <w:b w:val="false"/>
          <w:i w:val="false"/>
          <w:color w:val="000000"/>
          <w:sz w:val="28"/>
        </w:rPr>
        <w:t>, м/с</w:t>
      </w:r>
      <w:r>
        <w:rPr>
          <w:rFonts w:ascii="Times New Roman"/>
          <w:b w:val="false"/>
          <w:i w:val="false"/>
          <w:color w:val="000000"/>
          <w:vertAlign w:val="superscript"/>
        </w:rPr>
        <w:t>2</w:t>
      </w:r>
      <w:r>
        <w:rPr>
          <w:rFonts w:ascii="Times New Roman"/>
          <w:b w:val="false"/>
          <w:i w:val="false"/>
          <w:color w:val="000000"/>
          <w:sz w:val="28"/>
        </w:rPr>
        <w:t>, при качке судна на волнении определяется по формуле</w:t>
      </w:r>
    </w:p>
    <w:bookmarkEnd w:id="1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909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xml:space="preserve"> - проекция ускорения центра тяжести судна на соответствующее направление;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б</w:t>
      </w:r>
      <w:r>
        <w:rPr>
          <w:rFonts w:ascii="Times New Roman"/>
          <w:b w:val="false"/>
          <w:i w:val="false"/>
          <w:color w:val="000000"/>
          <w:sz w:val="28"/>
        </w:rPr>
        <w:t xml:space="preserve"> - проекции ускорения в рассматриваемой точке от килевой и бортовой качки на соответствующие направления.</w:t>
      </w:r>
    </w:p>
    <w:bookmarkStart w:name="z1133" w:id="1137"/>
    <w:p>
      <w:pPr>
        <w:spacing w:after="0"/>
        <w:ind w:left="0"/>
        <w:jc w:val="both"/>
      </w:pPr>
      <w:r>
        <w:rPr>
          <w:rFonts w:ascii="Times New Roman"/>
          <w:b w:val="false"/>
          <w:i w:val="false"/>
          <w:color w:val="000000"/>
          <w:sz w:val="28"/>
        </w:rPr>
        <w:t xml:space="preserve">
      Проекции ускорения для рассматриваемой точки на вертикальное (индекс </w:t>
      </w:r>
      <w:r>
        <w:rPr>
          <w:rFonts w:ascii="Times New Roman"/>
          <w:b w:val="false"/>
          <w:i/>
          <w:color w:val="000000"/>
          <w:sz w:val="28"/>
        </w:rPr>
        <w:t>z</w:t>
      </w:r>
      <w:r>
        <w:rPr>
          <w:rFonts w:ascii="Times New Roman"/>
          <w:b w:val="false"/>
          <w:i w:val="false"/>
          <w:color w:val="000000"/>
          <w:sz w:val="28"/>
        </w:rPr>
        <w:t xml:space="preserve">), горизонтально-поперечное (индекс </w:t>
      </w:r>
      <w:r>
        <w:rPr>
          <w:rFonts w:ascii="Times New Roman"/>
          <w:b w:val="false"/>
          <w:i/>
          <w:color w:val="000000"/>
          <w:sz w:val="28"/>
        </w:rPr>
        <w:t>у</w:t>
      </w:r>
      <w:r>
        <w:rPr>
          <w:rFonts w:ascii="Times New Roman"/>
          <w:b w:val="false"/>
          <w:i w:val="false"/>
          <w:color w:val="000000"/>
          <w:sz w:val="28"/>
        </w:rPr>
        <w:t xml:space="preserve">) и горизонтально-продольное направления (индекс </w:t>
      </w:r>
      <w:r>
        <w:rPr>
          <w:rFonts w:ascii="Times New Roman"/>
          <w:b w:val="false"/>
          <w:i/>
          <w:color w:val="000000"/>
          <w:sz w:val="28"/>
        </w:rPr>
        <w:t>х</w:t>
      </w:r>
      <w:r>
        <w:rPr>
          <w:rFonts w:ascii="Times New Roman"/>
          <w:b w:val="false"/>
          <w:i w:val="false"/>
          <w:color w:val="000000"/>
          <w:sz w:val="28"/>
        </w:rPr>
        <w:t>) определяются по следующим формулам:</w:t>
      </w:r>
    </w:p>
    <w:bookmarkEnd w:id="1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592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7592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приложение 18 настоящих Правил, (</w:t>
      </w:r>
    </w:p>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для судов неограниченного района плавания);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к</w:t>
      </w:r>
      <w:r>
        <w:rPr>
          <w:rFonts w:ascii="Times New Roman"/>
          <w:b w:val="false"/>
          <w:i w:val="false"/>
          <w:color w:val="000000"/>
          <w:sz w:val="28"/>
        </w:rPr>
        <w:t xml:space="preserve"> и </w:t>
      </w:r>
      <w:r>
        <w:rPr>
          <w:rFonts w:ascii="Times New Roman"/>
          <w:b w:val="false"/>
          <w:i/>
          <w:color w:val="000000"/>
          <w:sz w:val="28"/>
        </w:rPr>
        <w:t>Т</w:t>
      </w:r>
      <w:r>
        <w:rPr>
          <w:rFonts w:ascii="Times New Roman"/>
          <w:b w:val="false"/>
          <w:i w:val="false"/>
          <w:color w:val="000000"/>
          <w:vertAlign w:val="subscript"/>
        </w:rPr>
        <w:t>б</w:t>
      </w:r>
      <w:r>
        <w:rPr>
          <w:rFonts w:ascii="Times New Roman"/>
          <w:b w:val="false"/>
          <w:i w:val="false"/>
          <w:color w:val="000000"/>
          <w:sz w:val="28"/>
        </w:rPr>
        <w:t xml:space="preserve"> - периоды килевой и бортовой качки, с, определяемые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116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9116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sz w:val="28"/>
        </w:rPr>
        <w:t xml:space="preserve"> - числовой коэффициент, определяемый по данным близкого по типу судна. В первом приближении </w:t>
      </w:r>
      <w:r>
        <w:rPr>
          <w:rFonts w:ascii="Times New Roman"/>
          <w:b w:val="false"/>
          <w:i/>
          <w:color w:val="000000"/>
          <w:sz w:val="28"/>
        </w:rPr>
        <w:t>с</w:t>
      </w:r>
      <w:r>
        <w:rPr>
          <w:rFonts w:ascii="Times New Roman"/>
          <w:b w:val="false"/>
          <w:i w:val="false"/>
          <w:color w:val="000000"/>
          <w:sz w:val="28"/>
        </w:rPr>
        <w:t xml:space="preserve"> = 0,8;</w:t>
      </w:r>
    </w:p>
    <w:p>
      <w:pPr>
        <w:spacing w:after="0"/>
        <w:ind w:left="0"/>
        <w:jc w:val="both"/>
      </w:pPr>
      <w:r>
        <w:rPr>
          <w:rFonts w:ascii="Times New Roman"/>
          <w:b w:val="false"/>
          <w:i w:val="false"/>
          <w:color w:val="000000"/>
          <w:sz w:val="28"/>
        </w:rPr>
        <w:t xml:space="preserve">
      h - метацентрическая высота для наиболее неблагоприятных условий эксплуатации; для судна в полном грузу, если нет более точных данных, h </w:t>
      </w:r>
    </w:p>
    <w:p>
      <w:pPr>
        <w:spacing w:after="0"/>
        <w:ind w:left="0"/>
        <w:jc w:val="both"/>
      </w:pPr>
      <w:r>
        <w:drawing>
          <wp:inline distT="0" distB="0" distL="0" distR="0">
            <wp:extent cx="1143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4300" cy="76200"/>
                    </a:xfrm>
                    <a:prstGeom prst="rect">
                      <a:avLst/>
                    </a:prstGeom>
                  </pic:spPr>
                </pic:pic>
              </a:graphicData>
            </a:graphic>
          </wp:inline>
        </w:drawing>
      </w:r>
    </w:p>
    <w:p>
      <w:pPr>
        <w:spacing w:after="0"/>
        <w:ind w:left="0"/>
        <w:jc w:val="left"/>
      </w:pPr>
      <w:r>
        <w:rPr>
          <w:rFonts w:ascii="Times New Roman"/>
          <w:b w:val="false"/>
          <w:i w:val="false"/>
          <w:color w:val="000000"/>
          <w:sz w:val="28"/>
        </w:rPr>
        <w:t>0,07</w:t>
      </w:r>
      <w:r>
        <w:rPr>
          <w:rFonts w:ascii="Times New Roman"/>
          <w:b w:val="false"/>
          <w:i/>
          <w:color w:val="000000"/>
          <w:sz w:val="28"/>
        </w:rPr>
        <w:t>В</w:t>
      </w:r>
      <w:r>
        <w:rPr>
          <w:rFonts w:ascii="Times New Roman"/>
          <w:b w:val="false"/>
          <w:i w:val="false"/>
          <w:color w:val="000000"/>
          <w:sz w:val="28"/>
        </w:rPr>
        <w:t>.</w:t>
      </w:r>
      <w:r>
        <w:br/>
      </w:r>
      <w:r>
        <w:rPr>
          <w:rFonts w:ascii="Times New Roman"/>
          <w:b w:val="false"/>
          <w:i w:val="false"/>
          <w:color w:val="000000"/>
          <w:sz w:val="28"/>
        </w:rPr>
        <w:t>
</w:t>
      </w:r>
    </w:p>
    <w:bookmarkStart w:name="z1134" w:id="1138"/>
    <w:p>
      <w:pPr>
        <w:spacing w:after="0"/>
        <w:ind w:left="0"/>
        <w:jc w:val="both"/>
      </w:pPr>
      <w:r>
        <w:rPr>
          <w:rFonts w:ascii="Times New Roman"/>
          <w:b w:val="false"/>
          <w:i w:val="false"/>
          <w:color w:val="000000"/>
          <w:sz w:val="28"/>
        </w:rPr>
        <w:t xml:space="preserve">
      Для наливного судна в балласте Тб в первом приближении определяют по формуле Тб </w:t>
      </w:r>
    </w:p>
    <w:bookmarkEnd w:id="1138"/>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расчетный угол дифферента, рад,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3263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263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-приложение 28 настоящих Правил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для судов неограниченного района плавания).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 расчетный угол крена, рад, определяемый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0</w:t>
      </w:r>
      <w:r>
        <w:rPr>
          <w:rFonts w:ascii="Times New Roman"/>
          <w:b w:val="false"/>
          <w:i w:val="false"/>
          <w:color w:val="000000"/>
          <w:sz w:val="28"/>
        </w:rPr>
        <w:t xml:space="preserve"> - отстояние рассматриваемой точки от поперечной плоскости, проходящей через центр тяжести судна,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0</w:t>
      </w:r>
      <w:r>
        <w:rPr>
          <w:rFonts w:ascii="Times New Roman"/>
          <w:b w:val="false"/>
          <w:i w:val="false"/>
          <w:color w:val="000000"/>
          <w:sz w:val="28"/>
        </w:rPr>
        <w:t xml:space="preserve"> - отстояние рассматриваемой точки от диаметральной плоскости и от горизонтальной плоскости, проходящей через центр тяжести судна, соответственно, м.</w:t>
      </w:r>
    </w:p>
    <w:bookmarkStart w:name="z1135" w:id="1139"/>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40 м в формулах (13) и (14) настоящих Правил принимается </w:t>
      </w:r>
      <w:r>
        <w:rPr>
          <w:rFonts w:ascii="Times New Roman"/>
          <w:b w:val="false"/>
          <w:i/>
          <w:color w:val="000000"/>
          <w:sz w:val="28"/>
        </w:rPr>
        <w:t>L</w:t>
      </w:r>
      <w:r>
        <w:rPr>
          <w:rFonts w:ascii="Times New Roman"/>
          <w:b w:val="false"/>
          <w:i w:val="false"/>
          <w:color w:val="000000"/>
          <w:sz w:val="28"/>
        </w:rPr>
        <w:t xml:space="preserve"> = 40 м.</w:t>
      </w:r>
    </w:p>
    <w:bookmarkEnd w:id="1139"/>
    <w:bookmarkStart w:name="z1136" w:id="1140"/>
    <w:p>
      <w:pPr>
        <w:spacing w:after="0"/>
        <w:ind w:left="0"/>
        <w:jc w:val="both"/>
      </w:pPr>
      <w:r>
        <w:rPr>
          <w:rFonts w:ascii="Times New Roman"/>
          <w:b w:val="false"/>
          <w:i w:val="false"/>
          <w:color w:val="000000"/>
          <w:sz w:val="28"/>
        </w:rPr>
        <w:t xml:space="preserve">
      173. Суммарное ускорение в вертикальном направлении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 м/с</w:t>
      </w:r>
      <w:r>
        <w:rPr>
          <w:rFonts w:ascii="Times New Roman"/>
          <w:b w:val="false"/>
          <w:i w:val="false"/>
          <w:color w:val="000000"/>
          <w:vertAlign w:val="superscript"/>
        </w:rPr>
        <w:t>2</w:t>
      </w:r>
      <w:r>
        <w:rPr>
          <w:rFonts w:ascii="Times New Roman"/>
          <w:b w:val="false"/>
          <w:i w:val="false"/>
          <w:color w:val="000000"/>
          <w:sz w:val="28"/>
        </w:rPr>
        <w:t>, от всех видов качки определяется по формуле:</w:t>
      </w:r>
    </w:p>
    <w:bookmarkEnd w:id="1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62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 1,6(1 - 2,5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 в носовой части судна,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 0,5(1 - 3,33</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 в кормовой части судна;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 пункт 171 настоящих Правил.</w:t>
      </w:r>
    </w:p>
    <w:bookmarkStart w:name="z1137" w:id="1141"/>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&lt; 80 м в формуле (16) настоящих Правил принимается </w:t>
      </w:r>
      <w:r>
        <w:rPr>
          <w:rFonts w:ascii="Times New Roman"/>
          <w:b w:val="false"/>
          <w:i/>
          <w:color w:val="000000"/>
          <w:sz w:val="28"/>
        </w:rPr>
        <w:t>L</w:t>
      </w:r>
      <w:r>
        <w:rPr>
          <w:rFonts w:ascii="Times New Roman"/>
          <w:b w:val="false"/>
          <w:i w:val="false"/>
          <w:color w:val="000000"/>
          <w:sz w:val="28"/>
        </w:rPr>
        <w:t xml:space="preserve"> = 80 м.</w:t>
      </w:r>
    </w:p>
    <w:bookmarkEnd w:id="1141"/>
    <w:bookmarkStart w:name="z1138" w:id="1142"/>
    <w:p>
      <w:pPr>
        <w:spacing w:after="0"/>
        <w:ind w:left="0"/>
        <w:jc w:val="left"/>
      </w:pPr>
      <w:r>
        <w:rPr>
          <w:rFonts w:ascii="Times New Roman"/>
          <w:b/>
          <w:i w:val="false"/>
          <w:color w:val="000000"/>
        </w:rPr>
        <w:t xml:space="preserve"> Параграф 4. Нагрузки от перевозимого груза, топлива</w:t>
      </w:r>
    </w:p>
    <w:bookmarkEnd w:id="1142"/>
    <w:bookmarkStart w:name="z1139" w:id="1143"/>
    <w:p>
      <w:pPr>
        <w:spacing w:after="0"/>
        <w:ind w:left="0"/>
        <w:jc w:val="both"/>
      </w:pPr>
      <w:r>
        <w:rPr>
          <w:rFonts w:ascii="Times New Roman"/>
          <w:b w:val="false"/>
          <w:i w:val="false"/>
          <w:color w:val="000000"/>
          <w:sz w:val="28"/>
        </w:rPr>
        <w:t xml:space="preserve">
      174. Расчетное давление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кПа, на перекрытия грузовых палуб, платформ, двойного дна от штучного груза определяется с учетом сил инерции по формуле:</w:t>
      </w:r>
    </w:p>
    <w:bookmarkEnd w:id="1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187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 - расчетная высота укладки груза,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 плотность груза,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 xml:space="preserve"> - расчетное ускорение в вертикальном направлении согласно пункту 172 настоящих Правил, но не менее 20 кПа.</w:t>
      </w:r>
    </w:p>
    <w:bookmarkStart w:name="z1140" w:id="1144"/>
    <w:p>
      <w:pPr>
        <w:spacing w:after="0"/>
        <w:ind w:left="0"/>
        <w:jc w:val="both"/>
      </w:pPr>
      <w:r>
        <w:rPr>
          <w:rFonts w:ascii="Times New Roman"/>
          <w:b w:val="false"/>
          <w:i w:val="false"/>
          <w:color w:val="000000"/>
          <w:sz w:val="28"/>
        </w:rPr>
        <w:t>
      175. Расчетное давление на конструкции, ограничивающие отсеки, предназначенные для перевозки жидких грузов и балласта на наливных судах, балластные цистерны сухогрузных судов, а также цистерны для балласта и топлива определяется в зависимости от их размеров, степени заполнения и высоты воздушной трубы. Под отсеком понимается танк или часть танка, заключенная между эффективными переборками. Эффективными переборками считаются как непроницаемые переборки, так и отбойные с общей площадью вырезов не более 10 % площади переборки.</w:t>
      </w:r>
    </w:p>
    <w:bookmarkEnd w:id="1144"/>
    <w:bookmarkStart w:name="z1141" w:id="1145"/>
    <w:p>
      <w:pPr>
        <w:spacing w:after="0"/>
        <w:ind w:left="0"/>
        <w:jc w:val="both"/>
      </w:pPr>
      <w:r>
        <w:rPr>
          <w:rFonts w:ascii="Times New Roman"/>
          <w:b w:val="false"/>
          <w:i w:val="false"/>
          <w:color w:val="000000"/>
          <w:sz w:val="28"/>
        </w:rPr>
        <w:t xml:space="preserve">
      176. Расчетное давление </w:t>
      </w:r>
    </w:p>
    <w:bookmarkEnd w:id="1145"/>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кПа, на конструкции полностью заполненных отсеков определяется по следующим формулам:</w:t>
      </w:r>
      <w:r>
        <w:br/>
      </w:r>
      <w:r>
        <w:rPr>
          <w:rFonts w:ascii="Times New Roman"/>
          <w:b w:val="false"/>
          <w:i w:val="false"/>
          <w:color w:val="000000"/>
          <w:sz w:val="28"/>
        </w:rPr>
        <w:t>
</w:t>
      </w:r>
      <w:r>
        <w:br/>
      </w:r>
    </w:p>
    <w:p>
      <w:pPr>
        <w:spacing w:after="0"/>
        <w:ind w:left="0"/>
        <w:jc w:val="both"/>
      </w:pPr>
      <w:r>
        <w:drawing>
          <wp:inline distT="0" distB="0" distL="0" distR="0">
            <wp:extent cx="6896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8961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 плотность груза, балласта или топлива, т/м</w:t>
      </w:r>
      <w:r>
        <w:rPr>
          <w:rFonts w:ascii="Times New Roman"/>
          <w:b w:val="false"/>
          <w:i w:val="false"/>
          <w:color w:val="000000"/>
          <w:vertAlign w:val="superscript"/>
        </w:rPr>
        <w:t>3</w:t>
      </w:r>
      <w:r>
        <w:rPr>
          <w:rFonts w:ascii="Times New Roman"/>
          <w:b w:val="false"/>
          <w:i w:val="false"/>
          <w:color w:val="000000"/>
          <w:sz w:val="28"/>
        </w:rPr>
        <w:t>, в зависимости от того, что применимо;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 xml:space="preserve"> - расчетное ускорение в вертикальном направлении согласно пункту 172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отстояние рассматриваемой связи от уровня палубы (крыши цистерны), измеренное в диаметральной плоскости, м;</w:t>
      </w:r>
    </w:p>
    <w:p>
      <w:pPr>
        <w:spacing w:after="0"/>
        <w:ind w:left="0"/>
        <w:jc w:val="both"/>
      </w:pPr>
      <w:r>
        <w:rPr>
          <w:rFonts w:ascii="Times New Roman"/>
          <w:b w:val="false"/>
          <w:i w:val="false"/>
          <w:color w:val="000000"/>
          <w:sz w:val="28"/>
        </w:rPr>
        <w:t xml:space="preserve">
      Ө 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формулы (13) и (14)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z - высота воздушной трубы над палубой (крышей цистерны), м, но не менее 1,5 м для балластных цистерн сухогрузных судов и цистерн пресной воды, 2,5 м для танков наливных судов и цистерн топлива и масла; минимальные ограничения значения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z не устанавливаются для малых расширительных и масляных цистерн вместимостью менее 3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 давление, кПа, на которое отрегулирован предохранительный клапан, если он установлен, но не менее 15 кПа для балластных цистерн сухогрузных судов и цистерн пресной воды, 25 кПа для танков наливных судов и цистерн топлива и масла; минимальные ограничения значения рк не устанавливаются для малых расширительных и масляных цистерн вместимостью менее 3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 длина и ширина отсека, измеренные на середине его высоты, м; если величина </w:t>
      </w:r>
      <w:r>
        <w:rPr>
          <w:rFonts w:ascii="Times New Roman"/>
          <w:b w:val="false"/>
          <w:i/>
          <w:color w:val="000000"/>
          <w:sz w:val="28"/>
        </w:rPr>
        <w:t>l</w:t>
      </w:r>
      <w:r>
        <w:rPr>
          <w:rFonts w:ascii="Times New Roman"/>
          <w:b w:val="false"/>
          <w:i w:val="false"/>
          <w:color w:val="000000"/>
          <w:sz w:val="28"/>
        </w:rPr>
        <w:t xml:space="preserve"> и/или </w:t>
      </w:r>
      <w:r>
        <w:rPr>
          <w:rFonts w:ascii="Times New Roman"/>
          <w:b w:val="false"/>
          <w:i/>
          <w:color w:val="000000"/>
          <w:sz w:val="28"/>
        </w:rPr>
        <w:t>b</w:t>
      </w:r>
      <w:r>
        <w:rPr>
          <w:rFonts w:ascii="Times New Roman"/>
          <w:b w:val="false"/>
          <w:i w:val="false"/>
          <w:color w:val="000000"/>
          <w:sz w:val="28"/>
        </w:rPr>
        <w:t xml:space="preserve"> по высоте отсека изменяется скачкообразно, измерение </w:t>
      </w:r>
      <w:r>
        <w:rPr>
          <w:rFonts w:ascii="Times New Roman"/>
          <w:b w:val="false"/>
          <w:i/>
          <w:color w:val="000000"/>
          <w:sz w:val="28"/>
        </w:rPr>
        <w:t>l</w:t>
      </w:r>
      <w:r>
        <w:rPr>
          <w:rFonts w:ascii="Times New Roman"/>
          <w:b w:val="false"/>
          <w:i w:val="false"/>
          <w:color w:val="000000"/>
          <w:sz w:val="28"/>
        </w:rPr>
        <w:t xml:space="preserve"> и/или </w:t>
      </w:r>
      <w:r>
        <w:rPr>
          <w:rFonts w:ascii="Times New Roman"/>
          <w:b w:val="false"/>
          <w:i/>
          <w:color w:val="000000"/>
          <w:sz w:val="28"/>
        </w:rPr>
        <w:t>b</w:t>
      </w:r>
      <w:r>
        <w:rPr>
          <w:rFonts w:ascii="Times New Roman"/>
          <w:b w:val="false"/>
          <w:i w:val="false"/>
          <w:color w:val="000000"/>
          <w:sz w:val="28"/>
        </w:rPr>
        <w:t xml:space="preserve"> выполняется посередине высоты каждой из частей отсека, где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изменяются незначительно;</w:t>
      </w:r>
    </w:p>
    <w:bookmarkStart w:name="z1142" w:id="1146"/>
    <w:p>
      <w:pPr>
        <w:spacing w:after="0"/>
        <w:ind w:left="0"/>
        <w:jc w:val="both"/>
      </w:pPr>
      <w:r>
        <w:rPr>
          <w:rFonts w:ascii="Times New Roman"/>
          <w:b w:val="false"/>
          <w:i w:val="false"/>
          <w:color w:val="000000"/>
          <w:sz w:val="28"/>
        </w:rPr>
        <w:t xml:space="preserve">
      соответственно формулам (19) и (20) настоящих Правил используются для каждого измеренного значения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в зависимости от того, что больше.</w:t>
      </w:r>
    </w:p>
    <w:bookmarkEnd w:id="1146"/>
    <w:bookmarkStart w:name="z1143" w:id="1147"/>
    <w:p>
      <w:pPr>
        <w:spacing w:after="0"/>
        <w:ind w:left="0"/>
        <w:jc w:val="both"/>
      </w:pPr>
      <w:r>
        <w:rPr>
          <w:rFonts w:ascii="Times New Roman"/>
          <w:b w:val="false"/>
          <w:i w:val="false"/>
          <w:color w:val="000000"/>
          <w:sz w:val="28"/>
        </w:rPr>
        <w:t xml:space="preserve">
      177. Если по условиям эксплуатации предусмотрено частичное заполнение отсека при длине отсека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0,13</w:t>
      </w:r>
      <w:r>
        <w:rPr>
          <w:rFonts w:ascii="Times New Roman"/>
          <w:b w:val="false"/>
          <w:i/>
          <w:color w:val="000000"/>
          <w:sz w:val="28"/>
        </w:rPr>
        <w:t>L</w:t>
      </w:r>
      <w:r>
        <w:rPr>
          <w:rFonts w:ascii="Times New Roman"/>
          <w:b w:val="false"/>
          <w:i w:val="false"/>
          <w:color w:val="000000"/>
          <w:sz w:val="28"/>
        </w:rPr>
        <w:t xml:space="preserve">, и ширине отсека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w:t>
      </w:r>
      <w:r>
        <w:rPr>
          <w:rFonts w:ascii="Times New Roman"/>
          <w:b w:val="false"/>
          <w:i/>
          <w:color w:val="000000"/>
          <w:sz w:val="28"/>
        </w:rPr>
        <w:t>В</w:t>
      </w:r>
      <w:r>
        <w:rPr>
          <w:rFonts w:ascii="Times New Roman"/>
          <w:b w:val="false"/>
          <w:i w:val="false"/>
          <w:color w:val="000000"/>
          <w:sz w:val="28"/>
        </w:rPr>
        <w:t>, расчетное давление для указанных ниже конструкций рг, кПа, равна не менее:</w:t>
      </w:r>
    </w:p>
    <w:bookmarkEnd w:id="1147"/>
    <w:bookmarkStart w:name="z1144" w:id="1148"/>
    <w:p>
      <w:pPr>
        <w:spacing w:after="0"/>
        <w:ind w:left="0"/>
        <w:jc w:val="both"/>
      </w:pPr>
      <w:r>
        <w:rPr>
          <w:rFonts w:ascii="Times New Roman"/>
          <w:b w:val="false"/>
          <w:i w:val="false"/>
          <w:color w:val="000000"/>
          <w:sz w:val="28"/>
        </w:rPr>
        <w:t>
      для борта, продольных переборок и примыкающей к ним крыши отсека на участках 0,25</w:t>
      </w:r>
      <w:r>
        <w:rPr>
          <w:rFonts w:ascii="Times New Roman"/>
          <w:b w:val="false"/>
          <w:i/>
          <w:color w:val="000000"/>
          <w:sz w:val="28"/>
        </w:rPr>
        <w:t>b</w:t>
      </w:r>
      <w:r>
        <w:rPr>
          <w:rFonts w:ascii="Times New Roman"/>
          <w:b w:val="false"/>
          <w:i w:val="false"/>
          <w:color w:val="000000"/>
          <w:sz w:val="28"/>
        </w:rPr>
        <w:t xml:space="preserve"> от линии пересечения крыши отсека и борта или продольной переборки:</w:t>
      </w:r>
    </w:p>
    <w:bookmarkEnd w:id="114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(5 - </w:t>
      </w:r>
      <w:r>
        <w:rPr>
          <w:rFonts w:ascii="Times New Roman"/>
          <w:b w:val="false"/>
          <w:i/>
          <w:color w:val="000000"/>
          <w:sz w:val="28"/>
        </w:rPr>
        <w:t>В</w:t>
      </w:r>
      <w:r>
        <w:rPr>
          <w:rFonts w:ascii="Times New Roman"/>
          <w:b w:val="false"/>
          <w:i w:val="false"/>
          <w:color w:val="000000"/>
          <w:sz w:val="28"/>
        </w:rPr>
        <w:t>/100)</w:t>
      </w:r>
      <w:r>
        <w:rPr>
          <w:rFonts w:ascii="Times New Roman"/>
          <w:b w:val="false"/>
          <w:i/>
          <w:color w:val="000000"/>
          <w:sz w:val="28"/>
        </w:rPr>
        <w:t>b</w:t>
      </w:r>
      <w:r>
        <w:rPr>
          <w:rFonts w:ascii="Times New Roman"/>
          <w:b w:val="false"/>
          <w:i w:val="false"/>
          <w:color w:val="000000"/>
          <w:sz w:val="28"/>
        </w:rPr>
        <w:t>;           (23)</w:t>
      </w:r>
      <w:r>
        <w:br/>
      </w:r>
      <w:r>
        <w:rPr>
          <w:rFonts w:ascii="Times New Roman"/>
          <w:b w:val="false"/>
          <w:i w:val="false"/>
          <w:color w:val="000000"/>
          <w:sz w:val="28"/>
        </w:rPr>
        <w:t>
</w:t>
      </w:r>
    </w:p>
    <w:bookmarkStart w:name="z1145" w:id="1149"/>
    <w:p>
      <w:pPr>
        <w:spacing w:after="0"/>
        <w:ind w:left="0"/>
        <w:jc w:val="both"/>
      </w:pPr>
      <w:r>
        <w:rPr>
          <w:rFonts w:ascii="Times New Roman"/>
          <w:b w:val="false"/>
          <w:i w:val="false"/>
          <w:color w:val="000000"/>
          <w:sz w:val="28"/>
        </w:rPr>
        <w:t>
      для поперечных переборок и примыкающей к ним крыши отсека на участках 0,25</w:t>
      </w:r>
      <w:r>
        <w:rPr>
          <w:rFonts w:ascii="Times New Roman"/>
          <w:b w:val="false"/>
          <w:i/>
          <w:color w:val="000000"/>
          <w:sz w:val="28"/>
        </w:rPr>
        <w:t>l</w:t>
      </w:r>
      <w:r>
        <w:rPr>
          <w:rFonts w:ascii="Times New Roman"/>
          <w:b w:val="false"/>
          <w:i w:val="false"/>
          <w:color w:val="000000"/>
          <w:sz w:val="28"/>
        </w:rPr>
        <w:t xml:space="preserve"> от линии пересечения крыши отсека и поперечной переборки:</w:t>
      </w:r>
    </w:p>
    <w:bookmarkEnd w:id="114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(4 - </w:t>
      </w:r>
      <w:r>
        <w:rPr>
          <w:rFonts w:ascii="Times New Roman"/>
          <w:b w:val="false"/>
          <w:i/>
          <w:color w:val="000000"/>
          <w:sz w:val="28"/>
        </w:rPr>
        <w:t>L</w:t>
      </w:r>
      <w:r>
        <w:rPr>
          <w:rFonts w:ascii="Times New Roman"/>
          <w:b w:val="false"/>
          <w:i w:val="false"/>
          <w:color w:val="000000"/>
          <w:sz w:val="28"/>
        </w:rPr>
        <w:t>/100)</w:t>
      </w:r>
      <w:r>
        <w:rPr>
          <w:rFonts w:ascii="Times New Roman"/>
          <w:b w:val="false"/>
          <w:i/>
          <w:color w:val="000000"/>
          <w:sz w:val="28"/>
        </w:rPr>
        <w:t>l</w:t>
      </w:r>
      <w:r>
        <w:rPr>
          <w:rFonts w:ascii="Times New Roman"/>
          <w:b w:val="false"/>
          <w:i w:val="false"/>
          <w:color w:val="000000"/>
          <w:sz w:val="28"/>
        </w:rPr>
        <w:t>;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измеряются на уровне свободной поверхности жидкости.</w:t>
      </w:r>
    </w:p>
    <w:bookmarkStart w:name="z1146" w:id="1150"/>
    <w:p>
      <w:pPr>
        <w:spacing w:after="0"/>
        <w:ind w:left="0"/>
        <w:jc w:val="both"/>
      </w:pPr>
      <w:r>
        <w:rPr>
          <w:rFonts w:ascii="Times New Roman"/>
          <w:b w:val="false"/>
          <w:i w:val="false"/>
          <w:color w:val="000000"/>
          <w:sz w:val="28"/>
        </w:rPr>
        <w:t>
      Для отсеков, имеющих l &gt; 0,13</w:t>
      </w:r>
      <w:r>
        <w:rPr>
          <w:rFonts w:ascii="Times New Roman"/>
          <w:b w:val="false"/>
          <w:i/>
          <w:color w:val="000000"/>
          <w:sz w:val="28"/>
        </w:rPr>
        <w:t>L</w:t>
      </w:r>
      <w:r>
        <w:rPr>
          <w:rFonts w:ascii="Times New Roman"/>
          <w:b w:val="false"/>
          <w:i w:val="false"/>
          <w:color w:val="000000"/>
          <w:sz w:val="28"/>
        </w:rPr>
        <w:t xml:space="preserve">, и/или </w:t>
      </w:r>
      <w:r>
        <w:rPr>
          <w:rFonts w:ascii="Times New Roman"/>
          <w:b w:val="false"/>
          <w:i/>
          <w:color w:val="000000"/>
          <w:sz w:val="28"/>
        </w:rPr>
        <w:t>b</w:t>
      </w:r>
      <w:r>
        <w:rPr>
          <w:rFonts w:ascii="Times New Roman"/>
          <w:b w:val="false"/>
          <w:i w:val="false"/>
          <w:color w:val="000000"/>
          <w:sz w:val="28"/>
        </w:rPr>
        <w:t xml:space="preserve"> &gt; 0,6</w:t>
      </w:r>
      <w:r>
        <w:rPr>
          <w:rFonts w:ascii="Times New Roman"/>
          <w:b w:val="false"/>
          <w:i/>
          <w:color w:val="000000"/>
          <w:sz w:val="28"/>
        </w:rPr>
        <w:t>В</w:t>
      </w:r>
      <w:r>
        <w:rPr>
          <w:rFonts w:ascii="Times New Roman"/>
          <w:b w:val="false"/>
          <w:i w:val="false"/>
          <w:color w:val="000000"/>
          <w:sz w:val="28"/>
        </w:rPr>
        <w:t>, расчетное давление при частичном заполнении определяется по специальной методике, одобренной Регистром судоходства.</w:t>
      </w:r>
    </w:p>
    <w:bookmarkEnd w:id="1150"/>
    <w:bookmarkStart w:name="z1147" w:id="1151"/>
    <w:p>
      <w:pPr>
        <w:spacing w:after="0"/>
        <w:ind w:left="0"/>
        <w:jc w:val="both"/>
      </w:pPr>
      <w:r>
        <w:rPr>
          <w:rFonts w:ascii="Times New Roman"/>
          <w:b w:val="false"/>
          <w:i w:val="false"/>
          <w:color w:val="000000"/>
          <w:sz w:val="28"/>
        </w:rPr>
        <w:t>
      178. Расчетное давление рг, кПа, на конструкции, ограничивающие трюм для навалочного груза, определяется по формуле:</w:t>
      </w:r>
    </w:p>
    <w:bookmarkEnd w:id="115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gk</w:t>
      </w:r>
      <w:r>
        <w:rPr>
          <w:rFonts w:ascii="Times New Roman"/>
          <w:b w:val="false"/>
          <w:i w:val="false"/>
          <w:color w:val="000000"/>
          <w:vertAlign w:val="subscript"/>
        </w:rPr>
        <w:t>г</w:t>
      </w:r>
      <w:r>
        <w:rPr>
          <w:rFonts w:ascii="Times New Roman"/>
          <w:b w:val="false"/>
          <w:i w:val="false"/>
          <w:color w:val="000000"/>
          <w:sz w:val="28"/>
        </w:rPr>
        <w:t xml:space="preserve">(1 + </w:t>
      </w:r>
      <w:r>
        <w:rPr>
          <w:rFonts w:ascii="Times New Roman"/>
          <w:b w:val="false"/>
          <w:i/>
          <w:color w:val="000000"/>
          <w:sz w:val="28"/>
        </w:rPr>
        <w:t>а</w:t>
      </w:r>
      <w:r>
        <w:rPr>
          <w:rFonts w:ascii="Times New Roman"/>
          <w:b w:val="false"/>
          <w:i w:val="false"/>
          <w:color w:val="000000"/>
          <w:vertAlign w:val="subscript"/>
        </w:rPr>
        <w:t>z</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 -пункт 174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г</w:t>
      </w:r>
      <w:r>
        <w:rPr>
          <w:rFonts w:ascii="Times New Roman"/>
          <w:b w:val="false"/>
          <w:i w:val="false"/>
          <w:color w:val="000000"/>
          <w:sz w:val="28"/>
        </w:rPr>
        <w:t xml:space="preserve"> = sin</w:t>
      </w:r>
      <w:r>
        <w:rPr>
          <w:rFonts w:ascii="Times New Roman"/>
          <w:b w:val="false"/>
          <w:i w:val="false"/>
          <w:color w:val="000000"/>
          <w:vertAlign w:val="superscript"/>
        </w:rPr>
        <w:t>2</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tg</w:t>
      </w:r>
      <w:r>
        <w:rPr>
          <w:rFonts w:ascii="Times New Roman"/>
          <w:b w:val="false"/>
          <w:i w:val="false"/>
          <w:color w:val="000000"/>
          <w:vertAlign w:val="superscript"/>
        </w:rPr>
        <w:t>2</w:t>
      </w:r>
      <w:r>
        <w:rPr>
          <w:rFonts w:ascii="Times New Roman"/>
          <w:b w:val="false"/>
          <w:i w:val="false"/>
          <w:color w:val="000000"/>
          <w:sz w:val="28"/>
        </w:rPr>
        <w:t>(45</w:t>
      </w:r>
      <w:r>
        <w:rPr>
          <w:rFonts w:ascii="Times New Roman"/>
          <w:b w:val="false"/>
          <w:i w:val="false"/>
          <w:color w:val="000000"/>
          <w:vertAlign w:val="superscript"/>
        </w:rPr>
        <w:t>0</w:t>
      </w:r>
      <w:r>
        <w:rPr>
          <w:rFonts w:ascii="Times New Roman"/>
          <w:b w:val="false"/>
          <w:i w:val="false"/>
          <w:color w:val="000000"/>
          <w:sz w:val="28"/>
        </w:rPr>
        <w:t xml:space="preserve"> -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vertAlign w:val="subscript"/>
        </w:rPr>
        <w:t>.</w:t>
      </w:r>
      <w:r>
        <w:rPr>
          <w:rFonts w:ascii="Times New Roman"/>
          <w:b w:val="false"/>
          <w:i w:val="false"/>
          <w:color w:val="000000"/>
          <w:vertAlign w:val="subscript"/>
        </w:rPr>
        <w:t>т</w:t>
      </w:r>
      <w:r>
        <w:rPr>
          <w:rFonts w:ascii="Times New Roman"/>
          <w:b w:val="false"/>
          <w:i w:val="false"/>
          <w:color w:val="000000"/>
          <w:vertAlign w:val="subscript"/>
        </w:rPr>
        <w:t>.</w:t>
      </w:r>
      <w:r>
        <w:rPr>
          <w:rFonts w:ascii="Times New Roman"/>
          <w:b w:val="false"/>
          <w:i w:val="false"/>
          <w:color w:val="000000"/>
          <w:sz w:val="28"/>
        </w:rPr>
        <w:t>/2)+cos</w:t>
      </w:r>
      <w:r>
        <w:rPr>
          <w:rFonts w:ascii="Times New Roman"/>
          <w:b w:val="false"/>
          <w:i w:val="false"/>
          <w:color w:val="000000"/>
          <w:vertAlign w:val="superscript"/>
        </w:rPr>
        <w:t>2</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г</w:t>
      </w:r>
      <w:r>
        <w:rPr>
          <w:rFonts w:ascii="Times New Roman"/>
          <w:b w:val="false"/>
          <w:i w:val="false"/>
          <w:color w:val="000000"/>
          <w:sz w:val="28"/>
        </w:rPr>
        <w:t xml:space="preserve"> = cos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148" w:id="1152"/>
    <w:p>
      <w:pPr>
        <w:spacing w:after="0"/>
        <w:ind w:left="0"/>
        <w:jc w:val="both"/>
      </w:pPr>
      <w:r>
        <w:rPr>
          <w:rFonts w:ascii="Times New Roman"/>
          <w:b w:val="false"/>
          <w:i w:val="false"/>
          <w:color w:val="000000"/>
          <w:sz w:val="28"/>
        </w:rPr>
        <w:t>
      в зависимости от того, что больше;</w:t>
      </w:r>
    </w:p>
    <w:bookmarkEnd w:id="1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наклона стенки к основной плоскости, градусов;</w:t>
      </w:r>
      <w:r>
        <w:br/>
      </w: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в.т.</w:t>
      </w:r>
      <w:r>
        <w:rPr>
          <w:rFonts w:ascii="Times New Roman"/>
          <w:b w:val="false"/>
          <w:i w:val="false"/>
          <w:color w:val="000000"/>
          <w:sz w:val="28"/>
        </w:rPr>
        <w:t xml:space="preserve"> - угол внутреннего трения навалочного груза, градусов;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 xml:space="preserve">z </w:t>
      </w:r>
      <w:r>
        <w:rPr>
          <w:rFonts w:ascii="Times New Roman"/>
          <w:b w:val="false"/>
          <w:i w:val="false"/>
          <w:color w:val="000000"/>
          <w:sz w:val="28"/>
        </w:rPr>
        <w:t>- расчетное ускорение в вертикальном направлении согласно пункту 172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zi</w:t>
      </w:r>
      <w:r>
        <w:rPr>
          <w:rFonts w:ascii="Times New Roman"/>
          <w:b w:val="false"/>
          <w:i w:val="false"/>
          <w:color w:val="000000"/>
          <w:sz w:val="28"/>
        </w:rPr>
        <w:t xml:space="preserve"> - отстояние по вертикали точки приложения нагрузки от уровня свободной поверхности груза, м,</w:t>
      </w:r>
    </w:p>
    <w:p>
      <w:pPr>
        <w:spacing w:after="0"/>
        <w:ind w:left="0"/>
        <w:jc w:val="both"/>
      </w:pPr>
      <w:r>
        <w:rPr>
          <w:rFonts w:ascii="Times New Roman"/>
          <w:b w:val="false"/>
          <w:i w:val="false"/>
          <w:color w:val="000000"/>
          <w:sz w:val="28"/>
        </w:rPr>
        <w:t>
      но не менее 20 кПа,</w:t>
      </w:r>
    </w:p>
    <w:bookmarkStart w:name="z1149" w:id="1153"/>
    <w:p>
      <w:pPr>
        <w:spacing w:after="0"/>
        <w:ind w:left="0"/>
        <w:jc w:val="both"/>
      </w:pPr>
      <w:r>
        <w:rPr>
          <w:rFonts w:ascii="Times New Roman"/>
          <w:b w:val="false"/>
          <w:i w:val="false"/>
          <w:color w:val="000000"/>
          <w:sz w:val="28"/>
        </w:rPr>
        <w:t xml:space="preserve">
      Давление на второе дно определяется по формуле (25) настоящих Правил при </w:t>
      </w:r>
      <w:r>
        <w:rPr>
          <w:rFonts w:ascii="Times New Roman"/>
          <w:b w:val="false"/>
          <w:i/>
          <w:color w:val="000000"/>
          <w:sz w:val="28"/>
        </w:rPr>
        <w:t>k</w:t>
      </w:r>
      <w:r>
        <w:rPr>
          <w:rFonts w:ascii="Times New Roman"/>
          <w:b w:val="false"/>
          <w:i w:val="false"/>
          <w:color w:val="000000"/>
          <w:vertAlign w:val="subscript"/>
        </w:rPr>
        <w:t>г</w:t>
      </w:r>
      <w:r>
        <w:rPr>
          <w:rFonts w:ascii="Times New Roman"/>
          <w:b w:val="false"/>
          <w:i w:val="false"/>
          <w:color w:val="000000"/>
          <w:sz w:val="28"/>
        </w:rPr>
        <w:t xml:space="preserve"> = 1.</w:t>
      </w:r>
    </w:p>
    <w:bookmarkEnd w:id="1153"/>
    <w:bookmarkStart w:name="z1150" w:id="1154"/>
    <w:p>
      <w:pPr>
        <w:spacing w:after="0"/>
        <w:ind w:left="0"/>
        <w:jc w:val="both"/>
      </w:pPr>
      <w:r>
        <w:rPr>
          <w:rFonts w:ascii="Times New Roman"/>
          <w:b w:val="false"/>
          <w:i w:val="false"/>
          <w:color w:val="000000"/>
          <w:sz w:val="28"/>
        </w:rPr>
        <w:t>
      179. Расчетное давление от штучного груза, действующее на конструкции в горизонтальной плоскости, определяется с учетом сил инерции. В формуле (10) настоящих Правил ускорение в горизонтально - поперечном направлении определяется по формуле:</w:t>
      </w:r>
    </w:p>
    <w:bookmarkEnd w:id="1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896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1" w:id="1155"/>
    <w:p>
      <w:pPr>
        <w:spacing w:after="0"/>
        <w:ind w:left="0"/>
        <w:jc w:val="both"/>
      </w:pPr>
      <w:r>
        <w:rPr>
          <w:rFonts w:ascii="Times New Roman"/>
          <w:b w:val="false"/>
          <w:i w:val="false"/>
          <w:color w:val="000000"/>
          <w:sz w:val="28"/>
        </w:rPr>
        <w:t>
      а в горизонтально-продольном - по формуле:</w:t>
      </w:r>
    </w:p>
    <w:bookmarkEnd w:id="1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9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896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Ө,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в соответствии с формулами (13) и (14) настоящих Правил.</w:t>
      </w:r>
      <w:r>
        <w:br/>
      </w:r>
      <w:r>
        <w:rPr>
          <w:rFonts w:ascii="Times New Roman"/>
          <w:b w:val="false"/>
          <w:i w:val="false"/>
          <w:color w:val="000000"/>
          <w:sz w:val="28"/>
        </w:rPr>
        <w:t>
</w:t>
      </w:r>
    </w:p>
    <w:bookmarkStart w:name="z1152" w:id="1156"/>
    <w:p>
      <w:pPr>
        <w:spacing w:after="0"/>
        <w:ind w:left="0"/>
        <w:jc w:val="left"/>
      </w:pPr>
      <w:r>
        <w:rPr>
          <w:rFonts w:ascii="Times New Roman"/>
          <w:b/>
          <w:i w:val="false"/>
          <w:color w:val="000000"/>
        </w:rPr>
        <w:t xml:space="preserve"> Глава 11. Продольная прочность</w:t>
      </w:r>
    </w:p>
    <w:bookmarkEnd w:id="1156"/>
    <w:p>
      <w:pPr>
        <w:spacing w:after="0"/>
        <w:ind w:left="0"/>
        <w:jc w:val="both"/>
      </w:pPr>
      <w:r>
        <w:rPr>
          <w:rFonts w:ascii="Times New Roman"/>
          <w:b w:val="false"/>
          <w:i w:val="false"/>
          <w:color w:val="ff0000"/>
          <w:sz w:val="28"/>
        </w:rPr>
        <w:t xml:space="preserve">
      Сноска. Заголовок главы 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53" w:id="1157"/>
    <w:p>
      <w:pPr>
        <w:spacing w:after="0"/>
        <w:ind w:left="0"/>
        <w:jc w:val="left"/>
      </w:pPr>
      <w:r>
        <w:rPr>
          <w:rFonts w:ascii="Times New Roman"/>
          <w:b/>
          <w:i w:val="false"/>
          <w:color w:val="000000"/>
        </w:rPr>
        <w:t xml:space="preserve"> Параграф 1. Основные положения, определения и обозначения</w:t>
      </w:r>
    </w:p>
    <w:bookmarkEnd w:id="1157"/>
    <w:bookmarkStart w:name="z1154" w:id="1158"/>
    <w:p>
      <w:pPr>
        <w:spacing w:after="0"/>
        <w:ind w:left="0"/>
        <w:jc w:val="both"/>
      </w:pPr>
      <w:r>
        <w:rPr>
          <w:rFonts w:ascii="Times New Roman"/>
          <w:b w:val="false"/>
          <w:i w:val="false"/>
          <w:color w:val="000000"/>
          <w:sz w:val="28"/>
        </w:rPr>
        <w:t>
      180. Требования настоящей главы распространяются на суда неограниченного района плавания и ограниченных районов плавания R1 и R2 длиной 65 м и более и ограниченных районов плавания R2-RSN, R3-RSN и R3 длиной 60 м и более, имеющие соотношения главных размерений, указанные в пункте 126 настоящих Правил.</w:t>
      </w:r>
    </w:p>
    <w:bookmarkEnd w:id="1158"/>
    <w:bookmarkStart w:name="z1155" w:id="1159"/>
    <w:p>
      <w:pPr>
        <w:spacing w:after="0"/>
        <w:ind w:left="0"/>
        <w:jc w:val="both"/>
      </w:pPr>
      <w:r>
        <w:rPr>
          <w:rFonts w:ascii="Times New Roman"/>
          <w:b w:val="false"/>
          <w:i w:val="false"/>
          <w:color w:val="000000"/>
          <w:sz w:val="28"/>
        </w:rPr>
        <w:t>
      Необходимо чтобы суда с широким раскрытием палубы и суда технического флота дополнительно соответствовали требованиям глав 29 и 34 настоящих Правил.</w:t>
      </w:r>
    </w:p>
    <w:bookmarkEnd w:id="1159"/>
    <w:bookmarkStart w:name="z1156" w:id="1160"/>
    <w:p>
      <w:pPr>
        <w:spacing w:after="0"/>
        <w:ind w:left="0"/>
        <w:jc w:val="both"/>
      </w:pPr>
      <w:r>
        <w:rPr>
          <w:rFonts w:ascii="Times New Roman"/>
          <w:b w:val="false"/>
          <w:i w:val="false"/>
          <w:color w:val="000000"/>
          <w:sz w:val="28"/>
        </w:rPr>
        <w:t>
      181. Специальному рассмотрению Регистра судоходства подлежат суда, имеющие:</w:t>
      </w:r>
    </w:p>
    <w:bookmarkEnd w:id="1160"/>
    <w:bookmarkStart w:name="z1157" w:id="1161"/>
    <w:p>
      <w:pPr>
        <w:spacing w:after="0"/>
        <w:ind w:left="0"/>
        <w:jc w:val="both"/>
      </w:pPr>
      <w:r>
        <w:rPr>
          <w:rFonts w:ascii="Times New Roman"/>
          <w:b w:val="false"/>
          <w:i w:val="false"/>
          <w:color w:val="000000"/>
          <w:sz w:val="28"/>
        </w:rPr>
        <w:t>
      1) соотношение главных размерений</w:t>
      </w:r>
    </w:p>
    <w:bookmarkEnd w:id="1161"/>
    <w:p>
      <w:pPr>
        <w:spacing w:after="0"/>
        <w:ind w:left="0"/>
        <w:jc w:val="both"/>
      </w:pPr>
      <w:r>
        <w:rPr>
          <w:rFonts w:ascii="Times New Roman"/>
          <w:b w:val="false"/>
          <w:i w:val="false"/>
          <w:color w:val="000000"/>
          <w:sz w:val="28"/>
        </w:rPr>
        <w:t xml:space="preserve">
      L/B </w:t>
      </w:r>
      <w:r>
        <w:rPr>
          <w:rFonts w:ascii="Times New Roman"/>
          <w:b w:val="false"/>
          <w:i w:val="false"/>
          <w:color w:val="000000"/>
          <w:sz w:val="28"/>
          <w:u w:val="single"/>
        </w:rPr>
        <w:t>&lt;</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B/D </w:t>
      </w:r>
      <w:r>
        <w:rPr>
          <w:rFonts w:ascii="Times New Roman"/>
          <w:b w:val="false"/>
          <w:i w:val="false"/>
          <w:color w:val="000000"/>
          <w:sz w:val="28"/>
          <w:u w:val="single"/>
        </w:rPr>
        <w:t>&gt;</w:t>
      </w:r>
      <w:r>
        <w:rPr>
          <w:rFonts w:ascii="Times New Roman"/>
          <w:b w:val="false"/>
          <w:i w:val="false"/>
          <w:color w:val="000000"/>
          <w:sz w:val="28"/>
        </w:rPr>
        <w:t xml:space="preserve"> 2,5 (для судов ограниченных районов плавания R2, R2-RSN, R3-RSN и R3 отношение B/D определяется в соответствии с приложением 6 настоящих Правил);</w:t>
      </w:r>
    </w:p>
    <w:bookmarkStart w:name="z1158" w:id="1162"/>
    <w:p>
      <w:pPr>
        <w:spacing w:after="0"/>
        <w:ind w:left="0"/>
        <w:jc w:val="both"/>
      </w:pPr>
      <w:r>
        <w:rPr>
          <w:rFonts w:ascii="Times New Roman"/>
          <w:b w:val="false"/>
          <w:i w:val="false"/>
          <w:color w:val="000000"/>
          <w:sz w:val="28"/>
        </w:rPr>
        <w:t xml:space="preserve">
      2) коэффициент общей полноты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&lt; 0,6;</w:t>
      </w:r>
    </w:p>
    <w:bookmarkEnd w:id="1162"/>
    <w:bookmarkStart w:name="z1159" w:id="1163"/>
    <w:p>
      <w:pPr>
        <w:spacing w:after="0"/>
        <w:ind w:left="0"/>
        <w:jc w:val="both"/>
      </w:pPr>
      <w:r>
        <w:rPr>
          <w:rFonts w:ascii="Times New Roman"/>
          <w:b w:val="false"/>
          <w:i w:val="false"/>
          <w:color w:val="000000"/>
          <w:sz w:val="28"/>
        </w:rPr>
        <w:t xml:space="preserve">
      3) спецификационную скорость </w:t>
      </w:r>
    </w:p>
    <w:bookmarkEnd w:id="1163"/>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превышающую скорость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уз., которая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689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896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2,2 при L </w:t>
      </w:r>
      <w:r>
        <w:rPr>
          <w:rFonts w:ascii="Times New Roman"/>
          <w:b w:val="false"/>
          <w:i w:val="false"/>
          <w:color w:val="000000"/>
          <w:sz w:val="28"/>
          <w:u w:val="single"/>
        </w:rPr>
        <w:t>&lt;</w:t>
      </w:r>
      <w:r>
        <w:rPr>
          <w:rFonts w:ascii="Times New Roman"/>
          <w:b w:val="false"/>
          <w:i w:val="false"/>
          <w:color w:val="000000"/>
          <w:sz w:val="28"/>
        </w:rPr>
        <w:t xml:space="preserve"> 100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2,2 - 0,25(L - 100)/100 при L &gt; 100</w:t>
      </w:r>
    </w:p>
    <w:bookmarkStart w:name="z1160" w:id="1164"/>
    <w:p>
      <w:pPr>
        <w:spacing w:after="0"/>
        <w:ind w:left="0"/>
        <w:jc w:val="both"/>
      </w:pPr>
      <w:r>
        <w:rPr>
          <w:rFonts w:ascii="Times New Roman"/>
          <w:b w:val="false"/>
          <w:i w:val="false"/>
          <w:color w:val="000000"/>
          <w:sz w:val="28"/>
        </w:rPr>
        <w:t>
      Специальному рассмотрению подлежат суда, перевозящие грузы при высокой температуре, и суда необычной конструкции и/или назначения.</w:t>
      </w:r>
    </w:p>
    <w:bookmarkEnd w:id="1164"/>
    <w:bookmarkStart w:name="z1161" w:id="1165"/>
    <w:p>
      <w:pPr>
        <w:spacing w:after="0"/>
        <w:ind w:left="0"/>
        <w:jc w:val="both"/>
      </w:pPr>
      <w:r>
        <w:rPr>
          <w:rFonts w:ascii="Times New Roman"/>
          <w:b w:val="false"/>
          <w:i w:val="false"/>
          <w:color w:val="000000"/>
          <w:sz w:val="28"/>
        </w:rPr>
        <w:t>
      182. Расчетные нагрузки, определяющие продольную прочность судна, включают изгибающие моменты и перерезывающие силы на тихой воде, волновые изгибающие моменты и перерезывающие силы и, кроме того, для судов с большим развалом бортов - изгибающие моменты, обусловленные ударом волн в развал бортов.</w:t>
      </w:r>
    </w:p>
    <w:bookmarkEnd w:id="1165"/>
    <w:bookmarkStart w:name="z1162" w:id="1166"/>
    <w:p>
      <w:pPr>
        <w:spacing w:after="0"/>
        <w:ind w:left="0"/>
        <w:jc w:val="both"/>
      </w:pPr>
      <w:r>
        <w:rPr>
          <w:rFonts w:ascii="Times New Roman"/>
          <w:b w:val="false"/>
          <w:i w:val="false"/>
          <w:color w:val="000000"/>
          <w:sz w:val="28"/>
        </w:rPr>
        <w:t>
      Расчетные волновые и ударные нагрузки могут определяться как по формулам, приведенным в Правилах, так и по одобренной методике с учетом качки на волнении, долговременного распределения волновых режимов и района плавания.</w:t>
      </w:r>
    </w:p>
    <w:bookmarkEnd w:id="1166"/>
    <w:bookmarkStart w:name="z1163" w:id="1167"/>
    <w:p>
      <w:pPr>
        <w:spacing w:after="0"/>
        <w:ind w:left="0"/>
        <w:jc w:val="both"/>
      </w:pPr>
      <w:r>
        <w:rPr>
          <w:rFonts w:ascii="Times New Roman"/>
          <w:b w:val="false"/>
          <w:i w:val="false"/>
          <w:color w:val="000000"/>
          <w:sz w:val="28"/>
        </w:rPr>
        <w:t>
      183. Перерезывающие силы, направленные вниз, считаются положительными, а вверх - отрицательными. Изгибающие моменты, вызывающие перегиб корпуса, считаются положительными, а вызывающие прогиб корпуса, - отрицательными.</w:t>
      </w:r>
    </w:p>
    <w:bookmarkEnd w:id="1167"/>
    <w:bookmarkStart w:name="z1164" w:id="1168"/>
    <w:p>
      <w:pPr>
        <w:spacing w:after="0"/>
        <w:ind w:left="0"/>
        <w:jc w:val="both"/>
      </w:pPr>
      <w:r>
        <w:rPr>
          <w:rFonts w:ascii="Times New Roman"/>
          <w:b w:val="false"/>
          <w:i w:val="false"/>
          <w:color w:val="000000"/>
          <w:sz w:val="28"/>
        </w:rPr>
        <w:t>
      Интегрирование поперечных нагрузок для определения перерезывающих сил и изгибающих моментов на тихой воде производится от кормового конца длины судна в направлении носа, при этом поперечные нагрузки, направленные вниз, считаются положительными.</w:t>
      </w:r>
    </w:p>
    <w:bookmarkEnd w:id="1168"/>
    <w:bookmarkStart w:name="z1165" w:id="1169"/>
    <w:p>
      <w:pPr>
        <w:spacing w:after="0"/>
        <w:ind w:left="0"/>
        <w:jc w:val="both"/>
      </w:pPr>
      <w:r>
        <w:rPr>
          <w:rFonts w:ascii="Times New Roman"/>
          <w:b w:val="false"/>
          <w:i w:val="false"/>
          <w:color w:val="000000"/>
          <w:sz w:val="28"/>
        </w:rPr>
        <w:t>
      Правило знаков для перерезывающих сил и изгибающих моментов показано в приложении 20 настоящих Правил.</w:t>
      </w:r>
    </w:p>
    <w:bookmarkEnd w:id="1169"/>
    <w:bookmarkStart w:name="z1166" w:id="1170"/>
    <w:p>
      <w:pPr>
        <w:spacing w:after="0"/>
        <w:ind w:left="0"/>
        <w:jc w:val="both"/>
      </w:pPr>
      <w:r>
        <w:rPr>
          <w:rFonts w:ascii="Times New Roman"/>
          <w:b w:val="false"/>
          <w:i w:val="false"/>
          <w:color w:val="000000"/>
          <w:sz w:val="28"/>
        </w:rPr>
        <w:t>
      184. В настоящей главе приняты следующие обозначения:</w:t>
      </w:r>
    </w:p>
    <w:bookmarkEnd w:id="1170"/>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длина рассматриваемого отсека, м;</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xml:space="preserve"> - ширина рассматриваемого отсека, м;</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F</w:t>
      </w:r>
      <w:r>
        <w:rPr>
          <w:rFonts w:ascii="Times New Roman"/>
          <w:b w:val="false"/>
          <w:i w:val="false"/>
          <w:color w:val="000000"/>
          <w:sz w:val="28"/>
        </w:rPr>
        <w:t xml:space="preserve"> - разность между площадями горизонтальной проекции верхней палубы (включая палубу бака) и летней грузовой ватерлинии на участке до 0,2</w:t>
      </w:r>
      <w:r>
        <w:rPr>
          <w:rFonts w:ascii="Times New Roman"/>
          <w:b w:val="false"/>
          <w:i/>
          <w:color w:val="000000"/>
          <w:sz w:val="28"/>
        </w:rPr>
        <w:t>L</w:t>
      </w:r>
      <w:r>
        <w:rPr>
          <w:rFonts w:ascii="Times New Roman"/>
          <w:b w:val="false"/>
          <w:i w:val="false"/>
          <w:color w:val="000000"/>
          <w:sz w:val="28"/>
        </w:rPr>
        <w:t>, в корму от носового перпендикуляра,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F</w:t>
      </w:r>
      <w:r>
        <w:rPr>
          <w:rFonts w:ascii="Times New Roman"/>
          <w:b w:val="false"/>
          <w:i w:val="false"/>
          <w:color w:val="000000"/>
          <w:sz w:val="28"/>
        </w:rPr>
        <w:t xml:space="preserve"> - расстояние по вертикали между летней грузовой ватерлинией и верхней палубой (с учетом палубы бака), измеренное на носовом перпендикуляре,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фактический момент инерции рассматриваемого поперечного сечения корпуса относительно горизонтальной оси,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фактический статический момент части рассматриваемого поперечного сечения, лежащей выше или ниже уровня, для которого определяется толщина стенки, относительно нейтральной оси,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х - отстояние рассматриваемого поперечного сечения корпуса от кормового перпендикуляра, м.</w:t>
      </w:r>
    </w:p>
    <w:bookmarkStart w:name="z1167" w:id="1171"/>
    <w:p>
      <w:pPr>
        <w:spacing w:after="0"/>
        <w:ind w:left="0"/>
        <w:jc w:val="left"/>
      </w:pPr>
      <w:r>
        <w:rPr>
          <w:rFonts w:ascii="Times New Roman"/>
          <w:b/>
          <w:i w:val="false"/>
          <w:color w:val="000000"/>
        </w:rPr>
        <w:t xml:space="preserve"> Параграф 2. Изгибающие моменты и перерезывающие силы</w:t>
      </w:r>
      <w:r>
        <w:br/>
      </w:r>
      <w:r>
        <w:rPr>
          <w:rFonts w:ascii="Times New Roman"/>
          <w:b/>
          <w:i w:val="false"/>
          <w:color w:val="000000"/>
        </w:rPr>
        <w:t>на тихой воде</w:t>
      </w:r>
    </w:p>
    <w:bookmarkEnd w:id="1171"/>
    <w:bookmarkStart w:name="z1168" w:id="1172"/>
    <w:p>
      <w:pPr>
        <w:spacing w:after="0"/>
        <w:ind w:left="0"/>
        <w:jc w:val="both"/>
      </w:pPr>
      <w:r>
        <w:rPr>
          <w:rFonts w:ascii="Times New Roman"/>
          <w:b w:val="false"/>
          <w:i w:val="false"/>
          <w:color w:val="000000"/>
          <w:sz w:val="28"/>
        </w:rPr>
        <w:t>
      185. Изгибающие моменты и перерезывающие силы на тихой воде рассчитываются для всех реально возможных в эксплуатации случаев распределения весовой нагрузки по длине судна, включая состояние загрузки судна в полном грузу и балласте, в начале и в конце рейса.</w:t>
      </w:r>
    </w:p>
    <w:bookmarkEnd w:id="1172"/>
    <w:bookmarkStart w:name="z1169" w:id="1173"/>
    <w:p>
      <w:pPr>
        <w:spacing w:after="0"/>
        <w:ind w:left="0"/>
        <w:jc w:val="both"/>
      </w:pPr>
      <w:r>
        <w:rPr>
          <w:rFonts w:ascii="Times New Roman"/>
          <w:b w:val="false"/>
          <w:i w:val="false"/>
          <w:color w:val="000000"/>
          <w:sz w:val="28"/>
        </w:rPr>
        <w:t>
      Также рассчитываются изгибающие моменты и перерезывающие силы при расходовании содержимого каждого танка или цистерны судовых запасов (топлива, воды, масла) в течение рейса в случае, если вышеуказанные усилия будут больше усилий в начале или конце рейса. То же относится к случаям балластировки/дебалластировки судна в море. При этом частичное заполнение балластных цистерн, включая цистерны пиков, не включается в рассмотрение, кроме следующих случаев:</w:t>
      </w:r>
    </w:p>
    <w:bookmarkEnd w:id="1173"/>
    <w:bookmarkStart w:name="z1170" w:id="1174"/>
    <w:p>
      <w:pPr>
        <w:spacing w:after="0"/>
        <w:ind w:left="0"/>
        <w:jc w:val="both"/>
      </w:pPr>
      <w:r>
        <w:rPr>
          <w:rFonts w:ascii="Times New Roman"/>
          <w:b w:val="false"/>
          <w:i w:val="false"/>
          <w:color w:val="000000"/>
          <w:sz w:val="28"/>
        </w:rPr>
        <w:t>
      1) рассчитанные изгибающие моменты и перерезывающие силы при всех уровнях заполнения балластных цистерн от порожнего состояния до полного заполнения не превышают максимальные расчетные значения;</w:t>
      </w:r>
    </w:p>
    <w:bookmarkEnd w:id="1174"/>
    <w:bookmarkStart w:name="z1171" w:id="1175"/>
    <w:p>
      <w:pPr>
        <w:spacing w:after="0"/>
        <w:ind w:left="0"/>
        <w:jc w:val="both"/>
      </w:pPr>
      <w:r>
        <w:rPr>
          <w:rFonts w:ascii="Times New Roman"/>
          <w:b w:val="false"/>
          <w:i w:val="false"/>
          <w:color w:val="000000"/>
          <w:sz w:val="28"/>
        </w:rPr>
        <w:t>
      2) для навалочных судов рассмотрены все промежуточные случаи заполнения балластных цистерн от порожнего состояния до полного заполнения при затоплении каждого грузового трюма в соответствии с параграфом 5 главы 31 настоящих Правил.</w:t>
      </w:r>
    </w:p>
    <w:bookmarkEnd w:id="1175"/>
    <w:bookmarkStart w:name="z1172" w:id="1176"/>
    <w:p>
      <w:pPr>
        <w:spacing w:after="0"/>
        <w:ind w:left="0"/>
        <w:jc w:val="both"/>
      </w:pPr>
      <w:r>
        <w:rPr>
          <w:rFonts w:ascii="Times New Roman"/>
          <w:b w:val="false"/>
          <w:i w:val="false"/>
          <w:color w:val="000000"/>
          <w:sz w:val="28"/>
        </w:rPr>
        <w:t>
      Как правило, при определении размеров конструктивных элементов набора корпуса судна рассматриваются следующие варианты загрузки:</w:t>
      </w:r>
    </w:p>
    <w:bookmarkEnd w:id="1176"/>
    <w:bookmarkStart w:name="z1173" w:id="1177"/>
    <w:p>
      <w:pPr>
        <w:spacing w:after="0"/>
        <w:ind w:left="0"/>
        <w:jc w:val="both"/>
      </w:pPr>
      <w:r>
        <w:rPr>
          <w:rFonts w:ascii="Times New Roman"/>
          <w:b w:val="false"/>
          <w:i w:val="false"/>
          <w:color w:val="000000"/>
          <w:sz w:val="28"/>
        </w:rPr>
        <w:t>
      1) для сухогрузных судов, судов с широким раскрытием палубы, накатных судов, рефрижераторных судов, навалочных судов и рудовозов:</w:t>
      </w:r>
    </w:p>
    <w:bookmarkEnd w:id="1177"/>
    <w:p>
      <w:pPr>
        <w:spacing w:after="0"/>
        <w:ind w:left="0"/>
        <w:jc w:val="both"/>
      </w:pPr>
      <w:r>
        <w:rPr>
          <w:rFonts w:ascii="Times New Roman"/>
          <w:b w:val="false"/>
          <w:i w:val="false"/>
          <w:color w:val="000000"/>
          <w:sz w:val="28"/>
        </w:rPr>
        <w:t>
      равномерная загрузка при максимальной осадке;</w:t>
      </w:r>
    </w:p>
    <w:p>
      <w:pPr>
        <w:spacing w:after="0"/>
        <w:ind w:left="0"/>
        <w:jc w:val="both"/>
      </w:pPr>
      <w:r>
        <w:rPr>
          <w:rFonts w:ascii="Times New Roman"/>
          <w:b w:val="false"/>
          <w:i w:val="false"/>
          <w:color w:val="000000"/>
          <w:sz w:val="28"/>
        </w:rPr>
        <w:t>
      балластное состояние;</w:t>
      </w:r>
    </w:p>
    <w:p>
      <w:pPr>
        <w:spacing w:after="0"/>
        <w:ind w:left="0"/>
        <w:jc w:val="both"/>
      </w:pPr>
      <w:r>
        <w:rPr>
          <w:rFonts w:ascii="Times New Roman"/>
          <w:b w:val="false"/>
          <w:i w:val="false"/>
          <w:color w:val="000000"/>
          <w:sz w:val="28"/>
        </w:rPr>
        <w:t>
      специальные случаи: загрузка контейнерами или легким грузом при осадке меньше максимальной, тяжелые грузы, наличие пустых трюмов или неравномерная загрузка, наличие палубного груза (что применимо);</w:t>
      </w:r>
    </w:p>
    <w:p>
      <w:pPr>
        <w:spacing w:after="0"/>
        <w:ind w:left="0"/>
        <w:jc w:val="both"/>
      </w:pPr>
      <w:r>
        <w:rPr>
          <w:rFonts w:ascii="Times New Roman"/>
          <w:b w:val="false"/>
          <w:i w:val="false"/>
          <w:color w:val="000000"/>
          <w:sz w:val="28"/>
        </w:rPr>
        <w:t>
      специальная загрузка для коротких рейсов, если предусмотрено;</w:t>
      </w:r>
    </w:p>
    <w:p>
      <w:pPr>
        <w:spacing w:after="0"/>
        <w:ind w:left="0"/>
        <w:jc w:val="both"/>
      </w:pPr>
      <w:r>
        <w:rPr>
          <w:rFonts w:ascii="Times New Roman"/>
          <w:b w:val="false"/>
          <w:i w:val="false"/>
          <w:color w:val="000000"/>
          <w:sz w:val="28"/>
        </w:rPr>
        <w:t>
      временные состояния загрузки в процессе погрузки и выгрузки;</w:t>
      </w:r>
    </w:p>
    <w:p>
      <w:pPr>
        <w:spacing w:after="0"/>
        <w:ind w:left="0"/>
        <w:jc w:val="both"/>
      </w:pPr>
      <w:r>
        <w:rPr>
          <w:rFonts w:ascii="Times New Roman"/>
          <w:b w:val="false"/>
          <w:i w:val="false"/>
          <w:color w:val="000000"/>
          <w:sz w:val="28"/>
        </w:rPr>
        <w:t>
      состояние загрузки при постановке судна в док;</w:t>
      </w:r>
    </w:p>
    <w:bookmarkStart w:name="z1174" w:id="1178"/>
    <w:p>
      <w:pPr>
        <w:spacing w:after="0"/>
        <w:ind w:left="0"/>
        <w:jc w:val="both"/>
      </w:pPr>
      <w:r>
        <w:rPr>
          <w:rFonts w:ascii="Times New Roman"/>
          <w:b w:val="false"/>
          <w:i w:val="false"/>
          <w:color w:val="000000"/>
          <w:sz w:val="28"/>
        </w:rPr>
        <w:t>
      2) для наливных судов:</w:t>
      </w:r>
    </w:p>
    <w:bookmarkEnd w:id="1178"/>
    <w:p>
      <w:pPr>
        <w:spacing w:after="0"/>
        <w:ind w:left="0"/>
        <w:jc w:val="both"/>
      </w:pPr>
      <w:r>
        <w:rPr>
          <w:rFonts w:ascii="Times New Roman"/>
          <w:b w:val="false"/>
          <w:i w:val="false"/>
          <w:color w:val="000000"/>
          <w:sz w:val="28"/>
        </w:rPr>
        <w:t>
      равномерная загрузка (исключая сухие отсеки и танки чистого балласта);</w:t>
      </w:r>
    </w:p>
    <w:p>
      <w:pPr>
        <w:spacing w:after="0"/>
        <w:ind w:left="0"/>
        <w:jc w:val="both"/>
      </w:pPr>
      <w:r>
        <w:rPr>
          <w:rFonts w:ascii="Times New Roman"/>
          <w:b w:val="false"/>
          <w:i w:val="false"/>
          <w:color w:val="000000"/>
          <w:sz w:val="28"/>
        </w:rPr>
        <w:t>
      частичная загрузка и балластное состояние как в начале, так и в конце рейса;</w:t>
      </w:r>
    </w:p>
    <w:p>
      <w:pPr>
        <w:spacing w:after="0"/>
        <w:ind w:left="0"/>
        <w:jc w:val="both"/>
      </w:pPr>
      <w:r>
        <w:rPr>
          <w:rFonts w:ascii="Times New Roman"/>
          <w:b w:val="false"/>
          <w:i w:val="false"/>
          <w:color w:val="000000"/>
          <w:sz w:val="28"/>
        </w:rPr>
        <w:t>
      предусмотренные варианты неравномерной загрузки;</w:t>
      </w:r>
    </w:p>
    <w:p>
      <w:pPr>
        <w:spacing w:after="0"/>
        <w:ind w:left="0"/>
        <w:jc w:val="both"/>
      </w:pPr>
      <w:r>
        <w:rPr>
          <w:rFonts w:ascii="Times New Roman"/>
          <w:b w:val="false"/>
          <w:i w:val="false"/>
          <w:color w:val="000000"/>
          <w:sz w:val="28"/>
        </w:rPr>
        <w:t>
      состояния загрузки в середине рейса, существенно отличающиеся от балластного, возникающие в процессе мойки танков либо подобных операций;</w:t>
      </w:r>
    </w:p>
    <w:p>
      <w:pPr>
        <w:spacing w:after="0"/>
        <w:ind w:left="0"/>
        <w:jc w:val="both"/>
      </w:pPr>
      <w:r>
        <w:rPr>
          <w:rFonts w:ascii="Times New Roman"/>
          <w:b w:val="false"/>
          <w:i w:val="false"/>
          <w:color w:val="000000"/>
          <w:sz w:val="28"/>
        </w:rPr>
        <w:t>
      временные состояния загрузки, возникающие во время приема/откачки груза;</w:t>
      </w:r>
    </w:p>
    <w:p>
      <w:pPr>
        <w:spacing w:after="0"/>
        <w:ind w:left="0"/>
        <w:jc w:val="both"/>
      </w:pPr>
      <w:r>
        <w:rPr>
          <w:rFonts w:ascii="Times New Roman"/>
          <w:b w:val="false"/>
          <w:i w:val="false"/>
          <w:color w:val="000000"/>
          <w:sz w:val="28"/>
        </w:rPr>
        <w:t>
      состояние загрузки при постановке судна в док;</w:t>
      </w:r>
    </w:p>
    <w:bookmarkStart w:name="z1175" w:id="1179"/>
    <w:p>
      <w:pPr>
        <w:spacing w:after="0"/>
        <w:ind w:left="0"/>
        <w:jc w:val="both"/>
      </w:pPr>
      <w:r>
        <w:rPr>
          <w:rFonts w:ascii="Times New Roman"/>
          <w:b w:val="false"/>
          <w:i w:val="false"/>
          <w:color w:val="000000"/>
          <w:sz w:val="28"/>
        </w:rPr>
        <w:t>
      3) для комбинированных судов:</w:t>
      </w:r>
    </w:p>
    <w:bookmarkEnd w:id="1179"/>
    <w:p>
      <w:pPr>
        <w:spacing w:after="0"/>
        <w:ind w:left="0"/>
        <w:jc w:val="both"/>
      </w:pPr>
      <w:r>
        <w:rPr>
          <w:rFonts w:ascii="Times New Roman"/>
          <w:b w:val="false"/>
          <w:i w:val="false"/>
          <w:color w:val="000000"/>
          <w:sz w:val="28"/>
        </w:rPr>
        <w:t>
      состояния загрузки, оговоренные для сухогрузных и наливных судов;</w:t>
      </w:r>
    </w:p>
    <w:bookmarkStart w:name="z1176" w:id="1180"/>
    <w:p>
      <w:pPr>
        <w:spacing w:after="0"/>
        <w:ind w:left="0"/>
        <w:jc w:val="both"/>
      </w:pPr>
      <w:r>
        <w:rPr>
          <w:rFonts w:ascii="Times New Roman"/>
          <w:b w:val="false"/>
          <w:i w:val="false"/>
          <w:color w:val="000000"/>
          <w:sz w:val="28"/>
        </w:rPr>
        <w:t>
      4) балластные случаи загрузки, в которых форпик, ахтерпик и/или другие балластные цистерны заполнены частично в начале, конце или в середине рейса, не рассматриваются как проектные случаи загрузки. Исключение составляют случаи, когда любое частичное заполнение цистерны не приводит к превышению допустимых пределов прочности. Понятие "любое частичное заполнение" в настоящем пункте подразумевает случаи загрузки, соответствующие пустой цистерне, полной цистерне и цистерне, заполненной по назначенный уровень.</w:t>
      </w:r>
    </w:p>
    <w:bookmarkEnd w:id="1180"/>
    <w:bookmarkStart w:name="z1177" w:id="1181"/>
    <w:p>
      <w:pPr>
        <w:spacing w:after="0"/>
        <w:ind w:left="0"/>
        <w:jc w:val="both"/>
      </w:pPr>
      <w:r>
        <w:rPr>
          <w:rFonts w:ascii="Times New Roman"/>
          <w:b w:val="false"/>
          <w:i w:val="false"/>
          <w:color w:val="000000"/>
          <w:sz w:val="28"/>
        </w:rPr>
        <w:t>
      В случае, если частично заполненных цистерн несколько, то рассматриваются все комбинации, состоящие из пустых, полных и частично заполненных цистерн.</w:t>
      </w:r>
    </w:p>
    <w:bookmarkEnd w:id="1181"/>
    <w:bookmarkStart w:name="z1178" w:id="1182"/>
    <w:p>
      <w:pPr>
        <w:spacing w:after="0"/>
        <w:ind w:left="0"/>
        <w:jc w:val="both"/>
      </w:pPr>
      <w:r>
        <w:rPr>
          <w:rFonts w:ascii="Times New Roman"/>
          <w:b w:val="false"/>
          <w:i w:val="false"/>
          <w:color w:val="000000"/>
          <w:sz w:val="28"/>
        </w:rPr>
        <w:t>
      Для рудовозов с большими бортовыми балластными танками в грузовой зоне, в случае если пустое и полное заполнение одной или максимум двух пар этих балластных танков приводит к дифференту, превышающему хотя бы одно из нижеперечисленных значений, достаточно продемонстрировать соответствие максимальному, минимальному и назначенному частичному уровням заполнения этих одной или максимум двух пар бортовых танков с тем, чтобы посадка судна не превышала любого из этих значений дифферента. Уровни заполнения всех остальных балластных бортовых танков рассматриваются между пустыми и полными. Вышеуказанные значения дифферента следующие:</w:t>
      </w:r>
    </w:p>
    <w:bookmarkEnd w:id="1182"/>
    <w:p>
      <w:pPr>
        <w:spacing w:after="0"/>
        <w:ind w:left="0"/>
        <w:jc w:val="both"/>
      </w:pPr>
      <w:r>
        <w:rPr>
          <w:rFonts w:ascii="Times New Roman"/>
          <w:b w:val="false"/>
          <w:i w:val="false"/>
          <w:color w:val="000000"/>
          <w:sz w:val="28"/>
        </w:rPr>
        <w:t>
      на корму 3 % длины судна;</w:t>
      </w:r>
    </w:p>
    <w:p>
      <w:pPr>
        <w:spacing w:after="0"/>
        <w:ind w:left="0"/>
        <w:jc w:val="both"/>
      </w:pPr>
      <w:r>
        <w:rPr>
          <w:rFonts w:ascii="Times New Roman"/>
          <w:b w:val="false"/>
          <w:i w:val="false"/>
          <w:color w:val="000000"/>
          <w:sz w:val="28"/>
        </w:rPr>
        <w:t>
      на нос 1,5 % длины судна;</w:t>
      </w:r>
    </w:p>
    <w:p>
      <w:pPr>
        <w:spacing w:after="0"/>
        <w:ind w:left="0"/>
        <w:jc w:val="both"/>
      </w:pPr>
      <w:r>
        <w:rPr>
          <w:rFonts w:ascii="Times New Roman"/>
          <w:b w:val="false"/>
          <w:i w:val="false"/>
          <w:color w:val="000000"/>
          <w:sz w:val="28"/>
        </w:rPr>
        <w:t>
      любой дифферент, при котором заглубление оси винта составляет 25 % его диаметра.</w:t>
      </w:r>
    </w:p>
    <w:bookmarkStart w:name="z1179" w:id="1183"/>
    <w:p>
      <w:pPr>
        <w:spacing w:after="0"/>
        <w:ind w:left="0"/>
        <w:jc w:val="both"/>
      </w:pPr>
      <w:r>
        <w:rPr>
          <w:rFonts w:ascii="Times New Roman"/>
          <w:b w:val="false"/>
          <w:i w:val="false"/>
          <w:color w:val="000000"/>
          <w:sz w:val="28"/>
        </w:rPr>
        <w:t>
      Максимальные и минимальные уровни заполнения вышеупомянутых одной или максимум двух пар бортовых балластных танков включают в Инструкцию по загрузке.</w:t>
      </w:r>
    </w:p>
    <w:bookmarkEnd w:id="1183"/>
    <w:bookmarkStart w:name="z1180" w:id="1184"/>
    <w:p>
      <w:pPr>
        <w:spacing w:after="0"/>
        <w:ind w:left="0"/>
        <w:jc w:val="both"/>
      </w:pPr>
      <w:r>
        <w:rPr>
          <w:rFonts w:ascii="Times New Roman"/>
          <w:b w:val="false"/>
          <w:i w:val="false"/>
          <w:color w:val="000000"/>
          <w:sz w:val="28"/>
        </w:rPr>
        <w:t>
      В случае загрузки судна грузом требования настоящего пункта распространяются только на цистерны пиков и не распространяются на случаи замены балласта в море методом последовательной замены.</w:t>
      </w:r>
    </w:p>
    <w:bookmarkEnd w:id="1184"/>
    <w:bookmarkStart w:name="z1181" w:id="1185"/>
    <w:p>
      <w:pPr>
        <w:spacing w:after="0"/>
        <w:ind w:left="0"/>
        <w:jc w:val="both"/>
      </w:pPr>
      <w:r>
        <w:rPr>
          <w:rFonts w:ascii="Times New Roman"/>
          <w:b w:val="false"/>
          <w:i w:val="false"/>
          <w:color w:val="000000"/>
          <w:sz w:val="28"/>
        </w:rPr>
        <w:t>
      186. В результате рассмотрения реально возможных в эксплуатации случаев загрузки судна на тихой воде для любого сечения по длине судна определяют:</w:t>
      </w:r>
    </w:p>
    <w:bookmarkEnd w:id="1185"/>
    <w:p>
      <w:pPr>
        <w:spacing w:after="0"/>
        <w:ind w:left="0"/>
        <w:jc w:val="both"/>
      </w:pPr>
      <w:r>
        <w:rPr>
          <w:rFonts w:ascii="Times New Roman"/>
          <w:b w:val="false"/>
          <w:i w:val="false"/>
          <w:color w:val="000000"/>
          <w:sz w:val="28"/>
        </w:rPr>
        <w:t xml:space="preserve">
      наибольшие абсолютные значения изгибающего момента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при прогибе и перегибе судна;</w:t>
      </w:r>
    </w:p>
    <w:p>
      <w:pPr>
        <w:spacing w:after="0"/>
        <w:ind w:left="0"/>
        <w:jc w:val="both"/>
      </w:pPr>
      <w:r>
        <w:rPr>
          <w:rFonts w:ascii="Times New Roman"/>
          <w:b w:val="false"/>
          <w:i w:val="false"/>
          <w:color w:val="000000"/>
          <w:sz w:val="28"/>
        </w:rPr>
        <w:t>
      наибольшее абсолютное значение перерезывающей силы Nsw.</w:t>
      </w:r>
    </w:p>
    <w:bookmarkStart w:name="z1182" w:id="1186"/>
    <w:p>
      <w:pPr>
        <w:spacing w:after="0"/>
        <w:ind w:left="0"/>
        <w:jc w:val="both"/>
      </w:pPr>
      <w:r>
        <w:rPr>
          <w:rFonts w:ascii="Times New Roman"/>
          <w:b w:val="false"/>
          <w:i w:val="false"/>
          <w:color w:val="000000"/>
          <w:sz w:val="28"/>
        </w:rPr>
        <w:t xml:space="preserve">
      Величины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принимаются в дальнейшем в качестве расчетных для данного сечения.</w:t>
      </w:r>
    </w:p>
    <w:bookmarkEnd w:id="1186"/>
    <w:bookmarkStart w:name="z1183" w:id="1187"/>
    <w:p>
      <w:pPr>
        <w:spacing w:after="0"/>
        <w:ind w:left="0"/>
        <w:jc w:val="both"/>
      </w:pPr>
      <w:r>
        <w:rPr>
          <w:rFonts w:ascii="Times New Roman"/>
          <w:b w:val="false"/>
          <w:i w:val="false"/>
          <w:color w:val="000000"/>
          <w:sz w:val="28"/>
        </w:rPr>
        <w:t>
      187. Для судов, не имеющих продольных переборок, при их неравномерной загрузке, когда чередуются загруженные и незагруженные грузовые помещения, эпюра перерезывающих сил на тихой воде корректируется уменьшением ее ординат на поперечных переборках на величину, равную сумме реакций продольных связей днища на этих переборках при его собственном изгибе (приложение 21 настоящих Правил).</w:t>
      </w:r>
    </w:p>
    <w:bookmarkEnd w:id="1187"/>
    <w:bookmarkStart w:name="z1184" w:id="1188"/>
    <w:p>
      <w:pPr>
        <w:spacing w:after="0"/>
        <w:ind w:left="0"/>
        <w:jc w:val="both"/>
      </w:pPr>
      <w:r>
        <w:rPr>
          <w:rFonts w:ascii="Times New Roman"/>
          <w:b w:val="false"/>
          <w:i w:val="false"/>
          <w:color w:val="000000"/>
          <w:sz w:val="28"/>
        </w:rPr>
        <w:t>
      Реакции продольных связей днища на поперечных переборках определяют из расчета днищевого перекрытия согласно пункту 653 настоящих Правил. При этом в расчетных нагрузках не учитываются волновые нагрузки, указанные в пункте 171 настоящих Правил, и углы крена, дифферента и ускорения при качке, указанные в пункте 172 настоящих Правил.</w:t>
      </w:r>
    </w:p>
    <w:bookmarkEnd w:id="1188"/>
    <w:bookmarkStart w:name="z1185" w:id="1189"/>
    <w:p>
      <w:pPr>
        <w:spacing w:after="0"/>
        <w:ind w:left="0"/>
        <w:jc w:val="both"/>
      </w:pPr>
      <w:r>
        <w:rPr>
          <w:rFonts w:ascii="Times New Roman"/>
          <w:b w:val="false"/>
          <w:i w:val="false"/>
          <w:color w:val="000000"/>
          <w:sz w:val="28"/>
        </w:rPr>
        <w:t>
      188. Если предусмотрены состояния загрузки судна, приводящие к регулярному изменению знака изгибающего момента на тихой воде (в полном грузу и балласте, в прямом и обратном рейсах), в сечении с максимальным размахом изгибающего момента (приложение 22 настоящих Правил) определяются его составляющие для их учета согласно пункту 197 настоящих Правил.</w:t>
      </w:r>
    </w:p>
    <w:bookmarkEnd w:id="1189"/>
    <w:bookmarkStart w:name="z1186" w:id="1190"/>
    <w:p>
      <w:pPr>
        <w:spacing w:after="0"/>
        <w:ind w:left="0"/>
        <w:jc w:val="left"/>
      </w:pPr>
      <w:r>
        <w:rPr>
          <w:rFonts w:ascii="Times New Roman"/>
          <w:b/>
          <w:i w:val="false"/>
          <w:color w:val="000000"/>
        </w:rPr>
        <w:t xml:space="preserve"> Параграф 3. Волновые изгибающие моменты</w:t>
      </w:r>
      <w:r>
        <w:br/>
      </w:r>
      <w:r>
        <w:rPr>
          <w:rFonts w:ascii="Times New Roman"/>
          <w:b/>
          <w:i w:val="false"/>
          <w:color w:val="000000"/>
        </w:rPr>
        <w:t>и перерезывающие силы</w:t>
      </w:r>
    </w:p>
    <w:bookmarkEnd w:id="1190"/>
    <w:bookmarkStart w:name="z1187" w:id="1191"/>
    <w:p>
      <w:pPr>
        <w:spacing w:after="0"/>
        <w:ind w:left="0"/>
        <w:jc w:val="both"/>
      </w:pPr>
      <w:r>
        <w:rPr>
          <w:rFonts w:ascii="Times New Roman"/>
          <w:b w:val="false"/>
          <w:i w:val="false"/>
          <w:color w:val="000000"/>
          <w:sz w:val="28"/>
        </w:rPr>
        <w:t xml:space="preserve">
      189. Волновой изгибающий момент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кН/м, действующий в вертикальной плоскости, в рассматриваемом поперечном сечении определяется по формулам:</w:t>
      </w:r>
    </w:p>
    <w:bookmarkEnd w:id="1191"/>
    <w:p>
      <w:pPr>
        <w:spacing w:after="0"/>
        <w:ind w:left="0"/>
        <w:jc w:val="both"/>
      </w:pPr>
      <w:r>
        <w:rPr>
          <w:rFonts w:ascii="Times New Roman"/>
          <w:b w:val="false"/>
          <w:i w:val="false"/>
          <w:color w:val="000000"/>
          <w:sz w:val="28"/>
        </w:rPr>
        <w:t>
      вызывающий перегиб судна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489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вызывающий прогиб судна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489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пункт 168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определяемый по приложениям 23 или 24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определяется согласно подпункту 103) пункта 6 настоящих Правил, но не менее 0,6.</w:t>
      </w:r>
    </w:p>
    <w:bookmarkStart w:name="z1188" w:id="1192"/>
    <w:p>
      <w:pPr>
        <w:spacing w:after="0"/>
        <w:ind w:left="0"/>
        <w:jc w:val="both"/>
      </w:pPr>
      <w:r>
        <w:rPr>
          <w:rFonts w:ascii="Times New Roman"/>
          <w:b w:val="false"/>
          <w:i w:val="false"/>
          <w:color w:val="000000"/>
          <w:sz w:val="28"/>
        </w:rPr>
        <w:t xml:space="preserve">
      190. Волновая перерезывающая сила </w:t>
      </w:r>
      <w:r>
        <w:rPr>
          <w:rFonts w:ascii="Times New Roman"/>
          <w:b w:val="false"/>
          <w:i/>
          <w:color w:val="000000"/>
          <w:sz w:val="28"/>
        </w:rPr>
        <w:t>N</w:t>
      </w:r>
      <w:r>
        <w:rPr>
          <w:rFonts w:ascii="Times New Roman"/>
          <w:b w:val="false"/>
          <w:i w:val="false"/>
          <w:color w:val="000000"/>
          <w:vertAlign w:val="subscript"/>
        </w:rPr>
        <w:t>w</w:t>
      </w:r>
      <w:r>
        <w:rPr>
          <w:rFonts w:ascii="Times New Roman"/>
          <w:b w:val="false"/>
          <w:i w:val="false"/>
          <w:color w:val="000000"/>
          <w:sz w:val="28"/>
        </w:rPr>
        <w:t>, кН, в рассматриваемом поперечном сечении определяется по формулам:</w:t>
      </w:r>
    </w:p>
    <w:bookmarkEnd w:id="1192"/>
    <w:p>
      <w:pPr>
        <w:spacing w:after="0"/>
        <w:ind w:left="0"/>
        <w:jc w:val="both"/>
      </w:pPr>
      <w:r>
        <w:rPr>
          <w:rFonts w:ascii="Times New Roman"/>
          <w:b w:val="false"/>
          <w:i w:val="false"/>
          <w:color w:val="000000"/>
          <w:sz w:val="28"/>
        </w:rPr>
        <w:t>
      Положительная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489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отрицательная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489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val="false"/>
          <w:color w:val="000000"/>
          <w:sz w:val="28"/>
        </w:rPr>
        <w:t xml:space="preserve"> - пункт 168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определяется согласно подпункту 103) пункта 6 настоящих Правил, но не менее 0,6;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коэффициенты, определяемые по приложениям 25, 26 и 27 настоящих Правил.</w:t>
      </w:r>
      <w:r>
        <w:br/>
      </w:r>
      <w:r>
        <w:rPr>
          <w:rFonts w:ascii="Times New Roman"/>
          <w:b w:val="false"/>
          <w:i w:val="false"/>
          <w:color w:val="000000"/>
          <w:sz w:val="28"/>
        </w:rPr>
        <w:t>
</w:t>
      </w:r>
    </w:p>
    <w:bookmarkStart w:name="z1189" w:id="1193"/>
    <w:p>
      <w:pPr>
        <w:spacing w:after="0"/>
        <w:ind w:left="0"/>
        <w:jc w:val="both"/>
      </w:pPr>
      <w:r>
        <w:rPr>
          <w:rFonts w:ascii="Times New Roman"/>
          <w:b w:val="false"/>
          <w:i w:val="false"/>
          <w:color w:val="000000"/>
          <w:sz w:val="28"/>
        </w:rPr>
        <w:t xml:space="preserve">
      191. Для судов ограниченного района плавания волновые изгибающие моменты и перерезывающие силы, вычисляемые согласно пунктам 189 и 190 настоящих Правил, умножают на редукционный коэффициент </w:t>
      </w:r>
    </w:p>
    <w:bookmarkEnd w:id="1193"/>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определяемый по приложению 28 настоящих Правил, а также на коэффициенты </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определяемые по следующим формулам:</w:t>
      </w:r>
      <w:r>
        <w:br/>
      </w:r>
      <w:r>
        <w:rPr>
          <w:rFonts w:ascii="Times New Roman"/>
          <w:b w:val="false"/>
          <w:i w:val="false"/>
          <w:color w:val="000000"/>
          <w:sz w:val="28"/>
        </w:rPr>
        <w:t>
</w:t>
      </w:r>
      <w:r>
        <w:br/>
      </w:r>
    </w:p>
    <w:p>
      <w:pPr>
        <w:spacing w:after="0"/>
        <w:ind w:left="0"/>
        <w:jc w:val="both"/>
      </w:pPr>
      <w:r>
        <w:drawing>
          <wp:inline distT="0" distB="0" distL="0" distR="0">
            <wp:extent cx="6489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489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(0,5 + 2,5sin</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при обычных обводах носовой оконечности (без бульба);</w:t>
      </w:r>
      <w:r>
        <w:br/>
      </w:r>
      <w:r>
        <w:rPr>
          <w:rFonts w:ascii="Times New Roman"/>
          <w:b w:val="false"/>
          <w:i w:val="false"/>
          <w:color w:val="000000"/>
          <w:sz w:val="28"/>
        </w:rPr>
        <w:t>
</w:t>
      </w:r>
      <w:r>
        <w:br/>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(1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 при бульбовой форме носовой оконечности;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полноты летней грузовой ватерлинии;</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угол между касательной к шпангоуту и вертикалью на уровне летней грузовой ватерлинии в сечении, расположенном на расстоянии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0,4(1 -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0,1</w:t>
      </w:r>
      <w:r>
        <w:rPr>
          <w:rFonts w:ascii="Times New Roman"/>
          <w:b w:val="false"/>
          <w:i/>
          <w:color w:val="000000"/>
          <w:sz w:val="28"/>
        </w:rPr>
        <w:t>L</w:t>
      </w:r>
      <w:r>
        <w:rPr>
          <w:rFonts w:ascii="Times New Roman"/>
          <w:b w:val="false"/>
          <w:i w:val="false"/>
          <w:color w:val="000000"/>
          <w:sz w:val="28"/>
        </w:rPr>
        <w:t xml:space="preserve"> от носового перпендикуляра, град;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489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высота непрерывных продольных комингсов грузовых люков, м (при их отсутствии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299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0" w:id="1194"/>
    <w:p>
      <w:pPr>
        <w:spacing w:after="0"/>
        <w:ind w:left="0"/>
        <w:jc w:val="both"/>
      </w:pPr>
      <w:r>
        <w:rPr>
          <w:rFonts w:ascii="Times New Roman"/>
          <w:b w:val="false"/>
          <w:i w:val="false"/>
          <w:color w:val="000000"/>
          <w:sz w:val="28"/>
        </w:rPr>
        <w:t>
      Приведенные выше требования распространяются на суда ограниченного района плавания длиной от 60 до 150 м. Применение этих требовании к судам иной длины является предметом специального рассмотрения Регистром судоходства.</w:t>
      </w:r>
    </w:p>
    <w:bookmarkEnd w:id="1194"/>
    <w:bookmarkStart w:name="z1191" w:id="1195"/>
    <w:p>
      <w:pPr>
        <w:spacing w:after="0"/>
        <w:ind w:left="0"/>
        <w:jc w:val="left"/>
      </w:pPr>
      <w:r>
        <w:rPr>
          <w:rFonts w:ascii="Times New Roman"/>
          <w:b/>
          <w:i w:val="false"/>
          <w:color w:val="000000"/>
        </w:rPr>
        <w:t xml:space="preserve"> Параграф 4. Изгибающие моменты при ударе волн в развал бортов</w:t>
      </w:r>
    </w:p>
    <w:bookmarkEnd w:id="1195"/>
    <w:bookmarkStart w:name="z1192" w:id="1196"/>
    <w:p>
      <w:pPr>
        <w:spacing w:after="0"/>
        <w:ind w:left="0"/>
        <w:jc w:val="both"/>
      </w:pPr>
      <w:r>
        <w:rPr>
          <w:rFonts w:ascii="Times New Roman"/>
          <w:b w:val="false"/>
          <w:i w:val="false"/>
          <w:color w:val="000000"/>
          <w:sz w:val="28"/>
        </w:rPr>
        <w:t>
      192. Изгибающие моменты при ударе волн в развал бортов определяются только для судов длиной от 100 до 200 м, у которых выполняется соотношение А</w:t>
      </w:r>
      <w:r>
        <w:rPr>
          <w:rFonts w:ascii="Times New Roman"/>
          <w:b w:val="false"/>
          <w:i w:val="false"/>
          <w:color w:val="000000"/>
          <w:vertAlign w:val="subscript"/>
        </w:rPr>
        <w:t>F</w:t>
      </w:r>
      <w:r>
        <w:rPr>
          <w:rFonts w:ascii="Times New Roman"/>
          <w:b w:val="false"/>
          <w:i w:val="false"/>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0,1.</w:t>
      </w:r>
    </w:p>
    <w:bookmarkEnd w:id="1196"/>
    <w:bookmarkStart w:name="z1193" w:id="1197"/>
    <w:p>
      <w:pPr>
        <w:spacing w:after="0"/>
        <w:ind w:left="0"/>
        <w:jc w:val="both"/>
      </w:pPr>
      <w:r>
        <w:rPr>
          <w:rFonts w:ascii="Times New Roman"/>
          <w:b w:val="false"/>
          <w:i w:val="false"/>
          <w:color w:val="000000"/>
          <w:sz w:val="28"/>
        </w:rPr>
        <w:t>
      193. Изгибающий момент при ударе волн в развал бортов, вызывающий прогиб судна, М</w:t>
      </w:r>
      <w:r>
        <w:rPr>
          <w:rFonts w:ascii="Times New Roman"/>
          <w:b w:val="false"/>
          <w:i w:val="false"/>
          <w:color w:val="000000"/>
          <w:vertAlign w:val="subscript"/>
        </w:rPr>
        <w:t>F</w:t>
      </w:r>
      <w:r>
        <w:rPr>
          <w:rFonts w:ascii="Times New Roman"/>
          <w:b w:val="false"/>
          <w:i w:val="false"/>
          <w:color w:val="000000"/>
          <w:sz w:val="28"/>
        </w:rPr>
        <w:t>, кН</w:t>
      </w:r>
    </w:p>
    <w:bookmarkEnd w:id="1197"/>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м, в рассматриваемом поперечном сечении определяется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F</w:t>
      </w:r>
      <w:r>
        <w:rPr>
          <w:rFonts w:ascii="Times New Roman"/>
          <w:b w:val="false"/>
          <w:i w:val="false"/>
          <w:color w:val="000000"/>
          <w:sz w:val="28"/>
        </w:rPr>
        <w:t xml:space="preserve"> = - </w:t>
      </w:r>
      <w:r>
        <w:rPr>
          <w:rFonts w:ascii="Times New Roman"/>
          <w:b w:val="false"/>
          <w:i/>
          <w:color w:val="000000"/>
          <w:sz w:val="28"/>
        </w:rPr>
        <w:t>k</w:t>
      </w:r>
      <w:r>
        <w:rPr>
          <w:rFonts w:ascii="Times New Roman"/>
          <w:b w:val="false"/>
          <w:i w:val="false"/>
          <w:color w:val="000000"/>
          <w:vertAlign w:val="subscript"/>
        </w:rPr>
        <w:t>F</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F</w:t>
      </w:r>
      <w:r>
        <w:rPr>
          <w:rFonts w:ascii="Times New Roman"/>
          <w:b w:val="false"/>
          <w:i w:val="false"/>
          <w:color w:val="000000"/>
          <w:sz w:val="28"/>
        </w:rPr>
        <w:t xml:space="preserve"> = 7(1 + </w:t>
      </w:r>
    </w:p>
    <w:p>
      <w:pPr>
        <w:spacing w:after="0"/>
        <w:ind w:left="0"/>
        <w:jc w:val="both"/>
      </w:pPr>
      <w:r>
        <w:drawing>
          <wp:inline distT="0" distB="0" distL="0" distR="0">
            <wp:extent cx="762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620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c</w:t>
      </w:r>
      <w:r>
        <w:rPr>
          <w:rFonts w:ascii="Times New Roman"/>
          <w:b w:val="false"/>
          <w:i w:val="false"/>
          <w:color w:val="000000"/>
          <w:vertAlign w:val="subscript"/>
        </w:rPr>
        <w:t>2</w:t>
      </w:r>
      <w:r>
        <w:rPr>
          <w:rFonts w:ascii="Times New Roman"/>
          <w:b w:val="false"/>
          <w:i w:val="false"/>
          <w:color w:val="000000"/>
          <w:sz w:val="28"/>
        </w:rPr>
        <w:t>, но не более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 xml:space="preserve"> = (L - 100)/30 при 100 </w:t>
      </w:r>
      <w:r>
        <w:rPr>
          <w:rFonts w:ascii="Times New Roman"/>
          <w:b w:val="false"/>
          <w:i w:val="false"/>
          <w:color w:val="000000"/>
          <w:sz w:val="28"/>
          <w:u w:val="single"/>
        </w:rPr>
        <w:t>&lt;</w:t>
      </w:r>
      <w:r>
        <w:rPr>
          <w:rFonts w:ascii="Times New Roman"/>
          <w:b w:val="false"/>
          <w:i w:val="false"/>
          <w:color w:val="000000"/>
          <w:sz w:val="28"/>
        </w:rPr>
        <w:t xml:space="preserve"> L &lt; 130 м;</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xml:space="preserve"> = 1 при 130 </w:t>
      </w:r>
      <w:r>
        <w:rPr>
          <w:rFonts w:ascii="Times New Roman"/>
          <w:b w:val="false"/>
          <w:i w:val="false"/>
          <w:color w:val="000000"/>
          <w:sz w:val="28"/>
          <w:u w:val="single"/>
        </w:rPr>
        <w:t>&lt;</w:t>
      </w:r>
      <w:r>
        <w:rPr>
          <w:rFonts w:ascii="Times New Roman"/>
          <w:b w:val="false"/>
          <w:i w:val="false"/>
          <w:color w:val="000000"/>
          <w:sz w:val="28"/>
        </w:rPr>
        <w:t xml:space="preserve"> L &lt; 170;</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1</w:t>
      </w:r>
      <w:r>
        <w:rPr>
          <w:rFonts w:ascii="Times New Roman"/>
          <w:b w:val="false"/>
          <w:i w:val="false"/>
          <w:color w:val="000000"/>
          <w:sz w:val="28"/>
        </w:rPr>
        <w:t xml:space="preserve"> = 1 - (L - 170)/30 при 170 </w:t>
      </w:r>
      <w:r>
        <w:rPr>
          <w:rFonts w:ascii="Times New Roman"/>
          <w:b w:val="false"/>
          <w:i w:val="false"/>
          <w:color w:val="000000"/>
          <w:sz w:val="28"/>
          <w:u w:val="single"/>
        </w:rPr>
        <w:t>&lt;</w:t>
      </w:r>
      <w:r>
        <w:rPr>
          <w:rFonts w:ascii="Times New Roman"/>
          <w:b w:val="false"/>
          <w:i w:val="false"/>
          <w:color w:val="000000"/>
          <w:sz w:val="28"/>
        </w:rPr>
        <w:t xml:space="preserve"> L </w:t>
      </w:r>
      <w:r>
        <w:rPr>
          <w:rFonts w:ascii="Times New Roman"/>
          <w:b w:val="false"/>
          <w:i w:val="false"/>
          <w:color w:val="000000"/>
          <w:sz w:val="28"/>
          <w:u w:val="single"/>
        </w:rPr>
        <w:t>&lt;</w:t>
      </w:r>
      <w:r>
        <w:rPr>
          <w:rFonts w:ascii="Times New Roman"/>
          <w:b w:val="false"/>
          <w:i w:val="false"/>
          <w:color w:val="000000"/>
          <w:sz w:val="28"/>
        </w:rPr>
        <w:t xml:space="preserve"> 200 м;</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2</w:t>
      </w:r>
      <w:r>
        <w:rPr>
          <w:rFonts w:ascii="Times New Roman"/>
          <w:b w:val="false"/>
          <w:i w:val="false"/>
          <w:color w:val="000000"/>
          <w:sz w:val="28"/>
        </w:rPr>
        <w:t xml:space="preserve"> = 5</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- 0,5 при 0,l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0,3;</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+ 0,7 при 0,3 &lt; </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&lt; 0,4;</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2</w:t>
      </w:r>
      <w:r>
        <w:rPr>
          <w:rFonts w:ascii="Times New Roman"/>
          <w:b w:val="false"/>
          <w:i w:val="false"/>
          <w:color w:val="000000"/>
          <w:sz w:val="28"/>
        </w:rPr>
        <w:t xml:space="preserve"> = 1,1 при </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0,4;</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пункт 168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коэффициент, определяемый по приложению 29 настоящих Правил или приложению 30 настоящих Правил.</w:t>
      </w:r>
      <w:r>
        <w:br/>
      </w:r>
      <w:r>
        <w:rPr>
          <w:rFonts w:ascii="Times New Roman"/>
          <w:b w:val="false"/>
          <w:i w:val="false"/>
          <w:color w:val="000000"/>
          <w:sz w:val="28"/>
        </w:rPr>
        <w:t>
</w:t>
      </w:r>
    </w:p>
    <w:bookmarkStart w:name="z1194" w:id="1198"/>
    <w:p>
      <w:pPr>
        <w:spacing w:after="0"/>
        <w:ind w:left="0"/>
        <w:jc w:val="both"/>
      </w:pPr>
      <w:r>
        <w:rPr>
          <w:rFonts w:ascii="Times New Roman"/>
          <w:b w:val="false"/>
          <w:i w:val="false"/>
          <w:color w:val="000000"/>
          <w:sz w:val="28"/>
        </w:rPr>
        <w:t xml:space="preserve">
      194. Для судов ограниченного района плавания изгибающий момент при ударе волн в развал бортов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вычисленный согласно пункту 193 настоящих Правил, умножают на редукционный коэффициент </w:t>
      </w:r>
    </w:p>
    <w:bookmarkEnd w:id="1198"/>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определяемый по приложению 28 настоящих Правил. Для судов ограниченных районов плавания R3-RSN и R3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 0.</w:t>
      </w:r>
      <w:r>
        <w:br/>
      </w:r>
      <w:r>
        <w:rPr>
          <w:rFonts w:ascii="Times New Roman"/>
          <w:b w:val="false"/>
          <w:i w:val="false"/>
          <w:color w:val="000000"/>
          <w:sz w:val="28"/>
        </w:rPr>
        <w:t>
</w:t>
      </w:r>
    </w:p>
    <w:bookmarkStart w:name="z1195" w:id="1199"/>
    <w:p>
      <w:pPr>
        <w:spacing w:after="0"/>
        <w:ind w:left="0"/>
        <w:jc w:val="left"/>
      </w:pPr>
      <w:r>
        <w:rPr>
          <w:rFonts w:ascii="Times New Roman"/>
          <w:b/>
          <w:i w:val="false"/>
          <w:color w:val="000000"/>
        </w:rPr>
        <w:t xml:space="preserve"> Параграф 5. Момент сопротивления и момент</w:t>
      </w:r>
      <w:r>
        <w:br/>
      </w:r>
      <w:r>
        <w:rPr>
          <w:rFonts w:ascii="Times New Roman"/>
          <w:b/>
          <w:i w:val="false"/>
          <w:color w:val="000000"/>
        </w:rPr>
        <w:t>инерции поперечного сечения корпуса</w:t>
      </w:r>
    </w:p>
    <w:bookmarkEnd w:id="1199"/>
    <w:bookmarkStart w:name="z1196" w:id="1200"/>
    <w:p>
      <w:pPr>
        <w:spacing w:after="0"/>
        <w:ind w:left="0"/>
        <w:jc w:val="both"/>
      </w:pPr>
      <w:r>
        <w:rPr>
          <w:rFonts w:ascii="Times New Roman"/>
          <w:b w:val="false"/>
          <w:i w:val="false"/>
          <w:color w:val="000000"/>
          <w:sz w:val="28"/>
        </w:rPr>
        <w:t>
      195. Настоящие требования регламентируют момент сопротивления и момент инерции поперечного сечения корпуса относительно горизонтальной нейтральной оси.</w:t>
      </w:r>
    </w:p>
    <w:bookmarkEnd w:id="1200"/>
    <w:bookmarkStart w:name="z1197" w:id="1201"/>
    <w:p>
      <w:pPr>
        <w:spacing w:after="0"/>
        <w:ind w:left="0"/>
        <w:jc w:val="both"/>
      </w:pPr>
      <w:r>
        <w:rPr>
          <w:rFonts w:ascii="Times New Roman"/>
          <w:b w:val="false"/>
          <w:i w:val="false"/>
          <w:color w:val="000000"/>
          <w:sz w:val="28"/>
        </w:rPr>
        <w:t>
      196. Момент сопротивления рассматриваемого поперечного сечения корпуса (для палубы и днища) W,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12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w:t>
      </w:r>
      <w:r>
        <w:rPr>
          <w:rFonts w:ascii="Times New Roman"/>
          <w:b w:val="false"/>
          <w:i w:val="false"/>
          <w:color w:val="000000"/>
          <w:vertAlign w:val="subscript"/>
        </w:rPr>
        <w:t>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(36)</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xml:space="preserve">| - расчетный изгибающий момент, кН/м, в рассматриваемом сечении, равный максимуму абсолютной величины алгебраической суммы составляющих моментов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и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xml:space="preserve"> в данном сечении;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-параграф 2 настоящей главы, кН</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w:t>
      </w:r>
      <w:r>
        <w:rPr>
          <w:rFonts w:ascii="Times New Roman"/>
          <w:b w:val="false"/>
          <w:i w:val="false"/>
          <w:color w:val="000000"/>
          <w:sz w:val="28"/>
        </w:rPr>
        <w:t xml:space="preserve"> - параграф 2 настоящей главы;</w:t>
      </w:r>
    </w:p>
    <w:p>
      <w:pPr>
        <w:spacing w:after="0"/>
        <w:ind w:left="0"/>
        <w:jc w:val="both"/>
      </w:pPr>
      <w:r>
        <w:rPr>
          <w:rFonts w:ascii="Times New Roman"/>
          <w:b w:val="false"/>
          <w:i w:val="false"/>
          <w:color w:val="000000"/>
          <w:sz w:val="28"/>
        </w:rPr>
        <w:t>
      175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 МПа.</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4300" cy="1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1202"/>
    <w:p>
      <w:pPr>
        <w:spacing w:after="0"/>
        <w:ind w:left="0"/>
        <w:jc w:val="both"/>
      </w:pPr>
      <w:r>
        <w:rPr>
          <w:rFonts w:ascii="Times New Roman"/>
          <w:b w:val="false"/>
          <w:i w:val="false"/>
          <w:color w:val="000000"/>
          <w:sz w:val="28"/>
        </w:rPr>
        <w:t xml:space="preserve">
      197. В случаях, предусмотренных пунктом 188 настоящих Правил, момент сопротивления </w:t>
      </w:r>
      <w:r>
        <w:rPr>
          <w:rFonts w:ascii="Times New Roman"/>
          <w:b w:val="false"/>
          <w:i/>
          <w:color w:val="000000"/>
          <w:sz w:val="28"/>
        </w:rPr>
        <w:t>W</w:t>
      </w:r>
      <w:r>
        <w:rPr>
          <w:rFonts w:ascii="Times New Roman"/>
          <w:b w:val="false"/>
          <w:i w:val="false"/>
          <w:color w:val="000000"/>
          <w:sz w:val="28"/>
        </w:rPr>
        <w:t xml:space="preserve">, определенный согласно пункту 196 настоящих Правил, умножают на коэффициент </w:t>
      </w:r>
      <w:r>
        <w:rPr>
          <w:rFonts w:ascii="Times New Roman"/>
          <w:b w:val="false"/>
          <w:i/>
          <w:color w:val="000000"/>
          <w:sz w:val="28"/>
        </w:rPr>
        <w:t>m</w:t>
      </w:r>
      <w:r>
        <w:rPr>
          <w:rFonts w:ascii="Times New Roman"/>
          <w:b w:val="false"/>
          <w:i w:val="false"/>
          <w:color w:val="000000"/>
          <w:sz w:val="28"/>
        </w:rPr>
        <w:t>, определяемый по формуле:</w:t>
      </w:r>
    </w:p>
    <w:bookmarkEnd w:id="1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299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0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003300" cy="330200"/>
                    </a:xfrm>
                    <a:prstGeom prst="rect">
                      <a:avLst/>
                    </a:prstGeom>
                  </pic:spPr>
                </pic:pic>
              </a:graphicData>
            </a:graphic>
          </wp:inline>
        </w:drawing>
      </w:r>
    </w:p>
    <w:p>
      <w:pPr>
        <w:spacing w:after="0"/>
        <w:ind w:left="0"/>
        <w:jc w:val="left"/>
      </w:pPr>
      <w:r>
        <w:rPr>
          <w:rFonts w:ascii="Times New Roman"/>
          <w:b w:val="false"/>
          <w:i w:val="false"/>
          <w:color w:val="000000"/>
          <w:sz w:val="28"/>
        </w:rPr>
        <w:t>- абсолютные величины перегибающего и прогибающего моментов в сечении с максимальным размахом, кН</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м (приложение 22 настоящих Правил), но не менее 1.</w:t>
      </w:r>
      <w:r>
        <w:br/>
      </w:r>
      <w:r>
        <w:rPr>
          <w:rFonts w:ascii="Times New Roman"/>
          <w:b w:val="false"/>
          <w:i w:val="false"/>
          <w:color w:val="000000"/>
          <w:sz w:val="28"/>
        </w:rPr>
        <w:t>
</w:t>
      </w:r>
    </w:p>
    <w:bookmarkStart w:name="z1199" w:id="1203"/>
    <w:p>
      <w:pPr>
        <w:spacing w:after="0"/>
        <w:ind w:left="0"/>
        <w:jc w:val="both"/>
      </w:pPr>
      <w:r>
        <w:rPr>
          <w:rFonts w:ascii="Times New Roman"/>
          <w:b w:val="false"/>
          <w:i w:val="false"/>
          <w:color w:val="000000"/>
          <w:sz w:val="28"/>
        </w:rPr>
        <w:t xml:space="preserve">
      198. Момент сопротивления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рассматриваемого поперечного сечения корпуса судна, для которого учитывается изгибающий момент от удара волн в развал бортов согласно параграфу 4 настоящей главы Правил, равен не менее определяемого по формуле:</w:t>
      </w:r>
    </w:p>
    <w:bookmarkEnd w:id="120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т</w:t>
      </w:r>
    </w:p>
    <w:p>
      <w:pPr>
        <w:spacing w:after="0"/>
        <w:ind w:left="0"/>
        <w:jc w:val="both"/>
      </w:pPr>
      <w:r>
        <w:rPr>
          <w:rFonts w:ascii="Times New Roman"/>
          <w:b w:val="false"/>
          <w:i w:val="false"/>
          <w:color w:val="000000"/>
          <w:sz w:val="28"/>
        </w:rPr>
        <w:t xml:space="preserve">
      W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(38)</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03200" cy="17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 расчетный изгибающий момент, кН?м, в рассматриваемом сечении, равный максимуму абсолютной величины алгебраической суммы составляющих моментов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xml:space="preserve"> и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в данном сечении;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наибольший прогибающий изгибающий момент на тихой воде в рассматриваемом сечении или наименьший перегибающий момент, если в данном сечении действуют только перегибающие моменты, кН</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w:t>
      </w:r>
      <w:r>
        <w:rPr>
          <w:rFonts w:ascii="Times New Roman"/>
          <w:b w:val="false"/>
          <w:i w:val="false"/>
          <w:color w:val="000000"/>
          <w:sz w:val="28"/>
        </w:rPr>
        <w:t xml:space="preserve"> - волновой изгибающий момент, вызывающий прогиб судна (параграф 3 настоящей главы);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 параграф 4 настоящей главы;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196 настоящих Правил.</w:t>
      </w:r>
      <w:r>
        <w:br/>
      </w:r>
      <w:r>
        <w:rPr>
          <w:rFonts w:ascii="Times New Roman"/>
          <w:b w:val="false"/>
          <w:i w:val="false"/>
          <w:color w:val="000000"/>
          <w:sz w:val="28"/>
        </w:rPr>
        <w:t>
</w:t>
      </w:r>
    </w:p>
    <w:bookmarkStart w:name="z1200" w:id="1204"/>
    <w:p>
      <w:pPr>
        <w:spacing w:after="0"/>
        <w:ind w:left="0"/>
        <w:jc w:val="both"/>
      </w:pPr>
      <w:r>
        <w:rPr>
          <w:rFonts w:ascii="Times New Roman"/>
          <w:b w:val="false"/>
          <w:i w:val="false"/>
          <w:color w:val="000000"/>
          <w:sz w:val="28"/>
        </w:rPr>
        <w:t>
      199. Момент сопротивления корпуса, определенный согласно пунктов 196-198 настоящих Правил, для наибольшего расчетного изгибающего момента, сохраняется постоянным в средней части судна (в пределах 0,4</w:t>
      </w:r>
      <w:r>
        <w:rPr>
          <w:rFonts w:ascii="Times New Roman"/>
          <w:b w:val="false"/>
          <w:i/>
          <w:color w:val="000000"/>
          <w:sz w:val="28"/>
        </w:rPr>
        <w:t>L</w:t>
      </w:r>
      <w:r>
        <w:rPr>
          <w:rFonts w:ascii="Times New Roman"/>
          <w:b w:val="false"/>
          <w:i w:val="false"/>
          <w:color w:val="000000"/>
          <w:sz w:val="28"/>
        </w:rPr>
        <w:t>). Однако, если максимум расчетного изгибающего момента находится вне пределов средней части судна, требование постоянства момента сопротивления распространяется по длине судна вплоть до сечения, в котором действует максимальный расчетный изгибающий момент.</w:t>
      </w:r>
    </w:p>
    <w:bookmarkEnd w:id="1204"/>
    <w:bookmarkStart w:name="z1201" w:id="1205"/>
    <w:p>
      <w:pPr>
        <w:spacing w:after="0"/>
        <w:ind w:left="0"/>
        <w:jc w:val="both"/>
      </w:pPr>
      <w:r>
        <w:rPr>
          <w:rFonts w:ascii="Times New Roman"/>
          <w:b w:val="false"/>
          <w:i w:val="false"/>
          <w:color w:val="000000"/>
          <w:sz w:val="28"/>
        </w:rPr>
        <w:t>
      Момент сопротивления плавно уменьшается к оконечностям судна за пределами части судна, в которой он сохраняется постоянным.</w:t>
      </w:r>
    </w:p>
    <w:bookmarkEnd w:id="1205"/>
    <w:bookmarkStart w:name="z1202" w:id="1206"/>
    <w:p>
      <w:pPr>
        <w:spacing w:after="0"/>
        <w:ind w:left="0"/>
        <w:jc w:val="both"/>
      </w:pPr>
      <w:r>
        <w:rPr>
          <w:rFonts w:ascii="Times New Roman"/>
          <w:b w:val="false"/>
          <w:i w:val="false"/>
          <w:color w:val="000000"/>
          <w:sz w:val="28"/>
        </w:rPr>
        <w:t>
      200. Для судов с острыми обводами, не имеющих цилиндрической вставки, по согласованию с Регистром судоходства допускается отступление от требований пункта 199 настоящих Правил.</w:t>
      </w:r>
    </w:p>
    <w:bookmarkEnd w:id="1206"/>
    <w:bookmarkStart w:name="z1203" w:id="1207"/>
    <w:p>
      <w:pPr>
        <w:spacing w:after="0"/>
        <w:ind w:left="0"/>
        <w:jc w:val="both"/>
      </w:pPr>
      <w:r>
        <w:rPr>
          <w:rFonts w:ascii="Times New Roman"/>
          <w:b w:val="false"/>
          <w:i w:val="false"/>
          <w:color w:val="000000"/>
          <w:sz w:val="28"/>
        </w:rPr>
        <w:t>
      201. Во всех случаях момент сопротивления поперечного сечения корпуса в средней части судна (для палубы и днища),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120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2</w:t>
      </w:r>
      <w:r>
        <w:rPr>
          <w:rFonts w:ascii="Times New Roman"/>
          <w:b w:val="false"/>
          <w:i w:val="false"/>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пункт 168 настоящих Правил.</w:t>
      </w:r>
    </w:p>
    <w:bookmarkStart w:name="z1204" w:id="1208"/>
    <w:p>
      <w:pPr>
        <w:spacing w:after="0"/>
        <w:ind w:left="0"/>
        <w:jc w:val="both"/>
      </w:pPr>
      <w:r>
        <w:rPr>
          <w:rFonts w:ascii="Times New Roman"/>
          <w:b w:val="false"/>
          <w:i w:val="false"/>
          <w:color w:val="000000"/>
          <w:sz w:val="28"/>
        </w:rPr>
        <w:t>
      Для судов ограниченного района плавания минимальный момент сопротивления поперечного сечения корпуса в средней части судна (для палубы и днища), см</w:t>
      </w:r>
      <w:r>
        <w:rPr>
          <w:rFonts w:ascii="Times New Roman"/>
          <w:b w:val="false"/>
          <w:i w:val="false"/>
          <w:color w:val="000000"/>
          <w:vertAlign w:val="superscript"/>
        </w:rPr>
        <w:t>3</w:t>
      </w:r>
      <w:r>
        <w:rPr>
          <w:rFonts w:ascii="Times New Roman"/>
          <w:b w:val="false"/>
          <w:i w:val="false"/>
          <w:color w:val="000000"/>
          <w:sz w:val="28"/>
        </w:rPr>
        <w:t xml:space="preserve">, равен не менее большей из величин </w:t>
      </w:r>
      <w:r>
        <w:rPr>
          <w:rFonts w:ascii="Times New Roman"/>
          <w:b w:val="false"/>
          <w:i/>
          <w:color w:val="000000"/>
          <w:sz w:val="28"/>
        </w:rPr>
        <w:t>W</w:t>
      </w:r>
      <w:r>
        <w:rPr>
          <w:rFonts w:ascii="Times New Roman"/>
          <w:b w:val="false"/>
          <w:i w:val="false"/>
          <w:color w:val="000000"/>
          <w:vertAlign w:val="subscript"/>
        </w:rPr>
        <w:t>min1</w:t>
      </w:r>
      <w:r>
        <w:rPr>
          <w:rFonts w:ascii="Times New Roman"/>
          <w:b w:val="false"/>
          <w:i w:val="false"/>
          <w:color w:val="000000"/>
          <w:sz w:val="28"/>
        </w:rPr>
        <w:t xml:space="preserve"> или </w:t>
      </w:r>
      <w:r>
        <w:rPr>
          <w:rFonts w:ascii="Times New Roman"/>
          <w:b w:val="false"/>
          <w:i/>
          <w:color w:val="000000"/>
          <w:sz w:val="28"/>
        </w:rPr>
        <w:t>W</w:t>
      </w:r>
      <w:r>
        <w:rPr>
          <w:rFonts w:ascii="Times New Roman"/>
          <w:b w:val="false"/>
          <w:i w:val="false"/>
          <w:color w:val="000000"/>
          <w:vertAlign w:val="subscript"/>
        </w:rPr>
        <w:t>min2</w:t>
      </w:r>
      <w:r>
        <w:rPr>
          <w:rFonts w:ascii="Times New Roman"/>
          <w:b w:val="false"/>
          <w:i w:val="false"/>
          <w:color w:val="000000"/>
          <w:sz w:val="28"/>
        </w:rPr>
        <w:t>, определяемых по следующим формулам:</w:t>
      </w:r>
    </w:p>
    <w:bookmarkEnd w:id="120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min1</w:t>
      </w:r>
      <w:r>
        <w:rPr>
          <w:rFonts w:ascii="Times New Roman"/>
          <w:b w:val="false"/>
          <w:i w:val="false"/>
          <w:color w:val="000000"/>
          <w:sz w:val="28"/>
        </w:rPr>
        <w:t xml:space="preserve"> =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min2</w:t>
      </w:r>
      <w:r>
        <w:rPr>
          <w:rFonts w:ascii="Times New Roman"/>
          <w:b w:val="false"/>
          <w:i w:val="false"/>
          <w:color w:val="000000"/>
          <w:sz w:val="28"/>
        </w:rPr>
        <w:t xml:space="preserve"> = 0,95</w:t>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2400" cy="254000"/>
                    </a:xfrm>
                    <a:prstGeom prst="rect">
                      <a:avLst/>
                    </a:prstGeom>
                  </pic:spPr>
                </pic:pic>
              </a:graphicData>
            </a:graphic>
          </wp:inline>
        </w:drawing>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03200" cy="203200"/>
                    </a:xfrm>
                    <a:prstGeom prst="rect">
                      <a:avLst/>
                    </a:prstGeom>
                  </pic:spPr>
                </pic:pic>
              </a:graphicData>
            </a:graphic>
          </wp:inline>
        </w:drawing>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color w:val="000000"/>
          <w:sz w:val="28"/>
        </w:rPr>
        <w:t xml:space="preserve"> W</w:t>
      </w:r>
      <w:r>
        <w:rPr>
          <w:rFonts w:ascii="Times New Roman"/>
          <w:b w:val="false"/>
          <w:i w:val="false"/>
          <w:color w:val="000000"/>
          <w:vertAlign w:val="subscript"/>
        </w:rPr>
        <w:t>min</w:t>
      </w:r>
      <w:r>
        <w:rPr>
          <w:rFonts w:ascii="Times New Roman"/>
          <w:b w:val="false"/>
          <w:i w:val="false"/>
          <w:color w:val="000000"/>
          <w:sz w:val="28"/>
        </w:rPr>
        <w:t>,                  (41)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приложение 28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2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формула (33)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формула (34) настоящих Правил.</w:t>
      </w:r>
      <w:r>
        <w:br/>
      </w:r>
      <w:r>
        <w:rPr>
          <w:rFonts w:ascii="Times New Roman"/>
          <w:b w:val="false"/>
          <w:i w:val="false"/>
          <w:color w:val="000000"/>
          <w:sz w:val="28"/>
        </w:rPr>
        <w:t>
</w:t>
      </w:r>
    </w:p>
    <w:bookmarkStart w:name="z1205" w:id="1209"/>
    <w:p>
      <w:pPr>
        <w:spacing w:after="0"/>
        <w:ind w:left="0"/>
        <w:jc w:val="both"/>
      </w:pPr>
      <w:r>
        <w:rPr>
          <w:rFonts w:ascii="Times New Roman"/>
          <w:b w:val="false"/>
          <w:i w:val="false"/>
          <w:color w:val="000000"/>
          <w:sz w:val="28"/>
        </w:rPr>
        <w:t>
      202. Размеры всех непрерывных продольных элементов корпуса, обеспечивающих требуемый в пункте 201 настоящих Правил момент сопротивления корпуса, должны сохраняться неизменными в пределах средней части судна Однако в отдельных случаях с учетом типа судна, формы корпуса и возможных вариантов загрузки допускается плавное уменьшение размеров этих связей к концам средней части, принимая во внимание, что указанное уменьшение не приведет к ограничениям при выполнении погрузоразгрузочных операций.</w:t>
      </w:r>
    </w:p>
    <w:bookmarkEnd w:id="1209"/>
    <w:bookmarkStart w:name="z1206" w:id="1210"/>
    <w:p>
      <w:pPr>
        <w:spacing w:after="0"/>
        <w:ind w:left="0"/>
        <w:jc w:val="both"/>
      </w:pPr>
      <w:r>
        <w:rPr>
          <w:rFonts w:ascii="Times New Roman"/>
          <w:b w:val="false"/>
          <w:i w:val="false"/>
          <w:color w:val="000000"/>
          <w:sz w:val="28"/>
        </w:rPr>
        <w:t xml:space="preserve">
      203. Момент инерции поперечного сечения корпуса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в средней части судна равен не менее определяемого по формуле:</w:t>
      </w:r>
    </w:p>
    <w:bookmarkEnd w:id="121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min</w:t>
      </w:r>
      <w:r>
        <w:rPr>
          <w:rFonts w:ascii="Times New Roman"/>
          <w:b w:val="false"/>
          <w:i w:val="false"/>
          <w:color w:val="000000"/>
          <w:sz w:val="28"/>
        </w:rPr>
        <w:t xml:space="preserve"> = 3</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3</w:t>
      </w:r>
      <w:r>
        <w:rPr>
          <w:rFonts w:ascii="Times New Roman"/>
          <w:b w:val="false"/>
          <w:i w:val="false"/>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+ 0,7),                (42)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-пункт 168 настоящих Правил.</w:t>
      </w:r>
    </w:p>
    <w:bookmarkStart w:name="z1207" w:id="1211"/>
    <w:p>
      <w:pPr>
        <w:spacing w:after="0"/>
        <w:ind w:left="0"/>
        <w:jc w:val="both"/>
      </w:pPr>
      <w:r>
        <w:rPr>
          <w:rFonts w:ascii="Times New Roman"/>
          <w:b w:val="false"/>
          <w:i w:val="false"/>
          <w:color w:val="000000"/>
          <w:sz w:val="28"/>
        </w:rPr>
        <w:t xml:space="preserve">
      Для судов ограниченного района плавания </w:t>
      </w:r>
      <w:r>
        <w:rPr>
          <w:rFonts w:ascii="Times New Roman"/>
          <w:b w:val="false"/>
          <w:i/>
          <w:color w:val="000000"/>
          <w:sz w:val="28"/>
        </w:rPr>
        <w:t>I</w:t>
      </w:r>
      <w:r>
        <w:rPr>
          <w:rFonts w:ascii="Times New Roman"/>
          <w:b w:val="false"/>
          <w:i w:val="false"/>
          <w:color w:val="000000"/>
          <w:vertAlign w:val="subscript"/>
        </w:rPr>
        <w:t>min</w:t>
      </w:r>
      <w:r>
        <w:rPr>
          <w:rFonts w:ascii="Times New Roman"/>
          <w:b w:val="false"/>
          <w:i w:val="false"/>
          <w:color w:val="000000"/>
          <w:sz w:val="28"/>
        </w:rPr>
        <w:t xml:space="preserve"> умножают на редукционный коэффициент </w:t>
      </w:r>
    </w:p>
    <w:bookmarkEnd w:id="1211"/>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определяемый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01600" cy="1270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LD</w:t>
      </w:r>
      <w:r>
        <w:rPr>
          <w:rFonts w:ascii="Times New Roman"/>
          <w:b w:val="false"/>
          <w:i w:val="false"/>
          <w:color w:val="000000"/>
          <w:sz w:val="28"/>
        </w:rPr>
        <w:t>)</w:t>
      </w:r>
      <w:r>
        <w:rPr>
          <w:rFonts w:ascii="Times New Roman"/>
          <w:b w:val="false"/>
          <w:i w:val="false"/>
          <w:color w:val="000000"/>
          <w:vertAlign w:val="subscript"/>
        </w:rPr>
        <w:t>max</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приложение 28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133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L/D</w:t>
      </w:r>
      <w:r>
        <w:rPr>
          <w:rFonts w:ascii="Times New Roman"/>
          <w:b w:val="false"/>
          <w:i w:val="false"/>
          <w:color w:val="000000"/>
          <w:sz w:val="28"/>
        </w:rPr>
        <w:t>)</w:t>
      </w:r>
      <w:r>
        <w:rPr>
          <w:rFonts w:ascii="Times New Roman"/>
          <w:b w:val="false"/>
          <w:i w:val="false"/>
          <w:color w:val="000000"/>
          <w:vertAlign w:val="subscript"/>
        </w:rPr>
        <w:t>max</w:t>
      </w:r>
      <w:r>
        <w:rPr>
          <w:rFonts w:ascii="Times New Roman"/>
          <w:b w:val="false"/>
          <w:i w:val="false"/>
          <w:color w:val="000000"/>
          <w:sz w:val="28"/>
        </w:rPr>
        <w:t xml:space="preserve"> - определяемое согласно приложению 6 настоящих Правил, максимально допустимое значение </w:t>
      </w:r>
      <w:r>
        <w:rPr>
          <w:rFonts w:ascii="Times New Roman"/>
          <w:b w:val="false"/>
          <w:i/>
          <w:color w:val="000000"/>
          <w:sz w:val="28"/>
        </w:rPr>
        <w:t>L/D</w:t>
      </w:r>
      <w:r>
        <w:rPr>
          <w:rFonts w:ascii="Times New Roman"/>
          <w:b w:val="false"/>
          <w:i w:val="false"/>
          <w:color w:val="000000"/>
          <w:sz w:val="28"/>
        </w:rPr>
        <w:t xml:space="preserve"> для рассматриваемого района плавания.</w:t>
      </w:r>
    </w:p>
    <w:bookmarkStart w:name="z1208" w:id="1212"/>
    <w:p>
      <w:pPr>
        <w:spacing w:after="0"/>
        <w:ind w:left="0"/>
        <w:jc w:val="left"/>
      </w:pPr>
      <w:r>
        <w:rPr>
          <w:rFonts w:ascii="Times New Roman"/>
          <w:b/>
          <w:i w:val="false"/>
          <w:color w:val="000000"/>
        </w:rPr>
        <w:t xml:space="preserve"> Параграф 6. Толщина бортовой обшивки и обшивки</w:t>
      </w:r>
      <w:r>
        <w:br/>
      </w:r>
      <w:r>
        <w:rPr>
          <w:rFonts w:ascii="Times New Roman"/>
          <w:b/>
          <w:i w:val="false"/>
          <w:color w:val="000000"/>
        </w:rPr>
        <w:t>непрерывных продольных переборок</w:t>
      </w:r>
    </w:p>
    <w:bookmarkEnd w:id="1212"/>
    <w:bookmarkStart w:name="z1209" w:id="1213"/>
    <w:p>
      <w:pPr>
        <w:spacing w:after="0"/>
        <w:ind w:left="0"/>
        <w:jc w:val="both"/>
      </w:pPr>
      <w:r>
        <w:rPr>
          <w:rFonts w:ascii="Times New Roman"/>
          <w:b w:val="false"/>
          <w:i w:val="false"/>
          <w:color w:val="000000"/>
          <w:sz w:val="28"/>
        </w:rPr>
        <w:t>
      204. Толщина бортовой обшивки s, мм, в рассматриваемом сечении по длине судна и высоте борта при отсутствии продольных переборок равна не менее определяемой по формуле:</w:t>
      </w:r>
    </w:p>
    <w:bookmarkEnd w:id="1213"/>
    <w:p>
      <w:pPr>
        <w:spacing w:after="0"/>
        <w:ind w:left="0"/>
        <w:jc w:val="both"/>
      </w:pPr>
      <w:r>
        <w:rPr>
          <w:rFonts w:ascii="Times New Roman"/>
          <w:b w:val="false"/>
          <w:i w:val="false"/>
          <w:color w:val="000000"/>
          <w:sz w:val="28"/>
        </w:rPr>
        <w:t>
                             0,5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color w:val="000000"/>
          <w:sz w:val="28"/>
        </w:rPr>
        <w:t xml:space="preserve"> + N</w:t>
      </w:r>
      <w:r>
        <w:rPr>
          <w:rFonts w:ascii="Times New Roman"/>
          <w:b w:val="false"/>
          <w:i w:val="false"/>
          <w:color w:val="000000"/>
          <w:vertAlign w:val="subscript"/>
        </w:rPr>
        <w:t>w</w:t>
      </w:r>
      <w:r>
        <w:rPr>
          <w:rFonts w:ascii="Times New Roman"/>
          <w:b w:val="false"/>
          <w:i w:val="false"/>
          <w:color w:val="000000"/>
          <w:sz w:val="28"/>
        </w:rPr>
        <w:t>) S</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(44)</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 пункт 186 настоящих Правил,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w</w:t>
      </w:r>
      <w:r>
        <w:rPr>
          <w:rFonts w:ascii="Times New Roman"/>
          <w:b w:val="false"/>
          <w:i w:val="false"/>
          <w:color w:val="000000"/>
          <w:sz w:val="28"/>
        </w:rPr>
        <w:t xml:space="preserve"> -пункты 190 и 191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110/</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МПа.</w:t>
      </w:r>
      <w:r>
        <w:br/>
      </w:r>
      <w:r>
        <w:rPr>
          <w:rFonts w:ascii="Times New Roman"/>
          <w:b w:val="false"/>
          <w:i w:val="false"/>
          <w:color w:val="000000"/>
          <w:sz w:val="28"/>
        </w:rPr>
        <w:t>
</w:t>
      </w:r>
    </w:p>
    <w:bookmarkStart w:name="z1210" w:id="1214"/>
    <w:p>
      <w:pPr>
        <w:spacing w:after="0"/>
        <w:ind w:left="0"/>
        <w:jc w:val="both"/>
      </w:pPr>
      <w:r>
        <w:rPr>
          <w:rFonts w:ascii="Times New Roman"/>
          <w:b w:val="false"/>
          <w:i w:val="false"/>
          <w:color w:val="000000"/>
          <w:sz w:val="28"/>
        </w:rPr>
        <w:t xml:space="preserve">
      205. Толщина бортовой обшивки ss и толщина обшивки продольной переборки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val="false"/>
          <w:color w:val="000000"/>
          <w:sz w:val="28"/>
        </w:rPr>
        <w:t>, мм, в рассматриваемом сечении корпуса при наличии двух плоских продольных переборок равна не менее определяемых по формулам:</w:t>
      </w:r>
    </w:p>
    <w:bookmarkEnd w:id="121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color w:val="000000"/>
          <w:sz w:val="28"/>
        </w:rPr>
        <w:t xml:space="preserve"> + N</w:t>
      </w:r>
      <w:r>
        <w:rPr>
          <w:rFonts w:ascii="Times New Roman"/>
          <w:b w:val="false"/>
          <w:i w:val="false"/>
          <w:color w:val="000000"/>
          <w:vertAlign w:val="subscript"/>
        </w:rPr>
        <w:t>w</w:t>
      </w:r>
      <w:r>
        <w:rPr>
          <w:rFonts w:ascii="Times New Roman"/>
          <w:b w:val="false"/>
          <w:i w:val="false"/>
          <w:color w:val="000000"/>
          <w:sz w:val="28"/>
        </w:rPr>
        <w:t xml:space="preserve">  S</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s</w:t>
      </w:r>
      <w:r>
        <w:rPr>
          <w:rFonts w:ascii="Times New Roman"/>
          <w:b w:val="false"/>
          <w:i w:val="false"/>
          <w:color w:val="000000"/>
          <w:sz w:val="28"/>
        </w:rPr>
        <w:t xml:space="preserve"> = --------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s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                     (45)</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color w:val="000000"/>
          <w:sz w:val="28"/>
        </w:rPr>
        <w:t xml:space="preserve"> + N</w:t>
      </w:r>
      <w:r>
        <w:rPr>
          <w:rFonts w:ascii="Times New Roman"/>
          <w:b w:val="false"/>
          <w:i w:val="false"/>
          <w:color w:val="000000"/>
          <w:vertAlign w:val="subscript"/>
        </w:rPr>
        <w:t>w</w:t>
      </w:r>
      <w:r>
        <w:rPr>
          <w:rFonts w:ascii="Times New Roman"/>
          <w:b w:val="false"/>
          <w:i w:val="false"/>
          <w:color w:val="000000"/>
          <w:sz w:val="28"/>
        </w:rPr>
        <w:t xml:space="preserve">  S</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l</w:t>
      </w:r>
      <w:r>
        <w:rPr>
          <w:rFonts w:ascii="Times New Roman"/>
          <w:b w:val="false"/>
          <w:i w:val="false"/>
          <w:color w:val="000000"/>
          <w:sz w:val="28"/>
        </w:rPr>
        <w:t xml:space="preserve"> = --------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l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                     (46)</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w</w:t>
      </w: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-пункт 204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 0,27;</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 xml:space="preserve"> </w:t>
      </w:r>
      <w:r>
        <w:rPr>
          <w:rFonts w:ascii="Times New Roman"/>
          <w:b w:val="false"/>
          <w:i w:val="false"/>
          <w:color w:val="000000"/>
          <w:sz w:val="28"/>
        </w:rPr>
        <w:t>= 0,23.</w:t>
      </w:r>
      <w:r>
        <w:br/>
      </w:r>
      <w:r>
        <w:rPr>
          <w:rFonts w:ascii="Times New Roman"/>
          <w:b w:val="false"/>
          <w:i w:val="false"/>
          <w:color w:val="000000"/>
          <w:sz w:val="28"/>
        </w:rPr>
        <w:t>
</w:t>
      </w:r>
    </w:p>
    <w:bookmarkStart w:name="z1211" w:id="1215"/>
    <w:p>
      <w:pPr>
        <w:spacing w:after="0"/>
        <w:ind w:left="0"/>
        <w:jc w:val="both"/>
      </w:pPr>
      <w:r>
        <w:rPr>
          <w:rFonts w:ascii="Times New Roman"/>
          <w:b w:val="false"/>
          <w:i w:val="false"/>
          <w:color w:val="000000"/>
          <w:sz w:val="28"/>
        </w:rPr>
        <w:t>
      206. При наличии одной или более двух непрерывных плоских продольных переборок, а также продольных переборок с горизонтальными гофрами необходимая толщина борта и этих связей определяется расчетом по методике, одобренной Регистром судоходства.</w:t>
      </w:r>
    </w:p>
    <w:bookmarkEnd w:id="1215"/>
    <w:bookmarkStart w:name="z1212" w:id="1216"/>
    <w:p>
      <w:pPr>
        <w:spacing w:after="0"/>
        <w:ind w:left="0"/>
        <w:jc w:val="both"/>
      </w:pPr>
      <w:r>
        <w:rPr>
          <w:rFonts w:ascii="Times New Roman"/>
          <w:b w:val="false"/>
          <w:i w:val="false"/>
          <w:color w:val="000000"/>
          <w:sz w:val="28"/>
        </w:rPr>
        <w:t>
      Соответствующий расчет потребуется также при двух непрерывных продольных переборках, если возможно существенно неравномерное распределение нагрузок по ширине судна.</w:t>
      </w:r>
    </w:p>
    <w:bookmarkEnd w:id="1216"/>
    <w:bookmarkStart w:name="z1213" w:id="1217"/>
    <w:p>
      <w:pPr>
        <w:spacing w:after="0"/>
        <w:ind w:left="0"/>
        <w:jc w:val="left"/>
      </w:pPr>
      <w:r>
        <w:rPr>
          <w:rFonts w:ascii="Times New Roman"/>
          <w:b/>
          <w:i w:val="false"/>
          <w:color w:val="000000"/>
        </w:rPr>
        <w:t xml:space="preserve"> Параграф 7. Расчет фактического момента сопротивления</w:t>
      </w:r>
      <w:r>
        <w:br/>
      </w:r>
      <w:r>
        <w:rPr>
          <w:rFonts w:ascii="Times New Roman"/>
          <w:b/>
          <w:i w:val="false"/>
          <w:color w:val="000000"/>
        </w:rPr>
        <w:t>поперечного сечения корпуса</w:t>
      </w:r>
    </w:p>
    <w:bookmarkEnd w:id="1217"/>
    <w:bookmarkStart w:name="z1214" w:id="1218"/>
    <w:p>
      <w:pPr>
        <w:spacing w:after="0"/>
        <w:ind w:left="0"/>
        <w:jc w:val="both"/>
      </w:pPr>
      <w:r>
        <w:rPr>
          <w:rFonts w:ascii="Times New Roman"/>
          <w:b w:val="false"/>
          <w:i w:val="false"/>
          <w:color w:val="000000"/>
          <w:sz w:val="28"/>
        </w:rPr>
        <w:t>
      207. Момент сопротивления сечения корпуса определяется:</w:t>
      </w:r>
    </w:p>
    <w:bookmarkEnd w:id="1218"/>
    <w:p>
      <w:pPr>
        <w:spacing w:after="0"/>
        <w:ind w:left="0"/>
        <w:jc w:val="both"/>
      </w:pPr>
      <w:r>
        <w:rPr>
          <w:rFonts w:ascii="Times New Roman"/>
          <w:b w:val="false"/>
          <w:i w:val="false"/>
          <w:color w:val="000000"/>
          <w:sz w:val="28"/>
        </w:rPr>
        <w:t xml:space="preserve">
      для расчетной палубы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sz w:val="28"/>
        </w:rPr>
        <w:t xml:space="preserve"> - для точек теоретической палубной линии у борта (нижняя кромка палубного стрингера);</w:t>
      </w:r>
    </w:p>
    <w:p>
      <w:pPr>
        <w:spacing w:after="0"/>
        <w:ind w:left="0"/>
        <w:jc w:val="both"/>
      </w:pPr>
      <w:r>
        <w:rPr>
          <w:rFonts w:ascii="Times New Roman"/>
          <w:b w:val="false"/>
          <w:i w:val="false"/>
          <w:color w:val="000000"/>
          <w:sz w:val="28"/>
        </w:rPr>
        <w:t xml:space="preserve">
      для днища </w:t>
      </w:r>
      <w:r>
        <w:rPr>
          <w:rFonts w:ascii="Times New Roman"/>
          <w:b w:val="false"/>
          <w:i/>
          <w:color w:val="000000"/>
          <w:sz w:val="28"/>
        </w:rPr>
        <w:t>W</w:t>
      </w:r>
      <w:r>
        <w:rPr>
          <w:rFonts w:ascii="Times New Roman"/>
          <w:b w:val="false"/>
          <w:i w:val="false"/>
          <w:color w:val="000000"/>
          <w:vertAlign w:val="subscript"/>
        </w:rPr>
        <w:t>b</w:t>
      </w:r>
      <w:r>
        <w:rPr>
          <w:rFonts w:ascii="Times New Roman"/>
          <w:b w:val="false"/>
          <w:i w:val="false"/>
          <w:color w:val="000000"/>
          <w:sz w:val="28"/>
        </w:rPr>
        <w:t xml:space="preserve"> - для теоретической основной линии корпуса (верхняя кромка горизонтального киля).</w:t>
      </w:r>
    </w:p>
    <w:bookmarkStart w:name="z1215" w:id="1219"/>
    <w:p>
      <w:pPr>
        <w:spacing w:after="0"/>
        <w:ind w:left="0"/>
        <w:jc w:val="both"/>
      </w:pPr>
      <w:r>
        <w:rPr>
          <w:rFonts w:ascii="Times New Roman"/>
          <w:b w:val="false"/>
          <w:i w:val="false"/>
          <w:color w:val="000000"/>
          <w:sz w:val="28"/>
        </w:rPr>
        <w:t xml:space="preserve">
      Для судов с надпалубными непрерывными продольными связями, включая ящик и непрерывные продольные комингсы,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sz w:val="28"/>
        </w:rPr>
        <w:t xml:space="preserve"> определяется делением момента инерции сечения корпуса относительно горизонтальной нейтральной оси на величину </w:t>
      </w:r>
      <w:r>
        <w:rPr>
          <w:rFonts w:ascii="Times New Roman"/>
          <w:b w:val="false"/>
          <w:i/>
          <w:color w:val="000000"/>
          <w:sz w:val="28"/>
        </w:rPr>
        <w:t>z</w:t>
      </w:r>
      <w:r>
        <w:rPr>
          <w:rFonts w:ascii="Times New Roman"/>
          <w:b w:val="false"/>
          <w:i w:val="false"/>
          <w:color w:val="000000"/>
          <w:vertAlign w:val="subscript"/>
        </w:rPr>
        <w:t>т</w:t>
      </w:r>
      <w:r>
        <w:rPr>
          <w:rFonts w:ascii="Times New Roman"/>
          <w:b w:val="false"/>
          <w:i w:val="false"/>
          <w:color w:val="000000"/>
          <w:sz w:val="28"/>
        </w:rPr>
        <w:t>, определяемую по формуле:</w:t>
      </w:r>
    </w:p>
    <w:bookmarkEnd w:id="1219"/>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sz w:val="28"/>
        </w:rPr>
        <w:t>(0,9 + 0,2</w:t>
      </w:r>
      <w:r>
        <w:rPr>
          <w:rFonts w:ascii="Times New Roman"/>
          <w:b w:val="false"/>
          <w:i/>
          <w:color w:val="000000"/>
          <w:sz w:val="28"/>
        </w:rPr>
        <w:t>y</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(47)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z</w:t>
      </w:r>
      <w:r>
        <w:rPr>
          <w:rFonts w:ascii="Times New Roman"/>
          <w:b w:val="false"/>
          <w:i w:val="false"/>
          <w:color w:val="000000"/>
          <w:sz w:val="28"/>
        </w:rPr>
        <w:t xml:space="preserve"> - расстояние от нейтральной оси до верхней кромки непрерывной надпалубной связи, учитываемой при определении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sz w:val="28"/>
        </w:rPr>
        <w:t>,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горизонтальное отстояние от диаметральной плоскости корпуса до верхней кромки непрерывной надпалубной связи, учитываемой при определении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sz w:val="28"/>
        </w:rPr>
        <w:t>, м.</w:t>
      </w:r>
    </w:p>
    <w:bookmarkStart w:name="z1216" w:id="1220"/>
    <w:p>
      <w:pPr>
        <w:spacing w:after="0"/>
        <w:ind w:left="0"/>
        <w:jc w:val="both"/>
      </w:pPr>
      <w:r>
        <w:rPr>
          <w:rFonts w:ascii="Times New Roman"/>
          <w:b w:val="false"/>
          <w:i w:val="false"/>
          <w:color w:val="000000"/>
          <w:sz w:val="28"/>
        </w:rPr>
        <w:t xml:space="preserve">
      При расчете zт принимаются такие </w:t>
      </w:r>
      <w:r>
        <w:rPr>
          <w:rFonts w:ascii="Times New Roman"/>
          <w:b w:val="false"/>
          <w:i/>
          <w:color w:val="000000"/>
          <w:sz w:val="28"/>
        </w:rPr>
        <w:t>z</w:t>
      </w:r>
      <w:r>
        <w:rPr>
          <w:rFonts w:ascii="Times New Roman"/>
          <w:b w:val="false"/>
          <w:i w:val="false"/>
          <w:color w:val="000000"/>
          <w:sz w:val="28"/>
        </w:rPr>
        <w:t xml:space="preserve"> и </w:t>
      </w:r>
      <w:r>
        <w:rPr>
          <w:rFonts w:ascii="Times New Roman"/>
          <w:b w:val="false"/>
          <w:i/>
          <w:color w:val="000000"/>
          <w:sz w:val="28"/>
        </w:rPr>
        <w:t>у</w:t>
      </w:r>
      <w:r>
        <w:rPr>
          <w:rFonts w:ascii="Times New Roman"/>
          <w:b w:val="false"/>
          <w:i w:val="false"/>
          <w:color w:val="000000"/>
          <w:sz w:val="28"/>
        </w:rPr>
        <w:t xml:space="preserve">, которые приводят к максимальному значению </w:t>
      </w:r>
      <w:r>
        <w:rPr>
          <w:rFonts w:ascii="Times New Roman"/>
          <w:b w:val="false"/>
          <w:i/>
          <w:color w:val="000000"/>
          <w:sz w:val="28"/>
        </w:rPr>
        <w:t>z</w:t>
      </w:r>
      <w:r>
        <w:rPr>
          <w:rFonts w:ascii="Times New Roman"/>
          <w:b w:val="false"/>
          <w:i w:val="false"/>
          <w:color w:val="000000"/>
          <w:vertAlign w:val="subscript"/>
        </w:rPr>
        <w:t>т</w:t>
      </w:r>
      <w:r>
        <w:rPr>
          <w:rFonts w:ascii="Times New Roman"/>
          <w:b w:val="false"/>
          <w:i w:val="false"/>
          <w:color w:val="000000"/>
          <w:sz w:val="28"/>
        </w:rPr>
        <w:t>.</w:t>
      </w:r>
    </w:p>
    <w:bookmarkEnd w:id="1220"/>
    <w:bookmarkStart w:name="z1217" w:id="1221"/>
    <w:p>
      <w:pPr>
        <w:spacing w:after="0"/>
        <w:ind w:left="0"/>
        <w:jc w:val="both"/>
      </w:pPr>
      <w:r>
        <w:rPr>
          <w:rFonts w:ascii="Times New Roman"/>
          <w:b w:val="false"/>
          <w:i w:val="false"/>
          <w:color w:val="000000"/>
          <w:sz w:val="28"/>
        </w:rPr>
        <w:t>
      208. В расчете момента сопротивления сечения корпуса учитываются все непрерывные продольные связи, включая непрерывные продольные комингсы, и если конструкция предусматривает два ряда люков и более, участки палуб между ними (продольные межлюковые перемычки), при условии, что они эффективно поддерживаются продольными переборками, в том числе переборками подпалубных цистерн (вторыми бортами).</w:t>
      </w:r>
    </w:p>
    <w:bookmarkEnd w:id="1221"/>
    <w:bookmarkStart w:name="z1218" w:id="1222"/>
    <w:p>
      <w:pPr>
        <w:spacing w:after="0"/>
        <w:ind w:left="0"/>
        <w:jc w:val="both"/>
      </w:pPr>
      <w:r>
        <w:rPr>
          <w:rFonts w:ascii="Times New Roman"/>
          <w:b w:val="false"/>
          <w:i w:val="false"/>
          <w:color w:val="000000"/>
          <w:sz w:val="28"/>
        </w:rPr>
        <w:t>
      Площадь поперечного сечения длинных средних надстроек или рубок должна учитываться с редукционным коэффициентом, который, как и напряжения в корпусе судна и надстройке (рубке), определяется по методике, одобренной Регистром судоходства.</w:t>
      </w:r>
    </w:p>
    <w:bookmarkEnd w:id="1222"/>
    <w:bookmarkStart w:name="z1219" w:id="1223"/>
    <w:p>
      <w:pPr>
        <w:spacing w:after="0"/>
        <w:ind w:left="0"/>
        <w:jc w:val="both"/>
      </w:pPr>
      <w:r>
        <w:rPr>
          <w:rFonts w:ascii="Times New Roman"/>
          <w:b w:val="false"/>
          <w:i w:val="false"/>
          <w:color w:val="000000"/>
          <w:sz w:val="28"/>
        </w:rPr>
        <w:t>
      Непрерывные продольные комингсы судов с одинарными люками, расположенные не над указанными выше поддерживающими связями, учитываются при определении момента сопротивления сечения корпуса только на основании сответствующего расчета, выполненного по согласованной методике.</w:t>
      </w:r>
    </w:p>
    <w:bookmarkEnd w:id="1223"/>
    <w:bookmarkStart w:name="z1220" w:id="1224"/>
    <w:p>
      <w:pPr>
        <w:spacing w:after="0"/>
        <w:ind w:left="0"/>
        <w:jc w:val="both"/>
      </w:pPr>
      <w:r>
        <w:rPr>
          <w:rFonts w:ascii="Times New Roman"/>
          <w:b w:val="false"/>
          <w:i w:val="false"/>
          <w:color w:val="000000"/>
          <w:sz w:val="28"/>
        </w:rPr>
        <w:t>
      Площадь поперечного сечения продольных межлюковых перемычек (далее - ПМП), не имеющих уступов по длине, включающих в себя настил палуб с продольным набором и продольные комингсы, не поддерживаемые продольными переборками, учитывается с редукционным коэффциентом ?, определяемым по формуле:</w:t>
      </w:r>
    </w:p>
    <w:bookmarkEnd w:id="1224"/>
    <w:p>
      <w:pPr>
        <w:spacing w:after="0"/>
        <w:ind w:left="0"/>
        <w:jc w:val="both"/>
      </w:pPr>
      <w:r>
        <w:rPr>
          <w:rFonts w:ascii="Times New Roman"/>
          <w:b w:val="false"/>
          <w:i w:val="false"/>
          <w:color w:val="000000"/>
          <w:sz w:val="28"/>
        </w:rPr>
        <w:t xml:space="preserve">
                          0,65 + </w:t>
      </w:r>
      <w:r>
        <w:rPr>
          <w:rFonts w:ascii="Times New Roman"/>
          <w:b w:val="false"/>
          <w:i/>
          <w:color w:val="000000"/>
          <w:sz w:val="28"/>
        </w:rPr>
        <w:t>С</w:t>
      </w:r>
      <w:r>
        <w:rPr>
          <w:rFonts w:ascii="Times New Roman"/>
          <w:b w:val="false"/>
          <w:i w:val="false"/>
          <w:color w:val="000000"/>
          <w:vertAlign w:val="subscript"/>
        </w:rPr>
        <w:t>b             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14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                 (48)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x</w:t>
      </w:r>
      <w:r>
        <w:rPr>
          <w:rFonts w:ascii="Times New Roman"/>
          <w:b w:val="false"/>
          <w:i/>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2</w:t>
      </w:r>
      <w:r>
        <w:br/>
      </w:r>
      <w:r>
        <w:rPr>
          <w:rFonts w:ascii="Times New Roman"/>
          <w:b w:val="false"/>
          <w:i w:val="false"/>
          <w:color w:val="000000"/>
          <w:sz w:val="28"/>
        </w:rPr>
        <w:t>
</w:t>
      </w:r>
      <w:r>
        <w:br/>
      </w:r>
    </w:p>
    <w:p>
      <w:pPr>
        <w:spacing w:after="0"/>
        <w:ind w:left="0"/>
        <w:jc w:val="both"/>
      </w:pPr>
      <w:r>
        <w:drawing>
          <wp:inline distT="0" distB="0" distL="0" distR="0">
            <wp:extent cx="6489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489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ПМП по ширине судна;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xml:space="preserve"> - суммарная длина ПМП, м; </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 xml:space="preserve">1,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длина заделки ПМП в корме и в носу, м.</w:t>
      </w:r>
      <w:r>
        <w:br/>
      </w:r>
      <w:r>
        <w:rPr>
          <w:rFonts w:ascii="Times New Roman"/>
          <w:b w:val="false"/>
          <w:i w:val="false"/>
          <w:color w:val="000000"/>
          <w:sz w:val="28"/>
        </w:rPr>
        <w:t>
</w:t>
      </w:r>
    </w:p>
    <w:bookmarkStart w:name="z1221" w:id="1225"/>
    <w:p>
      <w:pPr>
        <w:spacing w:after="0"/>
        <w:ind w:left="0"/>
        <w:jc w:val="both"/>
      </w:pPr>
      <w:r>
        <w:rPr>
          <w:rFonts w:ascii="Times New Roman"/>
          <w:b w:val="false"/>
          <w:i w:val="false"/>
          <w:color w:val="000000"/>
          <w:sz w:val="28"/>
        </w:rPr>
        <w:t xml:space="preserve">
      При соединении конца ПМП со сплошной палубой и/или продольной переборкой (приложение 31 настоящих Правил). </w:t>
      </w:r>
    </w:p>
    <w:bookmarkEnd w:id="1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9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299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площадь поперечного сечения одной ПМП,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l,2</w:t>
      </w:r>
      <w:r>
        <w:rPr>
          <w:rFonts w:ascii="Times New Roman"/>
          <w:b w:val="false"/>
          <w:i w:val="false"/>
          <w:color w:val="000000"/>
          <w:sz w:val="28"/>
        </w:rPr>
        <w:t xml:space="preserve"> - ширина судна в районе окончания ПМП, 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68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толщина настила палубы на участке между продолжением ПМП и бортом вдоль длины заделки, мм.</w:t>
      </w:r>
      <w:r>
        <w:br/>
      </w:r>
      <w:r>
        <w:rPr>
          <w:rFonts w:ascii="Times New Roman"/>
          <w:b w:val="false"/>
          <w:i w:val="false"/>
          <w:color w:val="000000"/>
          <w:sz w:val="28"/>
        </w:rPr>
        <w:t>
</w:t>
      </w:r>
    </w:p>
    <w:bookmarkStart w:name="z1222" w:id="1226"/>
    <w:p>
      <w:pPr>
        <w:spacing w:after="0"/>
        <w:ind w:left="0"/>
        <w:jc w:val="both"/>
      </w:pPr>
      <w:r>
        <w:rPr>
          <w:rFonts w:ascii="Times New Roman"/>
          <w:b w:val="false"/>
          <w:i w:val="false"/>
          <w:color w:val="000000"/>
          <w:sz w:val="28"/>
        </w:rPr>
        <w:t>
      Для ПМП, оканчивающихся на поперечной перемычке, при условии</w:t>
      </w:r>
    </w:p>
    <w:bookmarkEnd w:id="1226"/>
    <w:p>
      <w:pPr>
        <w:spacing w:after="0"/>
        <w:ind w:left="0"/>
        <w:jc w:val="both"/>
      </w:pPr>
      <w:r>
        <w:rPr>
          <w:rFonts w:ascii="Times New Roman"/>
          <w:b w:val="false"/>
          <w:i w:val="false"/>
          <w:color w:val="000000"/>
          <w:sz w:val="28"/>
        </w:rPr>
        <w:t>
       10</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n</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&gt; </w:t>
      </w:r>
      <w:r>
        <w:rPr>
          <w:rFonts w:ascii="Times New Roman"/>
          <w:b w:val="false"/>
          <w:i/>
          <w:color w:val="000000"/>
          <w:sz w:val="28"/>
        </w:rPr>
        <w:t>b'</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39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l</w:t>
      </w:r>
      <w:r>
        <w:rPr>
          <w:rFonts w:ascii="Times New Roman"/>
          <w:b w:val="false"/>
          <w:i w:val="false"/>
          <w:color w:val="000000"/>
          <w:vertAlign w:val="subscript"/>
        </w:rPr>
        <w:t>1,2</w:t>
      </w:r>
      <w:r>
        <w:rPr>
          <w:rFonts w:ascii="Times New Roman"/>
          <w:b w:val="false"/>
          <w:i w:val="false"/>
          <w:color w:val="000000"/>
          <w:sz w:val="28"/>
        </w:rPr>
        <w:t xml:space="preserve"> = 1,3</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color w:val="000000"/>
          <w:sz w:val="28"/>
        </w:rPr>
        <w:t>b'/b</w:t>
      </w:r>
      <w:r>
        <w:rPr>
          <w:rFonts w:ascii="Times New Roman"/>
          <w:b w:val="false"/>
          <w:i w:val="false"/>
          <w:color w:val="000000"/>
          <w:sz w:val="28"/>
        </w:rPr>
        <w:t>"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w:t>
      </w:r>
      <w:r>
        <w:rPr>
          <w:rFonts w:ascii="Times New Roman"/>
          <w:b w:val="false"/>
          <w:i/>
          <w:color w:val="000000"/>
          <w:sz w:val="28"/>
        </w:rPr>
        <w:t>s'</w:t>
      </w:r>
      <w:r>
        <w:rPr>
          <w:rFonts w:ascii="Times New Roman"/>
          <w:b w:val="false"/>
          <w:i w:val="false"/>
          <w:color w:val="000000"/>
          <w:vertAlign w:val="subscript"/>
        </w:rPr>
        <w:t>d</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d</w:t>
      </w:r>
      <w:r>
        <w:rPr>
          <w:rFonts w:ascii="Times New Roman"/>
          <w:b w:val="false"/>
          <w:i w:val="false"/>
          <w:color w:val="000000"/>
          <w:sz w:val="28"/>
        </w:rPr>
        <w:t xml:space="preserve"> - средняя толщина листов настила поперечной перемычки,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отстояние продольной кромки люкового выреза от плоскости симметрии ПМП, 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 длина поперечной перемычки, м.</w:t>
      </w:r>
    </w:p>
    <w:bookmarkStart w:name="z1223" w:id="1227"/>
    <w:p>
      <w:pPr>
        <w:spacing w:after="0"/>
        <w:ind w:left="0"/>
        <w:jc w:val="both"/>
      </w:pPr>
      <w:r>
        <w:rPr>
          <w:rFonts w:ascii="Times New Roman"/>
          <w:b w:val="false"/>
          <w:i w:val="false"/>
          <w:color w:val="000000"/>
          <w:sz w:val="28"/>
        </w:rPr>
        <w:t>
      209. Большие вырезы (длиной более 2,5 м и/или шириной более 1,2 м), а также вырезы в гребенчатом наборе исключаются из площадей сечений, учитываемых в расчете момента сопротивления сечения корпуса.</w:t>
      </w:r>
    </w:p>
    <w:bookmarkEnd w:id="1227"/>
    <w:bookmarkStart w:name="z1224" w:id="1228"/>
    <w:p>
      <w:pPr>
        <w:spacing w:after="0"/>
        <w:ind w:left="0"/>
        <w:jc w:val="both"/>
      </w:pPr>
      <w:r>
        <w:rPr>
          <w:rFonts w:ascii="Times New Roman"/>
          <w:b w:val="false"/>
          <w:i w:val="false"/>
          <w:color w:val="000000"/>
          <w:sz w:val="28"/>
        </w:rPr>
        <w:t>
      Меньшие по размерам вырезы (лазы, облегчающие вырезы, единичные вырезы для прохода сварных швов) возможно не учитывать, если выполняются следующие условия:</w:t>
      </w:r>
    </w:p>
    <w:bookmarkEnd w:id="1228"/>
    <w:bookmarkStart w:name="z1225" w:id="1229"/>
    <w:p>
      <w:pPr>
        <w:spacing w:after="0"/>
        <w:ind w:left="0"/>
        <w:jc w:val="both"/>
      </w:pPr>
      <w:r>
        <w:rPr>
          <w:rFonts w:ascii="Times New Roman"/>
          <w:b w:val="false"/>
          <w:i w:val="false"/>
          <w:color w:val="000000"/>
          <w:sz w:val="28"/>
        </w:rPr>
        <w:t>
      суммарная ширина вырезов и неэффективных участков (приложение 32 настоящих Правил) в одном поперечном сечении корпуса не превышает 0,06 (</w:t>
      </w:r>
      <w:r>
        <w:rPr>
          <w:rFonts w:ascii="Times New Roman"/>
          <w:b w:val="false"/>
          <w:i/>
          <w:color w:val="000000"/>
          <w:sz w:val="28"/>
        </w:rPr>
        <w:t>В</w:t>
      </w:r>
      <w:r>
        <w:rPr>
          <w:rFonts w:ascii="Times New Roman"/>
          <w:b w:val="false"/>
          <w:i w:val="false"/>
          <w:color w:val="000000"/>
          <w:sz w:val="28"/>
        </w:rPr>
        <w:t xml:space="preserve"> - </w:t>
      </w:r>
    </w:p>
    <w:bookmarkEnd w:id="1229"/>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b</w:t>
      </w:r>
      <w:r>
        <w:rPr>
          <w:rFonts w:ascii="Times New Roman"/>
          <w:b w:val="false"/>
          <w:i w:val="false"/>
          <w:color w:val="000000"/>
          <w:sz w:val="28"/>
        </w:rPr>
        <w:t xml:space="preserve">) (где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b</w:t>
      </w:r>
      <w:r>
        <w:rPr>
          <w:rFonts w:ascii="Times New Roman"/>
          <w:b w:val="false"/>
          <w:i w:val="false"/>
          <w:color w:val="000000"/>
          <w:sz w:val="28"/>
        </w:rPr>
        <w:t xml:space="preserve"> - суммарная ширина вырезов) или уменьшает момент сопротивления корпуса не более чем на 3 %;</w:t>
      </w:r>
      <w:r>
        <w:br/>
      </w:r>
      <w:r>
        <w:rPr>
          <w:rFonts w:ascii="Times New Roman"/>
          <w:b w:val="false"/>
          <w:i w:val="false"/>
          <w:color w:val="000000"/>
          <w:sz w:val="28"/>
        </w:rPr>
        <w:t>
</w:t>
      </w:r>
    </w:p>
    <w:bookmarkStart w:name="z1226" w:id="1230"/>
    <w:p>
      <w:pPr>
        <w:spacing w:after="0"/>
        <w:ind w:left="0"/>
        <w:jc w:val="both"/>
      </w:pPr>
      <w:r>
        <w:rPr>
          <w:rFonts w:ascii="Times New Roman"/>
          <w:b w:val="false"/>
          <w:i w:val="false"/>
          <w:color w:val="000000"/>
          <w:sz w:val="28"/>
        </w:rPr>
        <w:t>
      высота облегчающих вырезов, отверстий для протока воды и единичных вырезов в продольных элементах набора не превышает 25 % высоты стенки, а высота вырезов для прохода сварных швов не более 75 мм.</w:t>
      </w:r>
    </w:p>
    <w:bookmarkEnd w:id="1230"/>
    <w:bookmarkStart w:name="z1227" w:id="1231"/>
    <w:p>
      <w:pPr>
        <w:spacing w:after="0"/>
        <w:ind w:left="0"/>
        <w:jc w:val="both"/>
      </w:pPr>
      <w:r>
        <w:rPr>
          <w:rFonts w:ascii="Times New Roman"/>
          <w:b w:val="false"/>
          <w:i w:val="false"/>
          <w:color w:val="000000"/>
          <w:sz w:val="28"/>
        </w:rPr>
        <w:t>
      210. При использовании стали повышенной прочности продольные непрерывные связи, выполненные из этой стали, должны простираться в нос и в корму за пределы средней части судна настолько, чтобы момент сопротивления сечения корпуса в месте изменения предела текучести стали имел величину не менее требуемой в данном сечении для идентичного корпуса, выполненного из обычной стали.</w:t>
      </w:r>
    </w:p>
    <w:bookmarkEnd w:id="1231"/>
    <w:bookmarkStart w:name="z1228" w:id="1232"/>
    <w:p>
      <w:pPr>
        <w:spacing w:after="0"/>
        <w:ind w:left="0"/>
        <w:jc w:val="both"/>
      </w:pPr>
      <w:r>
        <w:rPr>
          <w:rFonts w:ascii="Times New Roman"/>
          <w:b w:val="false"/>
          <w:i w:val="false"/>
          <w:color w:val="000000"/>
          <w:sz w:val="28"/>
        </w:rPr>
        <w:t xml:space="preserve">
      211. Продольные непрерывные связи, отстоящие от горизонтальной нейтральной оси поперечного сечения корпуса далее чем на </w:t>
      </w:r>
    </w:p>
    <w:bookmarkEnd w:id="1232"/>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w:t>
      </w:r>
      <w:r>
        <w:rPr>
          <w:rFonts w:ascii="Times New Roman"/>
          <w:b w:val="false"/>
          <w:i/>
          <w:color w:val="000000"/>
          <w:sz w:val="28"/>
        </w:rPr>
        <w:t xml:space="preserve"> W</w:t>
      </w:r>
      <w:r>
        <w:rPr>
          <w:rFonts w:ascii="Times New Roman"/>
          <w:b w:val="false"/>
          <w:i w:val="false"/>
          <w:color w:val="000000"/>
          <w:vertAlign w:val="subscript"/>
        </w:rPr>
        <w:t>ФАКТ,</w:t>
      </w:r>
      <w:r>
        <w:rPr>
          <w:rFonts w:ascii="Times New Roman"/>
          <w:b w:val="false"/>
          <w:i w:val="false"/>
          <w:color w:val="000000"/>
          <w:sz w:val="28"/>
        </w:rPr>
        <w:t xml:space="preserve">                        (49)</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W</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z</w:t>
      </w:r>
      <w:r>
        <w:rPr>
          <w:rFonts w:ascii="Times New Roman"/>
          <w:b w:val="false"/>
          <w:i w:val="false"/>
          <w:color w:val="000000"/>
          <w:sz w:val="28"/>
        </w:rPr>
        <w:t xml:space="preserve"> - отстояние расчетной палубы (верхнего пояска непрерывного продольного комингса) или днища от нейтральной оси,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согласно приложению 28 настоящих Правил, для связей остальной части поперечного сечения корпуса;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ФАКТ</w:t>
      </w:r>
      <w:r>
        <w:rPr>
          <w:rFonts w:ascii="Times New Roman"/>
          <w:b w:val="false"/>
          <w:i w:val="false"/>
          <w:color w:val="000000"/>
          <w:sz w:val="28"/>
        </w:rPr>
        <w:t xml:space="preserve">, </w:t>
      </w:r>
      <w:r>
        <w:rPr>
          <w:rFonts w:ascii="Times New Roman"/>
          <w:b w:val="false"/>
          <w:i w:val="false"/>
          <w:color w:val="000000"/>
          <w:vertAlign w:val="superscript"/>
        </w:rPr>
        <w:t>W</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 фактический и требуемый при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 1 моменты сопротивления для палубы (непрерывного продольного комингса) или днища, соответственно,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выполняют из стали с тем же пределом текучести, что и расчетная палуба (непрерывный продольный комингс) или днище.</w:t>
      </w:r>
    </w:p>
    <w:bookmarkStart w:name="z1229" w:id="1233"/>
    <w:p>
      <w:pPr>
        <w:spacing w:after="0"/>
        <w:ind w:left="0"/>
        <w:jc w:val="left"/>
      </w:pPr>
      <w:r>
        <w:rPr>
          <w:rFonts w:ascii="Times New Roman"/>
          <w:b/>
          <w:i w:val="false"/>
          <w:color w:val="000000"/>
        </w:rPr>
        <w:t xml:space="preserve"> Параграф 8. Контроль прочности при загрузке судна</w:t>
      </w:r>
    </w:p>
    <w:bookmarkEnd w:id="1233"/>
    <w:bookmarkStart w:name="z1230" w:id="1234"/>
    <w:p>
      <w:pPr>
        <w:spacing w:after="0"/>
        <w:ind w:left="0"/>
        <w:jc w:val="both"/>
      </w:pPr>
      <w:r>
        <w:rPr>
          <w:rFonts w:ascii="Times New Roman"/>
          <w:b w:val="false"/>
          <w:i w:val="false"/>
          <w:color w:val="000000"/>
          <w:sz w:val="28"/>
        </w:rPr>
        <w:t>
      212. К средствам контроля прочности при загрузке судна относятся Инструкция по загрузке, утверждаемая заводом - изготовителем, и прибор контроля загрузки, с помощью которых возможно определить, что изгибающие моменты и перерезывающие силы на тихой воде, а также скручивающие и поперечные нагрузки при любом состоянии загрузки судна не превышают допускаемых значений.</w:t>
      </w:r>
    </w:p>
    <w:bookmarkEnd w:id="1234"/>
    <w:bookmarkStart w:name="z1231" w:id="1235"/>
    <w:p>
      <w:pPr>
        <w:spacing w:after="0"/>
        <w:ind w:left="0"/>
        <w:jc w:val="both"/>
      </w:pPr>
      <w:r>
        <w:rPr>
          <w:rFonts w:ascii="Times New Roman"/>
          <w:b w:val="false"/>
          <w:i w:val="false"/>
          <w:color w:val="000000"/>
          <w:sz w:val="28"/>
        </w:rPr>
        <w:t>
      213. Применительно к обеспечению средствами контроля прочности при загрузке суда подразделяются на категории I и II.</w:t>
      </w:r>
    </w:p>
    <w:bookmarkEnd w:id="1235"/>
    <w:bookmarkStart w:name="z1232" w:id="1236"/>
    <w:p>
      <w:pPr>
        <w:spacing w:after="0"/>
        <w:ind w:left="0"/>
        <w:jc w:val="both"/>
      </w:pPr>
      <w:r>
        <w:rPr>
          <w:rFonts w:ascii="Times New Roman"/>
          <w:b w:val="false"/>
          <w:i w:val="false"/>
          <w:color w:val="000000"/>
          <w:sz w:val="28"/>
        </w:rPr>
        <w:t>
      К судам категории I относятся:</w:t>
      </w:r>
    </w:p>
    <w:bookmarkEnd w:id="1236"/>
    <w:bookmarkStart w:name="z1233" w:id="1237"/>
    <w:p>
      <w:pPr>
        <w:spacing w:after="0"/>
        <w:ind w:left="0"/>
        <w:jc w:val="both"/>
      </w:pPr>
      <w:r>
        <w:rPr>
          <w:rFonts w:ascii="Times New Roman"/>
          <w:b w:val="false"/>
          <w:i w:val="false"/>
          <w:color w:val="000000"/>
          <w:sz w:val="28"/>
        </w:rPr>
        <w:t>
      1) суда с широким раскрытием палубы, для которых учитываются суммарные напряжения от вертикального и горизонтального изгиба корпуса, а также от скручивающих и поперечных нагрузок;</w:t>
      </w:r>
    </w:p>
    <w:bookmarkEnd w:id="1237"/>
    <w:bookmarkStart w:name="z1234" w:id="1238"/>
    <w:p>
      <w:pPr>
        <w:spacing w:after="0"/>
        <w:ind w:left="0"/>
        <w:jc w:val="both"/>
      </w:pPr>
      <w:r>
        <w:rPr>
          <w:rFonts w:ascii="Times New Roman"/>
          <w:b w:val="false"/>
          <w:i w:val="false"/>
          <w:color w:val="000000"/>
          <w:sz w:val="28"/>
        </w:rPr>
        <w:t>
      2) суда, на которых возможна неравномерная загрузка, тоесть груз и/или балласт могут быть распределены неравномерно;</w:t>
      </w:r>
    </w:p>
    <w:bookmarkEnd w:id="1238"/>
    <w:bookmarkStart w:name="z1235" w:id="1239"/>
    <w:p>
      <w:pPr>
        <w:spacing w:after="0"/>
        <w:ind w:left="0"/>
        <w:jc w:val="both"/>
      </w:pPr>
      <w:r>
        <w:rPr>
          <w:rFonts w:ascii="Times New Roman"/>
          <w:b w:val="false"/>
          <w:i w:val="false"/>
          <w:color w:val="000000"/>
          <w:sz w:val="28"/>
        </w:rPr>
        <w:t>
      3) химовозы и газовозы.</w:t>
      </w:r>
    </w:p>
    <w:bookmarkEnd w:id="1239"/>
    <w:bookmarkStart w:name="z1236" w:id="1240"/>
    <w:p>
      <w:pPr>
        <w:spacing w:after="0"/>
        <w:ind w:left="0"/>
        <w:jc w:val="both"/>
      </w:pPr>
      <w:r>
        <w:rPr>
          <w:rFonts w:ascii="Times New Roman"/>
          <w:b w:val="false"/>
          <w:i w:val="false"/>
          <w:color w:val="000000"/>
          <w:sz w:val="28"/>
        </w:rPr>
        <w:t>
      К судам категории II относятся:</w:t>
      </w:r>
    </w:p>
    <w:bookmarkEnd w:id="1240"/>
    <w:bookmarkStart w:name="z1237" w:id="1241"/>
    <w:p>
      <w:pPr>
        <w:spacing w:after="0"/>
        <w:ind w:left="0"/>
        <w:jc w:val="both"/>
      </w:pPr>
      <w:r>
        <w:rPr>
          <w:rFonts w:ascii="Times New Roman"/>
          <w:b w:val="false"/>
          <w:i w:val="false"/>
          <w:color w:val="000000"/>
          <w:sz w:val="28"/>
        </w:rPr>
        <w:t>
      1) суда, общее расположение которых допускает лишь незначительные изменения в распределении груза и балласта;</w:t>
      </w:r>
    </w:p>
    <w:bookmarkEnd w:id="1241"/>
    <w:bookmarkStart w:name="z1238" w:id="1242"/>
    <w:p>
      <w:pPr>
        <w:spacing w:after="0"/>
        <w:ind w:left="0"/>
        <w:jc w:val="both"/>
      </w:pPr>
      <w:r>
        <w:rPr>
          <w:rFonts w:ascii="Times New Roman"/>
          <w:b w:val="false"/>
          <w:i w:val="false"/>
          <w:color w:val="000000"/>
          <w:sz w:val="28"/>
        </w:rPr>
        <w:t>
      2) суда, эксплуатирующиеся на определенных и регулярных грузовых линиях, для которых Инструкция по загрузке, утверждаемая заводом - изготовителем, дает всю необходимую информацию;</w:t>
      </w:r>
    </w:p>
    <w:bookmarkEnd w:id="1242"/>
    <w:bookmarkStart w:name="z1239" w:id="1243"/>
    <w:p>
      <w:pPr>
        <w:spacing w:after="0"/>
        <w:ind w:left="0"/>
        <w:jc w:val="both"/>
      </w:pPr>
      <w:r>
        <w:rPr>
          <w:rFonts w:ascii="Times New Roman"/>
          <w:b w:val="false"/>
          <w:i w:val="false"/>
          <w:color w:val="000000"/>
          <w:sz w:val="28"/>
        </w:rPr>
        <w:t>
      3) суда, составляющие исключение из категории I, в том числе суда длиной менее 120 м, при проектировании которых учитывается неравномерность распределения груза или балласта.</w:t>
      </w:r>
    </w:p>
    <w:bookmarkEnd w:id="1243"/>
    <w:bookmarkStart w:name="z1240" w:id="1244"/>
    <w:p>
      <w:pPr>
        <w:spacing w:after="0"/>
        <w:ind w:left="0"/>
        <w:jc w:val="both"/>
      </w:pPr>
      <w:r>
        <w:rPr>
          <w:rFonts w:ascii="Times New Roman"/>
          <w:b w:val="false"/>
          <w:i w:val="false"/>
          <w:color w:val="000000"/>
          <w:sz w:val="28"/>
        </w:rPr>
        <w:t>
      214. Инструкция по загрузке представляет собой одобренный Регистром судоходства документ, содержащий:</w:t>
      </w:r>
    </w:p>
    <w:bookmarkEnd w:id="1244"/>
    <w:bookmarkStart w:name="z1241" w:id="1245"/>
    <w:p>
      <w:pPr>
        <w:spacing w:after="0"/>
        <w:ind w:left="0"/>
        <w:jc w:val="both"/>
      </w:pPr>
      <w:r>
        <w:rPr>
          <w:rFonts w:ascii="Times New Roman"/>
          <w:b w:val="false"/>
          <w:i w:val="false"/>
          <w:color w:val="000000"/>
          <w:sz w:val="28"/>
        </w:rPr>
        <w:t>
      2) данные о вместимости балластных танков и о производительности средств заполнения и откачки этих танков;</w:t>
      </w:r>
    </w:p>
    <w:bookmarkEnd w:id="1245"/>
    <w:bookmarkStart w:name="z1242" w:id="1246"/>
    <w:p>
      <w:pPr>
        <w:spacing w:after="0"/>
        <w:ind w:left="0"/>
        <w:jc w:val="both"/>
      </w:pPr>
      <w:r>
        <w:rPr>
          <w:rFonts w:ascii="Times New Roman"/>
          <w:b w:val="false"/>
          <w:i w:val="false"/>
          <w:color w:val="000000"/>
          <w:sz w:val="28"/>
        </w:rPr>
        <w:t>
      3) величину максимально допустимой нагрузки на единицу поверхности настила второго дна;</w:t>
      </w:r>
    </w:p>
    <w:bookmarkEnd w:id="1246"/>
    <w:bookmarkStart w:name="z1243" w:id="1247"/>
    <w:p>
      <w:pPr>
        <w:spacing w:after="0"/>
        <w:ind w:left="0"/>
        <w:jc w:val="both"/>
      </w:pPr>
      <w:r>
        <w:rPr>
          <w:rFonts w:ascii="Times New Roman"/>
          <w:b w:val="false"/>
          <w:i w:val="false"/>
          <w:color w:val="000000"/>
          <w:sz w:val="28"/>
        </w:rPr>
        <w:t>
      4) величину максимально допустимой нагрузки на трюм;</w:t>
      </w:r>
    </w:p>
    <w:bookmarkEnd w:id="1247"/>
    <w:bookmarkStart w:name="z1244" w:id="1248"/>
    <w:p>
      <w:pPr>
        <w:spacing w:after="0"/>
        <w:ind w:left="0"/>
        <w:jc w:val="both"/>
      </w:pPr>
      <w:r>
        <w:rPr>
          <w:rFonts w:ascii="Times New Roman"/>
          <w:b w:val="false"/>
          <w:i w:val="false"/>
          <w:color w:val="000000"/>
          <w:sz w:val="28"/>
        </w:rPr>
        <w:t>
      5) инструкции общего характера по погрузке и разгрузке в отношении прочности корпуса, включая любые ограничения по наихудшим условиям эксплуатации во время загрузки, разгрузки, операций с водяным балластом и рейса;</w:t>
      </w:r>
    </w:p>
    <w:bookmarkEnd w:id="1248"/>
    <w:bookmarkStart w:name="z1245" w:id="1249"/>
    <w:p>
      <w:pPr>
        <w:spacing w:after="0"/>
        <w:ind w:left="0"/>
        <w:jc w:val="both"/>
      </w:pPr>
      <w:r>
        <w:rPr>
          <w:rFonts w:ascii="Times New Roman"/>
          <w:b w:val="false"/>
          <w:i w:val="false"/>
          <w:color w:val="000000"/>
          <w:sz w:val="28"/>
        </w:rPr>
        <w:t>
      6) любые специальные ограничения, например, по наихудшим условиям эксплуатации, если применимо;</w:t>
      </w:r>
    </w:p>
    <w:bookmarkEnd w:id="1249"/>
    <w:bookmarkStart w:name="z1246" w:id="1250"/>
    <w:p>
      <w:pPr>
        <w:spacing w:after="0"/>
        <w:ind w:left="0"/>
        <w:jc w:val="both"/>
      </w:pPr>
      <w:r>
        <w:rPr>
          <w:rFonts w:ascii="Times New Roman"/>
          <w:b w:val="false"/>
          <w:i w:val="false"/>
          <w:color w:val="000000"/>
          <w:sz w:val="28"/>
        </w:rPr>
        <w:t>
      7) где требуются — расчеты на прочность: максимальные разрешенные усилия и моменты, воздействующие на корпус судна при загрузке, разгрузке и в рейсе.</w:t>
      </w:r>
    </w:p>
    <w:bookmarkEnd w:id="1250"/>
    <w:bookmarkStart w:name="z1247" w:id="1251"/>
    <w:p>
      <w:pPr>
        <w:spacing w:after="0"/>
        <w:ind w:left="0"/>
        <w:jc w:val="both"/>
      </w:pPr>
      <w:r>
        <w:rPr>
          <w:rFonts w:ascii="Times New Roman"/>
          <w:b w:val="false"/>
          <w:i w:val="false"/>
          <w:color w:val="000000"/>
          <w:sz w:val="28"/>
        </w:rPr>
        <w:t>
      Информация составляется на государственном, русском и/или английском языках.</w:t>
      </w:r>
    </w:p>
    <w:bookmarkEnd w:id="1251"/>
    <w:bookmarkStart w:name="z1248" w:id="1252"/>
    <w:p>
      <w:pPr>
        <w:spacing w:after="0"/>
        <w:ind w:left="0"/>
        <w:jc w:val="left"/>
      </w:pPr>
      <w:r>
        <w:rPr>
          <w:rFonts w:ascii="Times New Roman"/>
          <w:b/>
          <w:i w:val="false"/>
          <w:color w:val="000000"/>
        </w:rPr>
        <w:t xml:space="preserve"> Глава 12. Вибрация конструкций корпуса, технические нормы</w:t>
      </w:r>
    </w:p>
    <w:bookmarkEnd w:id="1252"/>
    <w:p>
      <w:pPr>
        <w:spacing w:after="0"/>
        <w:ind w:left="0"/>
        <w:jc w:val="both"/>
      </w:pPr>
      <w:r>
        <w:rPr>
          <w:rFonts w:ascii="Times New Roman"/>
          <w:b w:val="false"/>
          <w:i w:val="false"/>
          <w:color w:val="ff0000"/>
          <w:sz w:val="28"/>
        </w:rPr>
        <w:t xml:space="preserve">
      Сноска. Заголовок главы 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9" w:id="1253"/>
    <w:p>
      <w:pPr>
        <w:spacing w:after="0"/>
        <w:ind w:left="0"/>
        <w:jc w:val="left"/>
      </w:pPr>
      <w:r>
        <w:rPr>
          <w:rFonts w:ascii="Times New Roman"/>
          <w:b/>
          <w:i w:val="false"/>
          <w:color w:val="000000"/>
        </w:rPr>
        <w:t xml:space="preserve"> Параграф 1. Общие положения, техническая документация</w:t>
      </w:r>
    </w:p>
    <w:bookmarkEnd w:id="1253"/>
    <w:bookmarkStart w:name="z1250" w:id="1254"/>
    <w:p>
      <w:pPr>
        <w:spacing w:after="0"/>
        <w:ind w:left="0"/>
        <w:jc w:val="both"/>
      </w:pPr>
      <w:r>
        <w:rPr>
          <w:rFonts w:ascii="Times New Roman"/>
          <w:b w:val="false"/>
          <w:i w:val="false"/>
          <w:color w:val="000000"/>
          <w:sz w:val="28"/>
        </w:rPr>
        <w:t>
      219. Настоящая глава регламентирует предельно допустимые уровни вибрации (далее — нормы вибрации) корпусных конструкций морских водоизмещающих судов.</w:t>
      </w:r>
    </w:p>
    <w:bookmarkEnd w:id="1254"/>
    <w:bookmarkStart w:name="z1251" w:id="1255"/>
    <w:p>
      <w:pPr>
        <w:spacing w:after="0"/>
        <w:ind w:left="0"/>
        <w:jc w:val="both"/>
      </w:pPr>
      <w:r>
        <w:rPr>
          <w:rFonts w:ascii="Times New Roman"/>
          <w:b w:val="false"/>
          <w:i w:val="false"/>
          <w:color w:val="000000"/>
          <w:sz w:val="28"/>
        </w:rPr>
        <w:t>
      220. Нормы вибрации установлены из условия обеспечения прочности корпусных конструкций и надежности работы установленных на судне механизмов, приборов и оборудования.</w:t>
      </w:r>
    </w:p>
    <w:bookmarkEnd w:id="1255"/>
    <w:bookmarkStart w:name="z1252" w:id="1256"/>
    <w:p>
      <w:pPr>
        <w:spacing w:after="0"/>
        <w:ind w:left="0"/>
        <w:jc w:val="both"/>
      </w:pPr>
      <w:r>
        <w:rPr>
          <w:rFonts w:ascii="Times New Roman"/>
          <w:b w:val="false"/>
          <w:i w:val="false"/>
          <w:color w:val="000000"/>
          <w:sz w:val="28"/>
        </w:rPr>
        <w:t>
      221. Применение норм настоящей главы не исключает необходимости выполнения санитарных норм и других требований к допустимым параметрам вибрации на рабочих местах, в жилых, служебных и других судовых помещениях.</w:t>
      </w:r>
    </w:p>
    <w:bookmarkEnd w:id="1256"/>
    <w:bookmarkStart w:name="z1253" w:id="1257"/>
    <w:p>
      <w:pPr>
        <w:spacing w:after="0"/>
        <w:ind w:left="0"/>
        <w:jc w:val="both"/>
      </w:pPr>
      <w:r>
        <w:rPr>
          <w:rFonts w:ascii="Times New Roman"/>
          <w:b w:val="false"/>
          <w:i w:val="false"/>
          <w:color w:val="000000"/>
          <w:sz w:val="28"/>
        </w:rPr>
        <w:t>
      222. Нормы вибрации судовых механизмов и оборудования приведены в части 8 настоящих Правил.</w:t>
      </w:r>
    </w:p>
    <w:bookmarkEnd w:id="1257"/>
    <w:bookmarkStart w:name="z1254" w:id="1258"/>
    <w:p>
      <w:pPr>
        <w:spacing w:after="0"/>
        <w:ind w:left="0"/>
        <w:jc w:val="both"/>
      </w:pPr>
      <w:r>
        <w:rPr>
          <w:rFonts w:ascii="Times New Roman"/>
          <w:b w:val="false"/>
          <w:i w:val="false"/>
          <w:color w:val="000000"/>
          <w:sz w:val="28"/>
        </w:rPr>
        <w:t>
      223. Измерения вибрации проводятся на головном судне серии и на судах единичной постройки. Метод, объем и порядок измерения вибрации одобряется Регистром судоходства.</w:t>
      </w:r>
    </w:p>
    <w:bookmarkEnd w:id="1258"/>
    <w:bookmarkStart w:name="z1255" w:id="1259"/>
    <w:p>
      <w:pPr>
        <w:spacing w:after="0"/>
        <w:ind w:left="0"/>
        <w:jc w:val="both"/>
      </w:pPr>
      <w:r>
        <w:rPr>
          <w:rFonts w:ascii="Times New Roman"/>
          <w:b w:val="false"/>
          <w:i w:val="false"/>
          <w:color w:val="000000"/>
          <w:sz w:val="28"/>
        </w:rPr>
        <w:t>
      224. По специальному согласованию с Регистром судоходства допускаются обоснованные отступления от настоящих норм.</w:t>
      </w:r>
    </w:p>
    <w:bookmarkEnd w:id="1259"/>
    <w:bookmarkStart w:name="z1256" w:id="1260"/>
    <w:p>
      <w:pPr>
        <w:spacing w:after="0"/>
        <w:ind w:left="0"/>
        <w:jc w:val="both"/>
      </w:pPr>
      <w:r>
        <w:rPr>
          <w:rFonts w:ascii="Times New Roman"/>
          <w:b w:val="false"/>
          <w:i w:val="false"/>
          <w:color w:val="000000"/>
          <w:sz w:val="28"/>
        </w:rPr>
        <w:t>
      225. После проведения швартовных и ходовых испытаний в Регистр судоходства представляется отчет о результатах измерения вибрации, утвержденный руководством организации, выполнившей оценку вибрационных характеристик судна. Если проведены дополнительные мероприятия для уменьшения вибрации, необходимо чтобы отчет содержал сведения об этих мероприятиях, а также результаты повторных измерений вибрации для подтверждения эффективности использованных мер.</w:t>
      </w:r>
    </w:p>
    <w:bookmarkEnd w:id="1260"/>
    <w:bookmarkStart w:name="z1257" w:id="1261"/>
    <w:p>
      <w:pPr>
        <w:spacing w:after="0"/>
        <w:ind w:left="0"/>
        <w:jc w:val="left"/>
      </w:pPr>
      <w:r>
        <w:rPr>
          <w:rFonts w:ascii="Times New Roman"/>
          <w:b/>
          <w:i w:val="false"/>
          <w:color w:val="000000"/>
        </w:rPr>
        <w:t xml:space="preserve"> Параграф 2. Измеряемые параметры вибрации</w:t>
      </w:r>
    </w:p>
    <w:bookmarkEnd w:id="1261"/>
    <w:bookmarkStart w:name="z1258" w:id="1262"/>
    <w:p>
      <w:pPr>
        <w:spacing w:after="0"/>
        <w:ind w:left="0"/>
        <w:jc w:val="both"/>
      </w:pPr>
      <w:r>
        <w:rPr>
          <w:rFonts w:ascii="Times New Roman"/>
          <w:b w:val="false"/>
          <w:i w:val="false"/>
          <w:color w:val="000000"/>
          <w:sz w:val="28"/>
        </w:rPr>
        <w:t>
      226. В настоящей главе в качестве основных приняты следующие параметры вибрации:</w:t>
      </w:r>
    </w:p>
    <w:bookmarkEnd w:id="1262"/>
    <w:bookmarkStart w:name="z1259" w:id="1263"/>
    <w:p>
      <w:pPr>
        <w:spacing w:after="0"/>
        <w:ind w:left="0"/>
        <w:jc w:val="both"/>
      </w:pPr>
      <w:r>
        <w:rPr>
          <w:rFonts w:ascii="Times New Roman"/>
          <w:b w:val="false"/>
          <w:i w:val="false"/>
          <w:color w:val="000000"/>
          <w:sz w:val="28"/>
        </w:rPr>
        <w:t>
      среднее квадратическое значение виброскорости, измеряемое в треть-октавных полосах частот, а в случае необходимости — в октавных полосах частот;</w:t>
      </w:r>
    </w:p>
    <w:bookmarkEnd w:id="1263"/>
    <w:bookmarkStart w:name="z1260" w:id="1264"/>
    <w:p>
      <w:pPr>
        <w:spacing w:after="0"/>
        <w:ind w:left="0"/>
        <w:jc w:val="both"/>
      </w:pPr>
      <w:r>
        <w:rPr>
          <w:rFonts w:ascii="Times New Roman"/>
          <w:b w:val="false"/>
          <w:i w:val="false"/>
          <w:color w:val="000000"/>
          <w:sz w:val="28"/>
        </w:rPr>
        <w:t>
      среднее квадратическое значение виброускорения, а в обоснованных случаях — среднее квадратическое или пиковое значение виброперемещения.</w:t>
      </w:r>
    </w:p>
    <w:bookmarkEnd w:id="1264"/>
    <w:bookmarkStart w:name="z1261" w:id="1265"/>
    <w:p>
      <w:pPr>
        <w:spacing w:after="0"/>
        <w:ind w:left="0"/>
        <w:jc w:val="both"/>
      </w:pPr>
      <w:r>
        <w:rPr>
          <w:rFonts w:ascii="Times New Roman"/>
          <w:b w:val="false"/>
          <w:i w:val="false"/>
          <w:color w:val="000000"/>
          <w:sz w:val="28"/>
        </w:rPr>
        <w:t>
      227. Параметры вибрации измеряются в абсолютных единицах или в логарифмических единицах (децибелах) относительно стандартных пороговых значений колебательной скорости или ускорения, равных, соответственно, 5</w:t>
      </w:r>
    </w:p>
    <w:bookmarkEnd w:id="1265"/>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-5</w:t>
      </w:r>
      <w:r>
        <w:rPr>
          <w:rFonts w:ascii="Times New Roman"/>
          <w:b w:val="false"/>
          <w:i w:val="false"/>
          <w:color w:val="000000"/>
          <w:sz w:val="28"/>
        </w:rPr>
        <w:t xml:space="preserve"> мм/с и 3</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xml:space="preserve">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1262" w:id="1266"/>
    <w:p>
      <w:pPr>
        <w:spacing w:after="0"/>
        <w:ind w:left="0"/>
        <w:jc w:val="both"/>
      </w:pPr>
      <w:r>
        <w:rPr>
          <w:rFonts w:ascii="Times New Roman"/>
          <w:b w:val="false"/>
          <w:i w:val="false"/>
          <w:color w:val="000000"/>
          <w:sz w:val="28"/>
        </w:rPr>
        <w:t>
      228. Измерения выполняются в следующих направлениях:</w:t>
      </w:r>
    </w:p>
    <w:bookmarkEnd w:id="1266"/>
    <w:bookmarkStart w:name="z1263" w:id="1267"/>
    <w:p>
      <w:pPr>
        <w:spacing w:after="0"/>
        <w:ind w:left="0"/>
        <w:jc w:val="both"/>
      </w:pPr>
      <w:r>
        <w:rPr>
          <w:rFonts w:ascii="Times New Roman"/>
          <w:b w:val="false"/>
          <w:i w:val="false"/>
          <w:color w:val="000000"/>
          <w:sz w:val="28"/>
        </w:rPr>
        <w:t>
      при измерении общей вибрации — в каждом из трех взаимно перпендикулярных направлений относительно судна: вертикальном, горизонтально-поперечном и горизонтально-продольном;</w:t>
      </w:r>
    </w:p>
    <w:bookmarkEnd w:id="1267"/>
    <w:bookmarkStart w:name="z1264" w:id="1268"/>
    <w:p>
      <w:pPr>
        <w:spacing w:after="0"/>
        <w:ind w:left="0"/>
        <w:jc w:val="both"/>
      </w:pPr>
      <w:r>
        <w:rPr>
          <w:rFonts w:ascii="Times New Roman"/>
          <w:b w:val="false"/>
          <w:i w:val="false"/>
          <w:color w:val="000000"/>
          <w:sz w:val="28"/>
        </w:rPr>
        <w:t>
      при измерении местной вибрации — в направлении, перпендикулярном плоскости судовых конструкций (палубы, борта, переборки) или в направлении наименьшей жесткости судовой балки.</w:t>
      </w:r>
    </w:p>
    <w:bookmarkEnd w:id="1268"/>
    <w:bookmarkStart w:name="z1265" w:id="1269"/>
    <w:p>
      <w:pPr>
        <w:spacing w:after="0"/>
        <w:ind w:left="0"/>
        <w:jc w:val="both"/>
      </w:pPr>
      <w:r>
        <w:rPr>
          <w:rFonts w:ascii="Times New Roman"/>
          <w:b w:val="false"/>
          <w:i w:val="false"/>
          <w:color w:val="000000"/>
          <w:sz w:val="28"/>
        </w:rPr>
        <w:t>
      229. Допустимые средние квадратические значения виброскорости и виброускорения корпуса и надстроек, а также судовых конструкций указаны в приложениях 33 и 34 настоящих Правил.</w:t>
      </w:r>
    </w:p>
    <w:bookmarkEnd w:id="1269"/>
    <w:bookmarkStart w:name="z1266" w:id="1270"/>
    <w:p>
      <w:pPr>
        <w:spacing w:after="0"/>
        <w:ind w:left="0"/>
        <w:jc w:val="both"/>
      </w:pPr>
      <w:r>
        <w:rPr>
          <w:rFonts w:ascii="Times New Roman"/>
          <w:b w:val="false"/>
          <w:i w:val="false"/>
          <w:color w:val="000000"/>
          <w:sz w:val="28"/>
        </w:rPr>
        <w:t>
      230. При измерении параметров в октавных полосах частот допускаемые значения, указанные в приложении 34 настоящих Правил для средних геометрических частот 2, 4, 8, 16, 31, 5 и 63 Гц, возможно увеличение в 1,41 (</w:t>
      </w:r>
    </w:p>
    <w:bookmarkEnd w:id="1270"/>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раза или на 3 дБ по сравнению с табличными значениями.</w:t>
      </w:r>
      <w:r>
        <w:br/>
      </w:r>
      <w:r>
        <w:rPr>
          <w:rFonts w:ascii="Times New Roman"/>
          <w:b w:val="false"/>
          <w:i w:val="false"/>
          <w:color w:val="000000"/>
          <w:sz w:val="28"/>
        </w:rPr>
        <w:t>
</w:t>
      </w:r>
    </w:p>
    <w:bookmarkStart w:name="z1267" w:id="1271"/>
    <w:p>
      <w:pPr>
        <w:spacing w:after="0"/>
        <w:ind w:left="0"/>
        <w:jc w:val="both"/>
      </w:pPr>
      <w:r>
        <w:rPr>
          <w:rFonts w:ascii="Times New Roman"/>
          <w:b w:val="false"/>
          <w:i w:val="false"/>
          <w:color w:val="000000"/>
          <w:sz w:val="28"/>
        </w:rPr>
        <w:t xml:space="preserve">
      231. Допускаемые значения, указанные в приложениях 33 и 34 настоящих Правил, не допускается превышение при спецификационных режимах хода судна, а также при отсутствии хода, если такой режим является спецификационным. </w:t>
      </w:r>
    </w:p>
    <w:bookmarkEnd w:id="1271"/>
    <w:bookmarkStart w:name="z1268" w:id="1272"/>
    <w:p>
      <w:pPr>
        <w:spacing w:after="0"/>
        <w:ind w:left="0"/>
        <w:jc w:val="left"/>
      </w:pPr>
      <w:r>
        <w:rPr>
          <w:rFonts w:ascii="Times New Roman"/>
          <w:b/>
          <w:i w:val="false"/>
          <w:color w:val="000000"/>
        </w:rPr>
        <w:t xml:space="preserve"> Глава 13. Требования к размерам элементов конструкции корпуса</w:t>
      </w:r>
    </w:p>
    <w:bookmarkEnd w:id="1272"/>
    <w:p>
      <w:pPr>
        <w:spacing w:after="0"/>
        <w:ind w:left="0"/>
        <w:jc w:val="both"/>
      </w:pPr>
      <w:r>
        <w:rPr>
          <w:rFonts w:ascii="Times New Roman"/>
          <w:b w:val="false"/>
          <w:i w:val="false"/>
          <w:color w:val="ff0000"/>
          <w:sz w:val="28"/>
        </w:rPr>
        <w:t xml:space="preserve">
      Сноска. Заголовок главы 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9" w:id="1273"/>
    <w:p>
      <w:pPr>
        <w:spacing w:after="0"/>
        <w:ind w:left="0"/>
        <w:jc w:val="left"/>
      </w:pPr>
      <w:r>
        <w:rPr>
          <w:rFonts w:ascii="Times New Roman"/>
          <w:b/>
          <w:i w:val="false"/>
          <w:color w:val="000000"/>
        </w:rPr>
        <w:t xml:space="preserve"> Параграф 1. Общие положения, обозначения</w:t>
      </w:r>
    </w:p>
    <w:bookmarkEnd w:id="1273"/>
    <w:bookmarkStart w:name="z1270" w:id="1274"/>
    <w:p>
      <w:pPr>
        <w:spacing w:after="0"/>
        <w:ind w:left="0"/>
        <w:jc w:val="both"/>
      </w:pPr>
      <w:r>
        <w:rPr>
          <w:rFonts w:ascii="Times New Roman"/>
          <w:b w:val="false"/>
          <w:i w:val="false"/>
          <w:color w:val="000000"/>
          <w:sz w:val="28"/>
        </w:rPr>
        <w:t>
      232. В настоящей главе изложены общие требования к элементам обшивки (настила) и набора корпуса.</w:t>
      </w:r>
    </w:p>
    <w:bookmarkEnd w:id="1274"/>
    <w:bookmarkStart w:name="z1271" w:id="1275"/>
    <w:p>
      <w:pPr>
        <w:spacing w:after="0"/>
        <w:ind w:left="0"/>
        <w:jc w:val="both"/>
      </w:pPr>
      <w:r>
        <w:rPr>
          <w:rFonts w:ascii="Times New Roman"/>
          <w:b w:val="false"/>
          <w:i w:val="false"/>
          <w:color w:val="000000"/>
          <w:sz w:val="28"/>
        </w:rPr>
        <w:t>
      233. Под листовым элементом понимается участок обшивки или настила, ограниченный подкрепляющим набором. К листовым элементам относятся участки настилов палуб, платформ, второго дна и участки обшивки днища, борта, переборок, а также стенок балок рамного набора.</w:t>
      </w:r>
    </w:p>
    <w:bookmarkEnd w:id="1275"/>
    <w:bookmarkStart w:name="z1272" w:id="1276"/>
    <w:p>
      <w:pPr>
        <w:spacing w:after="0"/>
        <w:ind w:left="0"/>
        <w:jc w:val="both"/>
      </w:pPr>
      <w:r>
        <w:rPr>
          <w:rFonts w:ascii="Times New Roman"/>
          <w:b w:val="false"/>
          <w:i w:val="false"/>
          <w:color w:val="000000"/>
          <w:sz w:val="28"/>
        </w:rPr>
        <w:t>
      234. В настоящем разделе Правил под набором корпуса понимаются балки основного и рамного набора, которые подкрепляют листовые конструкции. Балки рамного набора являются также опорами для балок основного набора. К балкам основного набора относятся продольные балки по палубам, бортам, продольным переборкам, настилу второго дна и днищу, стойки и горизонтальные балки переборок, шпангоуты, бимсы, балки бракетных флоров. К балкам рамного набора относятся рамные бимсы, карлингсы, рамные шпангоуты, бортовые стрингеры, флоры, днищевые стрингеры, вертикальный киль, рамные стойки и горизонтальные рамы переборок.</w:t>
      </w:r>
    </w:p>
    <w:bookmarkEnd w:id="1276"/>
    <w:bookmarkStart w:name="z1273" w:id="1277"/>
    <w:p>
      <w:pPr>
        <w:spacing w:after="0"/>
        <w:ind w:left="0"/>
        <w:jc w:val="both"/>
      </w:pPr>
      <w:r>
        <w:rPr>
          <w:rFonts w:ascii="Times New Roman"/>
          <w:b w:val="false"/>
          <w:i w:val="false"/>
          <w:color w:val="000000"/>
          <w:sz w:val="28"/>
        </w:rPr>
        <w:t>
      235. Размеры балок основного и рамного набора определяются требуемыми моментом сопротивления, моментом инерции, площадью поперечного сечения стенки, толщиной стенки и свободного пояска, а также его шириной.</w:t>
      </w:r>
    </w:p>
    <w:bookmarkEnd w:id="1277"/>
    <w:bookmarkStart w:name="z1274" w:id="1278"/>
    <w:p>
      <w:pPr>
        <w:spacing w:after="0"/>
        <w:ind w:left="0"/>
        <w:jc w:val="both"/>
      </w:pPr>
      <w:r>
        <w:rPr>
          <w:rFonts w:ascii="Times New Roman"/>
          <w:b w:val="false"/>
          <w:i w:val="false"/>
          <w:color w:val="000000"/>
          <w:sz w:val="28"/>
        </w:rPr>
        <w:t>
      Геометрические характеристики поперечного сечения балок, если нет особых указаний, определяются с учетом присоединенного пояска.</w:t>
      </w:r>
    </w:p>
    <w:bookmarkEnd w:id="1278"/>
    <w:bookmarkStart w:name="z1275" w:id="1279"/>
    <w:p>
      <w:pPr>
        <w:spacing w:after="0"/>
        <w:ind w:left="0"/>
        <w:jc w:val="both"/>
      </w:pPr>
      <w:r>
        <w:rPr>
          <w:rFonts w:ascii="Times New Roman"/>
          <w:b w:val="false"/>
          <w:i w:val="false"/>
          <w:color w:val="000000"/>
          <w:sz w:val="28"/>
        </w:rPr>
        <w:t>
      Если балка устанавливается не перпендикулярно к присоединенному пояску, момент сопротивления увеличивают пропорционально 1/cos</w:t>
      </w:r>
    </w:p>
    <w:bookmarkEnd w:id="1279"/>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угол, градусов, между плоскостью стенки балки и перпендикуляром к обшивке (настилу) в рассматриваемом поперечном сечении балки). При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15</w:t>
      </w:r>
      <w:r>
        <w:rPr>
          <w:rFonts w:ascii="Times New Roman"/>
          <w:b w:val="false"/>
          <w:i w:val="false"/>
          <w:color w:val="000000"/>
          <w:vertAlign w:val="superscript"/>
        </w:rPr>
        <w:t>0</w:t>
      </w:r>
      <w:r>
        <w:rPr>
          <w:rFonts w:ascii="Times New Roman"/>
          <w:b w:val="false"/>
          <w:i w:val="false"/>
          <w:color w:val="000000"/>
          <w:sz w:val="28"/>
        </w:rPr>
        <w:t xml:space="preserve"> увеличение момента сопротивления, как правило, не требуется.</w:t>
      </w:r>
      <w:r>
        <w:br/>
      </w:r>
      <w:r>
        <w:rPr>
          <w:rFonts w:ascii="Times New Roman"/>
          <w:b w:val="false"/>
          <w:i w:val="false"/>
          <w:color w:val="000000"/>
          <w:sz w:val="28"/>
        </w:rPr>
        <w:t>
</w:t>
      </w:r>
    </w:p>
    <w:bookmarkStart w:name="z1276" w:id="1280"/>
    <w:p>
      <w:pPr>
        <w:spacing w:after="0"/>
        <w:ind w:left="0"/>
        <w:jc w:val="both"/>
      </w:pPr>
      <w:r>
        <w:rPr>
          <w:rFonts w:ascii="Times New Roman"/>
          <w:b w:val="false"/>
          <w:i w:val="false"/>
          <w:color w:val="000000"/>
          <w:sz w:val="28"/>
        </w:rPr>
        <w:t>
      236. Округление требуемых размеров связей, кроме толщины, производится, как правило, в сторону увеличения. Толщина листов округляется до ближайших 0,5 или целого числа миллиметров.</w:t>
      </w:r>
    </w:p>
    <w:bookmarkEnd w:id="1280"/>
    <w:bookmarkStart w:name="z1277" w:id="1281"/>
    <w:p>
      <w:pPr>
        <w:spacing w:after="0"/>
        <w:ind w:left="0"/>
        <w:jc w:val="both"/>
      </w:pPr>
      <w:r>
        <w:rPr>
          <w:rFonts w:ascii="Times New Roman"/>
          <w:b w:val="false"/>
          <w:i w:val="false"/>
          <w:color w:val="000000"/>
          <w:sz w:val="28"/>
        </w:rPr>
        <w:t>
      Величины минусовых допусков по толщине применяемого листового материала должны соответствовать параграфу 5 главы 586 настоящих Правил.</w:t>
      </w:r>
    </w:p>
    <w:bookmarkEnd w:id="1281"/>
    <w:bookmarkStart w:name="z1278" w:id="1282"/>
    <w:p>
      <w:pPr>
        <w:spacing w:after="0"/>
        <w:ind w:left="0"/>
        <w:jc w:val="both"/>
      </w:pPr>
      <w:r>
        <w:rPr>
          <w:rFonts w:ascii="Times New Roman"/>
          <w:b w:val="false"/>
          <w:i w:val="false"/>
          <w:color w:val="000000"/>
          <w:sz w:val="28"/>
        </w:rPr>
        <w:t>
      237. В настоящей главе приняты следующие обозначения:</w:t>
      </w:r>
    </w:p>
    <w:bookmarkEnd w:id="1282"/>
    <w:p>
      <w:pPr>
        <w:spacing w:after="0"/>
        <w:ind w:left="0"/>
        <w:jc w:val="both"/>
      </w:pPr>
      <w:r>
        <w:rPr>
          <w:rFonts w:ascii="Times New Roman"/>
          <w:b w:val="false"/>
          <w:i w:val="false"/>
          <w:color w:val="000000"/>
          <w:sz w:val="28"/>
        </w:rPr>
        <w:t>
      l — длина пролета рассматриваемой балки, определяемая согласно пункту 238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в точке приложения нагрузки, определяемое в соответствующих главах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 между рассматриваемыми балками основного или рамного набора, продольного или поперечного; при расположении балок на разных расстояниях под </w:t>
      </w:r>
      <w:r>
        <w:rPr>
          <w:rFonts w:ascii="Times New Roman"/>
          <w:b w:val="false"/>
          <w:i/>
          <w:color w:val="000000"/>
          <w:sz w:val="28"/>
        </w:rPr>
        <w:t>а</w:t>
      </w:r>
      <w:r>
        <w:rPr>
          <w:rFonts w:ascii="Times New Roman"/>
          <w:b w:val="false"/>
          <w:i w:val="false"/>
          <w:color w:val="000000"/>
          <w:sz w:val="28"/>
        </w:rPr>
        <w:t xml:space="preserve"> понимается полусумма отстояний соседних балок от рассматриваемой балки;</w:t>
      </w:r>
    </w:p>
    <w:p>
      <w:pPr>
        <w:spacing w:after="0"/>
        <w:ind w:left="0"/>
        <w:jc w:val="both"/>
      </w:pPr>
      <w:r>
        <w:rPr>
          <w:rFonts w:ascii="Times New Roman"/>
          <w:b w:val="false"/>
          <w:i w:val="false"/>
          <w:color w:val="000000"/>
          <w:sz w:val="28"/>
        </w:rPr>
        <w:t>
      h — высота стенки балки, см;</w:t>
      </w:r>
    </w:p>
    <w:p>
      <w:pPr>
        <w:spacing w:after="0"/>
        <w:ind w:left="0"/>
        <w:jc w:val="both"/>
      </w:pPr>
      <w:r>
        <w:rPr>
          <w:rFonts w:ascii="Times New Roman"/>
          <w:b w:val="false"/>
          <w:i w:val="false"/>
          <w:color w:val="000000"/>
          <w:sz w:val="28"/>
        </w:rPr>
        <w:t>
      I — фактический момент инерции корпуса относительно  горизонтальной нейтральной оси,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 расстояние, измеренное по вертикали от горизонтальной нейтральной оси корпуса до центра площади сечения рассматриваемой продольной связи,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расчетный нормативный предел текучести, МПа, по нормальным напряжениям, определяемый согласно пункту 133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расчетный нормативный предел текучести, МПа, по касательным напряжениям, определяемый согласно пункту 133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запас на износ, мм, определяемый согласно пункту 139 настоящих Правил.</w:t>
      </w:r>
      <w:r>
        <w:br/>
      </w:r>
      <w:r>
        <w:rPr>
          <w:rFonts w:ascii="Times New Roman"/>
          <w:b w:val="false"/>
          <w:i w:val="false"/>
          <w:color w:val="000000"/>
          <w:sz w:val="28"/>
        </w:rPr>
        <w:t>
</w:t>
      </w:r>
    </w:p>
    <w:bookmarkStart w:name="z1279" w:id="1283"/>
    <w:p>
      <w:pPr>
        <w:spacing w:after="0"/>
        <w:ind w:left="0"/>
        <w:jc w:val="left"/>
      </w:pPr>
      <w:r>
        <w:rPr>
          <w:rFonts w:ascii="Times New Roman"/>
          <w:b/>
          <w:i w:val="false"/>
          <w:color w:val="000000"/>
        </w:rPr>
        <w:t xml:space="preserve"> Параграф 2. Пролет и присоединенный поясок балки</w:t>
      </w:r>
    </w:p>
    <w:bookmarkEnd w:id="1283"/>
    <w:bookmarkStart w:name="z1280" w:id="1284"/>
    <w:p>
      <w:pPr>
        <w:spacing w:after="0"/>
        <w:ind w:left="0"/>
        <w:jc w:val="both"/>
      </w:pPr>
      <w:r>
        <w:rPr>
          <w:rFonts w:ascii="Times New Roman"/>
          <w:b w:val="false"/>
          <w:i w:val="false"/>
          <w:color w:val="000000"/>
          <w:sz w:val="28"/>
        </w:rPr>
        <w:t xml:space="preserve">
      238. Длина пролета балки основного и рамного набора </w:t>
      </w:r>
      <w:r>
        <w:rPr>
          <w:rFonts w:ascii="Times New Roman"/>
          <w:b w:val="false"/>
          <w:i/>
          <w:color w:val="000000"/>
          <w:sz w:val="28"/>
        </w:rPr>
        <w:t>l</w:t>
      </w:r>
      <w:r>
        <w:rPr>
          <w:rFonts w:ascii="Times New Roman"/>
          <w:b w:val="false"/>
          <w:i w:val="false"/>
          <w:color w:val="000000"/>
          <w:sz w:val="28"/>
        </w:rPr>
        <w:t xml:space="preserve"> измеряется вдоль свободного пояска балки как расстояние между ее опорными сечениями. Если не оговорено особо, при установке концевых книц опорные сечения принимаются посередине длины кницы. При этом положение опорного сечения выбирается таким образом, чтобы высота концевой кницы в нем не превышала высоты стенки рассматриваемой балки (приложение 35 настоящих Правил).</w:t>
      </w:r>
    </w:p>
    <w:bookmarkEnd w:id="1284"/>
    <w:bookmarkStart w:name="z1281" w:id="1285"/>
    <w:p>
      <w:pPr>
        <w:spacing w:after="0"/>
        <w:ind w:left="0"/>
        <w:jc w:val="both"/>
      </w:pPr>
      <w:r>
        <w:rPr>
          <w:rFonts w:ascii="Times New Roman"/>
          <w:b w:val="false"/>
          <w:i w:val="false"/>
          <w:color w:val="000000"/>
          <w:sz w:val="28"/>
        </w:rPr>
        <w:t>
      Для криволинейной балки длина пролета принимается равной длине хорды, соединяющей ее опорные сечения.</w:t>
      </w:r>
    </w:p>
    <w:bookmarkEnd w:id="1285"/>
    <w:bookmarkStart w:name="z1282" w:id="1286"/>
    <w:p>
      <w:pPr>
        <w:spacing w:after="0"/>
        <w:ind w:left="0"/>
        <w:jc w:val="both"/>
      </w:pPr>
      <w:r>
        <w:rPr>
          <w:rFonts w:ascii="Times New Roman"/>
          <w:b w:val="false"/>
          <w:i w:val="false"/>
          <w:color w:val="000000"/>
          <w:sz w:val="28"/>
        </w:rPr>
        <w:t>
      239. Толщина присоединенного пояска принимается равной его средней толщине в рассматриваемом сечении балки набора.</w:t>
      </w:r>
    </w:p>
    <w:bookmarkEnd w:id="1286"/>
    <w:bookmarkStart w:name="z1283" w:id="1287"/>
    <w:p>
      <w:pPr>
        <w:spacing w:after="0"/>
        <w:ind w:left="0"/>
        <w:jc w:val="both"/>
      </w:pPr>
      <w:r>
        <w:rPr>
          <w:rFonts w:ascii="Times New Roman"/>
          <w:b w:val="false"/>
          <w:i w:val="false"/>
          <w:color w:val="000000"/>
          <w:sz w:val="28"/>
        </w:rPr>
        <w:t xml:space="preserve">
      240. Ширина присоединенного пояска </w:t>
      </w:r>
      <w:r>
        <w:rPr>
          <w:rFonts w:ascii="Times New Roman"/>
          <w:b w:val="false"/>
          <w:i/>
          <w:color w:val="000000"/>
          <w:sz w:val="28"/>
        </w:rPr>
        <w:t>а</w:t>
      </w:r>
      <w:r>
        <w:rPr>
          <w:rFonts w:ascii="Times New Roman"/>
          <w:b w:val="false"/>
          <w:i w:val="false"/>
          <w:color w:val="000000"/>
          <w:vertAlign w:val="subscript"/>
        </w:rPr>
        <w:t>п</w:t>
      </w:r>
      <w:r>
        <w:rPr>
          <w:rFonts w:ascii="Times New Roman"/>
          <w:b w:val="false"/>
          <w:i w:val="false"/>
          <w:color w:val="000000"/>
          <w:sz w:val="28"/>
        </w:rPr>
        <w:t xml:space="preserve"> м, балок основного набора определяется по формулам:</w:t>
      </w:r>
    </w:p>
    <w:bookmarkEnd w:id="12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vertAlign w:val="subscript"/>
        </w:rPr>
        <w:t>п</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/6,                          (50)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vertAlign w:val="subscript"/>
        </w:rPr>
        <w:t>п</w:t>
      </w:r>
      <w:r>
        <w:rPr>
          <w:rFonts w:ascii="Times New Roman"/>
          <w:b w:val="false"/>
          <w:i w:val="false"/>
          <w:color w:val="000000"/>
          <w:sz w:val="28"/>
        </w:rPr>
        <w:t xml:space="preserve"> = 0,5(</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(51)</w:t>
      </w:r>
    </w:p>
    <w:p>
      <w:pPr>
        <w:spacing w:after="0"/>
        <w:ind w:left="0"/>
        <w:jc w:val="both"/>
      </w:pPr>
      <w:r>
        <w:rPr>
          <w:rFonts w:ascii="Times New Roman"/>
          <w:b w:val="false"/>
          <w:i w:val="false"/>
          <w:color w:val="000000"/>
          <w:sz w:val="28"/>
        </w:rPr>
        <w:t>
      в зависимости от того, что меньше.</w:t>
      </w:r>
    </w:p>
    <w:bookmarkStart w:name="z1284" w:id="1288"/>
    <w:p>
      <w:pPr>
        <w:spacing w:after="0"/>
        <w:ind w:left="0"/>
        <w:jc w:val="both"/>
      </w:pPr>
      <w:r>
        <w:rPr>
          <w:rFonts w:ascii="Times New Roman"/>
          <w:b w:val="false"/>
          <w:i w:val="false"/>
          <w:color w:val="000000"/>
          <w:sz w:val="28"/>
        </w:rPr>
        <w:t xml:space="preserve">
      241. Ширина присоединенного пояска балок рамного набора </w:t>
      </w:r>
      <w:r>
        <w:rPr>
          <w:rFonts w:ascii="Times New Roman"/>
          <w:b w:val="false"/>
          <w:i/>
          <w:color w:val="000000"/>
          <w:sz w:val="28"/>
        </w:rPr>
        <w:t>с</w:t>
      </w:r>
      <w:r>
        <w:rPr>
          <w:rFonts w:ascii="Times New Roman"/>
          <w:b w:val="false"/>
          <w:i w:val="false"/>
          <w:color w:val="000000"/>
          <w:vertAlign w:val="subscript"/>
        </w:rPr>
        <w:t>п</w:t>
      </w:r>
      <w:r>
        <w:rPr>
          <w:rFonts w:ascii="Times New Roman"/>
          <w:b w:val="false"/>
          <w:i w:val="false"/>
          <w:color w:val="000000"/>
          <w:sz w:val="28"/>
        </w:rPr>
        <w:t>, м, определяется по формуле:</w:t>
      </w:r>
    </w:p>
    <w:bookmarkEnd w:id="12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val="false"/>
          <w:color w:val="000000"/>
          <w:vertAlign w:val="subscript"/>
        </w:rPr>
        <w:t>п</w:t>
      </w:r>
      <w:r>
        <w:rPr>
          <w:rFonts w:ascii="Times New Roman"/>
          <w:b w:val="false"/>
          <w:i w:val="false"/>
          <w:color w:val="000000"/>
          <w:sz w:val="28"/>
        </w:rPr>
        <w:t xml:space="preserve"> = </w:t>
      </w:r>
      <w:r>
        <w:rPr>
          <w:rFonts w:ascii="Times New Roman"/>
          <w:b w:val="false"/>
          <w:i/>
          <w:color w:val="000000"/>
          <w:sz w:val="28"/>
        </w:rPr>
        <w:t>kc</w:t>
      </w:r>
      <w:r>
        <w:rPr>
          <w:rFonts w:ascii="Times New Roman"/>
          <w:b w:val="false"/>
          <w:i w:val="false"/>
          <w:color w:val="000000"/>
          <w:sz w:val="28"/>
        </w:rPr>
        <w:t>,                           (52)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sz w:val="28"/>
        </w:rPr>
        <w:t xml:space="preserve"> = 0,5(</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отстояние рассматриваемой рамной балки от ближайших рамных балок того же направления, расположенных по обе стороны от рассматриваемой балки, м;</w:t>
      </w:r>
    </w:p>
    <w:p>
      <w:pPr>
        <w:spacing w:after="0"/>
        <w:ind w:left="0"/>
        <w:jc w:val="both"/>
      </w:pPr>
      <w:r>
        <w:rPr>
          <w:rFonts w:ascii="Times New Roman"/>
          <w:b w:val="false"/>
          <w:i w:val="false"/>
          <w:color w:val="000000"/>
          <w:sz w:val="28"/>
        </w:rPr>
        <w:t xml:space="preserve">
      k — коэффициент, определяемый по приложению 36 настоящих Правил в зависимости от с, приведенного пролета </w:t>
      </w:r>
      <w:r>
        <w:rPr>
          <w:rFonts w:ascii="Times New Roman"/>
          <w:b w:val="false"/>
          <w:i/>
          <w:color w:val="000000"/>
          <w:sz w:val="28"/>
        </w:rPr>
        <w:t>l</w:t>
      </w:r>
      <w:r>
        <w:rPr>
          <w:rFonts w:ascii="Times New Roman"/>
          <w:b w:val="false"/>
          <w:i w:val="false"/>
          <w:color w:val="000000"/>
          <w:vertAlign w:val="subscript"/>
        </w:rPr>
        <w:t>пр</w:t>
      </w:r>
      <w:r>
        <w:rPr>
          <w:rFonts w:ascii="Times New Roman"/>
          <w:b w:val="false"/>
          <w:i w:val="false"/>
          <w:color w:val="000000"/>
          <w:sz w:val="28"/>
        </w:rPr>
        <w:t xml:space="preserve"> и числа балок и, поддерживаемых рассматриваемой рамной балкой.</w:t>
      </w:r>
    </w:p>
    <w:bookmarkStart w:name="z1285" w:id="1289"/>
    <w:p>
      <w:pPr>
        <w:spacing w:after="0"/>
        <w:ind w:left="0"/>
        <w:jc w:val="both"/>
      </w:pPr>
      <w:r>
        <w:rPr>
          <w:rFonts w:ascii="Times New Roman"/>
          <w:b w:val="false"/>
          <w:i w:val="false"/>
          <w:color w:val="000000"/>
          <w:sz w:val="28"/>
        </w:rPr>
        <w:t xml:space="preserve">
      Для свободно опертых по концам рамных балок длина приведенного пролета </w:t>
      </w:r>
      <w:r>
        <w:rPr>
          <w:rFonts w:ascii="Times New Roman"/>
          <w:b w:val="false"/>
          <w:i/>
          <w:color w:val="000000"/>
          <w:sz w:val="28"/>
        </w:rPr>
        <w:t>l</w:t>
      </w:r>
      <w:r>
        <w:rPr>
          <w:rFonts w:ascii="Times New Roman"/>
          <w:b w:val="false"/>
          <w:i w:val="false"/>
          <w:color w:val="000000"/>
          <w:vertAlign w:val="subscript"/>
        </w:rPr>
        <w:t>пр</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для жестко заделанных балок </w:t>
      </w:r>
      <w:r>
        <w:rPr>
          <w:rFonts w:ascii="Times New Roman"/>
          <w:b w:val="false"/>
          <w:i/>
          <w:color w:val="000000"/>
          <w:sz w:val="28"/>
        </w:rPr>
        <w:t>l</w:t>
      </w:r>
      <w:r>
        <w:rPr>
          <w:rFonts w:ascii="Times New Roman"/>
          <w:b w:val="false"/>
          <w:i w:val="false"/>
          <w:color w:val="000000"/>
          <w:vertAlign w:val="subscript"/>
        </w:rPr>
        <w:t>пр</w:t>
      </w:r>
      <w:r>
        <w:rPr>
          <w:rFonts w:ascii="Times New Roman"/>
          <w:b w:val="false"/>
          <w:i w:val="false"/>
          <w:color w:val="000000"/>
          <w:sz w:val="28"/>
        </w:rPr>
        <w:t xml:space="preserve"> = 0,6 </w:t>
      </w:r>
      <w:r>
        <w:rPr>
          <w:rFonts w:ascii="Times New Roman"/>
          <w:b w:val="false"/>
          <w:i/>
          <w:color w:val="000000"/>
          <w:sz w:val="28"/>
        </w:rPr>
        <w:t>l</w:t>
      </w:r>
      <w:r>
        <w:rPr>
          <w:rFonts w:ascii="Times New Roman"/>
          <w:b w:val="false"/>
          <w:i w:val="false"/>
          <w:color w:val="000000"/>
          <w:sz w:val="28"/>
        </w:rPr>
        <w:t>. Условия опирания концов балок набора (жесткая заделка, свободная опора) определяются, исходя из общеинженерных принципов с учетом реальной конструкции (наличие книц, приварка стенок, поясков), и характеризуются наличием или отсутствием действия изгибающего момента в опорном сечении балки.</w:t>
      </w:r>
    </w:p>
    <w:bookmarkEnd w:id="1289"/>
    <w:bookmarkStart w:name="z1286" w:id="1290"/>
    <w:p>
      <w:pPr>
        <w:spacing w:after="0"/>
        <w:ind w:left="0"/>
        <w:jc w:val="both"/>
      </w:pPr>
      <w:r>
        <w:rPr>
          <w:rFonts w:ascii="Times New Roman"/>
          <w:b w:val="false"/>
          <w:i w:val="false"/>
          <w:color w:val="000000"/>
          <w:sz w:val="28"/>
        </w:rPr>
        <w:t xml:space="preserve">
      242. Ширина присоединенного пояска комингсов грузовых люков принимается равной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12</w:t>
      </w:r>
      <w:r>
        <w:rPr>
          <w:rFonts w:ascii="Times New Roman"/>
          <w:b w:val="false"/>
          <w:i w:val="false"/>
          <w:color w:val="000000"/>
          <w:sz w:val="28"/>
        </w:rPr>
        <w:t xml:space="preserve"> их пролета, но не более половины расстояния между грузовым люком и бортом для продольного комингса и половины расстояния между грузовым люком и поперечной переборкой (или ближайшим к грузовому люку бимсом) для поперечного комингса грузового люка.</w:t>
      </w:r>
    </w:p>
    <w:bookmarkEnd w:id="1290"/>
    <w:bookmarkStart w:name="z1287" w:id="1291"/>
    <w:p>
      <w:pPr>
        <w:spacing w:after="0"/>
        <w:ind w:left="0"/>
        <w:jc w:val="both"/>
      </w:pPr>
      <w:r>
        <w:rPr>
          <w:rFonts w:ascii="Times New Roman"/>
          <w:b w:val="false"/>
          <w:i w:val="false"/>
          <w:color w:val="000000"/>
          <w:sz w:val="28"/>
        </w:rPr>
        <w:t>
      243. Ширина присоединенного пояска рамных балок, расположенных перпендикулярно к направлению гофров, принимается равной 15</w:t>
      </w:r>
      <w:r>
        <w:rPr>
          <w:rFonts w:ascii="Times New Roman"/>
          <w:b w:val="false"/>
          <w:i/>
          <w:color w:val="000000"/>
          <w:sz w:val="28"/>
        </w:rPr>
        <w:t>s</w:t>
      </w:r>
      <w:r>
        <w:rPr>
          <w:rFonts w:ascii="Times New Roman"/>
          <w:b w:val="false"/>
          <w:i w:val="false"/>
          <w:color w:val="000000"/>
          <w:sz w:val="28"/>
        </w:rPr>
        <w:t xml:space="preserve"> и 20</w:t>
      </w:r>
      <w:r>
        <w:rPr>
          <w:rFonts w:ascii="Times New Roman"/>
          <w:b w:val="false"/>
          <w:i/>
          <w:color w:val="000000"/>
          <w:sz w:val="28"/>
        </w:rPr>
        <w:t>s</w:t>
      </w:r>
      <w:r>
        <w:rPr>
          <w:rFonts w:ascii="Times New Roman"/>
          <w:b w:val="false"/>
          <w:i w:val="false"/>
          <w:color w:val="000000"/>
          <w:sz w:val="28"/>
        </w:rPr>
        <w:t xml:space="preserve"> для коробчатых и волнистых гофров, соответственно (где </w:t>
      </w:r>
      <w:r>
        <w:rPr>
          <w:rFonts w:ascii="Times New Roman"/>
          <w:b w:val="false"/>
          <w:i/>
          <w:color w:val="000000"/>
          <w:sz w:val="28"/>
        </w:rPr>
        <w:t>s</w:t>
      </w:r>
      <w:r>
        <w:rPr>
          <w:rFonts w:ascii="Times New Roman"/>
          <w:b w:val="false"/>
          <w:i w:val="false"/>
          <w:color w:val="000000"/>
          <w:sz w:val="28"/>
        </w:rPr>
        <w:t xml:space="preserve"> — толщина гофрированных листов обшивки или настила, мм) или 0,1</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пункт 241 настоящих Правил), мм, в зависимости от того, что меньше.</w:t>
      </w:r>
    </w:p>
    <w:bookmarkEnd w:id="1291"/>
    <w:bookmarkStart w:name="z1288" w:id="1292"/>
    <w:p>
      <w:pPr>
        <w:spacing w:after="0"/>
        <w:ind w:left="0"/>
        <w:jc w:val="both"/>
      </w:pPr>
      <w:r>
        <w:rPr>
          <w:rFonts w:ascii="Times New Roman"/>
          <w:b w:val="false"/>
          <w:i w:val="false"/>
          <w:color w:val="000000"/>
          <w:sz w:val="28"/>
        </w:rPr>
        <w:t>
      244. Если по ширине присоединенного пояска рамных балок установлены параллельные им балки основного набора, при определении момента сопротивления и момента инерции рамных балок учитываются полные площади поперечных сечений указанных балок основного набора.</w:t>
      </w:r>
    </w:p>
    <w:bookmarkEnd w:id="1292"/>
    <w:bookmarkStart w:name="z1289" w:id="1293"/>
    <w:p>
      <w:pPr>
        <w:spacing w:after="0"/>
        <w:ind w:left="0"/>
        <w:jc w:val="both"/>
      </w:pPr>
      <w:r>
        <w:rPr>
          <w:rFonts w:ascii="Times New Roman"/>
          <w:b w:val="false"/>
          <w:i w:val="false"/>
          <w:color w:val="000000"/>
          <w:sz w:val="28"/>
        </w:rPr>
        <w:t>
      245. Определение момента сопротивления и момента инерции поперечного сечения рамных балок, если площадь присоединенного пояска меньше площади свободного пояска, является предметом специального рассмотрения Регистром судоходства. Указанное распространяется на рамные балки гофрированных конструкций.</w:t>
      </w:r>
    </w:p>
    <w:bookmarkEnd w:id="1293"/>
    <w:bookmarkStart w:name="z1290" w:id="1294"/>
    <w:p>
      <w:pPr>
        <w:spacing w:after="0"/>
        <w:ind w:left="0"/>
        <w:jc w:val="left"/>
      </w:pPr>
      <w:r>
        <w:rPr>
          <w:rFonts w:ascii="Times New Roman"/>
          <w:b/>
          <w:i w:val="false"/>
          <w:color w:val="000000"/>
        </w:rPr>
        <w:t xml:space="preserve"> Параграф 3. Размеры элементов конструкции корпуса</w:t>
      </w:r>
    </w:p>
    <w:bookmarkEnd w:id="1294"/>
    <w:bookmarkStart w:name="z1291" w:id="1295"/>
    <w:p>
      <w:pPr>
        <w:spacing w:after="0"/>
        <w:ind w:left="0"/>
        <w:jc w:val="both"/>
      </w:pPr>
      <w:r>
        <w:rPr>
          <w:rFonts w:ascii="Times New Roman"/>
          <w:b w:val="false"/>
          <w:i w:val="false"/>
          <w:color w:val="000000"/>
          <w:sz w:val="28"/>
        </w:rPr>
        <w:t xml:space="preserve">
      246. Момент сопротивления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балок основного набора катаного профиля равен не менее: </w:t>
      </w:r>
    </w:p>
    <w:bookmarkEnd w:id="129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 момент сопротивления рассматриваемой балки, см</w:t>
      </w:r>
      <w:r>
        <w:rPr>
          <w:rFonts w:ascii="Times New Roman"/>
          <w:b w:val="false"/>
          <w:i w:val="false"/>
          <w:color w:val="000000"/>
          <w:vertAlign w:val="superscript"/>
        </w:rPr>
        <w:t>3</w:t>
      </w:r>
      <w:r>
        <w:rPr>
          <w:rFonts w:ascii="Times New Roman"/>
          <w:b w:val="false"/>
          <w:i w:val="false"/>
          <w:color w:val="000000"/>
          <w:sz w:val="28"/>
        </w:rPr>
        <w:t>, определяемый согласно пункту 247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множитель, учитывающий поправку на износ, определяемый согласно пункту 141 настоящих Правил.</w:t>
      </w:r>
      <w:r>
        <w:br/>
      </w:r>
      <w:r>
        <w:rPr>
          <w:rFonts w:ascii="Times New Roman"/>
          <w:b w:val="false"/>
          <w:i w:val="false"/>
          <w:color w:val="000000"/>
          <w:sz w:val="28"/>
        </w:rPr>
        <w:t>
</w:t>
      </w:r>
    </w:p>
    <w:bookmarkStart w:name="z1292" w:id="1296"/>
    <w:p>
      <w:pPr>
        <w:spacing w:after="0"/>
        <w:ind w:left="0"/>
        <w:jc w:val="both"/>
      </w:pPr>
      <w:r>
        <w:rPr>
          <w:rFonts w:ascii="Times New Roman"/>
          <w:b w:val="false"/>
          <w:i w:val="false"/>
          <w:color w:val="000000"/>
          <w:sz w:val="28"/>
        </w:rPr>
        <w:t xml:space="preserve">
      Необходимо чтобы момент сопротивления составных сварных балок соответствовал требованиям пункта 247 настоящих Правил, при этом толщина элементов профиля увеличивается на величину запаса на износ </w:t>
      </w:r>
    </w:p>
    <w:bookmarkEnd w:id="1296"/>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p>
    <w:bookmarkStart w:name="z1293" w:id="1297"/>
    <w:p>
      <w:pPr>
        <w:spacing w:after="0"/>
        <w:ind w:left="0"/>
        <w:jc w:val="both"/>
      </w:pPr>
      <w:r>
        <w:rPr>
          <w:rFonts w:ascii="Times New Roman"/>
          <w:b w:val="false"/>
          <w:i w:val="false"/>
          <w:color w:val="000000"/>
          <w:sz w:val="28"/>
        </w:rPr>
        <w:t>
      247. Момент сопротивления рассматриваемой балки без учета запаса на износ, см</w:t>
      </w:r>
      <w:r>
        <w:rPr>
          <w:rFonts w:ascii="Times New Roman"/>
          <w:b w:val="false"/>
          <w:i w:val="false"/>
          <w:color w:val="000000"/>
          <w:vertAlign w:val="superscript"/>
        </w:rPr>
        <w:t>3</w:t>
      </w:r>
      <w:r>
        <w:rPr>
          <w:rFonts w:ascii="Times New Roman"/>
          <w:b w:val="false"/>
          <w:i w:val="false"/>
          <w:color w:val="000000"/>
          <w:sz w:val="28"/>
        </w:rPr>
        <w:t>, определяется по формуле:</w:t>
      </w:r>
    </w:p>
    <w:bookmarkEnd w:id="12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Ql</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w:t>
      </w:r>
      <w:r>
        <w:rPr>
          <w:rFonts w:ascii="Times New Roman"/>
          <w:b w:val="false"/>
          <w:i w:val="false"/>
          <w:color w:val="000000"/>
          <w:sz w:val="28"/>
        </w:rPr>
        <w:t>' = -------,                      (54)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35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pal</w:t>
      </w:r>
      <w:r>
        <w:rPr>
          <w:rFonts w:ascii="Times New Roman"/>
          <w:b w:val="false"/>
          <w:i w:val="false"/>
          <w:color w:val="000000"/>
          <w:sz w:val="28"/>
        </w:rPr>
        <w:t xml:space="preserve"> — поперечная нагрузка на рассматриваемую балку,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изгибающего момента и допускаемых напряжений, определяемые в соответствующих главах настоящей части Правил.</w:t>
      </w:r>
      <w:r>
        <w:br/>
      </w:r>
      <w:r>
        <w:rPr>
          <w:rFonts w:ascii="Times New Roman"/>
          <w:b w:val="false"/>
          <w:i w:val="false"/>
          <w:color w:val="000000"/>
          <w:sz w:val="28"/>
        </w:rPr>
        <w:t>
</w:t>
      </w:r>
    </w:p>
    <w:bookmarkStart w:name="z1294" w:id="1298"/>
    <w:p>
      <w:pPr>
        <w:spacing w:after="0"/>
        <w:ind w:left="0"/>
        <w:jc w:val="both"/>
      </w:pPr>
      <w:r>
        <w:rPr>
          <w:rFonts w:ascii="Times New Roman"/>
          <w:b w:val="false"/>
          <w:i w:val="false"/>
          <w:color w:val="000000"/>
          <w:sz w:val="28"/>
        </w:rPr>
        <w:t xml:space="preserve">
      248. Площадь поперечного сечения стенки балки основного и рамного набора с учетом вырезов (нетто) </w:t>
      </w:r>
    </w:p>
    <w:bookmarkEnd w:id="129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равна не менее: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балок набора катаного профиля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10</w:t>
      </w:r>
      <w:r>
        <w:rPr>
          <w:rFonts w:ascii="Times New Roman"/>
          <w:b w:val="false"/>
          <w:i/>
          <w:color w:val="000000"/>
          <w:sz w:val="28"/>
        </w:rPr>
        <w:t>N</w:t>
      </w:r>
      <w:r>
        <w:rPr>
          <w:rFonts w:ascii="Times New Roman"/>
          <w:b w:val="false"/>
          <w:i w:val="false"/>
          <w:color w:val="000000"/>
          <w:vertAlign w:val="subscript"/>
        </w:rPr>
        <w:t>max</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w:t>
      </w:r>
      <w:r>
        <w:rPr>
          <w:rFonts w:ascii="Times New Roman"/>
          <w:b w:val="false"/>
          <w:i w:val="false"/>
          <w:color w:val="000000"/>
          <w:sz w:val="28"/>
        </w:rPr>
        <w:t xml:space="preserve"> = -------,                    (56)</w:t>
      </w:r>
      <w:r>
        <w:br/>
      </w:r>
      <w:r>
        <w:rPr>
          <w:rFonts w:ascii="Times New Roman"/>
          <w:b w:val="false"/>
          <w:i w:val="false"/>
          <w:color w:val="000000"/>
          <w:sz w:val="28"/>
        </w:rPr>
        <w:t>
</w:t>
      </w:r>
      <w:r>
        <w:br/>
      </w:r>
    </w:p>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11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w:t>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максимальное значение перерезывающей силы и коэффициент допускаемых касательных напряжений, определяемые в соответствующих главах Правил;</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пункт 141 настоящих Правил;</w:t>
      </w:r>
      <w:r>
        <w:br/>
      </w:r>
      <w:r>
        <w:rPr>
          <w:rFonts w:ascii="Times New Roman"/>
          <w:b w:val="false"/>
          <w:i w:val="false"/>
          <w:color w:val="000000"/>
          <w:sz w:val="28"/>
        </w:rPr>
        <w:t>
</w:t>
      </w:r>
    </w:p>
    <w:bookmarkStart w:name="z1295" w:id="1299"/>
    <w:p>
      <w:pPr>
        <w:spacing w:after="0"/>
        <w:ind w:left="0"/>
        <w:jc w:val="both"/>
      </w:pPr>
      <w:r>
        <w:rPr>
          <w:rFonts w:ascii="Times New Roman"/>
          <w:b w:val="false"/>
          <w:i w:val="false"/>
          <w:color w:val="000000"/>
          <w:sz w:val="28"/>
        </w:rPr>
        <w:t xml:space="preserve">
      для составных сварных балок требуемая площадь поперечного сечения стенки определяется по формуле (56) настоящих Правил с последующим увеличением толщины на величину </w:t>
      </w:r>
    </w:p>
    <w:bookmarkEnd w:id="129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p>
    <w:bookmarkStart w:name="z1296" w:id="1300"/>
    <w:p>
      <w:pPr>
        <w:spacing w:after="0"/>
        <w:ind w:left="0"/>
        <w:jc w:val="both"/>
      </w:pPr>
      <w:r>
        <w:rPr>
          <w:rFonts w:ascii="Times New Roman"/>
          <w:b w:val="false"/>
          <w:i w:val="false"/>
          <w:color w:val="000000"/>
          <w:sz w:val="28"/>
        </w:rPr>
        <w:t xml:space="preserve">
      249. Толщина настила или обшивки </w:t>
      </w:r>
      <w:r>
        <w:rPr>
          <w:rFonts w:ascii="Times New Roman"/>
          <w:b w:val="false"/>
          <w:i/>
          <w:color w:val="000000"/>
          <w:sz w:val="28"/>
        </w:rPr>
        <w:t>s</w:t>
      </w:r>
      <w:r>
        <w:rPr>
          <w:rFonts w:ascii="Times New Roman"/>
          <w:b w:val="false"/>
          <w:i w:val="false"/>
          <w:color w:val="000000"/>
          <w:sz w:val="28"/>
        </w:rPr>
        <w:t xml:space="preserve">, мм, загруженных поперечной нагрузкой, равна не менее: </w:t>
      </w:r>
    </w:p>
    <w:bookmarkEnd w:id="130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651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51000" cy="749300"/>
                    </a:xfrm>
                    <a:prstGeom prst="rect">
                      <a:avLst/>
                    </a:prstGeom>
                  </pic:spPr>
                </pic:pic>
              </a:graphicData>
            </a:graphic>
          </wp:inline>
        </w:drawing>
      </w:r>
    </w:p>
    <w:p>
      <w:pPr>
        <w:spacing w:after="0"/>
        <w:ind w:left="0"/>
        <w:jc w:val="left"/>
      </w:pPr>
      <w:r>
        <w:rPr>
          <w:rFonts w:ascii="Times New Roman"/>
          <w:b w:val="false"/>
          <w:i w:val="false"/>
          <w:color w:val="000000"/>
          <w:sz w:val="28"/>
        </w:rPr>
        <w:t>,                 (57)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изгибающего момента и допускаемых напряжений, определяемые в соответствующих главах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1,2 — 0,5</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но не более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и </w:t>
      </w:r>
      <w:r>
        <w:rPr>
          <w:rFonts w:ascii="Times New Roman"/>
          <w:b w:val="false"/>
          <w:i/>
          <w:color w:val="000000"/>
          <w:sz w:val="28"/>
        </w:rPr>
        <w:t>b</w:t>
      </w:r>
      <w:r>
        <w:rPr>
          <w:rFonts w:ascii="Times New Roman"/>
          <w:b w:val="false"/>
          <w:i w:val="false"/>
          <w:color w:val="000000"/>
          <w:sz w:val="28"/>
        </w:rPr>
        <w:t xml:space="preserve"> — меньший и больший размеры сторон опорного контура листового элемента, м.</w:t>
      </w:r>
    </w:p>
    <w:bookmarkStart w:name="z1297" w:id="1301"/>
    <w:p>
      <w:pPr>
        <w:spacing w:after="0"/>
        <w:ind w:left="0"/>
        <w:jc w:val="both"/>
      </w:pPr>
      <w:r>
        <w:rPr>
          <w:rFonts w:ascii="Times New Roman"/>
          <w:b w:val="false"/>
          <w:i w:val="false"/>
          <w:color w:val="000000"/>
          <w:sz w:val="28"/>
        </w:rPr>
        <w:t>
      250. Размеры гофрированных конструкций удовлетворяют следующим требованиям:</w:t>
      </w:r>
    </w:p>
    <w:bookmarkEnd w:id="1301"/>
    <w:bookmarkStart w:name="z1298" w:id="1302"/>
    <w:p>
      <w:pPr>
        <w:spacing w:after="0"/>
        <w:ind w:left="0"/>
        <w:jc w:val="both"/>
      </w:pPr>
      <w:r>
        <w:rPr>
          <w:rFonts w:ascii="Times New Roman"/>
          <w:b w:val="false"/>
          <w:i w:val="false"/>
          <w:color w:val="000000"/>
          <w:sz w:val="28"/>
        </w:rPr>
        <w:t xml:space="preserve">
      1) толщина коробчатых гофров должна определяться по формуле (57) настоящих Правил, принимая, </w:t>
      </w:r>
      <w:r>
        <w:rPr>
          <w:rFonts w:ascii="Times New Roman"/>
          <w:b w:val="false"/>
          <w:i/>
          <w:color w:val="000000"/>
          <w:sz w:val="28"/>
        </w:rPr>
        <w:t>а</w:t>
      </w:r>
      <w:r>
        <w:rPr>
          <w:rFonts w:ascii="Times New Roman"/>
          <w:b w:val="false"/>
          <w:i w:val="false"/>
          <w:color w:val="000000"/>
          <w:sz w:val="28"/>
        </w:rPr>
        <w:t xml:space="preserve"> равной большей из величин </w:t>
      </w:r>
      <w:r>
        <w:rPr>
          <w:rFonts w:ascii="Times New Roman"/>
          <w:b w:val="false"/>
          <w:i/>
          <w:color w:val="000000"/>
          <w:sz w:val="28"/>
        </w:rPr>
        <w:t>b</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sz w:val="28"/>
        </w:rPr>
        <w:t xml:space="preserve"> (приложение 38 настоящих Правил).</w:t>
      </w:r>
    </w:p>
    <w:bookmarkEnd w:id="1302"/>
    <w:p>
      <w:pPr>
        <w:spacing w:after="0"/>
        <w:ind w:left="0"/>
        <w:jc w:val="both"/>
      </w:pPr>
      <w:r>
        <w:rPr>
          <w:rFonts w:ascii="Times New Roman"/>
          <w:b w:val="false"/>
          <w:i w:val="false"/>
          <w:color w:val="000000"/>
          <w:sz w:val="28"/>
        </w:rPr>
        <w:t>
      При этом необходимо чтобы было выдержано соотношение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0,06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sz w:val="28"/>
        </w:rPr>
        <w:t xml:space="preserve"> — ширина грани гофра, параллельной плоскости переборки, м (приложение 38 настоящих Правил).</w:t>
      </w:r>
    </w:p>
    <w:p>
      <w:pPr>
        <w:spacing w:after="0"/>
        <w:ind w:left="0"/>
        <w:jc w:val="both"/>
      </w:pPr>
      <w:r>
        <w:rPr>
          <w:rFonts w:ascii="Times New Roman"/>
          <w:b w:val="false"/>
          <w:i w:val="false"/>
          <w:color w:val="000000"/>
          <w:sz w:val="28"/>
        </w:rPr>
        <w:t xml:space="preserve">
      Угол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(рисунок </w:t>
      </w:r>
      <w:r>
        <w:rPr>
          <w:rFonts w:ascii="Times New Roman"/>
          <w:b w:val="false"/>
          <w:i/>
          <w:color w:val="000000"/>
          <w:sz w:val="28"/>
        </w:rPr>
        <w:t>а)</w:t>
      </w:r>
      <w:r>
        <w:rPr>
          <w:rFonts w:ascii="Times New Roman"/>
          <w:b w:val="false"/>
          <w:i w:val="false"/>
          <w:color w:val="000000"/>
          <w:sz w:val="28"/>
        </w:rPr>
        <w:t xml:space="preserve"> приложения 38 настоящих Правил) не принимается менее 40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bookmarkStart w:name="z1299" w:id="1303"/>
    <w:p>
      <w:pPr>
        <w:spacing w:after="0"/>
        <w:ind w:left="0"/>
        <w:jc w:val="both"/>
      </w:pPr>
      <w:r>
        <w:rPr>
          <w:rFonts w:ascii="Times New Roman"/>
          <w:b w:val="false"/>
          <w:i w:val="false"/>
          <w:color w:val="000000"/>
          <w:sz w:val="28"/>
        </w:rPr>
        <w:t xml:space="preserve">
      2) толщина волнистых гофров </w:t>
      </w:r>
      <w:r>
        <w:rPr>
          <w:rFonts w:ascii="Times New Roman"/>
          <w:b w:val="false"/>
          <w:i/>
          <w:color w:val="000000"/>
          <w:sz w:val="28"/>
        </w:rPr>
        <w:t>s</w:t>
      </w:r>
      <w:r>
        <w:rPr>
          <w:rFonts w:ascii="Times New Roman"/>
          <w:b w:val="false"/>
          <w:i w:val="false"/>
          <w:color w:val="000000"/>
          <w:sz w:val="28"/>
        </w:rPr>
        <w:t>, мм, равна не менее:</w:t>
      </w:r>
    </w:p>
    <w:bookmarkEnd w:id="13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803400" cy="609600"/>
                    </a:xfrm>
                    <a:prstGeom prst="rect">
                      <a:avLst/>
                    </a:prstGeom>
                  </pic:spPr>
                </pic:pic>
              </a:graphicData>
            </a:graphic>
          </wp:inline>
        </w:drawing>
      </w:r>
    </w:p>
    <w:p>
      <w:pPr>
        <w:spacing w:after="0"/>
        <w:ind w:left="0"/>
        <w:jc w:val="left"/>
      </w:pPr>
      <w:r>
        <w:rPr>
          <w:rFonts w:ascii="Times New Roman"/>
          <w:b w:val="false"/>
          <w:i w:val="false"/>
          <w:color w:val="000000"/>
          <w:sz w:val="28"/>
        </w:rPr>
        <w:t>,                    (59)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половина угла раствора гофра (рисунок </w:t>
      </w:r>
      <w:r>
        <w:rPr>
          <w:rFonts w:ascii="Times New Roman"/>
          <w:b w:val="false"/>
          <w:i/>
          <w:color w:val="000000"/>
          <w:sz w:val="28"/>
        </w:rPr>
        <w:t>б</w:t>
      </w:r>
      <w:r>
        <w:rPr>
          <w:rFonts w:ascii="Times New Roman"/>
          <w:b w:val="false"/>
          <w:i w:val="false"/>
          <w:color w:val="000000"/>
          <w:sz w:val="28"/>
        </w:rPr>
        <w:t>) приложения 38 настоящих Правил), рад;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радиус гофра,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допускаемых напряжений, определяемый в соответствующих главах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необходимо чтобы было выдержано соотношение: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R</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17/</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(60)</w:t>
      </w:r>
    </w:p>
    <w:bookmarkStart w:name="z1300" w:id="1304"/>
    <w:p>
      <w:pPr>
        <w:spacing w:after="0"/>
        <w:ind w:left="0"/>
        <w:jc w:val="both"/>
      </w:pPr>
      <w:r>
        <w:rPr>
          <w:rFonts w:ascii="Times New Roman"/>
          <w:b w:val="false"/>
          <w:i w:val="false"/>
          <w:color w:val="000000"/>
          <w:sz w:val="28"/>
        </w:rPr>
        <w:t xml:space="preserve">
      3) момент сопротивления поперечного сечения гофра определяется согласно пунктов 246 и 247 настоящих Правил, причем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pd</w:t>
      </w:r>
      <w:r>
        <w:rPr>
          <w:rFonts w:ascii="Times New Roman"/>
          <w:b w:val="false"/>
          <w:i w:val="false"/>
          <w:color w:val="000000"/>
          <w:vertAlign w:val="subscript"/>
        </w:rPr>
        <w:t>0</w:t>
      </w:r>
      <w:r>
        <w:rPr>
          <w:rFonts w:ascii="Times New Roman"/>
          <w:b w:val="false"/>
          <w:i/>
          <w:color w:val="000000"/>
          <w:sz w:val="28"/>
        </w:rPr>
        <w:t xml:space="preserve">l </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приложение 38 настоящих Правил.</w:t>
      </w:r>
    </w:p>
    <w:bookmarkEnd w:id="1304"/>
    <w:bookmarkStart w:name="z1301" w:id="1305"/>
    <w:p>
      <w:pPr>
        <w:spacing w:after="0"/>
        <w:ind w:left="0"/>
        <w:jc w:val="both"/>
      </w:pPr>
      <w:r>
        <w:rPr>
          <w:rFonts w:ascii="Times New Roman"/>
          <w:b w:val="false"/>
          <w:i w:val="false"/>
          <w:color w:val="000000"/>
          <w:sz w:val="28"/>
        </w:rPr>
        <w:t xml:space="preserve">
      Неразвернутая ширина и момент сопротивления гофров определяют по формулам, приведенным в приложении 37 настоящих Правил (линейные размеры даны в сантиметрах, </w:t>
      </w:r>
    </w:p>
    <w:bookmarkEnd w:id="1305"/>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в градусах).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59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590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вычислении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угол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принимается в радианах</w:t>
      </w:r>
      <w:r>
        <w:br/>
      </w:r>
      <w:r>
        <w:rPr>
          <w:rFonts w:ascii="Times New Roman"/>
          <w:b w:val="false"/>
          <w:i w:val="false"/>
          <w:color w:val="000000"/>
          <w:sz w:val="28"/>
        </w:rPr>
        <w:t>
</w:t>
      </w:r>
    </w:p>
    <w:bookmarkStart w:name="z1302" w:id="1306"/>
    <w:p>
      <w:pPr>
        <w:spacing w:after="0"/>
        <w:ind w:left="0"/>
        <w:jc w:val="both"/>
      </w:pPr>
      <w:r>
        <w:rPr>
          <w:rFonts w:ascii="Times New Roman"/>
          <w:b w:val="false"/>
          <w:i w:val="false"/>
          <w:color w:val="000000"/>
          <w:sz w:val="28"/>
        </w:rPr>
        <w:t xml:space="preserve">
      251. Коэффициенты допускаемых напряжений </w:t>
      </w:r>
    </w:p>
    <w:bookmarkEnd w:id="1306"/>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определяемые в соответствующих главах Правил, увеличивают для судов ограниченных районов плавания R2 и R2-RSN на 5 %, R3-RSN и R3 на 10 %, если они не зависят от коэффициентов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и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согласно формуле (86) настоящих Правил.</w:t>
      </w:r>
      <w:r>
        <w:br/>
      </w:r>
      <w:r>
        <w:rPr>
          <w:rFonts w:ascii="Times New Roman"/>
          <w:b w:val="false"/>
          <w:i w:val="false"/>
          <w:color w:val="000000"/>
          <w:sz w:val="28"/>
        </w:rPr>
        <w:t>
</w:t>
      </w:r>
    </w:p>
    <w:bookmarkStart w:name="z1303" w:id="1307"/>
    <w:p>
      <w:pPr>
        <w:spacing w:after="0"/>
        <w:ind w:left="0"/>
        <w:jc w:val="left"/>
      </w:pPr>
      <w:r>
        <w:rPr>
          <w:rFonts w:ascii="Times New Roman"/>
          <w:b/>
          <w:i w:val="false"/>
          <w:color w:val="000000"/>
        </w:rPr>
        <w:t xml:space="preserve"> Параграф 4. Устойчивость элементов конструкции корпуса</w:t>
      </w:r>
    </w:p>
    <w:bookmarkEnd w:id="1307"/>
    <w:bookmarkStart w:name="z1304" w:id="1308"/>
    <w:p>
      <w:pPr>
        <w:spacing w:after="0"/>
        <w:ind w:left="0"/>
        <w:jc w:val="both"/>
      </w:pPr>
      <w:r>
        <w:rPr>
          <w:rFonts w:ascii="Times New Roman"/>
          <w:b w:val="false"/>
          <w:i w:val="false"/>
          <w:color w:val="000000"/>
          <w:sz w:val="28"/>
        </w:rPr>
        <w:t>
      252. Устойчивость продольных балок основного и рамного набора, листов обшивки и настилов конструкций корпуса в средней части судов неограниченного района плавания и ограниченных районов плавания R1 и R2 длиной 65 м и более, ограниченных районов плавания R2-RSN, R3-RSN и R3 длиной 60 м и более обеспечивается при действии сжимающих напряжений от продольного изгиба корпуса.</w:t>
      </w:r>
    </w:p>
    <w:bookmarkEnd w:id="1308"/>
    <w:bookmarkStart w:name="z1305" w:id="1309"/>
    <w:p>
      <w:pPr>
        <w:spacing w:after="0"/>
        <w:ind w:left="0"/>
        <w:jc w:val="both"/>
      </w:pPr>
      <w:r>
        <w:rPr>
          <w:rFonts w:ascii="Times New Roman"/>
          <w:b w:val="false"/>
          <w:i w:val="false"/>
          <w:color w:val="000000"/>
          <w:sz w:val="28"/>
        </w:rPr>
        <w:t xml:space="preserve">
      Действующие сжимающие напряжения </w:t>
      </w:r>
    </w:p>
    <w:bookmarkEnd w:id="1309"/>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МПа, определяются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·10</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30/</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расчетный изгибающий момент, кН·м, в рассматриваемом сечении, равный максимуму абсолютной величины алгебраической суммы составляющих моментов;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w</w:t>
      </w:r>
      <w:r>
        <w:rPr>
          <w:rFonts w:ascii="Times New Roman"/>
          <w:b w:val="false"/>
          <w:i w:val="false"/>
          <w:color w:val="000000"/>
          <w:sz w:val="28"/>
        </w:rPr>
        <w:t>| — для продольных связей, расположенных ниже нейтральной оси;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 xml:space="preserve">w </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F</w:t>
      </w:r>
      <w:r>
        <w:rPr>
          <w:rFonts w:ascii="Times New Roman"/>
          <w:b w:val="false"/>
          <w:i w:val="false"/>
          <w:color w:val="000000"/>
          <w:sz w:val="28"/>
        </w:rPr>
        <w:t>|— для продольных связей, расположенных выше нейтральной оси;</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w:t>
      </w:r>
      <w:r>
        <w:rPr>
          <w:rFonts w:ascii="Times New Roman"/>
          <w:b w:val="false"/>
          <w:i w:val="false"/>
          <w:color w:val="000000"/>
          <w:sz w:val="28"/>
        </w:rPr>
        <w:t xml:space="preserve"> — параграф 2 главы 11 настоящих Правил,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w</w:t>
      </w:r>
      <w:r>
        <w:rPr>
          <w:rFonts w:ascii="Times New Roman"/>
          <w:b w:val="false"/>
          <w:i w:val="false"/>
          <w:color w:val="000000"/>
          <w:sz w:val="28"/>
        </w:rPr>
        <w:t xml:space="preserve"> — параграф 3 главы 11 настоящих Правил;</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F</w:t>
      </w:r>
      <w:r>
        <w:rPr>
          <w:rFonts w:ascii="Times New Roman"/>
          <w:b w:val="false"/>
          <w:i w:val="false"/>
          <w:color w:val="000000"/>
          <w:sz w:val="28"/>
        </w:rPr>
        <w:t xml:space="preserve"> — параграф 4 главы 11 настоящих Правил.</w:t>
      </w:r>
    </w:p>
    <w:bookmarkStart w:name="z1306" w:id="1310"/>
    <w:p>
      <w:pPr>
        <w:spacing w:after="0"/>
        <w:ind w:left="0"/>
        <w:jc w:val="both"/>
      </w:pPr>
      <w:r>
        <w:rPr>
          <w:rFonts w:ascii="Times New Roman"/>
          <w:b w:val="false"/>
          <w:i w:val="false"/>
          <w:color w:val="000000"/>
          <w:sz w:val="28"/>
        </w:rPr>
        <w:t xml:space="preserve">
      В качестве расчетного изгибающего момента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для продольных связей, расположенных ниже нейтральной оси, принимают наибольший момент, вызывающий перегиб судна, а для продольных связей, расположенных выше нейтральной оси — наибольший момент, вызывающий прогиб судна.</w:t>
      </w:r>
    </w:p>
    <w:bookmarkEnd w:id="1310"/>
    <w:bookmarkStart w:name="z1307" w:id="1311"/>
    <w:p>
      <w:pPr>
        <w:spacing w:after="0"/>
        <w:ind w:left="0"/>
        <w:jc w:val="both"/>
      </w:pPr>
      <w:r>
        <w:rPr>
          <w:rFonts w:ascii="Times New Roman"/>
          <w:b w:val="false"/>
          <w:i w:val="false"/>
          <w:color w:val="000000"/>
          <w:sz w:val="28"/>
        </w:rPr>
        <w:t xml:space="preserve">
      Устойчивость бортовой обшивки и обшивки продольных переборок в рассматриваемом сечении корпуса при наличии двух плоских продольных переборок обеспечивается при действии касательных напряжений </w:t>
      </w:r>
    </w:p>
    <w:bookmarkEnd w:id="1311"/>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МПа, определяемых по формулам: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бортовой обшивки при отсутствии продольных переборок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sw </w:t>
      </w:r>
      <w:r>
        <w:rPr>
          <w:rFonts w:ascii="Times New Roman"/>
          <w:b w:val="false"/>
          <w:i w:val="false"/>
          <w:color w:val="000000"/>
          <w:vertAlign w:val="subscript"/>
        </w:rPr>
        <w:t xml:space="preserve">+ </w:t>
      </w:r>
      <w:r>
        <w:rPr>
          <w:rFonts w:ascii="Times New Roman"/>
          <w:b w:val="false"/>
          <w:i/>
          <w:color w:val="000000"/>
          <w:sz w:val="28"/>
        </w:rPr>
        <w:t>N</w:t>
      </w:r>
      <w:r>
        <w:rPr>
          <w:rFonts w:ascii="Times New Roman"/>
          <w:b w:val="false"/>
          <w:i w:val="false"/>
          <w:color w:val="000000"/>
          <w:vertAlign w:val="subscript"/>
        </w:rPr>
        <w:t>w  S</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I</w:t>
      </w:r>
    </w:p>
    <w:p>
      <w:pPr>
        <w:spacing w:after="0"/>
        <w:ind w:left="0"/>
        <w:jc w:val="both"/>
      </w:pPr>
      <w:r>
        <w:rPr>
          <w:rFonts w:ascii="Times New Roman"/>
          <w:b w:val="false"/>
          <w:i w:val="false"/>
          <w:color w:val="000000"/>
          <w:sz w:val="28"/>
        </w:rPr>
        <w:t>
            для бортовой обшивки при наличии двух продольных переборок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sw </w:t>
      </w:r>
      <w:r>
        <w:rPr>
          <w:rFonts w:ascii="Times New Roman"/>
          <w:b w:val="false"/>
          <w:i w:val="false"/>
          <w:color w:val="000000"/>
          <w:vertAlign w:val="subscript"/>
        </w:rPr>
        <w:t xml:space="preserve">+ </w:t>
      </w:r>
      <w:r>
        <w:rPr>
          <w:rFonts w:ascii="Times New Roman"/>
          <w:b w:val="false"/>
          <w:i/>
          <w:color w:val="000000"/>
          <w:sz w:val="28"/>
        </w:rPr>
        <w:t>N</w:t>
      </w:r>
      <w:r>
        <w:rPr>
          <w:rFonts w:ascii="Times New Roman"/>
          <w:b w:val="false"/>
          <w:i w:val="false"/>
          <w:color w:val="000000"/>
          <w:vertAlign w:val="subscript"/>
        </w:rPr>
        <w:t>w  c</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                   (64)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I</w:t>
      </w:r>
    </w:p>
    <w:p>
      <w:pPr>
        <w:spacing w:after="0"/>
        <w:ind w:left="0"/>
        <w:jc w:val="both"/>
      </w:pPr>
      <w:r>
        <w:rPr>
          <w:rFonts w:ascii="Times New Roman"/>
          <w:b w:val="false"/>
          <w:i w:val="false"/>
          <w:color w:val="000000"/>
          <w:sz w:val="28"/>
        </w:rPr>
        <w:t>
            для обшивки переборок при наличии двух продольных переборок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sw </w:t>
      </w:r>
      <w:r>
        <w:rPr>
          <w:rFonts w:ascii="Times New Roman"/>
          <w:b w:val="false"/>
          <w:i w:val="false"/>
          <w:color w:val="000000"/>
          <w:vertAlign w:val="subscript"/>
        </w:rPr>
        <w:t xml:space="preserve">+ </w:t>
      </w:r>
      <w:r>
        <w:rPr>
          <w:rFonts w:ascii="Times New Roman"/>
          <w:b w:val="false"/>
          <w:i/>
          <w:color w:val="000000"/>
          <w:sz w:val="28"/>
        </w:rPr>
        <w:t>N</w:t>
      </w:r>
      <w:r>
        <w:rPr>
          <w:rFonts w:ascii="Times New Roman"/>
          <w:b w:val="false"/>
          <w:i w:val="false"/>
          <w:color w:val="000000"/>
          <w:vertAlign w:val="subscript"/>
        </w:rPr>
        <w:t>w  c</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l</w:t>
      </w:r>
      <w:r>
        <w:rPr>
          <w:rFonts w:ascii="Times New Roman"/>
          <w:b w:val="false"/>
          <w:i w:val="false"/>
          <w:color w:val="000000"/>
          <w:sz w:val="28"/>
        </w:rPr>
        <w:t xml:space="preserve">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                   (65)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val="false"/>
          <w:color w:val="000000"/>
          <w:sz w:val="28"/>
        </w:rPr>
        <w:t xml:space="preserve">     </w:t>
      </w:r>
      <w:r>
        <w:rPr>
          <w:rFonts w:ascii="Times New Roman"/>
          <w:b w:val="false"/>
          <w:i/>
          <w:color w:val="000000"/>
          <w:sz w:val="28"/>
        </w:rPr>
        <w:t>I</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 перерезывающая сила на тихой воде в рассматриваемом сечении корпуса, определяемая согласно параграфу 2 главы 11 настоящих Правил, кН;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w</w:t>
      </w:r>
      <w:r>
        <w:rPr>
          <w:rFonts w:ascii="Times New Roman"/>
          <w:b w:val="false"/>
          <w:i w:val="false"/>
          <w:color w:val="000000"/>
          <w:sz w:val="28"/>
        </w:rPr>
        <w:t xml:space="preserve"> — волновая вертикальная перерезывающая сила, определяемая согласно пункту 190 настоящих Правил;</w:t>
      </w:r>
    </w:p>
    <w:p>
      <w:pPr>
        <w:spacing w:after="0"/>
        <w:ind w:left="0"/>
        <w:jc w:val="both"/>
      </w:pPr>
      <w:r>
        <w:rPr>
          <w:rFonts w:ascii="Times New Roman"/>
          <w:b w:val="false"/>
          <w:i w:val="false"/>
          <w:color w:val="000000"/>
          <w:sz w:val="28"/>
        </w:rPr>
        <w:t>
            s — фактическая толщина бортовой обшивки при отсутствии продольных переборок,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val="false"/>
          <w:color w:val="000000"/>
          <w:sz w:val="28"/>
        </w:rPr>
        <w:t xml:space="preserve"> — фактическая толщина бортовой обшивки и продольной переборки при наличии в рассматриваемом сечении двух продольных переборок, мм;</w:t>
      </w:r>
    </w:p>
    <w:p>
      <w:pPr>
        <w:spacing w:after="0"/>
        <w:ind w:left="0"/>
        <w:jc w:val="both"/>
      </w:pPr>
      <w:r>
        <w:rPr>
          <w:rFonts w:ascii="Times New Roman"/>
          <w:b w:val="false"/>
          <w:i w:val="false"/>
          <w:color w:val="000000"/>
          <w:sz w:val="28"/>
        </w:rPr>
        <w:t xml:space="preserve">
            S, </w:t>
      </w:r>
      <w:r>
        <w:rPr>
          <w:rFonts w:ascii="Times New Roman"/>
          <w:b w:val="false"/>
          <w:i/>
          <w:color w:val="000000"/>
          <w:sz w:val="28"/>
        </w:rPr>
        <w:t>I</w:t>
      </w:r>
      <w:r>
        <w:rPr>
          <w:rFonts w:ascii="Times New Roman"/>
          <w:b w:val="false"/>
          <w:i w:val="false"/>
          <w:color w:val="000000"/>
          <w:sz w:val="28"/>
        </w:rPr>
        <w:t xml:space="preserve"> — параграф 1 главы 11 настоящих Правил;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l</w:t>
      </w:r>
      <w:r>
        <w:rPr>
          <w:rFonts w:ascii="Times New Roman"/>
          <w:b w:val="false"/>
          <w:i w:val="false"/>
          <w:color w:val="000000"/>
          <w:sz w:val="28"/>
        </w:rPr>
        <w:t xml:space="preserve"> —пункт 205 настоящих Правил.</w:t>
      </w:r>
      <w:r>
        <w:br/>
      </w:r>
      <w:r>
        <w:rPr>
          <w:rFonts w:ascii="Times New Roman"/>
          <w:b w:val="false"/>
          <w:i w:val="false"/>
          <w:color w:val="000000"/>
          <w:sz w:val="28"/>
        </w:rPr>
        <w:t>
</w:t>
      </w:r>
    </w:p>
    <w:bookmarkStart w:name="z1308" w:id="1312"/>
    <w:p>
      <w:pPr>
        <w:spacing w:after="0"/>
        <w:ind w:left="0"/>
        <w:jc w:val="both"/>
      </w:pPr>
      <w:r>
        <w:rPr>
          <w:rFonts w:ascii="Times New Roman"/>
          <w:b w:val="false"/>
          <w:i w:val="false"/>
          <w:color w:val="000000"/>
          <w:sz w:val="28"/>
        </w:rPr>
        <w:t>
      Касательные напряжения при наличии одной или более двух непрерывных плоских продольных переборок, а также продольных переборок с горизонтальными гофрами, определяются по методике, одобренной Регистром судоходства.</w:t>
      </w:r>
    </w:p>
    <w:bookmarkEnd w:id="1312"/>
    <w:bookmarkStart w:name="z1309" w:id="1313"/>
    <w:p>
      <w:pPr>
        <w:spacing w:after="0"/>
        <w:ind w:left="0"/>
        <w:jc w:val="both"/>
      </w:pPr>
      <w:r>
        <w:rPr>
          <w:rFonts w:ascii="Times New Roman"/>
          <w:b w:val="false"/>
          <w:i w:val="false"/>
          <w:color w:val="000000"/>
          <w:sz w:val="28"/>
        </w:rPr>
        <w:t>
      253. Устойчивость продольных элементов конструкции корпуса считается обеспеченной, если выполняются условия:</w:t>
      </w:r>
    </w:p>
    <w:bookmarkEnd w:id="1313"/>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1 – для пластин и продольных балок рамного набора;</w:t>
      </w:r>
    </w:p>
    <w:p>
      <w:pPr>
        <w:spacing w:after="0"/>
        <w:ind w:left="0"/>
        <w:jc w:val="both"/>
      </w:pPr>
      <w:r>
        <w:rPr>
          <w:rFonts w:ascii="Times New Roman"/>
          <w:b w:val="false"/>
          <w:i w:val="false"/>
          <w:color w:val="000000"/>
          <w:sz w:val="28"/>
        </w:rPr>
        <w:t>
      k = 1,1 – для продольных балок основного набора;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vertAlign w:val="subscript"/>
        </w:rPr>
        <w:t xml:space="preserve"> </w:t>
      </w:r>
      <w:r>
        <w:rPr>
          <w:rFonts w:ascii="Times New Roman"/>
          <w:b w:val="false"/>
          <w:i w:val="false"/>
          <w:color w:val="000000"/>
          <w:sz w:val="28"/>
        </w:rPr>
        <w:t>– пункт 252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sz w:val="28"/>
        </w:rPr>
        <w:t xml:space="preserve"> –пункт 254 настоящих Правил.</w:t>
      </w:r>
      <w:r>
        <w:br/>
      </w:r>
      <w:r>
        <w:rPr>
          <w:rFonts w:ascii="Times New Roman"/>
          <w:b w:val="false"/>
          <w:i w:val="false"/>
          <w:color w:val="000000"/>
          <w:sz w:val="28"/>
        </w:rPr>
        <w:t>
</w:t>
      </w:r>
    </w:p>
    <w:bookmarkStart w:name="z1310" w:id="1314"/>
    <w:p>
      <w:pPr>
        <w:spacing w:after="0"/>
        <w:ind w:left="0"/>
        <w:jc w:val="both"/>
      </w:pPr>
      <w:r>
        <w:rPr>
          <w:rFonts w:ascii="Times New Roman"/>
          <w:b w:val="false"/>
          <w:i w:val="false"/>
          <w:color w:val="000000"/>
          <w:sz w:val="28"/>
        </w:rPr>
        <w:t xml:space="preserve">
      Возможно уменьшение коэффициента </w:t>
      </w:r>
      <w:r>
        <w:rPr>
          <w:rFonts w:ascii="Times New Roman"/>
          <w:b w:val="false"/>
          <w:i/>
          <w:color w:val="000000"/>
          <w:sz w:val="28"/>
        </w:rPr>
        <w:t>k</w:t>
      </w:r>
      <w:r>
        <w:rPr>
          <w:rFonts w:ascii="Times New Roman"/>
          <w:b w:val="false"/>
          <w:i w:val="false"/>
          <w:color w:val="000000"/>
          <w:sz w:val="28"/>
        </w:rPr>
        <w:t xml:space="preserve"> для пластин для судов ограниченных районов плавания: R1 — на 10 %, R2 и R2-RSN — на 15 %, R3-RSN и R3 — на 20 %. В этом случае при определении фактического момента сопротивления поперечного сечения корпуса согласно параграфа 7 главы 11 настоящих Правил, учитывается редуцирование сжатых пластин, то есть при </w:t>
      </w:r>
    </w:p>
    <w:bookmarkEnd w:id="1314"/>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&lt;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пластины, за исключением примыкающих к продольным балкам участков шириной 0,25 короткой стороны опорного контура, включаются в сечение эквивалентного бруса с редукционным коэффициентом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определяемым по формуле:</w:t>
      </w:r>
      <w:r>
        <w:br/>
      </w: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(67)</w:t>
      </w:r>
      <w:r>
        <w:br/>
      </w:r>
      <w:r>
        <w:rPr>
          <w:rFonts w:ascii="Times New Roman"/>
          <w:b w:val="false"/>
          <w:i w:val="false"/>
          <w:color w:val="000000"/>
          <w:sz w:val="28"/>
        </w:rPr>
        <w:t>
</w:t>
      </w:r>
    </w:p>
    <w:bookmarkStart w:name="z1311" w:id="1315"/>
    <w:p>
      <w:pPr>
        <w:spacing w:after="0"/>
        <w:ind w:left="0"/>
        <w:jc w:val="both"/>
      </w:pPr>
      <w:r>
        <w:rPr>
          <w:rFonts w:ascii="Times New Roman"/>
          <w:b w:val="false"/>
          <w:i w:val="false"/>
          <w:color w:val="000000"/>
          <w:sz w:val="28"/>
        </w:rPr>
        <w:t xml:space="preserve">
      254. Критические напряжения </w:t>
      </w:r>
    </w:p>
    <w:bookmarkEnd w:id="1315"/>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и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sz w:val="28"/>
        </w:rPr>
        <w:t>, МПа, определяются по формулам:</w:t>
      </w:r>
      <w:r>
        <w:br/>
      </w:r>
      <w:r>
        <w:rPr>
          <w:rFonts w:ascii="Times New Roman"/>
          <w:b w:val="false"/>
          <w:i w:val="false"/>
          <w:color w:val="000000"/>
          <w:sz w:val="28"/>
        </w:rPr>
        <w:t>
</w:t>
      </w:r>
      <w:r>
        <w:br/>
      </w:r>
    </w:p>
    <w:p>
      <w:pPr>
        <w:spacing w:after="0"/>
        <w:ind w:left="0"/>
        <w:jc w:val="both"/>
      </w:pPr>
      <w:r>
        <w:drawing>
          <wp:inline distT="0" distB="0" distL="0" distR="0">
            <wp:extent cx="6489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64897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эйлеровы нормальные и касательные напряжения, определяемые согласно пунктам 255 и 256 настоящих Правил.</w:t>
      </w:r>
      <w:r>
        <w:br/>
      </w:r>
      <w:r>
        <w:rPr>
          <w:rFonts w:ascii="Times New Roman"/>
          <w:b w:val="false"/>
          <w:i w:val="false"/>
          <w:color w:val="000000"/>
          <w:sz w:val="28"/>
        </w:rPr>
        <w:t>
</w:t>
      </w:r>
    </w:p>
    <w:bookmarkStart w:name="z1312" w:id="1316"/>
    <w:p>
      <w:pPr>
        <w:spacing w:after="0"/>
        <w:ind w:left="0"/>
        <w:jc w:val="both"/>
      </w:pPr>
      <w:r>
        <w:rPr>
          <w:rFonts w:ascii="Times New Roman"/>
          <w:b w:val="false"/>
          <w:i w:val="false"/>
          <w:color w:val="000000"/>
          <w:sz w:val="28"/>
        </w:rPr>
        <w:t xml:space="preserve">
      255. Эйлеровы напряжения </w:t>
      </w:r>
    </w:p>
    <w:bookmarkEnd w:id="1316"/>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МПа, для продольных балок основного и рамного набора при проверке устойчивости определяются по следующим формулам:</w:t>
      </w:r>
      <w:r>
        <w:br/>
      </w:r>
      <w:r>
        <w:rPr>
          <w:rFonts w:ascii="Times New Roman"/>
          <w:b w:val="false"/>
          <w:i w:val="false"/>
          <w:color w:val="000000"/>
          <w:sz w:val="28"/>
        </w:rPr>
        <w:t>
</w:t>
      </w:r>
    </w:p>
    <w:bookmarkStart w:name="z1313" w:id="1317"/>
    <w:p>
      <w:pPr>
        <w:spacing w:after="0"/>
        <w:ind w:left="0"/>
        <w:jc w:val="both"/>
      </w:pPr>
      <w:r>
        <w:rPr>
          <w:rFonts w:ascii="Times New Roman"/>
          <w:b w:val="false"/>
          <w:i w:val="false"/>
          <w:color w:val="000000"/>
          <w:sz w:val="28"/>
        </w:rPr>
        <w:t>
      1) для продольных балок основного набора, не теряющих боковую устойчивость,</w:t>
      </w:r>
    </w:p>
    <w:bookmarkEnd w:id="13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206</w:t>
      </w:r>
      <w:r>
        <w:rPr>
          <w:rFonts w:ascii="Times New Roman"/>
          <w:b w:val="false"/>
          <w:i/>
          <w:color w:val="000000"/>
          <w:sz w:val="28"/>
        </w:rPr>
        <w:t>i</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                       (69)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 момент инерции балки, см</w:t>
      </w:r>
      <w:r>
        <w:rPr>
          <w:rFonts w:ascii="Times New Roman"/>
          <w:b w:val="false"/>
          <w:i w:val="false"/>
          <w:color w:val="000000"/>
          <w:vertAlign w:val="superscript"/>
        </w:rPr>
        <w:t>4</w:t>
      </w:r>
      <w:r>
        <w:rPr>
          <w:rFonts w:ascii="Times New Roman"/>
          <w:b w:val="false"/>
          <w:i w:val="false"/>
          <w:color w:val="000000"/>
          <w:sz w:val="28"/>
        </w:rPr>
        <w:t xml:space="preserve">, с учетом присоединенного пояска, вычисленный для толщины, уменьшенной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приложение 41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поперечного сечения балки, см</w:t>
      </w:r>
      <w:r>
        <w:rPr>
          <w:rFonts w:ascii="Times New Roman"/>
          <w:b w:val="false"/>
          <w:i w:val="false"/>
          <w:color w:val="000000"/>
          <w:vertAlign w:val="superscript"/>
        </w:rPr>
        <w:t>2</w:t>
      </w:r>
      <w:r>
        <w:rPr>
          <w:rFonts w:ascii="Times New Roman"/>
          <w:b w:val="false"/>
          <w:i w:val="false"/>
          <w:color w:val="000000"/>
          <w:sz w:val="28"/>
        </w:rPr>
        <w:t xml:space="preserve">, с учетом присоединенного пояска, вычисленная для толщины, уменьшенной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—приложение 41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ширина присоединенного пояска принимается как расстояние между балками;</w:t>
      </w:r>
    </w:p>
    <w:bookmarkStart w:name="z1314" w:id="1318"/>
    <w:p>
      <w:pPr>
        <w:spacing w:after="0"/>
        <w:ind w:left="0"/>
        <w:jc w:val="both"/>
      </w:pPr>
      <w:r>
        <w:rPr>
          <w:rFonts w:ascii="Times New Roman"/>
          <w:b w:val="false"/>
          <w:i w:val="false"/>
          <w:color w:val="000000"/>
          <w:sz w:val="28"/>
        </w:rPr>
        <w:t>
      2) для продольных балок основного набора при проверке боковой устойчивости</w:t>
      </w:r>
    </w:p>
    <w:bookmarkEnd w:id="13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(203/</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p</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vertAlign w:val="superscript"/>
        </w:rPr>
        <w:t>2</w:t>
      </w:r>
      <w:r>
        <w:rPr>
          <w:rFonts w:ascii="Times New Roman"/>
          <w:b w:val="false"/>
          <w:i w:val="false"/>
          <w:color w:val="000000"/>
          <w:sz w:val="28"/>
        </w:rPr>
        <w:t>) + 79310</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р</w:t>
      </w:r>
      <w:r>
        <w:rPr>
          <w:rFonts w:ascii="Times New Roman"/>
          <w:b w:val="false"/>
          <w:i w:val="false"/>
          <w:color w:val="000000"/>
          <w:sz w:val="28"/>
        </w:rPr>
        <w:t>,        (70)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0,05</w:t>
      </w:r>
      <w:r>
        <w:rPr>
          <w:rFonts w:ascii="Times New Roman"/>
          <w:b w:val="false"/>
          <w:i/>
          <w:color w:val="000000"/>
          <w:sz w:val="28"/>
        </w:rPr>
        <w:t>сl</w:t>
      </w:r>
      <w:r>
        <w:rPr>
          <w:rFonts w:ascii="Times New Roman"/>
          <w:b w:val="false"/>
          <w:i w:val="false"/>
          <w:color w:val="000000"/>
          <w:vertAlign w:val="superscript"/>
        </w:rPr>
        <w:t>4</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rPr>
          <w:rFonts w:ascii="Times New Roman"/>
          <w:b w:val="false"/>
          <w:i w:val="false"/>
          <w:color w:val="000000"/>
          <w:sz w:val="28"/>
        </w:rPr>
        <w:t>
      m — число полуволн согласно приложению 39 настоящих Правил.</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момент инерции балки, см</w:t>
      </w:r>
      <w:r>
        <w:rPr>
          <w:rFonts w:ascii="Times New Roman"/>
          <w:b w:val="false"/>
          <w:i w:val="false"/>
          <w:color w:val="000000"/>
          <w:vertAlign w:val="superscript"/>
        </w:rPr>
        <w:t>4</w:t>
      </w:r>
      <w:r>
        <w:rPr>
          <w:rFonts w:ascii="Times New Roman"/>
          <w:b w:val="false"/>
          <w:i w:val="false"/>
          <w:color w:val="000000"/>
          <w:sz w:val="28"/>
        </w:rPr>
        <w:t>, при чистом кручении профиля без присоединенного пояска, определяемый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color w:val="000000"/>
          <w:sz w:val="28"/>
        </w:rPr>
        <w:t>s</w:t>
      </w:r>
      <w:r>
        <w:rPr>
          <w:rFonts w:ascii="Times New Roman"/>
          <w:b w:val="false"/>
          <w:i w:val="false"/>
          <w:color w:val="000000"/>
          <w:vertAlign w:val="superscript"/>
        </w:rPr>
        <w:t>3</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 xml:space="preserve">-4 </w:t>
      </w:r>
      <w:r>
        <w:rPr>
          <w:rFonts w:ascii="Times New Roman"/>
          <w:b w:val="false"/>
          <w:i w:val="false"/>
          <w:color w:val="000000"/>
          <w:sz w:val="28"/>
        </w:rPr>
        <w:t>— для балок полосового профиля;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color w:val="000000"/>
          <w:sz w:val="28"/>
        </w:rPr>
        <w:t>s</w:t>
      </w:r>
      <w:r>
        <w:rPr>
          <w:rFonts w:ascii="Times New Roman"/>
          <w:b w:val="false"/>
          <w:i w:val="false"/>
          <w:color w:val="000000"/>
          <w:vertAlign w:val="superscript"/>
        </w:rPr>
        <w:t>3</w:t>
      </w:r>
      <w:r>
        <w:rPr>
          <w:rFonts w:ascii="Times New Roman"/>
          <w:b w:val="false"/>
          <w:i w:val="false"/>
          <w:color w:val="000000"/>
          <w:vertAlign w:val="subscript"/>
        </w:rPr>
        <w:t xml:space="preserve">c </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color w:val="000000"/>
          <w:sz w:val="28"/>
        </w:rPr>
        <w:t>s</w:t>
      </w:r>
      <w:r>
        <w:rPr>
          <w:rFonts w:ascii="Times New Roman"/>
          <w:b w:val="false"/>
          <w:i w:val="false"/>
          <w:color w:val="000000"/>
          <w:vertAlign w:val="superscript"/>
        </w:rPr>
        <w:t>3</w:t>
      </w:r>
      <w:r>
        <w:rPr>
          <w:rFonts w:ascii="Times New Roman"/>
          <w:b w:val="false"/>
          <w:i w:val="false"/>
          <w:color w:val="000000"/>
          <w:vertAlign w:val="subscript"/>
        </w:rPr>
        <w:t>п</w:t>
      </w:r>
      <w:r>
        <w:rPr>
          <w:rFonts w:ascii="Times New Roman"/>
          <w:b w:val="false"/>
          <w:i w:val="false"/>
          <w:color w:val="000000"/>
          <w:sz w:val="28"/>
        </w:rPr>
        <w:t>(1 - 0,63</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 для балок углового, полособульбового, симметричного полособульбового или таврового профиля;</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p</w:t>
      </w:r>
      <w:r>
        <w:rPr>
          <w:rFonts w:ascii="Times New Roman"/>
          <w:b w:val="false"/>
          <w:i w:val="false"/>
          <w:color w:val="000000"/>
          <w:sz w:val="28"/>
        </w:rPr>
        <w:t xml:space="preserve"> — полярный момент инерции балки, см</w:t>
      </w:r>
      <w:r>
        <w:rPr>
          <w:rFonts w:ascii="Times New Roman"/>
          <w:b w:val="false"/>
          <w:i w:val="false"/>
          <w:color w:val="000000"/>
          <w:vertAlign w:val="superscript"/>
        </w:rPr>
        <w:t>4</w:t>
      </w:r>
      <w:r>
        <w:rPr>
          <w:rFonts w:ascii="Times New Roman"/>
          <w:b w:val="false"/>
          <w:i w:val="false"/>
          <w:color w:val="000000"/>
          <w:sz w:val="28"/>
        </w:rPr>
        <w:t>, относительно точки притыкания профиля к пластине, определяемый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h</w:t>
      </w:r>
      <w:r>
        <w:rPr>
          <w:rFonts w:ascii="Times New Roman"/>
          <w:b w:val="false"/>
          <w:i w:val="false"/>
          <w:color w:val="000000"/>
          <w:vertAlign w:val="subscript"/>
        </w:rPr>
        <w:t>c</w:t>
      </w:r>
      <w:r>
        <w:rPr>
          <w:rFonts w:ascii="Times New Roman"/>
          <w:b w:val="false"/>
          <w:i/>
          <w:color w:val="000000"/>
          <w:sz w:val="28"/>
        </w:rPr>
        <w:t>s</w:t>
      </w:r>
      <w:r>
        <w:rPr>
          <w:rFonts w:ascii="Times New Roman"/>
          <w:b w:val="false"/>
          <w:i w:val="false"/>
          <w:color w:val="000000"/>
          <w:vertAlign w:val="superscript"/>
        </w:rPr>
        <w:t>3</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xml:space="preserve"> — для балок полосового профиля,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h</w:t>
      </w:r>
      <w:r>
        <w:rPr>
          <w:rFonts w:ascii="Times New Roman"/>
          <w:b w:val="false"/>
          <w:i w:val="false"/>
          <w:color w:val="000000"/>
          <w:vertAlign w:val="superscript"/>
        </w:rPr>
        <w:t>3</w:t>
      </w:r>
      <w:r>
        <w:rPr>
          <w:rFonts w:ascii="Times New Roman"/>
          <w:b w:val="false"/>
          <w:i w:val="false"/>
          <w:color w:val="000000"/>
          <w:vertAlign w:val="subscript"/>
        </w:rPr>
        <w:t>c</w:t>
      </w:r>
      <w:r>
        <w:rPr>
          <w:rFonts w:ascii="Times New Roman"/>
          <w:b w:val="false"/>
          <w:i/>
          <w:color w:val="000000"/>
          <w:sz w:val="28"/>
        </w:rPr>
        <w:t>s</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p</w:t>
      </w: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perscript"/>
        </w:rPr>
        <w:t>2</w:t>
      </w:r>
      <w:r>
        <w:rPr>
          <w:rFonts w:ascii="Times New Roman"/>
          <w:b w:val="false"/>
          <w:i w:val="false"/>
          <w:color w:val="000000"/>
          <w:vertAlign w:val="subscript"/>
        </w:rPr>
        <w:t>c</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 xml:space="preserve">-4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 для балок углового, полособульбового, симметричного полособульбового или таврового профиля;</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w</w:t>
      </w:r>
      <w:r>
        <w:rPr>
          <w:rFonts w:ascii="Times New Roman"/>
          <w:b w:val="false"/>
          <w:i w:val="false"/>
          <w:color w:val="000000"/>
          <w:sz w:val="28"/>
        </w:rPr>
        <w:t xml:space="preserve"> — секториальный момент инерции балки, см</w:t>
      </w:r>
      <w:r>
        <w:rPr>
          <w:rFonts w:ascii="Times New Roman"/>
          <w:b w:val="false"/>
          <w:i w:val="false"/>
          <w:color w:val="000000"/>
          <w:vertAlign w:val="superscript"/>
        </w:rPr>
        <w:t>6</w:t>
      </w:r>
      <w:r>
        <w:rPr>
          <w:rFonts w:ascii="Times New Roman"/>
          <w:b w:val="false"/>
          <w:i w:val="false"/>
          <w:color w:val="000000"/>
          <w:sz w:val="28"/>
        </w:rPr>
        <w:t>, относительно точки протыкания профиля к пластине, определяемый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perscript"/>
        </w:rPr>
        <w:t>3</w:t>
      </w:r>
      <w:r>
        <w:rPr>
          <w:rFonts w:ascii="Times New Roman"/>
          <w:b w:val="false"/>
          <w:i w:val="false"/>
          <w:color w:val="000000"/>
          <w:vertAlign w:val="subscript"/>
        </w:rPr>
        <w:t>c</w:t>
      </w:r>
      <w:r>
        <w:rPr>
          <w:rFonts w:ascii="Times New Roman"/>
          <w:b w:val="false"/>
          <w:i/>
          <w:color w:val="000000"/>
          <w:sz w:val="28"/>
        </w:rPr>
        <w:t>s</w:t>
      </w:r>
      <w:r>
        <w:rPr>
          <w:rFonts w:ascii="Times New Roman"/>
          <w:b w:val="false"/>
          <w:i w:val="false"/>
          <w:color w:val="000000"/>
          <w:vertAlign w:val="superscript"/>
        </w:rPr>
        <w:t>3</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val="false"/>
          <w:color w:val="000000"/>
          <w:vertAlign w:val="subscript"/>
        </w:rPr>
        <w:t xml:space="preserve">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 xml:space="preserve">-6 </w:t>
      </w:r>
      <w:r>
        <w:rPr>
          <w:rFonts w:ascii="Times New Roman"/>
          <w:b w:val="false"/>
          <w:i w:val="false"/>
          <w:color w:val="000000"/>
          <w:sz w:val="28"/>
        </w:rPr>
        <w:t>— для балок полосового профиля;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color w:val="000000"/>
          <w:sz w:val="28"/>
        </w:rPr>
        <w:t>b</w:t>
      </w:r>
      <w:r>
        <w:rPr>
          <w:rFonts w:ascii="Times New Roman"/>
          <w:b w:val="false"/>
          <w:i w:val="false"/>
          <w:color w:val="000000"/>
          <w:vertAlign w:val="superscript"/>
        </w:rPr>
        <w:t>3</w:t>
      </w:r>
      <w:r>
        <w:rPr>
          <w:rFonts w:ascii="Times New Roman"/>
          <w:b w:val="false"/>
          <w:i/>
          <w:color w:val="000000"/>
          <w:sz w:val="28"/>
        </w:rPr>
        <w:t>h</w:t>
      </w:r>
      <w:r>
        <w:rPr>
          <w:rFonts w:ascii="Times New Roman"/>
          <w:b w:val="false"/>
          <w:i w:val="false"/>
          <w:color w:val="000000"/>
          <w:vertAlign w:val="superscript"/>
        </w:rPr>
        <w:t>3</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val="false"/>
          <w:color w:val="000000"/>
          <w:vertAlign w:val="subscript"/>
        </w:rPr>
        <w:t xml:space="preserve">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для балок таврового и симметричного полособульбового профиля;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r>
        <w:rPr>
          <w:rFonts w:ascii="Times New Roman"/>
          <w:b w:val="false"/>
          <w:i w:val="false"/>
          <w:color w:val="000000"/>
          <w:vertAlign w:val="superscript"/>
        </w:rPr>
        <w:t>3</w:t>
      </w:r>
      <w:r>
        <w:rPr>
          <w:rFonts w:ascii="Times New Roman"/>
          <w:b w:val="false"/>
          <w:i w:val="false"/>
          <w:color w:val="000000"/>
          <w:vertAlign w:val="subscript"/>
        </w:rPr>
        <w:t>п</w:t>
      </w:r>
      <w:r>
        <w:rPr>
          <w:rFonts w:ascii="Times New Roman"/>
          <w:b w:val="false"/>
          <w:i/>
          <w:color w:val="000000"/>
          <w:sz w:val="28"/>
        </w:rPr>
        <w:t>h</w:t>
      </w:r>
      <w:r>
        <w:rPr>
          <w:rFonts w:ascii="Times New Roman"/>
          <w:b w:val="false"/>
          <w:i w:val="false"/>
          <w:color w:val="000000"/>
          <w:vertAlign w:val="superscript"/>
        </w:rPr>
        <w:t>3</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color w:val="000000"/>
          <w:sz w:val="28"/>
        </w:rPr>
        <w:t>(b</w:t>
      </w:r>
      <w:r>
        <w:rPr>
          <w:rFonts w:ascii="Times New Roman"/>
          <w:b w:val="false"/>
          <w:i w:val="false"/>
          <w:color w:val="000000"/>
          <w:vertAlign w:val="superscript"/>
        </w:rPr>
        <w:t>2</w:t>
      </w:r>
      <w:r>
        <w:rPr>
          <w:rFonts w:ascii="Times New Roman"/>
          <w:b w:val="false"/>
          <w:i w:val="false"/>
          <w:color w:val="000000"/>
          <w:vertAlign w:val="subscript"/>
        </w:rPr>
        <w:t xml:space="preserve">п </w:t>
      </w:r>
      <w:r>
        <w:rPr>
          <w:rFonts w:ascii="Times New Roman"/>
          <w:b w:val="false"/>
          <w:i/>
          <w:color w:val="000000"/>
          <w:sz w:val="28"/>
        </w:rPr>
        <w:t>+ 2b</w:t>
      </w:r>
      <w:r>
        <w:rPr>
          <w:rFonts w:ascii="Times New Roman"/>
          <w:b w:val="false"/>
          <w:i w:val="false"/>
          <w:color w:val="000000"/>
          <w:vertAlign w:val="subscript"/>
        </w:rPr>
        <w:t>п</w:t>
      </w:r>
      <w:r>
        <w:rPr>
          <w:rFonts w:ascii="Times New Roman"/>
          <w:b w:val="false"/>
          <w:i/>
          <w:color w:val="000000"/>
          <w:sz w:val="28"/>
        </w:rPr>
        <w:t>h</w:t>
      </w:r>
      <w:r>
        <w:rPr>
          <w:rFonts w:ascii="Times New Roman"/>
          <w:b w:val="false"/>
          <w:i w:val="false"/>
          <w:color w:val="000000"/>
          <w:vertAlign w:val="subscript"/>
        </w:rPr>
        <w:t xml:space="preserve">c </w:t>
      </w:r>
      <w:r>
        <w:rPr>
          <w:rFonts w:ascii="Times New Roman"/>
          <w:b w:val="false"/>
          <w:i/>
          <w:color w:val="000000"/>
          <w:sz w:val="28"/>
        </w:rPr>
        <w:t>+ 4h</w:t>
      </w:r>
      <w:r>
        <w:rPr>
          <w:rFonts w:ascii="Times New Roman"/>
          <w:b w:val="false"/>
          <w:i w:val="false"/>
          <w:color w:val="000000"/>
          <w:vertAlign w:val="superscript"/>
        </w:rPr>
        <w:t>2</w:t>
      </w:r>
      <w:r>
        <w:rPr>
          <w:rFonts w:ascii="Times New Roman"/>
          <w:b w:val="false"/>
          <w:i w:val="false"/>
          <w:color w:val="000000"/>
          <w:vertAlign w:val="subscript"/>
        </w:rPr>
        <w:t>c</w:t>
      </w:r>
      <w:r>
        <w:rPr>
          <w:rFonts w:ascii="Times New Roman"/>
          <w:b w:val="false"/>
          <w:i w:val="false"/>
          <w:color w:val="000000"/>
          <w:sz w:val="28"/>
        </w:rPr>
        <w:t>)</w:t>
      </w:r>
      <w:r>
        <w:rPr>
          <w:rFonts w:ascii="Times New Roman"/>
          <w:b w:val="false"/>
          <w:i/>
          <w:color w:val="000000"/>
          <w:sz w:val="28"/>
        </w:rPr>
        <w:t>+ 3s</w:t>
      </w:r>
      <w:r>
        <w:rPr>
          <w:rFonts w:ascii="Times New Roman"/>
          <w:b w:val="false"/>
          <w:i w:val="false"/>
          <w:color w:val="000000"/>
          <w:vertAlign w:val="subscript"/>
        </w:rPr>
        <w:t>c</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w:t>
      </w:r>
    </w:p>
    <w:p>
      <w:pPr>
        <w:spacing w:after="0"/>
        <w:ind w:left="0"/>
        <w:jc w:val="both"/>
      </w:pPr>
      <w:r>
        <w:rPr>
          <w:rFonts w:ascii="Times New Roman"/>
          <w:b w:val="false"/>
          <w:i w:val="false"/>
          <w:color w:val="000000"/>
          <w:sz w:val="28"/>
        </w:rPr>
        <w:t>
      — для балок углового и полособульбового профиля;</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c</w:t>
      </w:r>
      <w:r>
        <w:rPr>
          <w:rFonts w:ascii="Times New Roman"/>
          <w:b w:val="false"/>
          <w:i w:val="false"/>
          <w:color w:val="000000"/>
          <w:sz w:val="28"/>
        </w:rPr>
        <w:t xml:space="preserve"> — высота стенки балки,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 толщина стенки балки, мм, уменьшенная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—приложение 41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п</w:t>
      </w:r>
      <w:r>
        <w:rPr>
          <w:rFonts w:ascii="Times New Roman"/>
          <w:b w:val="false"/>
          <w:i w:val="false"/>
          <w:color w:val="000000"/>
          <w:sz w:val="28"/>
        </w:rPr>
        <w:t xml:space="preserve"> — ширина свободного пояска, мм, для углового и таврового профиля или ширина головки, мм, для полособульбового или симметричного полособульбового профиля;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 толщина свободного пояска или высота головки полособульба, мм, уменьшенная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приложение 41 настоящих Правил). Для балок полособульбового или симметричного полособульбового профиля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принимается как средняя высота головки;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жесткость пластины, поддерживаемой продольными балками, определяемая по формуле:</w:t>
      </w:r>
    </w:p>
    <w:p>
      <w:pPr>
        <w:spacing w:after="0"/>
        <w:ind w:left="0"/>
        <w:jc w:val="both"/>
      </w:pPr>
      <w:r>
        <w:rPr>
          <w:rFonts w:ascii="Times New Roman"/>
          <w:b w:val="false"/>
          <w:i w:val="false"/>
          <w:color w:val="000000"/>
          <w:sz w:val="28"/>
        </w:rPr>
        <w:t>
                      068,7fs24кpf1 scf1 3</w:t>
      </w:r>
    </w:p>
    <w:p>
      <w:pPr>
        <w:spacing w:after="0"/>
        <w:ind w:left="0"/>
        <w:jc w:val="both"/>
      </w:pPr>
      <w:r>
        <w:rPr>
          <w:rFonts w:ascii="Times New Roman"/>
          <w:b w:val="false"/>
          <w:i w:val="false"/>
          <w:color w:val="000000"/>
          <w:sz w:val="28"/>
        </w:rPr>
        <w:t xml:space="preserve">
      0      </w:t>
      </w:r>
      <w:r>
        <w:rPr>
          <w:rFonts w:ascii="Times New Roman"/>
          <w:b w:val="false"/>
          <w:i/>
          <w:color w:val="000000"/>
          <w:sz w:val="28"/>
        </w:rPr>
        <w:t>с</w:t>
      </w: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1,330</w:t>
      </w:r>
      <w:r>
        <w:rPr>
          <w:rFonts w:ascii="Times New Roman"/>
          <w:b w:val="false"/>
          <w:i/>
          <w:color w:val="000000"/>
          <w:sz w:val="28"/>
        </w:rPr>
        <w:t>к</w:t>
      </w:r>
      <w:r>
        <w:rPr>
          <w:rFonts w:ascii="Times New Roman"/>
          <w:b w:val="false"/>
          <w:i w:val="false"/>
          <w:color w:val="000000"/>
          <w:sz w:val="28"/>
        </w:rPr>
        <w:t>subp4h24cs 3</w:t>
      </w:r>
    </w:p>
    <w:p>
      <w:pPr>
        <w:spacing w:after="0"/>
        <w:ind w:left="0"/>
        <w:jc w:val="both"/>
      </w:pPr>
      <w:r>
        <w:rPr>
          <w:rFonts w:ascii="Times New Roman"/>
          <w:b w:val="false"/>
          <w:i w:val="false"/>
          <w:color w:val="000000"/>
          <w:sz w:val="28"/>
        </w:rPr>
        <w:t>
                (1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10per-6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as</w:t>
      </w:r>
      <w:r>
        <w:rPr>
          <w:rFonts w:ascii="Times New Roman"/>
          <w:b w:val="false"/>
          <w:i w:val="false"/>
          <w:color w:val="000000"/>
          <w:vertAlign w:val="superscript"/>
        </w:rPr>
        <w:t>3</w:t>
      </w:r>
      <w:r>
        <w:rPr>
          <w:rFonts w:ascii="Times New Roman"/>
          <w:b w:val="false"/>
          <w:i w:val="false"/>
          <w:color w:val="000000"/>
          <w:vertAlign w:val="subscript"/>
        </w:rPr>
        <w:t>c</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р </w:t>
      </w:r>
      <w:r>
        <w:rPr>
          <w:rFonts w:ascii="Times New Roman"/>
          <w:b w:val="false"/>
          <w:i w:val="false"/>
          <w:color w:val="000000"/>
          <w:sz w:val="28"/>
        </w:rPr>
        <w:t xml:space="preserve">= 1 –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 (для балок углового, полособульбового, симметричного полособульбового и таврого профиля</w:t>
      </w:r>
      <w:r>
        <w:rPr>
          <w:rFonts w:ascii="Times New Roman"/>
          <w:b w:val="false"/>
          <w:i/>
          <w:color w:val="000000"/>
          <w:sz w:val="28"/>
        </w:rPr>
        <w:t xml:space="preserve"> k</w:t>
      </w:r>
      <w:r>
        <w:rPr>
          <w:rFonts w:ascii="Times New Roman"/>
          <w:b w:val="false"/>
          <w:i w:val="false"/>
          <w:color w:val="000000"/>
          <w:vertAlign w:val="subscript"/>
        </w:rPr>
        <w:t xml:space="preserve">р </w:t>
      </w:r>
      <w:r>
        <w:rPr>
          <w:rFonts w:ascii="Times New Roman"/>
          <w:b w:val="false"/>
          <w:i w:val="false"/>
          <w:color w:val="000000"/>
          <w:sz w:val="28"/>
        </w:rPr>
        <w:t>следует принимать не менее 0,1);</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с </w:t>
      </w:r>
      <w:r>
        <w:rPr>
          <w:rFonts w:ascii="Times New Roman"/>
          <w:b w:val="false"/>
          <w:i w:val="false"/>
          <w:color w:val="000000"/>
          <w:sz w:val="28"/>
        </w:rPr>
        <w:t>— сжимающее напряжение согласно пункту 252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r>
        <w:rPr>
          <w:rFonts w:ascii="Times New Roman"/>
          <w:b w:val="false"/>
          <w:i w:val="false"/>
          <w:color w:val="000000"/>
          <w:sz w:val="28"/>
        </w:rPr>
        <w:t>— эйлерово напряжение поддерживаемой пластины согласно пункту 287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толщина поддерживаемой пластины, мм, уменьшенная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приложение 41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продольными балками, м;</w:t>
      </w:r>
    </w:p>
    <w:bookmarkStart w:name="z1315" w:id="1319"/>
    <w:p>
      <w:pPr>
        <w:spacing w:after="0"/>
        <w:ind w:left="0"/>
        <w:jc w:val="both"/>
      </w:pPr>
      <w:r>
        <w:rPr>
          <w:rFonts w:ascii="Times New Roman"/>
          <w:b w:val="false"/>
          <w:i w:val="false"/>
          <w:color w:val="000000"/>
          <w:sz w:val="28"/>
        </w:rPr>
        <w:t>
      3) для рамных балок</w:t>
      </w:r>
    </w:p>
    <w:bookmarkEnd w:id="1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7,83(</w:t>
      </w:r>
      <w:r>
        <w:rPr>
          <w:rFonts w:ascii="Times New Roman"/>
          <w:b w:val="false"/>
          <w:i/>
          <w:color w:val="000000"/>
          <w:sz w:val="28"/>
        </w:rPr>
        <w:t>s</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·10</w:t>
      </w:r>
      <w:r>
        <w:rPr>
          <w:rFonts w:ascii="Times New Roman"/>
          <w:b w:val="false"/>
          <w:i w:val="false"/>
          <w:color w:val="000000"/>
          <w:vertAlign w:val="superscript"/>
        </w:rPr>
        <w:t>5</w:t>
      </w:r>
      <w:r>
        <w:rPr>
          <w:rFonts w:ascii="Times New Roman"/>
          <w:b w:val="false"/>
          <w:i w:val="false"/>
          <w:color w:val="000000"/>
          <w:sz w:val="28"/>
        </w:rPr>
        <w:t xml:space="preserve"> — для стенок рамных балок;        (71)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устойчивость свободных поясков рамных балок проверяется при соотношении</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 ширина свободного пояска, мм, для углового профиля или половина ширины пояска для таврового профиля;</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w:t>
      </w:r>
      <w:r>
        <w:rPr>
          <w:rFonts w:ascii="Times New Roman"/>
          <w:b w:val="false"/>
          <w:i w:val="false"/>
          <w:color w:val="000000"/>
          <w:sz w:val="28"/>
        </w:rPr>
        <w:t xml:space="preserve"> — толщина свободного пояска, мм.</w:t>
      </w:r>
    </w:p>
    <w:bookmarkStart w:name="z1316" w:id="1320"/>
    <w:p>
      <w:pPr>
        <w:spacing w:after="0"/>
        <w:ind w:left="0"/>
        <w:jc w:val="both"/>
      </w:pPr>
      <w:r>
        <w:rPr>
          <w:rFonts w:ascii="Times New Roman"/>
          <w:b w:val="false"/>
          <w:i w:val="false"/>
          <w:color w:val="000000"/>
          <w:sz w:val="28"/>
        </w:rPr>
        <w:t>
      256. Эйлеровы нормальные у</w:t>
      </w:r>
      <w:r>
        <w:rPr>
          <w:rFonts w:ascii="Times New Roman"/>
          <w:b w:val="false"/>
          <w:i w:val="false"/>
          <w:color w:val="000000"/>
          <w:vertAlign w:val="subscript"/>
        </w:rPr>
        <w:t>е</w:t>
      </w:r>
      <w:r>
        <w:rPr>
          <w:rFonts w:ascii="Times New Roman"/>
          <w:b w:val="false"/>
          <w:i w:val="false"/>
          <w:color w:val="000000"/>
          <w:sz w:val="28"/>
        </w:rPr>
        <w:t xml:space="preserve"> и касательные </w:t>
      </w:r>
    </w:p>
    <w:bookmarkEnd w:id="1320"/>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напряжения, МПа, листовых элементов определяются как для прямоугольных пластин по формулам:</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0,1854</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(72)</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0,1854</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коэффициент, зависящий от вида нагружения пластин и отношения сторон (приложение 40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фактическая толщина пластины, мм, уменьшенная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определяемую по приложению 41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 — сторона пластины, перпендикулярная направлению действия нормальных сжимающих напряжений; при действии на пластину касательных напряжений за </w:t>
      </w:r>
      <w:r>
        <w:rPr>
          <w:rFonts w:ascii="Times New Roman"/>
          <w:b w:val="false"/>
          <w:i/>
          <w:color w:val="000000"/>
          <w:sz w:val="28"/>
        </w:rPr>
        <w:t>b</w:t>
      </w:r>
      <w:r>
        <w:rPr>
          <w:rFonts w:ascii="Times New Roman"/>
          <w:b w:val="false"/>
          <w:i w:val="false"/>
          <w:color w:val="000000"/>
          <w:sz w:val="28"/>
        </w:rPr>
        <w:t xml:space="preserve"> принимается меньшая сторона пластины, м.</w:t>
      </w:r>
    </w:p>
    <w:bookmarkStart w:name="z1317" w:id="1321"/>
    <w:p>
      <w:pPr>
        <w:spacing w:after="0"/>
        <w:ind w:left="0"/>
        <w:jc w:val="both"/>
      </w:pPr>
      <w:r>
        <w:rPr>
          <w:rFonts w:ascii="Times New Roman"/>
          <w:b w:val="false"/>
          <w:i w:val="false"/>
          <w:color w:val="000000"/>
          <w:sz w:val="28"/>
        </w:rPr>
        <w:t xml:space="preserve">
      257. Момент инерции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ребер жесткости по стенкам балок рамного набора (пункт 278 настоящих Правил) должен быть не менее определяемого по формулам:</w:t>
      </w:r>
    </w:p>
    <w:bookmarkEnd w:id="1321"/>
    <w:p>
      <w:pPr>
        <w:spacing w:after="0"/>
        <w:ind w:left="0"/>
        <w:jc w:val="both"/>
      </w:pPr>
      <w:r>
        <w:rPr>
          <w:rFonts w:ascii="Times New Roman"/>
          <w:b w:val="false"/>
          <w:i w:val="false"/>
          <w:color w:val="000000"/>
          <w:sz w:val="28"/>
        </w:rPr>
        <w:t xml:space="preserve">
      для ребер жесткости, нормальных к свободному пояску рамной балки,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color w:val="000000"/>
          <w:sz w:val="28"/>
        </w:rPr>
        <w:t>аs</w:t>
      </w:r>
      <w:r>
        <w:rPr>
          <w:rFonts w:ascii="Times New Roman"/>
          <w:b w:val="false"/>
          <w:i w:val="false"/>
          <w:color w:val="000000"/>
          <w:vertAlign w:val="superscript"/>
        </w:rPr>
        <w:t>3</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ребер жесткости, параллельных свободному пояску рамной балки,</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+ 0,1</w:t>
      </w:r>
      <w:r>
        <w:rPr>
          <w:rFonts w:ascii="Times New Roman"/>
          <w:b w:val="false"/>
          <w:i/>
          <w:color w:val="000000"/>
          <w:sz w:val="28"/>
        </w:rPr>
        <w:t>аs</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perscript"/>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i</w:t>
      </w:r>
      <w:r>
        <w:rPr>
          <w:rFonts w:ascii="Times New Roman"/>
          <w:b w:val="false"/>
          <w:i w:val="false"/>
          <w:color w:val="000000"/>
          <w:sz w:val="28"/>
        </w:rPr>
        <w:t xml:space="preserve"> = 2,35 ------------,                    (75)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определяемый по приложению 42 настоящих Правил в зависимости от отношения высоты стенки рамной балки </w:t>
      </w:r>
      <w:r>
        <w:rPr>
          <w:rFonts w:ascii="Times New Roman"/>
          <w:b w:val="false"/>
          <w:i/>
          <w:color w:val="000000"/>
          <w:sz w:val="28"/>
        </w:rPr>
        <w:t>h</w:t>
      </w:r>
      <w:r>
        <w:rPr>
          <w:rFonts w:ascii="Times New Roman"/>
          <w:b w:val="false"/>
          <w:i w:val="false"/>
          <w:color w:val="000000"/>
          <w:sz w:val="28"/>
        </w:rPr>
        <w:t xml:space="preserve"> к расстоянию между ребрами </w:t>
      </w:r>
      <w:r>
        <w:rPr>
          <w:rFonts w:ascii="Times New Roman"/>
          <w:b w:val="false"/>
          <w:i/>
          <w:color w:val="000000"/>
          <w:sz w:val="28"/>
        </w:rPr>
        <w:t>а</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ребрами жесткости, см;</w:t>
      </w:r>
    </w:p>
    <w:p>
      <w:pPr>
        <w:spacing w:after="0"/>
        <w:ind w:left="0"/>
        <w:jc w:val="both"/>
      </w:pPr>
      <w:r>
        <w:rPr>
          <w:rFonts w:ascii="Times New Roman"/>
          <w:b w:val="false"/>
          <w:i w:val="false"/>
          <w:color w:val="000000"/>
          <w:sz w:val="28"/>
        </w:rPr>
        <w:t>
      s — фактическая толщина стенки,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площадь поперечного сечения ребра жесткости,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пролет ребра жесткости,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—согласно пункту 133 настоящих Правил.</w:t>
      </w:r>
      <w:r>
        <w:br/>
      </w:r>
      <w:r>
        <w:rPr>
          <w:rFonts w:ascii="Times New Roman"/>
          <w:b w:val="false"/>
          <w:i w:val="false"/>
          <w:color w:val="000000"/>
          <w:sz w:val="28"/>
        </w:rPr>
        <w:t>
</w:t>
      </w:r>
    </w:p>
    <w:bookmarkStart w:name="z1318" w:id="1322"/>
    <w:p>
      <w:pPr>
        <w:spacing w:after="0"/>
        <w:ind w:left="0"/>
        <w:jc w:val="left"/>
      </w:pPr>
      <w:r>
        <w:rPr>
          <w:rFonts w:ascii="Times New Roman"/>
          <w:b/>
          <w:i w:val="false"/>
          <w:color w:val="000000"/>
        </w:rPr>
        <w:t xml:space="preserve"> Параграф 5. Конструкции из алюминиевых сплавов</w:t>
      </w:r>
    </w:p>
    <w:bookmarkEnd w:id="1322"/>
    <w:bookmarkStart w:name="z1319" w:id="1323"/>
    <w:p>
      <w:pPr>
        <w:spacing w:after="0"/>
        <w:ind w:left="0"/>
        <w:jc w:val="both"/>
      </w:pPr>
      <w:r>
        <w:rPr>
          <w:rFonts w:ascii="Times New Roman"/>
          <w:b w:val="false"/>
          <w:i w:val="false"/>
          <w:color w:val="000000"/>
          <w:sz w:val="28"/>
        </w:rPr>
        <w:t>
      258. Размеры связей из алюминиевых сплавов определяются пересчетом соответствующих размеров связей стальных конструкций. Пересчет необходимо производить по формулам, указанным в приложении 43 настоящих Правил, без учета ограничений минимальных размеров связей стальных конструкций.</w:t>
      </w:r>
    </w:p>
    <w:bookmarkEnd w:id="1323"/>
    <w:bookmarkStart w:name="z1320" w:id="1324"/>
    <w:p>
      <w:pPr>
        <w:spacing w:after="0"/>
        <w:ind w:left="0"/>
        <w:jc w:val="both"/>
      </w:pPr>
      <w:r>
        <w:rPr>
          <w:rFonts w:ascii="Times New Roman"/>
          <w:b w:val="false"/>
          <w:i w:val="false"/>
          <w:color w:val="000000"/>
          <w:sz w:val="28"/>
        </w:rPr>
        <w:t>
      259. Размеры поперечных сечений ахтерштевня и форштевня, брускового киля и кронштейнов гребного вала должны быть в 1,3 раза больше размеров сечений, предписываемых при применении стали.</w:t>
      </w:r>
    </w:p>
    <w:bookmarkEnd w:id="1324"/>
    <w:bookmarkStart w:name="z1321" w:id="1325"/>
    <w:p>
      <w:pPr>
        <w:spacing w:after="0"/>
        <w:ind w:left="0"/>
        <w:jc w:val="both"/>
      </w:pPr>
      <w:r>
        <w:rPr>
          <w:rFonts w:ascii="Times New Roman"/>
          <w:b w:val="false"/>
          <w:i w:val="false"/>
          <w:color w:val="000000"/>
          <w:sz w:val="28"/>
        </w:rPr>
        <w:t>
      260. Если сплошные сварные (угловые и стыковые) швы расположены в районах максимальных напряжений, в зависимости от применяемого алюминиевого сплава и метода сварки следует учитывать уменьшение прочности в районе сварного шва.</w:t>
      </w:r>
    </w:p>
    <w:bookmarkEnd w:id="1325"/>
    <w:bookmarkStart w:name="z1322" w:id="1326"/>
    <w:p>
      <w:pPr>
        <w:spacing w:after="0"/>
        <w:ind w:left="0"/>
        <w:jc w:val="both"/>
      </w:pPr>
      <w:r>
        <w:rPr>
          <w:rFonts w:ascii="Times New Roman"/>
          <w:b w:val="false"/>
          <w:i w:val="false"/>
          <w:color w:val="000000"/>
          <w:sz w:val="28"/>
        </w:rPr>
        <w:t>
      261. По согласованию с Регистром судоходства допускается применение биметаллических (сталь — алюминий) прессованных элементов для соединения конструкций из стали и из алюминиевых сплавов.</w:t>
      </w:r>
    </w:p>
    <w:bookmarkEnd w:id="1326"/>
    <w:bookmarkStart w:name="z1323" w:id="1327"/>
    <w:p>
      <w:pPr>
        <w:spacing w:after="0"/>
        <w:ind w:left="0"/>
        <w:jc w:val="left"/>
      </w:pPr>
      <w:r>
        <w:rPr>
          <w:rFonts w:ascii="Times New Roman"/>
          <w:b/>
          <w:i w:val="false"/>
          <w:color w:val="000000"/>
        </w:rPr>
        <w:t xml:space="preserve"> Глава 14. Сварные конструкции и соединения</w:t>
      </w:r>
    </w:p>
    <w:bookmarkEnd w:id="1327"/>
    <w:p>
      <w:pPr>
        <w:spacing w:after="0"/>
        <w:ind w:left="0"/>
        <w:jc w:val="both"/>
      </w:pPr>
      <w:r>
        <w:rPr>
          <w:rFonts w:ascii="Times New Roman"/>
          <w:b w:val="false"/>
          <w:i w:val="false"/>
          <w:color w:val="ff0000"/>
          <w:sz w:val="28"/>
        </w:rPr>
        <w:t xml:space="preserve">
      Сноска. Заголовок главы 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24" w:id="1328"/>
    <w:p>
      <w:pPr>
        <w:spacing w:after="0"/>
        <w:ind w:left="0"/>
        <w:jc w:val="left"/>
      </w:pPr>
      <w:r>
        <w:rPr>
          <w:rFonts w:ascii="Times New Roman"/>
          <w:b/>
          <w:i w:val="false"/>
          <w:color w:val="000000"/>
        </w:rPr>
        <w:t xml:space="preserve"> Параграф 1. Общие требования</w:t>
      </w:r>
    </w:p>
    <w:bookmarkEnd w:id="1328"/>
    <w:bookmarkStart w:name="z1325" w:id="1329"/>
    <w:p>
      <w:pPr>
        <w:spacing w:after="0"/>
        <w:ind w:left="0"/>
        <w:jc w:val="both"/>
      </w:pPr>
      <w:r>
        <w:rPr>
          <w:rFonts w:ascii="Times New Roman"/>
          <w:b w:val="false"/>
          <w:i w:val="false"/>
          <w:color w:val="000000"/>
          <w:sz w:val="28"/>
        </w:rPr>
        <w:t>
      262. Изменения формы или сечения связей в сварных конструкциях корпуса выполняются плавными. Необходимо чтобы все вырезы имели скругленные углы и гладкие кромки.</w:t>
      </w:r>
    </w:p>
    <w:bookmarkEnd w:id="1329"/>
    <w:bookmarkStart w:name="z1326" w:id="1330"/>
    <w:p>
      <w:pPr>
        <w:spacing w:after="0"/>
        <w:ind w:left="0"/>
        <w:jc w:val="both"/>
      </w:pPr>
      <w:r>
        <w:rPr>
          <w:rFonts w:ascii="Times New Roman"/>
          <w:b w:val="false"/>
          <w:i w:val="false"/>
          <w:color w:val="000000"/>
          <w:sz w:val="28"/>
        </w:rPr>
        <w:t>
      263. По длине корпуса предусматривается плавное изменение размеров профилей и толщины листов продольных связей.</w:t>
      </w:r>
    </w:p>
    <w:bookmarkEnd w:id="1330"/>
    <w:bookmarkStart w:name="z1327" w:id="1331"/>
    <w:p>
      <w:pPr>
        <w:spacing w:after="0"/>
        <w:ind w:left="0"/>
        <w:jc w:val="both"/>
      </w:pPr>
      <w:r>
        <w:rPr>
          <w:rFonts w:ascii="Times New Roman"/>
          <w:b w:val="false"/>
          <w:i w:val="false"/>
          <w:color w:val="000000"/>
          <w:sz w:val="28"/>
        </w:rPr>
        <w:t>
      Изменение системы набора и толщины листов расчетной палубы, днища, а также бортов и продольных переборок не выполняется в районах изменения прочностных свойств стали.</w:t>
      </w:r>
    </w:p>
    <w:bookmarkEnd w:id="1331"/>
    <w:bookmarkStart w:name="z1328" w:id="1332"/>
    <w:p>
      <w:pPr>
        <w:spacing w:after="0"/>
        <w:ind w:left="0"/>
        <w:jc w:val="both"/>
      </w:pPr>
      <w:r>
        <w:rPr>
          <w:rFonts w:ascii="Times New Roman"/>
          <w:b w:val="false"/>
          <w:i w:val="false"/>
          <w:color w:val="000000"/>
          <w:sz w:val="28"/>
        </w:rPr>
        <w:t>
      264. Необходимо обеспечивать непрерывность возможно большего числа основных продольных связей, а в районах их окончания предусматривать плавное изменение сечений наряду с другими мерами, способствующими уменьшению концентрации напряжений.</w:t>
      </w:r>
    </w:p>
    <w:bookmarkEnd w:id="1332"/>
    <w:bookmarkStart w:name="z1329" w:id="1333"/>
    <w:p>
      <w:pPr>
        <w:spacing w:after="0"/>
        <w:ind w:left="0"/>
        <w:jc w:val="both"/>
      </w:pPr>
      <w:r>
        <w:rPr>
          <w:rFonts w:ascii="Times New Roman"/>
          <w:b w:val="false"/>
          <w:i w:val="false"/>
          <w:color w:val="000000"/>
          <w:sz w:val="28"/>
        </w:rPr>
        <w:t>
      266. Длина участка листа настила или обшивки между концом балки и стенкой, ближайшей к ней, перпендикулярной по направлению к связи, принимается меньшей, однако не более 4</w:t>
      </w:r>
      <w:r>
        <w:rPr>
          <w:rFonts w:ascii="Times New Roman"/>
          <w:b w:val="false"/>
          <w:i/>
          <w:color w:val="000000"/>
          <w:sz w:val="28"/>
        </w:rPr>
        <w:t>s</w:t>
      </w:r>
      <w:r>
        <w:rPr>
          <w:rFonts w:ascii="Times New Roman"/>
          <w:b w:val="false"/>
          <w:i w:val="false"/>
          <w:color w:val="000000"/>
          <w:sz w:val="28"/>
        </w:rPr>
        <w:t xml:space="preserve"> или 60 мм в зависимости от того, что меньше (</w:t>
      </w:r>
      <w:r>
        <w:rPr>
          <w:rFonts w:ascii="Times New Roman"/>
          <w:b w:val="false"/>
          <w:i/>
          <w:color w:val="000000"/>
          <w:sz w:val="28"/>
        </w:rPr>
        <w:t>s</w:t>
      </w:r>
      <w:r>
        <w:rPr>
          <w:rFonts w:ascii="Times New Roman"/>
          <w:b w:val="false"/>
          <w:i w:val="false"/>
          <w:color w:val="000000"/>
          <w:sz w:val="28"/>
        </w:rPr>
        <w:t xml:space="preserve"> — толщина листа, мм).</w:t>
      </w:r>
    </w:p>
    <w:bookmarkEnd w:id="1333"/>
    <w:bookmarkStart w:name="z1330" w:id="1334"/>
    <w:p>
      <w:pPr>
        <w:spacing w:after="0"/>
        <w:ind w:left="0"/>
        <w:jc w:val="both"/>
      </w:pPr>
      <w:r>
        <w:rPr>
          <w:rFonts w:ascii="Times New Roman"/>
          <w:b w:val="false"/>
          <w:i w:val="false"/>
          <w:color w:val="000000"/>
          <w:sz w:val="28"/>
        </w:rPr>
        <w:t>
      267. В настоящем разделе Правил к конструкциям, подверженным интенсивной вибрации, отнесены конструкции корпуса, расположенные в местах установки устройств, механизмов и оборудования, являющихся вероятными источниками вибрации.</w:t>
      </w:r>
    </w:p>
    <w:bookmarkEnd w:id="1334"/>
    <w:bookmarkStart w:name="z1331" w:id="1335"/>
    <w:p>
      <w:pPr>
        <w:spacing w:after="0"/>
        <w:ind w:left="0"/>
        <w:jc w:val="both"/>
      </w:pPr>
      <w:r>
        <w:rPr>
          <w:rFonts w:ascii="Times New Roman"/>
          <w:b w:val="false"/>
          <w:i w:val="false"/>
          <w:color w:val="000000"/>
          <w:sz w:val="28"/>
        </w:rPr>
        <w:t>
      При этом для всех типов судов к районам интенсивной вибрации относятся районы, расположенные под нижней непрерывной на протяжении машинного отделения платформой и ограниченные:</w:t>
      </w:r>
    </w:p>
    <w:bookmarkEnd w:id="1335"/>
    <w:bookmarkStart w:name="z1332" w:id="1336"/>
    <w:p>
      <w:pPr>
        <w:spacing w:after="0"/>
        <w:ind w:left="0"/>
        <w:jc w:val="both"/>
      </w:pPr>
      <w:r>
        <w:rPr>
          <w:rFonts w:ascii="Times New Roman"/>
          <w:b w:val="false"/>
          <w:i w:val="false"/>
          <w:color w:val="000000"/>
          <w:sz w:val="28"/>
        </w:rPr>
        <w:t>
      в кормовой оконечности — сечением, отстоящим в нос от ступицы гребного винта на два его диаметра, однако не менее чем до переборки ахтерпика;</w:t>
      </w:r>
    </w:p>
    <w:bookmarkEnd w:id="1336"/>
    <w:bookmarkStart w:name="z1333" w:id="1337"/>
    <w:p>
      <w:pPr>
        <w:spacing w:after="0"/>
        <w:ind w:left="0"/>
        <w:jc w:val="both"/>
      </w:pPr>
      <w:r>
        <w:rPr>
          <w:rFonts w:ascii="Times New Roman"/>
          <w:b w:val="false"/>
          <w:i w:val="false"/>
          <w:color w:val="000000"/>
          <w:sz w:val="28"/>
        </w:rPr>
        <w:t>
      в машинном отделении — переборками отсека.</w:t>
      </w:r>
    </w:p>
    <w:bookmarkEnd w:id="1337"/>
    <w:bookmarkStart w:name="z1334" w:id="1338"/>
    <w:p>
      <w:pPr>
        <w:spacing w:after="0"/>
        <w:ind w:left="0"/>
        <w:jc w:val="both"/>
      </w:pPr>
      <w:r>
        <w:rPr>
          <w:rFonts w:ascii="Times New Roman"/>
          <w:b w:val="false"/>
          <w:i w:val="false"/>
          <w:color w:val="000000"/>
          <w:sz w:val="28"/>
        </w:rPr>
        <w:t>
      Переборки, ограничивающие отсек машинного отделения, переборка ахтерпика, а также нижняя непрерывная платформа в указанных районах по длине судна рассматриваются как конструкции, подверженные интенсивной вибрации.</w:t>
      </w:r>
    </w:p>
    <w:bookmarkEnd w:id="1338"/>
    <w:bookmarkStart w:name="z1335" w:id="1339"/>
    <w:p>
      <w:pPr>
        <w:spacing w:after="0"/>
        <w:ind w:left="0"/>
        <w:jc w:val="both"/>
      </w:pPr>
      <w:r>
        <w:rPr>
          <w:rFonts w:ascii="Times New Roman"/>
          <w:b w:val="false"/>
          <w:i w:val="false"/>
          <w:color w:val="000000"/>
          <w:sz w:val="28"/>
        </w:rPr>
        <w:t>
      268. В местах окончания фальшборта, скуловых килей и деталей, привариваемых к корпусу, а также, как правило, полос ватервейса, высота их постепенно уменьшается на длине не менее 1,5 высоты этих связей. Необходимо чтобы концы фальшборта плавно сходили на нет. Указанное рекомендуется также для концов участков ватервейса.</w:t>
      </w:r>
    </w:p>
    <w:bookmarkEnd w:id="1339"/>
    <w:bookmarkStart w:name="z1336" w:id="1340"/>
    <w:p>
      <w:pPr>
        <w:spacing w:after="0"/>
        <w:ind w:left="0"/>
        <w:jc w:val="both"/>
      </w:pPr>
      <w:r>
        <w:rPr>
          <w:rFonts w:ascii="Times New Roman"/>
          <w:b w:val="false"/>
          <w:i w:val="false"/>
          <w:color w:val="000000"/>
          <w:sz w:val="28"/>
        </w:rPr>
        <w:t>
      269. Необходимо чтобы сварные соединения, сварочные материалы, методы сварки, контроля и испытаний сварных соединений соответствовали требованиям раздела 16 настоящих Правил.</w:t>
      </w:r>
    </w:p>
    <w:bookmarkEnd w:id="1340"/>
    <w:bookmarkStart w:name="z1337" w:id="1341"/>
    <w:p>
      <w:pPr>
        <w:spacing w:after="0"/>
        <w:ind w:left="0"/>
        <w:jc w:val="left"/>
      </w:pPr>
      <w:r>
        <w:rPr>
          <w:rFonts w:ascii="Times New Roman"/>
          <w:b/>
          <w:i w:val="false"/>
          <w:color w:val="000000"/>
        </w:rPr>
        <w:t xml:space="preserve"> Параграф 2. Соединения балок набора</w:t>
      </w:r>
    </w:p>
    <w:bookmarkEnd w:id="1341"/>
    <w:bookmarkStart w:name="z1338" w:id="1342"/>
    <w:p>
      <w:pPr>
        <w:spacing w:after="0"/>
        <w:ind w:left="0"/>
        <w:jc w:val="both"/>
      </w:pPr>
      <w:r>
        <w:rPr>
          <w:rFonts w:ascii="Times New Roman"/>
          <w:b w:val="false"/>
          <w:i w:val="false"/>
          <w:color w:val="000000"/>
          <w:sz w:val="28"/>
        </w:rPr>
        <w:t>
      270. Соединение балок набора, как правило выполняется встык. По согласованию с Регистром судоходства допускается соединение внахлестку, за исключением районов интенсивной вибрации, соединений балок рамного набора и районов, подверженных большим сосредоточенным нагрузкам.</w:t>
      </w:r>
    </w:p>
    <w:bookmarkEnd w:id="1342"/>
    <w:bookmarkStart w:name="z1339" w:id="1343"/>
    <w:p>
      <w:pPr>
        <w:spacing w:after="0"/>
        <w:ind w:left="0"/>
        <w:jc w:val="both"/>
      </w:pPr>
      <w:r>
        <w:rPr>
          <w:rFonts w:ascii="Times New Roman"/>
          <w:b w:val="false"/>
          <w:i w:val="false"/>
          <w:color w:val="000000"/>
          <w:sz w:val="28"/>
        </w:rPr>
        <w:t>
      Кницы изготовливаются из материала, имеющего, как правило, такой же предел текучести, как и материал соединяемых балок набора.</w:t>
      </w:r>
    </w:p>
    <w:bookmarkEnd w:id="1343"/>
    <w:bookmarkStart w:name="z1340" w:id="1344"/>
    <w:p>
      <w:pPr>
        <w:spacing w:after="0"/>
        <w:ind w:left="0"/>
        <w:jc w:val="both"/>
      </w:pPr>
      <w:r>
        <w:rPr>
          <w:rFonts w:ascii="Times New Roman"/>
          <w:b w:val="false"/>
          <w:i w:val="false"/>
          <w:color w:val="000000"/>
          <w:sz w:val="28"/>
        </w:rPr>
        <w:t>
      271. Соединения балок основного набора:</w:t>
      </w:r>
    </w:p>
    <w:bookmarkEnd w:id="1344"/>
    <w:bookmarkStart w:name="z1341" w:id="1345"/>
    <w:p>
      <w:pPr>
        <w:spacing w:after="0"/>
        <w:ind w:left="0"/>
        <w:jc w:val="both"/>
      </w:pPr>
      <w:r>
        <w:rPr>
          <w:rFonts w:ascii="Times New Roman"/>
          <w:b w:val="false"/>
          <w:i w:val="false"/>
          <w:color w:val="000000"/>
          <w:sz w:val="28"/>
        </w:rPr>
        <w:t xml:space="preserve">
      1) размеры книц </w:t>
      </w:r>
      <w:r>
        <w:rPr>
          <w:rFonts w:ascii="Times New Roman"/>
          <w:b w:val="false"/>
          <w:i/>
          <w:color w:val="000000"/>
          <w:sz w:val="28"/>
        </w:rPr>
        <w:t>с</w:t>
      </w:r>
      <w:r>
        <w:rPr>
          <w:rFonts w:ascii="Times New Roman"/>
          <w:b w:val="false"/>
          <w:i w:val="false"/>
          <w:color w:val="000000"/>
          <w:sz w:val="28"/>
        </w:rPr>
        <w:t>, см, измеренные в соответствии с приложением 44 настоящих Правил, если нет других указаний, определяются по формуле:</w:t>
      </w:r>
    </w:p>
    <w:bookmarkEnd w:id="1345"/>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5</w:t>
      </w:r>
    </w:p>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(76)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xml:space="preserve"> — момент сопротивления сечения закрепляемой балки, требуемый Правилами,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s — толщина кницы, мм.</w:t>
      </w:r>
    </w:p>
    <w:bookmarkStart w:name="z1342" w:id="1346"/>
    <w:p>
      <w:pPr>
        <w:spacing w:after="0"/>
        <w:ind w:left="0"/>
        <w:jc w:val="both"/>
      </w:pPr>
      <w:r>
        <w:rPr>
          <w:rFonts w:ascii="Times New Roman"/>
          <w:b w:val="false"/>
          <w:i w:val="false"/>
          <w:color w:val="000000"/>
          <w:sz w:val="28"/>
        </w:rPr>
        <w:t>
      Толщина кницы принимается равной толщине стенки закрепляемой балки. Возможно ее уменьшение на 1 мм, если толщина стенки больше 7 мм; на 2 мм, если толщина стенки больше 12 мм.</w:t>
      </w:r>
    </w:p>
    <w:bookmarkEnd w:id="1346"/>
    <w:bookmarkStart w:name="z1343" w:id="1347"/>
    <w:p>
      <w:pPr>
        <w:spacing w:after="0"/>
        <w:ind w:left="0"/>
        <w:jc w:val="both"/>
      </w:pPr>
      <w:r>
        <w:rPr>
          <w:rFonts w:ascii="Times New Roman"/>
          <w:b w:val="false"/>
          <w:i w:val="false"/>
          <w:color w:val="000000"/>
          <w:sz w:val="28"/>
        </w:rPr>
        <w:t>
      Если кница соединяет две балки разного профиля, при определении размеров кницы используются характеристики меньшего профиля.</w:t>
      </w:r>
    </w:p>
    <w:bookmarkEnd w:id="1347"/>
    <w:bookmarkStart w:name="z1344" w:id="1348"/>
    <w:p>
      <w:pPr>
        <w:spacing w:after="0"/>
        <w:ind w:left="0"/>
        <w:jc w:val="both"/>
      </w:pPr>
      <w:r>
        <w:rPr>
          <w:rFonts w:ascii="Times New Roman"/>
          <w:b w:val="false"/>
          <w:i w:val="false"/>
          <w:color w:val="000000"/>
          <w:sz w:val="28"/>
        </w:rPr>
        <w:t xml:space="preserve">
      Высота кницы </w:t>
      </w:r>
      <w:r>
        <w:rPr>
          <w:rFonts w:ascii="Times New Roman"/>
          <w:b w:val="false"/>
          <w:i/>
          <w:color w:val="000000"/>
          <w:sz w:val="28"/>
        </w:rPr>
        <w:t>h</w:t>
      </w:r>
      <w:r>
        <w:rPr>
          <w:rFonts w:ascii="Times New Roman"/>
          <w:b w:val="false"/>
          <w:i w:val="false"/>
          <w:color w:val="000000"/>
          <w:sz w:val="28"/>
        </w:rPr>
        <w:t xml:space="preserve"> (приложение 44 настоящих Правил) равна не менее 0,7 требуемого размера </w:t>
      </w:r>
      <w:r>
        <w:rPr>
          <w:rFonts w:ascii="Times New Roman"/>
          <w:b w:val="false"/>
          <w:i/>
          <w:color w:val="000000"/>
          <w:sz w:val="28"/>
        </w:rPr>
        <w:t>с</w:t>
      </w:r>
      <w:r>
        <w:rPr>
          <w:rFonts w:ascii="Times New Roman"/>
          <w:b w:val="false"/>
          <w:i w:val="false"/>
          <w:color w:val="000000"/>
          <w:sz w:val="28"/>
        </w:rPr>
        <w:t>.</w:t>
      </w:r>
    </w:p>
    <w:bookmarkEnd w:id="1348"/>
    <w:bookmarkStart w:name="z1345" w:id="1349"/>
    <w:p>
      <w:pPr>
        <w:spacing w:after="0"/>
        <w:ind w:left="0"/>
        <w:jc w:val="both"/>
      </w:pPr>
      <w:r>
        <w:rPr>
          <w:rFonts w:ascii="Times New Roman"/>
          <w:b w:val="false"/>
          <w:i w:val="false"/>
          <w:color w:val="000000"/>
          <w:sz w:val="28"/>
        </w:rPr>
        <w:t xml:space="preserve">
      Указанные размеры книц относятся к случаю, когда соединяемые балки не привариваются одна к другой или торцы балок не привариваются к листам обшивки (настила). При этом, зазор не превышает 40 мм или 25 % </w:t>
      </w:r>
      <w:r>
        <w:rPr>
          <w:rFonts w:ascii="Times New Roman"/>
          <w:b w:val="false"/>
          <w:i/>
          <w:color w:val="000000"/>
          <w:sz w:val="28"/>
        </w:rPr>
        <w:t>с</w:t>
      </w:r>
      <w:r>
        <w:rPr>
          <w:rFonts w:ascii="Times New Roman"/>
          <w:b w:val="false"/>
          <w:i w:val="false"/>
          <w:color w:val="000000"/>
          <w:sz w:val="28"/>
        </w:rPr>
        <w:t xml:space="preserve"> (в зависимости от того, что меньше), в противном случае потребуется соответствующее увеличение </w:t>
      </w:r>
      <w:r>
        <w:rPr>
          <w:rFonts w:ascii="Times New Roman"/>
          <w:b w:val="false"/>
          <w:i/>
          <w:color w:val="000000"/>
          <w:sz w:val="28"/>
        </w:rPr>
        <w:t>с</w:t>
      </w:r>
      <w:r>
        <w:rPr>
          <w:rFonts w:ascii="Times New Roman"/>
          <w:b w:val="false"/>
          <w:i w:val="false"/>
          <w:color w:val="000000"/>
          <w:sz w:val="28"/>
        </w:rPr>
        <w:t>;</w:t>
      </w:r>
    </w:p>
    <w:bookmarkEnd w:id="1349"/>
    <w:bookmarkStart w:name="z1346" w:id="1350"/>
    <w:p>
      <w:pPr>
        <w:spacing w:after="0"/>
        <w:ind w:left="0"/>
        <w:jc w:val="both"/>
      </w:pPr>
      <w:r>
        <w:rPr>
          <w:rFonts w:ascii="Times New Roman"/>
          <w:b w:val="false"/>
          <w:i w:val="false"/>
          <w:color w:val="000000"/>
          <w:sz w:val="28"/>
        </w:rPr>
        <w:t xml:space="preserve">
      2) при длине свободной кромки кницы </w:t>
      </w:r>
      <w:r>
        <w:rPr>
          <w:rFonts w:ascii="Times New Roman"/>
          <w:b w:val="false"/>
          <w:i/>
          <w:color w:val="000000"/>
          <w:sz w:val="28"/>
        </w:rPr>
        <w:t>l</w:t>
      </w:r>
      <w:r>
        <w:rPr>
          <w:rFonts w:ascii="Times New Roman"/>
          <w:b w:val="false"/>
          <w:i w:val="false"/>
          <w:color w:val="000000"/>
          <w:sz w:val="28"/>
        </w:rPr>
        <w:t>, мм, (приложение 44 настоящих Правил) больше 45</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толщина кницы, мм) необходимо наличие фланца (пояска). Ширина фланца принимается не менее 50 мм, ширина пояска — не менее 75 мм. Толщина пояска не должна быть меньше толщины кницы. Необходимо чтобы ширина фланца (пояска) соответствовала требованиям пункта 308 настоящих Правил;</w:t>
      </w:r>
    </w:p>
    <w:bookmarkEnd w:id="1350"/>
    <w:bookmarkStart w:name="z1347" w:id="1351"/>
    <w:p>
      <w:pPr>
        <w:spacing w:after="0"/>
        <w:ind w:left="0"/>
        <w:jc w:val="both"/>
      </w:pPr>
      <w:r>
        <w:rPr>
          <w:rFonts w:ascii="Times New Roman"/>
          <w:b w:val="false"/>
          <w:i w:val="false"/>
          <w:color w:val="000000"/>
          <w:sz w:val="28"/>
        </w:rPr>
        <w:t>
      3) размеры книц уменьшаются:</w:t>
      </w:r>
    </w:p>
    <w:bookmarkEnd w:id="1351"/>
    <w:bookmarkStart w:name="z1348" w:id="1352"/>
    <w:p>
      <w:pPr>
        <w:spacing w:after="0"/>
        <w:ind w:left="0"/>
        <w:jc w:val="both"/>
      </w:pPr>
      <w:r>
        <w:rPr>
          <w:rFonts w:ascii="Times New Roman"/>
          <w:b w:val="false"/>
          <w:i w:val="false"/>
          <w:color w:val="000000"/>
          <w:sz w:val="28"/>
        </w:rPr>
        <w:t>
      на 10 % — если балки привариваются одна к другой или к листам обшивки (настила);</w:t>
      </w:r>
    </w:p>
    <w:bookmarkEnd w:id="1352"/>
    <w:bookmarkStart w:name="z1349" w:id="1353"/>
    <w:p>
      <w:pPr>
        <w:spacing w:after="0"/>
        <w:ind w:left="0"/>
        <w:jc w:val="both"/>
      </w:pPr>
      <w:r>
        <w:rPr>
          <w:rFonts w:ascii="Times New Roman"/>
          <w:b w:val="false"/>
          <w:i w:val="false"/>
          <w:color w:val="000000"/>
          <w:sz w:val="28"/>
        </w:rPr>
        <w:t>
      на 15 % — при наличии фланца или пояска; на 25 % — если балки привариваются одна к другой, а кницы имеют фланец или поясок;</w:t>
      </w:r>
    </w:p>
    <w:bookmarkEnd w:id="1353"/>
    <w:bookmarkStart w:name="z1350" w:id="1354"/>
    <w:p>
      <w:pPr>
        <w:spacing w:after="0"/>
        <w:ind w:left="0"/>
        <w:jc w:val="both"/>
      </w:pPr>
      <w:r>
        <w:rPr>
          <w:rFonts w:ascii="Times New Roman"/>
          <w:b w:val="false"/>
          <w:i w:val="false"/>
          <w:color w:val="000000"/>
          <w:sz w:val="28"/>
        </w:rPr>
        <w:t>
      4) в районах интенсивной вибрации угловые соединения балок, как правило, выполняются при минимальных размерах участков обшивки (настила), не подкрепленных набором (приложение 45 настоящих Правил);</w:t>
      </w:r>
    </w:p>
    <w:bookmarkEnd w:id="1354"/>
    <w:bookmarkStart w:name="z1351" w:id="1355"/>
    <w:p>
      <w:pPr>
        <w:spacing w:after="0"/>
        <w:ind w:left="0"/>
        <w:jc w:val="both"/>
      </w:pPr>
      <w:r>
        <w:rPr>
          <w:rFonts w:ascii="Times New Roman"/>
          <w:b w:val="false"/>
          <w:i w:val="false"/>
          <w:color w:val="000000"/>
          <w:sz w:val="28"/>
        </w:rPr>
        <w:t>
      5) при наличии зазора между торцом бимса и шпангоутом в районе усиления бортов судов, швартующихся в море, в районе AI судов категории Iсе3 бимсовая кница имеет поясок или фланец.</w:t>
      </w:r>
    </w:p>
    <w:bookmarkEnd w:id="1355"/>
    <w:bookmarkStart w:name="z1352" w:id="1356"/>
    <w:p>
      <w:pPr>
        <w:spacing w:after="0"/>
        <w:ind w:left="0"/>
        <w:jc w:val="both"/>
      </w:pPr>
      <w:r>
        <w:rPr>
          <w:rFonts w:ascii="Times New Roman"/>
          <w:b w:val="false"/>
          <w:i w:val="false"/>
          <w:color w:val="000000"/>
          <w:sz w:val="28"/>
        </w:rPr>
        <w:t>
      272. Соединения балок рамного набора рекомендуется выполнять скругленными кницами с плавным изменением высоты стенок и размеров пояска.</w:t>
      </w:r>
    </w:p>
    <w:bookmarkEnd w:id="1356"/>
    <w:bookmarkStart w:name="z1353" w:id="1357"/>
    <w:p>
      <w:pPr>
        <w:spacing w:after="0"/>
        <w:ind w:left="0"/>
        <w:jc w:val="both"/>
      </w:pPr>
      <w:r>
        <w:rPr>
          <w:rFonts w:ascii="Times New Roman"/>
          <w:b w:val="false"/>
          <w:i w:val="false"/>
          <w:color w:val="000000"/>
          <w:sz w:val="28"/>
        </w:rPr>
        <w:t>
      273. Высота и ширина книц, соединяющих балки рамного набора между собой или с переборками, равны (если нет особых указаний) не менее высоты стенки рамной балки (или меньшей из соединяемых рамных балок). Толщина кницы принимается равной меньшей толщине стенки соединяемых рамных балок. Зазоры в соединениях рамных балок не допускаются.</w:t>
      </w:r>
    </w:p>
    <w:bookmarkEnd w:id="1357"/>
    <w:bookmarkStart w:name="z1354" w:id="1358"/>
    <w:p>
      <w:pPr>
        <w:spacing w:after="0"/>
        <w:ind w:left="0"/>
        <w:jc w:val="both"/>
      </w:pPr>
      <w:r>
        <w:rPr>
          <w:rFonts w:ascii="Times New Roman"/>
          <w:b w:val="false"/>
          <w:i w:val="false"/>
          <w:color w:val="000000"/>
          <w:sz w:val="28"/>
        </w:rPr>
        <w:t>
      274. В соединениях балок рамного набора кницы имеют по свободной кромке поясок или отогнутый фланец. Если свободные пояски книц переходят в пояски балок рамного набора, то при различных размерах свободных поясков балок ширина и толщина свободного пояска по кромке кницы плавно изменяются. Площадь свободного пояска (или фланца) приставной кницы следует принимать не менее 0,8 площади меньшего пояска соединяемых балок рамного набора.</w:t>
      </w:r>
    </w:p>
    <w:bookmarkEnd w:id="1358"/>
    <w:bookmarkStart w:name="z1355" w:id="1359"/>
    <w:p>
      <w:pPr>
        <w:spacing w:after="0"/>
        <w:ind w:left="0"/>
        <w:jc w:val="both"/>
      </w:pPr>
      <w:r>
        <w:rPr>
          <w:rFonts w:ascii="Times New Roman"/>
          <w:b w:val="false"/>
          <w:i w:val="false"/>
          <w:color w:val="000000"/>
          <w:sz w:val="28"/>
        </w:rPr>
        <w:t>
      Если расстояние между концами кницы, мм, превышает 160</w:t>
      </w:r>
      <w:r>
        <w:rPr>
          <w:rFonts w:ascii="Times New Roman"/>
          <w:b w:val="false"/>
          <w:i/>
          <w:color w:val="000000"/>
          <w:sz w:val="28"/>
        </w:rPr>
        <w:t>s</w:t>
      </w:r>
    </w:p>
    <w:bookmarkEnd w:id="1359"/>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 — толщина кницы, мм), параллельно линии, соединяющей концы кницы, на расстоянии </w:t>
      </w:r>
      <w:r>
        <w:rPr>
          <w:rFonts w:ascii="Times New Roman"/>
          <w:b w:val="false"/>
          <w:i/>
          <w:color w:val="000000"/>
          <w:sz w:val="28"/>
        </w:rPr>
        <w:t>а</w:t>
      </w:r>
      <w:r>
        <w:rPr>
          <w:rFonts w:ascii="Times New Roman"/>
          <w:b w:val="false"/>
          <w:i w:val="false"/>
          <w:color w:val="000000"/>
          <w:sz w:val="28"/>
        </w:rPr>
        <w:t xml:space="preserve">, равном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высоты кницы или 35 ее толщинам (в зависимости от того, что меньше), устанавливается подкрепляющее ребро, момент инерции которого регламентируется формулой (75) настоящих Правил.</w:t>
      </w:r>
      <w:r>
        <w:br/>
      </w:r>
      <w:r>
        <w:rPr>
          <w:rFonts w:ascii="Times New Roman"/>
          <w:b w:val="false"/>
          <w:i w:val="false"/>
          <w:color w:val="000000"/>
          <w:sz w:val="28"/>
        </w:rPr>
        <w:t>
</w:t>
      </w:r>
    </w:p>
    <w:bookmarkStart w:name="z1356" w:id="1360"/>
    <w:p>
      <w:pPr>
        <w:spacing w:after="0"/>
        <w:ind w:left="0"/>
        <w:jc w:val="both"/>
      </w:pPr>
      <w:r>
        <w:rPr>
          <w:rFonts w:ascii="Times New Roman"/>
          <w:b w:val="false"/>
          <w:i w:val="false"/>
          <w:color w:val="000000"/>
          <w:sz w:val="28"/>
        </w:rPr>
        <w:t>
      В зависимости от размеров и конфигурации книц предусматриваются дополнительные подкрепления книц ребрами жесткости (пункт 280 настоящих Правил) и бракетами.</w:t>
      </w:r>
    </w:p>
    <w:bookmarkEnd w:id="1360"/>
    <w:bookmarkStart w:name="z1357" w:id="1361"/>
    <w:p>
      <w:pPr>
        <w:spacing w:after="0"/>
        <w:ind w:left="0"/>
        <w:jc w:val="both"/>
      </w:pPr>
      <w:r>
        <w:rPr>
          <w:rFonts w:ascii="Times New Roman"/>
          <w:b w:val="false"/>
          <w:i w:val="false"/>
          <w:color w:val="000000"/>
          <w:sz w:val="28"/>
        </w:rPr>
        <w:t>
      275. Радиус скругленных книц не должен быть меньше высоты меньшей из соединяемых рамных балок.</w:t>
      </w:r>
    </w:p>
    <w:bookmarkEnd w:id="1361"/>
    <w:bookmarkStart w:name="z1358" w:id="1362"/>
    <w:p>
      <w:pPr>
        <w:spacing w:after="0"/>
        <w:ind w:left="0"/>
        <w:jc w:val="both"/>
      </w:pPr>
      <w:r>
        <w:rPr>
          <w:rFonts w:ascii="Times New Roman"/>
          <w:b w:val="false"/>
          <w:i w:val="false"/>
          <w:color w:val="000000"/>
          <w:sz w:val="28"/>
        </w:rPr>
        <w:t>
      Стенки и пояски в районе скругления подкрепляются ребрами жесткости и кницами (приложение 46 настоящих Правил).</w:t>
      </w:r>
    </w:p>
    <w:bookmarkEnd w:id="1362"/>
    <w:bookmarkStart w:name="z1359" w:id="1363"/>
    <w:p>
      <w:pPr>
        <w:spacing w:after="0"/>
        <w:ind w:left="0"/>
        <w:jc w:val="both"/>
      </w:pPr>
      <w:r>
        <w:rPr>
          <w:rFonts w:ascii="Times New Roman"/>
          <w:b w:val="false"/>
          <w:i w:val="false"/>
          <w:color w:val="000000"/>
          <w:sz w:val="28"/>
        </w:rPr>
        <w:t>
      276. Необходимо чтобы конструкции узлов соединения балок основного набора с поддерживающими их балками рамного набора соответствовали стандартам.</w:t>
      </w:r>
    </w:p>
    <w:bookmarkEnd w:id="1363"/>
    <w:bookmarkStart w:name="z1360" w:id="1364"/>
    <w:p>
      <w:pPr>
        <w:spacing w:after="0"/>
        <w:ind w:left="0"/>
        <w:jc w:val="left"/>
      </w:pPr>
      <w:r>
        <w:rPr>
          <w:rFonts w:ascii="Times New Roman"/>
          <w:b/>
          <w:i w:val="false"/>
          <w:color w:val="000000"/>
        </w:rPr>
        <w:t xml:space="preserve"> Параграф 3. Конструкция балок рамного набора</w:t>
      </w:r>
    </w:p>
    <w:bookmarkEnd w:id="1364"/>
    <w:bookmarkStart w:name="z1361" w:id="1365"/>
    <w:p>
      <w:pPr>
        <w:spacing w:after="0"/>
        <w:ind w:left="0"/>
        <w:jc w:val="both"/>
      </w:pPr>
      <w:r>
        <w:rPr>
          <w:rFonts w:ascii="Times New Roman"/>
          <w:b w:val="false"/>
          <w:i w:val="false"/>
          <w:color w:val="000000"/>
          <w:sz w:val="28"/>
        </w:rPr>
        <w:t xml:space="preserve">
      277. Высота </w:t>
      </w:r>
      <w:r>
        <w:rPr>
          <w:rFonts w:ascii="Times New Roman"/>
          <w:b w:val="false"/>
          <w:i/>
          <w:color w:val="000000"/>
          <w:sz w:val="28"/>
        </w:rPr>
        <w:t>h</w:t>
      </w:r>
      <w:r>
        <w:rPr>
          <w:rFonts w:ascii="Times New Roman"/>
          <w:b w:val="false"/>
          <w:i w:val="false"/>
          <w:color w:val="000000"/>
          <w:sz w:val="28"/>
        </w:rPr>
        <w:t xml:space="preserve"> и толщина стенок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рамных балок (и балок основного набора составного профиля), а также площадь их поперечного сечения регламентируются в соответствующих главах настоящего раздела Правил. Ширина свободного пояска рамной балки </w:t>
      </w:r>
      <w:r>
        <w:rPr>
          <w:rFonts w:ascii="Times New Roman"/>
          <w:b w:val="false"/>
          <w:i/>
          <w:color w:val="000000"/>
          <w:sz w:val="28"/>
        </w:rPr>
        <w:t>b</w:t>
      </w:r>
      <w:r>
        <w:rPr>
          <w:rFonts w:ascii="Times New Roman"/>
          <w:b w:val="false"/>
          <w:i w:val="false"/>
          <w:color w:val="000000"/>
          <w:sz w:val="28"/>
        </w:rPr>
        <w:t>, мм, измеренная от ее стенки, равна не более:</w:t>
      </w:r>
    </w:p>
    <w:bookmarkEnd w:id="136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200</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w:t>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685800" cy="469900"/>
                    </a:xfrm>
                    <a:prstGeom prst="rect">
                      <a:avLst/>
                    </a:prstGeom>
                  </pic:spPr>
                </pic:pic>
              </a:graphicData>
            </a:graphic>
          </wp:inline>
        </w:drawing>
      </w:r>
    </w:p>
    <w:p>
      <w:pPr>
        <w:spacing w:after="0"/>
        <w:ind w:left="0"/>
        <w:jc w:val="left"/>
      </w:pPr>
      <w:r>
        <w:rPr>
          <w:rFonts w:ascii="Times New Roman"/>
          <w:b w:val="false"/>
          <w:i w:val="false"/>
          <w:color w:val="000000"/>
          <w:sz w:val="28"/>
        </w:rPr>
        <w:t>,                       (77)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 толщина пояска рамной балки, мм.</w:t>
      </w:r>
    </w:p>
    <w:bookmarkStart w:name="z1362" w:id="1366"/>
    <w:p>
      <w:pPr>
        <w:spacing w:after="0"/>
        <w:ind w:left="0"/>
        <w:jc w:val="both"/>
      </w:pPr>
      <w:r>
        <w:rPr>
          <w:rFonts w:ascii="Times New Roman"/>
          <w:b w:val="false"/>
          <w:i w:val="false"/>
          <w:color w:val="000000"/>
          <w:sz w:val="28"/>
        </w:rPr>
        <w:t>
      Как правило, толщина пояска не превышает утроенной толщины стенки.</w:t>
      </w:r>
    </w:p>
    <w:bookmarkEnd w:id="1366"/>
    <w:bookmarkStart w:name="z1363" w:id="1367"/>
    <w:p>
      <w:pPr>
        <w:spacing w:after="0"/>
        <w:ind w:left="0"/>
        <w:jc w:val="both"/>
      </w:pPr>
      <w:r>
        <w:rPr>
          <w:rFonts w:ascii="Times New Roman"/>
          <w:b w:val="false"/>
          <w:i w:val="false"/>
          <w:color w:val="000000"/>
          <w:sz w:val="28"/>
        </w:rPr>
        <w:t xml:space="preserve">
      278. Стенки рамных балок (за исключением тех, устойчивость которых проверяется согласно параграфу 4 главы 13 настоящих Правил) при </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&gt; 60</w:t>
      </w:r>
    </w:p>
    <w:bookmarkEnd w:id="1367"/>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и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мм, — пункт 277 настоящих Правил) подкрепляются ребрами жесткости и кницами (приложение 47 настоящих Правил).</w:t>
      </w:r>
      <w:r>
        <w:br/>
      </w:r>
      <w:r>
        <w:rPr>
          <w:rFonts w:ascii="Times New Roman"/>
          <w:b w:val="false"/>
          <w:i w:val="false"/>
          <w:color w:val="000000"/>
          <w:sz w:val="28"/>
        </w:rPr>
        <w:t>
</w:t>
      </w:r>
    </w:p>
    <w:bookmarkStart w:name="z1364" w:id="1368"/>
    <w:p>
      <w:pPr>
        <w:spacing w:after="0"/>
        <w:ind w:left="0"/>
        <w:jc w:val="both"/>
      </w:pPr>
      <w:r>
        <w:rPr>
          <w:rFonts w:ascii="Times New Roman"/>
          <w:b w:val="false"/>
          <w:i w:val="false"/>
          <w:color w:val="000000"/>
          <w:sz w:val="28"/>
        </w:rPr>
        <w:t xml:space="preserve">
      279. При </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160</w:t>
      </w:r>
    </w:p>
    <w:bookmarkEnd w:id="1368"/>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стенки рамных балок подкрепляются ребрами жесткости, параллельными свободному пояску рамной балки (рисунок </w:t>
      </w:r>
      <w:r>
        <w:rPr>
          <w:rFonts w:ascii="Times New Roman"/>
          <w:b w:val="false"/>
          <w:i/>
          <w:color w:val="000000"/>
          <w:sz w:val="28"/>
        </w:rPr>
        <w:t>а)</w:t>
      </w:r>
      <w:r>
        <w:rPr>
          <w:rFonts w:ascii="Times New Roman"/>
          <w:b w:val="false"/>
          <w:i w:val="false"/>
          <w:color w:val="000000"/>
          <w:sz w:val="28"/>
        </w:rPr>
        <w:t xml:space="preserve"> приложения 47 настоящих Правил). При </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&lt; 160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подкрепление выполняется как указано на рисунках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приложения 47 настоящих Правил.</w:t>
      </w:r>
      <w:r>
        <w:br/>
      </w:r>
      <w:r>
        <w:rPr>
          <w:rFonts w:ascii="Times New Roman"/>
          <w:b w:val="false"/>
          <w:i w:val="false"/>
          <w:color w:val="000000"/>
          <w:sz w:val="28"/>
        </w:rPr>
        <w:t>
</w:t>
      </w:r>
    </w:p>
    <w:bookmarkStart w:name="z1365" w:id="1369"/>
    <w:p>
      <w:pPr>
        <w:spacing w:after="0"/>
        <w:ind w:left="0"/>
        <w:jc w:val="both"/>
      </w:pPr>
      <w:r>
        <w:rPr>
          <w:rFonts w:ascii="Times New Roman"/>
          <w:b w:val="false"/>
          <w:i w:val="false"/>
          <w:color w:val="000000"/>
          <w:sz w:val="28"/>
        </w:rPr>
        <w:t xml:space="preserve">
      Расстояние между ребрами жесткости (ширина неподкрепленного поля стенки балки), мм, равна не более, </w:t>
      </w:r>
      <w:r>
        <w:rPr>
          <w:rFonts w:ascii="Times New Roman"/>
          <w:b w:val="false"/>
          <w:i/>
          <w:color w:val="000000"/>
          <w:sz w:val="28"/>
        </w:rPr>
        <w:t>а</w:t>
      </w:r>
      <w:r>
        <w:rPr>
          <w:rFonts w:ascii="Times New Roman"/>
          <w:b w:val="false"/>
          <w:i w:val="false"/>
          <w:color w:val="000000"/>
          <w:sz w:val="28"/>
        </w:rPr>
        <w:t xml:space="preserve"> = 90</w:t>
      </w:r>
      <w:r>
        <w:rPr>
          <w:rFonts w:ascii="Times New Roman"/>
          <w:b w:val="false"/>
          <w:i/>
          <w:color w:val="000000"/>
          <w:sz w:val="28"/>
        </w:rPr>
        <w:t>s</w:t>
      </w:r>
      <w:r>
        <w:rPr>
          <w:rFonts w:ascii="Times New Roman"/>
          <w:b w:val="false"/>
          <w:i w:val="false"/>
          <w:color w:val="000000"/>
          <w:vertAlign w:val="subscript"/>
        </w:rPr>
        <w:t>c</w:t>
      </w:r>
    </w:p>
    <w:bookmarkEnd w:id="1369"/>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66" w:id="1370"/>
    <w:p>
      <w:pPr>
        <w:spacing w:after="0"/>
        <w:ind w:left="0"/>
        <w:jc w:val="both"/>
      </w:pPr>
      <w:r>
        <w:rPr>
          <w:rFonts w:ascii="Times New Roman"/>
          <w:b w:val="false"/>
          <w:i w:val="false"/>
          <w:color w:val="000000"/>
          <w:sz w:val="28"/>
        </w:rPr>
        <w:t xml:space="preserve">
      По согласованию с Регистром судоходства допускается конструкция, показанная на рисунке </w:t>
      </w:r>
      <w:r>
        <w:rPr>
          <w:rFonts w:ascii="Times New Roman"/>
          <w:b w:val="false"/>
          <w:i/>
          <w:color w:val="000000"/>
          <w:sz w:val="28"/>
        </w:rPr>
        <w:t>г)</w:t>
      </w:r>
      <w:r>
        <w:rPr>
          <w:rFonts w:ascii="Times New Roman"/>
          <w:b w:val="false"/>
          <w:i w:val="false"/>
          <w:color w:val="000000"/>
          <w:sz w:val="28"/>
        </w:rPr>
        <w:t xml:space="preserve"> приложения 47 настоящих Правил.</w:t>
      </w:r>
    </w:p>
    <w:bookmarkEnd w:id="1370"/>
    <w:bookmarkStart w:name="z1367" w:id="1371"/>
    <w:p>
      <w:pPr>
        <w:spacing w:after="0"/>
        <w:ind w:left="0"/>
        <w:jc w:val="both"/>
      </w:pPr>
      <w:r>
        <w:rPr>
          <w:rFonts w:ascii="Times New Roman"/>
          <w:b w:val="false"/>
          <w:i w:val="false"/>
          <w:color w:val="000000"/>
          <w:sz w:val="28"/>
        </w:rPr>
        <w:t>
      На участках протяженностью 0,2</w:t>
      </w:r>
      <w:r>
        <w:rPr>
          <w:rFonts w:ascii="Times New Roman"/>
          <w:b w:val="false"/>
          <w:i/>
          <w:color w:val="000000"/>
          <w:sz w:val="28"/>
        </w:rPr>
        <w:t>l</w:t>
      </w:r>
      <w:r>
        <w:rPr>
          <w:rFonts w:ascii="Times New Roman"/>
          <w:b w:val="false"/>
          <w:i w:val="false"/>
          <w:color w:val="000000"/>
          <w:sz w:val="28"/>
        </w:rPr>
        <w:t>, но не меньше чем 1,5</w:t>
      </w:r>
      <w:r>
        <w:rPr>
          <w:rFonts w:ascii="Times New Roman"/>
          <w:b w:val="false"/>
          <w:i/>
          <w:color w:val="000000"/>
          <w:sz w:val="28"/>
        </w:rPr>
        <w:t>h</w:t>
      </w:r>
      <w:r>
        <w:rPr>
          <w:rFonts w:ascii="Times New Roman"/>
          <w:b w:val="false"/>
          <w:i w:val="false"/>
          <w:color w:val="000000"/>
          <w:sz w:val="28"/>
        </w:rPr>
        <w:t xml:space="preserve"> от опор (где </w:t>
      </w:r>
      <w:r>
        <w:rPr>
          <w:rFonts w:ascii="Times New Roman"/>
          <w:b w:val="false"/>
          <w:i/>
          <w:color w:val="000000"/>
          <w:sz w:val="28"/>
        </w:rPr>
        <w:t xml:space="preserve">l </w:t>
      </w:r>
      <w:r>
        <w:rPr>
          <w:rFonts w:ascii="Times New Roman"/>
          <w:b w:val="false"/>
          <w:i w:val="false"/>
          <w:color w:val="000000"/>
          <w:sz w:val="28"/>
        </w:rPr>
        <w:t xml:space="preserve">и </w:t>
      </w:r>
      <w:r>
        <w:rPr>
          <w:rFonts w:ascii="Times New Roman"/>
          <w:b w:val="false"/>
          <w:i/>
          <w:color w:val="000000"/>
          <w:sz w:val="28"/>
        </w:rPr>
        <w:t>h</w:t>
      </w:r>
      <w:r>
        <w:rPr>
          <w:rFonts w:ascii="Times New Roman"/>
          <w:b w:val="false"/>
          <w:i w:val="false"/>
          <w:color w:val="000000"/>
          <w:sz w:val="28"/>
        </w:rPr>
        <w:t xml:space="preserve"> — пролет и высота рамной балки соответственно), расстояние </w:t>
      </w:r>
      <w:r>
        <w:rPr>
          <w:rFonts w:ascii="Times New Roman"/>
          <w:b w:val="false"/>
          <w:i/>
          <w:color w:val="000000"/>
          <w:sz w:val="28"/>
        </w:rPr>
        <w:t xml:space="preserve">а </w:t>
      </w:r>
      <w:r>
        <w:rPr>
          <w:rFonts w:ascii="Times New Roman"/>
          <w:b w:val="false"/>
          <w:i w:val="false"/>
          <w:color w:val="000000"/>
          <w:sz w:val="28"/>
        </w:rPr>
        <w:t>уменьшается в 1,5 раза.</w:t>
      </w:r>
    </w:p>
    <w:bookmarkEnd w:id="1371"/>
    <w:bookmarkStart w:name="z1368" w:id="1372"/>
    <w:p>
      <w:pPr>
        <w:spacing w:after="0"/>
        <w:ind w:left="0"/>
        <w:jc w:val="both"/>
      </w:pPr>
      <w:r>
        <w:rPr>
          <w:rFonts w:ascii="Times New Roman"/>
          <w:b w:val="false"/>
          <w:i w:val="false"/>
          <w:color w:val="000000"/>
          <w:sz w:val="28"/>
        </w:rPr>
        <w:t>
      Ребра жесткости, нормальные к свободному пояску рамной балки, поддерживающей балки основного набора (например, продольные балки, стойки переборок, шпангоуты), устанавливаются не далее чем в плоскости каждой второй балки основного набора.</w:t>
      </w:r>
    </w:p>
    <w:bookmarkEnd w:id="1372"/>
    <w:bookmarkStart w:name="z1369" w:id="1373"/>
    <w:p>
      <w:pPr>
        <w:spacing w:after="0"/>
        <w:ind w:left="0"/>
        <w:jc w:val="both"/>
      </w:pPr>
      <w:r>
        <w:rPr>
          <w:rFonts w:ascii="Times New Roman"/>
          <w:b w:val="false"/>
          <w:i w:val="false"/>
          <w:color w:val="000000"/>
          <w:sz w:val="28"/>
        </w:rPr>
        <w:t>
      Изменение указанных расстояний между ребрами жесткости допускается на основе результатов прямого прочностного расчета.</w:t>
      </w:r>
    </w:p>
    <w:bookmarkEnd w:id="1373"/>
    <w:bookmarkStart w:name="z1370" w:id="1374"/>
    <w:p>
      <w:pPr>
        <w:spacing w:after="0"/>
        <w:ind w:left="0"/>
        <w:jc w:val="both"/>
      </w:pPr>
      <w:r>
        <w:rPr>
          <w:rFonts w:ascii="Times New Roman"/>
          <w:b w:val="false"/>
          <w:i w:val="false"/>
          <w:color w:val="000000"/>
          <w:sz w:val="28"/>
        </w:rPr>
        <w:t>
      280. Толщина ребра жесткости равна не менее 0,8</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Момент инерции ребер жесткости определяется согласно пункту 288 настоящих Правил.</w:t>
      </w:r>
    </w:p>
    <w:bookmarkEnd w:id="1374"/>
    <w:bookmarkStart w:name="z1371" w:id="1375"/>
    <w:p>
      <w:pPr>
        <w:spacing w:after="0"/>
        <w:ind w:left="0"/>
        <w:jc w:val="both"/>
      </w:pPr>
      <w:r>
        <w:rPr>
          <w:rFonts w:ascii="Times New Roman"/>
          <w:b w:val="false"/>
          <w:i w:val="false"/>
          <w:color w:val="000000"/>
          <w:sz w:val="28"/>
        </w:rPr>
        <w:t xml:space="preserve">
      281. Кницы (бракеты), подкрепляющие рамные балки, устанавливаются у концов книц, закрепляющих рамные балки, в районах скруглений, а также у распорок и в пролете рамной балки (рисунки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xml:space="preserve"> приложения 47 настоящих Правил). В любом случае расстояние между кницами (бракетами) не превышает 3,0 м или 15</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 полная ширина пояска, мм), в зависимости от того, что меньше.</w:t>
      </w:r>
    </w:p>
    <w:bookmarkEnd w:id="1375"/>
    <w:bookmarkStart w:name="z1372" w:id="1376"/>
    <w:p>
      <w:pPr>
        <w:spacing w:after="0"/>
        <w:ind w:left="0"/>
        <w:jc w:val="both"/>
      </w:pPr>
      <w:r>
        <w:rPr>
          <w:rFonts w:ascii="Times New Roman"/>
          <w:b w:val="false"/>
          <w:i w:val="false"/>
          <w:color w:val="000000"/>
          <w:sz w:val="28"/>
        </w:rPr>
        <w:t>
      Толщина подкрепляющих книц принимается не менее требуемой для стенки рамной балки. Кницы должны доводиться до свободного пояска. Если ширина свободного пояска, измеренная от стенки рамной балки до свободной кромки превышает 150 мм, кницы привариваются к свободному пояску; при этом ширина привариваемого участка кницы по крайней мере на 10 мм меньше ширины свободного пояска. Если ширина пояска, симметричного относительно стенки рамной балки, превышает 200 мм, следует предусматривать также малые кницы, устанавливаемые с противоположной стороны стенки, в плоскости подкрепляющей кницы. Ширина подкрепляющих книц, измеренная у основания, не должна быть менее половины их высоты.</w:t>
      </w:r>
    </w:p>
    <w:bookmarkEnd w:id="1376"/>
    <w:bookmarkStart w:name="z1373" w:id="1377"/>
    <w:p>
      <w:pPr>
        <w:spacing w:after="0"/>
        <w:ind w:left="0"/>
        <w:jc w:val="both"/>
      </w:pPr>
      <w:r>
        <w:rPr>
          <w:rFonts w:ascii="Times New Roman"/>
          <w:b w:val="false"/>
          <w:i w:val="false"/>
          <w:color w:val="000000"/>
          <w:sz w:val="28"/>
        </w:rPr>
        <w:t xml:space="preserve">
      Наличие пояска или фланца является обязательным при длине свободной кромки кницы </w:t>
      </w:r>
      <w:r>
        <w:rPr>
          <w:rFonts w:ascii="Times New Roman"/>
          <w:b w:val="false"/>
          <w:i/>
          <w:color w:val="000000"/>
          <w:sz w:val="28"/>
        </w:rPr>
        <w:t>l</w:t>
      </w:r>
      <w:r>
        <w:rPr>
          <w:rFonts w:ascii="Times New Roman"/>
          <w:b w:val="false"/>
          <w:i w:val="false"/>
          <w:color w:val="000000"/>
          <w:sz w:val="28"/>
        </w:rPr>
        <w:t xml:space="preserve"> &gt; 60</w:t>
      </w:r>
      <w:r>
        <w:rPr>
          <w:rFonts w:ascii="Times New Roman"/>
          <w:b w:val="false"/>
          <w:i/>
          <w:color w:val="000000"/>
          <w:sz w:val="28"/>
        </w:rPr>
        <w:t>s</w:t>
      </w: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толщина кницы, мм). Ширина пояска или фланца равна не менее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p>
    <w:bookmarkEnd w:id="1377"/>
    <w:bookmarkStart w:name="z1374" w:id="1378"/>
    <w:p>
      <w:pPr>
        <w:spacing w:after="0"/>
        <w:ind w:left="0"/>
        <w:jc w:val="both"/>
      </w:pPr>
      <w:r>
        <w:rPr>
          <w:rFonts w:ascii="Times New Roman"/>
          <w:b w:val="false"/>
          <w:i w:val="false"/>
          <w:color w:val="000000"/>
          <w:sz w:val="28"/>
        </w:rPr>
        <w:t>
      282. В стенках балок рамного набора допускаются вырезы для облегчения конструкции, прохода балок.</w:t>
      </w:r>
    </w:p>
    <w:bookmarkEnd w:id="1378"/>
    <w:bookmarkStart w:name="z1375" w:id="1379"/>
    <w:p>
      <w:pPr>
        <w:spacing w:after="0"/>
        <w:ind w:left="0"/>
        <w:jc w:val="both"/>
      </w:pPr>
      <w:r>
        <w:rPr>
          <w:rFonts w:ascii="Times New Roman"/>
          <w:b w:val="false"/>
          <w:i w:val="false"/>
          <w:color w:val="000000"/>
          <w:sz w:val="28"/>
        </w:rPr>
        <w:t>
      Суммарная высота вырезов в одном сечении не превышает 0,5 высоты балки. Для рамных бимсов, карлингсов и рамных балок водонепроницаемых переборок сухогрузных судов эту величину допускается увеличить до 0,6 высоты балки.</w:t>
      </w:r>
    </w:p>
    <w:bookmarkEnd w:id="1379"/>
    <w:bookmarkStart w:name="z1376" w:id="1380"/>
    <w:p>
      <w:pPr>
        <w:spacing w:after="0"/>
        <w:ind w:left="0"/>
        <w:jc w:val="both"/>
      </w:pPr>
      <w:r>
        <w:rPr>
          <w:rFonts w:ascii="Times New Roman"/>
          <w:b w:val="false"/>
          <w:i w:val="false"/>
          <w:color w:val="000000"/>
          <w:sz w:val="28"/>
        </w:rPr>
        <w:t>
      Расстояние от кромок любых вырезов в балках рамного набора до кромок вырезов для прохода балок основного набора принимается не менее высоты последних. Отверстия в стенках рамных балок, за исключением вырезов для прохода балок основного набора, располагается на расстоянии не менее половины высоты рамной балки от конца книц, закрепляющих ее. При невозможности выполнения этого требования наличие отверстий компенсируют местным утолщением стенки, установкой заделок.</w:t>
      </w:r>
    </w:p>
    <w:bookmarkEnd w:id="1380"/>
    <w:bookmarkStart w:name="z1377" w:id="1381"/>
    <w:p>
      <w:pPr>
        <w:spacing w:after="0"/>
        <w:ind w:left="0"/>
        <w:jc w:val="both"/>
      </w:pPr>
      <w:r>
        <w:rPr>
          <w:rFonts w:ascii="Times New Roman"/>
          <w:b w:val="false"/>
          <w:i w:val="false"/>
          <w:color w:val="000000"/>
          <w:sz w:val="28"/>
        </w:rPr>
        <w:t>
      Во всех случаях площадь поперечного сечения рамной балки (за вычетом вырезов) равна не менее требуемой в соответствующих главах настоящей части Правил.</w:t>
      </w:r>
    </w:p>
    <w:bookmarkEnd w:id="1381"/>
    <w:bookmarkStart w:name="z1378" w:id="1382"/>
    <w:p>
      <w:pPr>
        <w:spacing w:after="0"/>
        <w:ind w:left="0"/>
        <w:jc w:val="both"/>
      </w:pPr>
      <w:r>
        <w:rPr>
          <w:rFonts w:ascii="Times New Roman"/>
          <w:b w:val="false"/>
          <w:i w:val="false"/>
          <w:color w:val="000000"/>
          <w:sz w:val="28"/>
        </w:rPr>
        <w:t>
      Требования к вырезам во флорах, в днищевых стрингерах и вертикальном киле предусмотрены пунктом 352 настоящих Правил.</w:t>
      </w:r>
    </w:p>
    <w:bookmarkEnd w:id="1382"/>
    <w:bookmarkStart w:name="z1379" w:id="1383"/>
    <w:p>
      <w:pPr>
        <w:spacing w:after="0"/>
        <w:ind w:left="0"/>
        <w:jc w:val="left"/>
      </w:pPr>
      <w:r>
        <w:rPr>
          <w:rFonts w:ascii="Times New Roman"/>
          <w:b/>
          <w:i w:val="false"/>
          <w:color w:val="000000"/>
        </w:rPr>
        <w:t xml:space="preserve"> Параграф 4. Детали сварных конструкций</w:t>
      </w:r>
    </w:p>
    <w:bookmarkEnd w:id="1383"/>
    <w:bookmarkStart w:name="z1380" w:id="1384"/>
    <w:p>
      <w:pPr>
        <w:spacing w:after="0"/>
        <w:ind w:left="0"/>
        <w:jc w:val="both"/>
      </w:pPr>
      <w:r>
        <w:rPr>
          <w:rFonts w:ascii="Times New Roman"/>
          <w:b w:val="false"/>
          <w:i w:val="false"/>
          <w:color w:val="000000"/>
          <w:sz w:val="28"/>
        </w:rPr>
        <w:t>
      283. В местах окончания балок набора их пояски и/или стенки следует срезать "на ус" в зависимости от конструкции узла.</w:t>
      </w:r>
    </w:p>
    <w:bookmarkEnd w:id="1384"/>
    <w:bookmarkStart w:name="z1381" w:id="1385"/>
    <w:p>
      <w:pPr>
        <w:spacing w:after="0"/>
        <w:ind w:left="0"/>
        <w:jc w:val="both"/>
      </w:pPr>
      <w:r>
        <w:rPr>
          <w:rFonts w:ascii="Times New Roman"/>
          <w:b w:val="false"/>
          <w:i w:val="false"/>
          <w:color w:val="000000"/>
          <w:sz w:val="28"/>
        </w:rPr>
        <w:t>
      284. Ширина фланца (пояска) книц или бракет допускается не менее восьми толщин кницы (бракеты), если нет специальных указаний в соответствующих главах настоящей части Правил.</w:t>
      </w:r>
    </w:p>
    <w:bookmarkEnd w:id="1385"/>
    <w:bookmarkStart w:name="z1382" w:id="1386"/>
    <w:p>
      <w:pPr>
        <w:spacing w:after="0"/>
        <w:ind w:left="0"/>
        <w:jc w:val="both"/>
      </w:pPr>
      <w:r>
        <w:rPr>
          <w:rFonts w:ascii="Times New Roman"/>
          <w:b w:val="false"/>
          <w:i w:val="false"/>
          <w:color w:val="000000"/>
          <w:sz w:val="28"/>
        </w:rPr>
        <w:t>
      285. Кромки книц, поясков и стенок балок обвариваются вокруг и не имеют кратеров. Указанное относится также к вырезам для водо- и воздухопротоков, прохода балок и сварных швов.</w:t>
      </w:r>
    </w:p>
    <w:bookmarkEnd w:id="1386"/>
    <w:bookmarkStart w:name="z1383" w:id="1387"/>
    <w:p>
      <w:pPr>
        <w:spacing w:after="0"/>
        <w:ind w:left="0"/>
        <w:jc w:val="both"/>
      </w:pPr>
      <w:r>
        <w:rPr>
          <w:rFonts w:ascii="Times New Roman"/>
          <w:b w:val="false"/>
          <w:i w:val="false"/>
          <w:color w:val="000000"/>
          <w:sz w:val="28"/>
        </w:rPr>
        <w:t>
      Если эти вырезы доводятся до обшивки (настила), их длина, измеренная по обшивке (настилу), должна соответствовать пункту 298 настоящих Правил.</w:t>
      </w:r>
    </w:p>
    <w:bookmarkEnd w:id="1387"/>
    <w:bookmarkStart w:name="z1386" w:id="1388"/>
    <w:p>
      <w:pPr>
        <w:spacing w:after="0"/>
        <w:ind w:left="0"/>
        <w:jc w:val="both"/>
      </w:pPr>
      <w:r>
        <w:rPr>
          <w:rFonts w:ascii="Times New Roman"/>
          <w:b w:val="false"/>
          <w:i w:val="false"/>
          <w:color w:val="000000"/>
          <w:sz w:val="28"/>
        </w:rPr>
        <w:t>
      286. Сварные швы располагаются в наименее напряженных сечениях конструкции, по возможности дальше от мест резкого изменения сечения связей, вырезов и мест, деформированных в холодном состоянии.</w:t>
      </w:r>
    </w:p>
    <w:bookmarkEnd w:id="1388"/>
    <w:bookmarkStart w:name="z1387" w:id="1389"/>
    <w:p>
      <w:pPr>
        <w:spacing w:after="0"/>
        <w:ind w:left="0"/>
        <w:jc w:val="both"/>
      </w:pPr>
      <w:r>
        <w:rPr>
          <w:rFonts w:ascii="Times New Roman"/>
          <w:b w:val="false"/>
          <w:i w:val="false"/>
          <w:color w:val="000000"/>
          <w:sz w:val="28"/>
        </w:rPr>
        <w:t>
      287. Стыковые соединения поясков пересекающихся балок, воспринимающих динамически переменную нагрузку (например, в районах интенсивной вибрации), выполняют с плавными переходами при помощи специальных крестовин.</w:t>
      </w:r>
    </w:p>
    <w:bookmarkEnd w:id="1389"/>
    <w:bookmarkStart w:name="z1388" w:id="1390"/>
    <w:p>
      <w:pPr>
        <w:spacing w:after="0"/>
        <w:ind w:left="0"/>
        <w:jc w:val="both"/>
      </w:pPr>
      <w:r>
        <w:rPr>
          <w:rFonts w:ascii="Times New Roman"/>
          <w:b w:val="false"/>
          <w:i w:val="false"/>
          <w:color w:val="000000"/>
          <w:sz w:val="28"/>
        </w:rPr>
        <w:t>
      288. Следует избегать скученности сварных швов, пересечений их под острым углом, а также близкого расположения параллельных стыковых швов или угловых швов со стыковыми. Расстояние между параллельными сварными швами независимо от их направления должно быть не менее:</w:t>
      </w:r>
    </w:p>
    <w:bookmarkEnd w:id="1390"/>
    <w:p>
      <w:pPr>
        <w:spacing w:after="0"/>
        <w:ind w:left="0"/>
        <w:jc w:val="both"/>
      </w:pPr>
      <w:r>
        <w:rPr>
          <w:rFonts w:ascii="Times New Roman"/>
          <w:b w:val="false"/>
          <w:i w:val="false"/>
          <w:color w:val="000000"/>
          <w:sz w:val="28"/>
        </w:rPr>
        <w:t>
      200 мм — между параллельными стыковыми швами;</w:t>
      </w:r>
    </w:p>
    <w:p>
      <w:pPr>
        <w:spacing w:after="0"/>
        <w:ind w:left="0"/>
        <w:jc w:val="both"/>
      </w:pPr>
      <w:r>
        <w:rPr>
          <w:rFonts w:ascii="Times New Roman"/>
          <w:b w:val="false"/>
          <w:i w:val="false"/>
          <w:color w:val="000000"/>
          <w:sz w:val="28"/>
        </w:rPr>
        <w:t>
      75 мм — между параллельными угловым и стыковым швами;</w:t>
      </w:r>
    </w:p>
    <w:p>
      <w:pPr>
        <w:spacing w:after="0"/>
        <w:ind w:left="0"/>
        <w:jc w:val="both"/>
      </w:pPr>
      <w:r>
        <w:rPr>
          <w:rFonts w:ascii="Times New Roman"/>
          <w:b w:val="false"/>
          <w:i w:val="false"/>
          <w:color w:val="000000"/>
          <w:sz w:val="28"/>
        </w:rPr>
        <w:t>
      50 мм — между параллельными угловым и стыковым швами на длине не более 2 м.</w:t>
      </w:r>
    </w:p>
    <w:bookmarkStart w:name="z1389" w:id="1391"/>
    <w:p>
      <w:pPr>
        <w:spacing w:after="0"/>
        <w:ind w:left="0"/>
        <w:jc w:val="both"/>
      </w:pPr>
      <w:r>
        <w:rPr>
          <w:rFonts w:ascii="Times New Roman"/>
          <w:b w:val="false"/>
          <w:i w:val="false"/>
          <w:color w:val="000000"/>
          <w:sz w:val="28"/>
        </w:rPr>
        <w:t>
      По согласованию с Регистром судоходства допускается уменьшение расстояния между сварными швами.</w:t>
      </w:r>
    </w:p>
    <w:bookmarkEnd w:id="1391"/>
    <w:bookmarkStart w:name="z1390" w:id="1392"/>
    <w:p>
      <w:pPr>
        <w:spacing w:after="0"/>
        <w:ind w:left="0"/>
        <w:jc w:val="both"/>
      </w:pPr>
      <w:r>
        <w:rPr>
          <w:rFonts w:ascii="Times New Roman"/>
          <w:b w:val="false"/>
          <w:i w:val="false"/>
          <w:color w:val="000000"/>
          <w:sz w:val="28"/>
        </w:rPr>
        <w:t>
      Угол между двумя стыковыми швами принимают не менее 60</w:t>
      </w:r>
      <w:r>
        <w:rPr>
          <w:rFonts w:ascii="Times New Roman"/>
          <w:b w:val="false"/>
          <w:i w:val="false"/>
          <w:color w:val="000000"/>
          <w:vertAlign w:val="superscript"/>
        </w:rPr>
        <w:t>о</w:t>
      </w:r>
      <w:r>
        <w:rPr>
          <w:rFonts w:ascii="Times New Roman"/>
          <w:b w:val="false"/>
          <w:i w:val="false"/>
          <w:color w:val="000000"/>
          <w:sz w:val="28"/>
        </w:rPr>
        <w:t xml:space="preserve"> (приложение 48 настоящих Правил).</w:t>
      </w:r>
    </w:p>
    <w:bookmarkEnd w:id="1392"/>
    <w:bookmarkStart w:name="z1391" w:id="1393"/>
    <w:p>
      <w:pPr>
        <w:spacing w:after="0"/>
        <w:ind w:left="0"/>
        <w:jc w:val="both"/>
      </w:pPr>
      <w:r>
        <w:rPr>
          <w:rFonts w:ascii="Times New Roman"/>
          <w:b w:val="false"/>
          <w:i w:val="false"/>
          <w:color w:val="000000"/>
          <w:sz w:val="28"/>
        </w:rPr>
        <w:t>
      289. Монтажные стыки (пазы) листов обшивки и настилов располагаются от параллельных им переборок, палуб, настила второго дна и рамных связей на расстоянии не менее 200 мм.</w:t>
      </w:r>
    </w:p>
    <w:bookmarkEnd w:id="1393"/>
    <w:bookmarkStart w:name="z1392" w:id="1394"/>
    <w:p>
      <w:pPr>
        <w:spacing w:after="0"/>
        <w:ind w:left="0"/>
        <w:jc w:val="both"/>
      </w:pPr>
      <w:r>
        <w:rPr>
          <w:rFonts w:ascii="Times New Roman"/>
          <w:b w:val="false"/>
          <w:i w:val="false"/>
          <w:color w:val="000000"/>
          <w:sz w:val="28"/>
        </w:rPr>
        <w:t>
      В монтажных стыках сварных балок набора стык стенки балки располагается на расстоянии не менее 150 мм от стыка пояска той же балки.</w:t>
      </w:r>
    </w:p>
    <w:bookmarkEnd w:id="1394"/>
    <w:bookmarkStart w:name="z1393" w:id="1395"/>
    <w:p>
      <w:pPr>
        <w:spacing w:after="0"/>
        <w:ind w:left="0"/>
        <w:jc w:val="both"/>
      </w:pPr>
      <w:r>
        <w:rPr>
          <w:rFonts w:ascii="Times New Roman"/>
          <w:b w:val="false"/>
          <w:i w:val="false"/>
          <w:color w:val="000000"/>
          <w:sz w:val="28"/>
        </w:rPr>
        <w:t>
      По согласованию с Регистром судоходства допускается совмещение стыков стенки и пояска в следующих случаях:</w:t>
      </w:r>
    </w:p>
    <w:bookmarkEnd w:id="1395"/>
    <w:bookmarkStart w:name="z1394" w:id="1396"/>
    <w:p>
      <w:pPr>
        <w:spacing w:after="0"/>
        <w:ind w:left="0"/>
        <w:jc w:val="both"/>
      </w:pPr>
      <w:r>
        <w:rPr>
          <w:rFonts w:ascii="Times New Roman"/>
          <w:b w:val="false"/>
          <w:i w:val="false"/>
          <w:color w:val="000000"/>
          <w:sz w:val="28"/>
        </w:rPr>
        <w:t>
      при обеспечении полного провара в соединении стенки с пояском на участке не менее 100 мм в каждую сторону от стыка и неразрушающем контроле стыка каждой третьей балки;</w:t>
      </w:r>
    </w:p>
    <w:bookmarkEnd w:id="1396"/>
    <w:bookmarkStart w:name="z1395" w:id="1397"/>
    <w:p>
      <w:pPr>
        <w:spacing w:after="0"/>
        <w:ind w:left="0"/>
        <w:jc w:val="both"/>
      </w:pPr>
      <w:r>
        <w:rPr>
          <w:rFonts w:ascii="Times New Roman"/>
          <w:b w:val="false"/>
          <w:i w:val="false"/>
          <w:color w:val="000000"/>
          <w:sz w:val="28"/>
        </w:rPr>
        <w:t>
      при перекрытии стыка элементами набора (кницами, бракетами, установленными в плоскости стенки) на протяжении не менее ширины пояска в каждую сторону от стыка.</w:t>
      </w:r>
    </w:p>
    <w:bookmarkEnd w:id="1397"/>
    <w:bookmarkStart w:name="z1396" w:id="1398"/>
    <w:p>
      <w:pPr>
        <w:spacing w:after="0"/>
        <w:ind w:left="0"/>
        <w:jc w:val="left"/>
      </w:pPr>
      <w:r>
        <w:rPr>
          <w:rFonts w:ascii="Times New Roman"/>
          <w:b/>
          <w:i w:val="false"/>
          <w:color w:val="000000"/>
        </w:rPr>
        <w:t xml:space="preserve"> Параграф 5. Типы и размеры угловых швов</w:t>
      </w:r>
    </w:p>
    <w:bookmarkEnd w:id="1398"/>
    <w:bookmarkStart w:name="z1397" w:id="1399"/>
    <w:p>
      <w:pPr>
        <w:spacing w:after="0"/>
        <w:ind w:left="0"/>
        <w:jc w:val="both"/>
      </w:pPr>
      <w:r>
        <w:rPr>
          <w:rFonts w:ascii="Times New Roman"/>
          <w:b w:val="false"/>
          <w:i w:val="false"/>
          <w:color w:val="000000"/>
          <w:sz w:val="28"/>
        </w:rPr>
        <w:t xml:space="preserve">
      290. Расчетная толщина </w:t>
      </w:r>
      <w:r>
        <w:rPr>
          <w:rFonts w:ascii="Times New Roman"/>
          <w:b w:val="false"/>
          <w:i/>
          <w:color w:val="000000"/>
          <w:sz w:val="28"/>
        </w:rPr>
        <w:t>а</w:t>
      </w:r>
      <w:r>
        <w:rPr>
          <w:rFonts w:ascii="Times New Roman"/>
          <w:b w:val="false"/>
          <w:i w:val="false"/>
          <w:color w:val="000000"/>
          <w:sz w:val="28"/>
        </w:rPr>
        <w:t>, мм, угловых швов тавровых соединений при ручной и полуавтоматической сварке равна не менее:</w:t>
      </w:r>
    </w:p>
    <w:bookmarkEnd w:id="139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52400" cy="1270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прочности сварного шва, принимаемый по приложению 49 настоящих Правил. Для конструкций в грузовых танках наливных судов указанное значение а увеличивается на 0,05; </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принимаемый по приложению 51 настоящих Правил, в зависимости от отношения шага шва </w:t>
      </w:r>
      <w:r>
        <w:rPr>
          <w:rFonts w:ascii="Times New Roman"/>
          <w:b w:val="false"/>
          <w:i/>
          <w:color w:val="000000"/>
          <w:sz w:val="28"/>
        </w:rPr>
        <w:t>t</w:t>
      </w:r>
      <w:r>
        <w:rPr>
          <w:rFonts w:ascii="Times New Roman"/>
          <w:b w:val="false"/>
          <w:i w:val="false"/>
          <w:color w:val="000000"/>
          <w:sz w:val="28"/>
        </w:rPr>
        <w:t xml:space="preserve">, мм, к длине приварки </w:t>
      </w:r>
      <w:r>
        <w:rPr>
          <w:rFonts w:ascii="Times New Roman"/>
          <w:b w:val="false"/>
          <w:i/>
          <w:color w:val="000000"/>
          <w:sz w:val="28"/>
        </w:rPr>
        <w:t>l</w:t>
      </w:r>
      <w:r>
        <w:rPr>
          <w:rFonts w:ascii="Times New Roman"/>
          <w:b w:val="false"/>
          <w:i w:val="false"/>
          <w:color w:val="000000"/>
          <w:sz w:val="28"/>
        </w:rPr>
        <w:t xml:space="preserve">, мм (приложение 50 настоящих Правил);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меньшая толщина соединяемых деталей, мм.</w:t>
      </w:r>
    </w:p>
    <w:bookmarkStart w:name="z1398" w:id="1400"/>
    <w:p>
      <w:pPr>
        <w:spacing w:after="0"/>
        <w:ind w:left="0"/>
        <w:jc w:val="both"/>
      </w:pPr>
      <w:r>
        <w:rPr>
          <w:rFonts w:ascii="Times New Roman"/>
          <w:b w:val="false"/>
          <w:i w:val="false"/>
          <w:color w:val="000000"/>
          <w:sz w:val="28"/>
        </w:rPr>
        <w:t xml:space="preserve">
      Соотношение между катетом углового шва и высотой равнобедренного треугольника, вписанного в сечение валика (приложение 52 настоящих Правил), принимается равным </w:t>
      </w:r>
      <w:r>
        <w:rPr>
          <w:rFonts w:ascii="Times New Roman"/>
          <w:b w:val="false"/>
          <w:i/>
          <w:color w:val="000000"/>
          <w:sz w:val="28"/>
        </w:rPr>
        <w:t>k</w:t>
      </w:r>
      <w:r>
        <w:rPr>
          <w:rFonts w:ascii="Times New Roman"/>
          <w:b w:val="false"/>
          <w:i w:val="false"/>
          <w:color w:val="000000"/>
          <w:sz w:val="28"/>
        </w:rPr>
        <w:t xml:space="preserve"> = 1,4</w:t>
      </w:r>
      <w:r>
        <w:rPr>
          <w:rFonts w:ascii="Times New Roman"/>
          <w:b w:val="false"/>
          <w:i/>
          <w:color w:val="000000"/>
          <w:sz w:val="28"/>
        </w:rPr>
        <w:t>а</w:t>
      </w:r>
      <w:r>
        <w:rPr>
          <w:rFonts w:ascii="Times New Roman"/>
          <w:b w:val="false"/>
          <w:i w:val="false"/>
          <w:color w:val="000000"/>
          <w:sz w:val="28"/>
        </w:rPr>
        <w:t xml:space="preserve"> или </w:t>
      </w:r>
      <w:r>
        <w:rPr>
          <w:rFonts w:ascii="Times New Roman"/>
          <w:b w:val="false"/>
          <w:i/>
          <w:color w:val="000000"/>
          <w:sz w:val="28"/>
        </w:rPr>
        <w:t>а</w:t>
      </w:r>
      <w:r>
        <w:rPr>
          <w:rFonts w:ascii="Times New Roman"/>
          <w:b w:val="false"/>
          <w:i w:val="false"/>
          <w:color w:val="000000"/>
          <w:sz w:val="28"/>
        </w:rPr>
        <w:t xml:space="preserve"> = 0,7</w:t>
      </w:r>
      <w:r>
        <w:rPr>
          <w:rFonts w:ascii="Times New Roman"/>
          <w:b w:val="false"/>
          <w:i/>
          <w:color w:val="000000"/>
          <w:sz w:val="28"/>
        </w:rPr>
        <w:t>k</w:t>
      </w:r>
      <w:r>
        <w:rPr>
          <w:rFonts w:ascii="Times New Roman"/>
          <w:b w:val="false"/>
          <w:i w:val="false"/>
          <w:color w:val="000000"/>
          <w:sz w:val="28"/>
        </w:rPr>
        <w:t>. При замене предусмотренной ручной сварки автоматической толщина или катет шва (в зависимости от того, что принято в основу расчета) уменьшают, но не более чем на 30 % для однослойных швов. Для многослойных швов величина указанного уменьшения является предметом специального рассмотрения Регистром судоходства.</w:t>
      </w:r>
    </w:p>
    <w:bookmarkEnd w:id="1400"/>
    <w:bookmarkStart w:name="z1399" w:id="1401"/>
    <w:p>
      <w:pPr>
        <w:spacing w:after="0"/>
        <w:ind w:left="0"/>
        <w:jc w:val="both"/>
      </w:pPr>
      <w:r>
        <w:rPr>
          <w:rFonts w:ascii="Times New Roman"/>
          <w:b w:val="false"/>
          <w:i w:val="false"/>
          <w:color w:val="000000"/>
          <w:sz w:val="28"/>
        </w:rPr>
        <w:t>
      Если толщина более тонкого из соединяемых элементов менее 0,5 толщины более толстого элемента, размеры швов подлежат особому рассмотрению Регистром судоходства.</w:t>
      </w:r>
    </w:p>
    <w:bookmarkEnd w:id="1401"/>
    <w:bookmarkStart w:name="z1400" w:id="1402"/>
    <w:p>
      <w:pPr>
        <w:spacing w:after="0"/>
        <w:ind w:left="0"/>
        <w:jc w:val="both"/>
      </w:pPr>
      <w:r>
        <w:rPr>
          <w:rFonts w:ascii="Times New Roman"/>
          <w:b w:val="false"/>
          <w:i w:val="false"/>
          <w:color w:val="000000"/>
          <w:sz w:val="28"/>
        </w:rPr>
        <w:t xml:space="preserve">
      Толщина углового шва </w:t>
      </w:r>
      <w:r>
        <w:rPr>
          <w:rFonts w:ascii="Times New Roman"/>
          <w:b w:val="false"/>
          <w:i/>
          <w:color w:val="000000"/>
          <w:sz w:val="28"/>
        </w:rPr>
        <w:t>а</w:t>
      </w:r>
      <w:r>
        <w:rPr>
          <w:rFonts w:ascii="Times New Roman"/>
          <w:b w:val="false"/>
          <w:i w:val="false"/>
          <w:color w:val="000000"/>
          <w:sz w:val="28"/>
        </w:rPr>
        <w:t xml:space="preserve"> равна не менее:</w:t>
      </w:r>
    </w:p>
    <w:bookmarkEnd w:id="1402"/>
    <w:p>
      <w:pPr>
        <w:spacing w:after="0"/>
        <w:ind w:left="0"/>
        <w:jc w:val="both"/>
      </w:pPr>
      <w:r>
        <w:rPr>
          <w:rFonts w:ascii="Times New Roman"/>
          <w:b w:val="false"/>
          <w:i w:val="false"/>
          <w:color w:val="000000"/>
          <w:sz w:val="28"/>
        </w:rPr>
        <w:t xml:space="preserve">
      2,5 мм при </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 мм;</w:t>
      </w:r>
    </w:p>
    <w:p>
      <w:pPr>
        <w:spacing w:after="0"/>
        <w:ind w:left="0"/>
        <w:jc w:val="both"/>
      </w:pPr>
      <w:r>
        <w:rPr>
          <w:rFonts w:ascii="Times New Roman"/>
          <w:b w:val="false"/>
          <w:i w:val="false"/>
          <w:color w:val="000000"/>
          <w:sz w:val="28"/>
        </w:rPr>
        <w:t>
      3,0 мм при 4 &lt;</w:t>
      </w:r>
      <w:r>
        <w:rPr>
          <w:rFonts w:ascii="Times New Roman"/>
          <w:b w:val="false"/>
          <w:i/>
          <w:color w:val="000000"/>
          <w:sz w:val="28"/>
        </w:rPr>
        <w:t xml:space="preserve"> 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 мм;</w:t>
      </w:r>
    </w:p>
    <w:p>
      <w:pPr>
        <w:spacing w:after="0"/>
        <w:ind w:left="0"/>
        <w:jc w:val="both"/>
      </w:pPr>
      <w:r>
        <w:rPr>
          <w:rFonts w:ascii="Times New Roman"/>
          <w:b w:val="false"/>
          <w:i w:val="false"/>
          <w:color w:val="000000"/>
          <w:sz w:val="28"/>
        </w:rPr>
        <w:t>
      3,5 мм при 10 &lt;</w:t>
      </w:r>
      <w:r>
        <w:rPr>
          <w:rFonts w:ascii="Times New Roman"/>
          <w:b w:val="false"/>
          <w:i/>
          <w:color w:val="000000"/>
          <w:sz w:val="28"/>
        </w:rPr>
        <w:t xml:space="preserve"> 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 мм;</w:t>
      </w:r>
    </w:p>
    <w:p>
      <w:pPr>
        <w:spacing w:after="0"/>
        <w:ind w:left="0"/>
        <w:jc w:val="both"/>
      </w:pPr>
      <w:r>
        <w:rPr>
          <w:rFonts w:ascii="Times New Roman"/>
          <w:b w:val="false"/>
          <w:i w:val="false"/>
          <w:color w:val="000000"/>
          <w:sz w:val="28"/>
        </w:rPr>
        <w:t>
      0,25</w:t>
      </w:r>
      <w:r>
        <w:rPr>
          <w:rFonts w:ascii="Times New Roman"/>
          <w:b w:val="false"/>
          <w:i/>
          <w:color w:val="000000"/>
          <w:sz w:val="28"/>
        </w:rPr>
        <w:t>s</w:t>
      </w:r>
      <w:r>
        <w:rPr>
          <w:rFonts w:ascii="Times New Roman"/>
          <w:b w:val="false"/>
          <w:i w:val="false"/>
          <w:color w:val="000000"/>
          <w:sz w:val="28"/>
        </w:rPr>
        <w:t xml:space="preserve"> при s &gt; 15 мм.</w:t>
      </w:r>
    </w:p>
    <w:bookmarkStart w:name="z1401" w:id="1403"/>
    <w:p>
      <w:pPr>
        <w:spacing w:after="0"/>
        <w:ind w:left="0"/>
        <w:jc w:val="both"/>
      </w:pPr>
      <w:r>
        <w:rPr>
          <w:rFonts w:ascii="Times New Roman"/>
          <w:b w:val="false"/>
          <w:i w:val="false"/>
          <w:color w:val="000000"/>
          <w:sz w:val="28"/>
        </w:rPr>
        <w:t xml:space="preserve">
      Назначаемые по расчету размеры угловых швов принимают не более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0,7</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color w:val="000000"/>
          <w:sz w:val="28"/>
        </w:rPr>
        <w:t xml:space="preserve"> s</w:t>
      </w:r>
      <w:r>
        <w:rPr>
          <w:rFonts w:ascii="Times New Roman"/>
          <w:b w:val="false"/>
          <w:i w:val="false"/>
          <w:color w:val="000000"/>
          <w:sz w:val="28"/>
        </w:rPr>
        <w:t>).</w:t>
      </w:r>
    </w:p>
    <w:bookmarkEnd w:id="1403"/>
    <w:bookmarkStart w:name="z1402" w:id="1404"/>
    <w:p>
      <w:pPr>
        <w:spacing w:after="0"/>
        <w:ind w:left="0"/>
        <w:jc w:val="both"/>
      </w:pPr>
      <w:r>
        <w:rPr>
          <w:rFonts w:ascii="Times New Roman"/>
          <w:b w:val="false"/>
          <w:i w:val="false"/>
          <w:color w:val="000000"/>
          <w:sz w:val="28"/>
        </w:rPr>
        <w:t xml:space="preserve">
      291. Соединения внахлестку, если они допускаются (пункт 270 настоящих Правил), выполняются по периметру непрерывным швом с коэффициентом прочности 0,4. Величина перекроя равна не менее </w:t>
      </w:r>
      <w:r>
        <w:rPr>
          <w:rFonts w:ascii="Times New Roman"/>
          <w:b w:val="false"/>
          <w:i/>
          <w:color w:val="000000"/>
          <w:sz w:val="28"/>
        </w:rPr>
        <w:t xml:space="preserve">b </w:t>
      </w:r>
      <w:r>
        <w:rPr>
          <w:rFonts w:ascii="Times New Roman"/>
          <w:b w:val="false"/>
          <w:i w:val="false"/>
          <w:color w:val="000000"/>
          <w:sz w:val="28"/>
        </w:rPr>
        <w:t>= 2</w:t>
      </w:r>
      <w:r>
        <w:rPr>
          <w:rFonts w:ascii="Times New Roman"/>
          <w:b w:val="false"/>
          <w:i/>
          <w:color w:val="000000"/>
          <w:sz w:val="28"/>
        </w:rPr>
        <w:t xml:space="preserve">s </w:t>
      </w:r>
      <w:r>
        <w:rPr>
          <w:rFonts w:ascii="Times New Roman"/>
          <w:b w:val="false"/>
          <w:i w:val="false"/>
          <w:color w:val="000000"/>
          <w:sz w:val="28"/>
        </w:rPr>
        <w:t xml:space="preserve">+ 25, но не более 50 мм (где </w:t>
      </w:r>
      <w:r>
        <w:rPr>
          <w:rFonts w:ascii="Times New Roman"/>
          <w:b w:val="false"/>
          <w:i/>
          <w:color w:val="000000"/>
          <w:sz w:val="28"/>
        </w:rPr>
        <w:t xml:space="preserve">s - </w:t>
      </w:r>
      <w:r>
        <w:rPr>
          <w:rFonts w:ascii="Times New Roman"/>
          <w:b w:val="false"/>
          <w:i w:val="false"/>
          <w:color w:val="000000"/>
          <w:sz w:val="28"/>
        </w:rPr>
        <w:t>меньшая толщина соединяемых деталей, мм).</w:t>
      </w:r>
    </w:p>
    <w:bookmarkEnd w:id="1404"/>
    <w:bookmarkStart w:name="z1403" w:id="1405"/>
    <w:p>
      <w:pPr>
        <w:spacing w:after="0"/>
        <w:ind w:left="0"/>
        <w:jc w:val="both"/>
      </w:pPr>
      <w:r>
        <w:rPr>
          <w:rFonts w:ascii="Times New Roman"/>
          <w:b w:val="false"/>
          <w:i w:val="false"/>
          <w:color w:val="000000"/>
          <w:sz w:val="28"/>
        </w:rPr>
        <w:t>
      292. Соединения балок основного набора (бимсов, продольных подпалубных балок, шпангоутов, стоек переборок) с поддерживающими их связями (карлингсами, рамными бимсами, бортовыми стрингерами, горизонтальными рамами) выполняются швом с коэффициентом прочности 0,35.</w:t>
      </w:r>
    </w:p>
    <w:bookmarkEnd w:id="1405"/>
    <w:bookmarkStart w:name="z1404" w:id="1406"/>
    <w:p>
      <w:pPr>
        <w:spacing w:after="0"/>
        <w:ind w:left="0"/>
        <w:jc w:val="both"/>
      </w:pPr>
      <w:r>
        <w:rPr>
          <w:rFonts w:ascii="Times New Roman"/>
          <w:b w:val="false"/>
          <w:i w:val="false"/>
          <w:color w:val="000000"/>
          <w:sz w:val="28"/>
        </w:rPr>
        <w:t xml:space="preserve">
      При этом площадь поперечного сечения </w:t>
      </w:r>
    </w:p>
    <w:bookmarkEnd w:id="1406"/>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сварных швов, соединяющих стенки балок основного набора с поддерживающими их связями, равна не менее определяемой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25</w:t>
      </w:r>
      <w:r>
        <w:rPr>
          <w:rFonts w:ascii="Times New Roman"/>
          <w:b w:val="false"/>
          <w:i/>
          <w:color w:val="000000"/>
          <w:sz w:val="28"/>
        </w:rPr>
        <w:t>pal</w:t>
      </w:r>
      <w:r>
        <w:rPr>
          <w:rFonts w:ascii="Times New Roman"/>
          <w:b w:val="false"/>
          <w:i w:val="false"/>
          <w:color w:val="000000"/>
          <w:sz w:val="28"/>
        </w:rPr>
        <w:t>/</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условная нагрузка, указанная в соответствующих главах настоящей части Правил, кПа;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балками, м;</w:t>
      </w:r>
    </w:p>
    <w:p>
      <w:pPr>
        <w:spacing w:after="0"/>
        <w:ind w:left="0"/>
        <w:jc w:val="both"/>
      </w:pPr>
      <w:r>
        <w:rPr>
          <w:rFonts w:ascii="Times New Roman"/>
          <w:b w:val="false"/>
          <w:i w:val="false"/>
          <w:color w:val="000000"/>
          <w:sz w:val="28"/>
        </w:rPr>
        <w:t xml:space="preserve">
      l — пролет балки, 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пункт 133 настоящих Правил.</w:t>
      </w:r>
      <w:r>
        <w:br/>
      </w:r>
      <w:r>
        <w:rPr>
          <w:rFonts w:ascii="Times New Roman"/>
          <w:b w:val="false"/>
          <w:i w:val="false"/>
          <w:color w:val="000000"/>
          <w:sz w:val="28"/>
        </w:rPr>
        <w:t>
</w:t>
      </w:r>
    </w:p>
    <w:bookmarkStart w:name="z1405" w:id="1407"/>
    <w:p>
      <w:pPr>
        <w:spacing w:after="0"/>
        <w:ind w:left="0"/>
        <w:jc w:val="both"/>
      </w:pPr>
      <w:r>
        <w:rPr>
          <w:rFonts w:ascii="Times New Roman"/>
          <w:b w:val="false"/>
          <w:i w:val="false"/>
          <w:color w:val="000000"/>
          <w:sz w:val="28"/>
        </w:rPr>
        <w:t xml:space="preserve">
      Площадь поперечного сечения </w:t>
      </w:r>
    </w:p>
    <w:bookmarkEnd w:id="1407"/>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сварных швов определяется как сумма произведений толщины углового шва на длину шва каждого участка соединения балки с поддерживающей связью.</w:t>
      </w:r>
      <w:r>
        <w:br/>
      </w:r>
      <w:r>
        <w:rPr>
          <w:rFonts w:ascii="Times New Roman"/>
          <w:b w:val="false"/>
          <w:i w:val="false"/>
          <w:color w:val="000000"/>
          <w:sz w:val="28"/>
        </w:rPr>
        <w:t>
</w:t>
      </w:r>
    </w:p>
    <w:bookmarkStart w:name="z1406" w:id="1408"/>
    <w:p>
      <w:pPr>
        <w:spacing w:after="0"/>
        <w:ind w:left="0"/>
        <w:jc w:val="both"/>
      </w:pPr>
      <w:r>
        <w:rPr>
          <w:rFonts w:ascii="Times New Roman"/>
          <w:b w:val="false"/>
          <w:i w:val="false"/>
          <w:color w:val="000000"/>
          <w:sz w:val="28"/>
        </w:rPr>
        <w:t>
      293. Связи, разрезающиеся на связях другого направления находятся в одной плоскости. Величина несовпадения плоскостей допускается не более половины толщины разрезаемой связи. Если непрерывность этих связей достигается непосредственной приваркой к стенке конструкции, на которой они разрезаются, толщина углового шва определяется в зависимости от толщины разрезаемой связи, или сварка должна выполняться со сквозным проваром. При толщине более тонкой из соединяемых деталей меньше 0,7 толщины более толстой детали, толщину углового шва следует определять с соблюдением конкретных условий нагрузки в этом районе пересечения.</w:t>
      </w:r>
    </w:p>
    <w:bookmarkEnd w:id="1408"/>
    <w:bookmarkStart w:name="z1407" w:id="1409"/>
    <w:p>
      <w:pPr>
        <w:spacing w:after="0"/>
        <w:ind w:left="0"/>
        <w:jc w:val="both"/>
      </w:pPr>
      <w:r>
        <w:rPr>
          <w:rFonts w:ascii="Times New Roman"/>
          <w:b w:val="false"/>
          <w:i w:val="false"/>
          <w:color w:val="000000"/>
          <w:sz w:val="28"/>
        </w:rPr>
        <w:t>
      294. Если продольные балки разрезаются на поперечных переборках, конструкция соединения должна отвечать следующим требованиям:</w:t>
      </w:r>
    </w:p>
    <w:bookmarkEnd w:id="1409"/>
    <w:bookmarkStart w:name="z1408" w:id="1410"/>
    <w:p>
      <w:pPr>
        <w:spacing w:after="0"/>
        <w:ind w:left="0"/>
        <w:jc w:val="both"/>
      </w:pPr>
      <w:r>
        <w:rPr>
          <w:rFonts w:ascii="Times New Roman"/>
          <w:b w:val="false"/>
          <w:i w:val="false"/>
          <w:color w:val="000000"/>
          <w:sz w:val="28"/>
        </w:rPr>
        <w:t xml:space="preserve">
      1) при установке книц с обеих сторон переборки в одной плоскости площадь сварного шва </w:t>
      </w:r>
    </w:p>
    <w:bookmarkEnd w:id="1410"/>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соединяющего кницы (и торцы балок, если они привариваются) с поперечными переборками (рисунок </w:t>
      </w:r>
      <w:r>
        <w:rPr>
          <w:rFonts w:ascii="Times New Roman"/>
          <w:b w:val="false"/>
          <w:i/>
          <w:color w:val="000000"/>
          <w:sz w:val="28"/>
        </w:rPr>
        <w:t>а)</w:t>
      </w:r>
      <w:r>
        <w:rPr>
          <w:rFonts w:ascii="Times New Roman"/>
          <w:b w:val="false"/>
          <w:i w:val="false"/>
          <w:color w:val="000000"/>
          <w:sz w:val="28"/>
        </w:rPr>
        <w:t xml:space="preserve"> приложения 53 настоящих Правил), равна не менее определяемой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1,75</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площадь поперечного сечения продольной балки (без присоединенного пояска), см</w:t>
      </w:r>
      <w:r>
        <w:rPr>
          <w:rFonts w:ascii="Times New Roman"/>
          <w:b w:val="false"/>
          <w:i w:val="false"/>
          <w:color w:val="000000"/>
          <w:vertAlign w:val="superscript"/>
        </w:rPr>
        <w:t>2</w:t>
      </w:r>
      <w:r>
        <w:rPr>
          <w:rFonts w:ascii="Times New Roman"/>
          <w:b w:val="false"/>
          <w:i w:val="false"/>
          <w:color w:val="000000"/>
          <w:sz w:val="28"/>
        </w:rPr>
        <w:t>;</w:t>
      </w:r>
    </w:p>
    <w:bookmarkStart w:name="z1409" w:id="1411"/>
    <w:p>
      <w:pPr>
        <w:spacing w:after="0"/>
        <w:ind w:left="0"/>
        <w:jc w:val="both"/>
      </w:pPr>
      <w:r>
        <w:rPr>
          <w:rFonts w:ascii="Times New Roman"/>
          <w:b w:val="false"/>
          <w:i w:val="false"/>
          <w:color w:val="000000"/>
          <w:sz w:val="28"/>
        </w:rPr>
        <w:t xml:space="preserve">
      2) при установке одной непрерывной кницы, ввариваемой в соответствующую прорезь в листе переборки (рисунок </w:t>
      </w:r>
      <w:r>
        <w:rPr>
          <w:rFonts w:ascii="Times New Roman"/>
          <w:b w:val="false"/>
          <w:i/>
          <w:color w:val="000000"/>
          <w:sz w:val="28"/>
        </w:rPr>
        <w:t>б)</w:t>
      </w:r>
      <w:r>
        <w:rPr>
          <w:rFonts w:ascii="Times New Roman"/>
          <w:b w:val="false"/>
          <w:i w:val="false"/>
          <w:color w:val="000000"/>
          <w:sz w:val="28"/>
        </w:rPr>
        <w:t xml:space="preserve"> приложения 53 настоящих Правил) площадь поперечного сечения кницы в плоскости переборки должна быть не менее 1,25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w:t>
      </w:r>
    </w:p>
    <w:bookmarkEnd w:id="1411"/>
    <w:bookmarkStart w:name="z1410" w:id="1412"/>
    <w:p>
      <w:pPr>
        <w:spacing w:after="0"/>
        <w:ind w:left="0"/>
        <w:jc w:val="both"/>
      </w:pPr>
      <w:r>
        <w:rPr>
          <w:rFonts w:ascii="Times New Roman"/>
          <w:b w:val="false"/>
          <w:i w:val="false"/>
          <w:color w:val="000000"/>
          <w:sz w:val="28"/>
        </w:rPr>
        <w:t xml:space="preserve">
      3) протяженность книц </w:t>
      </w:r>
      <w:r>
        <w:rPr>
          <w:rFonts w:ascii="Times New Roman"/>
          <w:b w:val="false"/>
          <w:i/>
          <w:color w:val="000000"/>
          <w:sz w:val="28"/>
        </w:rPr>
        <w:t>l</w:t>
      </w:r>
      <w:r>
        <w:rPr>
          <w:rFonts w:ascii="Times New Roman"/>
          <w:b w:val="false"/>
          <w:i w:val="false"/>
          <w:color w:val="000000"/>
          <w:vertAlign w:val="subscript"/>
        </w:rPr>
        <w:t>кн</w:t>
      </w:r>
      <w:r>
        <w:rPr>
          <w:rFonts w:ascii="Times New Roman"/>
          <w:b w:val="false"/>
          <w:i w:val="false"/>
          <w:color w:val="000000"/>
          <w:sz w:val="28"/>
        </w:rPr>
        <w:t>, мм, вдоль продольных балок равна не менее определяемой по формуле:</w:t>
      </w:r>
    </w:p>
    <w:bookmarkEnd w:id="1412"/>
    <w:p>
      <w:pPr>
        <w:spacing w:after="0"/>
        <w:ind w:left="0"/>
        <w:jc w:val="both"/>
      </w:pPr>
      <w:r>
        <w:rPr>
          <w:rFonts w:ascii="Times New Roman"/>
          <w:b w:val="false"/>
          <w:i w:val="false"/>
          <w:color w:val="000000"/>
          <w:sz w:val="28"/>
        </w:rPr>
        <w:t>
                                1,75</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кн</w:t>
      </w:r>
      <w:r>
        <w:rPr>
          <w:rFonts w:ascii="Times New Roman"/>
          <w:b w:val="false"/>
          <w:i w:val="false"/>
          <w:color w:val="000000"/>
          <w:sz w:val="28"/>
        </w:rPr>
        <w:t xml:space="preserve"> = ----------- </w:t>
      </w:r>
    </w:p>
    <w:p>
      <w:pPr>
        <w:spacing w:after="0"/>
        <w:ind w:left="0"/>
        <w:jc w:val="both"/>
      </w:pPr>
      <w:r>
        <w:drawing>
          <wp:inline distT="0" distB="0" distL="0" distR="0">
            <wp:extent cx="635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63500" cy="76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r>
        <w:rPr>
          <w:rFonts w:ascii="Times New Roman"/>
          <w:b w:val="false"/>
          <w:i/>
          <w:color w:val="000000"/>
          <w:sz w:val="28"/>
        </w:rPr>
        <w:t>а</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площадь сварного шва, соединяющего торцы балок с поперечными переборками,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sz w:val="28"/>
        </w:rPr>
        <w:t xml:space="preserve"> — принятая расчетная толщина углового шва, соединяющего кницу с продольной балкой, мм.</w:t>
      </w:r>
    </w:p>
    <w:bookmarkStart w:name="z1411" w:id="1413"/>
    <w:p>
      <w:pPr>
        <w:spacing w:after="0"/>
        <w:ind w:left="0"/>
        <w:jc w:val="both"/>
      </w:pPr>
      <w:r>
        <w:rPr>
          <w:rFonts w:ascii="Times New Roman"/>
          <w:b w:val="false"/>
          <w:i w:val="false"/>
          <w:color w:val="000000"/>
          <w:sz w:val="28"/>
        </w:rPr>
        <w:t>
      295. Для угловых сварных соединений конструкций из листов толщиной более 18 мм, в которых возникают чрезмерные напряжения в направлении толщины при сварке или вследствие приложения внешних нагрузок, следует использовать зет-сталь (пункт 149 настоящих Правил) или предусматривать конструктивные меры, препятствующие возникновению слоистого разрыва. Во всех случаях обеспечивается снижение уровня остаточных напряжений.</w:t>
      </w:r>
    </w:p>
    <w:bookmarkEnd w:id="1413"/>
    <w:bookmarkStart w:name="z1412" w:id="1414"/>
    <w:p>
      <w:pPr>
        <w:spacing w:after="0"/>
        <w:ind w:left="0"/>
        <w:jc w:val="both"/>
      </w:pPr>
      <w:r>
        <w:rPr>
          <w:rFonts w:ascii="Times New Roman"/>
          <w:b w:val="false"/>
          <w:i w:val="false"/>
          <w:color w:val="000000"/>
          <w:sz w:val="28"/>
        </w:rPr>
        <w:t>
      296. Двусторонние непрерывные швы предусматриваются (примечание 1 приложения 49 настоящих Правил):</w:t>
      </w:r>
    </w:p>
    <w:bookmarkEnd w:id="1414"/>
    <w:bookmarkStart w:name="z1413" w:id="1415"/>
    <w:p>
      <w:pPr>
        <w:spacing w:after="0"/>
        <w:ind w:left="0"/>
        <w:jc w:val="both"/>
      </w:pPr>
      <w:r>
        <w:rPr>
          <w:rFonts w:ascii="Times New Roman"/>
          <w:b w:val="false"/>
          <w:i w:val="false"/>
          <w:color w:val="000000"/>
          <w:sz w:val="28"/>
        </w:rPr>
        <w:t>
      1) в районе 0,25</w:t>
      </w:r>
      <w:r>
        <w:rPr>
          <w:rFonts w:ascii="Times New Roman"/>
          <w:b w:val="false"/>
          <w:i/>
          <w:color w:val="000000"/>
          <w:sz w:val="28"/>
        </w:rPr>
        <w:t>L</w:t>
      </w:r>
      <w:r>
        <w:rPr>
          <w:rFonts w:ascii="Times New Roman"/>
          <w:b w:val="false"/>
          <w:i w:val="false"/>
          <w:color w:val="000000"/>
          <w:sz w:val="28"/>
        </w:rPr>
        <w:t>, от носового перпендикуляра у судов длиной 30 м и более — для приварки набора к днищевой обшивке, а при одинарном дне в этом районе — также для сварки стенок вертикального киля, днищевых стрингеров и флоров с их поясками;</w:t>
      </w:r>
    </w:p>
    <w:bookmarkEnd w:id="1415"/>
    <w:bookmarkStart w:name="z1414" w:id="1416"/>
    <w:p>
      <w:pPr>
        <w:spacing w:after="0"/>
        <w:ind w:left="0"/>
        <w:jc w:val="both"/>
      </w:pPr>
      <w:r>
        <w:rPr>
          <w:rFonts w:ascii="Times New Roman"/>
          <w:b w:val="false"/>
          <w:i w:val="false"/>
          <w:color w:val="000000"/>
          <w:sz w:val="28"/>
        </w:rPr>
        <w:t>
      2) в районе AI судов с ледовыми усилениями категории Iсе3 — для приварки связей бортового набора к наружной обшивке;</w:t>
      </w:r>
    </w:p>
    <w:bookmarkEnd w:id="1416"/>
    <w:bookmarkStart w:name="z1415" w:id="1417"/>
    <w:p>
      <w:pPr>
        <w:spacing w:after="0"/>
        <w:ind w:left="0"/>
        <w:jc w:val="both"/>
      </w:pPr>
      <w:r>
        <w:rPr>
          <w:rFonts w:ascii="Times New Roman"/>
          <w:b w:val="false"/>
          <w:i w:val="false"/>
          <w:color w:val="000000"/>
          <w:sz w:val="28"/>
        </w:rPr>
        <w:t>
      3) в районе установки фундаментов устройств, механизмов и оборудования, являющихся вероятными источниками вибрации (пункт 267 настоящих Правил) — для приварки набора к днищевой обшивке и к настилу второго дна, подпалубного набора к настилу палубы;</w:t>
      </w:r>
    </w:p>
    <w:bookmarkEnd w:id="1417"/>
    <w:bookmarkStart w:name="z1416" w:id="1418"/>
    <w:p>
      <w:pPr>
        <w:spacing w:after="0"/>
        <w:ind w:left="0"/>
        <w:jc w:val="both"/>
      </w:pPr>
      <w:r>
        <w:rPr>
          <w:rFonts w:ascii="Times New Roman"/>
          <w:b w:val="false"/>
          <w:i w:val="false"/>
          <w:color w:val="000000"/>
          <w:sz w:val="28"/>
        </w:rPr>
        <w:t xml:space="preserve">
      4) в ахтерпике; </w:t>
      </w:r>
    </w:p>
    <w:bookmarkEnd w:id="1418"/>
    <w:bookmarkStart w:name="z1417" w:id="1419"/>
    <w:p>
      <w:pPr>
        <w:spacing w:after="0"/>
        <w:ind w:left="0"/>
        <w:jc w:val="both"/>
      </w:pPr>
      <w:r>
        <w:rPr>
          <w:rFonts w:ascii="Times New Roman"/>
          <w:b w:val="false"/>
          <w:i w:val="false"/>
          <w:color w:val="000000"/>
          <w:sz w:val="28"/>
        </w:rPr>
        <w:t>
      5) в районах у опор и у концов балок — для приварки балок к листам настилов или обшивки (пункт 298 настоящих Правил);</w:t>
      </w:r>
    </w:p>
    <w:bookmarkEnd w:id="1419"/>
    <w:bookmarkStart w:name="z1418" w:id="1420"/>
    <w:p>
      <w:pPr>
        <w:spacing w:after="0"/>
        <w:ind w:left="0"/>
        <w:jc w:val="both"/>
      </w:pPr>
      <w:r>
        <w:rPr>
          <w:rFonts w:ascii="Times New Roman"/>
          <w:b w:val="false"/>
          <w:i w:val="false"/>
          <w:color w:val="000000"/>
          <w:sz w:val="28"/>
        </w:rPr>
        <w:t>
      6) в цистернах (включая цистерны двойного дна), кроме предназначенных только для топлива или смазочного масла;</w:t>
      </w:r>
    </w:p>
    <w:bookmarkEnd w:id="1420"/>
    <w:bookmarkStart w:name="z1419" w:id="1421"/>
    <w:p>
      <w:pPr>
        <w:spacing w:after="0"/>
        <w:ind w:left="0"/>
        <w:jc w:val="both"/>
      </w:pPr>
      <w:r>
        <w:rPr>
          <w:rFonts w:ascii="Times New Roman"/>
          <w:b w:val="false"/>
          <w:i w:val="false"/>
          <w:color w:val="000000"/>
          <w:sz w:val="28"/>
        </w:rPr>
        <w:t>
      7) для конструкций, обеспечивающих непроницаемость.</w:t>
      </w:r>
    </w:p>
    <w:bookmarkEnd w:id="1421"/>
    <w:bookmarkStart w:name="z1420" w:id="1422"/>
    <w:p>
      <w:pPr>
        <w:spacing w:after="0"/>
        <w:ind w:left="0"/>
        <w:jc w:val="both"/>
      </w:pPr>
      <w:r>
        <w:rPr>
          <w:rFonts w:ascii="Times New Roman"/>
          <w:b w:val="false"/>
          <w:i w:val="false"/>
          <w:color w:val="000000"/>
          <w:sz w:val="28"/>
        </w:rPr>
        <w:t>
      297. Односторонние непрерывные швы не допускаются:</w:t>
      </w:r>
    </w:p>
    <w:bookmarkEnd w:id="1422"/>
    <w:bookmarkStart w:name="z1421" w:id="1423"/>
    <w:p>
      <w:pPr>
        <w:spacing w:after="0"/>
        <w:ind w:left="0"/>
        <w:jc w:val="both"/>
      </w:pPr>
      <w:r>
        <w:rPr>
          <w:rFonts w:ascii="Times New Roman"/>
          <w:b w:val="false"/>
          <w:i w:val="false"/>
          <w:color w:val="000000"/>
          <w:sz w:val="28"/>
        </w:rPr>
        <w:t>
      1) в районах 0,2</w:t>
      </w:r>
      <w:r>
        <w:rPr>
          <w:rFonts w:ascii="Times New Roman"/>
          <w:b w:val="false"/>
          <w:i/>
          <w:color w:val="000000"/>
          <w:sz w:val="28"/>
        </w:rPr>
        <w:t>L</w:t>
      </w:r>
      <w:r>
        <w:rPr>
          <w:rFonts w:ascii="Times New Roman"/>
          <w:b w:val="false"/>
          <w:i w:val="false"/>
          <w:color w:val="000000"/>
          <w:sz w:val="28"/>
        </w:rPr>
        <w:t xml:space="preserve"> от носового перпендикуляра — для приварки бортового набора к обшивке и 0,25</w:t>
      </w:r>
      <w:r>
        <w:rPr>
          <w:rFonts w:ascii="Times New Roman"/>
          <w:b w:val="false"/>
          <w:i/>
          <w:color w:val="000000"/>
          <w:sz w:val="28"/>
        </w:rPr>
        <w:t>L</w:t>
      </w:r>
      <w:r>
        <w:rPr>
          <w:rFonts w:ascii="Times New Roman"/>
          <w:b w:val="false"/>
          <w:i w:val="false"/>
          <w:color w:val="000000"/>
          <w:sz w:val="28"/>
        </w:rPr>
        <w:t>, от носового перпендикуляра — для приварки набора к днищевой обшивке;</w:t>
      </w:r>
    </w:p>
    <w:bookmarkEnd w:id="1423"/>
    <w:bookmarkStart w:name="z1422" w:id="1424"/>
    <w:p>
      <w:pPr>
        <w:spacing w:after="0"/>
        <w:ind w:left="0"/>
        <w:jc w:val="both"/>
      </w:pPr>
      <w:r>
        <w:rPr>
          <w:rFonts w:ascii="Times New Roman"/>
          <w:b w:val="false"/>
          <w:i w:val="false"/>
          <w:color w:val="000000"/>
          <w:sz w:val="28"/>
        </w:rPr>
        <w:t>
      2) в районах интенсивной вибрации (пункт 267 настоящих Правил);</w:t>
      </w:r>
    </w:p>
    <w:bookmarkEnd w:id="1424"/>
    <w:bookmarkStart w:name="z1423" w:id="1425"/>
    <w:p>
      <w:pPr>
        <w:spacing w:after="0"/>
        <w:ind w:left="0"/>
        <w:jc w:val="both"/>
      </w:pPr>
      <w:r>
        <w:rPr>
          <w:rFonts w:ascii="Times New Roman"/>
          <w:b w:val="false"/>
          <w:i w:val="false"/>
          <w:color w:val="000000"/>
          <w:sz w:val="28"/>
        </w:rPr>
        <w:t>
      3) в районе ледовых усилений судов;</w:t>
      </w:r>
    </w:p>
    <w:bookmarkEnd w:id="1425"/>
    <w:bookmarkStart w:name="z1424" w:id="1426"/>
    <w:p>
      <w:pPr>
        <w:spacing w:after="0"/>
        <w:ind w:left="0"/>
        <w:jc w:val="both"/>
      </w:pPr>
      <w:r>
        <w:rPr>
          <w:rFonts w:ascii="Times New Roman"/>
          <w:b w:val="false"/>
          <w:i w:val="false"/>
          <w:color w:val="000000"/>
          <w:sz w:val="28"/>
        </w:rPr>
        <w:t>
      4) для приварки бортового набора судов, швартующихся в море к судам или морским сооружениям;</w:t>
      </w:r>
    </w:p>
    <w:bookmarkEnd w:id="1426"/>
    <w:bookmarkStart w:name="z1425" w:id="1427"/>
    <w:p>
      <w:pPr>
        <w:spacing w:after="0"/>
        <w:ind w:left="0"/>
        <w:jc w:val="both"/>
      </w:pPr>
      <w:r>
        <w:rPr>
          <w:rFonts w:ascii="Times New Roman"/>
          <w:b w:val="false"/>
          <w:i w:val="false"/>
          <w:color w:val="000000"/>
          <w:sz w:val="28"/>
        </w:rPr>
        <w:t>
      5) в соединениях, где угол между стенкой профиля и листом отличается от прямого угла более чем на 10</w:t>
      </w:r>
      <w:r>
        <w:rPr>
          <w:rFonts w:ascii="Times New Roman"/>
          <w:b w:val="false"/>
          <w:i w:val="false"/>
          <w:color w:val="000000"/>
          <w:vertAlign w:val="superscript"/>
        </w:rPr>
        <w:t>0</w:t>
      </w:r>
      <w:r>
        <w:rPr>
          <w:rFonts w:ascii="Times New Roman"/>
          <w:b w:val="false"/>
          <w:i w:val="false"/>
          <w:color w:val="000000"/>
          <w:sz w:val="28"/>
        </w:rPr>
        <w:t>.</w:t>
      </w:r>
    </w:p>
    <w:bookmarkEnd w:id="1427"/>
    <w:bookmarkStart w:name="z1426" w:id="1428"/>
    <w:p>
      <w:pPr>
        <w:spacing w:after="0"/>
        <w:ind w:left="0"/>
        <w:jc w:val="both"/>
      </w:pPr>
      <w:r>
        <w:rPr>
          <w:rFonts w:ascii="Times New Roman"/>
          <w:b w:val="false"/>
          <w:i w:val="false"/>
          <w:color w:val="000000"/>
          <w:sz w:val="28"/>
        </w:rPr>
        <w:t xml:space="preserve">
      298. Для всех типов прерывистых швов длина приварки </w:t>
      </w:r>
      <w:r>
        <w:rPr>
          <w:rFonts w:ascii="Times New Roman"/>
          <w:b w:val="false"/>
          <w:i/>
          <w:color w:val="000000"/>
          <w:sz w:val="28"/>
        </w:rPr>
        <w:t>l</w:t>
      </w:r>
      <w:r>
        <w:rPr>
          <w:rFonts w:ascii="Times New Roman"/>
          <w:b w:val="false"/>
          <w:i w:val="false"/>
          <w:color w:val="000000"/>
          <w:sz w:val="28"/>
        </w:rPr>
        <w:t xml:space="preserve"> (приложение 50 настоящих Правил) не принимается менее 15</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пункт 290 настоящих Правил) или 50 мм, в зависимости от того, что больше. Расстояние между приварками (</w:t>
      </w:r>
      <w:r>
        <w:rPr>
          <w:rFonts w:ascii="Times New Roman"/>
          <w:b w:val="false"/>
          <w:i/>
          <w:color w:val="000000"/>
          <w:sz w:val="28"/>
        </w:rPr>
        <w:t>t</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для цепного и гребенчатого швов, (</w:t>
      </w:r>
      <w:r>
        <w:rPr>
          <w:rFonts w:ascii="Times New Roman"/>
          <w:b w:val="false"/>
          <w:i/>
          <w:color w:val="000000"/>
          <w:sz w:val="28"/>
        </w:rPr>
        <w:t>t</w:t>
      </w:r>
      <w:r>
        <w:rPr>
          <w:rFonts w:ascii="Times New Roman"/>
          <w:b w:val="false"/>
          <w:i w:val="false"/>
          <w:color w:val="000000"/>
          <w:sz w:val="28"/>
        </w:rPr>
        <w:t xml:space="preserve"> — 2</w:t>
      </w:r>
      <w:r>
        <w:rPr>
          <w:rFonts w:ascii="Times New Roman"/>
          <w:b w:val="false"/>
          <w:i/>
          <w:color w:val="000000"/>
          <w:sz w:val="28"/>
        </w:rPr>
        <w:t>l</w:t>
      </w:r>
      <w:r>
        <w:rPr>
          <w:rFonts w:ascii="Times New Roman"/>
          <w:b w:val="false"/>
          <w:i w:val="false"/>
          <w:color w:val="000000"/>
          <w:sz w:val="28"/>
        </w:rPr>
        <w:t>)/2 для шахматного шва) не должно превышать 15</w:t>
      </w:r>
      <w:r>
        <w:rPr>
          <w:rFonts w:ascii="Times New Roman"/>
          <w:b w:val="false"/>
          <w:i/>
          <w:color w:val="000000"/>
          <w:sz w:val="28"/>
        </w:rPr>
        <w:t>s</w:t>
      </w: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толщина листа настила (обшивки) или стенки профиля, в зависимости от того, что меньше, мм). В любом случае расстояние между приварками (длина выреза у гребенчатого набора) не превышает 150 мм.</w:t>
      </w:r>
    </w:p>
    <w:bookmarkEnd w:id="1428"/>
    <w:bookmarkStart w:name="z1427" w:id="1429"/>
    <w:p>
      <w:pPr>
        <w:spacing w:after="0"/>
        <w:ind w:left="0"/>
        <w:jc w:val="both"/>
      </w:pPr>
      <w:r>
        <w:rPr>
          <w:rFonts w:ascii="Times New Roman"/>
          <w:b w:val="false"/>
          <w:i w:val="false"/>
          <w:color w:val="000000"/>
          <w:sz w:val="28"/>
        </w:rPr>
        <w:t>
      299. Прерывистые или непрерывные односторонние швы, соединяющие балки набора с листами обшивки или настила, заменяются в районах у опор и у концов балок двусторонними непрерывными швами, имеющими ту же толщину шва, что и прерывистый (односторонний непрерывный) шов на остальной длине балки. Длина участков с двусторонними швами равна не менее суммы длины кницы и высоты профиля, если устанавливается кница, и удвоенной высоты профиля, если кница отсутствует. В местах прохода балок через поддерживающие конструкции (рамные бимсы, карлингсы, флоры) указанное усиление предусматривается с каждой стороны от опоры. При применении односторонних непрерывных швов по противоположной стороне стенки присоединяемой детали на расстояниях, не превышающих 500 мм, предусматриваются приварки длиной не менее 50 мм. Толщина шва приварки такая же, как у одностороннего непрерывного шва.</w:t>
      </w:r>
    </w:p>
    <w:bookmarkEnd w:id="1429"/>
    <w:bookmarkStart w:name="z1428" w:id="1430"/>
    <w:p>
      <w:pPr>
        <w:spacing w:after="0"/>
        <w:ind w:left="0"/>
        <w:jc w:val="both"/>
      </w:pPr>
      <w:r>
        <w:rPr>
          <w:rFonts w:ascii="Times New Roman"/>
          <w:b w:val="false"/>
          <w:i w:val="false"/>
          <w:color w:val="000000"/>
          <w:sz w:val="28"/>
        </w:rPr>
        <w:t>
      300. Шахматные точечные швы и односторонние прерывистые (</w:t>
      </w:r>
      <w:r>
        <w:rPr>
          <w:rFonts w:ascii="Times New Roman"/>
          <w:b w:val="false"/>
          <w:i/>
          <w:color w:val="000000"/>
          <w:sz w:val="28"/>
        </w:rPr>
        <w:t>г)</w:t>
      </w:r>
      <w:r>
        <w:rPr>
          <w:rFonts w:ascii="Times New Roman"/>
          <w:b w:val="false"/>
          <w:i w:val="false"/>
          <w:color w:val="000000"/>
          <w:sz w:val="28"/>
        </w:rPr>
        <w:t xml:space="preserve"> и </w:t>
      </w:r>
      <w:r>
        <w:rPr>
          <w:rFonts w:ascii="Times New Roman"/>
          <w:b w:val="false"/>
          <w:i/>
          <w:color w:val="000000"/>
          <w:sz w:val="28"/>
        </w:rPr>
        <w:t>д)</w:t>
      </w:r>
      <w:r>
        <w:rPr>
          <w:rFonts w:ascii="Times New Roman"/>
          <w:b w:val="false"/>
          <w:i w:val="false"/>
          <w:color w:val="000000"/>
          <w:sz w:val="28"/>
        </w:rPr>
        <w:t xml:space="preserve"> приложения 50 настоящих Правил) допускаются в конструкциях рубок и надстроек второго яруса и ярусов, расположенных выше, на закрытых участках палуб надстроек первого яруса, шахт и выгородок внутри корпуса, не испытывающих вибрационных и ударных нагрузок и не подверженных действию усиленной коррозии, при условии, что максимальная толщина листа или стенки профиля не превышает 7 мм. Диаметр точки </w:t>
      </w:r>
      <w:r>
        <w:rPr>
          <w:rFonts w:ascii="Times New Roman"/>
          <w:b w:val="false"/>
          <w:i/>
          <w:color w:val="000000"/>
          <w:sz w:val="28"/>
        </w:rPr>
        <w:t>d</w:t>
      </w:r>
      <w:r>
        <w:rPr>
          <w:rFonts w:ascii="Times New Roman"/>
          <w:b w:val="false"/>
          <w:i w:val="false"/>
          <w:color w:val="000000"/>
          <w:sz w:val="28"/>
        </w:rPr>
        <w:t>, мм, равен не менее определяемого по формуле:</w:t>
      </w:r>
    </w:p>
    <w:bookmarkEnd w:id="143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1,12</w:t>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шаг точечного шва (приложение 50 настоящих Правил);</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mах</w:t>
      </w:r>
      <w:r>
        <w:rPr>
          <w:rFonts w:ascii="Times New Roman"/>
          <w:b w:val="false"/>
          <w:i w:val="false"/>
          <w:color w:val="000000"/>
          <w:sz w:val="28"/>
        </w:rPr>
        <w:t xml:space="preserve"> = 80 мм;</w:t>
      </w:r>
    </w:p>
    <w:p>
      <w:pPr>
        <w:spacing w:after="0"/>
        <w:ind w:left="0"/>
        <w:jc w:val="both"/>
      </w:pPr>
      <w:r>
        <w:rPr>
          <w:rFonts w:ascii="Times New Roman"/>
          <w:b w:val="false"/>
          <w:i w:val="false"/>
          <w:color w:val="000000"/>
          <w:sz w:val="28"/>
        </w:rPr>
        <w:t xml:space="preserve">
      a, </w:t>
      </w:r>
      <w:r>
        <w:rPr>
          <w:rFonts w:ascii="Times New Roman"/>
          <w:b w:val="false"/>
          <w:i/>
          <w:color w:val="000000"/>
          <w:sz w:val="28"/>
        </w:rPr>
        <w:t>s</w:t>
      </w:r>
      <w:r>
        <w:rPr>
          <w:rFonts w:ascii="Times New Roman"/>
          <w:b w:val="false"/>
          <w:i w:val="false"/>
          <w:color w:val="000000"/>
          <w:sz w:val="28"/>
        </w:rPr>
        <w:t xml:space="preserve"> — пункт 290 настоящих Правил.</w:t>
      </w:r>
    </w:p>
    <w:bookmarkStart w:name="z1429" w:id="1431"/>
    <w:p>
      <w:pPr>
        <w:spacing w:after="0"/>
        <w:ind w:left="0"/>
        <w:jc w:val="both"/>
      </w:pPr>
      <w:r>
        <w:rPr>
          <w:rFonts w:ascii="Times New Roman"/>
          <w:b w:val="false"/>
          <w:i w:val="false"/>
          <w:color w:val="000000"/>
          <w:sz w:val="28"/>
        </w:rPr>
        <w:t xml:space="preserve">
      Если по формуле (82) настоящих Правил, </w:t>
      </w:r>
      <w:r>
        <w:rPr>
          <w:rFonts w:ascii="Times New Roman"/>
          <w:b w:val="false"/>
          <w:i/>
          <w:color w:val="000000"/>
          <w:sz w:val="28"/>
        </w:rPr>
        <w:t>d</w:t>
      </w:r>
      <w:r>
        <w:rPr>
          <w:rFonts w:ascii="Times New Roman"/>
          <w:b w:val="false"/>
          <w:i w:val="false"/>
          <w:color w:val="000000"/>
          <w:sz w:val="28"/>
        </w:rPr>
        <w:t xml:space="preserve"> &gt; 12 мм, следует уменьшить шаг или выбрать другой тип шва.</w:t>
      </w:r>
    </w:p>
    <w:bookmarkEnd w:id="1431"/>
    <w:bookmarkStart w:name="z1430" w:id="1432"/>
    <w:p>
      <w:pPr>
        <w:spacing w:after="0"/>
        <w:ind w:left="0"/>
        <w:jc w:val="both"/>
      </w:pPr>
      <w:r>
        <w:rPr>
          <w:rFonts w:ascii="Times New Roman"/>
          <w:b w:val="false"/>
          <w:i w:val="false"/>
          <w:color w:val="000000"/>
          <w:sz w:val="28"/>
        </w:rPr>
        <w:t>
      301. Гребенчатый набор не допускается:</w:t>
      </w:r>
    </w:p>
    <w:bookmarkEnd w:id="1432"/>
    <w:bookmarkStart w:name="z1431" w:id="1433"/>
    <w:p>
      <w:pPr>
        <w:spacing w:after="0"/>
        <w:ind w:left="0"/>
        <w:jc w:val="both"/>
      </w:pPr>
      <w:r>
        <w:rPr>
          <w:rFonts w:ascii="Times New Roman"/>
          <w:b w:val="false"/>
          <w:i w:val="false"/>
          <w:color w:val="000000"/>
          <w:sz w:val="28"/>
        </w:rPr>
        <w:t>
      1) в районах 0,2</w:t>
      </w:r>
      <w:r>
        <w:rPr>
          <w:rFonts w:ascii="Times New Roman"/>
          <w:b w:val="false"/>
          <w:i/>
          <w:color w:val="000000"/>
          <w:sz w:val="28"/>
        </w:rPr>
        <w:t>L</w:t>
      </w:r>
      <w:r>
        <w:rPr>
          <w:rFonts w:ascii="Times New Roman"/>
          <w:b w:val="false"/>
          <w:i w:val="false"/>
          <w:color w:val="000000"/>
          <w:sz w:val="28"/>
        </w:rPr>
        <w:t>, от носового перпендикуляра — для бортового набора и 0,25</w:t>
      </w:r>
      <w:r>
        <w:rPr>
          <w:rFonts w:ascii="Times New Roman"/>
          <w:b w:val="false"/>
          <w:i/>
          <w:color w:val="000000"/>
          <w:sz w:val="28"/>
        </w:rPr>
        <w:t>L</w:t>
      </w:r>
      <w:r>
        <w:rPr>
          <w:rFonts w:ascii="Times New Roman"/>
          <w:b w:val="false"/>
          <w:i w:val="false"/>
          <w:color w:val="000000"/>
          <w:sz w:val="28"/>
        </w:rPr>
        <w:t>, от носового перпендикуляра — для соединения набора с днищевой обшивкой;</w:t>
      </w:r>
    </w:p>
    <w:bookmarkEnd w:id="1433"/>
    <w:bookmarkStart w:name="z1432" w:id="1434"/>
    <w:p>
      <w:pPr>
        <w:spacing w:after="0"/>
        <w:ind w:left="0"/>
        <w:jc w:val="both"/>
      </w:pPr>
      <w:r>
        <w:rPr>
          <w:rFonts w:ascii="Times New Roman"/>
          <w:b w:val="false"/>
          <w:i w:val="false"/>
          <w:color w:val="000000"/>
          <w:sz w:val="28"/>
        </w:rPr>
        <w:t>
      2) в районе интенсивной вибрации (пункт 267 настоящих Правил);</w:t>
      </w:r>
    </w:p>
    <w:bookmarkEnd w:id="1434"/>
    <w:bookmarkStart w:name="z1433" w:id="1435"/>
    <w:p>
      <w:pPr>
        <w:spacing w:after="0"/>
        <w:ind w:left="0"/>
        <w:jc w:val="both"/>
      </w:pPr>
      <w:r>
        <w:rPr>
          <w:rFonts w:ascii="Times New Roman"/>
          <w:b w:val="false"/>
          <w:i w:val="false"/>
          <w:color w:val="000000"/>
          <w:sz w:val="28"/>
        </w:rPr>
        <w:t>
      3) в районе I ледового пояса — для бортового и днищевого набора, а также для бортового набора судов, швартующихся в море к судам или морским сооружениям;</w:t>
      </w:r>
    </w:p>
    <w:bookmarkEnd w:id="1435"/>
    <w:bookmarkStart w:name="z1434" w:id="1436"/>
    <w:p>
      <w:pPr>
        <w:spacing w:after="0"/>
        <w:ind w:left="0"/>
        <w:jc w:val="both"/>
      </w:pPr>
      <w:r>
        <w:rPr>
          <w:rFonts w:ascii="Times New Roman"/>
          <w:b w:val="false"/>
          <w:i w:val="false"/>
          <w:color w:val="000000"/>
          <w:sz w:val="28"/>
        </w:rPr>
        <w:t>
      4) в соединении вертикального киля с горизонтальным;</w:t>
      </w:r>
    </w:p>
    <w:bookmarkEnd w:id="1436"/>
    <w:bookmarkStart w:name="z1435" w:id="1437"/>
    <w:p>
      <w:pPr>
        <w:spacing w:after="0"/>
        <w:ind w:left="0"/>
        <w:jc w:val="both"/>
      </w:pPr>
      <w:r>
        <w:rPr>
          <w:rFonts w:ascii="Times New Roman"/>
          <w:b w:val="false"/>
          <w:i w:val="false"/>
          <w:color w:val="000000"/>
          <w:sz w:val="28"/>
        </w:rPr>
        <w:t>
      5) для балок набора палуб и второго дна — в районах, где возможна перевозка контейнеров, трейлеров и колесной техники, а также для балок набора верхней палубы под рубками в местах окончания последних на расстоянии менее 0,25 высоты рубки от пересечения боковой и концевой переборок.</w:t>
      </w:r>
    </w:p>
    <w:bookmarkEnd w:id="1437"/>
    <w:bookmarkStart w:name="z1436" w:id="1438"/>
    <w:p>
      <w:pPr>
        <w:spacing w:after="0"/>
        <w:ind w:left="0"/>
        <w:jc w:val="both"/>
      </w:pPr>
      <w:r>
        <w:rPr>
          <w:rFonts w:ascii="Times New Roman"/>
          <w:b w:val="false"/>
          <w:i w:val="false"/>
          <w:color w:val="000000"/>
          <w:sz w:val="28"/>
        </w:rPr>
        <w:t xml:space="preserve">
      302. В гребенчатом наборе (приложение 50 настоящих Правил) предусматривается круговая обварка гребенок. Высота выреза в стенке профиля не должна превышать 0,25 высоты профиля или 75 мм, в зависимости от того, что меньше. Вырезы выполняются с закруглением по радиусу не менее 25 мм. Расстояние между кромками соседних вырезов </w:t>
      </w:r>
      <w:r>
        <w:rPr>
          <w:rFonts w:ascii="Times New Roman"/>
          <w:b w:val="false"/>
          <w:i/>
          <w:color w:val="000000"/>
          <w:sz w:val="28"/>
        </w:rPr>
        <w:t>l</w:t>
      </w:r>
      <w:r>
        <w:rPr>
          <w:rFonts w:ascii="Times New Roman"/>
          <w:b w:val="false"/>
          <w:i w:val="false"/>
          <w:color w:val="000000"/>
          <w:sz w:val="28"/>
        </w:rPr>
        <w:t xml:space="preserve"> (длина гребенки) равна не менее длины выреза. Вырезы в шпангоутах, бимсах, стойках и подобных конструкциях отстоят от концов балок, а также от мест пересечения с поддерживающими конструкциями (палубными, бортовыми стрингерами, карлингсами) не менее чем на две высоты профиля, а от концов книц — не менее чем на 0,5 высоты профиля.</w:t>
      </w:r>
    </w:p>
    <w:bookmarkEnd w:id="1438"/>
    <w:bookmarkStart w:name="z1437" w:id="1439"/>
    <w:p>
      <w:pPr>
        <w:spacing w:after="0"/>
        <w:ind w:left="0"/>
        <w:jc w:val="both"/>
      </w:pPr>
      <w:r>
        <w:rPr>
          <w:rFonts w:ascii="Times New Roman"/>
          <w:b w:val="false"/>
          <w:i w:val="false"/>
          <w:color w:val="000000"/>
          <w:sz w:val="28"/>
        </w:rPr>
        <w:t>
      303. В наборе цистерн (включая цистерны двойного дна и танки наливных судов) должны быть предусмотрены отверстия, обеспечивающие свободный доступ воздуха к воздушным трубам и перетекание жидкости.</w:t>
      </w:r>
    </w:p>
    <w:bookmarkEnd w:id="1439"/>
    <w:bookmarkStart w:name="z1438" w:id="1440"/>
    <w:p>
      <w:pPr>
        <w:spacing w:after="0"/>
        <w:ind w:left="0"/>
        <w:jc w:val="both"/>
      </w:pPr>
      <w:r>
        <w:rPr>
          <w:rFonts w:ascii="Times New Roman"/>
          <w:b w:val="false"/>
          <w:i w:val="false"/>
          <w:color w:val="000000"/>
          <w:sz w:val="28"/>
        </w:rPr>
        <w:t>
      Вырезы в продольных балках рекомендуется выполнять эллиптической формы с отстоянием кромки выреза от настила палубы или днищевой обшивки не менее, чем на 20 мм.</w:t>
      </w:r>
    </w:p>
    <w:bookmarkEnd w:id="1440"/>
    <w:bookmarkStart w:name="z1439" w:id="1441"/>
    <w:p>
      <w:pPr>
        <w:spacing w:after="0"/>
        <w:ind w:left="0"/>
        <w:jc w:val="both"/>
      </w:pPr>
      <w:r>
        <w:rPr>
          <w:rFonts w:ascii="Times New Roman"/>
          <w:b w:val="false"/>
          <w:i w:val="false"/>
          <w:color w:val="000000"/>
          <w:sz w:val="28"/>
        </w:rPr>
        <w:t>
      В районах вырезов для водо- и воздухопротоков, для проходов профилей и сварных швов швы должны выполняться двусторонними по обе стороны выреза на длине 50 мм.</w:t>
      </w:r>
    </w:p>
    <w:bookmarkEnd w:id="1441"/>
    <w:bookmarkStart w:name="z1440" w:id="1442"/>
    <w:p>
      <w:pPr>
        <w:spacing w:after="0"/>
        <w:ind w:left="0"/>
        <w:jc w:val="both"/>
      </w:pPr>
      <w:r>
        <w:rPr>
          <w:rFonts w:ascii="Times New Roman"/>
          <w:b w:val="false"/>
          <w:i w:val="false"/>
          <w:color w:val="000000"/>
          <w:sz w:val="28"/>
        </w:rPr>
        <w:t xml:space="preserve">
      304. Если приварка элементов конструкции таврового соединения угловым швом невозможна, допускается сварка пробочным швом (рисунок а) приложения 54 настоящих Правил) или прорезным швом в шип (рисунок </w:t>
      </w:r>
      <w:r>
        <w:rPr>
          <w:rFonts w:ascii="Times New Roman"/>
          <w:b w:val="false"/>
          <w:i/>
          <w:color w:val="000000"/>
          <w:sz w:val="28"/>
        </w:rPr>
        <w:t>б)</w:t>
      </w:r>
      <w:r>
        <w:rPr>
          <w:rFonts w:ascii="Times New Roman"/>
          <w:b w:val="false"/>
          <w:i w:val="false"/>
          <w:color w:val="000000"/>
          <w:sz w:val="28"/>
        </w:rPr>
        <w:t xml:space="preserve"> приложения 54 настоящих Правил).</w:t>
      </w:r>
    </w:p>
    <w:bookmarkEnd w:id="1442"/>
    <w:bookmarkStart w:name="z1441" w:id="1443"/>
    <w:p>
      <w:pPr>
        <w:spacing w:after="0"/>
        <w:ind w:left="0"/>
        <w:jc w:val="both"/>
      </w:pPr>
      <w:r>
        <w:rPr>
          <w:rFonts w:ascii="Times New Roman"/>
          <w:b w:val="false"/>
          <w:i w:val="false"/>
          <w:color w:val="000000"/>
          <w:sz w:val="28"/>
        </w:rPr>
        <w:t xml:space="preserve">
      Длина </w:t>
      </w:r>
      <w:r>
        <w:rPr>
          <w:rFonts w:ascii="Times New Roman"/>
          <w:b w:val="false"/>
          <w:i/>
          <w:color w:val="000000"/>
          <w:sz w:val="28"/>
        </w:rPr>
        <w:t>l</w:t>
      </w:r>
      <w:r>
        <w:rPr>
          <w:rFonts w:ascii="Times New Roman"/>
          <w:b w:val="false"/>
          <w:i w:val="false"/>
          <w:color w:val="000000"/>
          <w:sz w:val="28"/>
        </w:rPr>
        <w:t xml:space="preserve"> и шаг </w:t>
      </w:r>
      <w:r>
        <w:rPr>
          <w:rFonts w:ascii="Times New Roman"/>
          <w:b w:val="false"/>
          <w:i/>
          <w:color w:val="000000"/>
          <w:sz w:val="28"/>
        </w:rPr>
        <w:t>t</w:t>
      </w:r>
      <w:r>
        <w:rPr>
          <w:rFonts w:ascii="Times New Roman"/>
          <w:b w:val="false"/>
          <w:i w:val="false"/>
          <w:color w:val="000000"/>
          <w:sz w:val="28"/>
        </w:rPr>
        <w:t xml:space="preserve"> назначаются так же, как для сварки гребенчатым швом в соответствии с пунктом 302 настоящих Правил.</w:t>
      </w:r>
    </w:p>
    <w:bookmarkEnd w:id="1443"/>
    <w:bookmarkStart w:name="z1442" w:id="1444"/>
    <w:p>
      <w:pPr>
        <w:spacing w:after="0"/>
        <w:ind w:left="0"/>
        <w:jc w:val="both"/>
      </w:pPr>
      <w:r>
        <w:rPr>
          <w:rFonts w:ascii="Times New Roman"/>
          <w:b w:val="false"/>
          <w:i w:val="false"/>
          <w:color w:val="000000"/>
          <w:sz w:val="28"/>
        </w:rPr>
        <w:t xml:space="preserve">
      Сварка пробочным швом выполняется с круглыми или удлиненными прорезями, толщина шва составляет 0,5 толщины листа. Концы прорезей при сварке пробочным швом должны иметь, как правило, форму полукруга. Удлиненные прорези следует располагать длиной в направлении присоединяемых деталей (рисунок </w:t>
      </w:r>
      <w:r>
        <w:rPr>
          <w:rFonts w:ascii="Times New Roman"/>
          <w:b w:val="false"/>
          <w:i/>
          <w:color w:val="000000"/>
          <w:sz w:val="28"/>
        </w:rPr>
        <w:t>б)</w:t>
      </w:r>
      <w:r>
        <w:rPr>
          <w:rFonts w:ascii="Times New Roman"/>
          <w:b w:val="false"/>
          <w:i w:val="false"/>
          <w:color w:val="000000"/>
          <w:sz w:val="28"/>
        </w:rPr>
        <w:t xml:space="preserve"> приложения 54 настоящих Правил).</w:t>
      </w:r>
    </w:p>
    <w:bookmarkEnd w:id="1444"/>
    <w:bookmarkStart w:name="z1443" w:id="1445"/>
    <w:p>
      <w:pPr>
        <w:spacing w:after="0"/>
        <w:ind w:left="0"/>
        <w:jc w:val="both"/>
      </w:pPr>
      <w:r>
        <w:rPr>
          <w:rFonts w:ascii="Times New Roman"/>
          <w:b w:val="false"/>
          <w:i w:val="false"/>
          <w:color w:val="000000"/>
          <w:sz w:val="28"/>
        </w:rPr>
        <w:t>
      Сплошная заварка прорези не допускается.</w:t>
      </w:r>
    </w:p>
    <w:bookmarkEnd w:id="1445"/>
    <w:bookmarkStart w:name="z1444" w:id="1446"/>
    <w:p>
      <w:pPr>
        <w:spacing w:after="0"/>
        <w:ind w:left="0"/>
        <w:jc w:val="both"/>
      </w:pPr>
      <w:r>
        <w:rPr>
          <w:rFonts w:ascii="Times New Roman"/>
          <w:b w:val="false"/>
          <w:i w:val="false"/>
          <w:color w:val="000000"/>
          <w:sz w:val="28"/>
        </w:rPr>
        <w:t>
      В районах интенсивной вибрации (пункт 267 настоящих Правил) вместо сварки прорезным или пробочным швом рекомендуется применять сварные швы с полным проваром на остающейся подкладке (</w:t>
      </w:r>
      <w:r>
        <w:rPr>
          <w:rFonts w:ascii="Times New Roman"/>
          <w:b w:val="false"/>
          <w:i/>
          <w:color w:val="000000"/>
          <w:sz w:val="28"/>
        </w:rPr>
        <w:t>в</w:t>
      </w:r>
      <w:r>
        <w:rPr>
          <w:rFonts w:ascii="Times New Roman"/>
          <w:b w:val="false"/>
          <w:i w:val="false"/>
          <w:color w:val="000000"/>
          <w:sz w:val="28"/>
        </w:rPr>
        <w:t>) приложения 54 настоящих Правил).</w:t>
      </w:r>
    </w:p>
    <w:bookmarkEnd w:id="1446"/>
    <w:bookmarkStart w:name="z1445" w:id="1447"/>
    <w:p>
      <w:pPr>
        <w:spacing w:after="0"/>
        <w:ind w:left="0"/>
        <w:jc w:val="both"/>
      </w:pPr>
      <w:r>
        <w:rPr>
          <w:rFonts w:ascii="Times New Roman"/>
          <w:b w:val="false"/>
          <w:i w:val="false"/>
          <w:color w:val="000000"/>
          <w:sz w:val="28"/>
        </w:rPr>
        <w:t>
      305. Для конструкций из алюминиевых сплавов в соединениях, указанных в приложении 49 настоящих Правил, не допускается:</w:t>
      </w:r>
    </w:p>
    <w:bookmarkEnd w:id="1447"/>
    <w:bookmarkStart w:name="z1446" w:id="1448"/>
    <w:p>
      <w:pPr>
        <w:spacing w:after="0"/>
        <w:ind w:left="0"/>
        <w:jc w:val="both"/>
      </w:pPr>
      <w:r>
        <w:rPr>
          <w:rFonts w:ascii="Times New Roman"/>
          <w:b w:val="false"/>
          <w:i w:val="false"/>
          <w:color w:val="000000"/>
          <w:sz w:val="28"/>
        </w:rPr>
        <w:t>
      1) применять прерывистые швы (за исключением гребенчатого набора);</w:t>
      </w:r>
    </w:p>
    <w:bookmarkEnd w:id="1448"/>
    <w:bookmarkStart w:name="z1447" w:id="1449"/>
    <w:p>
      <w:pPr>
        <w:spacing w:after="0"/>
        <w:ind w:left="0"/>
        <w:jc w:val="both"/>
      </w:pPr>
      <w:r>
        <w:rPr>
          <w:rFonts w:ascii="Times New Roman"/>
          <w:b w:val="false"/>
          <w:i w:val="false"/>
          <w:color w:val="000000"/>
          <w:sz w:val="28"/>
        </w:rPr>
        <w:t>
      2) применять гребенчатый набор в районах интенсивной вибрации (пункт 267 настоящих Правил).</w:t>
      </w:r>
    </w:p>
    <w:bookmarkEnd w:id="1449"/>
    <w:bookmarkStart w:name="z1448" w:id="1450"/>
    <w:p>
      <w:pPr>
        <w:spacing w:after="0"/>
        <w:ind w:left="0"/>
        <w:jc w:val="both"/>
      </w:pPr>
      <w:r>
        <w:rPr>
          <w:rFonts w:ascii="Times New Roman"/>
          <w:b w:val="false"/>
          <w:i w:val="false"/>
          <w:color w:val="000000"/>
          <w:sz w:val="28"/>
        </w:rPr>
        <w:t>
      Толщина швов равна не менее 3мм, но не более 0,5</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пункт 290 настоящих Правил).</w:t>
      </w:r>
    </w:p>
    <w:bookmarkEnd w:id="1450"/>
    <w:bookmarkStart w:name="z1449" w:id="1451"/>
    <w:p>
      <w:pPr>
        <w:spacing w:after="0"/>
        <w:ind w:left="0"/>
        <w:jc w:val="left"/>
      </w:pPr>
      <w:r>
        <w:rPr>
          <w:rFonts w:ascii="Times New Roman"/>
          <w:b/>
          <w:i w:val="false"/>
          <w:color w:val="000000"/>
        </w:rPr>
        <w:t xml:space="preserve"> Подраздел 2. Общие требования к конструкциям корпуса</w:t>
      </w:r>
    </w:p>
    <w:bookmarkEnd w:id="1451"/>
    <w:p>
      <w:pPr>
        <w:spacing w:after="0"/>
        <w:ind w:left="0"/>
        <w:jc w:val="both"/>
      </w:pPr>
      <w:r>
        <w:rPr>
          <w:rFonts w:ascii="Times New Roman"/>
          <w:b w:val="false"/>
          <w:i w:val="false"/>
          <w:color w:val="ff0000"/>
          <w:sz w:val="28"/>
        </w:rPr>
        <w:t xml:space="preserve">
      Сноска. Заголовок подраздела 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0" w:id="1452"/>
    <w:p>
      <w:pPr>
        <w:spacing w:after="0"/>
        <w:ind w:left="0"/>
        <w:jc w:val="left"/>
      </w:pPr>
      <w:r>
        <w:rPr>
          <w:rFonts w:ascii="Times New Roman"/>
          <w:b/>
          <w:i w:val="false"/>
          <w:color w:val="000000"/>
        </w:rPr>
        <w:t xml:space="preserve"> Глава 15. Общие требования</w:t>
      </w:r>
    </w:p>
    <w:bookmarkEnd w:id="1452"/>
    <w:p>
      <w:pPr>
        <w:spacing w:after="0"/>
        <w:ind w:left="0"/>
        <w:jc w:val="both"/>
      </w:pPr>
      <w:r>
        <w:rPr>
          <w:rFonts w:ascii="Times New Roman"/>
          <w:b w:val="false"/>
          <w:i w:val="false"/>
          <w:color w:val="ff0000"/>
          <w:sz w:val="28"/>
        </w:rPr>
        <w:t xml:space="preserve">
      Сноска. Заголовок главы 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1" w:id="1453"/>
    <w:p>
      <w:pPr>
        <w:spacing w:after="0"/>
        <w:ind w:left="0"/>
        <w:jc w:val="both"/>
      </w:pPr>
      <w:r>
        <w:rPr>
          <w:rFonts w:ascii="Times New Roman"/>
          <w:b w:val="false"/>
          <w:i w:val="false"/>
          <w:color w:val="000000"/>
          <w:sz w:val="28"/>
        </w:rPr>
        <w:t>
      306. Требования настоящего раздела распространяются на морские суда всех типов и назначений с учетом дополнительных требований подраздела 3 раздела 4 настоящих Правил.</w:t>
      </w:r>
    </w:p>
    <w:bookmarkEnd w:id="1453"/>
    <w:bookmarkStart w:name="z1452" w:id="1454"/>
    <w:p>
      <w:pPr>
        <w:spacing w:after="0"/>
        <w:ind w:left="0"/>
        <w:jc w:val="both"/>
      </w:pPr>
      <w:r>
        <w:rPr>
          <w:rFonts w:ascii="Times New Roman"/>
          <w:b w:val="false"/>
          <w:i w:val="false"/>
          <w:color w:val="000000"/>
          <w:sz w:val="28"/>
        </w:rPr>
        <w:t>
      В настоящем подразделе приводятся требования к конструкциям корпуса: обшивке, настилам, балкам основного и рамного набора, пиллерсам, штевням, фундаментам.</w:t>
      </w:r>
    </w:p>
    <w:bookmarkEnd w:id="1454"/>
    <w:bookmarkStart w:name="z1453" w:id="1455"/>
    <w:p>
      <w:pPr>
        <w:spacing w:after="0"/>
        <w:ind w:left="0"/>
        <w:jc w:val="both"/>
      </w:pPr>
      <w:r>
        <w:rPr>
          <w:rFonts w:ascii="Times New Roman"/>
          <w:b w:val="false"/>
          <w:i w:val="false"/>
          <w:color w:val="000000"/>
          <w:sz w:val="28"/>
        </w:rPr>
        <w:t>
      307. В настоящем разделе приняты следующие обозначения:</w:t>
      </w:r>
    </w:p>
    <w:bookmarkEnd w:id="1455"/>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длина отсека, м, измеряемая следующим образом:</w:t>
      </w:r>
    </w:p>
    <w:p>
      <w:pPr>
        <w:spacing w:after="0"/>
        <w:ind w:left="0"/>
        <w:jc w:val="both"/>
      </w:pPr>
      <w:r>
        <w:rPr>
          <w:rFonts w:ascii="Times New Roman"/>
          <w:b w:val="false"/>
          <w:i w:val="false"/>
          <w:color w:val="000000"/>
          <w:sz w:val="28"/>
        </w:rPr>
        <w:t>
      при плоских переборках — как расстояние между обшивкой переборок;</w:t>
      </w:r>
    </w:p>
    <w:p>
      <w:pPr>
        <w:spacing w:after="0"/>
        <w:ind w:left="0"/>
        <w:jc w:val="both"/>
      </w:pPr>
      <w:r>
        <w:rPr>
          <w:rFonts w:ascii="Times New Roman"/>
          <w:b w:val="false"/>
          <w:i w:val="false"/>
          <w:color w:val="000000"/>
          <w:sz w:val="28"/>
        </w:rPr>
        <w:t>
      при гофрированных переборках — как расстояние между осями гофров или осями трапецеидальных коробок на уровне второго дна;</w:t>
      </w:r>
    </w:p>
    <w:p>
      <w:pPr>
        <w:spacing w:after="0"/>
        <w:ind w:left="0"/>
        <w:jc w:val="both"/>
      </w:pPr>
      <w:r>
        <w:rPr>
          <w:rFonts w:ascii="Times New Roman"/>
          <w:b w:val="false"/>
          <w:i w:val="false"/>
          <w:color w:val="000000"/>
          <w:sz w:val="28"/>
        </w:rPr>
        <w:t>
      при коффердамных переборках — как расстояние между средними осями коффердамов;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 ширина отсека, м, измеряемая посередине его длины следующим образом:</w:t>
      </w:r>
    </w:p>
    <w:p>
      <w:pPr>
        <w:spacing w:after="0"/>
        <w:ind w:left="0"/>
        <w:jc w:val="both"/>
      </w:pPr>
      <w:r>
        <w:rPr>
          <w:rFonts w:ascii="Times New Roman"/>
          <w:b w:val="false"/>
          <w:i w:val="false"/>
          <w:color w:val="000000"/>
          <w:sz w:val="28"/>
        </w:rPr>
        <w:t>
      при одинарном борте — как расстояние между бортами или как расстояние между бортом и продольной переборкой на уровне верхней кромки флора;</w:t>
      </w:r>
    </w:p>
    <w:p>
      <w:pPr>
        <w:spacing w:after="0"/>
        <w:ind w:left="0"/>
        <w:jc w:val="both"/>
      </w:pPr>
      <w:r>
        <w:rPr>
          <w:rFonts w:ascii="Times New Roman"/>
          <w:b w:val="false"/>
          <w:i w:val="false"/>
          <w:color w:val="000000"/>
          <w:sz w:val="28"/>
        </w:rPr>
        <w:t>
      при двойном борте — как расстояние между внутренними бортами или между внутренним бортом и продольной переборкой;</w:t>
      </w:r>
    </w:p>
    <w:p>
      <w:pPr>
        <w:spacing w:after="0"/>
        <w:ind w:left="0"/>
        <w:jc w:val="both"/>
      </w:pPr>
      <w:r>
        <w:rPr>
          <w:rFonts w:ascii="Times New Roman"/>
          <w:b w:val="false"/>
          <w:i w:val="false"/>
          <w:color w:val="000000"/>
          <w:sz w:val="28"/>
        </w:rPr>
        <w:t>
      при наличии бортовых скуловых цистерн — как расстояние между скуловыми цистернами на уровне второго дна или между продольной переборкой и скуловой цистерной;</w:t>
      </w:r>
    </w:p>
    <w:p>
      <w:pPr>
        <w:spacing w:after="0"/>
        <w:ind w:left="0"/>
        <w:jc w:val="both"/>
      </w:pPr>
      <w:r>
        <w:rPr>
          <w:rFonts w:ascii="Times New Roman"/>
          <w:b w:val="false"/>
          <w:i w:val="false"/>
          <w:color w:val="000000"/>
          <w:sz w:val="28"/>
        </w:rPr>
        <w:t>
      при наличии нескольких продольных переборок — как расстояние между продольными переборками или между ближайшей к борту продольной переборкой и соответствующим бортом;</w:t>
      </w:r>
    </w:p>
    <w:p>
      <w:pPr>
        <w:spacing w:after="0"/>
        <w:ind w:left="0"/>
        <w:jc w:val="both"/>
      </w:pPr>
      <w:r>
        <w:rPr>
          <w:rFonts w:ascii="Times New Roman"/>
          <w:b w:val="false"/>
          <w:i w:val="false"/>
          <w:color w:val="000000"/>
          <w:sz w:val="28"/>
        </w:rPr>
        <w:t>
      l — пролет балок, м, согласно пункту 238 настоящих Правил, если не установлены специальные требования;</w:t>
      </w:r>
    </w:p>
    <w:p>
      <w:pPr>
        <w:spacing w:after="0"/>
        <w:ind w:left="0"/>
        <w:jc w:val="both"/>
      </w:pPr>
      <w:r>
        <w:rPr>
          <w:rFonts w:ascii="Times New Roman"/>
          <w:b w:val="false"/>
          <w:i w:val="false"/>
          <w:color w:val="000000"/>
          <w:sz w:val="28"/>
        </w:rPr>
        <w:t>
      h — высота стенки балок,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 между рассматриваемыми балками основного или рамного набора, продольного или поперечного; </w:t>
      </w:r>
    </w:p>
    <w:p>
      <w:pPr>
        <w:spacing w:after="0"/>
        <w:ind w:left="0"/>
        <w:jc w:val="both"/>
      </w:pPr>
      <w:r>
        <w:rPr>
          <w:rFonts w:ascii="Times New Roman"/>
          <w:b w:val="false"/>
          <w:i w:val="false"/>
          <w:color w:val="000000"/>
          <w:sz w:val="28"/>
        </w:rPr>
        <w:t xml:space="preserve">
      при расположении балок на разных расстояниях под </w:t>
      </w:r>
      <w:r>
        <w:rPr>
          <w:rFonts w:ascii="Times New Roman"/>
          <w:b w:val="false"/>
          <w:i/>
          <w:color w:val="000000"/>
          <w:sz w:val="28"/>
        </w:rPr>
        <w:t>а</w:t>
      </w:r>
      <w:r>
        <w:rPr>
          <w:rFonts w:ascii="Times New Roman"/>
          <w:b w:val="false"/>
          <w:i w:val="false"/>
          <w:color w:val="000000"/>
          <w:sz w:val="28"/>
        </w:rPr>
        <w:t xml:space="preserve"> понимается полусумма отстояний соседних балок от рассматриваемой балки;</w:t>
      </w:r>
    </w:p>
    <w:p>
      <w:pPr>
        <w:spacing w:after="0"/>
        <w:ind w:left="0"/>
        <w:jc w:val="both"/>
      </w:pPr>
      <w:r>
        <w:rPr>
          <w:rFonts w:ascii="Times New Roman"/>
          <w:b w:val="false"/>
          <w:i w:val="false"/>
          <w:color w:val="000000"/>
          <w:sz w:val="28"/>
        </w:rPr>
        <w:t>
      s — толщина листов, мм;</w:t>
      </w:r>
    </w:p>
    <w:p>
      <w:pPr>
        <w:spacing w:after="0"/>
        <w:ind w:left="0"/>
        <w:jc w:val="both"/>
      </w:pPr>
      <w:r>
        <w:rPr>
          <w:rFonts w:ascii="Times New Roman"/>
          <w:b w:val="false"/>
          <w:i w:val="false"/>
          <w:color w:val="000000"/>
          <w:sz w:val="28"/>
        </w:rPr>
        <w:t>
      W — момент сопротивления балок,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I — момент инерции балок,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добавка к толщине листа на износ, мм (пункт 139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коэффициент, учитывающий поправку к моменту сопротивления балок на износ (пункт 141 настоящих Правил).</w:t>
      </w:r>
      <w:r>
        <w:br/>
      </w:r>
      <w:r>
        <w:rPr>
          <w:rFonts w:ascii="Times New Roman"/>
          <w:b w:val="false"/>
          <w:i w:val="false"/>
          <w:color w:val="000000"/>
          <w:sz w:val="28"/>
        </w:rPr>
        <w:t>
</w:t>
      </w:r>
    </w:p>
    <w:bookmarkStart w:name="z1454" w:id="1456"/>
    <w:p>
      <w:pPr>
        <w:spacing w:after="0"/>
        <w:ind w:left="0"/>
        <w:jc w:val="left"/>
      </w:pPr>
      <w:r>
        <w:rPr>
          <w:rFonts w:ascii="Times New Roman"/>
          <w:b/>
          <w:i w:val="false"/>
          <w:color w:val="000000"/>
        </w:rPr>
        <w:t xml:space="preserve"> Глава 16. Наружная обшивка</w:t>
      </w:r>
    </w:p>
    <w:bookmarkEnd w:id="1456"/>
    <w:p>
      <w:pPr>
        <w:spacing w:after="0"/>
        <w:ind w:left="0"/>
        <w:jc w:val="both"/>
      </w:pPr>
      <w:r>
        <w:rPr>
          <w:rFonts w:ascii="Times New Roman"/>
          <w:b w:val="false"/>
          <w:i w:val="false"/>
          <w:color w:val="ff0000"/>
          <w:sz w:val="28"/>
        </w:rPr>
        <w:t xml:space="preserve">
      Сноска. Заголовок главы 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5" w:id="1457"/>
    <w:p>
      <w:pPr>
        <w:spacing w:after="0"/>
        <w:ind w:left="0"/>
        <w:jc w:val="left"/>
      </w:pPr>
      <w:r>
        <w:rPr>
          <w:rFonts w:ascii="Times New Roman"/>
          <w:b/>
          <w:i w:val="false"/>
          <w:color w:val="000000"/>
        </w:rPr>
        <w:t xml:space="preserve"> Параграф 1. Общие положения и обозначения</w:t>
      </w:r>
    </w:p>
    <w:bookmarkEnd w:id="1457"/>
    <w:bookmarkStart w:name="z1456" w:id="1458"/>
    <w:p>
      <w:pPr>
        <w:spacing w:after="0"/>
        <w:ind w:left="0"/>
        <w:jc w:val="both"/>
      </w:pPr>
      <w:r>
        <w:rPr>
          <w:rFonts w:ascii="Times New Roman"/>
          <w:b w:val="false"/>
          <w:i w:val="false"/>
          <w:color w:val="000000"/>
          <w:sz w:val="28"/>
        </w:rPr>
        <w:t>
      308. В настоящей главе приводятся требования к толщине наружной обшивки днища и борта, толщине и ширине ширстрека, горизонтального киля, шпунтовых поясьев, а также к минимальной строительной толщине этих связей и оформлению вырезов в них. Требования относятся ко всем районам по длине судна и высоте борта, если специально не оговорены дополнительные требования к толщине обшивки.</w:t>
      </w:r>
    </w:p>
    <w:bookmarkEnd w:id="1458"/>
    <w:bookmarkStart w:name="z1457" w:id="1459"/>
    <w:p>
      <w:pPr>
        <w:spacing w:after="0"/>
        <w:ind w:left="0"/>
        <w:jc w:val="both"/>
      </w:pPr>
      <w:r>
        <w:rPr>
          <w:rFonts w:ascii="Times New Roman"/>
          <w:b w:val="false"/>
          <w:i w:val="false"/>
          <w:color w:val="000000"/>
          <w:sz w:val="28"/>
        </w:rPr>
        <w:t>
      309. В настоящей главе применяются следующие обозначения:</w:t>
      </w:r>
    </w:p>
    <w:bookmarkEnd w:id="1459"/>
    <w:p>
      <w:pPr>
        <w:spacing w:after="0"/>
        <w:ind w:left="0"/>
        <w:jc w:val="both"/>
      </w:pPr>
      <w:r>
        <w:rPr>
          <w:rFonts w:ascii="Times New Roman"/>
          <w:b w:val="false"/>
          <w:i w:val="false"/>
          <w:color w:val="000000"/>
          <w:sz w:val="28"/>
        </w:rPr>
        <w:t>
      p</w:t>
      </w:r>
      <w:r>
        <w:rPr>
          <w:rFonts w:ascii="Times New Roman"/>
          <w:b w:val="false"/>
          <w:i w:val="false"/>
          <w:color w:val="000000"/>
          <w:vertAlign w:val="subscript"/>
        </w:rPr>
        <w:t>st</w:t>
      </w:r>
      <w:r>
        <w:rPr>
          <w:rFonts w:ascii="Times New Roman"/>
          <w:b w:val="false"/>
          <w:i w:val="false"/>
          <w:color w:val="000000"/>
          <w:sz w:val="28"/>
        </w:rPr>
        <w:t xml:space="preserve"> — расчетное статическое давление согласно пункту 170 настоящих Правил;</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расчетное давление, обусловленное перемещением корпуса судна относительно профиля волны согласно пункту 171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расчетное давление от перевозимого жидкого груза, балласта или топлива согласно пункту 176 настоящих Правил.</w:t>
      </w:r>
    </w:p>
    <w:bookmarkStart w:name="z1458" w:id="1460"/>
    <w:p>
      <w:pPr>
        <w:spacing w:after="0"/>
        <w:ind w:left="0"/>
        <w:jc w:val="left"/>
      </w:pPr>
      <w:r>
        <w:rPr>
          <w:rFonts w:ascii="Times New Roman"/>
          <w:b/>
          <w:i w:val="false"/>
          <w:color w:val="000000"/>
        </w:rPr>
        <w:t xml:space="preserve"> Параграф 2. Конструкция</w:t>
      </w:r>
    </w:p>
    <w:bookmarkEnd w:id="1460"/>
    <w:bookmarkStart w:name="z1459" w:id="1461"/>
    <w:p>
      <w:pPr>
        <w:spacing w:after="0"/>
        <w:ind w:left="0"/>
        <w:jc w:val="both"/>
      </w:pPr>
      <w:r>
        <w:rPr>
          <w:rFonts w:ascii="Times New Roman"/>
          <w:b w:val="false"/>
          <w:i w:val="false"/>
          <w:color w:val="000000"/>
          <w:sz w:val="28"/>
        </w:rPr>
        <w:t>
      310. Не допускаются вырезы в верхней кромке ширстрека, а также в наружной обшивке борта, если отстояние верхней точки выреза от расчетной палубы менее половины высоты выреза. Иные случаи являются предметом специального рассмотрения Регистром судоходства.</w:t>
      </w:r>
    </w:p>
    <w:bookmarkEnd w:id="1461"/>
    <w:bookmarkStart w:name="z1460" w:id="1462"/>
    <w:p>
      <w:pPr>
        <w:spacing w:after="0"/>
        <w:ind w:left="0"/>
        <w:jc w:val="both"/>
      </w:pPr>
      <w:r>
        <w:rPr>
          <w:rFonts w:ascii="Times New Roman"/>
          <w:b w:val="false"/>
          <w:i w:val="false"/>
          <w:color w:val="000000"/>
          <w:sz w:val="28"/>
        </w:rPr>
        <w:t>
      Прямоугольные вырезы в наружной обшивке борта должны иметь углы с радиусом скругления не менее 0,1 высоты или ширины выреза в зависимости от того, что меньше, но не менее 50 мм.</w:t>
      </w:r>
    </w:p>
    <w:bookmarkEnd w:id="1462"/>
    <w:bookmarkStart w:name="z1461" w:id="1463"/>
    <w:p>
      <w:pPr>
        <w:spacing w:after="0"/>
        <w:ind w:left="0"/>
        <w:jc w:val="both"/>
      </w:pPr>
      <w:r>
        <w:rPr>
          <w:rFonts w:ascii="Times New Roman"/>
          <w:b w:val="false"/>
          <w:i w:val="false"/>
          <w:color w:val="000000"/>
          <w:sz w:val="28"/>
        </w:rPr>
        <w:t>
      Во всех случаях, когда при наличии вырезов ожидают значительного ослабления общей или местной прочности корпуса, в районе вырезов быть предусматривают подкрепления.</w:t>
      </w:r>
    </w:p>
    <w:bookmarkEnd w:id="1463"/>
    <w:bookmarkStart w:name="z1462" w:id="1464"/>
    <w:p>
      <w:pPr>
        <w:spacing w:after="0"/>
        <w:ind w:left="0"/>
        <w:jc w:val="both"/>
      </w:pPr>
      <w:r>
        <w:rPr>
          <w:rFonts w:ascii="Times New Roman"/>
          <w:b w:val="false"/>
          <w:i w:val="false"/>
          <w:color w:val="000000"/>
          <w:sz w:val="28"/>
        </w:rPr>
        <w:t>
      Подкрепления в форме утолщенных вварных листов обязательны для вырезов, расположенных в пределах района, отстоящего от миделя на 0,35</w:t>
      </w:r>
      <w:r>
        <w:rPr>
          <w:rFonts w:ascii="Times New Roman"/>
          <w:b w:val="false"/>
          <w:i/>
          <w:color w:val="000000"/>
          <w:sz w:val="28"/>
        </w:rPr>
        <w:t>L</w:t>
      </w:r>
      <w:r>
        <w:rPr>
          <w:rFonts w:ascii="Times New Roman"/>
          <w:b w:val="false"/>
          <w:i w:val="false"/>
          <w:color w:val="000000"/>
          <w:sz w:val="28"/>
        </w:rPr>
        <w:t>, у которых отстояние верхней точки выреза от расчетной палубы менее высоты выреза. Минимальная ширина утолщенного вварного листа, измеренная от верхней или нижней точки выреза, составляет 0,25 высоты или длины выреза в зависимости от того, что меньше; общая ширина, измеренная вне выреза принимается больше минимальной не менее чем на 0,25 высоты или длины выреза в зависимости от того, что меньше. Минимальное отстояние конца утолщенного вварного листа от ближайшей к нему точки выреза, измеренное вдоль судна, составляет 0,35 высоты или длины выреза в зависимости от того, что меньше. Углы утолщенного вварного листа скругляются. Толщина утолщенного вварного листа равна не менее:</w:t>
      </w:r>
    </w:p>
    <w:bookmarkEnd w:id="1464"/>
    <w:p>
      <w:pPr>
        <w:spacing w:after="0"/>
        <w:ind w:left="0"/>
        <w:jc w:val="both"/>
      </w:pPr>
      <w:r>
        <w:rPr>
          <w:rFonts w:ascii="Times New Roman"/>
          <w:b w:val="false"/>
          <w:i w:val="false"/>
          <w:color w:val="000000"/>
          <w:sz w:val="28"/>
        </w:rPr>
        <w:t>
      1,5</w:t>
      </w:r>
      <w:r>
        <w:rPr>
          <w:rFonts w:ascii="Times New Roman"/>
          <w:b w:val="false"/>
          <w:i/>
          <w:color w:val="000000"/>
          <w:sz w:val="28"/>
        </w:rPr>
        <w:t>s</w:t>
      </w:r>
      <w:r>
        <w:rPr>
          <w:rFonts w:ascii="Times New Roman"/>
          <w:b w:val="false"/>
          <w:i w:val="false"/>
          <w:color w:val="000000"/>
          <w:sz w:val="28"/>
        </w:rPr>
        <w:t xml:space="preserve"> при </w:t>
      </w:r>
      <w:r>
        <w:rPr>
          <w:rFonts w:ascii="Times New Roman"/>
          <w:b w:val="false"/>
          <w:i/>
          <w:color w:val="000000"/>
          <w:sz w:val="28"/>
        </w:rPr>
        <w:t>s</w:t>
      </w:r>
      <w:r>
        <w:rPr>
          <w:rFonts w:ascii="Times New Roman"/>
          <w:b w:val="false"/>
          <w:i w:val="false"/>
          <w:color w:val="000000"/>
          <w:sz w:val="28"/>
        </w:rPr>
        <w:t xml:space="preserve"> &lt; 20 мм;</w:t>
      </w:r>
    </w:p>
    <w:p>
      <w:pPr>
        <w:spacing w:after="0"/>
        <w:ind w:left="0"/>
        <w:jc w:val="both"/>
      </w:pPr>
      <w:r>
        <w:rPr>
          <w:rFonts w:ascii="Times New Roman"/>
          <w:b w:val="false"/>
          <w:i w:val="false"/>
          <w:color w:val="000000"/>
          <w:sz w:val="28"/>
        </w:rPr>
        <w:t xml:space="preserve">
      30 мм при 20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24 мм;</w:t>
      </w:r>
    </w:p>
    <w:p>
      <w:pPr>
        <w:spacing w:after="0"/>
        <w:ind w:left="0"/>
        <w:jc w:val="both"/>
      </w:pPr>
      <w:r>
        <w:rPr>
          <w:rFonts w:ascii="Times New Roman"/>
          <w:b w:val="false"/>
          <w:i w:val="false"/>
          <w:color w:val="000000"/>
          <w:sz w:val="28"/>
        </w:rPr>
        <w:t>
      l,25</w:t>
      </w:r>
      <w:r>
        <w:rPr>
          <w:rFonts w:ascii="Times New Roman"/>
          <w:b w:val="false"/>
          <w:i/>
          <w:color w:val="000000"/>
          <w:sz w:val="28"/>
        </w:rPr>
        <w:t>s</w:t>
      </w:r>
      <w:r>
        <w:rPr>
          <w:rFonts w:ascii="Times New Roman"/>
          <w:b w:val="false"/>
          <w:i w:val="false"/>
          <w:color w:val="000000"/>
          <w:sz w:val="28"/>
        </w:rPr>
        <w:t xml:space="preserve"> при </w:t>
      </w:r>
      <w:r>
        <w:rPr>
          <w:rFonts w:ascii="Times New Roman"/>
          <w:b w:val="false"/>
          <w:i/>
          <w:color w:val="000000"/>
          <w:sz w:val="28"/>
        </w:rPr>
        <w:t>s</w:t>
      </w:r>
      <w:r>
        <w:rPr>
          <w:rFonts w:ascii="Times New Roman"/>
          <w:b w:val="false"/>
          <w:i w:val="false"/>
          <w:color w:val="000000"/>
          <w:sz w:val="28"/>
        </w:rPr>
        <w:t xml:space="preserve"> &gt; 24 мм,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толщина наружной обшивки борта в районе выреза.</w:t>
      </w:r>
    </w:p>
    <w:bookmarkStart w:name="z1463" w:id="1465"/>
    <w:p>
      <w:pPr>
        <w:spacing w:after="0"/>
        <w:ind w:left="0"/>
        <w:jc w:val="both"/>
      </w:pPr>
      <w:r>
        <w:rPr>
          <w:rFonts w:ascii="Times New Roman"/>
          <w:b w:val="false"/>
          <w:i w:val="false"/>
          <w:color w:val="000000"/>
          <w:sz w:val="28"/>
        </w:rPr>
        <w:t>
      Допускается установка утолщенного вварного листа по всему периметру выреза.</w:t>
      </w:r>
    </w:p>
    <w:bookmarkEnd w:id="1465"/>
    <w:bookmarkStart w:name="z1464" w:id="1466"/>
    <w:p>
      <w:pPr>
        <w:spacing w:after="0"/>
        <w:ind w:left="0"/>
        <w:jc w:val="both"/>
      </w:pPr>
      <w:r>
        <w:rPr>
          <w:rFonts w:ascii="Times New Roman"/>
          <w:b w:val="false"/>
          <w:i w:val="false"/>
          <w:color w:val="000000"/>
          <w:sz w:val="28"/>
        </w:rPr>
        <w:t xml:space="preserve">
      311. Допускается применение закругленного перехода от ширстрека к палубному стрингеру. При этом радиус закругления ширстрека равен не менее 15 его толщин. Вырезы в пределах закругления не допускаются. </w:t>
      </w:r>
    </w:p>
    <w:bookmarkEnd w:id="1466"/>
    <w:bookmarkStart w:name="z1465" w:id="1467"/>
    <w:p>
      <w:pPr>
        <w:spacing w:after="0"/>
        <w:ind w:left="0"/>
        <w:jc w:val="left"/>
      </w:pPr>
      <w:r>
        <w:rPr>
          <w:rFonts w:ascii="Times New Roman"/>
          <w:b/>
          <w:i w:val="false"/>
          <w:color w:val="000000"/>
        </w:rPr>
        <w:t xml:space="preserve"> Параграф 3. Нагрузки на наружную обшивку, </w:t>
      </w:r>
      <w:r>
        <w:br/>
      </w:r>
      <w:r>
        <w:rPr>
          <w:rFonts w:ascii="Times New Roman"/>
          <w:b/>
          <w:i w:val="false"/>
          <w:color w:val="000000"/>
        </w:rPr>
        <w:t>размеры листовых элементов наружной обшивки</w:t>
      </w:r>
    </w:p>
    <w:bookmarkEnd w:id="1467"/>
    <w:bookmarkStart w:name="z1466" w:id="1468"/>
    <w:p>
      <w:pPr>
        <w:spacing w:after="0"/>
        <w:ind w:left="0"/>
        <w:jc w:val="both"/>
      </w:pPr>
      <w:r>
        <w:rPr>
          <w:rFonts w:ascii="Times New Roman"/>
          <w:b w:val="false"/>
          <w:i w:val="false"/>
          <w:color w:val="000000"/>
          <w:sz w:val="28"/>
        </w:rPr>
        <w:t xml:space="preserve">
      312. Внешнее давление </w:t>
      </w:r>
      <w:r>
        <w:rPr>
          <w:rFonts w:ascii="Times New Roman"/>
          <w:b w:val="false"/>
          <w:i/>
          <w:color w:val="000000"/>
          <w:sz w:val="28"/>
        </w:rPr>
        <w:t>р</w:t>
      </w:r>
      <w:r>
        <w:rPr>
          <w:rFonts w:ascii="Times New Roman"/>
          <w:b w:val="false"/>
          <w:i w:val="false"/>
          <w:color w:val="000000"/>
          <w:sz w:val="28"/>
        </w:rPr>
        <w:t>, кПа, на наружную обшивку днища и борта определяется по формуле:</w:t>
      </w:r>
    </w:p>
    <w:bookmarkEnd w:id="14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(83)</w:t>
      </w:r>
    </w:p>
    <w:bookmarkStart w:name="z1467" w:id="1469"/>
    <w:p>
      <w:pPr>
        <w:spacing w:after="0"/>
        <w:ind w:left="0"/>
        <w:jc w:val="both"/>
      </w:pPr>
      <w:r>
        <w:rPr>
          <w:rFonts w:ascii="Times New Roman"/>
          <w:b w:val="false"/>
          <w:i w:val="false"/>
          <w:color w:val="000000"/>
          <w:sz w:val="28"/>
        </w:rPr>
        <w:t xml:space="preserve">
      Для судов с двойным дном и двойными бортами, предназначенными для размещения жидкого балласта, а также для наливных судов без двойного дна и без двойного борта дополнительно определяется давление изнутри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по формулам пункта 176 настоящих Правил. Если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&gt;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при определении давления изнутри необходимо учесть противодавление, определяемое по формуле: </w:t>
      </w:r>
    </w:p>
    <w:bookmarkEnd w:id="14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(84)</w:t>
      </w:r>
    </w:p>
    <w:bookmarkStart w:name="z1468" w:id="1470"/>
    <w:p>
      <w:pPr>
        <w:spacing w:after="0"/>
        <w:ind w:left="0"/>
        <w:jc w:val="both"/>
      </w:pPr>
      <w:r>
        <w:rPr>
          <w:rFonts w:ascii="Times New Roman"/>
          <w:b w:val="false"/>
          <w:i w:val="false"/>
          <w:color w:val="000000"/>
          <w:sz w:val="28"/>
        </w:rPr>
        <w:t xml:space="preserve">
      При этом для судов с двойным дном и двойными бортами </w:t>
      </w:r>
      <w:r>
        <w:rPr>
          <w:rFonts w:ascii="Times New Roman"/>
          <w:b w:val="false"/>
          <w:i/>
          <w:color w:val="000000"/>
          <w:sz w:val="28"/>
        </w:rPr>
        <w:t>p</w:t>
      </w:r>
      <w:r>
        <w:rPr>
          <w:rFonts w:ascii="Times New Roman"/>
          <w:b w:val="false"/>
          <w:i w:val="false"/>
          <w:color w:val="000000"/>
          <w:vertAlign w:val="subscript"/>
        </w:rPr>
        <w:t>st</w:t>
      </w:r>
      <w:r>
        <w:rPr>
          <w:rFonts w:ascii="Times New Roman"/>
          <w:b w:val="false"/>
          <w:i w:val="false"/>
          <w:color w:val="000000"/>
          <w:sz w:val="28"/>
        </w:rPr>
        <w:t xml:space="preserve"> и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определяются согласно параграфу 2 главы 10 настоящих Правил для судна в балласте.</w:t>
      </w:r>
    </w:p>
    <w:bookmarkEnd w:id="1470"/>
    <w:bookmarkStart w:name="z1469" w:id="1471"/>
    <w:p>
      <w:pPr>
        <w:spacing w:after="0"/>
        <w:ind w:left="0"/>
        <w:jc w:val="both"/>
      </w:pPr>
      <w:r>
        <w:rPr>
          <w:rFonts w:ascii="Times New Roman"/>
          <w:b w:val="false"/>
          <w:i w:val="false"/>
          <w:color w:val="000000"/>
          <w:sz w:val="28"/>
        </w:rPr>
        <w:t>
      313. В качестве расчетного принимается внешнее давление или давление изнутри в зависимости от того, что больше.</w:t>
      </w:r>
    </w:p>
    <w:bookmarkEnd w:id="1471"/>
    <w:bookmarkStart w:name="z1470" w:id="1472"/>
    <w:p>
      <w:pPr>
        <w:spacing w:after="0"/>
        <w:ind w:left="0"/>
        <w:jc w:val="both"/>
      </w:pPr>
      <w:r>
        <w:rPr>
          <w:rFonts w:ascii="Times New Roman"/>
          <w:b w:val="false"/>
          <w:i w:val="false"/>
          <w:color w:val="000000"/>
          <w:sz w:val="28"/>
        </w:rPr>
        <w:t xml:space="preserve">
      Давление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выше летней грузовой ватерлинии равна не менее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кПа, определяемого по формуле: </w:t>
      </w:r>
    </w:p>
    <w:bookmarkEnd w:id="14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min</w:t>
      </w:r>
      <w:r>
        <w:rPr>
          <w:rFonts w:ascii="Times New Roman"/>
          <w:b w:val="false"/>
          <w:i w:val="false"/>
          <w:color w:val="000000"/>
          <w:sz w:val="28"/>
        </w:rPr>
        <w:t xml:space="preserve"> = 0,03</w:t>
      </w:r>
      <w:r>
        <w:rPr>
          <w:rFonts w:ascii="Times New Roman"/>
          <w:b w:val="false"/>
          <w:i/>
          <w:color w:val="000000"/>
          <w:sz w:val="28"/>
        </w:rPr>
        <w:t>L</w:t>
      </w:r>
      <w:r>
        <w:rPr>
          <w:rFonts w:ascii="Times New Roman"/>
          <w:b w:val="false"/>
          <w:i w:val="false"/>
          <w:color w:val="000000"/>
          <w:sz w:val="28"/>
        </w:rPr>
        <w:t xml:space="preserve"> + 5.                     (85)</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250 м принимается </w:t>
      </w:r>
      <w:r>
        <w:rPr>
          <w:rFonts w:ascii="Times New Roman"/>
          <w:b w:val="false"/>
          <w:i/>
          <w:color w:val="000000"/>
          <w:sz w:val="28"/>
        </w:rPr>
        <w:t>L</w:t>
      </w:r>
      <w:r>
        <w:rPr>
          <w:rFonts w:ascii="Times New Roman"/>
          <w:b w:val="false"/>
          <w:i w:val="false"/>
          <w:color w:val="000000"/>
          <w:sz w:val="28"/>
        </w:rPr>
        <w:t xml:space="preserve"> = 250 м.</w:t>
      </w:r>
    </w:p>
    <w:bookmarkStart w:name="z1471" w:id="1473"/>
    <w:p>
      <w:pPr>
        <w:spacing w:after="0"/>
        <w:ind w:left="0"/>
        <w:jc w:val="both"/>
      </w:pPr>
      <w:r>
        <w:rPr>
          <w:rFonts w:ascii="Times New Roman"/>
          <w:b w:val="false"/>
          <w:i w:val="false"/>
          <w:color w:val="000000"/>
          <w:sz w:val="28"/>
        </w:rPr>
        <w:t xml:space="preserve">
      Для судов ограниченного района плавания возможно уменьшение величины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умножением на коэффициент </w:t>
      </w:r>
    </w:p>
    <w:bookmarkEnd w:id="1473"/>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определяемый по приложению 8 настоящих Правил.</w:t>
      </w:r>
      <w:r>
        <w:br/>
      </w:r>
      <w:r>
        <w:rPr>
          <w:rFonts w:ascii="Times New Roman"/>
          <w:b w:val="false"/>
          <w:i w:val="false"/>
          <w:color w:val="000000"/>
          <w:sz w:val="28"/>
        </w:rPr>
        <w:t>
</w:t>
      </w:r>
    </w:p>
    <w:bookmarkStart w:name="z1472" w:id="1474"/>
    <w:p>
      <w:pPr>
        <w:spacing w:after="0"/>
        <w:ind w:left="0"/>
        <w:jc w:val="both"/>
      </w:pPr>
      <w:r>
        <w:rPr>
          <w:rFonts w:ascii="Times New Roman"/>
          <w:b w:val="false"/>
          <w:i w:val="false"/>
          <w:color w:val="000000"/>
          <w:sz w:val="28"/>
        </w:rPr>
        <w:t>
      314. Толщина наружной обшивки днища и борта равна не менее определяемой по формуле (57) настоящих Правил. При этом:</w:t>
      </w:r>
    </w:p>
    <w:bookmarkEnd w:id="147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для днищевой обшивки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 в средней части судна длиной 65 м и более при поперечной системе набора;</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в средней части судна длиной 12м при поперечной системе набора.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w:t>
      </w:r>
      <w:r>
        <w:rPr>
          <w:rFonts w:ascii="Times New Roman"/>
          <w:b w:val="false"/>
          <w:i/>
          <w:color w:val="000000"/>
          <w:sz w:val="28"/>
        </w:rPr>
        <w:t>L</w:t>
      </w:r>
      <w:r>
        <w:rPr>
          <w:rFonts w:ascii="Times New Roman"/>
          <w:b w:val="false"/>
          <w:i w:val="false"/>
          <w:color w:val="000000"/>
          <w:sz w:val="28"/>
        </w:rPr>
        <w:t xml:space="preserve"> &lt; 65м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линейной интерполяцией, принимая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0,45 при </w:t>
      </w:r>
      <w:r>
        <w:rPr>
          <w:rFonts w:ascii="Times New Roman"/>
          <w:b w:val="false"/>
          <w:i/>
          <w:color w:val="000000"/>
          <w:sz w:val="28"/>
        </w:rPr>
        <w:t>L</w:t>
      </w:r>
      <w:r>
        <w:rPr>
          <w:rFonts w:ascii="Times New Roman"/>
          <w:b w:val="false"/>
          <w:i w:val="false"/>
          <w:color w:val="000000"/>
          <w:sz w:val="28"/>
        </w:rPr>
        <w:t xml:space="preserve"> = 65м.</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в средней части судна при продольной системе набора;</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bookmarkStart w:name="z1473" w:id="1475"/>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bookmarkEnd w:id="1475"/>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линейной интерполяцией;</w:t>
      </w:r>
      <w:r>
        <w:br/>
      </w:r>
      <w:r>
        <w:rPr>
          <w:rFonts w:ascii="Times New Roman"/>
          <w:b w:val="false"/>
          <w:i w:val="false"/>
          <w:color w:val="000000"/>
          <w:sz w:val="28"/>
        </w:rPr>
        <w:t>
</w:t>
      </w:r>
    </w:p>
    <w:bookmarkStart w:name="z1474" w:id="1476"/>
    <w:p>
      <w:pPr>
        <w:spacing w:after="0"/>
        <w:ind w:left="0"/>
        <w:jc w:val="both"/>
      </w:pPr>
      <w:r>
        <w:rPr>
          <w:rFonts w:ascii="Times New Roman"/>
          <w:b w:val="false"/>
          <w:i w:val="false"/>
          <w:color w:val="000000"/>
          <w:sz w:val="28"/>
        </w:rPr>
        <w:t>
      для бортовой обшивки в районе (0,4 — 0,5)</w:t>
      </w:r>
      <w:r>
        <w:rPr>
          <w:rFonts w:ascii="Times New Roman"/>
          <w:b w:val="false"/>
          <w:i/>
          <w:color w:val="000000"/>
          <w:sz w:val="28"/>
        </w:rPr>
        <w:t>D</w:t>
      </w:r>
      <w:r>
        <w:rPr>
          <w:rFonts w:ascii="Times New Roman"/>
          <w:b w:val="false"/>
          <w:i w:val="false"/>
          <w:color w:val="000000"/>
          <w:sz w:val="28"/>
        </w:rPr>
        <w:t xml:space="preserve"> от основной плоскости</w:t>
      </w:r>
    </w:p>
    <w:bookmarkEnd w:id="1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bookmarkStart w:name="z1475" w:id="1477"/>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bookmarkEnd w:id="1477"/>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линейной интерполяцией.</w:t>
      </w:r>
      <w:r>
        <w:br/>
      </w:r>
      <w:r>
        <w:rPr>
          <w:rFonts w:ascii="Times New Roman"/>
          <w:b w:val="false"/>
          <w:i w:val="false"/>
          <w:color w:val="000000"/>
          <w:sz w:val="28"/>
        </w:rPr>
        <w:t>
</w:t>
      </w:r>
    </w:p>
    <w:bookmarkStart w:name="z1476" w:id="1478"/>
    <w:p>
      <w:pPr>
        <w:spacing w:after="0"/>
        <w:ind w:left="0"/>
        <w:jc w:val="both"/>
      </w:pPr>
      <w:r>
        <w:rPr>
          <w:rFonts w:ascii="Times New Roman"/>
          <w:b w:val="false"/>
          <w:i w:val="false"/>
          <w:color w:val="000000"/>
          <w:sz w:val="28"/>
        </w:rPr>
        <w:t>
      Для района ниже 0,4</w:t>
      </w:r>
      <w:r>
        <w:rPr>
          <w:rFonts w:ascii="Times New Roman"/>
          <w:b w:val="false"/>
          <w:i/>
          <w:color w:val="000000"/>
          <w:sz w:val="28"/>
        </w:rPr>
        <w:t>D</w:t>
      </w:r>
      <w:r>
        <w:rPr>
          <w:rFonts w:ascii="Times New Roman"/>
          <w:b w:val="false"/>
          <w:i w:val="false"/>
          <w:color w:val="000000"/>
          <w:sz w:val="28"/>
        </w:rPr>
        <w:t xml:space="preserve"> от основной плоскости </w:t>
      </w:r>
    </w:p>
    <w:bookmarkEnd w:id="1478"/>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линейной интерполяцией между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днищевой обшивки и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бортовой обшивки в районе (0,4 — 0,5)</w:t>
      </w:r>
      <w:r>
        <w:rPr>
          <w:rFonts w:ascii="Times New Roman"/>
          <w:b w:val="false"/>
          <w:i/>
          <w:color w:val="000000"/>
          <w:sz w:val="28"/>
        </w:rPr>
        <w:t>D</w:t>
      </w:r>
      <w:r>
        <w:rPr>
          <w:rFonts w:ascii="Times New Roman"/>
          <w:b w:val="false"/>
          <w:i w:val="false"/>
          <w:color w:val="000000"/>
          <w:sz w:val="28"/>
        </w:rPr>
        <w:t xml:space="preserve"> от основной плоскости.</w:t>
      </w:r>
      <w:r>
        <w:br/>
      </w:r>
      <w:r>
        <w:rPr>
          <w:rFonts w:ascii="Times New Roman"/>
          <w:b w:val="false"/>
          <w:i w:val="false"/>
          <w:color w:val="000000"/>
          <w:sz w:val="28"/>
        </w:rPr>
        <w:t>
</w:t>
      </w:r>
    </w:p>
    <w:bookmarkStart w:name="z1477" w:id="1479"/>
    <w:p>
      <w:pPr>
        <w:spacing w:after="0"/>
        <w:ind w:left="0"/>
        <w:jc w:val="both"/>
      </w:pPr>
      <w:r>
        <w:rPr>
          <w:rFonts w:ascii="Times New Roman"/>
          <w:b w:val="false"/>
          <w:i w:val="false"/>
          <w:color w:val="000000"/>
          <w:sz w:val="28"/>
        </w:rPr>
        <w:t>
      Для района выше 0,5</w:t>
      </w:r>
      <w:r>
        <w:rPr>
          <w:rFonts w:ascii="Times New Roman"/>
          <w:b w:val="false"/>
          <w:i/>
          <w:color w:val="000000"/>
          <w:sz w:val="28"/>
        </w:rPr>
        <w:t>D</w:t>
      </w:r>
      <w:r>
        <w:rPr>
          <w:rFonts w:ascii="Times New Roman"/>
          <w:b w:val="false"/>
          <w:i w:val="false"/>
          <w:color w:val="000000"/>
          <w:sz w:val="28"/>
        </w:rPr>
        <w:t xml:space="preserve"> от основной плоскости </w:t>
      </w:r>
    </w:p>
    <w:bookmarkEnd w:id="1479"/>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линейной интерполяцией между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уровне расчетной палубы и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бортовой обшивки в районе (0,4 — 0,5)</w:t>
      </w:r>
      <w:r>
        <w:rPr>
          <w:rFonts w:ascii="Times New Roman"/>
          <w:b w:val="false"/>
          <w:i/>
          <w:color w:val="000000"/>
          <w:sz w:val="28"/>
        </w:rPr>
        <w:t>D</w:t>
      </w:r>
      <w:r>
        <w:rPr>
          <w:rFonts w:ascii="Times New Roman"/>
          <w:b w:val="false"/>
          <w:i w:val="false"/>
          <w:color w:val="000000"/>
          <w:sz w:val="28"/>
        </w:rPr>
        <w:t xml:space="preserve"> от основной плоскости.</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уровне расчетной палубы определяется так же, как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днищевой обшивки, но параметр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заменяется на параметр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В</w:t>
      </w:r>
      <w:r>
        <w:rPr>
          <w:rFonts w:ascii="Times New Roman"/>
          <w:b w:val="false"/>
          <w:i w:val="false"/>
          <w:color w:val="000000"/>
          <w:vertAlign w:val="superscript"/>
        </w:rPr>
        <w:t>Ф</w:t>
      </w:r>
      <w:r>
        <w:rPr>
          <w:rFonts w:ascii="Times New Roman"/>
          <w:b w:val="false"/>
          <w:i w:val="false"/>
          <w:color w:val="000000"/>
          <w:sz w:val="28"/>
        </w:rPr>
        <w:t>/</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color w:val="000000"/>
          <w:sz w:val="28"/>
        </w:rPr>
        <w:t>W; k</w:t>
      </w:r>
      <w:r>
        <w:rPr>
          <w:rFonts w:ascii="Times New Roman"/>
          <w:b w:val="false"/>
          <w:i w:val="false"/>
          <w:color w:val="000000"/>
          <w:vertAlign w:val="subscript"/>
        </w:rPr>
        <w:t xml:space="preserve">D </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vertAlign w:val="superscript"/>
        </w:rPr>
        <w:t>Ф</w:t>
      </w:r>
      <w:r>
        <w:rPr>
          <w:rFonts w:ascii="Times New Roman"/>
          <w:b w:val="false"/>
          <w:i w:val="false"/>
          <w:color w:val="000000"/>
          <w:sz w:val="28"/>
        </w:rPr>
        <w:t>/</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sz w:val="28"/>
        </w:rPr>
        <w:t>,                   (86)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xml:space="preserve"> — требуемый Правилами момент сопротивления корпуса в средней части согласно параграфу 5 главы 11 настоящих Правил при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В</w:t>
      </w:r>
      <w:r>
        <w:rPr>
          <w:rFonts w:ascii="Times New Roman"/>
          <w:b w:val="false"/>
          <w:i w:val="false"/>
          <w:color w:val="000000"/>
          <w:vertAlign w:val="superscript"/>
        </w:rPr>
        <w:t>Ф</w:t>
      </w:r>
      <w:r>
        <w:rPr>
          <w:rFonts w:ascii="Times New Roman"/>
          <w:b w:val="false"/>
          <w:i w:val="false"/>
          <w:color w:val="000000"/>
          <w:sz w:val="28"/>
        </w:rPr>
        <w:t xml:space="preserve"> и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vertAlign w:val="superscript"/>
        </w:rPr>
        <w:t>Ф</w:t>
      </w:r>
      <w:r>
        <w:rPr>
          <w:rFonts w:ascii="Times New Roman"/>
          <w:b w:val="false"/>
          <w:i w:val="false"/>
          <w:color w:val="000000"/>
          <w:sz w:val="28"/>
        </w:rPr>
        <w:t xml:space="preserve"> — фактические моменты сопротивления корпуса для днища и палубы в средней части судна согласно параграфу 7 главы 11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использования механических свойств стали, определяемый согласно пункту 133 настоящих Правил, той связи корпуса, для которой определяется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78" w:id="1480"/>
    <w:p>
      <w:pPr>
        <w:spacing w:after="0"/>
        <w:ind w:left="0"/>
        <w:jc w:val="both"/>
      </w:pPr>
      <w:r>
        <w:rPr>
          <w:rFonts w:ascii="Times New Roman"/>
          <w:b w:val="false"/>
          <w:i w:val="false"/>
          <w:color w:val="000000"/>
          <w:sz w:val="28"/>
        </w:rPr>
        <w:t>
      315. Устойчивость днищевой обшивки, надскулового пояса, ширстрека и подширстречного пояса в средней части судна длиной более 65 м проверяется согласно параграфу 4 главы 13 настоящих Правил.</w:t>
      </w:r>
    </w:p>
    <w:bookmarkEnd w:id="1480"/>
    <w:bookmarkStart w:name="z1479" w:id="1481"/>
    <w:p>
      <w:pPr>
        <w:spacing w:after="0"/>
        <w:ind w:left="0"/>
        <w:jc w:val="both"/>
      </w:pPr>
      <w:r>
        <w:rPr>
          <w:rFonts w:ascii="Times New Roman"/>
          <w:b w:val="false"/>
          <w:i w:val="false"/>
          <w:color w:val="000000"/>
          <w:sz w:val="28"/>
        </w:rPr>
        <w:t>
      316. Толщина скулового пояса принимается равной толщине обшивки днища или борта в зависимости от того, что больше.</w:t>
      </w:r>
    </w:p>
    <w:bookmarkEnd w:id="1481"/>
    <w:bookmarkStart w:name="z1480" w:id="1482"/>
    <w:p>
      <w:pPr>
        <w:spacing w:after="0"/>
        <w:ind w:left="0"/>
        <w:jc w:val="both"/>
      </w:pPr>
      <w:r>
        <w:rPr>
          <w:rFonts w:ascii="Times New Roman"/>
          <w:b w:val="false"/>
          <w:i w:val="false"/>
          <w:color w:val="000000"/>
          <w:sz w:val="28"/>
        </w:rPr>
        <w:t xml:space="preserve">
      317. Ширина горизонтального киля </w:t>
      </w:r>
      <w:r>
        <w:rPr>
          <w:rFonts w:ascii="Times New Roman"/>
          <w:b w:val="false"/>
          <w:i/>
          <w:color w:val="000000"/>
          <w:sz w:val="28"/>
        </w:rPr>
        <w:t>b</w:t>
      </w:r>
      <w:r>
        <w:rPr>
          <w:rFonts w:ascii="Times New Roman"/>
          <w:b w:val="false"/>
          <w:i w:val="false"/>
          <w:color w:val="000000"/>
          <w:vertAlign w:val="subscript"/>
        </w:rPr>
        <w:t>к</w:t>
      </w:r>
      <w:r>
        <w:rPr>
          <w:rFonts w:ascii="Times New Roman"/>
          <w:b w:val="false"/>
          <w:i w:val="false"/>
          <w:color w:val="000000"/>
          <w:sz w:val="28"/>
        </w:rPr>
        <w:t>, мм, равна не менее определяемой по формуле:</w:t>
      </w:r>
    </w:p>
    <w:bookmarkEnd w:id="14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r>
        <w:rPr>
          <w:rFonts w:ascii="Times New Roman"/>
          <w:b w:val="false"/>
          <w:i w:val="false"/>
          <w:color w:val="000000"/>
          <w:vertAlign w:val="subscript"/>
        </w:rPr>
        <w:t>к</w:t>
      </w:r>
      <w:r>
        <w:rPr>
          <w:rFonts w:ascii="Times New Roman"/>
          <w:b w:val="false"/>
          <w:i w:val="false"/>
          <w:color w:val="000000"/>
          <w:sz w:val="28"/>
        </w:rPr>
        <w:t xml:space="preserve"> = 800 + 5</w:t>
      </w:r>
      <w:r>
        <w:rPr>
          <w:rFonts w:ascii="Times New Roman"/>
          <w:b w:val="false"/>
          <w:i/>
          <w:color w:val="000000"/>
          <w:sz w:val="28"/>
        </w:rPr>
        <w:t>L</w:t>
      </w:r>
      <w:r>
        <w:rPr>
          <w:rFonts w:ascii="Times New Roman"/>
          <w:b w:val="false"/>
          <w:i w:val="false"/>
          <w:color w:val="000000"/>
          <w:sz w:val="28"/>
        </w:rPr>
        <w:t>,                        (87)</w:t>
      </w:r>
    </w:p>
    <w:p>
      <w:pPr>
        <w:spacing w:after="0"/>
        <w:ind w:left="0"/>
        <w:jc w:val="both"/>
      </w:pPr>
      <w:r>
        <w:rPr>
          <w:rFonts w:ascii="Times New Roman"/>
          <w:b w:val="false"/>
          <w:i w:val="false"/>
          <w:color w:val="000000"/>
          <w:sz w:val="28"/>
        </w:rPr>
        <w:t xml:space="preserve">
      при этом </w:t>
      </w:r>
      <w:r>
        <w:rPr>
          <w:rFonts w:ascii="Times New Roman"/>
          <w:b w:val="false"/>
          <w:i/>
          <w:color w:val="000000"/>
          <w:sz w:val="28"/>
        </w:rPr>
        <w:t>b</w:t>
      </w:r>
      <w:r>
        <w:rPr>
          <w:rFonts w:ascii="Times New Roman"/>
          <w:b w:val="false"/>
          <w:i w:val="false"/>
          <w:color w:val="000000"/>
          <w:vertAlign w:val="subscript"/>
        </w:rPr>
        <w:t>к</w:t>
      </w:r>
      <w:r>
        <w:rPr>
          <w:rFonts w:ascii="Times New Roman"/>
          <w:b w:val="false"/>
          <w:i w:val="false"/>
          <w:color w:val="000000"/>
          <w:sz w:val="28"/>
        </w:rPr>
        <w:t xml:space="preserve"> не превышает 2000 мм.</w:t>
      </w:r>
    </w:p>
    <w:bookmarkStart w:name="z1481" w:id="1483"/>
    <w:p>
      <w:pPr>
        <w:spacing w:after="0"/>
        <w:ind w:left="0"/>
        <w:jc w:val="both"/>
      </w:pPr>
      <w:r>
        <w:rPr>
          <w:rFonts w:ascii="Times New Roman"/>
          <w:b w:val="false"/>
          <w:i w:val="false"/>
          <w:color w:val="000000"/>
          <w:sz w:val="28"/>
        </w:rPr>
        <w:t>
      Толщина горизонтального киля на 2мм больше толщины обшивки днища.</w:t>
      </w:r>
    </w:p>
    <w:bookmarkEnd w:id="1483"/>
    <w:bookmarkStart w:name="z1482" w:id="1484"/>
    <w:p>
      <w:pPr>
        <w:spacing w:after="0"/>
        <w:ind w:left="0"/>
        <w:jc w:val="both"/>
      </w:pPr>
      <w:r>
        <w:rPr>
          <w:rFonts w:ascii="Times New Roman"/>
          <w:b w:val="false"/>
          <w:i w:val="false"/>
          <w:color w:val="000000"/>
          <w:sz w:val="28"/>
        </w:rPr>
        <w:t xml:space="preserve">
      318. Ширина ширстрека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мм, равна не менее определяемой по формуле (87) настоящих Правил, при этом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не следует принимать более 2000 мм.</w:t>
      </w:r>
    </w:p>
    <w:bookmarkEnd w:id="1484"/>
    <w:bookmarkStart w:name="z1483" w:id="1485"/>
    <w:p>
      <w:pPr>
        <w:spacing w:after="0"/>
        <w:ind w:left="0"/>
        <w:jc w:val="both"/>
      </w:pPr>
      <w:r>
        <w:rPr>
          <w:rFonts w:ascii="Times New Roman"/>
          <w:b w:val="false"/>
          <w:i w:val="false"/>
          <w:color w:val="000000"/>
          <w:sz w:val="28"/>
        </w:rPr>
        <w:t>
      Толщина ширстрека в средней части судна равна не менее толщины прилегающих листов обшивки борта или настила палубы (палубного стрингера), в зависимости от того, что больше. В оконечностях ширстрек имеет толщину, равную толщине бортовой обшивки в данном районе.</w:t>
      </w:r>
    </w:p>
    <w:bookmarkEnd w:id="1485"/>
    <w:bookmarkStart w:name="z1484" w:id="1486"/>
    <w:p>
      <w:pPr>
        <w:spacing w:after="0"/>
        <w:ind w:left="0"/>
        <w:jc w:val="both"/>
      </w:pPr>
      <w:r>
        <w:rPr>
          <w:rFonts w:ascii="Times New Roman"/>
          <w:b w:val="false"/>
          <w:i w:val="false"/>
          <w:color w:val="000000"/>
          <w:sz w:val="28"/>
        </w:rPr>
        <w:t xml:space="preserve">
      319. Листы наружной обшивки, примыкающие к ахтерштевню, а также листы, расположенные в местах крепления лап кронштейнов гребных валов, имеет толщину </w:t>
      </w:r>
      <w:r>
        <w:rPr>
          <w:rFonts w:ascii="Times New Roman"/>
          <w:b w:val="false"/>
          <w:i/>
          <w:color w:val="000000"/>
          <w:sz w:val="28"/>
        </w:rPr>
        <w:t>s</w:t>
      </w:r>
      <w:r>
        <w:rPr>
          <w:rFonts w:ascii="Times New Roman"/>
          <w:b w:val="false"/>
          <w:i w:val="false"/>
          <w:color w:val="000000"/>
          <w:sz w:val="28"/>
        </w:rPr>
        <w:t>, мм, не менее определяемой по формулам:</w:t>
      </w:r>
    </w:p>
    <w:bookmarkEnd w:id="14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sz w:val="28"/>
        </w:rPr>
        <w:t xml:space="preserve"> = 0,l</w:t>
      </w:r>
      <w:r>
        <w:rPr>
          <w:rFonts w:ascii="Times New Roman"/>
          <w:b w:val="false"/>
          <w:i/>
          <w:color w:val="000000"/>
          <w:sz w:val="28"/>
        </w:rPr>
        <w:t>L</w:t>
      </w:r>
      <w:r>
        <w:rPr>
          <w:rFonts w:ascii="Times New Roman"/>
          <w:b w:val="false"/>
          <w:i w:val="false"/>
          <w:color w:val="000000"/>
          <w:sz w:val="28"/>
        </w:rPr>
        <w:t xml:space="preserve"> + 4,4 при </w:t>
      </w:r>
      <w:r>
        <w:rPr>
          <w:rFonts w:ascii="Times New Roman"/>
          <w:b w:val="false"/>
          <w:i/>
          <w:color w:val="000000"/>
          <w:sz w:val="28"/>
        </w:rPr>
        <w:t xml:space="preserve">L </w:t>
      </w:r>
      <w:r>
        <w:rPr>
          <w:rFonts w:ascii="Times New Roman"/>
          <w:b w:val="false"/>
          <w:i w:val="false"/>
          <w:color w:val="000000"/>
          <w:sz w:val="28"/>
        </w:rPr>
        <w:t>&lt; 80 м;                 (88)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sz w:val="28"/>
        </w:rPr>
        <w:t xml:space="preserve"> = 0,055</w:t>
      </w:r>
      <w:r>
        <w:rPr>
          <w:rFonts w:ascii="Times New Roman"/>
          <w:b w:val="false"/>
          <w:i/>
          <w:color w:val="000000"/>
          <w:sz w:val="28"/>
        </w:rPr>
        <w:t>L</w:t>
      </w:r>
      <w:r>
        <w:rPr>
          <w:rFonts w:ascii="Times New Roman"/>
          <w:b w:val="false"/>
          <w:i w:val="false"/>
          <w:color w:val="000000"/>
          <w:sz w:val="28"/>
        </w:rPr>
        <w:t xml:space="preserve"> + 8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(89)</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200 м принимается </w:t>
      </w:r>
      <w:r>
        <w:rPr>
          <w:rFonts w:ascii="Times New Roman"/>
          <w:b w:val="false"/>
          <w:i/>
          <w:color w:val="000000"/>
          <w:sz w:val="28"/>
        </w:rPr>
        <w:t>L</w:t>
      </w:r>
      <w:r>
        <w:rPr>
          <w:rFonts w:ascii="Times New Roman"/>
          <w:b w:val="false"/>
          <w:i w:val="false"/>
          <w:color w:val="000000"/>
          <w:sz w:val="28"/>
        </w:rPr>
        <w:t xml:space="preserve"> = 200 м.</w:t>
      </w:r>
    </w:p>
    <w:bookmarkStart w:name="z1485" w:id="1487"/>
    <w:p>
      <w:pPr>
        <w:spacing w:after="0"/>
        <w:ind w:left="0"/>
        <w:jc w:val="both"/>
      </w:pPr>
      <w:r>
        <w:rPr>
          <w:rFonts w:ascii="Times New Roman"/>
          <w:b w:val="false"/>
          <w:i w:val="false"/>
          <w:color w:val="000000"/>
          <w:sz w:val="28"/>
        </w:rPr>
        <w:t>
      Указанная толщина обеспечивается после выполнения горячей гибки, если таковая применялась.</w:t>
      </w:r>
    </w:p>
    <w:bookmarkEnd w:id="1487"/>
    <w:bookmarkStart w:name="z1486" w:id="1488"/>
    <w:p>
      <w:pPr>
        <w:spacing w:after="0"/>
        <w:ind w:left="0"/>
        <w:jc w:val="both"/>
      </w:pPr>
      <w:r>
        <w:rPr>
          <w:rFonts w:ascii="Times New Roman"/>
          <w:b w:val="false"/>
          <w:i w:val="false"/>
          <w:color w:val="000000"/>
          <w:sz w:val="28"/>
        </w:rPr>
        <w:t>
      320. Толщина шпунтовых поясьев наружной обшивки, непосредственно примыкающих к брусковому килю, равна не менее толщины, требуемой для горизонтального киля, а их ширина — не менее половины ширины, требуемой для горизонтального киля согласно пункту 317 настоящих Правил.</w:t>
      </w:r>
    </w:p>
    <w:bookmarkEnd w:id="1488"/>
    <w:bookmarkStart w:name="z1487" w:id="1489"/>
    <w:p>
      <w:pPr>
        <w:spacing w:after="0"/>
        <w:ind w:left="0"/>
        <w:jc w:val="both"/>
      </w:pPr>
      <w:r>
        <w:rPr>
          <w:rFonts w:ascii="Times New Roman"/>
          <w:b w:val="false"/>
          <w:i w:val="false"/>
          <w:color w:val="000000"/>
          <w:sz w:val="28"/>
        </w:rPr>
        <w:t xml:space="preserve">
      321. Во всех случах толщина наружной обшивки </w:t>
      </w:r>
      <w:r>
        <w:rPr>
          <w:rFonts w:ascii="Times New Roman"/>
          <w:b w:val="false"/>
          <w:i/>
          <w:color w:val="000000"/>
          <w:sz w:val="28"/>
        </w:rPr>
        <w:t>s</w:t>
      </w:r>
      <w:r>
        <w:rPr>
          <w:rFonts w:ascii="Times New Roman"/>
          <w:b w:val="false"/>
          <w:i w:val="false"/>
          <w:color w:val="000000"/>
          <w:sz w:val="28"/>
        </w:rPr>
        <w:t xml:space="preserve">, мм, равна не менее определяемой по формулам: </w:t>
      </w:r>
    </w:p>
    <w:bookmarkEnd w:id="14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3,1 + 0,12</w:t>
      </w:r>
      <w:r>
        <w:rPr>
          <w:rFonts w:ascii="Times New Roman"/>
          <w:b w:val="false"/>
          <w:i/>
          <w:color w:val="000000"/>
          <w:sz w:val="28"/>
        </w:rPr>
        <w:t>L</w:t>
      </w:r>
      <w:r>
        <w:rPr>
          <w:rFonts w:ascii="Times New Roman"/>
          <w:b w:val="false"/>
          <w:i w:val="false"/>
          <w:color w:val="000000"/>
          <w:sz w:val="28"/>
        </w:rPr>
        <w:t xml:space="preserve"> при </w:t>
      </w:r>
      <w:r>
        <w:rPr>
          <w:rFonts w:ascii="Times New Roman"/>
          <w:b w:val="false"/>
          <w:i/>
          <w:color w:val="000000"/>
          <w:sz w:val="28"/>
        </w:rPr>
        <w:t xml:space="preserve">L </w:t>
      </w:r>
      <w:r>
        <w:rPr>
          <w:rFonts w:ascii="Times New Roman"/>
          <w:b w:val="false"/>
          <w:i w:val="false"/>
          <w:color w:val="000000"/>
          <w:sz w:val="28"/>
        </w:rPr>
        <w:t>&lt; 30;                 (90)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(5,5 + 0,04</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xml:space="preserve"> 30,             (91)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согласно пункту 133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1488" w:id="1490"/>
    <w:p>
      <w:pPr>
        <w:spacing w:after="0"/>
        <w:ind w:left="0"/>
        <w:jc w:val="both"/>
      </w:pPr>
      <w:r>
        <w:rPr>
          <w:rFonts w:ascii="Times New Roman"/>
          <w:b w:val="false"/>
          <w:i w:val="false"/>
          <w:color w:val="000000"/>
          <w:sz w:val="28"/>
        </w:rPr>
        <w:t>
      Для судов неограниченного района плавания и ограниченного района плавания R1, если принятая шпация меньше нормальной (параграф 3 главы 8 настоящих Правил), допускается уменьшение минимальной толщины наружной обшивки пропорционально отношению принятой шпации к нормальной, но не более чем на 10 %.</w:t>
      </w:r>
    </w:p>
    <w:bookmarkEnd w:id="1490"/>
    <w:bookmarkStart w:name="z1489" w:id="1491"/>
    <w:p>
      <w:pPr>
        <w:spacing w:after="0"/>
        <w:ind w:left="0"/>
        <w:jc w:val="left"/>
      </w:pPr>
      <w:r>
        <w:rPr>
          <w:rFonts w:ascii="Times New Roman"/>
          <w:b/>
          <w:i w:val="false"/>
          <w:color w:val="000000"/>
        </w:rPr>
        <w:t xml:space="preserve"> Параграф 4. Специальные требования</w:t>
      </w:r>
    </w:p>
    <w:bookmarkEnd w:id="1491"/>
    <w:bookmarkStart w:name="z1490" w:id="1492"/>
    <w:p>
      <w:pPr>
        <w:spacing w:after="0"/>
        <w:ind w:left="0"/>
        <w:jc w:val="both"/>
      </w:pPr>
      <w:r>
        <w:rPr>
          <w:rFonts w:ascii="Times New Roman"/>
          <w:b w:val="false"/>
          <w:i w:val="false"/>
          <w:color w:val="000000"/>
          <w:sz w:val="28"/>
        </w:rPr>
        <w:t>
      322. Ширстрек изготавливают из той же стали, что и расчетная палуба. Верхняя кромка ширстрека гладкая, а ее углы скруглены в поперечном направлении.</w:t>
      </w:r>
    </w:p>
    <w:bookmarkEnd w:id="1492"/>
    <w:bookmarkStart w:name="z1491" w:id="1493"/>
    <w:p>
      <w:pPr>
        <w:spacing w:after="0"/>
        <w:ind w:left="0"/>
        <w:jc w:val="both"/>
      </w:pPr>
      <w:r>
        <w:rPr>
          <w:rFonts w:ascii="Times New Roman"/>
          <w:b w:val="false"/>
          <w:i w:val="false"/>
          <w:color w:val="000000"/>
          <w:sz w:val="28"/>
        </w:rPr>
        <w:t>
      323. На судах длиной 65 м и более в районе 0,6</w:t>
      </w:r>
      <w:r>
        <w:rPr>
          <w:rFonts w:ascii="Times New Roman"/>
          <w:b w:val="false"/>
          <w:i/>
          <w:color w:val="000000"/>
          <w:sz w:val="28"/>
        </w:rPr>
        <w:t>L</w:t>
      </w:r>
      <w:r>
        <w:rPr>
          <w:rFonts w:ascii="Times New Roman"/>
          <w:b w:val="false"/>
          <w:i w:val="false"/>
          <w:color w:val="000000"/>
          <w:sz w:val="28"/>
        </w:rPr>
        <w:t>, средней части, как правило, не допускается приварка каких-либо деталей к верхней кромке ширстрека или к скруглению ширстрека.</w:t>
      </w:r>
    </w:p>
    <w:bookmarkEnd w:id="1493"/>
    <w:bookmarkStart w:name="z1492" w:id="1494"/>
    <w:p>
      <w:pPr>
        <w:spacing w:after="0"/>
        <w:ind w:left="0"/>
        <w:jc w:val="both"/>
      </w:pPr>
      <w:r>
        <w:rPr>
          <w:rFonts w:ascii="Times New Roman"/>
          <w:b w:val="false"/>
          <w:i w:val="false"/>
          <w:color w:val="000000"/>
          <w:sz w:val="28"/>
        </w:rPr>
        <w:t>
      324. Крепление скуловых килей к наружной обшивке следует осуществлять через промежуточный элемент — накладную полосу, привариваемую по периметру к наружной обшивке сплошным угловым швом. Соединение скуловых килей с этим элементом относительно слабее, чем соединение самого элемента с наружной обшивкой. Однако оно должно быть достаточно надежным, чтобы сохранить скуловые кили в обычных условиях эксплуатации судна. Промежуточный элемент следует выполнять непрерывным по длине скулового киля. Скуловые кили оканчиваются на подкрепленном участке наружной обшивки при плавном уменьшении их высоты у концов.</w:t>
      </w:r>
    </w:p>
    <w:bookmarkEnd w:id="1494"/>
    <w:bookmarkStart w:name="z1493" w:id="1495"/>
    <w:p>
      <w:pPr>
        <w:spacing w:after="0"/>
        <w:ind w:left="0"/>
        <w:jc w:val="both"/>
      </w:pPr>
      <w:r>
        <w:rPr>
          <w:rFonts w:ascii="Times New Roman"/>
          <w:b w:val="false"/>
          <w:i w:val="false"/>
          <w:color w:val="000000"/>
          <w:sz w:val="28"/>
        </w:rPr>
        <w:t>
      Скуловой киль и промежуточный элемент изготавливают из той же стали, что и наружная обшивка в этом районе.</w:t>
      </w:r>
    </w:p>
    <w:bookmarkEnd w:id="1495"/>
    <w:bookmarkStart w:name="z1494" w:id="1496"/>
    <w:p>
      <w:pPr>
        <w:spacing w:after="0"/>
        <w:ind w:left="0"/>
        <w:jc w:val="both"/>
      </w:pPr>
      <w:r>
        <w:rPr>
          <w:rFonts w:ascii="Times New Roman"/>
          <w:b w:val="false"/>
          <w:i w:val="false"/>
          <w:color w:val="000000"/>
          <w:sz w:val="28"/>
        </w:rPr>
        <w:t>
      325. Толщина стенки приварных патрубков донной и бортовой арматуры принимается не менее толщины наружной обшивки, определенной согласно пункту 321 настоящих Правил, или 12 мм, в зависимости от того, что больше.</w:t>
      </w:r>
    </w:p>
    <w:bookmarkEnd w:id="1496"/>
    <w:bookmarkStart w:name="z1495" w:id="1497"/>
    <w:p>
      <w:pPr>
        <w:spacing w:after="0"/>
        <w:ind w:left="0"/>
        <w:jc w:val="left"/>
      </w:pPr>
      <w:r>
        <w:rPr>
          <w:rFonts w:ascii="Times New Roman"/>
          <w:b/>
          <w:i w:val="false"/>
          <w:color w:val="000000"/>
        </w:rPr>
        <w:t xml:space="preserve"> Глава 17. Одинарное дно</w:t>
      </w:r>
    </w:p>
    <w:bookmarkEnd w:id="1497"/>
    <w:p>
      <w:pPr>
        <w:spacing w:after="0"/>
        <w:ind w:left="0"/>
        <w:jc w:val="both"/>
      </w:pPr>
      <w:r>
        <w:rPr>
          <w:rFonts w:ascii="Times New Roman"/>
          <w:b w:val="false"/>
          <w:i w:val="false"/>
          <w:color w:val="ff0000"/>
          <w:sz w:val="28"/>
        </w:rPr>
        <w:t xml:space="preserve">
      Сноска. Заголовок главы 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6" w:id="1498"/>
    <w:p>
      <w:pPr>
        <w:spacing w:after="0"/>
        <w:ind w:left="0"/>
        <w:jc w:val="left"/>
      </w:pPr>
      <w:r>
        <w:rPr>
          <w:rFonts w:ascii="Times New Roman"/>
          <w:b/>
          <w:i w:val="false"/>
          <w:color w:val="000000"/>
        </w:rPr>
        <w:t xml:space="preserve"> Параграф 1. Общие положения, конструкция</w:t>
      </w:r>
    </w:p>
    <w:bookmarkEnd w:id="1498"/>
    <w:bookmarkStart w:name="z1497" w:id="1499"/>
    <w:p>
      <w:pPr>
        <w:spacing w:after="0"/>
        <w:ind w:left="0"/>
        <w:jc w:val="both"/>
      </w:pPr>
      <w:r>
        <w:rPr>
          <w:rFonts w:ascii="Times New Roman"/>
          <w:b w:val="false"/>
          <w:i w:val="false"/>
          <w:color w:val="000000"/>
          <w:sz w:val="28"/>
        </w:rPr>
        <w:t>
      326. В настоящей главе приводятся требования к днищевому набору на судах без второго дна и в местах, где второе дно отсутствует, а также к флорам, вертикальному килю, днищевым балкам, элементам их соединения — кницам и бракетам.</w:t>
      </w:r>
    </w:p>
    <w:bookmarkEnd w:id="1499"/>
    <w:bookmarkStart w:name="z1498" w:id="1500"/>
    <w:p>
      <w:pPr>
        <w:spacing w:after="0"/>
        <w:ind w:left="0"/>
        <w:jc w:val="both"/>
      </w:pPr>
      <w:r>
        <w:rPr>
          <w:rFonts w:ascii="Times New Roman"/>
          <w:b w:val="false"/>
          <w:i w:val="false"/>
          <w:color w:val="000000"/>
          <w:sz w:val="28"/>
        </w:rPr>
        <w:t>
      327. В настоящей главе применяются следующие обозначения:</w:t>
      </w:r>
    </w:p>
    <w:bookmarkEnd w:id="1500"/>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длина рассматриваемого отсека (трюма, танка, машинного отделения),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ширина рассматриваемого отсека, м;</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 xml:space="preserve"> — ширина судна в рассматриваемом сечении, м, на уровне летней грузовой ватерлинии.</w:t>
      </w:r>
    </w:p>
    <w:bookmarkStart w:name="z1499" w:id="1501"/>
    <w:p>
      <w:pPr>
        <w:spacing w:after="0"/>
        <w:ind w:left="0"/>
        <w:jc w:val="both"/>
      </w:pPr>
      <w:r>
        <w:rPr>
          <w:rFonts w:ascii="Times New Roman"/>
          <w:b w:val="false"/>
          <w:i w:val="false"/>
          <w:color w:val="000000"/>
          <w:sz w:val="28"/>
        </w:rPr>
        <w:t>
      328. Для одинарного дна наливных судов длиной 80 м и более предусматривается продольная система набора.</w:t>
      </w:r>
    </w:p>
    <w:bookmarkEnd w:id="1501"/>
    <w:bookmarkStart w:name="z1500" w:id="1502"/>
    <w:p>
      <w:pPr>
        <w:spacing w:after="0"/>
        <w:ind w:left="0"/>
        <w:jc w:val="both"/>
      </w:pPr>
      <w:r>
        <w:rPr>
          <w:rFonts w:ascii="Times New Roman"/>
          <w:b w:val="false"/>
          <w:i w:val="false"/>
          <w:color w:val="000000"/>
          <w:sz w:val="28"/>
        </w:rPr>
        <w:t>
      329. Необходимо чтобы конструкция вертикального киля соответствовала следующим требованиям:</w:t>
      </w:r>
    </w:p>
    <w:bookmarkEnd w:id="1502"/>
    <w:bookmarkStart w:name="z1501" w:id="1503"/>
    <w:p>
      <w:pPr>
        <w:spacing w:after="0"/>
        <w:ind w:left="0"/>
        <w:jc w:val="both"/>
      </w:pPr>
      <w:r>
        <w:rPr>
          <w:rFonts w:ascii="Times New Roman"/>
          <w:b w:val="false"/>
          <w:i w:val="false"/>
          <w:color w:val="000000"/>
          <w:sz w:val="28"/>
        </w:rPr>
        <w:t>
      1) вертикальный киль располагается вдоль всего судна, насколько это практически возможно. На судах длиной более 65 м рекомендуется применять конструкцию с неразрезным между поперечными переборками вертикальным килем;</w:t>
      </w:r>
    </w:p>
    <w:bookmarkEnd w:id="1503"/>
    <w:bookmarkStart w:name="z1502" w:id="1504"/>
    <w:p>
      <w:pPr>
        <w:spacing w:after="0"/>
        <w:ind w:left="0"/>
        <w:jc w:val="both"/>
      </w:pPr>
      <w:r>
        <w:rPr>
          <w:rFonts w:ascii="Times New Roman"/>
          <w:b w:val="false"/>
          <w:i w:val="false"/>
          <w:color w:val="000000"/>
          <w:sz w:val="28"/>
        </w:rPr>
        <w:t>
      2) при продольной системе набора по обеим сторонам вертикального киля между флорами, а также между флором и поперечной переборкой предусматривают кницы с фланцами. Отстояние книц друг от друга, или от флора, или от поперечной переборки не должно превышать 1,2 м.</w:t>
      </w:r>
    </w:p>
    <w:bookmarkEnd w:id="1504"/>
    <w:bookmarkStart w:name="z1503" w:id="1505"/>
    <w:p>
      <w:pPr>
        <w:spacing w:after="0"/>
        <w:ind w:left="0"/>
        <w:jc w:val="both"/>
      </w:pPr>
      <w:r>
        <w:rPr>
          <w:rFonts w:ascii="Times New Roman"/>
          <w:b w:val="false"/>
          <w:i w:val="false"/>
          <w:color w:val="000000"/>
          <w:sz w:val="28"/>
        </w:rPr>
        <w:t>
      Кницы доводят до свободного пояска вертикального киля, если его стенка подкреплена вертикальными ребрами жесткости, или до второго снизу горизонтального ребра жесткости, если стенка вертикального киля подкреплена горизонтальными ребрами жесткости.</w:t>
      </w:r>
    </w:p>
    <w:bookmarkEnd w:id="1505"/>
    <w:bookmarkStart w:name="z1504" w:id="1506"/>
    <w:p>
      <w:pPr>
        <w:spacing w:after="0"/>
        <w:ind w:left="0"/>
        <w:jc w:val="both"/>
      </w:pPr>
      <w:r>
        <w:rPr>
          <w:rFonts w:ascii="Times New Roman"/>
          <w:b w:val="false"/>
          <w:i w:val="false"/>
          <w:color w:val="000000"/>
          <w:sz w:val="28"/>
        </w:rPr>
        <w:t>
      Кницы у днищевой обшивки доходят до ближайшей продольной днищевой балки и привариваться к ней.</w:t>
      </w:r>
    </w:p>
    <w:bookmarkEnd w:id="1506"/>
    <w:bookmarkStart w:name="z1505" w:id="1507"/>
    <w:p>
      <w:pPr>
        <w:spacing w:after="0"/>
        <w:ind w:left="0"/>
        <w:jc w:val="both"/>
      </w:pPr>
      <w:r>
        <w:rPr>
          <w:rFonts w:ascii="Times New Roman"/>
          <w:b w:val="false"/>
          <w:i w:val="false"/>
          <w:color w:val="000000"/>
          <w:sz w:val="28"/>
        </w:rPr>
        <w:t>
      330. При поперечной системе набора флоры, как правило, устанавливают на каждом шпангоуте.</w:t>
      </w:r>
    </w:p>
    <w:bookmarkEnd w:id="1507"/>
    <w:bookmarkStart w:name="z1506" w:id="1508"/>
    <w:p>
      <w:pPr>
        <w:spacing w:after="0"/>
        <w:ind w:left="0"/>
        <w:jc w:val="both"/>
      </w:pPr>
      <w:r>
        <w:rPr>
          <w:rFonts w:ascii="Times New Roman"/>
          <w:b w:val="false"/>
          <w:i w:val="false"/>
          <w:color w:val="000000"/>
          <w:sz w:val="28"/>
        </w:rPr>
        <w:t>
      Если флоры разрезаются на вертикальном киле, пояски флоров приваривают встык к пояску вертикального киля. Если фактический момент сопротивления флоров менее чем в 1,5 раза превышает требуемый согласно подпункту 2) пункта 339 настоящих Правил, ширина их поясков в местах притыкания к пояску вертикального киля должна быть удвоена, или устанавливают горизонтальные кницы соответствующих размеров.</w:t>
      </w:r>
    </w:p>
    <w:bookmarkEnd w:id="1508"/>
    <w:bookmarkStart w:name="z1507" w:id="1509"/>
    <w:p>
      <w:pPr>
        <w:spacing w:after="0"/>
        <w:ind w:left="0"/>
        <w:jc w:val="both"/>
      </w:pPr>
      <w:r>
        <w:rPr>
          <w:rFonts w:ascii="Times New Roman"/>
          <w:b w:val="false"/>
          <w:i w:val="false"/>
          <w:color w:val="000000"/>
          <w:sz w:val="28"/>
        </w:rPr>
        <w:t>
      Допускается замена пояски флоров отогнутыми фланцами.</w:t>
      </w:r>
    </w:p>
    <w:bookmarkEnd w:id="1509"/>
    <w:bookmarkStart w:name="z1508" w:id="1510"/>
    <w:p>
      <w:pPr>
        <w:spacing w:after="0"/>
        <w:ind w:left="0"/>
        <w:jc w:val="both"/>
      </w:pPr>
      <w:r>
        <w:rPr>
          <w:rFonts w:ascii="Times New Roman"/>
          <w:b w:val="false"/>
          <w:i w:val="false"/>
          <w:color w:val="000000"/>
          <w:sz w:val="28"/>
        </w:rPr>
        <w:t>
      Флоры с отогнутыми фланцами не допускаются в районе машинного отделения, в ахтерпике, а на судах длиной 30 м и более — также на протяжении 0,25</w:t>
      </w:r>
      <w:r>
        <w:rPr>
          <w:rFonts w:ascii="Times New Roman"/>
          <w:b w:val="false"/>
          <w:i/>
          <w:color w:val="000000"/>
          <w:sz w:val="28"/>
        </w:rPr>
        <w:t>L</w:t>
      </w:r>
      <w:r>
        <w:rPr>
          <w:rFonts w:ascii="Times New Roman"/>
          <w:b w:val="false"/>
          <w:i w:val="false"/>
          <w:color w:val="000000"/>
          <w:sz w:val="28"/>
        </w:rPr>
        <w:t xml:space="preserve"> от носового перпендикуляра.</w:t>
      </w:r>
    </w:p>
    <w:bookmarkEnd w:id="1510"/>
    <w:bookmarkStart w:name="z1509" w:id="1511"/>
    <w:p>
      <w:pPr>
        <w:spacing w:after="0"/>
        <w:ind w:left="0"/>
        <w:jc w:val="both"/>
      </w:pPr>
      <w:r>
        <w:rPr>
          <w:rFonts w:ascii="Times New Roman"/>
          <w:b w:val="false"/>
          <w:i w:val="false"/>
          <w:color w:val="000000"/>
          <w:sz w:val="28"/>
        </w:rPr>
        <w:t>
      331. При продольной системе набора, если вертикальный киль выше флора в месте их соединения, в плоскости стенки флора по обеим сторонам вертикального киля устанавливают кницы. Кница приваривается к свободному пояску флора, стенке и свободному пояску вертикального киля. Свободная кромка кницы подкрепляется пояском, угол ее наклона к пояску флора не должен превышать 45</w:t>
      </w:r>
      <w:r>
        <w:rPr>
          <w:rFonts w:ascii="Times New Roman"/>
          <w:b w:val="false"/>
          <w:i w:val="false"/>
          <w:color w:val="000000"/>
          <w:vertAlign w:val="superscript"/>
        </w:rPr>
        <w:t>0</w:t>
      </w:r>
      <w:r>
        <w:rPr>
          <w:rFonts w:ascii="Times New Roman"/>
          <w:b w:val="false"/>
          <w:i w:val="false"/>
          <w:color w:val="000000"/>
          <w:sz w:val="28"/>
        </w:rPr>
        <w:t>.</w:t>
      </w:r>
    </w:p>
    <w:bookmarkEnd w:id="1511"/>
    <w:bookmarkStart w:name="z1510" w:id="1512"/>
    <w:p>
      <w:pPr>
        <w:spacing w:after="0"/>
        <w:ind w:left="0"/>
        <w:jc w:val="both"/>
      </w:pPr>
      <w:r>
        <w:rPr>
          <w:rFonts w:ascii="Times New Roman"/>
          <w:b w:val="false"/>
          <w:i w:val="false"/>
          <w:color w:val="000000"/>
          <w:sz w:val="28"/>
        </w:rPr>
        <w:t>
      Такие же требования предъявляются к соединению стрингера с флором, если в месте их соединения стрингер выше флора.</w:t>
      </w:r>
    </w:p>
    <w:bookmarkEnd w:id="1512"/>
    <w:bookmarkStart w:name="z1511" w:id="1513"/>
    <w:p>
      <w:pPr>
        <w:spacing w:after="0"/>
        <w:ind w:left="0"/>
        <w:jc w:val="both"/>
      </w:pPr>
      <w:r>
        <w:rPr>
          <w:rFonts w:ascii="Times New Roman"/>
          <w:b w:val="false"/>
          <w:i w:val="false"/>
          <w:color w:val="000000"/>
          <w:sz w:val="28"/>
        </w:rPr>
        <w:t>
      332. На сухогрузных судах расстояние между днищевыми стрингерами, а также расстояние от вертикального киля или борта судна до днищевого стрингера не превышает 2,2 м.</w:t>
      </w:r>
    </w:p>
    <w:bookmarkEnd w:id="1513"/>
    <w:bookmarkStart w:name="z1512" w:id="1514"/>
    <w:p>
      <w:pPr>
        <w:spacing w:after="0"/>
        <w:ind w:left="0"/>
        <w:jc w:val="both"/>
      </w:pPr>
      <w:r>
        <w:rPr>
          <w:rFonts w:ascii="Times New Roman"/>
          <w:b w:val="false"/>
          <w:i w:val="false"/>
          <w:color w:val="000000"/>
          <w:sz w:val="28"/>
        </w:rPr>
        <w:t>
      Стенки днищевых стрингеров разрезаются на флорах и привариваются к ним.</w:t>
      </w:r>
    </w:p>
    <w:bookmarkEnd w:id="1514"/>
    <w:bookmarkStart w:name="z1513" w:id="1515"/>
    <w:p>
      <w:pPr>
        <w:spacing w:after="0"/>
        <w:ind w:left="0"/>
        <w:jc w:val="both"/>
      </w:pPr>
      <w:r>
        <w:rPr>
          <w:rFonts w:ascii="Times New Roman"/>
          <w:b w:val="false"/>
          <w:i w:val="false"/>
          <w:color w:val="000000"/>
          <w:sz w:val="28"/>
        </w:rPr>
        <w:t>
      Пояски стрингеров привариваются к пояскам флоров.</w:t>
      </w:r>
    </w:p>
    <w:bookmarkEnd w:id="1515"/>
    <w:bookmarkStart w:name="z1514" w:id="1516"/>
    <w:p>
      <w:pPr>
        <w:spacing w:after="0"/>
        <w:ind w:left="0"/>
        <w:jc w:val="both"/>
      </w:pPr>
      <w:r>
        <w:rPr>
          <w:rFonts w:ascii="Times New Roman"/>
          <w:b w:val="false"/>
          <w:i w:val="false"/>
          <w:color w:val="000000"/>
          <w:sz w:val="28"/>
        </w:rPr>
        <w:t>
      333. На наливных судах днищевые стрингеры, если они устанавливаются, образовывают с вертикальными стойками поперечных переборок и усиленными подпалубными балками замкнутые рамы.</w:t>
      </w:r>
    </w:p>
    <w:bookmarkEnd w:id="1516"/>
    <w:bookmarkStart w:name="z1515" w:id="1517"/>
    <w:p>
      <w:pPr>
        <w:spacing w:after="0"/>
        <w:ind w:left="0"/>
        <w:jc w:val="both"/>
      </w:pPr>
      <w:r>
        <w:rPr>
          <w:rFonts w:ascii="Times New Roman"/>
          <w:b w:val="false"/>
          <w:i w:val="false"/>
          <w:color w:val="000000"/>
          <w:sz w:val="28"/>
        </w:rPr>
        <w:t xml:space="preserve">
      Высокие стрингеры, имеющие высоту, равную высоте вертикального киля, а также низкие стрингеры, имеющие высоту, равную высоте флоров, при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 xml:space="preserve">1 </w:t>
      </w:r>
      <w:r>
        <w:rPr>
          <w:rFonts w:ascii="Times New Roman"/>
          <w:b w:val="false"/>
          <w:i w:val="false"/>
          <w:color w:val="000000"/>
          <w:sz w:val="28"/>
        </w:rPr>
        <w:t>&lt; 1 непрерывные между поперечными переборками.</w:t>
      </w:r>
    </w:p>
    <w:bookmarkEnd w:id="1517"/>
    <w:bookmarkStart w:name="z1516" w:id="1518"/>
    <w:p>
      <w:pPr>
        <w:spacing w:after="0"/>
        <w:ind w:left="0"/>
        <w:jc w:val="both"/>
      </w:pPr>
      <w:r>
        <w:rPr>
          <w:rFonts w:ascii="Times New Roman"/>
          <w:b w:val="false"/>
          <w:i w:val="false"/>
          <w:color w:val="000000"/>
          <w:sz w:val="28"/>
        </w:rPr>
        <w:t>
      334. В машинном отделении вертикальный киль отсутствует, если продольные балки машинного фундамента простираются от носовой переборки до кормовой машинного отделения и заканчиваются за переборкой кницами согласно пункту 342 настоящих Правил.</w:t>
      </w:r>
    </w:p>
    <w:bookmarkEnd w:id="1518"/>
    <w:bookmarkStart w:name="z1517" w:id="1519"/>
    <w:p>
      <w:pPr>
        <w:spacing w:after="0"/>
        <w:ind w:left="0"/>
        <w:jc w:val="both"/>
      </w:pPr>
      <w:r>
        <w:rPr>
          <w:rFonts w:ascii="Times New Roman"/>
          <w:b w:val="false"/>
          <w:i w:val="false"/>
          <w:color w:val="000000"/>
          <w:sz w:val="28"/>
        </w:rPr>
        <w:t>
      335. Устойчивость вертикального киля и днищевых стрингеров в средней части судов длиной 65 м и более обеспечивается в соответствии с параграфом 4 главы 13 настоящих Правил.</w:t>
      </w:r>
    </w:p>
    <w:bookmarkEnd w:id="1519"/>
    <w:bookmarkStart w:name="z1518" w:id="1520"/>
    <w:p>
      <w:pPr>
        <w:spacing w:after="0"/>
        <w:ind w:left="0"/>
        <w:jc w:val="both"/>
      </w:pPr>
      <w:r>
        <w:rPr>
          <w:rFonts w:ascii="Times New Roman"/>
          <w:b w:val="false"/>
          <w:i w:val="false"/>
          <w:color w:val="000000"/>
          <w:sz w:val="28"/>
        </w:rPr>
        <w:t>
      Подкрепление стенок вертикального киля, днищевых стрингеров и флоров выполняется в соответствии с параграфом 3 главы 14 настоящих Правил.</w:t>
      </w:r>
    </w:p>
    <w:bookmarkEnd w:id="1520"/>
    <w:bookmarkStart w:name="z1519" w:id="1521"/>
    <w:p>
      <w:pPr>
        <w:spacing w:after="0"/>
        <w:ind w:left="0"/>
        <w:jc w:val="both"/>
      </w:pPr>
      <w:r>
        <w:rPr>
          <w:rFonts w:ascii="Times New Roman"/>
          <w:b w:val="false"/>
          <w:i w:val="false"/>
          <w:color w:val="000000"/>
          <w:sz w:val="28"/>
        </w:rPr>
        <w:t>
      336. Соединение продольных днищевых балок с поперечными переборками обеспечивает сохранение эффективной площади сечения этих балок.</w:t>
      </w:r>
    </w:p>
    <w:bookmarkEnd w:id="1521"/>
    <w:bookmarkStart w:name="z1520" w:id="1522"/>
    <w:p>
      <w:pPr>
        <w:spacing w:after="0"/>
        <w:ind w:left="0"/>
        <w:jc w:val="left"/>
      </w:pPr>
      <w:r>
        <w:rPr>
          <w:rFonts w:ascii="Times New Roman"/>
          <w:b/>
          <w:i w:val="false"/>
          <w:color w:val="000000"/>
        </w:rPr>
        <w:t xml:space="preserve"> Параграф 2. Нагрузки на конструкции одинарного дна,</w:t>
      </w:r>
      <w:r>
        <w:br/>
      </w:r>
      <w:r>
        <w:rPr>
          <w:rFonts w:ascii="Times New Roman"/>
          <w:b/>
          <w:i w:val="false"/>
          <w:color w:val="000000"/>
        </w:rPr>
        <w:t>размеры связей одинарного дна</w:t>
      </w:r>
    </w:p>
    <w:bookmarkEnd w:id="1522"/>
    <w:bookmarkStart w:name="z1521" w:id="1523"/>
    <w:p>
      <w:pPr>
        <w:spacing w:after="0"/>
        <w:ind w:left="0"/>
        <w:jc w:val="both"/>
      </w:pPr>
      <w:r>
        <w:rPr>
          <w:rFonts w:ascii="Times New Roman"/>
          <w:b w:val="false"/>
          <w:i w:val="false"/>
          <w:color w:val="000000"/>
          <w:sz w:val="28"/>
        </w:rPr>
        <w:t xml:space="preserve">
      337. Расчетным давлением на конструкции одинарного дна сухогрузных судов является внешнее давление, определенное по формуле (83) настоящих Правил для судна в балласте. В качестве осадки в балласте при определении </w:t>
      </w:r>
      <w:r>
        <w:rPr>
          <w:rFonts w:ascii="Times New Roman"/>
          <w:b w:val="false"/>
          <w:i/>
          <w:color w:val="000000"/>
          <w:sz w:val="28"/>
        </w:rPr>
        <w:t>p</w:t>
      </w:r>
      <w:r>
        <w:rPr>
          <w:rFonts w:ascii="Times New Roman"/>
          <w:b w:val="false"/>
          <w:i w:val="false"/>
          <w:color w:val="000000"/>
          <w:vertAlign w:val="subscript"/>
        </w:rPr>
        <w:t>st</w:t>
      </w:r>
      <w:r>
        <w:rPr>
          <w:rFonts w:ascii="Times New Roman"/>
          <w:b w:val="false"/>
          <w:i w:val="false"/>
          <w:color w:val="000000"/>
          <w:sz w:val="28"/>
        </w:rPr>
        <w:t xml:space="preserve"> в формуле (83) настоящих Правил принимается величина 0,6 осадки по летнюю грузовую ватерлинию.</w:t>
      </w:r>
    </w:p>
    <w:bookmarkEnd w:id="1523"/>
    <w:bookmarkStart w:name="z1522" w:id="1524"/>
    <w:p>
      <w:pPr>
        <w:spacing w:after="0"/>
        <w:ind w:left="0"/>
        <w:jc w:val="both"/>
      </w:pPr>
      <w:r>
        <w:rPr>
          <w:rFonts w:ascii="Times New Roman"/>
          <w:b w:val="false"/>
          <w:i w:val="false"/>
          <w:color w:val="000000"/>
          <w:sz w:val="28"/>
        </w:rPr>
        <w:t xml:space="preserve">
      Если для сухогрузного судна предусматривается плавание в полном грузу с отдельными пустыми трюмами, то для этих трюмов статическое давление </w:t>
      </w:r>
      <w:r>
        <w:rPr>
          <w:rFonts w:ascii="Times New Roman"/>
          <w:b w:val="false"/>
          <w:i/>
          <w:color w:val="000000"/>
          <w:sz w:val="28"/>
        </w:rPr>
        <w:t>p</w:t>
      </w:r>
      <w:r>
        <w:rPr>
          <w:rFonts w:ascii="Times New Roman"/>
          <w:b w:val="false"/>
          <w:i w:val="false"/>
          <w:color w:val="000000"/>
          <w:vertAlign w:val="subscript"/>
        </w:rPr>
        <w:t>st</w:t>
      </w:r>
      <w:r>
        <w:rPr>
          <w:rFonts w:ascii="Times New Roman"/>
          <w:b w:val="false"/>
          <w:i w:val="false"/>
          <w:color w:val="000000"/>
          <w:sz w:val="28"/>
        </w:rPr>
        <w:t xml:space="preserve"> в формуле (83) настоящих Правил определяется при осадке по летнюю грузовую ватерлинию.</w:t>
      </w:r>
    </w:p>
    <w:bookmarkEnd w:id="1524"/>
    <w:bookmarkStart w:name="z1523" w:id="1525"/>
    <w:p>
      <w:pPr>
        <w:spacing w:after="0"/>
        <w:ind w:left="0"/>
        <w:jc w:val="both"/>
      </w:pPr>
      <w:r>
        <w:rPr>
          <w:rFonts w:ascii="Times New Roman"/>
          <w:b w:val="false"/>
          <w:i w:val="false"/>
          <w:color w:val="000000"/>
          <w:sz w:val="28"/>
        </w:rPr>
        <w:t>
      338. В качестве расчетного давления на конструкции одинарного дна наливных судов принимается внешнее расчетное давление по формуле (83) настоящих Правил при осадке по летнюю грузовую ватерлинию или суммарное давление по формуле (84) настоящих Правил, в зависимости от того, что больше.</w:t>
      </w:r>
    </w:p>
    <w:bookmarkEnd w:id="1525"/>
    <w:bookmarkStart w:name="z1524" w:id="1526"/>
    <w:p>
      <w:pPr>
        <w:spacing w:after="0"/>
        <w:ind w:left="0"/>
        <w:jc w:val="both"/>
      </w:pPr>
      <w:r>
        <w:rPr>
          <w:rFonts w:ascii="Times New Roman"/>
          <w:b w:val="false"/>
          <w:i w:val="false"/>
          <w:color w:val="000000"/>
          <w:sz w:val="28"/>
        </w:rPr>
        <w:t>
      339. Необходимо чтобы при поперечной системе набора днищевой набор соответствовал следующим требованиям:</w:t>
      </w:r>
    </w:p>
    <w:bookmarkEnd w:id="1526"/>
    <w:bookmarkStart w:name="z1525" w:id="1527"/>
    <w:p>
      <w:pPr>
        <w:spacing w:after="0"/>
        <w:ind w:left="0"/>
        <w:jc w:val="both"/>
      </w:pPr>
      <w:r>
        <w:rPr>
          <w:rFonts w:ascii="Times New Roman"/>
          <w:b w:val="false"/>
          <w:i w:val="false"/>
          <w:color w:val="000000"/>
          <w:sz w:val="28"/>
        </w:rPr>
        <w:t>
      1) высота флоров в диаметральной плоскости равна не менее 0,055</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В любом случае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не следует принимать меньше 0,6</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Уменьшение высоты флоров допускается не более чем на 10 % при обеспечении требуемого момента сопротивления флора.</w:t>
      </w:r>
    </w:p>
    <w:bookmarkEnd w:id="1527"/>
    <w:bookmarkStart w:name="z1526" w:id="1528"/>
    <w:p>
      <w:pPr>
        <w:spacing w:after="0"/>
        <w:ind w:left="0"/>
        <w:jc w:val="both"/>
      </w:pPr>
      <w:r>
        <w:rPr>
          <w:rFonts w:ascii="Times New Roman"/>
          <w:b w:val="false"/>
          <w:i w:val="false"/>
          <w:color w:val="000000"/>
          <w:sz w:val="28"/>
        </w:rPr>
        <w:t>
      В машинном отделении высота стенки флора между продольными фундаментными балками равна не менее 0,65 требуемой высоты в диаметральной плоскости. При этом уменьшение момента сопротивления флора по сравнению с требованиями подпункта 2) настоящего пункта Правил более чем на 10 % не допускается.</w:t>
      </w:r>
    </w:p>
    <w:bookmarkEnd w:id="1528"/>
    <w:bookmarkStart w:name="z1527" w:id="1529"/>
    <w:p>
      <w:pPr>
        <w:spacing w:after="0"/>
        <w:ind w:left="0"/>
        <w:jc w:val="both"/>
      </w:pPr>
      <w:r>
        <w:rPr>
          <w:rFonts w:ascii="Times New Roman"/>
          <w:b w:val="false"/>
          <w:i w:val="false"/>
          <w:color w:val="000000"/>
          <w:sz w:val="28"/>
        </w:rPr>
        <w:t>
      На расстоянии 0,31</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xml:space="preserve"> от диаметральной плоскости высота флоров равна не менее 50 % требуемой высоты в диаметральной плоскости;</w:t>
      </w:r>
    </w:p>
    <w:bookmarkEnd w:id="1529"/>
    <w:bookmarkStart w:name="z1528" w:id="1530"/>
    <w:p>
      <w:pPr>
        <w:spacing w:after="0"/>
        <w:ind w:left="0"/>
        <w:jc w:val="both"/>
      </w:pPr>
      <w:r>
        <w:rPr>
          <w:rFonts w:ascii="Times New Roman"/>
          <w:b w:val="false"/>
          <w:i w:val="false"/>
          <w:color w:val="000000"/>
          <w:sz w:val="28"/>
        </w:rPr>
        <w:t>
      2) момент сопротивления флоров в диаметральной плоскости принимают не менее определяемого в пунктах 246 и 247 настоящих Правил. При этом:</w:t>
      </w:r>
    </w:p>
    <w:bookmarkEnd w:id="153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но не менее 0,6</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пункту 365 настоящих Правил, но не менее 35 кПа для сухогрузных судов и 85 кПа для наливных судов.</w:t>
      </w:r>
    </w:p>
    <w:bookmarkStart w:name="z1529" w:id="1531"/>
    <w:p>
      <w:pPr>
        <w:spacing w:after="0"/>
        <w:ind w:left="0"/>
        <w:jc w:val="both"/>
      </w:pPr>
      <w:r>
        <w:rPr>
          <w:rFonts w:ascii="Times New Roman"/>
          <w:b w:val="false"/>
          <w:i w:val="false"/>
          <w:color w:val="000000"/>
          <w:sz w:val="28"/>
        </w:rPr>
        <w:t>
      На участках длиной 0,05</w:t>
      </w:r>
      <w:r>
        <w:rPr>
          <w:rFonts w:ascii="Times New Roman"/>
          <w:b w:val="false"/>
          <w:i/>
          <w:color w:val="000000"/>
          <w:sz w:val="28"/>
        </w:rPr>
        <w:t>В</w:t>
      </w:r>
      <w:r>
        <w:rPr>
          <w:rFonts w:ascii="Times New Roman"/>
          <w:b w:val="false"/>
          <w:i w:val="false"/>
          <w:color w:val="000000"/>
          <w:vertAlign w:val="subscript"/>
        </w:rPr>
        <w:t>x</w:t>
      </w:r>
      <w:r>
        <w:rPr>
          <w:rFonts w:ascii="Times New Roman"/>
          <w:b w:val="false"/>
          <w:i w:val="false"/>
          <w:color w:val="000000"/>
          <w:sz w:val="28"/>
        </w:rPr>
        <w:t xml:space="preserve"> от борта площадь сечения стенки флора допускают не менее определяемой в пункте 248 настоящих Правил. При этом:</w:t>
      </w:r>
    </w:p>
    <w:bookmarkEnd w:id="153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0,4</w:t>
      </w:r>
      <w:r>
        <w:rPr>
          <w:rFonts w:ascii="Times New Roman"/>
          <w:b w:val="false"/>
          <w:i w:val="false"/>
          <w:color w:val="000000"/>
          <w:vertAlign w:val="subscript"/>
        </w:rPr>
        <w:t>pal</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bookmarkStart w:name="z1530" w:id="1532"/>
    <w:p>
      <w:pPr>
        <w:spacing w:after="0"/>
        <w:ind w:left="0"/>
        <w:jc w:val="both"/>
      </w:pPr>
      <w:r>
        <w:rPr>
          <w:rFonts w:ascii="Times New Roman"/>
          <w:b w:val="false"/>
          <w:i w:val="false"/>
          <w:color w:val="000000"/>
          <w:sz w:val="28"/>
        </w:rPr>
        <w:t xml:space="preserve">
      При определении </w:t>
      </w:r>
      <w:r>
        <w:rPr>
          <w:rFonts w:ascii="Times New Roman"/>
          <w:b w:val="false"/>
          <w:i/>
          <w:color w:val="000000"/>
          <w:sz w:val="28"/>
        </w:rPr>
        <w:t>р</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sz w:val="28"/>
        </w:rPr>
        <w:t xml:space="preserve"> применяются ограничения, указанные выше;</w:t>
      </w:r>
    </w:p>
    <w:bookmarkEnd w:id="1532"/>
    <w:bookmarkStart w:name="z1531" w:id="1533"/>
    <w:p>
      <w:pPr>
        <w:spacing w:after="0"/>
        <w:ind w:left="0"/>
        <w:jc w:val="both"/>
      </w:pPr>
      <w:r>
        <w:rPr>
          <w:rFonts w:ascii="Times New Roman"/>
          <w:b w:val="false"/>
          <w:i w:val="false"/>
          <w:color w:val="000000"/>
          <w:sz w:val="28"/>
        </w:rPr>
        <w:t>
      3) момент сопротивления вертикального киля больше момента сопротивления флора в диаметральной плоскости согласно подпункту 2) настоящего пункта Правил не менее чем в 1,6 раза. Высота вертикального киля равна высоте флора в месте их соединения;</w:t>
      </w:r>
    </w:p>
    <w:bookmarkEnd w:id="1533"/>
    <w:bookmarkStart w:name="z1532" w:id="1534"/>
    <w:p>
      <w:pPr>
        <w:spacing w:after="0"/>
        <w:ind w:left="0"/>
        <w:jc w:val="both"/>
      </w:pPr>
      <w:r>
        <w:rPr>
          <w:rFonts w:ascii="Times New Roman"/>
          <w:b w:val="false"/>
          <w:i w:val="false"/>
          <w:color w:val="000000"/>
          <w:sz w:val="28"/>
        </w:rPr>
        <w:t>
      4) момент сопротивления днищевого стрингера допускается не меньше момента сопротивления флора в диаметральной плоскости согласно подпункту 2) настоящего пункта Правил. Высота стрингера равна высоте флора в месте их соединения.</w:t>
      </w:r>
    </w:p>
    <w:bookmarkEnd w:id="1534"/>
    <w:bookmarkStart w:name="z1533" w:id="1535"/>
    <w:p>
      <w:pPr>
        <w:spacing w:after="0"/>
        <w:ind w:left="0"/>
        <w:jc w:val="both"/>
      </w:pPr>
      <w:r>
        <w:rPr>
          <w:rFonts w:ascii="Times New Roman"/>
          <w:b w:val="false"/>
          <w:i w:val="false"/>
          <w:color w:val="000000"/>
          <w:sz w:val="28"/>
        </w:rPr>
        <w:t>
      340. При продольной системе набора связи днища наливных судов в районе грузовых танков отвечают следующим требованиям:</w:t>
      </w:r>
    </w:p>
    <w:bookmarkEnd w:id="1535"/>
    <w:bookmarkStart w:name="z1534" w:id="1536"/>
    <w:p>
      <w:pPr>
        <w:spacing w:after="0"/>
        <w:ind w:left="0"/>
        <w:jc w:val="both"/>
      </w:pPr>
      <w:r>
        <w:rPr>
          <w:rFonts w:ascii="Times New Roman"/>
          <w:b w:val="false"/>
          <w:i w:val="false"/>
          <w:color w:val="000000"/>
          <w:sz w:val="28"/>
        </w:rPr>
        <w:t>
      1) продольные днищевые балки должны иметь момент сопротивления не менее определяемого в пунктах 246 и 247 настоящих Правил. При этом:</w:t>
      </w:r>
    </w:p>
    <w:bookmarkEnd w:id="153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пункту 358 настоящих Правил;</w:t>
      </w:r>
    </w:p>
    <w:p>
      <w:pPr>
        <w:spacing w:after="0"/>
        <w:ind w:left="0"/>
        <w:jc w:val="both"/>
      </w:pPr>
      <w:r>
        <w:rPr>
          <w:rFonts w:ascii="Times New Roman"/>
          <w:b w:val="false"/>
          <w:i w:val="false"/>
          <w:color w:val="000000"/>
          <w:sz w:val="28"/>
        </w:rPr>
        <w:t>
      l — длина пролета, равная расстоянию между флорами или флором и поперечной переборкой,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0,65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bookmarkStart w:name="z1535" w:id="1537"/>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bookmarkEnd w:id="153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(86);</w:t>
      </w:r>
    </w:p>
    <w:bookmarkStart w:name="z1536" w:id="1538"/>
    <w:p>
      <w:pPr>
        <w:spacing w:after="0"/>
        <w:ind w:left="0"/>
        <w:jc w:val="both"/>
      </w:pPr>
      <w:r>
        <w:rPr>
          <w:rFonts w:ascii="Times New Roman"/>
          <w:b w:val="false"/>
          <w:i w:val="false"/>
          <w:color w:val="000000"/>
          <w:sz w:val="28"/>
        </w:rPr>
        <w:t>
      2) момент сопротивления флора равен не менее определяемого в пунктах 246 и 247 настоящих Правил, площадь сечения стенки флора за вычетом вырезов равен не менее определяемой в пункте 248 настоящих Правил. При этом:</w:t>
      </w:r>
    </w:p>
    <w:bookmarkEnd w:id="153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пункту 338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бортового танка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0,35</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для среднего танка</w:t>
      </w:r>
    </w:p>
    <w:p>
      <w:pPr>
        <w:spacing w:after="0"/>
        <w:ind w:left="0"/>
        <w:jc w:val="both"/>
      </w:pPr>
      <w:r>
        <w:rPr>
          <w:rFonts w:ascii="Times New Roman"/>
          <w:b w:val="false"/>
          <w:i w:val="false"/>
          <w:color w:val="000000"/>
          <w:sz w:val="28"/>
        </w:rPr>
        <w:t xml:space="preserve">
      m = </w:t>
      </w:r>
      <w:r>
        <w:rPr>
          <w:rFonts w:ascii="Times New Roman"/>
          <w:b w:val="false"/>
          <w:i/>
          <w:color w:val="000000"/>
          <w:sz w:val="28"/>
        </w:rPr>
        <w:t>m</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0,7</w:t>
      </w:r>
      <w:r>
        <w:rPr>
          <w:rFonts w:ascii="Times New Roman"/>
          <w:b w:val="false"/>
          <w:i/>
          <w:color w:val="000000"/>
          <w:sz w:val="28"/>
        </w:rPr>
        <w:t>п</w:t>
      </w:r>
      <w:r>
        <w:rPr>
          <w:rFonts w:ascii="Times New Roman"/>
          <w:b w:val="false"/>
          <w:i w:val="false"/>
          <w:color w:val="000000"/>
          <w:vertAlign w:val="subscript"/>
        </w:rPr>
        <w:t>ф</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ф</w:t>
      </w:r>
      <w:r>
        <w:rPr>
          <w:rFonts w:ascii="Times New Roman"/>
          <w:b w:val="false"/>
          <w:i w:val="false"/>
          <w:color w:val="000000"/>
          <w:sz w:val="28"/>
        </w:rPr>
        <w:t xml:space="preserve"> и n</w:t>
      </w:r>
      <w:r>
        <w:rPr>
          <w:rFonts w:ascii="Times New Roman"/>
          <w:b w:val="false"/>
          <w:i w:val="false"/>
          <w:color w:val="000000"/>
          <w:vertAlign w:val="subscript"/>
        </w:rPr>
        <w:t>ф</w:t>
      </w:r>
      <w:r>
        <w:rPr>
          <w:rFonts w:ascii="Times New Roman"/>
          <w:b w:val="false"/>
          <w:i w:val="false"/>
          <w:color w:val="000000"/>
          <w:sz w:val="28"/>
        </w:rPr>
        <w:t xml:space="preserve"> определяются по приложению 55 настоящих Правил, в зависимости от параметра м и числа флоров в пределах танка;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perscript"/>
        </w:rPr>
        <w:t>4/3</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к</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ф</w:t>
      </w:r>
      <w:r>
        <w:rPr>
          <w:rFonts w:ascii="Times New Roman"/>
          <w:b w:val="false"/>
          <w:i w:val="false"/>
          <w:color w:val="000000"/>
          <w:sz w:val="28"/>
        </w:rPr>
        <w:t xml:space="preserve"> — момент сопротивления флора, отвечающий настоящим требованиям;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к</w:t>
      </w:r>
      <w:r>
        <w:rPr>
          <w:rFonts w:ascii="Times New Roman"/>
          <w:b w:val="false"/>
          <w:i w:val="false"/>
          <w:color w:val="000000"/>
          <w:sz w:val="28"/>
        </w:rPr>
        <w:t xml:space="preserve"> — момент сопротивления вертикального киля, отвечающий требованиям подпункту 3) пункта 340 настоящих Правил.</w:t>
      </w:r>
    </w:p>
    <w:bookmarkStart w:name="z1537" w:id="1539"/>
    <w:p>
      <w:pPr>
        <w:spacing w:after="0"/>
        <w:ind w:left="0"/>
        <w:jc w:val="both"/>
      </w:pPr>
      <w:r>
        <w:rPr>
          <w:rFonts w:ascii="Times New Roman"/>
          <w:b w:val="false"/>
          <w:i w:val="false"/>
          <w:color w:val="000000"/>
          <w:sz w:val="28"/>
        </w:rPr>
        <w:t xml:space="preserve">
      Значение параметра </w:t>
      </w:r>
    </w:p>
    <w:bookmarkEnd w:id="1539"/>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задается произвольно, но не более 0,6; значение параметра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равен не более 1,5.</w:t>
      </w:r>
      <w:r>
        <w:br/>
      </w:r>
      <w:r>
        <w:rPr>
          <w:rFonts w:ascii="Times New Roman"/>
          <w:b w:val="false"/>
          <w:i w:val="false"/>
          <w:color w:val="000000"/>
          <w:sz w:val="28"/>
        </w:rPr>
        <w:t>
</w:t>
      </w:r>
    </w:p>
    <w:bookmarkStart w:name="z1538" w:id="1540"/>
    <w:p>
      <w:pPr>
        <w:spacing w:after="0"/>
        <w:ind w:left="0"/>
        <w:jc w:val="both"/>
      </w:pPr>
      <w:r>
        <w:rPr>
          <w:rFonts w:ascii="Times New Roman"/>
          <w:b w:val="false"/>
          <w:i w:val="false"/>
          <w:color w:val="000000"/>
          <w:sz w:val="28"/>
        </w:rPr>
        <w:t xml:space="preserve">
      Момент сопротивления флора принимают не менее </w:t>
      </w:r>
    </w:p>
    <w:bookmarkEnd w:id="1540"/>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vertAlign w:val="subscript"/>
        </w:rPr>
        <w:t>к</w:t>
      </w:r>
      <w:r>
        <w:rPr>
          <w:rFonts w:ascii="Times New Roman"/>
          <w:b w:val="false"/>
          <w:i w:val="false"/>
          <w:color w:val="000000"/>
          <w:sz w:val="28"/>
        </w:rPr>
        <w:t>;</w:t>
      </w:r>
      <w:r>
        <w:br/>
      </w:r>
      <w:r>
        <w:rPr>
          <w:rFonts w:ascii="Times New Roman"/>
          <w:b w:val="false"/>
          <w:i w:val="false"/>
          <w:color w:val="000000"/>
          <w:sz w:val="28"/>
        </w:rPr>
        <w:t>
</w:t>
      </w:r>
    </w:p>
    <w:bookmarkStart w:name="z1539" w:id="1541"/>
    <w:p>
      <w:pPr>
        <w:spacing w:after="0"/>
        <w:ind w:left="0"/>
        <w:jc w:val="both"/>
      </w:pPr>
      <w:r>
        <w:rPr>
          <w:rFonts w:ascii="Times New Roman"/>
          <w:b w:val="false"/>
          <w:i w:val="false"/>
          <w:color w:val="000000"/>
          <w:sz w:val="28"/>
        </w:rPr>
        <w:t>
      3) момент сопротивления вертикального киля допускают не менее определяемого в пунктах 246 и 247 настоящих Правил, площадь сечения стенки вертикального киля равна не менее определяемой в пункте 248 настоящих Правил. При этом:</w:t>
      </w:r>
    </w:p>
    <w:bookmarkEnd w:id="154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пункта 338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w:t>
      </w:r>
      <w:r>
        <w:rPr>
          <w:rFonts w:ascii="Times New Roman"/>
          <w:b w:val="false"/>
          <w:i/>
          <w:color w:val="000000"/>
          <w:sz w:val="28"/>
        </w:rPr>
        <w:t>т</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0,7n</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w:t>
      </w:r>
      <w:r>
        <w:rPr>
          <w:rFonts w:ascii="Times New Roman"/>
          <w:b w:val="false"/>
          <w:i w:val="false"/>
          <w:color w:val="000000"/>
          <w:sz w:val="28"/>
        </w:rPr>
        <w:t xml:space="preserve"> и n</w:t>
      </w:r>
      <w:r>
        <w:rPr>
          <w:rFonts w:ascii="Times New Roman"/>
          <w:b w:val="false"/>
          <w:i w:val="false"/>
          <w:color w:val="000000"/>
          <w:vertAlign w:val="subscript"/>
        </w:rPr>
        <w:t>к</w:t>
      </w:r>
      <w:r>
        <w:rPr>
          <w:rFonts w:ascii="Times New Roman"/>
          <w:b w:val="false"/>
          <w:i w:val="false"/>
          <w:color w:val="000000"/>
          <w:sz w:val="28"/>
        </w:rPr>
        <w:t xml:space="preserve"> определяются по приложению 55 настоящих Правил, в зависимости от параметра м и числа флоров в пределах танка; м определяется согласно подпункту 2) пункта 340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bookmarkStart w:name="z1540" w:id="1542"/>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bookmarkEnd w:id="1542"/>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(86) настоящих Правил.</w:t>
      </w:r>
    </w:p>
    <w:bookmarkStart w:name="z1541" w:id="1543"/>
    <w:p>
      <w:pPr>
        <w:spacing w:after="0"/>
        <w:ind w:left="0"/>
        <w:jc w:val="both"/>
      </w:pPr>
      <w:r>
        <w:rPr>
          <w:rFonts w:ascii="Times New Roman"/>
          <w:b w:val="false"/>
          <w:i w:val="false"/>
          <w:color w:val="000000"/>
          <w:sz w:val="28"/>
        </w:rPr>
        <w:t xml:space="preserve">
      Момент сопротивления вертикального киля равен не менее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w:t>
      </w:r>
    </w:p>
    <w:bookmarkEnd w:id="1543"/>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 момент сопротивления флора, отвечающий требованиям подпункта 2) пункта 340 настоящих Правил пункта;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подпункту 2) пункта 340 настоящих Правил;</w:t>
      </w:r>
      <w:r>
        <w:br/>
      </w:r>
      <w:r>
        <w:rPr>
          <w:rFonts w:ascii="Times New Roman"/>
          <w:b w:val="false"/>
          <w:i w:val="false"/>
          <w:color w:val="000000"/>
          <w:sz w:val="28"/>
        </w:rPr>
        <w:t>
</w:t>
      </w:r>
    </w:p>
    <w:bookmarkStart w:name="z1542" w:id="1544"/>
    <w:p>
      <w:pPr>
        <w:spacing w:after="0"/>
        <w:ind w:left="0"/>
        <w:jc w:val="both"/>
      </w:pPr>
      <w:r>
        <w:rPr>
          <w:rFonts w:ascii="Times New Roman"/>
          <w:b w:val="false"/>
          <w:i w:val="false"/>
          <w:color w:val="000000"/>
          <w:sz w:val="28"/>
        </w:rPr>
        <w:t>
      4) на судах длиной 200 м и более в средних и бортовых танках предусматривают днищевые стрингеры посередине расстояния между продольной переборкой и вертикальным килем, а также между продольной переборкой и бортом.</w:t>
      </w:r>
    </w:p>
    <w:bookmarkEnd w:id="1544"/>
    <w:bookmarkStart w:name="z1543" w:id="1545"/>
    <w:p>
      <w:pPr>
        <w:spacing w:after="0"/>
        <w:ind w:left="0"/>
        <w:jc w:val="both"/>
      </w:pPr>
      <w:r>
        <w:rPr>
          <w:rFonts w:ascii="Times New Roman"/>
          <w:b w:val="false"/>
          <w:i w:val="false"/>
          <w:color w:val="000000"/>
          <w:sz w:val="28"/>
        </w:rPr>
        <w:t>
      Момент сопротивления высоких днищевых стрингеров при их установке согласно пункту 333 настоящих Правил равен не менее 0,5 момента сопротивления вертикального киля. При этом допускается снижение моментов сопротивления вертикального киля согласно подпункту 3) пункта 340 настоящих Правил и флора согласно подпункту 2) пункта 340 настоящих Правил на 15 %.</w:t>
      </w:r>
    </w:p>
    <w:bookmarkEnd w:id="1545"/>
    <w:bookmarkStart w:name="z1544" w:id="1546"/>
    <w:p>
      <w:pPr>
        <w:spacing w:after="0"/>
        <w:ind w:left="0"/>
        <w:jc w:val="both"/>
      </w:pPr>
      <w:r>
        <w:rPr>
          <w:rFonts w:ascii="Times New Roman"/>
          <w:b w:val="false"/>
          <w:i w:val="false"/>
          <w:color w:val="000000"/>
          <w:sz w:val="28"/>
        </w:rPr>
        <w:t>
      Момент сопротивления низких днищевых стрингеров при их установке согласно пункту 333 настоящих Правил должен быть не менее момента сопротивления флора;</w:t>
      </w:r>
    </w:p>
    <w:bookmarkEnd w:id="1546"/>
    <w:bookmarkStart w:name="z1545" w:id="1547"/>
    <w:p>
      <w:pPr>
        <w:spacing w:after="0"/>
        <w:ind w:left="0"/>
        <w:jc w:val="both"/>
      </w:pPr>
      <w:r>
        <w:rPr>
          <w:rFonts w:ascii="Times New Roman"/>
          <w:b w:val="false"/>
          <w:i w:val="false"/>
          <w:color w:val="000000"/>
          <w:sz w:val="28"/>
        </w:rPr>
        <w:t>
      5) взамен требований подпунктов 2) – 4) пункта 340 настоящих Правил размеры флоров, вертикального киля и днищевых стрингеров выбирают на основании расчета днищевого перекрытия как стержневой системы. Расчетные нагрузки при этом выбираются согласно пункту 338 настоящих Правил, коэффициенты допускаемых напряжений — согласно подпунктов 2) и 3) пункта 340 настоящих Правил, граничные условия — в зависимости от распределения груза по длине и ширине судна и типа конструкций, смежных с рассчитываемой; обязателен учет влияния книц;</w:t>
      </w:r>
    </w:p>
    <w:bookmarkEnd w:id="1547"/>
    <w:bookmarkStart w:name="z1546" w:id="1548"/>
    <w:p>
      <w:pPr>
        <w:spacing w:after="0"/>
        <w:ind w:left="0"/>
        <w:jc w:val="both"/>
      </w:pPr>
      <w:r>
        <w:rPr>
          <w:rFonts w:ascii="Times New Roman"/>
          <w:b w:val="false"/>
          <w:i w:val="false"/>
          <w:color w:val="000000"/>
          <w:sz w:val="28"/>
        </w:rPr>
        <w:t>
      6) в машинном отделении толщина стенок флоров и днищевых стрингеров допускают не менее толщины стенки вертикального киля.</w:t>
      </w:r>
    </w:p>
    <w:bookmarkEnd w:id="1548"/>
    <w:bookmarkStart w:name="z1547" w:id="1549"/>
    <w:p>
      <w:pPr>
        <w:spacing w:after="0"/>
        <w:ind w:left="0"/>
        <w:jc w:val="both"/>
      </w:pPr>
      <w:r>
        <w:rPr>
          <w:rFonts w:ascii="Times New Roman"/>
          <w:b w:val="false"/>
          <w:i w:val="false"/>
          <w:color w:val="000000"/>
          <w:sz w:val="28"/>
        </w:rPr>
        <w:t>
      Если стрингер одновременно является стенкой фундамента, его толщина равна не менее толщины стенки фундамента согласно параграфу 2 главы 23 настоящих Правил. Высота флоров увеличивается в соответствии с высотой установки фундамента.</w:t>
      </w:r>
    </w:p>
    <w:bookmarkEnd w:id="1549"/>
    <w:bookmarkStart w:name="z1548" w:id="1550"/>
    <w:p>
      <w:pPr>
        <w:spacing w:after="0"/>
        <w:ind w:left="0"/>
        <w:jc w:val="both"/>
      </w:pPr>
      <w:r>
        <w:rPr>
          <w:rFonts w:ascii="Times New Roman"/>
          <w:b w:val="false"/>
          <w:i w:val="false"/>
          <w:color w:val="000000"/>
          <w:sz w:val="28"/>
        </w:rPr>
        <w:t xml:space="preserve">
      341. Связи одинарного дна имеет толщину, </w:t>
      </w:r>
      <w:r>
        <w:rPr>
          <w:rFonts w:ascii="Times New Roman"/>
          <w:b w:val="false"/>
          <w:i/>
          <w:color w:val="000000"/>
          <w:sz w:val="28"/>
        </w:rPr>
        <w:t>s</w:t>
      </w:r>
      <w:r>
        <w:rPr>
          <w:rFonts w:ascii="Times New Roman"/>
          <w:b w:val="false"/>
          <w:i w:val="false"/>
          <w:color w:val="000000"/>
          <w:sz w:val="28"/>
        </w:rPr>
        <w:t>, мм, не менее определяемой по формулам:</w:t>
      </w:r>
    </w:p>
    <w:bookmarkEnd w:id="15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5,3 + 0,04</w:t>
      </w:r>
      <w:r>
        <w:rPr>
          <w:rFonts w:ascii="Times New Roman"/>
          <w:b w:val="false"/>
          <w:i/>
          <w:color w:val="000000"/>
          <w:sz w:val="28"/>
        </w:rPr>
        <w:t>L</w:t>
      </w: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&lt; 80 м;              (92)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6,5 + 0,025</w:t>
      </w:r>
      <w:r>
        <w:rPr>
          <w:rFonts w:ascii="Times New Roman"/>
          <w:b w:val="false"/>
          <w:i/>
          <w:color w:val="000000"/>
          <w:sz w:val="28"/>
        </w:rPr>
        <w:t>L</w:t>
      </w:r>
      <w:r>
        <w:rPr>
          <w:rFonts w:ascii="Times New Roman"/>
          <w:b w:val="false"/>
          <w:i w:val="false"/>
          <w:color w:val="000000"/>
          <w:sz w:val="28"/>
        </w:rPr>
        <w:t xml:space="preserve"> при </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xml:space="preserve"> 80 м.              (93)</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250 м принимается </w:t>
      </w:r>
      <w:r>
        <w:rPr>
          <w:rFonts w:ascii="Times New Roman"/>
          <w:b w:val="false"/>
          <w:i/>
          <w:color w:val="000000"/>
          <w:sz w:val="28"/>
        </w:rPr>
        <w:t>L</w:t>
      </w:r>
      <w:r>
        <w:rPr>
          <w:rFonts w:ascii="Times New Roman"/>
          <w:b w:val="false"/>
          <w:i w:val="false"/>
          <w:color w:val="000000"/>
          <w:sz w:val="28"/>
        </w:rPr>
        <w:t xml:space="preserve"> = 250 м.</w:t>
      </w:r>
    </w:p>
    <w:bookmarkStart w:name="z1549" w:id="1551"/>
    <w:p>
      <w:pPr>
        <w:spacing w:after="0"/>
        <w:ind w:left="0"/>
        <w:jc w:val="both"/>
      </w:pPr>
      <w:r>
        <w:rPr>
          <w:rFonts w:ascii="Times New Roman"/>
          <w:b w:val="false"/>
          <w:i w:val="false"/>
          <w:color w:val="000000"/>
          <w:sz w:val="28"/>
        </w:rPr>
        <w:t xml:space="preserve">
      У вертикального киля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увеличивают на 1,5 мм, но не превышает толщину горизонтального киля; у флоров толщина стенки не превышает толщину наружной обшивки днища.</w:t>
      </w:r>
    </w:p>
    <w:bookmarkEnd w:id="1551"/>
    <w:bookmarkStart w:name="z1550" w:id="1552"/>
    <w:p>
      <w:pPr>
        <w:spacing w:after="0"/>
        <w:ind w:left="0"/>
        <w:jc w:val="both"/>
      </w:pPr>
      <w:r>
        <w:rPr>
          <w:rFonts w:ascii="Times New Roman"/>
          <w:b w:val="false"/>
          <w:i w:val="false"/>
          <w:color w:val="000000"/>
          <w:sz w:val="28"/>
        </w:rPr>
        <w:t>
      Минимальная толщина связей одинарного дна наливных судов также отвечает требованиям параграфа 3 главы 33 настоящих Правил в зависимости от того, что больше.</w:t>
      </w:r>
    </w:p>
    <w:bookmarkEnd w:id="1552"/>
    <w:bookmarkStart w:name="z1551" w:id="1553"/>
    <w:p>
      <w:pPr>
        <w:spacing w:after="0"/>
        <w:ind w:left="0"/>
        <w:jc w:val="left"/>
      </w:pPr>
      <w:r>
        <w:rPr>
          <w:rFonts w:ascii="Times New Roman"/>
          <w:b/>
          <w:i w:val="false"/>
          <w:color w:val="000000"/>
        </w:rPr>
        <w:t xml:space="preserve"> Параграф 3. Специальные требования</w:t>
      </w:r>
    </w:p>
    <w:bookmarkEnd w:id="1553"/>
    <w:bookmarkStart w:name="z1552" w:id="1554"/>
    <w:p>
      <w:pPr>
        <w:spacing w:after="0"/>
        <w:ind w:left="0"/>
        <w:jc w:val="both"/>
      </w:pPr>
      <w:r>
        <w:rPr>
          <w:rFonts w:ascii="Times New Roman"/>
          <w:b w:val="false"/>
          <w:i w:val="false"/>
          <w:color w:val="000000"/>
          <w:sz w:val="28"/>
        </w:rPr>
        <w:t>
      342. Крепление концов днищевых связей и подкрепления стенок рамных балок отвечают следующим требованиям:</w:t>
      </w:r>
    </w:p>
    <w:bookmarkEnd w:id="1554"/>
    <w:bookmarkStart w:name="z1553" w:id="1555"/>
    <w:p>
      <w:pPr>
        <w:spacing w:after="0"/>
        <w:ind w:left="0"/>
        <w:jc w:val="both"/>
      </w:pPr>
      <w:r>
        <w:rPr>
          <w:rFonts w:ascii="Times New Roman"/>
          <w:b w:val="false"/>
          <w:i w:val="false"/>
          <w:color w:val="000000"/>
          <w:sz w:val="28"/>
        </w:rPr>
        <w:t>
      1) вертикальный киль и днищевые стрингеры крепятся к поперечным переборкам кницами. Размеры книц установлены пунктом 272-274 настоящих Правил;</w:t>
      </w:r>
    </w:p>
    <w:bookmarkEnd w:id="1555"/>
    <w:bookmarkStart w:name="z1554" w:id="1556"/>
    <w:p>
      <w:pPr>
        <w:spacing w:after="0"/>
        <w:ind w:left="0"/>
        <w:jc w:val="both"/>
      </w:pPr>
      <w:r>
        <w:rPr>
          <w:rFonts w:ascii="Times New Roman"/>
          <w:b w:val="false"/>
          <w:i w:val="false"/>
          <w:color w:val="000000"/>
          <w:sz w:val="28"/>
        </w:rPr>
        <w:t>
      2) на сухогрузных судах высоту книц уменьшают до половины высоты вертикального киля, если поясок вертикального киля приваривается к поперечной переборке. Кницы не устанавливаются при уширении пояска вертикального киля в месте его притыкания к поперечной переборке не менее чем в два раза. Если вертикальный киль не устанавливается в машинном отделении, то в местах обрыва вертикальный киль за переборкой заканчивается плавно снижающейся кницей, имеющей длину, равную удвоенной высоте вертикального киля, но не менее трех шпаций;</w:t>
      </w:r>
    </w:p>
    <w:bookmarkEnd w:id="1556"/>
    <w:bookmarkStart w:name="z1555" w:id="1557"/>
    <w:p>
      <w:pPr>
        <w:spacing w:after="0"/>
        <w:ind w:left="0"/>
        <w:jc w:val="both"/>
      </w:pPr>
      <w:r>
        <w:rPr>
          <w:rFonts w:ascii="Times New Roman"/>
          <w:b w:val="false"/>
          <w:i w:val="false"/>
          <w:color w:val="000000"/>
          <w:sz w:val="28"/>
        </w:rPr>
        <w:t>
      3) на наливных судах флоры крепятся к рамным шпангоутам и/или рамным стойкам продольных переборок кницами. Размеры книц установлены пунктом 272-274 настоящих Правил.</w:t>
      </w:r>
    </w:p>
    <w:bookmarkEnd w:id="1557"/>
    <w:bookmarkStart w:name="z1556" w:id="1558"/>
    <w:p>
      <w:pPr>
        <w:spacing w:after="0"/>
        <w:ind w:left="0"/>
        <w:jc w:val="both"/>
      </w:pPr>
      <w:r>
        <w:rPr>
          <w:rFonts w:ascii="Times New Roman"/>
          <w:b w:val="false"/>
          <w:i w:val="false"/>
          <w:color w:val="000000"/>
          <w:sz w:val="28"/>
        </w:rPr>
        <w:t>
      343. При поперечной системе набора вырезы во флорах допускаются диаметром не более 0,5 их высоты в данном месте. Кромка выреза не располагается от пояска флора ближе, чем на 0,25 его высоты в данном месте. Расстояние между кромками соседних вырезов составляет не менее высоты флора. Листы флора при наличии выреза подкрепляют вертикальными ребрами жесткости.</w:t>
      </w:r>
    </w:p>
    <w:bookmarkEnd w:id="1558"/>
    <w:bookmarkStart w:name="z1557" w:id="1559"/>
    <w:p>
      <w:pPr>
        <w:spacing w:after="0"/>
        <w:ind w:left="0"/>
        <w:jc w:val="both"/>
      </w:pPr>
      <w:r>
        <w:rPr>
          <w:rFonts w:ascii="Times New Roman"/>
          <w:b w:val="false"/>
          <w:i w:val="false"/>
          <w:color w:val="000000"/>
          <w:sz w:val="28"/>
        </w:rPr>
        <w:t>
      344. В стенках стрингеров и флоров предусматривают отверстия для протока воды.</w:t>
      </w:r>
    </w:p>
    <w:bookmarkEnd w:id="1559"/>
    <w:bookmarkStart w:name="z1558" w:id="1560"/>
    <w:p>
      <w:pPr>
        <w:spacing w:after="0"/>
        <w:ind w:left="0"/>
        <w:jc w:val="left"/>
      </w:pPr>
      <w:r>
        <w:rPr>
          <w:rFonts w:ascii="Times New Roman"/>
          <w:b/>
          <w:i w:val="false"/>
          <w:color w:val="000000"/>
        </w:rPr>
        <w:t xml:space="preserve"> Глава 18. Двойное дно</w:t>
      </w:r>
    </w:p>
    <w:bookmarkEnd w:id="1560"/>
    <w:p>
      <w:pPr>
        <w:spacing w:after="0"/>
        <w:ind w:left="0"/>
        <w:jc w:val="both"/>
      </w:pPr>
      <w:r>
        <w:rPr>
          <w:rFonts w:ascii="Times New Roman"/>
          <w:b w:val="false"/>
          <w:i w:val="false"/>
          <w:color w:val="ff0000"/>
          <w:sz w:val="28"/>
        </w:rPr>
        <w:t xml:space="preserve">
      Сноска. Заголовок главы 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9" w:id="1561"/>
    <w:p>
      <w:pPr>
        <w:spacing w:after="0"/>
        <w:ind w:left="0"/>
        <w:jc w:val="left"/>
      </w:pPr>
      <w:r>
        <w:rPr>
          <w:rFonts w:ascii="Times New Roman"/>
          <w:b/>
          <w:i w:val="false"/>
          <w:color w:val="000000"/>
        </w:rPr>
        <w:t xml:space="preserve"> Параграф 1. Общие положения, конструкция</w:t>
      </w:r>
    </w:p>
    <w:bookmarkEnd w:id="1561"/>
    <w:bookmarkStart w:name="z1560" w:id="1562"/>
    <w:p>
      <w:pPr>
        <w:spacing w:after="0"/>
        <w:ind w:left="0"/>
        <w:jc w:val="both"/>
      </w:pPr>
      <w:r>
        <w:rPr>
          <w:rFonts w:ascii="Times New Roman"/>
          <w:b w:val="false"/>
          <w:i w:val="false"/>
          <w:color w:val="000000"/>
          <w:sz w:val="28"/>
        </w:rPr>
        <w:t>
      345. В главе приводятся требования к конструкциям двойного дна, включающим набор днища до верха закругления скулы, настил второго дна с набором, вертикальный или туннельный киль, стрингеры и полустрингеры, междудонный лист с подкрепляющими их ребрами жесткости, бракеты, кницы и промежуточные подкрепляющие стойки в междудонном пространстве, кингстонные ящики и сточные колодцы.</w:t>
      </w:r>
    </w:p>
    <w:bookmarkEnd w:id="1562"/>
    <w:bookmarkStart w:name="z1561" w:id="1563"/>
    <w:p>
      <w:pPr>
        <w:spacing w:after="0"/>
        <w:ind w:left="0"/>
        <w:jc w:val="both"/>
      </w:pPr>
      <w:r>
        <w:rPr>
          <w:rFonts w:ascii="Times New Roman"/>
          <w:b w:val="false"/>
          <w:i w:val="false"/>
          <w:color w:val="000000"/>
          <w:sz w:val="28"/>
        </w:rPr>
        <w:t>
      Дополнительные требования к устройству двойного дна на пассажирских судах приведены в пункте 144, на грузовых судах, не являющихся наливными судами, — в пункте 145, на контейнерных судах — в главе 28, на навалочных и нефтенавалочных судах — в главе 30, на рудовозах и нефтерудовозах — в главе 31, на ледоколах — в главе 38 настоящих Правил.</w:t>
      </w:r>
    </w:p>
    <w:bookmarkEnd w:id="1563"/>
    <w:bookmarkStart w:name="z1562" w:id="1564"/>
    <w:p>
      <w:pPr>
        <w:spacing w:after="0"/>
        <w:ind w:left="0"/>
        <w:jc w:val="both"/>
      </w:pPr>
      <w:r>
        <w:rPr>
          <w:rFonts w:ascii="Times New Roman"/>
          <w:b w:val="false"/>
          <w:i w:val="false"/>
          <w:color w:val="000000"/>
          <w:sz w:val="28"/>
        </w:rPr>
        <w:t>
      346. На наливных судах длиной 80 м и более, судах для навалочных грузов и рудовозах, а также на нефтенавалочных и нефтерудовозах применяется продольная система набора двойного дна.</w:t>
      </w:r>
    </w:p>
    <w:bookmarkEnd w:id="1564"/>
    <w:bookmarkStart w:name="z1563" w:id="1565"/>
    <w:p>
      <w:pPr>
        <w:spacing w:after="0"/>
        <w:ind w:left="0"/>
        <w:jc w:val="both"/>
      </w:pPr>
      <w:r>
        <w:rPr>
          <w:rFonts w:ascii="Times New Roman"/>
          <w:b w:val="false"/>
          <w:i w:val="false"/>
          <w:color w:val="000000"/>
          <w:sz w:val="28"/>
        </w:rPr>
        <w:t>
      347. Вертикальный киль продлевается как можно дальше в нос и в корму к штевням и по возможности соединяться с ними. В средней части судна на длине не менее 0,6</w:t>
      </w:r>
      <w:r>
        <w:rPr>
          <w:rFonts w:ascii="Times New Roman"/>
          <w:b w:val="false"/>
          <w:i/>
          <w:color w:val="000000"/>
          <w:sz w:val="28"/>
        </w:rPr>
        <w:t>L</w:t>
      </w:r>
      <w:r>
        <w:rPr>
          <w:rFonts w:ascii="Times New Roman"/>
          <w:b w:val="false"/>
          <w:i w:val="false"/>
          <w:color w:val="000000"/>
          <w:sz w:val="28"/>
        </w:rPr>
        <w:t xml:space="preserve"> вертикальный киль, как правило, непрерывный. При продольной системе набора двойного дна по обеим сторонам вертикального киля устанавливаются бракеты, которые доводят до ближайшей продольной балки или облегченного стрингера и приварены к ним. Расстояние между бракетами не превышает 1,2 м.</w:t>
      </w:r>
    </w:p>
    <w:bookmarkEnd w:id="1565"/>
    <w:bookmarkStart w:name="z1564" w:id="1566"/>
    <w:p>
      <w:pPr>
        <w:spacing w:after="0"/>
        <w:ind w:left="0"/>
        <w:jc w:val="both"/>
      </w:pPr>
      <w:r>
        <w:rPr>
          <w:rFonts w:ascii="Times New Roman"/>
          <w:b w:val="false"/>
          <w:i w:val="false"/>
          <w:color w:val="000000"/>
          <w:sz w:val="28"/>
        </w:rPr>
        <w:t>
      348. Вместо вертикального киля устанавливается туннельный киль, состоящий из двух стенок, расположенных по обе стороны от диаметральной плоскости. Ширина туннельного киля обеспечивает доступ ко всем его конструкциям. Ширина туннельного киля более 1,9 м является предметом специального рассмотрения Регистром судоходства.</w:t>
      </w:r>
    </w:p>
    <w:bookmarkEnd w:id="1566"/>
    <w:bookmarkStart w:name="z1565" w:id="1567"/>
    <w:p>
      <w:pPr>
        <w:spacing w:after="0"/>
        <w:ind w:left="0"/>
        <w:jc w:val="both"/>
      </w:pPr>
      <w:r>
        <w:rPr>
          <w:rFonts w:ascii="Times New Roman"/>
          <w:b w:val="false"/>
          <w:i w:val="false"/>
          <w:color w:val="000000"/>
          <w:sz w:val="28"/>
        </w:rPr>
        <w:t>
      По днищу и настилу второго дна между стенками туннельного киля в плоскости каждого шпангоута устанавливают поперечные балки с кницами или бракеты.</w:t>
      </w:r>
    </w:p>
    <w:bookmarkEnd w:id="1567"/>
    <w:bookmarkStart w:name="z1566" w:id="1568"/>
    <w:p>
      <w:pPr>
        <w:spacing w:after="0"/>
        <w:ind w:left="0"/>
        <w:jc w:val="both"/>
      </w:pPr>
      <w:r>
        <w:rPr>
          <w:rFonts w:ascii="Times New Roman"/>
          <w:b w:val="false"/>
          <w:i w:val="false"/>
          <w:color w:val="000000"/>
          <w:sz w:val="28"/>
        </w:rPr>
        <w:t>
      При продольной системе набора по обеим сторонам туннельного киля на каждой шпации устанавливают бракеты, по конструкции аналогичные бракетам вертикального киля.</w:t>
      </w:r>
    </w:p>
    <w:bookmarkEnd w:id="1568"/>
    <w:bookmarkStart w:name="z1567" w:id="1569"/>
    <w:p>
      <w:pPr>
        <w:spacing w:after="0"/>
        <w:ind w:left="0"/>
        <w:jc w:val="both"/>
      </w:pPr>
      <w:r>
        <w:rPr>
          <w:rFonts w:ascii="Times New Roman"/>
          <w:b w:val="false"/>
          <w:i w:val="false"/>
          <w:color w:val="000000"/>
          <w:sz w:val="28"/>
        </w:rPr>
        <w:t>
      Если туннельный киль, устанавливаемый только на части длины судна, прерывается и переходит в вертикальный, стенки туннельного и вертикального килей перекрывают друг друга на длине не менее одной шпации и заканчиваются кницами с поясками. При этом, если места перехода расположены в пределах 0,6</w:t>
      </w:r>
      <w:r>
        <w:rPr>
          <w:rFonts w:ascii="Times New Roman"/>
          <w:b w:val="false"/>
          <w:i/>
          <w:color w:val="000000"/>
          <w:sz w:val="28"/>
        </w:rPr>
        <w:t>L</w:t>
      </w:r>
      <w:r>
        <w:rPr>
          <w:rFonts w:ascii="Times New Roman"/>
          <w:b w:val="false"/>
          <w:i w:val="false"/>
          <w:color w:val="000000"/>
          <w:sz w:val="28"/>
        </w:rPr>
        <w:t xml:space="preserve"> средней части судна, длина книц равна не менее трех шпаций, в остальных районах — не менее двух.</w:t>
      </w:r>
    </w:p>
    <w:bookmarkEnd w:id="1569"/>
    <w:bookmarkStart w:name="z1568" w:id="1570"/>
    <w:p>
      <w:pPr>
        <w:spacing w:after="0"/>
        <w:ind w:left="0"/>
        <w:jc w:val="both"/>
      </w:pPr>
      <w:r>
        <w:rPr>
          <w:rFonts w:ascii="Times New Roman"/>
          <w:b w:val="false"/>
          <w:i w:val="false"/>
          <w:color w:val="000000"/>
          <w:sz w:val="28"/>
        </w:rPr>
        <w:t>
      349. Конструкции днищевых стрингеров и междудонного листа отвечают следующим требованиям:</w:t>
      </w:r>
    </w:p>
    <w:bookmarkEnd w:id="1570"/>
    <w:bookmarkStart w:name="z1569" w:id="1571"/>
    <w:p>
      <w:pPr>
        <w:spacing w:after="0"/>
        <w:ind w:left="0"/>
        <w:jc w:val="both"/>
      </w:pPr>
      <w:r>
        <w:rPr>
          <w:rFonts w:ascii="Times New Roman"/>
          <w:b w:val="false"/>
          <w:i w:val="false"/>
          <w:color w:val="000000"/>
          <w:sz w:val="28"/>
        </w:rPr>
        <w:t>
      1) расстояние между днищевыми стрингерами, днищевым стрингером и вертикальным килем или междудонным листом, измеренное на уровне настила второго дна, не превышает 4,2 м при поперечной системе набора и 5,0 м при продольной системе набора;</w:t>
      </w:r>
    </w:p>
    <w:bookmarkEnd w:id="1571"/>
    <w:bookmarkStart w:name="z1570" w:id="1572"/>
    <w:p>
      <w:pPr>
        <w:spacing w:after="0"/>
        <w:ind w:left="0"/>
        <w:jc w:val="both"/>
      </w:pPr>
      <w:r>
        <w:rPr>
          <w:rFonts w:ascii="Times New Roman"/>
          <w:b w:val="false"/>
          <w:i w:val="false"/>
          <w:color w:val="000000"/>
          <w:sz w:val="28"/>
        </w:rPr>
        <w:t>
      2) при продольной системе набора двойного дна возможна установка облегченных стрингеров (панели с большими вырезами — подпункты 2) и 4) пункт 352 настоящих Правил) вместо продольных балок по днищу и второму дну;</w:t>
      </w:r>
    </w:p>
    <w:bookmarkEnd w:id="1572"/>
    <w:bookmarkStart w:name="z1571" w:id="1573"/>
    <w:p>
      <w:pPr>
        <w:spacing w:after="0"/>
        <w:ind w:left="0"/>
        <w:jc w:val="both"/>
      </w:pPr>
      <w:r>
        <w:rPr>
          <w:rFonts w:ascii="Times New Roman"/>
          <w:b w:val="false"/>
          <w:i w:val="false"/>
          <w:color w:val="000000"/>
          <w:sz w:val="28"/>
        </w:rPr>
        <w:t>
      3) если на судне устанавливаются два симметричных относительно диаметральной плоскости туннеля, их конструкции являются предметом специального рассмотрения Регистром судоходства;</w:t>
      </w:r>
    </w:p>
    <w:bookmarkEnd w:id="1573"/>
    <w:bookmarkStart w:name="z1572" w:id="1574"/>
    <w:p>
      <w:pPr>
        <w:spacing w:after="0"/>
        <w:ind w:left="0"/>
        <w:jc w:val="both"/>
      </w:pPr>
      <w:r>
        <w:rPr>
          <w:rFonts w:ascii="Times New Roman"/>
          <w:b w:val="false"/>
          <w:i w:val="false"/>
          <w:color w:val="000000"/>
          <w:sz w:val="28"/>
        </w:rPr>
        <w:t>
      4) в районе машинного отделения расположение днищевых стрингеров согласовывается с расположением фундаментов под механизмы, котлы и упорные подшипники так, чтобы по крайней мере одна из продольных балок фундамента была совмещена в одной плоскости с днищевым стрингером. В плоскости второй продольной балки фундамента в этом случае предусматривают дополнительный стрингер.</w:t>
      </w:r>
    </w:p>
    <w:bookmarkEnd w:id="1574"/>
    <w:bookmarkStart w:name="z1573" w:id="1575"/>
    <w:p>
      <w:pPr>
        <w:spacing w:after="0"/>
        <w:ind w:left="0"/>
        <w:jc w:val="both"/>
      </w:pPr>
      <w:r>
        <w:rPr>
          <w:rFonts w:ascii="Times New Roman"/>
          <w:b w:val="false"/>
          <w:i w:val="false"/>
          <w:color w:val="000000"/>
          <w:sz w:val="28"/>
        </w:rPr>
        <w:t>
      При невозможности совмещения стрингеров с продольными балками фундамента под каждой из них устанавливают дополнительные стрингеры.</w:t>
      </w:r>
    </w:p>
    <w:bookmarkEnd w:id="1575"/>
    <w:bookmarkStart w:name="z1574" w:id="1576"/>
    <w:p>
      <w:pPr>
        <w:spacing w:after="0"/>
        <w:ind w:left="0"/>
        <w:jc w:val="both"/>
      </w:pPr>
      <w:r>
        <w:rPr>
          <w:rFonts w:ascii="Times New Roman"/>
          <w:b w:val="false"/>
          <w:i w:val="false"/>
          <w:color w:val="000000"/>
          <w:sz w:val="28"/>
        </w:rPr>
        <w:t>
      По согласованию с Регистром судоходства вместо дополнительных стрингеров допускают полустрингеры, приваренные только к настилу второго дна и флорам;</w:t>
      </w:r>
    </w:p>
    <w:bookmarkEnd w:id="1576"/>
    <w:bookmarkStart w:name="z1575" w:id="1577"/>
    <w:p>
      <w:pPr>
        <w:spacing w:after="0"/>
        <w:ind w:left="0"/>
        <w:jc w:val="both"/>
      </w:pPr>
      <w:r>
        <w:rPr>
          <w:rFonts w:ascii="Times New Roman"/>
          <w:b w:val="false"/>
          <w:i w:val="false"/>
          <w:color w:val="000000"/>
          <w:sz w:val="28"/>
        </w:rPr>
        <w:t>
      5) наклонный междудонный лист, если он устанавливается, продолжается по всей длине двойного дна.</w:t>
      </w:r>
    </w:p>
    <w:bookmarkEnd w:id="1577"/>
    <w:bookmarkStart w:name="z1576" w:id="1578"/>
    <w:p>
      <w:pPr>
        <w:spacing w:after="0"/>
        <w:ind w:left="0"/>
        <w:jc w:val="both"/>
      </w:pPr>
      <w:r>
        <w:rPr>
          <w:rFonts w:ascii="Times New Roman"/>
          <w:b w:val="false"/>
          <w:i w:val="false"/>
          <w:color w:val="000000"/>
          <w:sz w:val="28"/>
        </w:rPr>
        <w:t>
      350. Расположение и конструкция флоров отвечают следующим требованиям:</w:t>
      </w:r>
    </w:p>
    <w:bookmarkEnd w:id="1578"/>
    <w:bookmarkStart w:name="z1577" w:id="1579"/>
    <w:p>
      <w:pPr>
        <w:spacing w:after="0"/>
        <w:ind w:left="0"/>
        <w:jc w:val="both"/>
      </w:pPr>
      <w:r>
        <w:rPr>
          <w:rFonts w:ascii="Times New Roman"/>
          <w:b w:val="false"/>
          <w:i w:val="false"/>
          <w:color w:val="000000"/>
          <w:sz w:val="28"/>
        </w:rPr>
        <w:t>
      1) при поперечной системе набора двойного дна сплошные флоры должны быть установлены на каждом шпангоуте:</w:t>
      </w:r>
    </w:p>
    <w:bookmarkEnd w:id="1579"/>
    <w:bookmarkStart w:name="z1578" w:id="1580"/>
    <w:p>
      <w:pPr>
        <w:spacing w:after="0"/>
        <w:ind w:left="0"/>
        <w:jc w:val="both"/>
      </w:pPr>
      <w:r>
        <w:rPr>
          <w:rFonts w:ascii="Times New Roman"/>
          <w:b w:val="false"/>
          <w:i w:val="false"/>
          <w:color w:val="000000"/>
          <w:sz w:val="28"/>
        </w:rPr>
        <w:t>
      в машинном и котельном отделениях;</w:t>
      </w:r>
    </w:p>
    <w:bookmarkEnd w:id="1580"/>
    <w:bookmarkStart w:name="z1579" w:id="1581"/>
    <w:p>
      <w:pPr>
        <w:spacing w:after="0"/>
        <w:ind w:left="0"/>
        <w:jc w:val="both"/>
      </w:pPr>
      <w:r>
        <w:rPr>
          <w:rFonts w:ascii="Times New Roman"/>
          <w:b w:val="false"/>
          <w:i w:val="false"/>
          <w:color w:val="000000"/>
          <w:sz w:val="28"/>
        </w:rPr>
        <w:t>
      в носовой оконечности в районе 0,25</w:t>
      </w:r>
      <w:r>
        <w:rPr>
          <w:rFonts w:ascii="Times New Roman"/>
          <w:b w:val="false"/>
          <w:i/>
          <w:color w:val="000000"/>
          <w:sz w:val="28"/>
        </w:rPr>
        <w:t>L</w:t>
      </w:r>
      <w:r>
        <w:rPr>
          <w:rFonts w:ascii="Times New Roman"/>
          <w:b w:val="false"/>
          <w:i w:val="false"/>
          <w:color w:val="000000"/>
          <w:sz w:val="28"/>
        </w:rPr>
        <w:t>, от носового перпендикуляра;</w:t>
      </w:r>
    </w:p>
    <w:bookmarkEnd w:id="1581"/>
    <w:bookmarkStart w:name="z1580" w:id="1582"/>
    <w:p>
      <w:pPr>
        <w:spacing w:after="0"/>
        <w:ind w:left="0"/>
        <w:jc w:val="both"/>
      </w:pPr>
      <w:r>
        <w:rPr>
          <w:rFonts w:ascii="Times New Roman"/>
          <w:b w:val="false"/>
          <w:i w:val="false"/>
          <w:color w:val="000000"/>
          <w:sz w:val="28"/>
        </w:rPr>
        <w:t>
      в трюмах, предназначенных для перевозки тяжелых грузов и руды, а также в тех случаях, когда в трюме предусматривается систематическая работа грейферами;</w:t>
      </w:r>
    </w:p>
    <w:bookmarkEnd w:id="1582"/>
    <w:bookmarkStart w:name="z1581" w:id="1583"/>
    <w:p>
      <w:pPr>
        <w:spacing w:after="0"/>
        <w:ind w:left="0"/>
        <w:jc w:val="both"/>
      </w:pPr>
      <w:r>
        <w:rPr>
          <w:rFonts w:ascii="Times New Roman"/>
          <w:b w:val="false"/>
          <w:i w:val="false"/>
          <w:color w:val="000000"/>
          <w:sz w:val="28"/>
        </w:rPr>
        <w:t>
      на судах, которые во время отлива при стоянке могут оказаться на грунте.</w:t>
      </w:r>
    </w:p>
    <w:bookmarkEnd w:id="1583"/>
    <w:bookmarkStart w:name="z1582" w:id="1584"/>
    <w:p>
      <w:pPr>
        <w:spacing w:after="0"/>
        <w:ind w:left="0"/>
        <w:jc w:val="both"/>
      </w:pPr>
      <w:r>
        <w:rPr>
          <w:rFonts w:ascii="Times New Roman"/>
          <w:b w:val="false"/>
          <w:i w:val="false"/>
          <w:color w:val="000000"/>
          <w:sz w:val="28"/>
        </w:rPr>
        <w:t>
      В прочих районах допускается установка сплошных флоров через пять шпаций или 3,6 м в зависимости от того, что меньше. В этом случае между ними устанавливают открытые флоры (бракетные или облегченные).</w:t>
      </w:r>
    </w:p>
    <w:bookmarkEnd w:id="1584"/>
    <w:bookmarkStart w:name="z1583" w:id="1585"/>
    <w:p>
      <w:pPr>
        <w:spacing w:after="0"/>
        <w:ind w:left="0"/>
        <w:jc w:val="both"/>
      </w:pPr>
      <w:r>
        <w:rPr>
          <w:rFonts w:ascii="Times New Roman"/>
          <w:b w:val="false"/>
          <w:i w:val="false"/>
          <w:color w:val="000000"/>
          <w:sz w:val="28"/>
        </w:rPr>
        <w:t>
      Бракетные флоры состоят из нижних (по днищу) и верхних (по второму дну) балок, соединенных бракетами у вертикального киля, днищевых стрингеров и междудонного листа (приложение 56 настоящих Правил).</w:t>
      </w:r>
    </w:p>
    <w:bookmarkEnd w:id="1585"/>
    <w:bookmarkStart w:name="z1584" w:id="1586"/>
    <w:p>
      <w:pPr>
        <w:spacing w:after="0"/>
        <w:ind w:left="0"/>
        <w:jc w:val="both"/>
      </w:pPr>
      <w:r>
        <w:rPr>
          <w:rFonts w:ascii="Times New Roman"/>
          <w:b w:val="false"/>
          <w:i w:val="false"/>
          <w:color w:val="000000"/>
          <w:sz w:val="28"/>
        </w:rPr>
        <w:t>
      Облегченные флоры состоят из листовых панелей, имеющих между стрингерами большие вырезы плавной формы (приложение 57 настоящих Правил);</w:t>
      </w:r>
    </w:p>
    <w:bookmarkEnd w:id="1586"/>
    <w:bookmarkStart w:name="z1585" w:id="1587"/>
    <w:p>
      <w:pPr>
        <w:spacing w:after="0"/>
        <w:ind w:left="0"/>
        <w:jc w:val="both"/>
      </w:pPr>
      <w:r>
        <w:rPr>
          <w:rFonts w:ascii="Times New Roman"/>
          <w:b w:val="false"/>
          <w:i w:val="false"/>
          <w:color w:val="000000"/>
          <w:sz w:val="28"/>
        </w:rPr>
        <w:t>
      2) при продольной системе набора двойного дна сплошные флоры, как правило, устанавливают на расстоянии, не превышающем двух шпаций:</w:t>
      </w:r>
    </w:p>
    <w:bookmarkEnd w:id="1587"/>
    <w:bookmarkStart w:name="z1586" w:id="1588"/>
    <w:p>
      <w:pPr>
        <w:spacing w:after="0"/>
        <w:ind w:left="0"/>
        <w:jc w:val="both"/>
      </w:pPr>
      <w:r>
        <w:rPr>
          <w:rFonts w:ascii="Times New Roman"/>
          <w:b w:val="false"/>
          <w:i w:val="false"/>
          <w:color w:val="000000"/>
          <w:sz w:val="28"/>
        </w:rPr>
        <w:t>
      в машинном и котельном отделениях;</w:t>
      </w:r>
    </w:p>
    <w:bookmarkEnd w:id="1588"/>
    <w:bookmarkStart w:name="z1587" w:id="1589"/>
    <w:p>
      <w:pPr>
        <w:spacing w:after="0"/>
        <w:ind w:left="0"/>
        <w:jc w:val="both"/>
      </w:pPr>
      <w:r>
        <w:rPr>
          <w:rFonts w:ascii="Times New Roman"/>
          <w:b w:val="false"/>
          <w:i w:val="false"/>
          <w:color w:val="000000"/>
          <w:sz w:val="28"/>
        </w:rPr>
        <w:t>
      в носовой оконечности в районе 0,25</w:t>
      </w:r>
      <w:r>
        <w:rPr>
          <w:rFonts w:ascii="Times New Roman"/>
          <w:b w:val="false"/>
          <w:i/>
          <w:color w:val="000000"/>
          <w:sz w:val="28"/>
        </w:rPr>
        <w:t>L</w:t>
      </w:r>
      <w:r>
        <w:rPr>
          <w:rFonts w:ascii="Times New Roman"/>
          <w:b w:val="false"/>
          <w:i w:val="false"/>
          <w:color w:val="000000"/>
          <w:sz w:val="28"/>
        </w:rPr>
        <w:t>, от носового перпендикуляра;</w:t>
      </w:r>
    </w:p>
    <w:bookmarkEnd w:id="1589"/>
    <w:bookmarkStart w:name="z1588" w:id="1590"/>
    <w:p>
      <w:pPr>
        <w:spacing w:after="0"/>
        <w:ind w:left="0"/>
        <w:jc w:val="both"/>
      </w:pPr>
      <w:r>
        <w:rPr>
          <w:rFonts w:ascii="Times New Roman"/>
          <w:b w:val="false"/>
          <w:i w:val="false"/>
          <w:color w:val="000000"/>
          <w:sz w:val="28"/>
        </w:rPr>
        <w:t>
      в трюмах, предназначенных для перевозки тяжелых грузов и руды, а также в тех случаях, когда в трюме предусматривается систематическая работа грейферами;</w:t>
      </w:r>
    </w:p>
    <w:bookmarkEnd w:id="1590"/>
    <w:bookmarkStart w:name="z1589" w:id="1591"/>
    <w:p>
      <w:pPr>
        <w:spacing w:after="0"/>
        <w:ind w:left="0"/>
        <w:jc w:val="both"/>
      </w:pPr>
      <w:r>
        <w:rPr>
          <w:rFonts w:ascii="Times New Roman"/>
          <w:b w:val="false"/>
          <w:i w:val="false"/>
          <w:color w:val="000000"/>
          <w:sz w:val="28"/>
        </w:rPr>
        <w:t>
      на судах, которые во время отлива при стоянке могут оказаться на грунте.</w:t>
      </w:r>
    </w:p>
    <w:bookmarkEnd w:id="1591"/>
    <w:bookmarkStart w:name="z1590" w:id="1592"/>
    <w:p>
      <w:pPr>
        <w:spacing w:after="0"/>
        <w:ind w:left="0"/>
        <w:jc w:val="both"/>
      </w:pPr>
      <w:r>
        <w:rPr>
          <w:rFonts w:ascii="Times New Roman"/>
          <w:b w:val="false"/>
          <w:i w:val="false"/>
          <w:color w:val="000000"/>
          <w:sz w:val="28"/>
        </w:rPr>
        <w:t>
      В прочих районах допускается установка сплошных флоров через пять шпаций или 3,6 м в зависимости от того, что меньше. Если вместо продольных балок днища и второго дна установлены облегченные стрингеры (подпункт 2) пункта 349 настоящих Правил), указанное расстояние между сплошными флорами может быть увеличено, но не более чем в два раза.</w:t>
      </w:r>
    </w:p>
    <w:bookmarkEnd w:id="1592"/>
    <w:bookmarkStart w:name="z1591" w:id="1593"/>
    <w:p>
      <w:pPr>
        <w:spacing w:after="0"/>
        <w:ind w:left="0"/>
        <w:jc w:val="both"/>
      </w:pPr>
      <w:r>
        <w:rPr>
          <w:rFonts w:ascii="Times New Roman"/>
          <w:b w:val="false"/>
          <w:i w:val="false"/>
          <w:color w:val="000000"/>
          <w:sz w:val="28"/>
        </w:rPr>
        <w:t>
      При поперечной системе набора борта и продольной системе набора двойного дна между сплошными флорами на каждом шпангоуте устанавливают бракеты, подкрепляющие междудонный лист, доведенные до ближайших продольных балок днища и второго дна или до ближайшего дополнительного стрингера и приваренные к ним (приложение 58 настоящих Правил).</w:t>
      </w:r>
    </w:p>
    <w:bookmarkEnd w:id="1593"/>
    <w:bookmarkStart w:name="z1592" w:id="1594"/>
    <w:p>
      <w:pPr>
        <w:spacing w:after="0"/>
        <w:ind w:left="0"/>
        <w:jc w:val="both"/>
      </w:pPr>
      <w:r>
        <w:rPr>
          <w:rFonts w:ascii="Times New Roman"/>
          <w:b w:val="false"/>
          <w:i w:val="false"/>
          <w:color w:val="000000"/>
          <w:sz w:val="28"/>
        </w:rPr>
        <w:t>
      В районе фундамента под главный двигатель сплошные флоры устанавливают на каждом шпангоуте и доводят до ближайшего стрингера, расположенного вне фундамента;</w:t>
      </w:r>
    </w:p>
    <w:bookmarkEnd w:id="1594"/>
    <w:bookmarkStart w:name="z1593" w:id="1595"/>
    <w:p>
      <w:pPr>
        <w:spacing w:after="0"/>
        <w:ind w:left="0"/>
        <w:jc w:val="both"/>
      </w:pPr>
      <w:r>
        <w:rPr>
          <w:rFonts w:ascii="Times New Roman"/>
          <w:b w:val="false"/>
          <w:i w:val="false"/>
          <w:color w:val="000000"/>
          <w:sz w:val="28"/>
        </w:rPr>
        <w:t>
      3) независимо от требований, указанных в подпунктах 1) и 2) пункта 350 настоящих Правил, сплошные флоры устанавливаются:</w:t>
      </w:r>
    </w:p>
    <w:bookmarkEnd w:id="1595"/>
    <w:bookmarkStart w:name="z1594" w:id="1596"/>
    <w:p>
      <w:pPr>
        <w:spacing w:after="0"/>
        <w:ind w:left="0"/>
        <w:jc w:val="both"/>
      </w:pPr>
      <w:r>
        <w:rPr>
          <w:rFonts w:ascii="Times New Roman"/>
          <w:b w:val="false"/>
          <w:i w:val="false"/>
          <w:color w:val="000000"/>
          <w:sz w:val="28"/>
        </w:rPr>
        <w:t>
      под пиллерсами и концами продольных полупереборок;</w:t>
      </w:r>
    </w:p>
    <w:bookmarkEnd w:id="1596"/>
    <w:bookmarkStart w:name="z1595" w:id="1597"/>
    <w:p>
      <w:pPr>
        <w:spacing w:after="0"/>
        <w:ind w:left="0"/>
        <w:jc w:val="both"/>
      </w:pPr>
      <w:r>
        <w:rPr>
          <w:rFonts w:ascii="Times New Roman"/>
          <w:b w:val="false"/>
          <w:i w:val="false"/>
          <w:color w:val="000000"/>
          <w:sz w:val="28"/>
        </w:rPr>
        <w:t>
      под седлами и по концам фундаментов котлов;</w:t>
      </w:r>
    </w:p>
    <w:bookmarkEnd w:id="1597"/>
    <w:bookmarkStart w:name="z1596" w:id="1598"/>
    <w:p>
      <w:pPr>
        <w:spacing w:after="0"/>
        <w:ind w:left="0"/>
        <w:jc w:val="both"/>
      </w:pPr>
      <w:r>
        <w:rPr>
          <w:rFonts w:ascii="Times New Roman"/>
          <w:b w:val="false"/>
          <w:i w:val="false"/>
          <w:color w:val="000000"/>
          <w:sz w:val="28"/>
        </w:rPr>
        <w:t>
      под поперечными переборками и наклонными листами нижних трапецеидальных коробок гофрированных переборок;</w:t>
      </w:r>
    </w:p>
    <w:bookmarkEnd w:id="1598"/>
    <w:bookmarkStart w:name="z1597" w:id="1599"/>
    <w:p>
      <w:pPr>
        <w:spacing w:after="0"/>
        <w:ind w:left="0"/>
        <w:jc w:val="both"/>
      </w:pPr>
      <w:r>
        <w:rPr>
          <w:rFonts w:ascii="Times New Roman"/>
          <w:b w:val="false"/>
          <w:i w:val="false"/>
          <w:color w:val="000000"/>
          <w:sz w:val="28"/>
        </w:rPr>
        <w:t>
      под концами книц стоек переборок диптанков при поперечной системе набора двойного дна;</w:t>
      </w:r>
    </w:p>
    <w:bookmarkEnd w:id="1599"/>
    <w:bookmarkStart w:name="z1598" w:id="1600"/>
    <w:p>
      <w:pPr>
        <w:spacing w:after="0"/>
        <w:ind w:left="0"/>
        <w:jc w:val="both"/>
      </w:pPr>
      <w:r>
        <w:rPr>
          <w:rFonts w:ascii="Times New Roman"/>
          <w:b w:val="false"/>
          <w:i w:val="false"/>
          <w:color w:val="000000"/>
          <w:sz w:val="28"/>
        </w:rPr>
        <w:t>
      под фундаментами опорных подшипников.</w:t>
      </w:r>
    </w:p>
    <w:bookmarkEnd w:id="1600"/>
    <w:bookmarkStart w:name="z1599" w:id="1601"/>
    <w:p>
      <w:pPr>
        <w:spacing w:after="0"/>
        <w:ind w:left="0"/>
        <w:jc w:val="both"/>
      </w:pPr>
      <w:r>
        <w:rPr>
          <w:rFonts w:ascii="Times New Roman"/>
          <w:b w:val="false"/>
          <w:i w:val="false"/>
          <w:color w:val="000000"/>
          <w:sz w:val="28"/>
        </w:rPr>
        <w:t>
      В указанных случаях установка флоров по всей ширине судна не обязательна. Допускается установка частичных флоров с доведением их до ближайшего к подкрепляемой конструкции днищевого стрингера.</w:t>
      </w:r>
    </w:p>
    <w:bookmarkEnd w:id="1601"/>
    <w:bookmarkStart w:name="z1600" w:id="1602"/>
    <w:p>
      <w:pPr>
        <w:spacing w:after="0"/>
        <w:ind w:left="0"/>
        <w:jc w:val="both"/>
      </w:pPr>
      <w:r>
        <w:rPr>
          <w:rFonts w:ascii="Times New Roman"/>
          <w:b w:val="false"/>
          <w:i w:val="false"/>
          <w:color w:val="000000"/>
          <w:sz w:val="28"/>
        </w:rPr>
        <w:t>
      351. Расположение ребер жесткости по стенкам вертикального и туннельного килей, стрингеров и флоров должно отвечать следующим требованиям:</w:t>
      </w:r>
    </w:p>
    <w:bookmarkEnd w:id="1602"/>
    <w:bookmarkStart w:name="z1601" w:id="1603"/>
    <w:p>
      <w:pPr>
        <w:spacing w:after="0"/>
        <w:ind w:left="0"/>
        <w:jc w:val="both"/>
      </w:pPr>
      <w:r>
        <w:rPr>
          <w:rFonts w:ascii="Times New Roman"/>
          <w:b w:val="false"/>
          <w:i w:val="false"/>
          <w:color w:val="000000"/>
          <w:sz w:val="28"/>
        </w:rPr>
        <w:t>
      1) при поперечной системе набора и высоте сплошных флоров более 900 мм устанавливают вертикальные ребра жесткости. Расстояние между ребрами допускают не более 1,5м. Расстояние между вертикальными ребрами жесткости по облегченным флорам не должно превышать 2,2 м.</w:t>
      </w:r>
    </w:p>
    <w:bookmarkEnd w:id="1603"/>
    <w:bookmarkStart w:name="z1602" w:id="1604"/>
    <w:p>
      <w:pPr>
        <w:spacing w:after="0"/>
        <w:ind w:left="0"/>
        <w:jc w:val="both"/>
      </w:pPr>
      <w:r>
        <w:rPr>
          <w:rFonts w:ascii="Times New Roman"/>
          <w:b w:val="false"/>
          <w:i w:val="false"/>
          <w:color w:val="000000"/>
          <w:sz w:val="28"/>
        </w:rPr>
        <w:t>
      При продольной системе набора ребра жесткости по сплошным флорам должны быть установлены в плоскости продольных балок днища и второго дна. Ребра должны быть доведены до продольных балок и приварены к ним.</w:t>
      </w:r>
    </w:p>
    <w:bookmarkEnd w:id="1604"/>
    <w:bookmarkStart w:name="z1603" w:id="1605"/>
    <w:p>
      <w:pPr>
        <w:spacing w:after="0"/>
        <w:ind w:left="0"/>
        <w:jc w:val="both"/>
      </w:pPr>
      <w:r>
        <w:rPr>
          <w:rFonts w:ascii="Times New Roman"/>
          <w:b w:val="false"/>
          <w:i w:val="false"/>
          <w:color w:val="000000"/>
          <w:sz w:val="28"/>
        </w:rPr>
        <w:t>
      Ребра жесткости должны быть установлены под пиллерсами, у концов книц концевых стоек продольных полупереборок;</w:t>
      </w:r>
    </w:p>
    <w:bookmarkEnd w:id="1605"/>
    <w:bookmarkStart w:name="z1604" w:id="1606"/>
    <w:p>
      <w:pPr>
        <w:spacing w:after="0"/>
        <w:ind w:left="0"/>
        <w:jc w:val="both"/>
      </w:pPr>
      <w:r>
        <w:rPr>
          <w:rFonts w:ascii="Times New Roman"/>
          <w:b w:val="false"/>
          <w:i w:val="false"/>
          <w:color w:val="000000"/>
          <w:sz w:val="28"/>
        </w:rPr>
        <w:t>
      2) по непроницаемым участкам сплошных флоров должны быть установлены вертикальные ребра жесткости на расстоянии не более 0,9 м друг от друга.</w:t>
      </w:r>
    </w:p>
    <w:bookmarkEnd w:id="1606"/>
    <w:bookmarkStart w:name="z1605" w:id="1607"/>
    <w:p>
      <w:pPr>
        <w:spacing w:after="0"/>
        <w:ind w:left="0"/>
        <w:jc w:val="both"/>
      </w:pPr>
      <w:r>
        <w:rPr>
          <w:rFonts w:ascii="Times New Roman"/>
          <w:b w:val="false"/>
          <w:i w:val="false"/>
          <w:color w:val="000000"/>
          <w:sz w:val="28"/>
        </w:rPr>
        <w:t>
      352. Вырезы и лазы отвечают следующим требованиям:</w:t>
      </w:r>
    </w:p>
    <w:bookmarkEnd w:id="1607"/>
    <w:bookmarkStart w:name="z1606" w:id="1608"/>
    <w:p>
      <w:pPr>
        <w:spacing w:after="0"/>
        <w:ind w:left="0"/>
        <w:jc w:val="both"/>
      </w:pPr>
      <w:r>
        <w:rPr>
          <w:rFonts w:ascii="Times New Roman"/>
          <w:b w:val="false"/>
          <w:i w:val="false"/>
          <w:color w:val="000000"/>
          <w:sz w:val="28"/>
        </w:rPr>
        <w:t>
      1) для доступа ко всем частям двойного дна предусматривают необходимое число вырезов (лазов) в настиле второго дна, стрингерах и флорах. Размеры всех вырезов (в том числе и для облегчения) отвечают требованиям стандартов или других нормативных документов, признанных Регистром судоходства.</w:t>
      </w:r>
    </w:p>
    <w:bookmarkEnd w:id="1608"/>
    <w:bookmarkStart w:name="z1607" w:id="1609"/>
    <w:p>
      <w:pPr>
        <w:spacing w:after="0"/>
        <w:ind w:left="0"/>
        <w:jc w:val="both"/>
      </w:pPr>
      <w:r>
        <w:rPr>
          <w:rFonts w:ascii="Times New Roman"/>
          <w:b w:val="false"/>
          <w:i w:val="false"/>
          <w:color w:val="000000"/>
          <w:sz w:val="28"/>
        </w:rPr>
        <w:t>
      Вырезы для водо- и воздухопротока и для прохода сварных швов — пункт 303 настоящих Правил;</w:t>
      </w:r>
    </w:p>
    <w:bookmarkEnd w:id="1609"/>
    <w:bookmarkStart w:name="z1608" w:id="1610"/>
    <w:p>
      <w:pPr>
        <w:spacing w:after="0"/>
        <w:ind w:left="0"/>
        <w:jc w:val="both"/>
      </w:pPr>
      <w:r>
        <w:rPr>
          <w:rFonts w:ascii="Times New Roman"/>
          <w:b w:val="false"/>
          <w:i w:val="false"/>
          <w:color w:val="000000"/>
          <w:sz w:val="28"/>
        </w:rPr>
        <w:t xml:space="preserve">
      2) вырезы в вертикальном киле, стрингерах и флорах имеют плавную закругленную форму. Наименьшая допускаемая высота панели, примыкающей к обшивке днища или к настилу второго дна, приведена в приложении 59 настоящих Правил. Минимальная высота панели в районе выреза, кроме того, равна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8</w:t>
      </w:r>
      <w:r>
        <w:rPr>
          <w:rFonts w:ascii="Times New Roman"/>
          <w:b w:val="false"/>
          <w:i w:val="false"/>
          <w:color w:val="000000"/>
          <w:sz w:val="28"/>
        </w:rPr>
        <w:t xml:space="preserve"> длины выреза.</w:t>
      </w:r>
    </w:p>
    <w:bookmarkEnd w:id="1610"/>
    <w:bookmarkStart w:name="z1609" w:id="1611"/>
    <w:p>
      <w:pPr>
        <w:spacing w:after="0"/>
        <w:ind w:left="0"/>
        <w:jc w:val="both"/>
      </w:pPr>
      <w:r>
        <w:rPr>
          <w:rFonts w:ascii="Times New Roman"/>
          <w:b w:val="false"/>
          <w:i w:val="false"/>
          <w:color w:val="000000"/>
          <w:sz w:val="28"/>
        </w:rPr>
        <w:t xml:space="preserve">
      Указанная в приложении 59 высота панели уменьшается при условии соответствующего подкрепления панели. Кроме того, необходимо чтобы панели облегченных стрингеров и флоров отвечали требованиям подпункта 5) пункта 362 настоящих Правил, и, если высота панели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мм, больше </w:t>
      </w:r>
      <w:r>
        <w:rPr>
          <w:rFonts w:ascii="Times New Roman"/>
          <w:b w:val="false"/>
          <w:i w:val="false"/>
          <w:color w:val="000000"/>
          <w:vertAlign w:val="superscript"/>
        </w:rPr>
        <w:t>25</w:t>
      </w:r>
      <w:r>
        <w:rPr>
          <w:rFonts w:ascii="Times New Roman"/>
          <w:b w:val="false"/>
          <w:i w:val="false"/>
          <w:color w:val="000000"/>
          <w:vertAlign w:val="superscript"/>
        </w:rPr>
        <w:t>s</w:t>
      </w:r>
    </w:p>
    <w:bookmarkEnd w:id="1611"/>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(где </w:t>
      </w:r>
      <w:r>
        <w:rPr>
          <w:rFonts w:ascii="Times New Roman"/>
          <w:b w:val="false"/>
          <w:i/>
          <w:color w:val="000000"/>
          <w:sz w:val="28"/>
        </w:rPr>
        <w:t>s</w:t>
      </w:r>
      <w:r>
        <w:rPr>
          <w:rFonts w:ascii="Times New Roman"/>
          <w:b w:val="false"/>
          <w:i w:val="false"/>
          <w:color w:val="000000"/>
          <w:sz w:val="28"/>
        </w:rPr>
        <w:t xml:space="preserve"> — толщина стенки облегченного стрингера или флора, мм), свободная кромка панели подкрепляется;</w:t>
      </w:r>
      <w:r>
        <w:br/>
      </w:r>
      <w:r>
        <w:rPr>
          <w:rFonts w:ascii="Times New Roman"/>
          <w:b w:val="false"/>
          <w:i w:val="false"/>
          <w:color w:val="000000"/>
          <w:sz w:val="28"/>
        </w:rPr>
        <w:t>
</w:t>
      </w:r>
    </w:p>
    <w:bookmarkStart w:name="z1610" w:id="1612"/>
    <w:p>
      <w:pPr>
        <w:spacing w:after="0"/>
        <w:ind w:left="0"/>
        <w:jc w:val="both"/>
      </w:pPr>
      <w:r>
        <w:rPr>
          <w:rFonts w:ascii="Times New Roman"/>
          <w:b w:val="false"/>
          <w:i w:val="false"/>
          <w:color w:val="000000"/>
          <w:sz w:val="28"/>
        </w:rPr>
        <w:t>
      3) расстояние между кромками соседних вырезов в вертикальном киле, днищевых стрингерах и сплошных флорах принимают не менее половины длины большего выреза.</w:t>
      </w:r>
    </w:p>
    <w:bookmarkEnd w:id="1612"/>
    <w:bookmarkStart w:name="z1611" w:id="1613"/>
    <w:p>
      <w:pPr>
        <w:spacing w:after="0"/>
        <w:ind w:left="0"/>
        <w:jc w:val="both"/>
      </w:pPr>
      <w:r>
        <w:rPr>
          <w:rFonts w:ascii="Times New Roman"/>
          <w:b w:val="false"/>
          <w:i w:val="false"/>
          <w:color w:val="000000"/>
          <w:sz w:val="28"/>
        </w:rPr>
        <w:t>
      Отстояние кромок вырезов во флорах от продольных переборок, вертикального киля, днищевых стрингеров, наклонного междудонного листа и внутренних кромок бортовых скуловых цистерн равна не менее половины высоты вертикального киля в данном районе. Отстояние кромки выреза в облегченном флоре от стрингера принимают не менее четверти высоты вертикального киля.</w:t>
      </w:r>
    </w:p>
    <w:bookmarkEnd w:id="1613"/>
    <w:bookmarkStart w:name="z1612" w:id="1614"/>
    <w:p>
      <w:pPr>
        <w:spacing w:after="0"/>
        <w:ind w:left="0"/>
        <w:jc w:val="both"/>
      </w:pPr>
      <w:r>
        <w:rPr>
          <w:rFonts w:ascii="Times New Roman"/>
          <w:b w:val="false"/>
          <w:i w:val="false"/>
          <w:color w:val="000000"/>
          <w:sz w:val="28"/>
        </w:rPr>
        <w:t>
      В исключительных случаях допускают отступление от этих требований;</w:t>
      </w:r>
    </w:p>
    <w:bookmarkEnd w:id="1614"/>
    <w:bookmarkStart w:name="z1613" w:id="1615"/>
    <w:p>
      <w:pPr>
        <w:spacing w:after="0"/>
        <w:ind w:left="0"/>
        <w:jc w:val="both"/>
      </w:pPr>
      <w:r>
        <w:rPr>
          <w:rFonts w:ascii="Times New Roman"/>
          <w:b w:val="false"/>
          <w:i w:val="false"/>
          <w:color w:val="000000"/>
          <w:sz w:val="28"/>
        </w:rPr>
        <w:t>
      4) в стенке облегченного стрингера между соседними флорами и в стенке облегченного флора между соседними стрингерами разрешается делать один или несколько последовательных вырезов. В последнем случае между вырезами устанавливаются вертикальные ребра жесткости. Длина одного выреза не превышает 1,2 принятой высоты вертикального киля и 0,7 расстояния между флорами (стрингерами) или между флором (стрингером) и вертикальным ребром жесткости (приложение 57 настоящих Правил), в зависимости от того, что меньше. Расстояние между кромками вырезов в облегченных стрингерах и флорах не меньше половины высоты вертикального киля в данном районе;</w:t>
      </w:r>
    </w:p>
    <w:bookmarkEnd w:id="1615"/>
    <w:bookmarkStart w:name="z1614" w:id="1616"/>
    <w:p>
      <w:pPr>
        <w:spacing w:after="0"/>
        <w:ind w:left="0"/>
        <w:jc w:val="both"/>
      </w:pPr>
      <w:r>
        <w:rPr>
          <w:rFonts w:ascii="Times New Roman"/>
          <w:b w:val="false"/>
          <w:i w:val="false"/>
          <w:color w:val="000000"/>
          <w:sz w:val="28"/>
        </w:rPr>
        <w:t>
      5) вырезы, как правило, не допускаются:</w:t>
      </w:r>
    </w:p>
    <w:bookmarkEnd w:id="1616"/>
    <w:bookmarkStart w:name="z1615" w:id="1617"/>
    <w:p>
      <w:pPr>
        <w:spacing w:after="0"/>
        <w:ind w:left="0"/>
        <w:jc w:val="both"/>
      </w:pPr>
      <w:r>
        <w:rPr>
          <w:rFonts w:ascii="Times New Roman"/>
          <w:b w:val="false"/>
          <w:i w:val="false"/>
          <w:color w:val="000000"/>
          <w:sz w:val="28"/>
        </w:rPr>
        <w:t>
      в вертикальном киле на протяжении 0,75</w:t>
      </w:r>
      <w:r>
        <w:rPr>
          <w:rFonts w:ascii="Times New Roman"/>
          <w:b w:val="false"/>
          <w:i/>
          <w:color w:val="000000"/>
          <w:sz w:val="28"/>
        </w:rPr>
        <w:t>L</w:t>
      </w:r>
      <w:r>
        <w:rPr>
          <w:rFonts w:ascii="Times New Roman"/>
          <w:b w:val="false"/>
          <w:i w:val="false"/>
          <w:color w:val="000000"/>
          <w:sz w:val="28"/>
        </w:rPr>
        <w:t>, от носового перпендикуляра;</w:t>
      </w:r>
    </w:p>
    <w:bookmarkEnd w:id="1617"/>
    <w:bookmarkStart w:name="z1616" w:id="1618"/>
    <w:p>
      <w:pPr>
        <w:spacing w:after="0"/>
        <w:ind w:left="0"/>
        <w:jc w:val="both"/>
      </w:pPr>
      <w:r>
        <w:rPr>
          <w:rFonts w:ascii="Times New Roman"/>
          <w:b w:val="false"/>
          <w:i w:val="false"/>
          <w:color w:val="000000"/>
          <w:sz w:val="28"/>
        </w:rPr>
        <w:t>
      в вертикальном киле и стрингерах (облегченных стрингерах) под пиллерсами и на участках, примыкающих к поперечным переборкам (между переборкой и крайним флором при поперечной системе набора; на расстоянии, равном высоте двойного дна, при продольной системе набора);</w:t>
      </w:r>
    </w:p>
    <w:bookmarkEnd w:id="1618"/>
    <w:bookmarkStart w:name="z1617" w:id="1619"/>
    <w:p>
      <w:pPr>
        <w:spacing w:after="0"/>
        <w:ind w:left="0"/>
        <w:jc w:val="both"/>
      </w:pPr>
      <w:r>
        <w:rPr>
          <w:rFonts w:ascii="Times New Roman"/>
          <w:b w:val="false"/>
          <w:i w:val="false"/>
          <w:color w:val="000000"/>
          <w:sz w:val="28"/>
        </w:rPr>
        <w:t>
      во флорах под пиллерсами и у продольных полупереборок;</w:t>
      </w:r>
    </w:p>
    <w:bookmarkEnd w:id="1619"/>
    <w:bookmarkStart w:name="z1618" w:id="1620"/>
    <w:p>
      <w:pPr>
        <w:spacing w:after="0"/>
        <w:ind w:left="0"/>
        <w:jc w:val="both"/>
      </w:pPr>
      <w:r>
        <w:rPr>
          <w:rFonts w:ascii="Times New Roman"/>
          <w:b w:val="false"/>
          <w:i w:val="false"/>
          <w:color w:val="000000"/>
          <w:sz w:val="28"/>
        </w:rPr>
        <w:t>
      во флорах в районе окончания книц, подкрепляющих в поперечном направлении фундаменты под главные механизмы;</w:t>
      </w:r>
    </w:p>
    <w:bookmarkEnd w:id="1620"/>
    <w:bookmarkStart w:name="z1619" w:id="1621"/>
    <w:p>
      <w:pPr>
        <w:spacing w:after="0"/>
        <w:ind w:left="0"/>
        <w:jc w:val="both"/>
      </w:pPr>
      <w:r>
        <w:rPr>
          <w:rFonts w:ascii="Times New Roman"/>
          <w:b w:val="false"/>
          <w:i w:val="false"/>
          <w:color w:val="000000"/>
          <w:sz w:val="28"/>
        </w:rPr>
        <w:t>
      во флорах между бортом (вторым бортом) и ближайшим облегченным стрингером, если расстояние между флорами увеличено согласно подпункту 2) пункта 378 настоящих Правил.</w:t>
      </w:r>
    </w:p>
    <w:bookmarkEnd w:id="1621"/>
    <w:bookmarkStart w:name="z1620" w:id="1622"/>
    <w:p>
      <w:pPr>
        <w:spacing w:after="0"/>
        <w:ind w:left="0"/>
        <w:jc w:val="both"/>
      </w:pPr>
      <w:r>
        <w:rPr>
          <w:rFonts w:ascii="Times New Roman"/>
          <w:b w:val="false"/>
          <w:i w:val="false"/>
          <w:color w:val="000000"/>
          <w:sz w:val="28"/>
        </w:rPr>
        <w:t>
      В исключительных случаях вырезы в указанных районах допускают при условии надлежащего подкрепления стенок вблизи вырезов;</w:t>
      </w:r>
    </w:p>
    <w:bookmarkEnd w:id="1622"/>
    <w:bookmarkStart w:name="z1621" w:id="1623"/>
    <w:p>
      <w:pPr>
        <w:spacing w:after="0"/>
        <w:ind w:left="0"/>
        <w:jc w:val="both"/>
      </w:pPr>
      <w:r>
        <w:rPr>
          <w:rFonts w:ascii="Times New Roman"/>
          <w:b w:val="false"/>
          <w:i w:val="false"/>
          <w:color w:val="000000"/>
          <w:sz w:val="28"/>
        </w:rPr>
        <w:t xml:space="preserve">
      6) в бракетах допускаются круглые облегчающие отверстия диаметром не более </w:t>
      </w:r>
      <w:r>
        <w:rPr>
          <w:rFonts w:ascii="Times New Roman"/>
          <w:b w:val="false"/>
          <w:i w:val="false"/>
          <w:color w:val="000000"/>
          <w:vertAlign w:val="superscript"/>
        </w:rPr>
        <w:t>1</w:t>
      </w:r>
      <w:r>
        <w:rPr>
          <w:rFonts w:ascii="Times New Roman"/>
          <w:b w:val="false"/>
          <w:i w:val="false"/>
          <w:color w:val="000000"/>
          <w:sz w:val="28"/>
        </w:rPr>
        <w:t>/з ширины или высоты бракеты, в зависимости от того, что меньше.</w:t>
      </w:r>
    </w:p>
    <w:bookmarkEnd w:id="1623"/>
    <w:bookmarkStart w:name="z1622" w:id="1624"/>
    <w:p>
      <w:pPr>
        <w:spacing w:after="0"/>
        <w:ind w:left="0"/>
        <w:jc w:val="both"/>
      </w:pPr>
      <w:r>
        <w:rPr>
          <w:rFonts w:ascii="Times New Roman"/>
          <w:b w:val="false"/>
          <w:i w:val="false"/>
          <w:color w:val="000000"/>
          <w:sz w:val="28"/>
        </w:rPr>
        <w:t>
      353. При наличии двойного борта настил второго дна проходит через обшивку внутреннего борта до наружной обшивки. В плоскости обшивки внутреннего борта устанавливают днищевой стрингер. Вместо настила второго дна внутри двойного борта или дополнительного днищевого стрингера в плоскости обшивки внутреннего борта допускается установка фестонных листов.</w:t>
      </w:r>
    </w:p>
    <w:bookmarkEnd w:id="1624"/>
    <w:bookmarkStart w:name="z1623" w:id="1625"/>
    <w:p>
      <w:pPr>
        <w:spacing w:after="0"/>
        <w:ind w:left="0"/>
        <w:jc w:val="both"/>
      </w:pPr>
      <w:r>
        <w:rPr>
          <w:rFonts w:ascii="Times New Roman"/>
          <w:b w:val="false"/>
          <w:i w:val="false"/>
          <w:color w:val="000000"/>
          <w:sz w:val="28"/>
        </w:rPr>
        <w:t>
      354. Соединение продольных балок днища и второго дна с непроницаемыми флорами обеспечивает сохранение эффективной площади сечения указанных балок.</w:t>
      </w:r>
    </w:p>
    <w:bookmarkEnd w:id="1625"/>
    <w:bookmarkStart w:name="z1624" w:id="1626"/>
    <w:p>
      <w:pPr>
        <w:spacing w:after="0"/>
        <w:ind w:left="0"/>
        <w:jc w:val="left"/>
      </w:pPr>
      <w:r>
        <w:rPr>
          <w:rFonts w:ascii="Times New Roman"/>
          <w:b/>
          <w:i w:val="false"/>
          <w:color w:val="000000"/>
        </w:rPr>
        <w:t xml:space="preserve"> Параграф 2. Нагрузки на конструкции двойного дна</w:t>
      </w:r>
    </w:p>
    <w:bookmarkEnd w:id="1626"/>
    <w:bookmarkStart w:name="z1625" w:id="1627"/>
    <w:p>
      <w:pPr>
        <w:spacing w:after="0"/>
        <w:ind w:left="0"/>
        <w:jc w:val="both"/>
      </w:pPr>
      <w:r>
        <w:rPr>
          <w:rFonts w:ascii="Times New Roman"/>
          <w:b w:val="false"/>
          <w:i w:val="false"/>
          <w:color w:val="000000"/>
          <w:sz w:val="28"/>
        </w:rPr>
        <w:t>
      355. Внешнее давление на конструкции двойного дна определяется по формуле (83) настоящих Правил.</w:t>
      </w:r>
    </w:p>
    <w:bookmarkEnd w:id="1627"/>
    <w:bookmarkStart w:name="z1626" w:id="1628"/>
    <w:p>
      <w:pPr>
        <w:spacing w:after="0"/>
        <w:ind w:left="0"/>
        <w:jc w:val="both"/>
      </w:pPr>
      <w:r>
        <w:rPr>
          <w:rFonts w:ascii="Times New Roman"/>
          <w:b w:val="false"/>
          <w:i w:val="false"/>
          <w:color w:val="000000"/>
          <w:sz w:val="28"/>
        </w:rPr>
        <w:t xml:space="preserve">
      Для расчетного случая "в балласте" величина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в формуле (7) настоящих Правил должна отсчитываться от расчетной балластной ватерлинии.</w:t>
      </w:r>
    </w:p>
    <w:bookmarkEnd w:id="1628"/>
    <w:bookmarkStart w:name="z1627" w:id="1629"/>
    <w:p>
      <w:pPr>
        <w:spacing w:after="0"/>
        <w:ind w:left="0"/>
        <w:jc w:val="both"/>
      </w:pPr>
      <w:r>
        <w:rPr>
          <w:rFonts w:ascii="Times New Roman"/>
          <w:b w:val="false"/>
          <w:i w:val="false"/>
          <w:color w:val="000000"/>
          <w:sz w:val="28"/>
        </w:rPr>
        <w:t>
      356. Нагрузки на конструкции двойного дна изнутри определяется следующим образом:</w:t>
      </w:r>
    </w:p>
    <w:bookmarkEnd w:id="1629"/>
    <w:bookmarkStart w:name="z1628" w:id="1630"/>
    <w:p>
      <w:pPr>
        <w:spacing w:after="0"/>
        <w:ind w:left="0"/>
        <w:jc w:val="both"/>
      </w:pPr>
      <w:r>
        <w:rPr>
          <w:rFonts w:ascii="Times New Roman"/>
          <w:b w:val="false"/>
          <w:i w:val="false"/>
          <w:color w:val="000000"/>
          <w:sz w:val="28"/>
        </w:rPr>
        <w:t>
      1) расчетное давление на двойное дно от штучного груза — согласно пункту 174 настоящих Правил;</w:t>
      </w:r>
    </w:p>
    <w:bookmarkEnd w:id="1630"/>
    <w:bookmarkStart w:name="z1629" w:id="1631"/>
    <w:p>
      <w:pPr>
        <w:spacing w:after="0"/>
        <w:ind w:left="0"/>
        <w:jc w:val="both"/>
      </w:pPr>
      <w:r>
        <w:rPr>
          <w:rFonts w:ascii="Times New Roman"/>
          <w:b w:val="false"/>
          <w:i w:val="false"/>
          <w:color w:val="000000"/>
          <w:sz w:val="28"/>
        </w:rPr>
        <w:t>
      2) расчетное давление на двойное дно от жидкого груза или балласта — согласно пункту 175 настоящих Правил;</w:t>
      </w:r>
    </w:p>
    <w:bookmarkEnd w:id="1631"/>
    <w:bookmarkStart w:name="z1630" w:id="1632"/>
    <w:p>
      <w:pPr>
        <w:spacing w:after="0"/>
        <w:ind w:left="0"/>
        <w:jc w:val="both"/>
      </w:pPr>
      <w:r>
        <w:rPr>
          <w:rFonts w:ascii="Times New Roman"/>
          <w:b w:val="false"/>
          <w:i w:val="false"/>
          <w:color w:val="000000"/>
          <w:sz w:val="28"/>
        </w:rPr>
        <w:t>
      3) расчетное давление на двойное дно от навалочного груза — согласно пункту 178 настоящих Правил;</w:t>
      </w:r>
    </w:p>
    <w:bookmarkEnd w:id="1632"/>
    <w:bookmarkStart w:name="z1631" w:id="1633"/>
    <w:p>
      <w:pPr>
        <w:spacing w:after="0"/>
        <w:ind w:left="0"/>
        <w:jc w:val="both"/>
      </w:pPr>
      <w:r>
        <w:rPr>
          <w:rFonts w:ascii="Times New Roman"/>
          <w:b w:val="false"/>
          <w:i w:val="false"/>
          <w:color w:val="000000"/>
          <w:sz w:val="28"/>
        </w:rPr>
        <w:t>
      4) нагрузки при испытаниях — по формуле:</w:t>
      </w:r>
    </w:p>
    <w:bookmarkEnd w:id="16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7,5</w:t>
      </w:r>
      <w:r>
        <w:rPr>
          <w:rFonts w:ascii="Times New Roman"/>
          <w:b w:val="false"/>
          <w:i/>
          <w:color w:val="000000"/>
          <w:sz w:val="28"/>
        </w:rPr>
        <w:t>h</w:t>
      </w:r>
      <w:r>
        <w:rPr>
          <w:rFonts w:ascii="Times New Roman"/>
          <w:b w:val="false"/>
          <w:i w:val="false"/>
          <w:color w:val="000000"/>
          <w:sz w:val="28"/>
        </w:rPr>
        <w:t>,                        (94)</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н</w:t>
      </w:r>
      <w:r>
        <w:rPr>
          <w:rFonts w:ascii="Times New Roman"/>
          <w:b w:val="false"/>
          <w:i w:val="false"/>
          <w:color w:val="000000"/>
          <w:sz w:val="28"/>
        </w:rPr>
        <w:t xml:space="preserve"> — вертикальное отстояние настила второго дна от верха воздушной трубы, м;</w:t>
      </w:r>
    </w:p>
    <w:bookmarkStart w:name="z1632" w:id="1634"/>
    <w:p>
      <w:pPr>
        <w:spacing w:after="0"/>
        <w:ind w:left="0"/>
        <w:jc w:val="both"/>
      </w:pPr>
      <w:r>
        <w:rPr>
          <w:rFonts w:ascii="Times New Roman"/>
          <w:b w:val="false"/>
          <w:i w:val="false"/>
          <w:color w:val="000000"/>
          <w:sz w:val="28"/>
        </w:rPr>
        <w:t>
      5) нагрузки от аварийного затопления отсеков двойного дна — по формуле:</w:t>
      </w:r>
    </w:p>
    <w:bookmarkEnd w:id="16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10,5(d – h),                    (95)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фактическая высота двойного дна, м.</w:t>
      </w:r>
    </w:p>
    <w:bookmarkStart w:name="z1633" w:id="1635"/>
    <w:p>
      <w:pPr>
        <w:spacing w:after="0"/>
        <w:ind w:left="0"/>
        <w:jc w:val="both"/>
      </w:pPr>
      <w:r>
        <w:rPr>
          <w:rFonts w:ascii="Times New Roman"/>
          <w:b w:val="false"/>
          <w:i w:val="false"/>
          <w:color w:val="000000"/>
          <w:sz w:val="28"/>
        </w:rPr>
        <w:t xml:space="preserve">
      357. Суммарное расчетное давление на двойное дно определяется как разность внешнего давления </w:t>
      </w:r>
      <w:r>
        <w:rPr>
          <w:rFonts w:ascii="Times New Roman"/>
          <w:b w:val="false"/>
          <w:i/>
          <w:color w:val="000000"/>
          <w:sz w:val="28"/>
        </w:rPr>
        <w:t>р</w:t>
      </w:r>
      <w:r>
        <w:rPr>
          <w:rFonts w:ascii="Times New Roman"/>
          <w:b w:val="false"/>
          <w:i w:val="false"/>
          <w:color w:val="000000"/>
          <w:sz w:val="28"/>
        </w:rPr>
        <w:t xml:space="preserve"> и давления груза (балласта) изнутри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При этом величина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определяется как наименьшая из величин противодавления, определяемых согласно подпунктам 1) – 3) пункта 356 настоящих Правил при </w:t>
      </w:r>
      <w:r>
        <w:rPr>
          <w:rFonts w:ascii="Times New Roman"/>
          <w:b w:val="false"/>
          <w:i/>
          <w:color w:val="000000"/>
          <w:sz w:val="28"/>
        </w:rPr>
        <w:t>р</w:t>
      </w:r>
      <w:r>
        <w:rPr>
          <w:rFonts w:ascii="Times New Roman"/>
          <w:b w:val="false"/>
          <w:i w:val="false"/>
          <w:color w:val="000000"/>
          <w:sz w:val="28"/>
        </w:rPr>
        <w:t xml:space="preserve"> &gt;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и как наибольшая из этих величин при </w:t>
      </w:r>
      <w:r>
        <w:rPr>
          <w:rFonts w:ascii="Times New Roman"/>
          <w:b w:val="false"/>
          <w:i/>
          <w:color w:val="000000"/>
          <w:sz w:val="28"/>
        </w:rPr>
        <w:t>р</w:t>
      </w:r>
      <w:r>
        <w:rPr>
          <w:rFonts w:ascii="Times New Roman"/>
          <w:b w:val="false"/>
          <w:i w:val="false"/>
          <w:color w:val="000000"/>
          <w:sz w:val="28"/>
        </w:rPr>
        <w:t xml:space="preserve"> &lt;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w:t>
      </w:r>
    </w:p>
    <w:bookmarkEnd w:id="1635"/>
    <w:bookmarkStart w:name="z1634" w:id="1636"/>
    <w:p>
      <w:pPr>
        <w:spacing w:after="0"/>
        <w:ind w:left="0"/>
        <w:jc w:val="both"/>
      </w:pPr>
      <w:r>
        <w:rPr>
          <w:rFonts w:ascii="Times New Roman"/>
          <w:b w:val="false"/>
          <w:i w:val="false"/>
          <w:color w:val="000000"/>
          <w:sz w:val="28"/>
        </w:rPr>
        <w:t xml:space="preserve">
      Если трюм в процессе эксплуатации может оставаться пустым, в качестве расчетного принимается внешнее давление </w:t>
      </w:r>
      <w:r>
        <w:rPr>
          <w:rFonts w:ascii="Times New Roman"/>
          <w:b w:val="false"/>
          <w:i/>
          <w:color w:val="000000"/>
          <w:sz w:val="28"/>
        </w:rPr>
        <w:t>р</w:t>
      </w:r>
      <w:r>
        <w:rPr>
          <w:rFonts w:ascii="Times New Roman"/>
          <w:b w:val="false"/>
          <w:i w:val="false"/>
          <w:color w:val="000000"/>
          <w:sz w:val="28"/>
        </w:rPr>
        <w:t xml:space="preserve">. </w:t>
      </w:r>
    </w:p>
    <w:bookmarkEnd w:id="1636"/>
    <w:bookmarkStart w:name="z1635" w:id="1637"/>
    <w:p>
      <w:pPr>
        <w:spacing w:after="0"/>
        <w:ind w:left="0"/>
        <w:jc w:val="left"/>
      </w:pPr>
      <w:r>
        <w:rPr>
          <w:rFonts w:ascii="Times New Roman"/>
          <w:b/>
          <w:i w:val="false"/>
          <w:color w:val="000000"/>
        </w:rPr>
        <w:t xml:space="preserve"> Параграф 3. Размеры связей двойного дна</w:t>
      </w:r>
    </w:p>
    <w:bookmarkEnd w:id="1637"/>
    <w:bookmarkStart w:name="z1636" w:id="1638"/>
    <w:p>
      <w:pPr>
        <w:spacing w:after="0"/>
        <w:ind w:left="0"/>
        <w:jc w:val="both"/>
      </w:pPr>
      <w:r>
        <w:rPr>
          <w:rFonts w:ascii="Times New Roman"/>
          <w:b w:val="false"/>
          <w:i w:val="false"/>
          <w:color w:val="000000"/>
          <w:sz w:val="28"/>
        </w:rPr>
        <w:t xml:space="preserve">
      358. Высота двойного дна </w:t>
      </w:r>
      <w:r>
        <w:rPr>
          <w:rFonts w:ascii="Times New Roman"/>
          <w:b w:val="false"/>
          <w:i/>
          <w:color w:val="000000"/>
          <w:sz w:val="28"/>
        </w:rPr>
        <w:t>h</w:t>
      </w:r>
      <w:r>
        <w:rPr>
          <w:rFonts w:ascii="Times New Roman"/>
          <w:b w:val="false"/>
          <w:i w:val="false"/>
          <w:color w:val="000000"/>
          <w:sz w:val="28"/>
        </w:rPr>
        <w:t>, м, у вертикального киля определяется по формуле:</w:t>
      </w:r>
    </w:p>
    <w:bookmarkEnd w:id="16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L - </w:t>
      </w:r>
      <w:r>
        <w:rPr>
          <w:rFonts w:ascii="Times New Roman"/>
          <w:b w:val="false"/>
          <w:i w:val="false"/>
          <w:color w:val="000000"/>
          <w:sz w:val="28"/>
        </w:rPr>
        <w:t>40                d</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h</w:t>
      </w:r>
      <w:r>
        <w:rPr>
          <w:rFonts w:ascii="Times New Roman"/>
          <w:b w:val="false"/>
          <w:i w:val="false"/>
          <w:color w:val="000000"/>
          <w:sz w:val="28"/>
        </w:rPr>
        <w:t xml:space="preserve"> = ------ + 0,04</w:t>
      </w:r>
      <w:r>
        <w:rPr>
          <w:rFonts w:ascii="Times New Roman"/>
          <w:b w:val="false"/>
          <w:i/>
          <w:color w:val="000000"/>
          <w:sz w:val="28"/>
        </w:rPr>
        <w:t xml:space="preserve">В </w:t>
      </w:r>
      <w:r>
        <w:rPr>
          <w:rFonts w:ascii="Times New Roman"/>
          <w:b w:val="false"/>
          <w:i w:val="false"/>
          <w:color w:val="000000"/>
          <w:sz w:val="28"/>
        </w:rPr>
        <w:t>+ 3,5 ---,                  (96)</w:t>
      </w:r>
    </w:p>
    <w:p>
      <w:pPr>
        <w:spacing w:after="0"/>
        <w:ind w:left="0"/>
        <w:jc w:val="both"/>
      </w:pPr>
      <w:r>
        <w:rPr>
          <w:rFonts w:ascii="Times New Roman"/>
          <w:b w:val="false"/>
          <w:i w:val="false"/>
          <w:color w:val="000000"/>
          <w:sz w:val="28"/>
        </w:rPr>
        <w:t xml:space="preserve">
                             570                  </w:t>
      </w:r>
      <w:r>
        <w:rPr>
          <w:rFonts w:ascii="Times New Roman"/>
          <w:b w:val="false"/>
          <w:i/>
          <w:color w:val="000000"/>
          <w:sz w:val="28"/>
        </w:rPr>
        <w:t>L</w:t>
      </w:r>
    </w:p>
    <w:p>
      <w:pPr>
        <w:spacing w:after="0"/>
        <w:ind w:left="0"/>
        <w:jc w:val="both"/>
      </w:pPr>
      <w:r>
        <w:rPr>
          <w:rFonts w:ascii="Times New Roman"/>
          <w:b w:val="false"/>
          <w:i w:val="false"/>
          <w:color w:val="000000"/>
          <w:sz w:val="28"/>
        </w:rPr>
        <w:t>
      но при этом быть не менее 0,65 м.</w:t>
      </w:r>
    </w:p>
    <w:bookmarkStart w:name="z1637" w:id="1639"/>
    <w:p>
      <w:pPr>
        <w:spacing w:after="0"/>
        <w:ind w:left="0"/>
        <w:jc w:val="both"/>
      </w:pPr>
      <w:r>
        <w:rPr>
          <w:rFonts w:ascii="Times New Roman"/>
          <w:b w:val="false"/>
          <w:i w:val="false"/>
          <w:color w:val="000000"/>
          <w:sz w:val="28"/>
        </w:rPr>
        <w:t>
      359. Вертикальный киль и стрингеры отвечают следующим требованиям:</w:t>
      </w:r>
    </w:p>
    <w:bookmarkEnd w:id="1639"/>
    <w:bookmarkStart w:name="z1638" w:id="1640"/>
    <w:p>
      <w:pPr>
        <w:spacing w:after="0"/>
        <w:ind w:left="0"/>
        <w:jc w:val="both"/>
      </w:pPr>
      <w:r>
        <w:rPr>
          <w:rFonts w:ascii="Times New Roman"/>
          <w:b w:val="false"/>
          <w:i w:val="false"/>
          <w:color w:val="000000"/>
          <w:sz w:val="28"/>
        </w:rPr>
        <w:t xml:space="preserve">
      1) толщина вертикального (туннельного) киля, мм, равна не менее определяемой по формуле: </w:t>
      </w:r>
    </w:p>
    <w:bookmarkEnd w:id="16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h</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s</w:t>
      </w:r>
      <w:r>
        <w:rPr>
          <w:rFonts w:ascii="Times New Roman"/>
          <w:b w:val="false"/>
          <w:i w:val="false"/>
          <w:color w:val="000000"/>
          <w:vertAlign w:val="superscript"/>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perscript"/>
        </w:rPr>
        <w:t>к</w:t>
      </w:r>
      <w:r>
        <w:rPr>
          <w:rFonts w:ascii="Times New Roman"/>
          <w:b w:val="false"/>
          <w:i w:val="false"/>
          <w:color w:val="000000"/>
          <w:vertAlign w:val="superscript"/>
        </w:rPr>
        <w:t>h ---</w:t>
      </w:r>
      <w:r>
        <w:rPr>
          <w:rFonts w:ascii="Times New Roman"/>
          <w:b w:val="false"/>
          <w:i w:val="false"/>
          <w:color w:val="000000"/>
          <w:sz w:val="28"/>
        </w:rPr>
        <w:t xml:space="preserve">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h</w:t>
      </w:r>
      <w:r>
        <w:rPr>
          <w:rFonts w:ascii="Times New Roman"/>
          <w:b w:val="false"/>
          <w:i w:val="false"/>
          <w:color w:val="000000"/>
          <w:vertAlign w:val="subscript"/>
        </w:rPr>
        <w:t>Ф</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требуемая согласно подпункту 1) пункта 358 настоящих Правил высота вертикального киля,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Ф</w:t>
      </w:r>
      <w:r>
        <w:rPr>
          <w:rFonts w:ascii="Times New Roman"/>
          <w:b w:val="false"/>
          <w:i w:val="false"/>
          <w:color w:val="000000"/>
          <w:sz w:val="28"/>
        </w:rPr>
        <w:t xml:space="preserve"> — фактическая высота вертикального киля,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—пункт 133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—пункт 139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0,03</w:t>
      </w:r>
      <w:r>
        <w:rPr>
          <w:rFonts w:ascii="Times New Roman"/>
          <w:b w:val="false"/>
          <w:i/>
          <w:color w:val="000000"/>
          <w:sz w:val="28"/>
        </w:rPr>
        <w:t>L</w:t>
      </w:r>
      <w:r>
        <w:rPr>
          <w:rFonts w:ascii="Times New Roman"/>
          <w:b w:val="false"/>
          <w:i w:val="false"/>
          <w:color w:val="000000"/>
          <w:sz w:val="28"/>
        </w:rPr>
        <w:t xml:space="preserve"> + 8,3, но не более 11,2.</w:t>
      </w:r>
      <w:r>
        <w:br/>
      </w:r>
      <w:r>
        <w:rPr>
          <w:rFonts w:ascii="Times New Roman"/>
          <w:b w:val="false"/>
          <w:i w:val="false"/>
          <w:color w:val="000000"/>
          <w:sz w:val="28"/>
        </w:rPr>
        <w:t>
</w:t>
      </w:r>
    </w:p>
    <w:bookmarkStart w:name="z1639" w:id="1641"/>
    <w:p>
      <w:pPr>
        <w:spacing w:after="0"/>
        <w:ind w:left="0"/>
        <w:jc w:val="both"/>
      </w:pPr>
      <w:r>
        <w:rPr>
          <w:rFonts w:ascii="Times New Roman"/>
          <w:b w:val="false"/>
          <w:i w:val="false"/>
          <w:color w:val="000000"/>
          <w:sz w:val="28"/>
        </w:rPr>
        <w:t>
      Во всех случаях толщина вертикального киля принимают не менее, чем на 1 мм больше толщины сплошного флора.</w:t>
      </w:r>
    </w:p>
    <w:bookmarkEnd w:id="1641"/>
    <w:bookmarkStart w:name="z1640" w:id="1642"/>
    <w:p>
      <w:pPr>
        <w:spacing w:after="0"/>
        <w:ind w:left="0"/>
        <w:jc w:val="both"/>
      </w:pPr>
      <w:r>
        <w:rPr>
          <w:rFonts w:ascii="Times New Roman"/>
          <w:b w:val="false"/>
          <w:i w:val="false"/>
          <w:color w:val="000000"/>
          <w:sz w:val="28"/>
        </w:rPr>
        <w:t>
      Толщина стрингеров допускается не менее толщины сплошных флоров;</w:t>
      </w:r>
    </w:p>
    <w:bookmarkEnd w:id="1642"/>
    <w:bookmarkStart w:name="z1641" w:id="1643"/>
    <w:p>
      <w:pPr>
        <w:spacing w:after="0"/>
        <w:ind w:left="0"/>
        <w:jc w:val="both"/>
      </w:pPr>
      <w:r>
        <w:rPr>
          <w:rFonts w:ascii="Times New Roman"/>
          <w:b w:val="false"/>
          <w:i w:val="false"/>
          <w:color w:val="000000"/>
          <w:sz w:val="28"/>
        </w:rPr>
        <w:t>
      2) устойчивость стенки вертикального киля и днищевых стрингеров, а также устойчивость установленных по ним продольных ребер жесткости обеспечиваютв соответствии с параграфом 4 главы 13 настоящих Правил;</w:t>
      </w:r>
    </w:p>
    <w:bookmarkEnd w:id="1643"/>
    <w:bookmarkStart w:name="z1642" w:id="1644"/>
    <w:p>
      <w:pPr>
        <w:spacing w:after="0"/>
        <w:ind w:left="0"/>
        <w:jc w:val="both"/>
      </w:pPr>
      <w:r>
        <w:rPr>
          <w:rFonts w:ascii="Times New Roman"/>
          <w:b w:val="false"/>
          <w:i w:val="false"/>
          <w:color w:val="000000"/>
          <w:sz w:val="28"/>
        </w:rPr>
        <w:t>
      3) в оконечностях на протяжении 0,1</w:t>
      </w:r>
      <w:r>
        <w:rPr>
          <w:rFonts w:ascii="Times New Roman"/>
          <w:b w:val="false"/>
          <w:i/>
          <w:color w:val="000000"/>
          <w:sz w:val="28"/>
        </w:rPr>
        <w:t>L</w:t>
      </w:r>
      <w:r>
        <w:rPr>
          <w:rFonts w:ascii="Times New Roman"/>
          <w:b w:val="false"/>
          <w:i w:val="false"/>
          <w:color w:val="000000"/>
          <w:sz w:val="28"/>
        </w:rPr>
        <w:t xml:space="preserve"> от носового и кормового перпендикуляров толщина стенки вертикального киля допускается на 10 % меньше его толщины в средней части судна, определенной для стали, применяемой в оконечностях, но не менее, минимальной толщины согласно пункту 366 настоящих Правил.</w:t>
      </w:r>
    </w:p>
    <w:bookmarkEnd w:id="1644"/>
    <w:bookmarkStart w:name="z1643" w:id="1645"/>
    <w:p>
      <w:pPr>
        <w:spacing w:after="0"/>
        <w:ind w:left="0"/>
        <w:jc w:val="both"/>
      </w:pPr>
      <w:r>
        <w:rPr>
          <w:rFonts w:ascii="Times New Roman"/>
          <w:b w:val="false"/>
          <w:i w:val="false"/>
          <w:color w:val="000000"/>
          <w:sz w:val="28"/>
        </w:rPr>
        <w:t>
      Толщина стенок туннельного киля равна не менее 0,9 толщины, требуемой для вертикального киля в данном районе;</w:t>
      </w:r>
    </w:p>
    <w:bookmarkEnd w:id="1645"/>
    <w:bookmarkStart w:name="z1644" w:id="1646"/>
    <w:p>
      <w:pPr>
        <w:spacing w:after="0"/>
        <w:ind w:left="0"/>
        <w:jc w:val="both"/>
      </w:pPr>
      <w:r>
        <w:rPr>
          <w:rFonts w:ascii="Times New Roman"/>
          <w:b w:val="false"/>
          <w:i w:val="false"/>
          <w:color w:val="000000"/>
          <w:sz w:val="28"/>
        </w:rPr>
        <w:t>
      4) толщина непроницаемых участков вертикального киля и стрингеров принимают не менее определяемой по формуле (57) настоящих Правил. При этом:</w:t>
      </w:r>
    </w:p>
    <w:bookmarkEnd w:id="164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формул (21) и (22) настоящих Правил, на уровне середины высоты вертикального киля (стрингера), в зависимости от того, что больше (при отсутствии предохранительного клапана принимается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 0);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если вертикальный киль (стрингер) подкреплен вертикальными бракетами или ребрами жесткости, в средней части судна: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rPr>
          <w:rFonts w:ascii="Times New Roman"/>
          <w:b w:val="false"/>
          <w:i/>
          <w:color w:val="000000"/>
          <w:sz w:val="28"/>
        </w:rPr>
        <w:t>k</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0,75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65 м;</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при </w:t>
      </w:r>
      <w:r>
        <w:rPr>
          <w:rFonts w:ascii="Times New Roman"/>
          <w:b w:val="false"/>
          <w:i/>
          <w:color w:val="000000"/>
          <w:sz w:val="28"/>
        </w:rPr>
        <w:t>L</w:t>
      </w:r>
      <w:r>
        <w:rPr>
          <w:rFonts w:ascii="Times New Roman"/>
          <w:b w:val="false"/>
          <w:i w:val="false"/>
          <w:color w:val="000000"/>
          <w:sz w:val="28"/>
        </w:rPr>
        <w:t xml:space="preserve"> = 12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w:t>
      </w:r>
      <w:r>
        <w:rPr>
          <w:rFonts w:ascii="Times New Roman"/>
          <w:b w:val="false"/>
          <w:i/>
          <w:color w:val="000000"/>
          <w:sz w:val="28"/>
        </w:rPr>
        <w:t>L</w:t>
      </w:r>
      <w:r>
        <w:rPr>
          <w:rFonts w:ascii="Times New Roman"/>
          <w:b w:val="false"/>
          <w:i w:val="false"/>
          <w:color w:val="000000"/>
          <w:sz w:val="28"/>
        </w:rPr>
        <w:t xml:space="preserve"> &lt; 65 м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линейной интерполяцией, принимая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0,68 при </w:t>
      </w:r>
      <w:r>
        <w:rPr>
          <w:rFonts w:ascii="Times New Roman"/>
          <w:b w:val="false"/>
          <w:i/>
          <w:color w:val="000000"/>
          <w:sz w:val="28"/>
        </w:rPr>
        <w:t>L</w:t>
      </w:r>
      <w:r>
        <w:rPr>
          <w:rFonts w:ascii="Times New Roman"/>
          <w:b w:val="false"/>
          <w:i w:val="false"/>
          <w:color w:val="000000"/>
          <w:sz w:val="28"/>
        </w:rPr>
        <w:t xml:space="preserve"> = 65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вертикальный киль (стрингер) подкреплен горизонтальными ребрами жесткости, в средней части судна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оконечностях в пределах участков 0,1</w:t>
      </w:r>
      <w:r>
        <w:rPr>
          <w:rFonts w:ascii="Times New Roman"/>
          <w:b w:val="false"/>
          <w:i/>
          <w:color w:val="000000"/>
          <w:sz w:val="28"/>
        </w:rPr>
        <w:t>L</w:t>
      </w:r>
      <w:r>
        <w:rPr>
          <w:rFonts w:ascii="Times New Roman"/>
          <w:b w:val="false"/>
          <w:i w:val="false"/>
          <w:color w:val="000000"/>
          <w:sz w:val="28"/>
        </w:rPr>
        <w:t>, от носового или кормового перпендикуляра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B</w:t>
      </w:r>
      <w:r>
        <w:rPr>
          <w:rFonts w:ascii="Times New Roman"/>
          <w:b w:val="false"/>
          <w:i w:val="false"/>
          <w:color w:val="000000"/>
          <w:sz w:val="28"/>
        </w:rPr>
        <w:t xml:space="preserve"> определяется по формуле (83) настоящих Правил.</w:t>
      </w:r>
    </w:p>
    <w:p>
      <w:pPr>
        <w:spacing w:after="0"/>
        <w:ind w:left="0"/>
        <w:jc w:val="both"/>
      </w:pPr>
      <w:r>
        <w:rPr>
          <w:rFonts w:ascii="Times New Roman"/>
          <w:b w:val="false"/>
          <w:i w:val="false"/>
          <w:color w:val="000000"/>
          <w:sz w:val="28"/>
        </w:rPr>
        <w:t>
      Толщина непроницаемых участков вертикального киля и стрингеров принимают не более толщины примыкающих к ним листов наружной обшивки.</w:t>
      </w:r>
    </w:p>
    <w:bookmarkStart w:name="z1645" w:id="1647"/>
    <w:p>
      <w:pPr>
        <w:spacing w:after="0"/>
        <w:ind w:left="0"/>
        <w:jc w:val="both"/>
      </w:pPr>
      <w:r>
        <w:rPr>
          <w:rFonts w:ascii="Times New Roman"/>
          <w:b w:val="false"/>
          <w:i w:val="false"/>
          <w:color w:val="000000"/>
          <w:sz w:val="28"/>
        </w:rPr>
        <w:t>
      360. Флоры отвечают следующим требованиям:</w:t>
      </w:r>
    </w:p>
    <w:bookmarkEnd w:id="1647"/>
    <w:bookmarkStart w:name="z1646" w:id="1648"/>
    <w:p>
      <w:pPr>
        <w:spacing w:after="0"/>
        <w:ind w:left="0"/>
        <w:jc w:val="both"/>
      </w:pPr>
      <w:r>
        <w:rPr>
          <w:rFonts w:ascii="Times New Roman"/>
          <w:b w:val="false"/>
          <w:i w:val="false"/>
          <w:color w:val="000000"/>
          <w:sz w:val="28"/>
        </w:rPr>
        <w:t>
      1) толщина сплошных флоров, мм, равна не менее определяемой по формуле:</w:t>
      </w:r>
    </w:p>
    <w:bookmarkEnd w:id="164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52400" cy="127000"/>
                    </a:xfrm>
                    <a:prstGeom prst="rect">
                      <a:avLst/>
                    </a:prstGeom>
                  </pic:spPr>
                </pic:pic>
              </a:graphicData>
            </a:graphic>
          </wp:inline>
        </w:drawing>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0,12</w:t>
      </w:r>
      <w:r>
        <w:rPr>
          <w:rFonts w:ascii="Times New Roman"/>
          <w:b w:val="false"/>
          <w:i/>
          <w:color w:val="000000"/>
          <w:sz w:val="28"/>
        </w:rPr>
        <w:t>L</w:t>
      </w:r>
      <w:r>
        <w:rPr>
          <w:rFonts w:ascii="Times New Roman"/>
          <w:b w:val="false"/>
          <w:i w:val="false"/>
          <w:color w:val="000000"/>
          <w:sz w:val="28"/>
        </w:rPr>
        <w:t xml:space="preserve"> — 1,1, но не более 6,5 — при поперечной системе набора;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0,023</w:t>
      </w:r>
      <w:r>
        <w:rPr>
          <w:rFonts w:ascii="Times New Roman"/>
          <w:b w:val="false"/>
          <w:i/>
          <w:color w:val="000000"/>
          <w:sz w:val="28"/>
        </w:rPr>
        <w:t>L</w:t>
      </w:r>
      <w:r>
        <w:rPr>
          <w:rFonts w:ascii="Times New Roman"/>
          <w:b w:val="false"/>
          <w:i w:val="false"/>
          <w:color w:val="000000"/>
          <w:sz w:val="28"/>
        </w:rPr>
        <w:t xml:space="preserve"> + 5,8 — при продольной системе набора;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коэффициенты, определяемые соответственно по приложениям 60 и 62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ребрами жесткости, м, но не более фактической высоты двойного 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133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s </w:t>
      </w:r>
      <w:r>
        <w:rPr>
          <w:rFonts w:ascii="Times New Roman"/>
          <w:b w:val="false"/>
          <w:i w:val="false"/>
          <w:color w:val="000000"/>
          <w:sz w:val="28"/>
        </w:rPr>
        <w:t>—пункт 139 настоящих Правил;</w:t>
      </w:r>
      <w:r>
        <w:br/>
      </w:r>
      <w:r>
        <w:rPr>
          <w:rFonts w:ascii="Times New Roman"/>
          <w:b w:val="false"/>
          <w:i w:val="false"/>
          <w:color w:val="000000"/>
          <w:sz w:val="28"/>
        </w:rPr>
        <w:t>
</w:t>
      </w:r>
    </w:p>
    <w:bookmarkStart w:name="z1647" w:id="1649"/>
    <w:p>
      <w:pPr>
        <w:spacing w:after="0"/>
        <w:ind w:left="0"/>
        <w:jc w:val="both"/>
      </w:pPr>
      <w:r>
        <w:rPr>
          <w:rFonts w:ascii="Times New Roman"/>
          <w:b w:val="false"/>
          <w:i w:val="false"/>
          <w:color w:val="000000"/>
          <w:sz w:val="28"/>
        </w:rPr>
        <w:t>
      2) стенки флоров подкрепляют ребрами жесткости согласно пункту 278 настоящих Правил.</w:t>
      </w:r>
    </w:p>
    <w:bookmarkEnd w:id="1649"/>
    <w:bookmarkStart w:name="z1648" w:id="1650"/>
    <w:p>
      <w:pPr>
        <w:spacing w:after="0"/>
        <w:ind w:left="0"/>
        <w:jc w:val="both"/>
      </w:pPr>
      <w:r>
        <w:rPr>
          <w:rFonts w:ascii="Times New Roman"/>
          <w:b w:val="false"/>
          <w:i w:val="false"/>
          <w:color w:val="000000"/>
          <w:sz w:val="28"/>
        </w:rPr>
        <w:t xml:space="preserve">
      Толщина стенок сплошных флоров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в районе от форпиковой переборки до 0,25</w:t>
      </w:r>
      <w:r>
        <w:rPr>
          <w:rFonts w:ascii="Times New Roman"/>
          <w:b w:val="false"/>
          <w:i/>
          <w:color w:val="000000"/>
          <w:sz w:val="28"/>
        </w:rPr>
        <w:t>L</w:t>
      </w:r>
      <w:r>
        <w:rPr>
          <w:rFonts w:ascii="Times New Roman"/>
          <w:b w:val="false"/>
          <w:i w:val="false"/>
          <w:color w:val="000000"/>
          <w:sz w:val="28"/>
        </w:rPr>
        <w:t xml:space="preserve"> от носового перпендикуляра, в машинном отделении и пиках, а также в трюмах судов, которые при стоянке во время отлива оказываются на грунте или разгрузка которых систематически производится грейферами, равна не менее:</w:t>
      </w:r>
    </w:p>
    <w:bookmarkEnd w:id="1650"/>
    <w:p>
      <w:pPr>
        <w:spacing w:after="0"/>
        <w:ind w:left="0"/>
        <w:jc w:val="both"/>
      </w:pPr>
      <w:r>
        <w:rPr>
          <w:rFonts w:ascii="Times New Roman"/>
          <w:b w:val="false"/>
          <w:i w:val="false"/>
          <w:color w:val="000000"/>
          <w:sz w:val="28"/>
        </w:rPr>
        <w:t>
      при поперечной системе набора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0,035</w:t>
      </w:r>
      <w:r>
        <w:rPr>
          <w:rFonts w:ascii="Times New Roman"/>
          <w:b w:val="false"/>
          <w:i/>
          <w:color w:val="000000"/>
          <w:sz w:val="28"/>
        </w:rPr>
        <w:t>L</w:t>
      </w:r>
      <w:r>
        <w:rPr>
          <w:rFonts w:ascii="Times New Roman"/>
          <w:b w:val="false"/>
          <w:i w:val="false"/>
          <w:color w:val="000000"/>
          <w:sz w:val="28"/>
        </w:rPr>
        <w:t xml:space="preserve"> + 5;                      (99)</w:t>
      </w:r>
    </w:p>
    <w:p>
      <w:pPr>
        <w:spacing w:after="0"/>
        <w:ind w:left="0"/>
        <w:jc w:val="both"/>
      </w:pPr>
      <w:r>
        <w:rPr>
          <w:rFonts w:ascii="Times New Roman"/>
          <w:b w:val="false"/>
          <w:i w:val="false"/>
          <w:color w:val="000000"/>
          <w:sz w:val="28"/>
        </w:rPr>
        <w:t>
      при продольной системе набора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0,035</w:t>
      </w:r>
      <w:r>
        <w:rPr>
          <w:rFonts w:ascii="Times New Roman"/>
          <w:b w:val="false"/>
          <w:i/>
          <w:color w:val="000000"/>
          <w:sz w:val="28"/>
        </w:rPr>
        <w:t>L</w:t>
      </w:r>
      <w:r>
        <w:rPr>
          <w:rFonts w:ascii="Times New Roman"/>
          <w:b w:val="false"/>
          <w:i w:val="false"/>
          <w:color w:val="000000"/>
          <w:sz w:val="28"/>
        </w:rPr>
        <w:t xml:space="preserve"> + 6;                     (100)</w:t>
      </w:r>
    </w:p>
    <w:bookmarkStart w:name="z1649" w:id="1651"/>
    <w:p>
      <w:pPr>
        <w:spacing w:after="0"/>
        <w:ind w:left="0"/>
        <w:jc w:val="both"/>
      </w:pPr>
      <w:r>
        <w:rPr>
          <w:rFonts w:ascii="Times New Roman"/>
          <w:b w:val="false"/>
          <w:i w:val="false"/>
          <w:color w:val="000000"/>
          <w:sz w:val="28"/>
        </w:rPr>
        <w:t>
      3) непроницаемые флоры имеют толщину не менее определяемой по формуле (57) настоящих Правил. При этом:</w:t>
      </w:r>
    </w:p>
    <w:bookmarkEnd w:id="165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формуле (22) настоящих Правил, на уровне середины высоты флора;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w:t>
      </w:r>
      <w:r>
        <w:br/>
      </w:r>
      <w:r>
        <w:rPr>
          <w:rFonts w:ascii="Times New Roman"/>
          <w:b w:val="false"/>
          <w:i w:val="false"/>
          <w:color w:val="000000"/>
          <w:sz w:val="28"/>
        </w:rPr>
        <w:t>
</w:t>
      </w:r>
    </w:p>
    <w:bookmarkStart w:name="z1650" w:id="1652"/>
    <w:p>
      <w:pPr>
        <w:spacing w:after="0"/>
        <w:ind w:left="0"/>
        <w:jc w:val="both"/>
      </w:pPr>
      <w:r>
        <w:rPr>
          <w:rFonts w:ascii="Times New Roman"/>
          <w:b w:val="false"/>
          <w:i w:val="false"/>
          <w:color w:val="000000"/>
          <w:sz w:val="28"/>
        </w:rPr>
        <w:t>
      Во всех случаях толщина непроницаемых флоров допускается не менее требуемой для сплошных флоров в данном районе судна.</w:t>
      </w:r>
    </w:p>
    <w:bookmarkEnd w:id="1652"/>
    <w:bookmarkStart w:name="z1651" w:id="1653"/>
    <w:p>
      <w:pPr>
        <w:spacing w:after="0"/>
        <w:ind w:left="0"/>
        <w:jc w:val="both"/>
      </w:pPr>
      <w:r>
        <w:rPr>
          <w:rFonts w:ascii="Times New Roman"/>
          <w:b w:val="false"/>
          <w:i w:val="false"/>
          <w:color w:val="000000"/>
          <w:sz w:val="28"/>
        </w:rPr>
        <w:t>
      361. Настил второго дна и междудонный лист отвечают следующим требованиям:</w:t>
      </w:r>
    </w:p>
    <w:bookmarkEnd w:id="1653"/>
    <w:bookmarkStart w:name="z1652" w:id="1654"/>
    <w:p>
      <w:pPr>
        <w:spacing w:after="0"/>
        <w:ind w:left="0"/>
        <w:jc w:val="both"/>
      </w:pPr>
      <w:r>
        <w:rPr>
          <w:rFonts w:ascii="Times New Roman"/>
          <w:b w:val="false"/>
          <w:i w:val="false"/>
          <w:color w:val="000000"/>
          <w:sz w:val="28"/>
        </w:rPr>
        <w:t>
      1) толщина настила второго дна, включая крайний междудонный лист, равна не менее определяемой по формуле (57) настоящих Правил. При этом:</w:t>
      </w:r>
    </w:p>
    <w:bookmarkEnd w:id="165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максимальное расчетное давление согласно пункта 356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0,8 в средней части судна длиной 65 м и более при поперечной системе набора;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в средней части судна длиной 12 м при поперечной системе набора.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w:t>
      </w:r>
      <w:r>
        <w:rPr>
          <w:rFonts w:ascii="Times New Roman"/>
          <w:b w:val="false"/>
          <w:i/>
          <w:color w:val="000000"/>
          <w:sz w:val="28"/>
        </w:rPr>
        <w:t>L</w:t>
      </w:r>
      <w:r>
        <w:rPr>
          <w:rFonts w:ascii="Times New Roman"/>
          <w:b w:val="false"/>
          <w:i w:val="false"/>
          <w:color w:val="000000"/>
          <w:sz w:val="28"/>
        </w:rPr>
        <w:t xml:space="preserve"> &lt; 65 м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линейной интерполяцией, принимая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 при </w:t>
      </w:r>
      <w:r>
        <w:rPr>
          <w:rFonts w:ascii="Times New Roman"/>
          <w:b w:val="false"/>
          <w:i/>
          <w:color w:val="000000"/>
          <w:sz w:val="28"/>
        </w:rPr>
        <w:t>L</w:t>
      </w:r>
      <w:r>
        <w:rPr>
          <w:rFonts w:ascii="Times New Roman"/>
          <w:b w:val="false"/>
          <w:i w:val="false"/>
          <w:color w:val="000000"/>
          <w:sz w:val="28"/>
        </w:rPr>
        <w:t xml:space="preserve"> = 65 м,</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в средней части судна при продольной системе набора;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(83) настоящих Правил;</w:t>
      </w:r>
    </w:p>
    <w:bookmarkStart w:name="z1653" w:id="1655"/>
    <w:p>
      <w:pPr>
        <w:spacing w:after="0"/>
        <w:ind w:left="0"/>
        <w:jc w:val="both"/>
      </w:pPr>
      <w:r>
        <w:rPr>
          <w:rFonts w:ascii="Times New Roman"/>
          <w:b w:val="false"/>
          <w:i w:val="false"/>
          <w:color w:val="000000"/>
          <w:sz w:val="28"/>
        </w:rPr>
        <w:t xml:space="preserve">
      2) в любом случае толщина настила второго дна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равна не менее определяемой по формулам:</w:t>
      </w:r>
    </w:p>
    <w:bookmarkEnd w:id="165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(3,8 + 0,05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&lt; 80 м;            (101)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(102)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согласно приложению 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260 м принимается </w:t>
      </w:r>
      <w:r>
        <w:rPr>
          <w:rFonts w:ascii="Times New Roman"/>
          <w:b w:val="false"/>
          <w:i/>
          <w:color w:val="000000"/>
          <w:sz w:val="28"/>
        </w:rPr>
        <w:t>L</w:t>
      </w:r>
      <w:r>
        <w:rPr>
          <w:rFonts w:ascii="Times New Roman"/>
          <w:b w:val="false"/>
          <w:i w:val="false"/>
          <w:color w:val="000000"/>
          <w:sz w:val="28"/>
        </w:rPr>
        <w:t xml:space="preserve"> = 260 м.</w:t>
      </w:r>
    </w:p>
    <w:bookmarkStart w:name="z1654" w:id="1656"/>
    <w:p>
      <w:pPr>
        <w:spacing w:after="0"/>
        <w:ind w:left="0"/>
        <w:jc w:val="both"/>
      </w:pPr>
      <w:r>
        <w:rPr>
          <w:rFonts w:ascii="Times New Roman"/>
          <w:b w:val="false"/>
          <w:i w:val="false"/>
          <w:color w:val="000000"/>
          <w:sz w:val="28"/>
        </w:rPr>
        <w:t>
      Для судов неограниченного района плавания и ограниченного района плавания R1, если принятая шпация меньше нормальной (параграф 3 главы 8 настоящих Правил), допускается уменьшение минимальной толщины настила второго дна пропорционально отношению принятой шпации к нормальной, но не более чем на 10 %. Во всех случаях минимальная толщина равна не менее 5,5 мм.</w:t>
      </w:r>
    </w:p>
    <w:bookmarkEnd w:id="1656"/>
    <w:bookmarkStart w:name="z1655" w:id="1657"/>
    <w:p>
      <w:pPr>
        <w:spacing w:after="0"/>
        <w:ind w:left="0"/>
        <w:jc w:val="both"/>
      </w:pPr>
      <w:r>
        <w:rPr>
          <w:rFonts w:ascii="Times New Roman"/>
          <w:b w:val="false"/>
          <w:i w:val="false"/>
          <w:color w:val="000000"/>
          <w:sz w:val="28"/>
        </w:rPr>
        <w:t>
      Кроме того, толщина настила второго дна в трюмах, в которые принимается водяной балласт, а также в грузовых (балластных) отсеках наливных судов принимается не менее определяемой в параграфе 3 главы 32 настоящих Правил.</w:t>
      </w:r>
    </w:p>
    <w:bookmarkEnd w:id="1657"/>
    <w:bookmarkStart w:name="z1656" w:id="1658"/>
    <w:p>
      <w:pPr>
        <w:spacing w:after="0"/>
        <w:ind w:left="0"/>
        <w:jc w:val="both"/>
      </w:pPr>
      <w:r>
        <w:rPr>
          <w:rFonts w:ascii="Times New Roman"/>
          <w:b w:val="false"/>
          <w:i w:val="false"/>
          <w:color w:val="000000"/>
          <w:sz w:val="28"/>
        </w:rPr>
        <w:t xml:space="preserve">
      В машинном отделении и в трюмах под грузовыми люками при отсутствии деревянного настила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увеличивают на 2 мм.</w:t>
      </w:r>
    </w:p>
    <w:bookmarkEnd w:id="1658"/>
    <w:bookmarkStart w:name="z1657" w:id="1659"/>
    <w:p>
      <w:pPr>
        <w:spacing w:after="0"/>
        <w:ind w:left="0"/>
        <w:jc w:val="both"/>
      </w:pPr>
      <w:r>
        <w:rPr>
          <w:rFonts w:ascii="Times New Roman"/>
          <w:b w:val="false"/>
          <w:i w:val="false"/>
          <w:color w:val="000000"/>
          <w:sz w:val="28"/>
        </w:rPr>
        <w:t xml:space="preserve">
      В трюмах при отсутствии деревянного настила, если предусматривается выполнение грузовых операций грейферами,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увеличивают на 4 мм;</w:t>
      </w:r>
    </w:p>
    <w:bookmarkEnd w:id="1659"/>
    <w:bookmarkStart w:name="z1658" w:id="1660"/>
    <w:p>
      <w:pPr>
        <w:spacing w:after="0"/>
        <w:ind w:left="0"/>
        <w:jc w:val="both"/>
      </w:pPr>
      <w:r>
        <w:rPr>
          <w:rFonts w:ascii="Times New Roman"/>
          <w:b w:val="false"/>
          <w:i w:val="false"/>
          <w:color w:val="000000"/>
          <w:sz w:val="28"/>
        </w:rPr>
        <w:t>
      3) устойчивость настила второго дна и междудонного листа в средней части судна длиной 65 м и более обеспечивают в соответствии с параграфом 4 главы 13 настоящих Правил.</w:t>
      </w:r>
    </w:p>
    <w:bookmarkEnd w:id="1660"/>
    <w:bookmarkStart w:name="z1659" w:id="1661"/>
    <w:p>
      <w:pPr>
        <w:spacing w:after="0"/>
        <w:ind w:left="0"/>
        <w:jc w:val="both"/>
      </w:pPr>
      <w:r>
        <w:rPr>
          <w:rFonts w:ascii="Times New Roman"/>
          <w:b w:val="false"/>
          <w:i w:val="false"/>
          <w:color w:val="000000"/>
          <w:sz w:val="28"/>
        </w:rPr>
        <w:t>
      362. Необходимо чтобы балки основного набора по днищу и второму дну соответствовали следующим требованиям:</w:t>
      </w:r>
    </w:p>
    <w:bookmarkEnd w:id="1661"/>
    <w:bookmarkStart w:name="z1660" w:id="1662"/>
    <w:p>
      <w:pPr>
        <w:spacing w:after="0"/>
        <w:ind w:left="0"/>
        <w:jc w:val="both"/>
      </w:pPr>
      <w:r>
        <w:rPr>
          <w:rFonts w:ascii="Times New Roman"/>
          <w:b w:val="false"/>
          <w:i w:val="false"/>
          <w:color w:val="000000"/>
          <w:sz w:val="28"/>
        </w:rPr>
        <w:t>
      1) момент сопротивления продольных балок по днищу и второму дну, а также нижних и верхних балок бракетных флоров и туннельного киля равен не менее определяемого в пункте 246 настоящих Правил. При этом:</w:t>
      </w:r>
    </w:p>
    <w:bookmarkEnd w:id="166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определяемое для продольных балок днища и нижних балок бракетных флоров и туннельного киля согласно пункта 355 настоящих Правил, для продольных балок второго дна и верхних балок бракетных флоров и туннельного киля — согласно пункту 356 настоящих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l — расчетный пролет балки, м, определяемый: для продольных балок по днищу и второму дну — как расстояние между флорами, для нижних и верхних балок бракетных флоров — как расстояние между концами бракет или между концом бракеты и днищевым стрингером, для туннельного киля — как расстояние между стенками;</w:t>
      </w:r>
    </w:p>
    <w:p>
      <w:pPr>
        <w:spacing w:after="0"/>
        <w:ind w:left="0"/>
        <w:jc w:val="both"/>
      </w:pPr>
      <w:r>
        <w:rPr>
          <w:rFonts w:ascii="Times New Roman"/>
          <w:b w:val="false"/>
          <w:i w:val="false"/>
          <w:color w:val="000000"/>
          <w:sz w:val="28"/>
        </w:rPr>
        <w:t>
      для продольных балок днища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rPr>
          <w:rFonts w:ascii="Times New Roman"/>
          <w:b w:val="false"/>
          <w:i/>
          <w:color w:val="000000"/>
          <w:sz w:val="28"/>
        </w:rPr>
        <w:t xml:space="preserve"> k</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0,65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продольных балок второго 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rPr>
          <w:rFonts w:ascii="Times New Roman"/>
          <w:b w:val="false"/>
          <w:i/>
          <w:color w:val="000000"/>
          <w:sz w:val="28"/>
        </w:rPr>
        <w:t xml:space="preserve"> k</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0,75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нижних балок бракетных флоров и туннельного киля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верхних балок бракетных флоров и туннельного киля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B</w:t>
      </w:r>
      <w:r>
        <w:rPr>
          <w:rFonts w:ascii="Times New Roman"/>
          <w:b w:val="false"/>
          <w:i w:val="false"/>
          <w:color w:val="000000"/>
          <w:sz w:val="28"/>
        </w:rPr>
        <w:t xml:space="preserve"> определяется по формуле (83) настоящих Правил;</w:t>
      </w:r>
    </w:p>
    <w:bookmarkStart w:name="z1661" w:id="1663"/>
    <w:p>
      <w:pPr>
        <w:spacing w:after="0"/>
        <w:ind w:left="0"/>
        <w:jc w:val="both"/>
      </w:pPr>
      <w:r>
        <w:rPr>
          <w:rFonts w:ascii="Times New Roman"/>
          <w:b w:val="false"/>
          <w:i w:val="false"/>
          <w:color w:val="000000"/>
          <w:sz w:val="28"/>
        </w:rPr>
        <w:t>
      2) при наличии промежуточных подкрепляющих стоек между балками днища и второго дна, установленных по середине их пролета, момент сопротивления этих балок может быть уменьшен на 35 %;</w:t>
      </w:r>
    </w:p>
    <w:bookmarkEnd w:id="1663"/>
    <w:bookmarkStart w:name="z1662" w:id="1664"/>
    <w:p>
      <w:pPr>
        <w:spacing w:after="0"/>
        <w:ind w:left="0"/>
        <w:jc w:val="both"/>
      </w:pPr>
      <w:r>
        <w:rPr>
          <w:rFonts w:ascii="Times New Roman"/>
          <w:b w:val="false"/>
          <w:i w:val="false"/>
          <w:color w:val="000000"/>
          <w:sz w:val="28"/>
        </w:rPr>
        <w:t xml:space="preserve">
      3) если отношение длины пролета продольной балки по днищу или второму дну к ее высоте меньше 10, площадь стенки балки равна не менее определяемой по формуле (55) настоящих Правил при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расчетное давление и расчетный пролет балки согласно подпункту 1) настоящего пункта, </w:t>
      </w:r>
    </w:p>
    <w:bookmarkEnd w:id="1664"/>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в подпункте 1) настоящего пункта при </w:t>
      </w:r>
      <w:r>
        <w:rPr>
          <w:rFonts w:ascii="Times New Roman"/>
          <w:b w:val="false"/>
          <w:i/>
          <w:color w:val="000000"/>
          <w:sz w:val="28"/>
        </w:rPr>
        <w:t>k</w:t>
      </w:r>
      <w:r>
        <w:rPr>
          <w:rFonts w:ascii="Times New Roman"/>
          <w:b w:val="false"/>
          <w:i w:val="false"/>
          <w:color w:val="000000"/>
          <w:vertAlign w:val="subscript"/>
        </w:rPr>
        <w:t>B</w:t>
      </w:r>
      <w:r>
        <w:rPr>
          <w:rFonts w:ascii="Times New Roman"/>
          <w:b w:val="false"/>
          <w:i w:val="false"/>
          <w:color w:val="000000"/>
          <w:sz w:val="28"/>
        </w:rPr>
        <w:t xml:space="preserve"> = 1,25;</w:t>
      </w:r>
      <w:r>
        <w:br/>
      </w:r>
      <w:r>
        <w:rPr>
          <w:rFonts w:ascii="Times New Roman"/>
          <w:b w:val="false"/>
          <w:i w:val="false"/>
          <w:color w:val="000000"/>
          <w:sz w:val="28"/>
        </w:rPr>
        <w:t>
</w:t>
      </w:r>
    </w:p>
    <w:bookmarkStart w:name="z1663" w:id="1665"/>
    <w:p>
      <w:pPr>
        <w:spacing w:after="0"/>
        <w:ind w:left="0"/>
        <w:jc w:val="both"/>
      </w:pPr>
      <w:r>
        <w:rPr>
          <w:rFonts w:ascii="Times New Roman"/>
          <w:b w:val="false"/>
          <w:i w:val="false"/>
          <w:color w:val="000000"/>
          <w:sz w:val="28"/>
        </w:rPr>
        <w:t>
      4) устойчивость продольных балок днища и второго дна в средней части судна длиной 65 м и более обеспечивают в соответствии с параграфом 4 главы 13 настоящих Правил;</w:t>
      </w:r>
    </w:p>
    <w:bookmarkEnd w:id="1665"/>
    <w:bookmarkStart w:name="z1664" w:id="1666"/>
    <w:p>
      <w:pPr>
        <w:spacing w:after="0"/>
        <w:ind w:left="0"/>
        <w:jc w:val="both"/>
      </w:pPr>
      <w:r>
        <w:rPr>
          <w:rFonts w:ascii="Times New Roman"/>
          <w:b w:val="false"/>
          <w:i w:val="false"/>
          <w:color w:val="000000"/>
          <w:sz w:val="28"/>
        </w:rPr>
        <w:t xml:space="preserve">
      5) момент сопротивления панели, примыкающей к обшивке днища или настилу второго дна, по центру выреза облегченных днищевых стрингеров и флоров удовлетворяют требованиям подпункта 1) пункта 362 настоящих Правил соответственно к продольным и поперечным балкам по днищу и второму дну. При этом расчетный пролет </w:t>
      </w:r>
      <w:r>
        <w:rPr>
          <w:rFonts w:ascii="Times New Roman"/>
          <w:b w:val="false"/>
          <w:i/>
          <w:color w:val="000000"/>
          <w:sz w:val="28"/>
        </w:rPr>
        <w:t>l</w:t>
      </w:r>
      <w:r>
        <w:rPr>
          <w:rFonts w:ascii="Times New Roman"/>
          <w:b w:val="false"/>
          <w:i w:val="false"/>
          <w:color w:val="000000"/>
          <w:sz w:val="28"/>
        </w:rPr>
        <w:t xml:space="preserve"> принимается, равным наибольшей длине выреза за вычетом радиуса его закругления. В состав сечения панели включается присоединенный поясок обшивки днища (настила второго дна) согласно пунктам 239 и 240 настоящих Правил, а также поясок или горизонтальное ребро жесткости, подкрепляющее свободную кромку панели, если таковые устанавливаются.</w:t>
      </w:r>
    </w:p>
    <w:bookmarkEnd w:id="1666"/>
    <w:bookmarkStart w:name="z1665" w:id="1667"/>
    <w:p>
      <w:pPr>
        <w:spacing w:after="0"/>
        <w:ind w:left="0"/>
        <w:jc w:val="both"/>
      </w:pPr>
      <w:r>
        <w:rPr>
          <w:rFonts w:ascii="Times New Roman"/>
          <w:b w:val="false"/>
          <w:i w:val="false"/>
          <w:color w:val="000000"/>
          <w:sz w:val="28"/>
        </w:rPr>
        <w:t>
      363. Необходимо чтобы ребра жесткости по непроницаемым участкам вертикального (туннельного) киля, стрингеров и флоров соответствовали следующим требованиям:</w:t>
      </w:r>
    </w:p>
    <w:bookmarkEnd w:id="1667"/>
    <w:bookmarkStart w:name="z1666" w:id="1668"/>
    <w:p>
      <w:pPr>
        <w:spacing w:after="0"/>
        <w:ind w:left="0"/>
        <w:jc w:val="both"/>
      </w:pPr>
      <w:r>
        <w:rPr>
          <w:rFonts w:ascii="Times New Roman"/>
          <w:b w:val="false"/>
          <w:i w:val="false"/>
          <w:color w:val="000000"/>
          <w:sz w:val="28"/>
        </w:rPr>
        <w:t>
      1) момент сопротивления вертикальных ребер по непроницаемым участкам вертикального (туннельного) киля, стрингеров и флоров, должен быть не менее определяемого по пункту 246 настоящих Правил. При этом:</w:t>
      </w:r>
    </w:p>
    <w:bookmarkEnd w:id="166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по формуле (22) настоящих Правил, на уровне середины высоты вертикального ребра;</w:t>
      </w:r>
    </w:p>
    <w:p>
      <w:pPr>
        <w:spacing w:after="0"/>
        <w:ind w:left="0"/>
        <w:jc w:val="both"/>
      </w:pPr>
      <w:r>
        <w:rPr>
          <w:rFonts w:ascii="Times New Roman"/>
          <w:b w:val="false"/>
          <w:i w:val="false"/>
          <w:color w:val="000000"/>
          <w:sz w:val="28"/>
        </w:rPr>
        <w:t>
      l — длина пролета ребра, определяемая как расстояние между балками, к которым приваривается ребро, или, если ребро не находится в плоскости днищевых балок и балок второго дна, как высота двойного дна, м;</w:t>
      </w:r>
    </w:p>
    <w:p>
      <w:pPr>
        <w:spacing w:after="0"/>
        <w:ind w:left="0"/>
        <w:jc w:val="both"/>
      </w:pPr>
      <w:r>
        <w:rPr>
          <w:rFonts w:ascii="Times New Roman"/>
          <w:b w:val="false"/>
          <w:i w:val="false"/>
          <w:color w:val="000000"/>
          <w:sz w:val="28"/>
        </w:rPr>
        <w:t>
      m = 8 и 10 для ребер, срезанных "на ус" и приваренных к балкам основного набора днища и второго дна соответственно;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1667" w:id="1669"/>
    <w:p>
      <w:pPr>
        <w:spacing w:after="0"/>
        <w:ind w:left="0"/>
        <w:jc w:val="both"/>
      </w:pPr>
      <w:r>
        <w:rPr>
          <w:rFonts w:ascii="Times New Roman"/>
          <w:b w:val="false"/>
          <w:i w:val="false"/>
          <w:color w:val="000000"/>
          <w:sz w:val="28"/>
        </w:rPr>
        <w:t>
      2) момент сопротивления горизонтальных ребер жесткости по вертикальному (туннельному) килю и стрингерам допускают не менее определяемого в пункте 246 настоящих Правил. При этом:</w:t>
      </w:r>
    </w:p>
    <w:bookmarkEnd w:id="166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по формуле (22) настоящих Правил на уровне рассматриваемого продольного ребра;</w:t>
      </w:r>
    </w:p>
    <w:p>
      <w:pPr>
        <w:spacing w:after="0"/>
        <w:ind w:left="0"/>
        <w:jc w:val="both"/>
      </w:pPr>
      <w:r>
        <w:rPr>
          <w:rFonts w:ascii="Times New Roman"/>
          <w:b w:val="false"/>
          <w:i w:val="false"/>
          <w:color w:val="000000"/>
          <w:sz w:val="28"/>
        </w:rPr>
        <w:t>
      l — расстояние между флорами или флорами и бракетами (пункт 347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0,75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(83) настоящих Правил;</w:t>
      </w:r>
    </w:p>
    <w:bookmarkStart w:name="z1668" w:id="1670"/>
    <w:p>
      <w:pPr>
        <w:spacing w:after="0"/>
        <w:ind w:left="0"/>
        <w:jc w:val="both"/>
      </w:pPr>
      <w:r>
        <w:rPr>
          <w:rFonts w:ascii="Times New Roman"/>
          <w:b w:val="false"/>
          <w:i w:val="false"/>
          <w:color w:val="000000"/>
          <w:sz w:val="28"/>
        </w:rPr>
        <w:t>
      3) устойчивость горизонтальных ребер жесткости по вертикальному (туннельному) килю и стрингерам в средней части судов неограниченного района плавания и ограниченных районов плавания R1 и R2 длиной 65 м и более, ограниченных районов плавания R2-RSN, R3-RSN и R3 длиной 60 м и более обеспечивают в соответствии с параграфом 4 главы 13 настоящих Правил.</w:t>
      </w:r>
    </w:p>
    <w:bookmarkEnd w:id="1670"/>
    <w:bookmarkStart w:name="z1669" w:id="1671"/>
    <w:p>
      <w:pPr>
        <w:spacing w:after="0"/>
        <w:ind w:left="0"/>
        <w:jc w:val="both"/>
      </w:pPr>
      <w:r>
        <w:rPr>
          <w:rFonts w:ascii="Times New Roman"/>
          <w:b w:val="false"/>
          <w:i w:val="false"/>
          <w:color w:val="000000"/>
          <w:sz w:val="28"/>
        </w:rPr>
        <w:t>
      364. Необходимо чтобы промежуточные подкрепляющие стойки между продольными балками днища и второго дна, а также между нижними и верхними балками бракетных флоров соответствовали следующим требованиям:</w:t>
      </w:r>
    </w:p>
    <w:bookmarkEnd w:id="1671"/>
    <w:bookmarkStart w:name="z1670" w:id="1672"/>
    <w:p>
      <w:pPr>
        <w:spacing w:after="0"/>
        <w:ind w:left="0"/>
        <w:jc w:val="both"/>
      </w:pPr>
      <w:r>
        <w:rPr>
          <w:rFonts w:ascii="Times New Roman"/>
          <w:b w:val="false"/>
          <w:i w:val="false"/>
          <w:color w:val="000000"/>
          <w:sz w:val="28"/>
        </w:rPr>
        <w:t xml:space="preserve">
      1) площадь поперечного сечения промежуточных стоек </w:t>
      </w:r>
      <w:r>
        <w:rPr>
          <w:rFonts w:ascii="Times New Roman"/>
          <w:b w:val="false"/>
          <w:i/>
          <w:color w:val="000000"/>
          <w:sz w:val="28"/>
        </w:rPr>
        <w:t>f</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равна не менее определяемой по формуле: </w:t>
      </w:r>
    </w:p>
    <w:bookmarkEnd w:id="1672"/>
    <w:p>
      <w:pPr>
        <w:spacing w:after="0"/>
        <w:ind w:left="0"/>
        <w:jc w:val="both"/>
      </w:pPr>
      <w:r>
        <w:rPr>
          <w:rFonts w:ascii="Times New Roman"/>
          <w:b w:val="false"/>
          <w:i w:val="false"/>
          <w:color w:val="000000"/>
          <w:sz w:val="28"/>
        </w:rPr>
        <w:t xml:space="preserve">
                                 5 </w:t>
      </w:r>
      <w:r>
        <w:rPr>
          <w:rFonts w:ascii="Times New Roman"/>
          <w:b w:val="false"/>
          <w:i/>
          <w:color w:val="000000"/>
          <w:sz w:val="28"/>
        </w:rPr>
        <w:t>pal</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______ + 0,1</w:t>
      </w:r>
      <w:r>
        <w:rPr>
          <w:rFonts w:ascii="Times New Roman"/>
          <w:b w:val="false"/>
          <w:i/>
          <w:color w:val="000000"/>
          <w:sz w:val="28"/>
        </w:rPr>
        <w:t>h</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(103) </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расчетное давление, определяемое как наибольшая из величин </w:t>
      </w:r>
      <w:r>
        <w:rPr>
          <w:rFonts w:ascii="Times New Roman"/>
          <w:b w:val="false"/>
          <w:i/>
          <w:color w:val="000000"/>
          <w:sz w:val="28"/>
        </w:rPr>
        <w:t>р</w:t>
      </w:r>
      <w:r>
        <w:rPr>
          <w:rFonts w:ascii="Times New Roman"/>
          <w:b w:val="false"/>
          <w:i w:val="false"/>
          <w:color w:val="000000"/>
          <w:sz w:val="28"/>
        </w:rPr>
        <w:t xml:space="preserve"> или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согласно пунктам 355 или 356 настоящих Правил в зависимости от того, что больше, кПа;</w:t>
      </w:r>
    </w:p>
    <w:p>
      <w:pPr>
        <w:spacing w:after="0"/>
        <w:ind w:left="0"/>
        <w:jc w:val="both"/>
      </w:pPr>
      <w:r>
        <w:rPr>
          <w:rFonts w:ascii="Times New Roman"/>
          <w:b w:val="false"/>
          <w:i w:val="false"/>
          <w:color w:val="000000"/>
          <w:sz w:val="28"/>
        </w:rPr>
        <w:t>
      l — длина расчетного пролета подкрепляемых балок,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—высота поперечного сечения стойки, см;</w:t>
      </w:r>
    </w:p>
    <w:bookmarkStart w:name="z1671" w:id="1673"/>
    <w:p>
      <w:pPr>
        <w:spacing w:after="0"/>
        <w:ind w:left="0"/>
        <w:jc w:val="both"/>
      </w:pPr>
      <w:r>
        <w:rPr>
          <w:rFonts w:ascii="Times New Roman"/>
          <w:b w:val="false"/>
          <w:i w:val="false"/>
          <w:color w:val="000000"/>
          <w:sz w:val="28"/>
        </w:rPr>
        <w:t xml:space="preserve">
      2) момент инерции промежуточных стоек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равен не менее определяемого по формуле:</w:t>
      </w:r>
    </w:p>
    <w:bookmarkEnd w:id="167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0,01</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perscript"/>
        </w:rPr>
        <w:t>2</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(104)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площадь поперечного сечения стоек согласно подпункту 1) пункта 364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длина стойки, м.</w:t>
      </w:r>
    </w:p>
    <w:bookmarkStart w:name="z1672" w:id="1674"/>
    <w:p>
      <w:pPr>
        <w:spacing w:after="0"/>
        <w:ind w:left="0"/>
        <w:jc w:val="both"/>
      </w:pPr>
      <w:r>
        <w:rPr>
          <w:rFonts w:ascii="Times New Roman"/>
          <w:b w:val="false"/>
          <w:i w:val="false"/>
          <w:color w:val="000000"/>
          <w:sz w:val="28"/>
        </w:rPr>
        <w:t>
      365. Толщина бракет вертикального (туннельного) киля и междудонного листа, а также бракет бракетных флоров и бракет, соединяющих продольные балки по днищу и второму дну с непроницаемыми флорами, если балки на них разрезаются, принимают не менее толщины сплошных флоров, принятой в данном районе.</w:t>
      </w:r>
    </w:p>
    <w:bookmarkEnd w:id="1674"/>
    <w:bookmarkStart w:name="z1673" w:id="1675"/>
    <w:p>
      <w:pPr>
        <w:spacing w:after="0"/>
        <w:ind w:left="0"/>
        <w:jc w:val="both"/>
      </w:pPr>
      <w:r>
        <w:rPr>
          <w:rFonts w:ascii="Times New Roman"/>
          <w:b w:val="false"/>
          <w:i w:val="false"/>
          <w:color w:val="000000"/>
          <w:sz w:val="28"/>
        </w:rPr>
        <w:t>
      Длина бракет у вертикального киля и междудонного листа в плоскости бракетного флора должна быть не менее 0,75 высоты вертикального киля. Свободные кромки бракет должны иметь фланцы или пояски. Днищевой стрингер в плоскости бракетного флора должен быть подкреплен вертикальным ребром жесткости, профиль которого выбирается таким же, как профиль верхней балки флора.</w:t>
      </w:r>
    </w:p>
    <w:bookmarkEnd w:id="1675"/>
    <w:bookmarkStart w:name="z1674" w:id="1676"/>
    <w:p>
      <w:pPr>
        <w:spacing w:after="0"/>
        <w:ind w:left="0"/>
        <w:jc w:val="both"/>
      </w:pPr>
      <w:r>
        <w:rPr>
          <w:rFonts w:ascii="Times New Roman"/>
          <w:b w:val="false"/>
          <w:i w:val="false"/>
          <w:color w:val="000000"/>
          <w:sz w:val="28"/>
        </w:rPr>
        <w:t>
      Длина бракет, соединяющих продольные балки по днищу и настилу второго дна с непроницаемыми флорами, равна не менее 2,5 высоты днищевой балки (приложение 62 настоящих Правил).</w:t>
      </w:r>
    </w:p>
    <w:bookmarkEnd w:id="1676"/>
    <w:bookmarkStart w:name="z1675" w:id="1677"/>
    <w:p>
      <w:pPr>
        <w:spacing w:after="0"/>
        <w:ind w:left="0"/>
        <w:jc w:val="both"/>
      </w:pPr>
      <w:r>
        <w:rPr>
          <w:rFonts w:ascii="Times New Roman"/>
          <w:b w:val="false"/>
          <w:i w:val="false"/>
          <w:color w:val="000000"/>
          <w:sz w:val="28"/>
        </w:rPr>
        <w:t>
      Размеры книц, с помощью которых закрепляются поперечные балки туннельного киля, определяются согласно пункту 271 настоящих Правил.</w:t>
      </w:r>
    </w:p>
    <w:bookmarkEnd w:id="1677"/>
    <w:bookmarkStart w:name="z1676" w:id="1678"/>
    <w:p>
      <w:pPr>
        <w:spacing w:after="0"/>
        <w:ind w:left="0"/>
        <w:jc w:val="both"/>
      </w:pPr>
      <w:r>
        <w:rPr>
          <w:rFonts w:ascii="Times New Roman"/>
          <w:b w:val="false"/>
          <w:i w:val="false"/>
          <w:color w:val="000000"/>
          <w:sz w:val="28"/>
        </w:rPr>
        <w:t xml:space="preserve">
      366. Внутри двойного дна элементы конструкции, включая балки основного набора, ребра жесткости, кницы, имеют толщину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мм, не менее определяемой по формулам: </w:t>
      </w:r>
    </w:p>
    <w:bookmarkEnd w:id="16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0,045</w:t>
      </w:r>
      <w:r>
        <w:rPr>
          <w:rFonts w:ascii="Times New Roman"/>
          <w:b w:val="false"/>
          <w:i/>
          <w:color w:val="000000"/>
          <w:sz w:val="28"/>
        </w:rPr>
        <w:t>L</w:t>
      </w:r>
      <w:r>
        <w:rPr>
          <w:rFonts w:ascii="Times New Roman"/>
          <w:b w:val="false"/>
          <w:i w:val="false"/>
          <w:color w:val="000000"/>
          <w:sz w:val="28"/>
        </w:rPr>
        <w:t xml:space="preserve"> + 3,9 при </w:t>
      </w:r>
      <w:r>
        <w:rPr>
          <w:rFonts w:ascii="Times New Roman"/>
          <w:b w:val="false"/>
          <w:i/>
          <w:color w:val="000000"/>
          <w:sz w:val="28"/>
        </w:rPr>
        <w:t>L</w:t>
      </w:r>
      <w:r>
        <w:rPr>
          <w:rFonts w:ascii="Times New Roman"/>
          <w:b w:val="false"/>
          <w:i w:val="false"/>
          <w:color w:val="000000"/>
          <w:sz w:val="28"/>
        </w:rPr>
        <w:t xml:space="preserve"> &lt; 80 м;               (105)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0,025</w:t>
      </w:r>
      <w:r>
        <w:rPr>
          <w:rFonts w:ascii="Times New Roman"/>
          <w:b w:val="false"/>
          <w:i/>
          <w:color w:val="000000"/>
          <w:sz w:val="28"/>
        </w:rPr>
        <w:t>L</w:t>
      </w:r>
      <w:r>
        <w:rPr>
          <w:rFonts w:ascii="Times New Roman"/>
          <w:b w:val="false"/>
          <w:i w:val="false"/>
          <w:color w:val="000000"/>
          <w:sz w:val="28"/>
        </w:rPr>
        <w:t xml:space="preserve"> + 5,5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(106)</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250 м принимается </w:t>
      </w:r>
      <w:r>
        <w:rPr>
          <w:rFonts w:ascii="Times New Roman"/>
          <w:b w:val="false"/>
          <w:i/>
          <w:color w:val="000000"/>
          <w:sz w:val="28"/>
        </w:rPr>
        <w:t>L</w:t>
      </w:r>
      <w:r>
        <w:rPr>
          <w:rFonts w:ascii="Times New Roman"/>
          <w:b w:val="false"/>
          <w:i w:val="false"/>
          <w:color w:val="000000"/>
          <w:sz w:val="28"/>
        </w:rPr>
        <w:t xml:space="preserve"> = 250 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вертикального киля должна быть увеличена на 1,5 мм.</w:t>
      </w:r>
    </w:p>
    <w:bookmarkStart w:name="z1677" w:id="1679"/>
    <w:p>
      <w:pPr>
        <w:spacing w:after="0"/>
        <w:ind w:left="0"/>
        <w:jc w:val="both"/>
      </w:pPr>
      <w:r>
        <w:rPr>
          <w:rFonts w:ascii="Times New Roman"/>
          <w:b w:val="false"/>
          <w:i w:val="false"/>
          <w:color w:val="000000"/>
          <w:sz w:val="28"/>
        </w:rPr>
        <w:t xml:space="preserve">
      367. В районе трюмов, предназначенных для перевозки тяжелых грузов, прочность связей двойного дна должна быть проверена расчетом прочности днищевого перекрытия на действие расчетных нагрузок согласно параграфу 2 главы 18 настоящих Правил в соответствии с требованиями подпункта 1) пункта 653 настоящих Правил. </w:t>
      </w:r>
    </w:p>
    <w:bookmarkEnd w:id="1679"/>
    <w:bookmarkStart w:name="z1678" w:id="1680"/>
    <w:p>
      <w:pPr>
        <w:spacing w:after="0"/>
        <w:ind w:left="0"/>
        <w:jc w:val="left"/>
      </w:pPr>
      <w:r>
        <w:rPr>
          <w:rFonts w:ascii="Times New Roman"/>
          <w:b/>
          <w:i w:val="false"/>
          <w:color w:val="000000"/>
        </w:rPr>
        <w:t xml:space="preserve"> Параграф 4. Специальные требования</w:t>
      </w:r>
    </w:p>
    <w:bookmarkEnd w:id="1680"/>
    <w:bookmarkStart w:name="z1679" w:id="1681"/>
    <w:p>
      <w:pPr>
        <w:spacing w:after="0"/>
        <w:ind w:left="0"/>
        <w:jc w:val="both"/>
      </w:pPr>
      <w:r>
        <w:rPr>
          <w:rFonts w:ascii="Times New Roman"/>
          <w:b w:val="false"/>
          <w:i w:val="false"/>
          <w:color w:val="000000"/>
          <w:sz w:val="28"/>
        </w:rPr>
        <w:t>
      368. Прерывистое двойное дно и подкрепления в местах изменения высоты двойного дна оформляются с учетом следующих требований:</w:t>
      </w:r>
    </w:p>
    <w:bookmarkEnd w:id="1681"/>
    <w:bookmarkStart w:name="z1680" w:id="1682"/>
    <w:p>
      <w:pPr>
        <w:spacing w:after="0"/>
        <w:ind w:left="0"/>
        <w:jc w:val="both"/>
      </w:pPr>
      <w:r>
        <w:rPr>
          <w:rFonts w:ascii="Times New Roman"/>
          <w:b w:val="false"/>
          <w:i w:val="false"/>
          <w:color w:val="000000"/>
          <w:sz w:val="28"/>
        </w:rPr>
        <w:t>
      1) в местах, где двойное дно прерывается, обеспечивают плавный переход от продольных связей двойного дна к продольным связям за его пределами.</w:t>
      </w:r>
    </w:p>
    <w:bookmarkEnd w:id="1682"/>
    <w:bookmarkStart w:name="z1681" w:id="1683"/>
    <w:p>
      <w:pPr>
        <w:spacing w:after="0"/>
        <w:ind w:left="0"/>
        <w:jc w:val="both"/>
      </w:pPr>
      <w:r>
        <w:rPr>
          <w:rFonts w:ascii="Times New Roman"/>
          <w:b w:val="false"/>
          <w:i w:val="false"/>
          <w:color w:val="000000"/>
          <w:sz w:val="28"/>
        </w:rPr>
        <w:t>
      Настил второго дна постепенно (на длине не менее трех шпаций) переходит в пояски вертикального киля и днищевых стрингеров одинарного дна. Ширина этих поясков у границы двойного дна равна не менее половины расстояния между соседними днищевыми стрингерами.</w:t>
      </w:r>
    </w:p>
    <w:bookmarkEnd w:id="1683"/>
    <w:bookmarkStart w:name="z1682" w:id="1684"/>
    <w:p>
      <w:pPr>
        <w:spacing w:after="0"/>
        <w:ind w:left="0"/>
        <w:jc w:val="both"/>
      </w:pPr>
      <w:r>
        <w:rPr>
          <w:rFonts w:ascii="Times New Roman"/>
          <w:b w:val="false"/>
          <w:i w:val="false"/>
          <w:color w:val="000000"/>
          <w:sz w:val="28"/>
        </w:rPr>
        <w:t>
      Междудонный лист продолжают за пределы двойного дна в виде кницы, имеющей высоту, равную высоте междудонного листа, а длину не менее трех шпаций, с пояском или фланцем по свободной кромке;</w:t>
      </w:r>
    </w:p>
    <w:bookmarkEnd w:id="1684"/>
    <w:bookmarkStart w:name="z1683" w:id="1685"/>
    <w:p>
      <w:pPr>
        <w:spacing w:after="0"/>
        <w:ind w:left="0"/>
        <w:jc w:val="both"/>
      </w:pPr>
      <w:r>
        <w:rPr>
          <w:rFonts w:ascii="Times New Roman"/>
          <w:b w:val="false"/>
          <w:i w:val="false"/>
          <w:color w:val="000000"/>
          <w:sz w:val="28"/>
        </w:rPr>
        <w:t>
      2) при изменении высоты двойного дна со сломами один слом располагается на поперечной переборке, другой — на сплошном флоре. Допускается, однако, чтобы оба слома были расположены на сплошных флорах; в этом случае конструкция является предметом специального рассмотрения Регистром судоходства;</w:t>
      </w:r>
    </w:p>
    <w:bookmarkEnd w:id="1685"/>
    <w:bookmarkStart w:name="z1684" w:id="1686"/>
    <w:p>
      <w:pPr>
        <w:spacing w:after="0"/>
        <w:ind w:left="0"/>
        <w:jc w:val="both"/>
      </w:pPr>
      <w:r>
        <w:rPr>
          <w:rFonts w:ascii="Times New Roman"/>
          <w:b w:val="false"/>
          <w:i w:val="false"/>
          <w:color w:val="000000"/>
          <w:sz w:val="28"/>
        </w:rPr>
        <w:t>
      3) при изменении высоты двойного дна с уступом последний, как правило, располагается на поперечной переборке.</w:t>
      </w:r>
    </w:p>
    <w:bookmarkEnd w:id="1686"/>
    <w:bookmarkStart w:name="z1685" w:id="1687"/>
    <w:p>
      <w:pPr>
        <w:spacing w:after="0"/>
        <w:ind w:left="0"/>
        <w:jc w:val="both"/>
      </w:pPr>
      <w:r>
        <w:rPr>
          <w:rFonts w:ascii="Times New Roman"/>
          <w:b w:val="false"/>
          <w:i w:val="false"/>
          <w:color w:val="000000"/>
          <w:sz w:val="28"/>
        </w:rPr>
        <w:t xml:space="preserve">
      В месте уступа предусматривают перепуск настила второго дна, имеющего меньшую высоту, на участке длиной три шпации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и длиной две шпации при </w:t>
      </w:r>
      <w:r>
        <w:rPr>
          <w:rFonts w:ascii="Times New Roman"/>
          <w:b w:val="false"/>
          <w:i/>
          <w:color w:val="000000"/>
          <w:sz w:val="28"/>
        </w:rPr>
        <w:t>L</w:t>
      </w:r>
      <w:r>
        <w:rPr>
          <w:rFonts w:ascii="Times New Roman"/>
          <w:b w:val="false"/>
          <w:i w:val="false"/>
          <w:color w:val="000000"/>
          <w:sz w:val="28"/>
        </w:rPr>
        <w:t xml:space="preserve"> &lt; 80 м. В нос (или в корму) от окончания участка перепуска настила второго дна выполняют общие требования для прерывистого двойного дна.</w:t>
      </w:r>
    </w:p>
    <w:bookmarkEnd w:id="1687"/>
    <w:bookmarkStart w:name="z1686" w:id="1688"/>
    <w:p>
      <w:pPr>
        <w:spacing w:after="0"/>
        <w:ind w:left="0"/>
        <w:jc w:val="both"/>
      </w:pPr>
      <w:r>
        <w:rPr>
          <w:rFonts w:ascii="Times New Roman"/>
          <w:b w:val="false"/>
          <w:i w:val="false"/>
          <w:color w:val="000000"/>
          <w:sz w:val="28"/>
        </w:rPr>
        <w:t>
      При расположении уступа вне района 0,5</w:t>
      </w:r>
      <w:r>
        <w:rPr>
          <w:rFonts w:ascii="Times New Roman"/>
          <w:b w:val="false"/>
          <w:i/>
          <w:color w:val="000000"/>
          <w:sz w:val="28"/>
        </w:rPr>
        <w:t>L</w:t>
      </w:r>
      <w:r>
        <w:rPr>
          <w:rFonts w:ascii="Times New Roman"/>
          <w:b w:val="false"/>
          <w:i w:val="false"/>
          <w:color w:val="000000"/>
          <w:sz w:val="28"/>
        </w:rPr>
        <w:t xml:space="preserve"> средней части судна, а также при высоте уступа менее 660 мм конструкция двойного дна в районе перепуска в каждом случае является предметом специального рассмотрения Регистром судоходства;</w:t>
      </w:r>
    </w:p>
    <w:bookmarkEnd w:id="1688"/>
    <w:bookmarkStart w:name="z1687" w:id="1689"/>
    <w:p>
      <w:pPr>
        <w:spacing w:after="0"/>
        <w:ind w:left="0"/>
        <w:jc w:val="both"/>
      </w:pPr>
      <w:r>
        <w:rPr>
          <w:rFonts w:ascii="Times New Roman"/>
          <w:b w:val="false"/>
          <w:i w:val="false"/>
          <w:color w:val="000000"/>
          <w:sz w:val="28"/>
        </w:rPr>
        <w:t>
      4) в районе уступа обеспечивают непрерывность и снижение концентрации напряжений в местах изменения высоты вертикального киля, днищевых стрингеров, междудонных листов и продольных балок второго дна (при продольной системе набора).</w:t>
      </w:r>
    </w:p>
    <w:bookmarkEnd w:id="1689"/>
    <w:bookmarkStart w:name="z1688" w:id="1690"/>
    <w:p>
      <w:pPr>
        <w:spacing w:after="0"/>
        <w:ind w:left="0"/>
        <w:jc w:val="both"/>
      </w:pPr>
      <w:r>
        <w:rPr>
          <w:rFonts w:ascii="Times New Roman"/>
          <w:b w:val="false"/>
          <w:i w:val="false"/>
          <w:color w:val="000000"/>
          <w:sz w:val="28"/>
        </w:rPr>
        <w:t>
      369. Сточные колодцы, кингстонные и ледовые ящики отвечают следующим требованиям:</w:t>
      </w:r>
    </w:p>
    <w:bookmarkEnd w:id="1690"/>
    <w:bookmarkStart w:name="z1689" w:id="1691"/>
    <w:p>
      <w:pPr>
        <w:spacing w:after="0"/>
        <w:ind w:left="0"/>
        <w:jc w:val="both"/>
      </w:pPr>
      <w:r>
        <w:rPr>
          <w:rFonts w:ascii="Times New Roman"/>
          <w:b w:val="false"/>
          <w:i w:val="false"/>
          <w:color w:val="000000"/>
          <w:sz w:val="28"/>
        </w:rPr>
        <w:t>
      1) необходимо чтобы сточные колодцы на грузовых судах, по возможности, отвечали требованиям подпункта 3) пункта 144 настоящих Правил.</w:t>
      </w:r>
    </w:p>
    <w:bookmarkEnd w:id="1691"/>
    <w:bookmarkStart w:name="z1690" w:id="1692"/>
    <w:p>
      <w:pPr>
        <w:spacing w:after="0"/>
        <w:ind w:left="0"/>
        <w:jc w:val="both"/>
      </w:pPr>
      <w:r>
        <w:rPr>
          <w:rFonts w:ascii="Times New Roman"/>
          <w:b w:val="false"/>
          <w:i w:val="false"/>
          <w:color w:val="000000"/>
          <w:sz w:val="28"/>
        </w:rPr>
        <w:t>
      Объем сточных (осушительных) колодцев указан в разделе 10 настоящих Правил.</w:t>
      </w:r>
    </w:p>
    <w:bookmarkEnd w:id="1692"/>
    <w:bookmarkStart w:name="z1691" w:id="1693"/>
    <w:p>
      <w:pPr>
        <w:spacing w:after="0"/>
        <w:ind w:left="0"/>
        <w:jc w:val="both"/>
      </w:pPr>
      <w:r>
        <w:rPr>
          <w:rFonts w:ascii="Times New Roman"/>
          <w:b w:val="false"/>
          <w:i w:val="false"/>
          <w:color w:val="000000"/>
          <w:sz w:val="28"/>
        </w:rPr>
        <w:t>
      Толщина стенок и дна сточного колодца превышает толщину водонепроницаемых флоров не менее чем на 2 мм;</w:t>
      </w:r>
    </w:p>
    <w:bookmarkEnd w:id="1693"/>
    <w:bookmarkStart w:name="z1692" w:id="1694"/>
    <w:p>
      <w:pPr>
        <w:spacing w:after="0"/>
        <w:ind w:left="0"/>
        <w:jc w:val="both"/>
      </w:pPr>
      <w:r>
        <w:rPr>
          <w:rFonts w:ascii="Times New Roman"/>
          <w:b w:val="false"/>
          <w:i w:val="false"/>
          <w:color w:val="000000"/>
          <w:sz w:val="28"/>
        </w:rPr>
        <w:t>
      2) толщина флоров, стрингеров и настила второго дна, являющихся стенками кингстонных и ледовых ящиков, принимают на 2 мм больше, чем требуется согласно пунктов 359-361 настоящих Правил.</w:t>
      </w:r>
    </w:p>
    <w:bookmarkEnd w:id="1694"/>
    <w:bookmarkStart w:name="z1693" w:id="1695"/>
    <w:p>
      <w:pPr>
        <w:spacing w:after="0"/>
        <w:ind w:left="0"/>
        <w:jc w:val="both"/>
      </w:pPr>
      <w:r>
        <w:rPr>
          <w:rFonts w:ascii="Times New Roman"/>
          <w:b w:val="false"/>
          <w:i w:val="false"/>
          <w:color w:val="000000"/>
          <w:sz w:val="28"/>
        </w:rPr>
        <w:t>
      В любом случае толщина стенок кингстонных и ледовых ящиков допускают не менее требуемой в пункте 314 настоящих Правил для наружной обшивки в рассматриваемом районе.</w:t>
      </w:r>
    </w:p>
    <w:bookmarkEnd w:id="1695"/>
    <w:bookmarkStart w:name="z1694" w:id="1696"/>
    <w:p>
      <w:pPr>
        <w:spacing w:after="0"/>
        <w:ind w:left="0"/>
        <w:jc w:val="both"/>
      </w:pPr>
      <w:r>
        <w:rPr>
          <w:rFonts w:ascii="Times New Roman"/>
          <w:b w:val="false"/>
          <w:i w:val="false"/>
          <w:color w:val="000000"/>
          <w:sz w:val="28"/>
        </w:rPr>
        <w:t>
      370. При устройстве топливных цистерн в двойном дне, помимо общих требований к их устройству, горловины в настиле второго дна для доступа в цистерны в районе машинного и котельного отделений имеют комингсы высотой не менее 0,1 м.</w:t>
      </w:r>
    </w:p>
    <w:bookmarkEnd w:id="1696"/>
    <w:bookmarkStart w:name="z1695" w:id="1697"/>
    <w:p>
      <w:pPr>
        <w:spacing w:after="0"/>
        <w:ind w:left="0"/>
        <w:jc w:val="both"/>
      </w:pPr>
      <w:r>
        <w:rPr>
          <w:rFonts w:ascii="Times New Roman"/>
          <w:b w:val="false"/>
          <w:i w:val="false"/>
          <w:color w:val="000000"/>
          <w:sz w:val="28"/>
        </w:rPr>
        <w:t>
      371. Если фундаментная рама главного двигателя и упорный подшипник устанавливаются непосредственно на настил второго дна, под опорными частями фундаментной рамы и упорного подшипника необходимо предусматривать вварные опорные листы толщиной не менее требуемой пунктом 531 настоящих Правил. Размеры вварных опорных листов обеспечивают размещение упорных элементов и крепление механизма и быть во всяком случае не менее опорных частей фундаментной рамы механизма. При установке фундаментной рамы и упорного подшипника на настил второго дна в районе их установки предусматривают по ширине каждого вварного опорного листа два стрингера или стрингер и полустрингер, верхняя часть которых высотой не менее 0,2 высоты стрингера имеет толщину, равную толщине утолщенного листа, либо по всей высоте иметь толщину, требуемую в параграфе 2 главы 24 настоящих Правил для стенки фундамента.</w:t>
      </w:r>
    </w:p>
    <w:bookmarkEnd w:id="1697"/>
    <w:bookmarkStart w:name="z1696" w:id="1698"/>
    <w:p>
      <w:pPr>
        <w:spacing w:after="0"/>
        <w:ind w:left="0"/>
        <w:jc w:val="both"/>
      </w:pPr>
      <w:r>
        <w:rPr>
          <w:rFonts w:ascii="Times New Roman"/>
          <w:b w:val="false"/>
          <w:i w:val="false"/>
          <w:color w:val="000000"/>
          <w:sz w:val="28"/>
        </w:rPr>
        <w:t>
      Между стрингерами с учетом расположения отверстий под болты крепления механизма устанавливают продольное ребро жесткости размерами, указанными выше для верхней части стрингеров.</w:t>
      </w:r>
    </w:p>
    <w:bookmarkEnd w:id="1698"/>
    <w:bookmarkStart w:name="z1697" w:id="1699"/>
    <w:p>
      <w:pPr>
        <w:spacing w:after="0"/>
        <w:ind w:left="0"/>
        <w:jc w:val="both"/>
      </w:pPr>
      <w:r>
        <w:rPr>
          <w:rFonts w:ascii="Times New Roman"/>
          <w:b w:val="false"/>
          <w:i w:val="false"/>
          <w:color w:val="000000"/>
          <w:sz w:val="28"/>
        </w:rPr>
        <w:t>
      Для двигателей малой мощности по согласованию с Регистром судоходства допускается установка по ширине утолщенного листа только одного стрингера.</w:t>
      </w:r>
    </w:p>
    <w:bookmarkEnd w:id="1699"/>
    <w:bookmarkStart w:name="z1698" w:id="1700"/>
    <w:p>
      <w:pPr>
        <w:spacing w:after="0"/>
        <w:ind w:left="0"/>
        <w:jc w:val="both"/>
      </w:pPr>
      <w:r>
        <w:rPr>
          <w:rFonts w:ascii="Times New Roman"/>
          <w:b w:val="false"/>
          <w:i w:val="false"/>
          <w:color w:val="000000"/>
          <w:sz w:val="28"/>
        </w:rPr>
        <w:t>
      372. Настил углубления под картер двигателя, а также части стрингеров и флоров, ограничивающих его, имеют толщину на 2мм больше толщины настила второго дна в этом районе.</w:t>
      </w:r>
    </w:p>
    <w:bookmarkEnd w:id="1700"/>
    <w:bookmarkStart w:name="z1699" w:id="1701"/>
    <w:p>
      <w:pPr>
        <w:spacing w:after="0"/>
        <w:ind w:left="0"/>
        <w:jc w:val="both"/>
      </w:pPr>
      <w:r>
        <w:rPr>
          <w:rFonts w:ascii="Times New Roman"/>
          <w:b w:val="false"/>
          <w:i w:val="false"/>
          <w:color w:val="000000"/>
          <w:sz w:val="28"/>
        </w:rPr>
        <w:t>
      Минимальное расстояние от настила углубления до днищевой обшивки должно быть не менее 460 мм.</w:t>
      </w:r>
    </w:p>
    <w:bookmarkEnd w:id="1701"/>
    <w:bookmarkStart w:name="z1700" w:id="1702"/>
    <w:p>
      <w:pPr>
        <w:spacing w:after="0"/>
        <w:ind w:left="0"/>
        <w:jc w:val="left"/>
      </w:pPr>
      <w:r>
        <w:rPr>
          <w:rFonts w:ascii="Times New Roman"/>
          <w:b/>
          <w:i w:val="false"/>
          <w:color w:val="000000"/>
        </w:rPr>
        <w:t xml:space="preserve"> </w:t>
      </w:r>
      <w:r>
        <w:rPr>
          <w:rFonts w:ascii="Times New Roman"/>
          <w:b/>
          <w:i w:val="false"/>
          <w:color w:val="000000"/>
        </w:rPr>
        <w:t>Глава 19. Бортовой набор</w:t>
      </w:r>
    </w:p>
    <w:bookmarkEnd w:id="1702"/>
    <w:p>
      <w:pPr>
        <w:spacing w:after="0"/>
        <w:ind w:left="0"/>
        <w:jc w:val="both"/>
      </w:pPr>
      <w:r>
        <w:rPr>
          <w:rFonts w:ascii="Times New Roman"/>
          <w:b w:val="false"/>
          <w:i w:val="false"/>
          <w:color w:val="ff0000"/>
          <w:sz w:val="28"/>
        </w:rPr>
        <w:t xml:space="preserve">
      Сноска. Заголовок главы 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02" w:id="1703"/>
    <w:p>
      <w:pPr>
        <w:spacing w:after="0"/>
        <w:ind w:left="0"/>
        <w:jc w:val="left"/>
      </w:pPr>
      <w:r>
        <w:rPr>
          <w:rFonts w:ascii="Times New Roman"/>
          <w:b/>
          <w:i w:val="false"/>
          <w:color w:val="000000"/>
        </w:rPr>
        <w:t xml:space="preserve"> Параграф 1. Общие положения, конструкция</w:t>
      </w:r>
    </w:p>
    <w:bookmarkEnd w:id="1703"/>
    <w:bookmarkStart w:name="z1703" w:id="1704"/>
    <w:p>
      <w:pPr>
        <w:spacing w:after="0"/>
        <w:ind w:left="0"/>
        <w:jc w:val="both"/>
      </w:pPr>
      <w:r>
        <w:rPr>
          <w:rFonts w:ascii="Times New Roman"/>
          <w:b w:val="false"/>
          <w:i w:val="false"/>
          <w:color w:val="000000"/>
          <w:sz w:val="28"/>
        </w:rPr>
        <w:t>
      373. В главе приводятся требования к шпангоутам, рамным шпангоутам, продольным бортовым балкам, бортовым стрингерам, распоркам, соединяющим рамные шпангоуты и рамные стойки продольных переборок наливных судов, а также к конструкциям двойного борта.</w:t>
      </w:r>
    </w:p>
    <w:bookmarkEnd w:id="1704"/>
    <w:bookmarkStart w:name="z1704" w:id="1705"/>
    <w:p>
      <w:pPr>
        <w:spacing w:after="0"/>
        <w:ind w:left="0"/>
        <w:jc w:val="both"/>
      </w:pPr>
      <w:r>
        <w:rPr>
          <w:rFonts w:ascii="Times New Roman"/>
          <w:b w:val="false"/>
          <w:i w:val="false"/>
          <w:color w:val="000000"/>
          <w:sz w:val="28"/>
        </w:rPr>
        <w:t>
      374. Двойным бортом считается бортовая конструкция, состоящая из наружной и внутренней непроницаемых обшивок, подкрепленных шпангоутами или продольными балками либо без таковых, соединенных между собой листовыми элементами, перпендикулярными этим обшивкам: вертикальными (диафрагмами) и (или) горизонтальными (платформами). При отсутствии диафрагм и платформ внутренняя обшивка с набором рассматривается как продольная переборка и отвечает требованиям главы 21 настоящих Правил.</w:t>
      </w:r>
    </w:p>
    <w:bookmarkEnd w:id="1705"/>
    <w:bookmarkStart w:name="z1705" w:id="1706"/>
    <w:p>
      <w:pPr>
        <w:spacing w:after="0"/>
        <w:ind w:left="0"/>
        <w:jc w:val="both"/>
      </w:pPr>
      <w:r>
        <w:rPr>
          <w:rFonts w:ascii="Times New Roman"/>
          <w:b w:val="false"/>
          <w:i w:val="false"/>
          <w:color w:val="000000"/>
          <w:sz w:val="28"/>
        </w:rPr>
        <w:t>
      375. При поперечной системе набора борта предусматривается установка бортовых стрингеров. На наливных судах с двумя и более продольными переборками между бортовыми стрингерами и горизонтальными рамами продольныхпереборок рекомендуется устанавливать распорки.</w:t>
      </w:r>
    </w:p>
    <w:bookmarkEnd w:id="1706"/>
    <w:bookmarkStart w:name="z1706" w:id="1707"/>
    <w:p>
      <w:pPr>
        <w:spacing w:after="0"/>
        <w:ind w:left="0"/>
        <w:jc w:val="both"/>
      </w:pPr>
      <w:r>
        <w:rPr>
          <w:rFonts w:ascii="Times New Roman"/>
          <w:b w:val="false"/>
          <w:i w:val="false"/>
          <w:color w:val="000000"/>
          <w:sz w:val="28"/>
        </w:rPr>
        <w:t>
      При поперечной системе набора борта рекомендуется устанавливать, а при продольной системе набора борта устанавливаются рамные шпангоуты. Плоскость их установки совпадает с плоскостью установки сплошных флоров, а также с плоскостью рамных бимсов, если таковые имеются. На наливных судах с двумя и более продольными переборками между рамными шпангоутами и рамными стойками продольных переборок рекомендуется устанавливать распорки.</w:t>
      </w:r>
    </w:p>
    <w:bookmarkEnd w:id="1707"/>
    <w:bookmarkStart w:name="z1707" w:id="1708"/>
    <w:p>
      <w:pPr>
        <w:spacing w:after="0"/>
        <w:ind w:left="0"/>
        <w:jc w:val="both"/>
      </w:pPr>
      <w:r>
        <w:rPr>
          <w:rFonts w:ascii="Times New Roman"/>
          <w:b w:val="false"/>
          <w:i w:val="false"/>
          <w:color w:val="000000"/>
          <w:sz w:val="28"/>
        </w:rPr>
        <w:t>
      376. Необходимо чтобы конструкции двойного борта соответствовали следующим требованиям:</w:t>
      </w:r>
    </w:p>
    <w:bookmarkEnd w:id="1708"/>
    <w:bookmarkStart w:name="z1708" w:id="1709"/>
    <w:p>
      <w:pPr>
        <w:spacing w:after="0"/>
        <w:ind w:left="0"/>
        <w:jc w:val="both"/>
      </w:pPr>
      <w:r>
        <w:rPr>
          <w:rFonts w:ascii="Times New Roman"/>
          <w:b w:val="false"/>
          <w:i w:val="false"/>
          <w:color w:val="000000"/>
          <w:sz w:val="28"/>
        </w:rPr>
        <w:t>
      1) при одинаковой системе набора наружного и внутреннего бортов рекомендуется располагать шпангоуты или продольные балки обоих бортов в одной плоскости. При этом между шпангоутами или горизонтальными балками наружного и внутреннего бортов соответственно допускается установка распорок, располагаемых посередине пролета соответствующих балок;</w:t>
      </w:r>
    </w:p>
    <w:bookmarkEnd w:id="1709"/>
    <w:bookmarkStart w:name="z1709" w:id="1710"/>
    <w:p>
      <w:pPr>
        <w:spacing w:after="0"/>
        <w:ind w:left="0"/>
        <w:jc w:val="both"/>
      </w:pPr>
      <w:r>
        <w:rPr>
          <w:rFonts w:ascii="Times New Roman"/>
          <w:b w:val="false"/>
          <w:i w:val="false"/>
          <w:color w:val="000000"/>
          <w:sz w:val="28"/>
        </w:rPr>
        <w:t>
      2) диафрагмы или платформы подкрепляют ребрами жесткости согласно пункту 278 настоящих Правил. При этом меньшая сторона панели</w:t>
      </w:r>
    </w:p>
    <w:bookmarkEnd w:id="1710"/>
    <w:bookmarkStart w:name="z1710" w:id="1711"/>
    <w:p>
      <w:pPr>
        <w:spacing w:after="0"/>
        <w:ind w:left="0"/>
        <w:jc w:val="both"/>
      </w:pPr>
      <w:r>
        <w:rPr>
          <w:rFonts w:ascii="Times New Roman"/>
          <w:b w:val="false"/>
          <w:i w:val="false"/>
          <w:color w:val="000000"/>
          <w:sz w:val="28"/>
        </w:rPr>
        <w:t>
      подкрепляемой диафрагмы или платформы, мм, не превышает 100</w:t>
      </w:r>
      <w:r>
        <w:rPr>
          <w:rFonts w:ascii="Times New Roman"/>
          <w:b w:val="false"/>
          <w:i/>
          <w:color w:val="000000"/>
          <w:sz w:val="28"/>
        </w:rPr>
        <w:t>s</w:t>
      </w:r>
    </w:p>
    <w:bookmarkEnd w:id="1711"/>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где</w:t>
      </w:r>
      <w:r>
        <w:rPr>
          <w:rFonts w:ascii="Times New Roman"/>
          <w:b w:val="false"/>
          <w:i/>
          <w:color w:val="000000"/>
          <w:sz w:val="28"/>
        </w:rPr>
        <w:t xml:space="preserve"> s</w:t>
      </w:r>
      <w:r>
        <w:rPr>
          <w:rFonts w:ascii="Times New Roman"/>
          <w:b w:val="false"/>
          <w:i w:val="false"/>
          <w:color w:val="000000"/>
          <w:sz w:val="28"/>
        </w:rPr>
        <w:t xml:space="preserve"> — толщина диафрагмы или платформы, мм;</w:t>
      </w:r>
      <w:r>
        <w:br/>
      </w:r>
      <w:r>
        <w:rPr>
          <w:rFonts w:ascii="Times New Roman"/>
          <w:b w:val="false"/>
          <w:i w:val="false"/>
          <w:color w:val="000000"/>
          <w:sz w:val="28"/>
        </w:rPr>
        <w:t>
</w:t>
      </w:r>
    </w:p>
    <w:bookmarkStart w:name="z1711" w:id="1712"/>
    <w:p>
      <w:pPr>
        <w:spacing w:after="0"/>
        <w:ind w:left="0"/>
        <w:jc w:val="both"/>
      </w:pPr>
      <w:r>
        <w:rPr>
          <w:rFonts w:ascii="Times New Roman"/>
          <w:b w:val="false"/>
          <w:i w:val="false"/>
          <w:color w:val="000000"/>
          <w:sz w:val="28"/>
        </w:rPr>
        <w:t>
      3) для доступа ко всем частям двойного борта диафрагмы и платформы имеют необходимое число вырезов (лазов). Суммарная ширина вырезов в одном сечении диафрагмы или платформы не должна превышать 0,6 ширины двойного борта.</w:t>
      </w:r>
    </w:p>
    <w:bookmarkEnd w:id="1712"/>
    <w:bookmarkStart w:name="z1712" w:id="1713"/>
    <w:p>
      <w:pPr>
        <w:spacing w:after="0"/>
        <w:ind w:left="0"/>
        <w:jc w:val="both"/>
      </w:pPr>
      <w:r>
        <w:rPr>
          <w:rFonts w:ascii="Times New Roman"/>
          <w:b w:val="false"/>
          <w:i w:val="false"/>
          <w:color w:val="000000"/>
          <w:sz w:val="28"/>
        </w:rPr>
        <w:t xml:space="preserve">
      Кромки вырезов в диафрагмах и платформах, расположенных на участках в пределах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пролета от их опор, подкрепляют поясками или ребрами жесткости. Расстояние между кромками соседних вырезов равна не менее длины этих вырезов.</w:t>
      </w:r>
    </w:p>
    <w:bookmarkEnd w:id="1713"/>
    <w:bookmarkStart w:name="z1713" w:id="1714"/>
    <w:p>
      <w:pPr>
        <w:spacing w:after="0"/>
        <w:ind w:left="0"/>
        <w:jc w:val="both"/>
      </w:pPr>
      <w:r>
        <w:rPr>
          <w:rFonts w:ascii="Times New Roman"/>
          <w:b w:val="false"/>
          <w:i w:val="false"/>
          <w:color w:val="000000"/>
          <w:sz w:val="28"/>
        </w:rPr>
        <w:t>
      Вырезы, кроме шпигатов для перетока жидкости и газа, как правило, не допускаются:</w:t>
      </w:r>
    </w:p>
    <w:bookmarkEnd w:id="1714"/>
    <w:bookmarkStart w:name="z1714" w:id="1715"/>
    <w:p>
      <w:pPr>
        <w:spacing w:after="0"/>
        <w:ind w:left="0"/>
        <w:jc w:val="both"/>
      </w:pPr>
      <w:r>
        <w:rPr>
          <w:rFonts w:ascii="Times New Roman"/>
          <w:b w:val="false"/>
          <w:i w:val="false"/>
          <w:color w:val="000000"/>
          <w:sz w:val="28"/>
        </w:rPr>
        <w:t>
      в платформах — на участках длиной не менее трех шпаций или 1,5 ширины двойного борта, в зависимости от того, что меньше, от поперечных переборок или полупереборок, являющихся опорами платформы;</w:t>
      </w:r>
    </w:p>
    <w:bookmarkEnd w:id="1715"/>
    <w:bookmarkStart w:name="z1715" w:id="1716"/>
    <w:p>
      <w:pPr>
        <w:spacing w:after="0"/>
        <w:ind w:left="0"/>
        <w:jc w:val="both"/>
      </w:pPr>
      <w:r>
        <w:rPr>
          <w:rFonts w:ascii="Times New Roman"/>
          <w:b w:val="false"/>
          <w:i w:val="false"/>
          <w:color w:val="000000"/>
          <w:sz w:val="28"/>
        </w:rPr>
        <w:t>
      в диафрагмах — на участках длиной не менее 1,5 ширины двойного борта от настила палуб и/или двойного дна, являющихся опорами диафрагмы.</w:t>
      </w:r>
    </w:p>
    <w:bookmarkEnd w:id="1716"/>
    <w:bookmarkStart w:name="z1716" w:id="1717"/>
    <w:p>
      <w:pPr>
        <w:spacing w:after="0"/>
        <w:ind w:left="0"/>
        <w:jc w:val="both"/>
      </w:pPr>
      <w:r>
        <w:rPr>
          <w:rFonts w:ascii="Times New Roman"/>
          <w:b w:val="false"/>
          <w:i w:val="false"/>
          <w:color w:val="000000"/>
          <w:sz w:val="28"/>
        </w:rPr>
        <w:t>
      377. В машинном отделении бортовой набор усиливают установкой рамных шпангоутов и стрингеров.</w:t>
      </w:r>
    </w:p>
    <w:bookmarkEnd w:id="1717"/>
    <w:bookmarkStart w:name="z1717" w:id="1718"/>
    <w:p>
      <w:pPr>
        <w:spacing w:after="0"/>
        <w:ind w:left="0"/>
        <w:jc w:val="both"/>
      </w:pPr>
      <w:r>
        <w:rPr>
          <w:rFonts w:ascii="Times New Roman"/>
          <w:b w:val="false"/>
          <w:i w:val="false"/>
          <w:color w:val="000000"/>
          <w:sz w:val="28"/>
        </w:rPr>
        <w:t>
      Рамные шпангоуты устанавливают на расстоянии, не превышающем 5 нормальных шпаций или 3 м в зависимости от того, что больше. Расположение рамных шпангоутов согласовывают с положением двигателя; их устанавливают по крайней мере у каждого из торцов двигателя. По высоте борта рамные шпаноуты доводят до ближайшей непрерывной в районе машинного отделения платформы. В плоскости рамных шпангоутов предусматривают рамные бимсы.</w:t>
      </w:r>
    </w:p>
    <w:bookmarkEnd w:id="1718"/>
    <w:bookmarkStart w:name="z1718" w:id="1719"/>
    <w:p>
      <w:pPr>
        <w:spacing w:after="0"/>
        <w:ind w:left="0"/>
        <w:jc w:val="both"/>
      </w:pPr>
      <w:r>
        <w:rPr>
          <w:rFonts w:ascii="Times New Roman"/>
          <w:b w:val="false"/>
          <w:i w:val="false"/>
          <w:color w:val="000000"/>
          <w:sz w:val="28"/>
        </w:rPr>
        <w:t>
      Бортовые стрингеры в машинном отделении располагаются таким образом, чтобы измеренное по вертикали расстояние между ними, а также между бортовым стрингером и палубой или настилом второго дна (верхней кромкой флора) не превышало 2,5 м.</w:t>
      </w:r>
    </w:p>
    <w:bookmarkEnd w:id="1719"/>
    <w:bookmarkStart w:name="z1719" w:id="1720"/>
    <w:p>
      <w:pPr>
        <w:spacing w:after="0"/>
        <w:ind w:left="0"/>
        <w:jc w:val="both"/>
      </w:pPr>
      <w:r>
        <w:rPr>
          <w:rFonts w:ascii="Times New Roman"/>
          <w:b w:val="false"/>
          <w:i w:val="false"/>
          <w:color w:val="000000"/>
          <w:sz w:val="28"/>
        </w:rPr>
        <w:t>
      Отклонение от нормальной шпации может быть допущено в следующих пределах:</w:t>
      </w:r>
    </w:p>
    <w:bookmarkEnd w:id="1720"/>
    <w:p>
      <w:pPr>
        <w:spacing w:after="0"/>
        <w:ind w:left="0"/>
        <w:jc w:val="both"/>
      </w:pPr>
      <w:r>
        <w:rPr>
          <w:rFonts w:ascii="Times New Roman"/>
          <w:b w:val="false"/>
          <w:i w:val="false"/>
          <w:color w:val="000000"/>
          <w:sz w:val="28"/>
        </w:rPr>
        <w:t>
      для судов неограниченного района плавания и ограниченного района плавания R1 от 0,75а</w:t>
      </w:r>
      <w:r>
        <w:rPr>
          <w:rFonts w:ascii="Times New Roman"/>
          <w:b w:val="false"/>
          <w:i w:val="false"/>
          <w:color w:val="000000"/>
          <w:vertAlign w:val="subscript"/>
        </w:rPr>
        <w:t>0</w:t>
      </w:r>
      <w:r>
        <w:rPr>
          <w:rFonts w:ascii="Times New Roman"/>
          <w:b w:val="false"/>
          <w:i w:val="false"/>
          <w:color w:val="000000"/>
          <w:sz w:val="28"/>
        </w:rPr>
        <w:t xml:space="preserve"> до 1,25а</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для судов ограниченного района плавания, R2 и R2-RSN от 0,7а</w:t>
      </w:r>
      <w:r>
        <w:rPr>
          <w:rFonts w:ascii="Times New Roman"/>
          <w:b w:val="false"/>
          <w:i w:val="false"/>
          <w:color w:val="000000"/>
          <w:vertAlign w:val="subscript"/>
        </w:rPr>
        <w:t>0</w:t>
      </w:r>
      <w:r>
        <w:rPr>
          <w:rFonts w:ascii="Times New Roman"/>
          <w:b w:val="false"/>
          <w:i w:val="false"/>
          <w:color w:val="000000"/>
          <w:sz w:val="28"/>
        </w:rPr>
        <w:t xml:space="preserve"> до 1,25а</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для судов ограниченного района плавания R3 и R3-RSN от 0,65а</w:t>
      </w:r>
      <w:r>
        <w:rPr>
          <w:rFonts w:ascii="Times New Roman"/>
          <w:b w:val="false"/>
          <w:i w:val="false"/>
          <w:color w:val="000000"/>
          <w:vertAlign w:val="subscript"/>
        </w:rPr>
        <w:t>0</w:t>
      </w:r>
      <w:r>
        <w:rPr>
          <w:rFonts w:ascii="Times New Roman"/>
          <w:b w:val="false"/>
          <w:i w:val="false"/>
          <w:color w:val="000000"/>
          <w:sz w:val="28"/>
        </w:rPr>
        <w:t xml:space="preserve"> до 1,25а</w:t>
      </w:r>
      <w:r>
        <w:rPr>
          <w:rFonts w:ascii="Times New Roman"/>
          <w:b w:val="false"/>
          <w:i w:val="false"/>
          <w:color w:val="000000"/>
          <w:vertAlign w:val="subscript"/>
        </w:rPr>
        <w:t>0</w:t>
      </w:r>
      <w:r>
        <w:rPr>
          <w:rFonts w:ascii="Times New Roman"/>
          <w:b w:val="false"/>
          <w:i w:val="false"/>
          <w:color w:val="000000"/>
          <w:sz w:val="28"/>
        </w:rPr>
        <w:t>;</w:t>
      </w:r>
    </w:p>
    <w:bookmarkStart w:name="z1720" w:id="1721"/>
    <w:p>
      <w:pPr>
        <w:spacing w:after="0"/>
        <w:ind w:left="0"/>
        <w:jc w:val="both"/>
      </w:pPr>
      <w:r>
        <w:rPr>
          <w:rFonts w:ascii="Times New Roman"/>
          <w:b w:val="false"/>
          <w:i w:val="false"/>
          <w:color w:val="000000"/>
          <w:sz w:val="28"/>
        </w:rPr>
        <w:t>
      В форпике и ахтерпике шпация должна быть не более 0,6 м, между переборкой форпика и сечением 0,2L в корму от носового перпендикуляра — не более 0,7 м. Отклонение от указанных шпаций является предметом специального рассмотрения Регистром судоходства.</w:t>
      </w:r>
    </w:p>
    <w:bookmarkEnd w:id="1721"/>
    <w:bookmarkStart w:name="z1721" w:id="1722"/>
    <w:p>
      <w:pPr>
        <w:spacing w:after="0"/>
        <w:ind w:left="0"/>
        <w:jc w:val="both"/>
      </w:pPr>
      <w:r>
        <w:rPr>
          <w:rFonts w:ascii="Times New Roman"/>
          <w:b w:val="false"/>
          <w:i w:val="false"/>
          <w:color w:val="000000"/>
          <w:sz w:val="28"/>
        </w:rPr>
        <w:t>
      Во всех случаях шпация основного набора не должна превышать 1 м.</w:t>
      </w:r>
    </w:p>
    <w:bookmarkEnd w:id="1722"/>
    <w:bookmarkStart w:name="z1722" w:id="1723"/>
    <w:p>
      <w:pPr>
        <w:spacing w:after="0"/>
        <w:ind w:left="0"/>
        <w:jc w:val="left"/>
      </w:pPr>
      <w:r>
        <w:rPr>
          <w:rFonts w:ascii="Times New Roman"/>
          <w:b/>
          <w:i w:val="false"/>
          <w:color w:val="000000"/>
        </w:rPr>
        <w:t xml:space="preserve"> Параграф 2. Нагрузки на конструкции борта</w:t>
      </w:r>
    </w:p>
    <w:bookmarkEnd w:id="1723"/>
    <w:bookmarkStart w:name="z1723" w:id="1724"/>
    <w:p>
      <w:pPr>
        <w:spacing w:after="0"/>
        <w:ind w:left="0"/>
        <w:jc w:val="both"/>
      </w:pPr>
      <w:r>
        <w:rPr>
          <w:rFonts w:ascii="Times New Roman"/>
          <w:b w:val="false"/>
          <w:i w:val="false"/>
          <w:color w:val="000000"/>
          <w:sz w:val="28"/>
        </w:rPr>
        <w:t>
      378. Расчетное давление на конструкции наружного борта определяется согласно параграфу 3 главы 16 настоящих Правил. В районе цистерн следует учитывать дополнительное расчетное давление согласно пункту 175 настоящих Правил.</w:t>
      </w:r>
    </w:p>
    <w:bookmarkEnd w:id="1724"/>
    <w:bookmarkStart w:name="z1724" w:id="1725"/>
    <w:p>
      <w:pPr>
        <w:spacing w:after="0"/>
        <w:ind w:left="0"/>
        <w:jc w:val="both"/>
      </w:pPr>
      <w:r>
        <w:rPr>
          <w:rFonts w:ascii="Times New Roman"/>
          <w:b w:val="false"/>
          <w:i w:val="false"/>
          <w:color w:val="000000"/>
          <w:sz w:val="28"/>
        </w:rPr>
        <w:t>
      379. Расчетное давление на конструкции двойного борта определяется следующим образом:</w:t>
      </w:r>
    </w:p>
    <w:bookmarkEnd w:id="1725"/>
    <w:bookmarkStart w:name="z1725" w:id="1726"/>
    <w:p>
      <w:pPr>
        <w:spacing w:after="0"/>
        <w:ind w:left="0"/>
        <w:jc w:val="both"/>
      </w:pPr>
      <w:r>
        <w:rPr>
          <w:rFonts w:ascii="Times New Roman"/>
          <w:b w:val="false"/>
          <w:i w:val="false"/>
          <w:color w:val="000000"/>
          <w:sz w:val="28"/>
        </w:rPr>
        <w:t>
      1) расчетное давление на обшивку и набор внутреннего борта определяется согласно пункта 175 или 178 настоящих Правил в зависимости от вида перевозимого груза и использования междубортного пространства в качестве цистерн, но не менее, расчетного давления на конструкции водонепроницаемых переборок согласно пункту 442 настоящих Правил;</w:t>
      </w:r>
    </w:p>
    <w:bookmarkEnd w:id="1726"/>
    <w:bookmarkStart w:name="z1726" w:id="1727"/>
    <w:p>
      <w:pPr>
        <w:spacing w:after="0"/>
        <w:ind w:left="0"/>
        <w:jc w:val="both"/>
      </w:pPr>
      <w:r>
        <w:rPr>
          <w:rFonts w:ascii="Times New Roman"/>
          <w:b w:val="false"/>
          <w:i w:val="false"/>
          <w:color w:val="000000"/>
          <w:sz w:val="28"/>
        </w:rPr>
        <w:t>
      2) расчетное давление на диафрагмы и платформы при определении размеров их поперечного сечения выбирается согласно параграфу 3 главы 16 настоящих Правил;</w:t>
      </w:r>
    </w:p>
    <w:bookmarkEnd w:id="1727"/>
    <w:bookmarkStart w:name="z1727" w:id="1728"/>
    <w:p>
      <w:pPr>
        <w:spacing w:after="0"/>
        <w:ind w:left="0"/>
        <w:jc w:val="both"/>
      </w:pPr>
      <w:r>
        <w:rPr>
          <w:rFonts w:ascii="Times New Roman"/>
          <w:b w:val="false"/>
          <w:i w:val="false"/>
          <w:color w:val="000000"/>
          <w:sz w:val="28"/>
        </w:rPr>
        <w:t xml:space="preserve">
      3) расчетное давление на непроницаемые участки диафрагм и платформ, ограничивающие цистерны в междубортном пространстве, определяется согласно пункту 175 настоящих Правил. </w:t>
      </w:r>
    </w:p>
    <w:bookmarkEnd w:id="1728"/>
    <w:bookmarkStart w:name="z1728" w:id="1729"/>
    <w:p>
      <w:pPr>
        <w:spacing w:after="0"/>
        <w:ind w:left="0"/>
        <w:jc w:val="left"/>
      </w:pPr>
      <w:r>
        <w:rPr>
          <w:rFonts w:ascii="Times New Roman"/>
          <w:b/>
          <w:i w:val="false"/>
          <w:color w:val="000000"/>
        </w:rPr>
        <w:t xml:space="preserve"> Параграф 3. Размеры связей бортовых конструкций</w:t>
      </w:r>
    </w:p>
    <w:bookmarkEnd w:id="1729"/>
    <w:bookmarkStart w:name="z1730" w:id="1730"/>
    <w:p>
      <w:pPr>
        <w:spacing w:after="0"/>
        <w:ind w:left="0"/>
        <w:jc w:val="both"/>
      </w:pPr>
      <w:r>
        <w:rPr>
          <w:rFonts w:ascii="Times New Roman"/>
          <w:b w:val="false"/>
          <w:i w:val="false"/>
          <w:color w:val="000000"/>
          <w:sz w:val="28"/>
        </w:rPr>
        <w:t>
      380. Момент сопротивления трюмных шпангоутов сухогрузных судов и шпангоутов наливных судов при поперечной системе набора равен не менее определяемого в пункте 246 настоящих Правил. При этом:</w:t>
      </w:r>
    </w:p>
    <w:bookmarkEnd w:id="173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19 настоящих Правил; при этом величина р для наружного борта допускается не менее определяемой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min</w:t>
      </w:r>
      <w:r>
        <w:rPr>
          <w:rFonts w:ascii="Times New Roman"/>
          <w:b w:val="false"/>
          <w:i w:val="false"/>
          <w:color w:val="000000"/>
          <w:sz w:val="28"/>
        </w:rPr>
        <w:t xml:space="preserve"> = 10</w:t>
      </w:r>
      <w:r>
        <w:rPr>
          <w:rFonts w:ascii="Times New Roman"/>
          <w:b w:val="false"/>
          <w:i/>
          <w:color w:val="000000"/>
          <w:sz w:val="28"/>
        </w:rPr>
        <w:t>z</w:t>
      </w:r>
      <w:r>
        <w:rPr>
          <w:rFonts w:ascii="Times New Roman"/>
          <w:b w:val="false"/>
          <w:i w:val="false"/>
          <w:color w:val="000000"/>
          <w:sz w:val="28"/>
        </w:rPr>
        <w:t xml:space="preserve"> + 0,3</w:t>
      </w:r>
      <w:r>
        <w:rPr>
          <w:rFonts w:ascii="Times New Roman"/>
          <w:b w:val="false"/>
          <w:i/>
          <w:color w:val="000000"/>
          <w:sz w:val="28"/>
        </w:rPr>
        <w:t>L</w:t>
      </w:r>
      <w:r>
        <w:rPr>
          <w:rFonts w:ascii="Times New Roman"/>
          <w:b w:val="false"/>
          <w:i w:val="false"/>
          <w:color w:val="000000"/>
          <w:sz w:val="28"/>
        </w:rPr>
        <w:t xml:space="preserve"> + 1 при </w:t>
      </w:r>
      <w:r>
        <w:rPr>
          <w:rFonts w:ascii="Times New Roman"/>
          <w:b w:val="false"/>
          <w:i/>
          <w:color w:val="000000"/>
          <w:sz w:val="28"/>
        </w:rPr>
        <w:t>L</w:t>
      </w:r>
      <w:r>
        <w:rPr>
          <w:rFonts w:ascii="Times New Roman"/>
          <w:b w:val="false"/>
          <w:i w:val="false"/>
          <w:color w:val="000000"/>
          <w:sz w:val="28"/>
        </w:rPr>
        <w:t xml:space="preserve"> &lt; 60 м;               (107)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min</w:t>
      </w:r>
      <w:r>
        <w:rPr>
          <w:rFonts w:ascii="Times New Roman"/>
          <w:b w:val="false"/>
          <w:i w:val="false"/>
          <w:color w:val="000000"/>
          <w:sz w:val="28"/>
        </w:rPr>
        <w:t xml:space="preserve"> = 10</w:t>
      </w:r>
      <w:r>
        <w:rPr>
          <w:rFonts w:ascii="Times New Roman"/>
          <w:b w:val="false"/>
          <w:i/>
          <w:color w:val="000000"/>
          <w:sz w:val="28"/>
        </w:rPr>
        <w:t>z</w:t>
      </w:r>
      <w:r>
        <w:rPr>
          <w:rFonts w:ascii="Times New Roman"/>
          <w:b w:val="false"/>
          <w:i w:val="false"/>
          <w:color w:val="000000"/>
          <w:sz w:val="28"/>
        </w:rPr>
        <w:t xml:space="preserve"> + 0,15</w:t>
      </w:r>
      <w:r>
        <w:rPr>
          <w:rFonts w:ascii="Times New Roman"/>
          <w:b w:val="false"/>
          <w:i/>
          <w:color w:val="000000"/>
          <w:sz w:val="28"/>
        </w:rPr>
        <w:t>L</w:t>
      </w:r>
      <w:r>
        <w:rPr>
          <w:rFonts w:ascii="Times New Roman"/>
          <w:b w:val="false"/>
          <w:i w:val="false"/>
          <w:color w:val="000000"/>
          <w:sz w:val="28"/>
        </w:rPr>
        <w:t xml:space="preserve"> + 10 при </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xml:space="preserve"> 60 м,             (108)</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z</w:t>
      </w:r>
      <w:r>
        <w:rPr>
          <w:rFonts w:ascii="Times New Roman"/>
          <w:b w:val="false"/>
          <w:i w:val="false"/>
          <w:color w:val="000000"/>
          <w:sz w:val="28"/>
        </w:rPr>
        <w:t xml:space="preserve"> — отстояние середины пролета шпангоута от летней грузовой ватерлинии, м;</w:t>
      </w:r>
    </w:p>
    <w:p>
      <w:pPr>
        <w:spacing w:after="0"/>
        <w:ind w:left="0"/>
        <w:jc w:val="both"/>
      </w:pPr>
      <w:r>
        <w:rPr>
          <w:rFonts w:ascii="Times New Roman"/>
          <w:b w:val="false"/>
          <w:i w:val="false"/>
          <w:color w:val="000000"/>
          <w:sz w:val="28"/>
        </w:rPr>
        <w:t>
      l — длина пролета между соседними опорами, измеряемая согласно пункту 238 настоящих Правил, м;</w:t>
      </w:r>
    </w:p>
    <w:p>
      <w:pPr>
        <w:spacing w:after="0"/>
        <w:ind w:left="0"/>
        <w:jc w:val="both"/>
      </w:pPr>
      <w:r>
        <w:rPr>
          <w:rFonts w:ascii="Times New Roman"/>
          <w:b w:val="false"/>
          <w:i w:val="false"/>
          <w:color w:val="000000"/>
          <w:sz w:val="28"/>
        </w:rPr>
        <w:t>
      опорами шпангоута являются днище, палуба или платформа, бортовые стрингеры, если не оговорено иное;</w:t>
      </w:r>
    </w:p>
    <w:p>
      <w:pPr>
        <w:spacing w:after="0"/>
        <w:ind w:left="0"/>
        <w:jc w:val="both"/>
      </w:pPr>
      <w:r>
        <w:rPr>
          <w:rFonts w:ascii="Times New Roman"/>
          <w:b w:val="false"/>
          <w:i w:val="false"/>
          <w:color w:val="000000"/>
          <w:sz w:val="28"/>
        </w:rPr>
        <w:t>
      m = 12 для одинарного борта при определении момента сопротивления в опорном сечении шпангоута с учетом попадающей в это сечение кницы, если таковая установлена, а также для шпангоутов наружного и внутреннего бортов в составе конструкции двойного борта;</w:t>
      </w:r>
    </w:p>
    <w:p>
      <w:pPr>
        <w:spacing w:after="0"/>
        <w:ind w:left="0"/>
        <w:jc w:val="both"/>
      </w:pPr>
      <w:r>
        <w:rPr>
          <w:rFonts w:ascii="Times New Roman"/>
          <w:b w:val="false"/>
          <w:i w:val="false"/>
          <w:color w:val="000000"/>
          <w:sz w:val="28"/>
        </w:rPr>
        <w:t>
      m = 18 для одинарного борта при определении момента сопротивления в пролете шпангоута;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для шпангоутов наружного борта;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для шпангоутов внутреннего борта.</w:t>
      </w:r>
      <w:r>
        <w:br/>
      </w:r>
      <w:r>
        <w:rPr>
          <w:rFonts w:ascii="Times New Roman"/>
          <w:b w:val="false"/>
          <w:i w:val="false"/>
          <w:color w:val="000000"/>
          <w:sz w:val="28"/>
        </w:rPr>
        <w:t>
</w:t>
      </w:r>
    </w:p>
    <w:bookmarkStart w:name="z1731" w:id="1731"/>
    <w:p>
      <w:pPr>
        <w:spacing w:after="0"/>
        <w:ind w:left="0"/>
        <w:jc w:val="both"/>
      </w:pPr>
      <w:r>
        <w:rPr>
          <w:rFonts w:ascii="Times New Roman"/>
          <w:b w:val="false"/>
          <w:i w:val="false"/>
          <w:color w:val="000000"/>
          <w:sz w:val="28"/>
        </w:rPr>
        <w:t xml:space="preserve">
      Для судов ограниченного района плавания величина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уменьшается умножением на коэффициент </w:t>
      </w:r>
    </w:p>
    <w:bookmarkEnd w:id="1731"/>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определяемый по приложению 18 настоящих Правил.</w:t>
      </w:r>
      <w:r>
        <w:br/>
      </w:r>
      <w:r>
        <w:rPr>
          <w:rFonts w:ascii="Times New Roman"/>
          <w:b w:val="false"/>
          <w:i w:val="false"/>
          <w:color w:val="000000"/>
          <w:sz w:val="28"/>
        </w:rPr>
        <w:t>
</w:t>
      </w:r>
    </w:p>
    <w:bookmarkStart w:name="z1732" w:id="1732"/>
    <w:p>
      <w:pPr>
        <w:spacing w:after="0"/>
        <w:ind w:left="0"/>
        <w:jc w:val="both"/>
      </w:pPr>
      <w:r>
        <w:rPr>
          <w:rFonts w:ascii="Times New Roman"/>
          <w:b w:val="false"/>
          <w:i w:val="false"/>
          <w:color w:val="000000"/>
          <w:sz w:val="28"/>
        </w:rPr>
        <w:t>
      381. Момент сопротивления шпангоутов в междупалубных помещениях равен не менее определяемого в пункте 246 настоящих Правил. При этом:</w:t>
      </w:r>
    </w:p>
    <w:bookmarkEnd w:id="173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2 главы 19 настоящих Правил;</w:t>
      </w:r>
    </w:p>
    <w:p>
      <w:pPr>
        <w:spacing w:after="0"/>
        <w:ind w:left="0"/>
        <w:jc w:val="both"/>
      </w:pPr>
      <w:r>
        <w:rPr>
          <w:rFonts w:ascii="Times New Roman"/>
          <w:b w:val="false"/>
          <w:i w:val="false"/>
          <w:color w:val="000000"/>
          <w:sz w:val="28"/>
        </w:rPr>
        <w:t xml:space="preserve">
      l — длина пролета между соседними опорами, измеряемая согласно пункта 238 настоящих Правил, м; </w:t>
      </w:r>
    </w:p>
    <w:p>
      <w:pPr>
        <w:spacing w:after="0"/>
        <w:ind w:left="0"/>
        <w:jc w:val="both"/>
      </w:pPr>
      <w:r>
        <w:rPr>
          <w:rFonts w:ascii="Times New Roman"/>
          <w:b w:val="false"/>
          <w:i w:val="false"/>
          <w:color w:val="000000"/>
          <w:sz w:val="28"/>
        </w:rPr>
        <w:t>
      опорами шпангоута являются палубы и платформы;</w:t>
      </w:r>
    </w:p>
    <w:p>
      <w:pPr>
        <w:spacing w:after="0"/>
        <w:ind w:left="0"/>
        <w:jc w:val="both"/>
      </w:pPr>
      <w:r>
        <w:rPr>
          <w:rFonts w:ascii="Times New Roman"/>
          <w:b w:val="false"/>
          <w:i w:val="false"/>
          <w:color w:val="000000"/>
          <w:sz w:val="28"/>
        </w:rPr>
        <w:t>
      m = 10 для шпангоутов одинарного борта;</w:t>
      </w:r>
    </w:p>
    <w:p>
      <w:pPr>
        <w:spacing w:after="0"/>
        <w:ind w:left="0"/>
        <w:jc w:val="both"/>
      </w:pPr>
      <w:r>
        <w:rPr>
          <w:rFonts w:ascii="Times New Roman"/>
          <w:b w:val="false"/>
          <w:i w:val="false"/>
          <w:color w:val="000000"/>
          <w:sz w:val="28"/>
        </w:rPr>
        <w:t>
      m = 12 для шпангоутов наружного и внутреннего бортов в составе конструкции двойного борта;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для шпангоутов наружного борта;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для шпангоутов внутреннего борта.</w:t>
      </w:r>
      <w:r>
        <w:br/>
      </w:r>
      <w:r>
        <w:rPr>
          <w:rFonts w:ascii="Times New Roman"/>
          <w:b w:val="false"/>
          <w:i w:val="false"/>
          <w:color w:val="000000"/>
          <w:sz w:val="28"/>
        </w:rPr>
        <w:t>
</w:t>
      </w:r>
    </w:p>
    <w:bookmarkStart w:name="z1733" w:id="1733"/>
    <w:p>
      <w:pPr>
        <w:spacing w:after="0"/>
        <w:ind w:left="0"/>
        <w:jc w:val="both"/>
      </w:pPr>
      <w:r>
        <w:rPr>
          <w:rFonts w:ascii="Times New Roman"/>
          <w:b w:val="false"/>
          <w:i w:val="false"/>
          <w:color w:val="000000"/>
          <w:sz w:val="28"/>
        </w:rPr>
        <w:t>
      Указанное выше относится к случаю, когда нижний конец шпангоута в твиндеке не усилен кницей. Если нижний конец шпангоута подкреплен кницей высотой не менее 0,1</w:t>
      </w:r>
      <w:r>
        <w:rPr>
          <w:rFonts w:ascii="Times New Roman"/>
          <w:b w:val="false"/>
          <w:i/>
          <w:color w:val="000000"/>
          <w:sz w:val="28"/>
        </w:rPr>
        <w:t>l</w:t>
      </w:r>
      <w:r>
        <w:rPr>
          <w:rFonts w:ascii="Times New Roman"/>
          <w:b w:val="false"/>
          <w:i w:val="false"/>
          <w:color w:val="000000"/>
          <w:sz w:val="28"/>
        </w:rPr>
        <w:t xml:space="preserve"> и момент сопротивления шпангоута у палубы с учетом кницы не менее 1,75 момента сопротивления, определенного выше, момент сопротивления шпангоута в твиндеке уменьшают на 30 %.</w:t>
      </w:r>
    </w:p>
    <w:bookmarkEnd w:id="1733"/>
    <w:bookmarkStart w:name="z1734" w:id="1734"/>
    <w:p>
      <w:pPr>
        <w:spacing w:after="0"/>
        <w:ind w:left="0"/>
        <w:jc w:val="both"/>
      </w:pPr>
      <w:r>
        <w:rPr>
          <w:rFonts w:ascii="Times New Roman"/>
          <w:b w:val="false"/>
          <w:i w:val="false"/>
          <w:color w:val="000000"/>
          <w:sz w:val="28"/>
        </w:rPr>
        <w:t>
      382. Момент сопротивления продольных бортовых балок всех судов принимают не менее определяемого в пункте 246 настоящих Правил. При этом:</w:t>
      </w:r>
    </w:p>
    <w:bookmarkEnd w:id="173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19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продольными балками, м;</w:t>
      </w:r>
    </w:p>
    <w:p>
      <w:pPr>
        <w:spacing w:after="0"/>
        <w:ind w:left="0"/>
        <w:jc w:val="both"/>
      </w:pPr>
      <w:r>
        <w:rPr>
          <w:rFonts w:ascii="Times New Roman"/>
          <w:b w:val="false"/>
          <w:i w:val="false"/>
          <w:color w:val="000000"/>
          <w:sz w:val="28"/>
        </w:rPr>
        <w:t>
      l — среднее расстояние между рамными шпангоутами или диафрагмами,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для наружного борта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в районе (0,4 — 0,5)</w:t>
      </w:r>
      <w:r>
        <w:rPr>
          <w:rFonts w:ascii="Times New Roman"/>
          <w:b w:val="false"/>
          <w:i/>
          <w:color w:val="000000"/>
          <w:sz w:val="28"/>
        </w:rPr>
        <w:t>D</w:t>
      </w:r>
      <w:r>
        <w:rPr>
          <w:rFonts w:ascii="Times New Roman"/>
          <w:b w:val="false"/>
          <w:i w:val="false"/>
          <w:color w:val="000000"/>
          <w:sz w:val="28"/>
        </w:rPr>
        <w:t xml:space="preserve"> от основной плоскости.</w:t>
      </w:r>
      <w:r>
        <w:br/>
      </w:r>
      <w:r>
        <w:rPr>
          <w:rFonts w:ascii="Times New Roman"/>
          <w:b w:val="false"/>
          <w:i w:val="false"/>
          <w:color w:val="000000"/>
          <w:sz w:val="28"/>
        </w:rPr>
        <w:t>
</w:t>
      </w:r>
    </w:p>
    <w:bookmarkStart w:name="z1735" w:id="1735"/>
    <w:p>
      <w:pPr>
        <w:spacing w:after="0"/>
        <w:ind w:left="0"/>
        <w:jc w:val="both"/>
      </w:pPr>
      <w:r>
        <w:rPr>
          <w:rFonts w:ascii="Times New Roman"/>
          <w:b w:val="false"/>
          <w:i w:val="false"/>
          <w:color w:val="000000"/>
          <w:sz w:val="28"/>
        </w:rPr>
        <w:t>
      Для района ниже 0,4</w:t>
      </w:r>
      <w:r>
        <w:rPr>
          <w:rFonts w:ascii="Times New Roman"/>
          <w:b w:val="false"/>
          <w:i/>
          <w:color w:val="000000"/>
          <w:sz w:val="28"/>
        </w:rPr>
        <w:t>D</w:t>
      </w:r>
      <w:r>
        <w:rPr>
          <w:rFonts w:ascii="Times New Roman"/>
          <w:b w:val="false"/>
          <w:i w:val="false"/>
          <w:color w:val="000000"/>
          <w:sz w:val="28"/>
        </w:rPr>
        <w:t xml:space="preserve"> от основной плоскости </w:t>
      </w:r>
    </w:p>
    <w:bookmarkEnd w:id="1735"/>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линейной интерполяцией между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днищевых продольных балок по подпункту 1) пункта 368 настоящих Правил и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районе (0,4 — 0,5)</w:t>
      </w:r>
      <w:r>
        <w:rPr>
          <w:rFonts w:ascii="Times New Roman"/>
          <w:b w:val="false"/>
          <w:i/>
          <w:color w:val="000000"/>
          <w:sz w:val="28"/>
        </w:rPr>
        <w:t>D</w:t>
      </w:r>
      <w:r>
        <w:rPr>
          <w:rFonts w:ascii="Times New Roman"/>
          <w:b w:val="false"/>
          <w:i w:val="false"/>
          <w:color w:val="000000"/>
          <w:sz w:val="28"/>
        </w:rPr>
        <w:t xml:space="preserve"> от основной плоскости.</w:t>
      </w:r>
      <w:r>
        <w:br/>
      </w:r>
      <w:r>
        <w:rPr>
          <w:rFonts w:ascii="Times New Roman"/>
          <w:b w:val="false"/>
          <w:i w:val="false"/>
          <w:color w:val="000000"/>
          <w:sz w:val="28"/>
        </w:rPr>
        <w:t>
</w:t>
      </w:r>
    </w:p>
    <w:bookmarkStart w:name="z1736" w:id="1736"/>
    <w:p>
      <w:pPr>
        <w:spacing w:after="0"/>
        <w:ind w:left="0"/>
        <w:jc w:val="both"/>
      </w:pPr>
      <w:r>
        <w:rPr>
          <w:rFonts w:ascii="Times New Roman"/>
          <w:b w:val="false"/>
          <w:i w:val="false"/>
          <w:color w:val="000000"/>
          <w:sz w:val="28"/>
        </w:rPr>
        <w:t>
      Для района выше 0,5</w:t>
      </w:r>
      <w:r>
        <w:rPr>
          <w:rFonts w:ascii="Times New Roman"/>
          <w:b w:val="false"/>
          <w:i/>
          <w:color w:val="000000"/>
          <w:sz w:val="28"/>
        </w:rPr>
        <w:t>D</w:t>
      </w:r>
      <w:r>
        <w:rPr>
          <w:rFonts w:ascii="Times New Roman"/>
          <w:b w:val="false"/>
          <w:i w:val="false"/>
          <w:color w:val="000000"/>
          <w:sz w:val="28"/>
        </w:rPr>
        <w:t xml:space="preserve"> от основной плоскости </w:t>
      </w:r>
    </w:p>
    <w:bookmarkEnd w:id="1736"/>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линейной интерполяцией между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продольных балок расчетной палубы по пункту 408 настоящих Правил и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районе (0,4 — 0,5)</w:t>
      </w:r>
      <w:r>
        <w:rPr>
          <w:rFonts w:ascii="Times New Roman"/>
          <w:b w:val="false"/>
          <w:i/>
          <w:color w:val="000000"/>
          <w:sz w:val="28"/>
        </w:rPr>
        <w:t>D</w:t>
      </w:r>
      <w:r>
        <w:rPr>
          <w:rFonts w:ascii="Times New Roman"/>
          <w:b w:val="false"/>
          <w:i w:val="false"/>
          <w:color w:val="000000"/>
          <w:sz w:val="28"/>
        </w:rPr>
        <w:t xml:space="preserve"> от основной плоскости.</w:t>
      </w:r>
      <w:r>
        <w:br/>
      </w:r>
      <w:r>
        <w:rPr>
          <w:rFonts w:ascii="Times New Roman"/>
          <w:b w:val="false"/>
          <w:i w:val="false"/>
          <w:color w:val="000000"/>
          <w:sz w:val="28"/>
        </w:rPr>
        <w:t>
</w:t>
      </w:r>
    </w:p>
    <w:bookmarkStart w:name="z1737" w:id="1737"/>
    <w:p>
      <w:pPr>
        <w:spacing w:after="0"/>
        <w:ind w:left="0"/>
        <w:jc w:val="both"/>
      </w:pPr>
      <w:r>
        <w:rPr>
          <w:rFonts w:ascii="Times New Roman"/>
          <w:b w:val="false"/>
          <w:i w:val="false"/>
          <w:color w:val="000000"/>
          <w:sz w:val="28"/>
        </w:rPr>
        <w:t xml:space="preserve">
      Для внутреннего борта </w:t>
      </w:r>
    </w:p>
    <w:bookmarkEnd w:id="173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как для горизонтальных балок продольных переборок наливных судов согласно пункту 450 настоящих Правил.</w:t>
      </w:r>
      <w:r>
        <w:br/>
      </w:r>
      <w:r>
        <w:rPr>
          <w:rFonts w:ascii="Times New Roman"/>
          <w:b w:val="false"/>
          <w:i w:val="false"/>
          <w:color w:val="000000"/>
          <w:sz w:val="28"/>
        </w:rPr>
        <w:t>
</w:t>
      </w:r>
    </w:p>
    <w:bookmarkStart w:name="z1738" w:id="1738"/>
    <w:p>
      <w:pPr>
        <w:spacing w:after="0"/>
        <w:ind w:left="0"/>
        <w:jc w:val="both"/>
      </w:pPr>
      <w:r>
        <w:rPr>
          <w:rFonts w:ascii="Times New Roman"/>
          <w:b w:val="false"/>
          <w:i w:val="false"/>
          <w:color w:val="000000"/>
          <w:sz w:val="28"/>
        </w:rPr>
        <w:t>
      Устойчивость трех верхних и трех нижних балок в средней части судна длиной 65 м и более обеспечивают в соответствии с параграфом 4 главы 13 настоящих Правил.</w:t>
      </w:r>
    </w:p>
    <w:bookmarkEnd w:id="1738"/>
    <w:bookmarkStart w:name="z1739" w:id="1739"/>
    <w:p>
      <w:pPr>
        <w:spacing w:after="0"/>
        <w:ind w:left="0"/>
        <w:jc w:val="both"/>
      </w:pPr>
      <w:r>
        <w:rPr>
          <w:rFonts w:ascii="Times New Roman"/>
          <w:b w:val="false"/>
          <w:i w:val="false"/>
          <w:color w:val="000000"/>
          <w:sz w:val="28"/>
        </w:rPr>
        <w:t>
      383. Момент сопротивления бортовых стрингеров при поперечной системе набора борта принимают не менее определяемого в пункте 246 настоящих Правил. При этом:</w:t>
      </w:r>
    </w:p>
    <w:bookmarkEnd w:id="17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так же, как для продольных бортовых балок наружного борта согласно пункта 382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пункта 378 настоящих Правил;</w:t>
      </w:r>
    </w:p>
    <w:p>
      <w:pPr>
        <w:spacing w:after="0"/>
        <w:ind w:left="0"/>
        <w:jc w:val="both"/>
      </w:pPr>
      <w:r>
        <w:rPr>
          <w:rFonts w:ascii="Times New Roman"/>
          <w:b w:val="false"/>
          <w:i w:val="false"/>
          <w:color w:val="000000"/>
          <w:sz w:val="28"/>
        </w:rPr>
        <w:t>
      l — расстояние между рамными шпангоутами, а при их отсутствии между поперечными переборками, включая концевые кницы,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бортовыми стрингерами, м;</w:t>
      </w:r>
    </w:p>
    <w:p>
      <w:pPr>
        <w:spacing w:after="0"/>
        <w:ind w:left="0"/>
        <w:jc w:val="both"/>
      </w:pPr>
      <w:r>
        <w:rPr>
          <w:rFonts w:ascii="Times New Roman"/>
          <w:b w:val="false"/>
          <w:i w:val="false"/>
          <w:color w:val="000000"/>
          <w:sz w:val="28"/>
        </w:rPr>
        <w:t>
      m = 18 при отсутствии распорок;</w:t>
      </w:r>
    </w:p>
    <w:p>
      <w:pPr>
        <w:spacing w:after="0"/>
        <w:ind w:left="0"/>
        <w:jc w:val="both"/>
      </w:pPr>
      <w:r>
        <w:rPr>
          <w:rFonts w:ascii="Times New Roman"/>
          <w:b w:val="false"/>
          <w:i w:val="false"/>
          <w:color w:val="000000"/>
          <w:sz w:val="28"/>
        </w:rPr>
        <w:t>
      m = 27,5 при наличии распорок.</w:t>
      </w:r>
    </w:p>
    <w:bookmarkStart w:name="z1740" w:id="1740"/>
    <w:p>
      <w:pPr>
        <w:spacing w:after="0"/>
        <w:ind w:left="0"/>
        <w:jc w:val="both"/>
      </w:pPr>
      <w:r>
        <w:rPr>
          <w:rFonts w:ascii="Times New Roman"/>
          <w:b w:val="false"/>
          <w:i w:val="false"/>
          <w:color w:val="000000"/>
          <w:sz w:val="28"/>
        </w:rPr>
        <w:t>
      Площадь поперечного сечения стенки бортового стрингера за вычетом вырезов, см</w:t>
      </w:r>
      <w:r>
        <w:rPr>
          <w:rFonts w:ascii="Times New Roman"/>
          <w:b w:val="false"/>
          <w:i w:val="false"/>
          <w:color w:val="000000"/>
          <w:vertAlign w:val="superscript"/>
        </w:rPr>
        <w:t>2</w:t>
      </w:r>
      <w:r>
        <w:rPr>
          <w:rFonts w:ascii="Times New Roman"/>
          <w:b w:val="false"/>
          <w:i w:val="false"/>
          <w:color w:val="000000"/>
          <w:sz w:val="28"/>
        </w:rPr>
        <w:t>, принимают не менее определяемой в пункте 248 настоящих Правил. При этом:</w:t>
      </w:r>
    </w:p>
    <w:bookmarkEnd w:id="174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npal</w:t>
      </w:r>
      <w:r>
        <w:rPr>
          <w:rFonts w:ascii="Times New Roman"/>
          <w:b w:val="false"/>
          <w:i w:val="false"/>
          <w:color w:val="000000"/>
          <w:sz w:val="28"/>
        </w:rPr>
        <w:t>;</w:t>
      </w:r>
    </w:p>
    <w:p>
      <w:pPr>
        <w:spacing w:after="0"/>
        <w:ind w:left="0"/>
        <w:jc w:val="both"/>
      </w:pPr>
      <w:r>
        <w:rPr>
          <w:rFonts w:ascii="Times New Roman"/>
          <w:b w:val="false"/>
          <w:i w:val="false"/>
          <w:color w:val="000000"/>
          <w:sz w:val="28"/>
        </w:rPr>
        <w:t>
      n = 0,5 при отсутствии распорок;</w:t>
      </w:r>
    </w:p>
    <w:p>
      <w:pPr>
        <w:spacing w:after="0"/>
        <w:ind w:left="0"/>
        <w:jc w:val="both"/>
      </w:pPr>
      <w:r>
        <w:rPr>
          <w:rFonts w:ascii="Times New Roman"/>
          <w:b w:val="false"/>
          <w:i w:val="false"/>
          <w:color w:val="000000"/>
          <w:sz w:val="28"/>
        </w:rPr>
        <w:t>
      n = 0,4 при наличии одной распорки;</w:t>
      </w:r>
    </w:p>
    <w:p>
      <w:pPr>
        <w:spacing w:after="0"/>
        <w:ind w:left="0"/>
        <w:jc w:val="both"/>
      </w:pPr>
      <w:r>
        <w:rPr>
          <w:rFonts w:ascii="Times New Roman"/>
          <w:b w:val="false"/>
          <w:i w:val="false"/>
          <w:color w:val="000000"/>
          <w:sz w:val="28"/>
        </w:rPr>
        <w:t>
      n = 0,375 при наличии двух распорок;</w:t>
      </w:r>
    </w:p>
    <w:p>
      <w:pPr>
        <w:spacing w:after="0"/>
        <w:ind w:left="0"/>
        <w:jc w:val="both"/>
      </w:pPr>
      <w:r>
        <w:rPr>
          <w:rFonts w:ascii="Times New Roman"/>
          <w:b w:val="false"/>
          <w:i w:val="false"/>
          <w:color w:val="000000"/>
          <w:sz w:val="28"/>
        </w:rPr>
        <w:t>
      n = 0,35 при наличии трех распорок;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bookmarkStart w:name="z1741" w:id="1741"/>
    <w:p>
      <w:pPr>
        <w:spacing w:after="0"/>
        <w:ind w:left="0"/>
        <w:jc w:val="both"/>
      </w:pPr>
      <w:r>
        <w:rPr>
          <w:rFonts w:ascii="Times New Roman"/>
          <w:b w:val="false"/>
          <w:i w:val="false"/>
          <w:color w:val="000000"/>
          <w:sz w:val="28"/>
        </w:rPr>
        <w:t>
      При наличии рамных шпангоутов размеры сечения бортового стрингера могут быть выбраны на основании расчета бортового перекрытия как стержневой системы. Расчетные нагрузки выбираются согласно пункту 378 настоящих Правил, коэффициенты допускаемых напряжений — согласно настоящему пункту. При наличии распорок в расчете учтывают взаимодействие бортового перекрытия и перекрытия продольной переборки, соединенных распорками.</w:t>
      </w:r>
    </w:p>
    <w:bookmarkEnd w:id="1741"/>
    <w:bookmarkStart w:name="z1742" w:id="1742"/>
    <w:p>
      <w:pPr>
        <w:spacing w:after="0"/>
        <w:ind w:left="0"/>
        <w:jc w:val="both"/>
      </w:pPr>
      <w:r>
        <w:rPr>
          <w:rFonts w:ascii="Times New Roman"/>
          <w:b w:val="false"/>
          <w:i w:val="false"/>
          <w:color w:val="000000"/>
          <w:sz w:val="28"/>
        </w:rPr>
        <w:t>
      384. Момент сопротивления рамных шпангоутов сухогрузных судов в трюмах и междупалубных помещениях, в танках наливных судов принимают не менее определяемого в пунктах 246 и 247 настоящих Правил. При этом:</w:t>
      </w:r>
    </w:p>
    <w:bookmarkEnd w:id="174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пункта 378 настоящих Правил;</w:t>
      </w:r>
    </w:p>
    <w:p>
      <w:pPr>
        <w:spacing w:after="0"/>
        <w:ind w:left="0"/>
        <w:jc w:val="both"/>
      </w:pPr>
      <w:r>
        <w:rPr>
          <w:rFonts w:ascii="Times New Roman"/>
          <w:b w:val="false"/>
          <w:i w:val="false"/>
          <w:color w:val="000000"/>
          <w:sz w:val="28"/>
        </w:rPr>
        <w:t>
      l — расстояние между верхней кромкой флора одинарного дна или настилом второго дна и нижней кромкой рамного бимса,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рамными шпангоутами, м;</w:t>
      </w:r>
    </w:p>
    <w:p>
      <w:pPr>
        <w:spacing w:after="0"/>
        <w:ind w:left="0"/>
        <w:jc w:val="both"/>
      </w:pPr>
      <w:r>
        <w:rPr>
          <w:rFonts w:ascii="Times New Roman"/>
          <w:b w:val="false"/>
          <w:i w:val="false"/>
          <w:color w:val="000000"/>
          <w:sz w:val="28"/>
        </w:rPr>
        <w:t>
      m = 10 для шпангоутов в междупалубных помещениях;</w:t>
      </w:r>
    </w:p>
    <w:p>
      <w:pPr>
        <w:spacing w:after="0"/>
        <w:ind w:left="0"/>
        <w:jc w:val="both"/>
      </w:pPr>
      <w:r>
        <w:rPr>
          <w:rFonts w:ascii="Times New Roman"/>
          <w:b w:val="false"/>
          <w:i w:val="false"/>
          <w:color w:val="000000"/>
          <w:sz w:val="28"/>
        </w:rPr>
        <w:t>
      m = 11 в трюмах и танках при отсутствии распорок;</w:t>
      </w:r>
    </w:p>
    <w:p>
      <w:pPr>
        <w:spacing w:after="0"/>
        <w:ind w:left="0"/>
        <w:jc w:val="both"/>
      </w:pPr>
      <w:r>
        <w:rPr>
          <w:rFonts w:ascii="Times New Roman"/>
          <w:b w:val="false"/>
          <w:i w:val="false"/>
          <w:color w:val="000000"/>
          <w:sz w:val="28"/>
        </w:rPr>
        <w:t>
      m = 18 при наличии одной или двух распорок;</w:t>
      </w:r>
    </w:p>
    <w:p>
      <w:pPr>
        <w:spacing w:after="0"/>
        <w:ind w:left="0"/>
        <w:jc w:val="both"/>
      </w:pPr>
      <w:r>
        <w:rPr>
          <w:rFonts w:ascii="Times New Roman"/>
          <w:b w:val="false"/>
          <w:i w:val="false"/>
          <w:color w:val="000000"/>
          <w:sz w:val="28"/>
        </w:rPr>
        <w:t>
      m = 27,5 при наличии трех распорок;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bookmarkStart w:name="z1743" w:id="1743"/>
    <w:p>
      <w:pPr>
        <w:spacing w:after="0"/>
        <w:ind w:left="0"/>
        <w:jc w:val="both"/>
      </w:pPr>
      <w:r>
        <w:rPr>
          <w:rFonts w:ascii="Times New Roman"/>
          <w:b w:val="false"/>
          <w:i w:val="false"/>
          <w:color w:val="000000"/>
          <w:sz w:val="28"/>
        </w:rPr>
        <w:t>
      Площадь поперечного сечения стенки рамного шпангоута за вычетом вырезов, см</w:t>
      </w:r>
      <w:r>
        <w:rPr>
          <w:rFonts w:ascii="Times New Roman"/>
          <w:b w:val="false"/>
          <w:i w:val="false"/>
          <w:color w:val="000000"/>
          <w:vertAlign w:val="superscript"/>
        </w:rPr>
        <w:t>2</w:t>
      </w:r>
      <w:r>
        <w:rPr>
          <w:rFonts w:ascii="Times New Roman"/>
          <w:b w:val="false"/>
          <w:i w:val="false"/>
          <w:color w:val="000000"/>
          <w:sz w:val="28"/>
        </w:rPr>
        <w:t>, равна не менее определяемого в пункте 248 настоящих Правил. При этом:</w:t>
      </w:r>
    </w:p>
    <w:bookmarkEnd w:id="174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npal</w:t>
      </w:r>
      <w:r>
        <w:rPr>
          <w:rFonts w:ascii="Times New Roman"/>
          <w:b w:val="false"/>
          <w:i w:val="false"/>
          <w:color w:val="000000"/>
          <w:sz w:val="28"/>
        </w:rPr>
        <w:t>;</w:t>
      </w:r>
    </w:p>
    <w:p>
      <w:pPr>
        <w:spacing w:after="0"/>
        <w:ind w:left="0"/>
        <w:jc w:val="both"/>
      </w:pPr>
      <w:r>
        <w:rPr>
          <w:rFonts w:ascii="Times New Roman"/>
          <w:b w:val="false"/>
          <w:i w:val="false"/>
          <w:color w:val="000000"/>
          <w:sz w:val="28"/>
        </w:rPr>
        <w:t>
      n = 0,5 при отсутствии распорок;</w:t>
      </w:r>
    </w:p>
    <w:p>
      <w:pPr>
        <w:spacing w:after="0"/>
        <w:ind w:left="0"/>
        <w:jc w:val="both"/>
      </w:pPr>
      <w:r>
        <w:rPr>
          <w:rFonts w:ascii="Times New Roman"/>
          <w:b w:val="false"/>
          <w:i w:val="false"/>
          <w:color w:val="000000"/>
          <w:sz w:val="28"/>
        </w:rPr>
        <w:t>
      n = 0,375 при наличии одной распорки;</w:t>
      </w:r>
    </w:p>
    <w:p>
      <w:pPr>
        <w:spacing w:after="0"/>
        <w:ind w:left="0"/>
        <w:jc w:val="both"/>
      </w:pPr>
      <w:r>
        <w:rPr>
          <w:rFonts w:ascii="Times New Roman"/>
          <w:b w:val="false"/>
          <w:i w:val="false"/>
          <w:color w:val="000000"/>
          <w:sz w:val="28"/>
        </w:rPr>
        <w:t>
      n = 0,35 при наличии двух и более распорок;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bookmarkStart w:name="z1744" w:id="1744"/>
    <w:p>
      <w:pPr>
        <w:spacing w:after="0"/>
        <w:ind w:left="0"/>
        <w:jc w:val="both"/>
      </w:pPr>
      <w:r>
        <w:rPr>
          <w:rFonts w:ascii="Times New Roman"/>
          <w:b w:val="false"/>
          <w:i w:val="false"/>
          <w:color w:val="000000"/>
          <w:sz w:val="28"/>
        </w:rPr>
        <w:t>
      Размеры сечения рамных шпангоутов при поперечной системе набора выбирают на основании расчета бортового перекрытия согласно требованиям пункта 383 настоящих Правил. Коэффициенты допускаемых напряжений при этом выбирается согласно требованиям настоящего пункта.</w:t>
      </w:r>
    </w:p>
    <w:bookmarkEnd w:id="1744"/>
    <w:bookmarkStart w:name="z1745" w:id="1745"/>
    <w:p>
      <w:pPr>
        <w:spacing w:after="0"/>
        <w:ind w:left="0"/>
        <w:jc w:val="both"/>
      </w:pPr>
      <w:r>
        <w:rPr>
          <w:rFonts w:ascii="Times New Roman"/>
          <w:b w:val="false"/>
          <w:i w:val="false"/>
          <w:color w:val="000000"/>
          <w:sz w:val="28"/>
        </w:rPr>
        <w:t>
      Высота стенки рамного шпангоута на однопалубных судах принимают переменной по высоте борта с уменьшением ее у верхнего конца и увеличением у нижнего. Это изменение высоты не превышает 10 % ее среднего значения.</w:t>
      </w:r>
    </w:p>
    <w:bookmarkEnd w:id="1745"/>
    <w:bookmarkStart w:name="z1746" w:id="1746"/>
    <w:p>
      <w:pPr>
        <w:spacing w:after="0"/>
        <w:ind w:left="0"/>
        <w:jc w:val="both"/>
      </w:pPr>
      <w:r>
        <w:rPr>
          <w:rFonts w:ascii="Times New Roman"/>
          <w:b w:val="false"/>
          <w:i w:val="false"/>
          <w:color w:val="000000"/>
          <w:sz w:val="28"/>
        </w:rPr>
        <w:t>
      Требования к подкреплениям рамных шпангоутов — параграф 3 главы 14 настоящих Правил.</w:t>
      </w:r>
    </w:p>
    <w:bookmarkEnd w:id="1746"/>
    <w:bookmarkStart w:name="z1747" w:id="1747"/>
    <w:p>
      <w:pPr>
        <w:spacing w:after="0"/>
        <w:ind w:left="0"/>
        <w:jc w:val="both"/>
      </w:pPr>
      <w:r>
        <w:rPr>
          <w:rFonts w:ascii="Times New Roman"/>
          <w:b w:val="false"/>
          <w:i w:val="false"/>
          <w:color w:val="000000"/>
          <w:sz w:val="28"/>
        </w:rPr>
        <w:t xml:space="preserve">
      385. Площадь поперечного сечения распорки </w:t>
      </w:r>
    </w:p>
    <w:bookmarkEnd w:id="1747"/>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устанавливаемой между балками рамного набора борта и продольной переборки, равна не менее определяемой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w:t>
      </w:r>
      <w:r>
        <w:rPr>
          <w:rFonts w:ascii="Times New Roman"/>
          <w:b w:val="false"/>
          <w:i/>
          <w:color w:val="000000"/>
          <w:sz w:val="28"/>
        </w:rPr>
        <w:t>раа</w:t>
      </w:r>
      <w:r>
        <w:rPr>
          <w:rFonts w:ascii="Times New Roman"/>
          <w:b w:val="false"/>
          <w:i w:val="false"/>
          <w:color w:val="000000"/>
          <w:vertAlign w:val="subscript"/>
        </w:rPr>
        <w:t>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к</w:t>
      </w:r>
      <w:r>
        <w:rPr>
          <w:rFonts w:ascii="Times New Roman"/>
          <w:b w:val="false"/>
          <w:i w:val="false"/>
          <w:color w:val="000000"/>
          <w:sz w:val="28"/>
        </w:rPr>
        <w:t xml:space="preserve"> ------ + 0,05</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(109)</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sz w:val="28"/>
        </w:rPr>
        <w:t xml:space="preserve"> — расчетное давление на уровне центра распорки, определяемое согласно параграфу 3 главы 16 или пункту 443 настоящих Правил в зависимости от того, что больше,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рамными шпангоутами с распорками,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i</w:t>
      </w:r>
      <w:r>
        <w:rPr>
          <w:rFonts w:ascii="Times New Roman"/>
          <w:b w:val="false"/>
          <w:i w:val="false"/>
          <w:color w:val="000000"/>
          <w:sz w:val="28"/>
        </w:rPr>
        <w:t xml:space="preserve"> — средняя высота площади борта, поддерживаемая распоркой,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периметр поперечного сечения распорки, см;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2,5 — коэффициент запаса устойчивости;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критические напряжения согласно пункту 254 настоящих Правил при эйлеровых напряжениях, МПа, вычисляемых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206</w:t>
      </w:r>
      <w:r>
        <w:rPr>
          <w:rFonts w:ascii="Times New Roman"/>
          <w:b w:val="false"/>
          <w:i/>
          <w:color w:val="000000"/>
          <w:sz w:val="28"/>
        </w:rPr>
        <w:t>i</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 минимальный момент инерции сечения распорки,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l — длина распорки, измеренная между внутренними кромками рамных связей борта и продольной переборки, м; </w:t>
      </w:r>
    </w:p>
    <w:p>
      <w:pPr>
        <w:spacing w:after="0"/>
        <w:ind w:left="0"/>
        <w:jc w:val="both"/>
      </w:pPr>
      <w:r>
        <w:rPr>
          <w:rFonts w:ascii="Times New Roman"/>
          <w:b w:val="false"/>
          <w:i w:val="false"/>
          <w:color w:val="000000"/>
          <w:sz w:val="28"/>
        </w:rPr>
        <w:t>
      f определяется по формуле (109) настоящих Правил.</w:t>
      </w:r>
    </w:p>
    <w:bookmarkStart w:name="z1748" w:id="1748"/>
    <w:p>
      <w:pPr>
        <w:spacing w:after="0"/>
        <w:ind w:left="0"/>
        <w:jc w:val="both"/>
      </w:pPr>
      <w:r>
        <w:rPr>
          <w:rFonts w:ascii="Times New Roman"/>
          <w:b w:val="false"/>
          <w:i w:val="false"/>
          <w:color w:val="000000"/>
          <w:sz w:val="28"/>
        </w:rPr>
        <w:t>
      386. Бортовой набор в машинном отделении и цистернах отвечают следующим требованиям:</w:t>
      </w:r>
    </w:p>
    <w:bookmarkEnd w:id="1748"/>
    <w:bookmarkStart w:name="z1749" w:id="1749"/>
    <w:p>
      <w:pPr>
        <w:spacing w:after="0"/>
        <w:ind w:left="0"/>
        <w:jc w:val="both"/>
      </w:pPr>
      <w:r>
        <w:rPr>
          <w:rFonts w:ascii="Times New Roman"/>
          <w:b w:val="false"/>
          <w:i w:val="false"/>
          <w:color w:val="000000"/>
          <w:sz w:val="28"/>
        </w:rPr>
        <w:t>
      1) размеры шпангоутов в машинном отделении определяются согласно пункту 380 настоящих Правил. При этом:</w:t>
      </w:r>
    </w:p>
    <w:bookmarkEnd w:id="1749"/>
    <w:p>
      <w:pPr>
        <w:spacing w:after="0"/>
        <w:ind w:left="0"/>
        <w:jc w:val="both"/>
      </w:pPr>
      <w:r>
        <w:rPr>
          <w:rFonts w:ascii="Times New Roman"/>
          <w:b w:val="false"/>
          <w:i w:val="false"/>
          <w:color w:val="000000"/>
          <w:sz w:val="28"/>
        </w:rPr>
        <w:t>
      l — длина пролета, измеряемая между бортовыми стрингерами, или нижним бортовым стрингером и настилом второго дна (верхней кромкой флора), или верхним бортовым стрингером и нижней кромкой бимса.</w:t>
      </w:r>
    </w:p>
    <w:bookmarkStart w:name="z1750" w:id="1750"/>
    <w:p>
      <w:pPr>
        <w:spacing w:after="0"/>
        <w:ind w:left="0"/>
        <w:jc w:val="both"/>
      </w:pPr>
      <w:r>
        <w:rPr>
          <w:rFonts w:ascii="Times New Roman"/>
          <w:b w:val="false"/>
          <w:i w:val="false"/>
          <w:color w:val="000000"/>
          <w:sz w:val="28"/>
        </w:rPr>
        <w:t>
      Размеры продольных балок определяются согласно пункту 382 настоящих Правил.</w:t>
      </w:r>
    </w:p>
    <w:bookmarkEnd w:id="1750"/>
    <w:bookmarkStart w:name="z1751" w:id="1751"/>
    <w:p>
      <w:pPr>
        <w:spacing w:after="0"/>
        <w:ind w:left="0"/>
        <w:jc w:val="both"/>
      </w:pPr>
      <w:r>
        <w:rPr>
          <w:rFonts w:ascii="Times New Roman"/>
          <w:b w:val="false"/>
          <w:i w:val="false"/>
          <w:color w:val="000000"/>
          <w:sz w:val="28"/>
        </w:rPr>
        <w:t>
      Размеры рамных шпангоутов определяются согласно пункту 384 настоящих Правил. При этом:</w:t>
      </w:r>
    </w:p>
    <w:bookmarkEnd w:id="1751"/>
    <w:p>
      <w:pPr>
        <w:spacing w:after="0"/>
        <w:ind w:left="0"/>
        <w:jc w:val="both"/>
      </w:pPr>
      <w:r>
        <w:rPr>
          <w:rFonts w:ascii="Times New Roman"/>
          <w:b w:val="false"/>
          <w:i w:val="false"/>
          <w:color w:val="000000"/>
          <w:sz w:val="28"/>
        </w:rPr>
        <w:t>
      l — длина пролета, измеряемая от настила второго дна (верхней кромки флора) до нижней кромки рамного бимса;</w:t>
      </w:r>
    </w:p>
    <w:bookmarkStart w:name="z1752" w:id="1752"/>
    <w:p>
      <w:pPr>
        <w:spacing w:after="0"/>
        <w:ind w:left="0"/>
        <w:jc w:val="both"/>
      </w:pPr>
      <w:r>
        <w:rPr>
          <w:rFonts w:ascii="Times New Roman"/>
          <w:b w:val="false"/>
          <w:i w:val="false"/>
          <w:color w:val="000000"/>
          <w:sz w:val="28"/>
        </w:rPr>
        <w:t>
      2) для судов длиной менее 30 м в машинном отделении допускается не устанавливать рамные шпангоуты и бортовые стрингеры, требуемые согласно пункту 377 настоящих Правил, при условии, что момент сопротивления основного шпангоута, см</w:t>
      </w:r>
      <w:r>
        <w:rPr>
          <w:rFonts w:ascii="Times New Roman"/>
          <w:b w:val="false"/>
          <w:i w:val="false"/>
          <w:color w:val="000000"/>
          <w:vertAlign w:val="superscript"/>
        </w:rPr>
        <w:t>3</w:t>
      </w:r>
      <w:r>
        <w:rPr>
          <w:rFonts w:ascii="Times New Roman"/>
          <w:b w:val="false"/>
          <w:i w:val="false"/>
          <w:color w:val="000000"/>
          <w:sz w:val="28"/>
        </w:rPr>
        <w:t>, будет не менее определяемого по формуле:</w:t>
      </w:r>
    </w:p>
    <w:bookmarkEnd w:id="17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w:t>
      </w:r>
      <w:r>
        <w:rPr>
          <w:rFonts w:ascii="Times New Roman"/>
          <w:b w:val="false"/>
          <w:i w:val="false"/>
          <w:color w:val="000000"/>
          <w:sz w:val="28"/>
        </w:rPr>
        <w:t xml:space="preserve"> = 1,8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(110)</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xml:space="preserve"> — момент сопротивления основного шпангоута согласно подпункту 1) настоящего пункта;</w:t>
      </w:r>
    </w:p>
    <w:bookmarkStart w:name="z1753" w:id="1753"/>
    <w:p>
      <w:pPr>
        <w:spacing w:after="0"/>
        <w:ind w:left="0"/>
        <w:jc w:val="both"/>
      </w:pPr>
      <w:r>
        <w:rPr>
          <w:rFonts w:ascii="Times New Roman"/>
          <w:b w:val="false"/>
          <w:i w:val="false"/>
          <w:color w:val="000000"/>
          <w:sz w:val="28"/>
        </w:rPr>
        <w:t>
      3) в районе балластных и топливных цистерн сухогрузных судов длиной 30 м и более размеры бортового набора отвечают требованиям к бортовому набору наливных судов в районе танков согласно пунктам 380, 382, 384 настоящих Правил.</w:t>
      </w:r>
    </w:p>
    <w:bookmarkEnd w:id="1753"/>
    <w:bookmarkStart w:name="z1754" w:id="1754"/>
    <w:p>
      <w:pPr>
        <w:spacing w:after="0"/>
        <w:ind w:left="0"/>
        <w:jc w:val="both"/>
      </w:pPr>
      <w:r>
        <w:rPr>
          <w:rFonts w:ascii="Times New Roman"/>
          <w:b w:val="false"/>
          <w:i w:val="false"/>
          <w:color w:val="000000"/>
          <w:sz w:val="28"/>
        </w:rPr>
        <w:t>
      Момент сопротивления бортовых стрингеров при поперечной системе набора борта прнимают не менее определяемого в пунктах 246 и 247 настоящих Правил. При этом:</w:t>
      </w:r>
    </w:p>
    <w:bookmarkEnd w:id="17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В остальном выполняются требования пункта 383 настоящих Правил;</w:t>
      </w:r>
    </w:p>
    <w:bookmarkStart w:name="z1755" w:id="1755"/>
    <w:p>
      <w:pPr>
        <w:spacing w:after="0"/>
        <w:ind w:left="0"/>
        <w:jc w:val="both"/>
      </w:pPr>
      <w:r>
        <w:rPr>
          <w:rFonts w:ascii="Times New Roman"/>
          <w:b w:val="false"/>
          <w:i w:val="false"/>
          <w:color w:val="000000"/>
          <w:sz w:val="28"/>
        </w:rPr>
        <w:t>
      4) рамные шпангоуты в машинном отделении имеют высоту профиля не менее 0,1 пролета и толщину стенки не менее 0,01 высоты стенки плюс 3,5 мм;</w:t>
      </w:r>
    </w:p>
    <w:bookmarkEnd w:id="1755"/>
    <w:bookmarkStart w:name="z1756" w:id="1756"/>
    <w:p>
      <w:pPr>
        <w:spacing w:after="0"/>
        <w:ind w:left="0"/>
        <w:jc w:val="both"/>
      </w:pPr>
      <w:r>
        <w:rPr>
          <w:rFonts w:ascii="Times New Roman"/>
          <w:b w:val="false"/>
          <w:i w:val="false"/>
          <w:color w:val="000000"/>
          <w:sz w:val="28"/>
        </w:rPr>
        <w:t>
      5) высота стенки бортового стрингера в машинном отделении равна высоте стенки рамного шпангоута.</w:t>
      </w:r>
    </w:p>
    <w:bookmarkEnd w:id="1756"/>
    <w:bookmarkStart w:name="z1757" w:id="1757"/>
    <w:p>
      <w:pPr>
        <w:spacing w:after="0"/>
        <w:ind w:left="0"/>
        <w:jc w:val="both"/>
      </w:pPr>
      <w:r>
        <w:rPr>
          <w:rFonts w:ascii="Times New Roman"/>
          <w:b w:val="false"/>
          <w:i w:val="false"/>
          <w:color w:val="000000"/>
          <w:sz w:val="28"/>
        </w:rPr>
        <w:t>
      Толщина стенки бортового стрингера допускается на 1мм меньше толщины рамного шпангоута. Толщина свободного пояска бортового стрингера равна толщине свободного пояска рамного шпангоута.</w:t>
      </w:r>
    </w:p>
    <w:bookmarkEnd w:id="1757"/>
    <w:bookmarkStart w:name="z1758" w:id="1758"/>
    <w:p>
      <w:pPr>
        <w:spacing w:after="0"/>
        <w:ind w:left="0"/>
        <w:jc w:val="both"/>
      </w:pPr>
      <w:r>
        <w:rPr>
          <w:rFonts w:ascii="Times New Roman"/>
          <w:b w:val="false"/>
          <w:i w:val="false"/>
          <w:color w:val="000000"/>
          <w:sz w:val="28"/>
        </w:rPr>
        <w:t>
      387. Диафрагмы и платформы двойного борта отвечают следующим требованиям:</w:t>
      </w:r>
    </w:p>
    <w:bookmarkEnd w:id="1758"/>
    <w:bookmarkStart w:name="z1759" w:id="1759"/>
    <w:p>
      <w:pPr>
        <w:spacing w:after="0"/>
        <w:ind w:left="0"/>
        <w:jc w:val="both"/>
      </w:pPr>
      <w:r>
        <w:rPr>
          <w:rFonts w:ascii="Times New Roman"/>
          <w:b w:val="false"/>
          <w:i w:val="false"/>
          <w:color w:val="000000"/>
          <w:sz w:val="28"/>
        </w:rPr>
        <w:t>
      1) моменты сопротивления и площади сечения диафрагм и платформ должны отвечать требованиям к моментам сопротивления и площадям сечения стенки бортовых стрингеров согласно пункту 383 настоящих Правил и рамных шпангоутов согласно пункту 384 настоящих Правил при расчетном давлении, определяемом согласно подпункту 2) пункта 379 настоящих Правил.</w:t>
      </w:r>
    </w:p>
    <w:bookmarkEnd w:id="1759"/>
    <w:bookmarkStart w:name="z1760" w:id="1760"/>
    <w:p>
      <w:pPr>
        <w:spacing w:after="0"/>
        <w:ind w:left="0"/>
        <w:jc w:val="both"/>
      </w:pPr>
      <w:r>
        <w:rPr>
          <w:rFonts w:ascii="Times New Roman"/>
          <w:b w:val="false"/>
          <w:i w:val="false"/>
          <w:color w:val="000000"/>
          <w:sz w:val="28"/>
        </w:rPr>
        <w:t xml:space="preserve">
      В любом случае толщина диафрагмы и платформы, мм, равна не менее определяемой по формуле: </w:t>
      </w:r>
    </w:p>
    <w:bookmarkEnd w:id="17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min</w:t>
      </w:r>
      <w:r>
        <w:rPr>
          <w:rFonts w:ascii="Times New Roman"/>
          <w:b w:val="false"/>
          <w:i w:val="false"/>
          <w:color w:val="000000"/>
          <w:sz w:val="28"/>
        </w:rPr>
        <w:t xml:space="preserve"> = 0,018</w:t>
      </w:r>
      <w:r>
        <w:rPr>
          <w:rFonts w:ascii="Times New Roman"/>
          <w:b w:val="false"/>
          <w:i/>
          <w:color w:val="000000"/>
          <w:sz w:val="28"/>
        </w:rPr>
        <w:t>L</w:t>
      </w:r>
      <w:r>
        <w:rPr>
          <w:rFonts w:ascii="Times New Roman"/>
          <w:b w:val="false"/>
          <w:i w:val="false"/>
          <w:color w:val="000000"/>
          <w:sz w:val="28"/>
        </w:rPr>
        <w:t xml:space="preserve"> + 6,2;                      (111)</w:t>
      </w:r>
    </w:p>
    <w:bookmarkStart w:name="z1761" w:id="1761"/>
    <w:p>
      <w:pPr>
        <w:spacing w:after="0"/>
        <w:ind w:left="0"/>
        <w:jc w:val="both"/>
      </w:pPr>
      <w:r>
        <w:rPr>
          <w:rFonts w:ascii="Times New Roman"/>
          <w:b w:val="false"/>
          <w:i w:val="false"/>
          <w:color w:val="000000"/>
          <w:sz w:val="28"/>
        </w:rPr>
        <w:t>
      2) ребра жесткости, подкрепляющие диафрагмы и платформы, отвечают требованиям пункта 280 настоящих Правил;</w:t>
      </w:r>
    </w:p>
    <w:bookmarkEnd w:id="1761"/>
    <w:bookmarkStart w:name="z1762" w:id="1762"/>
    <w:p>
      <w:pPr>
        <w:spacing w:after="0"/>
        <w:ind w:left="0"/>
        <w:jc w:val="both"/>
      </w:pPr>
      <w:r>
        <w:rPr>
          <w:rFonts w:ascii="Times New Roman"/>
          <w:b w:val="false"/>
          <w:i w:val="false"/>
          <w:color w:val="000000"/>
          <w:sz w:val="28"/>
        </w:rPr>
        <w:t>
      3) платформы в средней части судна и подкрепляющие их неразрезные продольные ребра жесткости, если таковые имеются, в районах 0,25</w:t>
      </w:r>
      <w:r>
        <w:rPr>
          <w:rFonts w:ascii="Times New Roman"/>
          <w:b w:val="false"/>
          <w:i/>
          <w:color w:val="000000"/>
          <w:sz w:val="28"/>
        </w:rPr>
        <w:t>D</w:t>
      </w:r>
      <w:r>
        <w:rPr>
          <w:rFonts w:ascii="Times New Roman"/>
          <w:b w:val="false"/>
          <w:i w:val="false"/>
          <w:color w:val="000000"/>
          <w:sz w:val="28"/>
        </w:rPr>
        <w:t xml:space="preserve"> над основной плоскостью и 0,25</w:t>
      </w:r>
      <w:r>
        <w:rPr>
          <w:rFonts w:ascii="Times New Roman"/>
          <w:b w:val="false"/>
          <w:i/>
          <w:color w:val="000000"/>
          <w:sz w:val="28"/>
        </w:rPr>
        <w:t>D</w:t>
      </w:r>
      <w:r>
        <w:rPr>
          <w:rFonts w:ascii="Times New Roman"/>
          <w:b w:val="false"/>
          <w:i w:val="false"/>
          <w:color w:val="000000"/>
          <w:sz w:val="28"/>
        </w:rPr>
        <w:t xml:space="preserve"> ниже расчетной палубы отвечают требованиям к устойчивости продольных балок набора согласно пункту 253 настоящих Правил;</w:t>
      </w:r>
    </w:p>
    <w:bookmarkEnd w:id="1762"/>
    <w:bookmarkStart w:name="z1763" w:id="1763"/>
    <w:p>
      <w:pPr>
        <w:spacing w:after="0"/>
        <w:ind w:left="0"/>
        <w:jc w:val="both"/>
      </w:pPr>
      <w:r>
        <w:rPr>
          <w:rFonts w:ascii="Times New Roman"/>
          <w:b w:val="false"/>
          <w:i w:val="false"/>
          <w:color w:val="000000"/>
          <w:sz w:val="28"/>
        </w:rPr>
        <w:t>
      4) толщина непроницаемых участков диафрагм и платформ равна не менее определяемой по формуле (57) настоящих Правил. При этом:</w:t>
      </w:r>
    </w:p>
    <w:bookmarkEnd w:id="176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подпункту 3) пункта 379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bookmarkStart w:name="z1764" w:id="1764"/>
    <w:p>
      <w:pPr>
        <w:spacing w:after="0"/>
        <w:ind w:left="0"/>
        <w:jc w:val="both"/>
      </w:pPr>
      <w:r>
        <w:rPr>
          <w:rFonts w:ascii="Times New Roman"/>
          <w:b w:val="false"/>
          <w:i w:val="false"/>
          <w:color w:val="000000"/>
          <w:sz w:val="28"/>
        </w:rPr>
        <w:t>
      5) момент сопротивления ребер жесткости, подкрепляющих непроницаемые участки диафрагм и платформ, равен не менее определяемого в пункте 246 настоящих Правил. При этом:</w:t>
      </w:r>
    </w:p>
    <w:bookmarkEnd w:id="176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подпункту 3) пункта 379 настоящих Правил;</w:t>
      </w:r>
    </w:p>
    <w:p>
      <w:pPr>
        <w:spacing w:after="0"/>
        <w:ind w:left="0"/>
        <w:jc w:val="both"/>
      </w:pPr>
      <w:r>
        <w:rPr>
          <w:rFonts w:ascii="Times New Roman"/>
          <w:b w:val="false"/>
          <w:i w:val="false"/>
          <w:color w:val="000000"/>
          <w:sz w:val="28"/>
        </w:rPr>
        <w:t>
      l — длина пролета ребра жесткости, равная для ребер жесткости, параллельных бортовой обшивке, расстоянию между диафрагмами, для ребер жесткости, перпендикулярных бортовой обшивке, — расстоянию между внутренними кромками балок основного набора наружного и внутреннего бортов, если ребро приваривается к ним, и ширине двойного борта, если концы ребра срезаются "на ус", м;</w:t>
      </w:r>
    </w:p>
    <w:p>
      <w:pPr>
        <w:spacing w:after="0"/>
        <w:ind w:left="0"/>
        <w:jc w:val="both"/>
      </w:pPr>
      <w:r>
        <w:rPr>
          <w:rFonts w:ascii="Times New Roman"/>
          <w:b w:val="false"/>
          <w:i w:val="false"/>
          <w:color w:val="000000"/>
          <w:sz w:val="28"/>
        </w:rPr>
        <w:t>
      m = 12 для неразрезных ребер жесткости, параллельных бортовой обшивке;</w:t>
      </w:r>
    </w:p>
    <w:p>
      <w:pPr>
        <w:spacing w:after="0"/>
        <w:ind w:left="0"/>
        <w:jc w:val="both"/>
      </w:pPr>
      <w:r>
        <w:rPr>
          <w:rFonts w:ascii="Times New Roman"/>
          <w:b w:val="false"/>
          <w:i w:val="false"/>
          <w:color w:val="000000"/>
          <w:sz w:val="28"/>
        </w:rPr>
        <w:t>
      m = 10 для ребер жесткости, перпендикулярных бортовой обшивке, и привариваемых к их основному набору;</w:t>
      </w:r>
    </w:p>
    <w:p>
      <w:pPr>
        <w:spacing w:after="0"/>
        <w:ind w:left="0"/>
        <w:jc w:val="both"/>
      </w:pPr>
      <w:r>
        <w:rPr>
          <w:rFonts w:ascii="Times New Roman"/>
          <w:b w:val="false"/>
          <w:i w:val="false"/>
          <w:color w:val="000000"/>
          <w:sz w:val="28"/>
        </w:rPr>
        <w:t>
      m = 8 в остальных случаях;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1765" w:id="1765"/>
    <w:p>
      <w:pPr>
        <w:spacing w:after="0"/>
        <w:ind w:left="0"/>
        <w:jc w:val="both"/>
      </w:pPr>
      <w:r>
        <w:rPr>
          <w:rFonts w:ascii="Times New Roman"/>
          <w:b w:val="false"/>
          <w:i w:val="false"/>
          <w:color w:val="000000"/>
          <w:sz w:val="28"/>
        </w:rPr>
        <w:t>
      388. При наличии больших вырезов в палубе, ширина которых превышает 0,7 ширины судна, по согласованию с Регистром судоходства может потребоваться усиление диафрагм и шпангоутов наружного и внутреннего бортов, связанное с податливостью верхней палубы и определяемое расчетом (параграф 4 главы 28 настоящих Правил).</w:t>
      </w:r>
    </w:p>
    <w:bookmarkEnd w:id="1765"/>
    <w:bookmarkStart w:name="z1766" w:id="1766"/>
    <w:p>
      <w:pPr>
        <w:spacing w:after="0"/>
        <w:ind w:left="0"/>
        <w:jc w:val="both"/>
      </w:pPr>
      <w:r>
        <w:rPr>
          <w:rFonts w:ascii="Times New Roman"/>
          <w:b w:val="false"/>
          <w:i w:val="false"/>
          <w:color w:val="000000"/>
          <w:sz w:val="28"/>
        </w:rPr>
        <w:t>
      389. Толщина обшивки внутреннего борта отвечает требованиям к толщине обшивки продольных переборок наливных судов согласно пункту 444 настоящих Правил при расчетном давлении, определяемом согласно подпункту 1) пункта 379 настоящих Правил. В любом случае эта толщина равна не менее определяемой по формуле (129) настоящих Правил.</w:t>
      </w:r>
    </w:p>
    <w:bookmarkEnd w:id="1766"/>
    <w:bookmarkStart w:name="z1767" w:id="1767"/>
    <w:p>
      <w:pPr>
        <w:spacing w:after="0"/>
        <w:ind w:left="0"/>
        <w:jc w:val="both"/>
      </w:pPr>
      <w:r>
        <w:rPr>
          <w:rFonts w:ascii="Times New Roman"/>
          <w:b w:val="false"/>
          <w:i w:val="false"/>
          <w:color w:val="000000"/>
          <w:sz w:val="28"/>
        </w:rPr>
        <w:t>
      390. Распорки между шпангоутами или продольными балками наружного и внутреннего бортов согласно подпункту 1) пункта 376 настоящих Правил отвечают требованиям к промежуточным стойкам двойного дна согласно пункту 364 при расчетном давлении, определяемом в пункте 378 или подпункту 1) пункта 379 настоящих Правил, в зависимости от того, что больше.</w:t>
      </w:r>
    </w:p>
    <w:bookmarkEnd w:id="1767"/>
    <w:bookmarkStart w:name="z1768" w:id="1768"/>
    <w:p>
      <w:pPr>
        <w:spacing w:after="0"/>
        <w:ind w:left="0"/>
        <w:jc w:val="both"/>
      </w:pPr>
      <w:r>
        <w:rPr>
          <w:rFonts w:ascii="Times New Roman"/>
          <w:b w:val="false"/>
          <w:i w:val="false"/>
          <w:color w:val="000000"/>
          <w:sz w:val="28"/>
        </w:rPr>
        <w:t>
      При установке распорок возможно уменьшение на 35 % момента сопротивления шпангоутов согласно пунктов 380 и 381 и продольных балок согласно пункту 382 настоящих Правил.</w:t>
      </w:r>
    </w:p>
    <w:bookmarkEnd w:id="1768"/>
    <w:bookmarkStart w:name="z1769" w:id="1769"/>
    <w:p>
      <w:pPr>
        <w:spacing w:after="0"/>
        <w:ind w:left="0"/>
        <w:jc w:val="both"/>
      </w:pPr>
      <w:r>
        <w:rPr>
          <w:rFonts w:ascii="Times New Roman"/>
          <w:b w:val="false"/>
          <w:i w:val="false"/>
          <w:color w:val="000000"/>
          <w:sz w:val="28"/>
        </w:rPr>
        <w:t>
      391. Элементы конструкций бортового набора в танках (грузовых и балластных) наливных судов, трюмах, в которые может приниматься водяной балласт, и цистернах имеют толщину не менее требуемой параграфом 3 главы 32 настоящих Правил.</w:t>
      </w:r>
    </w:p>
    <w:bookmarkEnd w:id="1769"/>
    <w:bookmarkStart w:name="z1770" w:id="1770"/>
    <w:p>
      <w:pPr>
        <w:spacing w:after="0"/>
        <w:ind w:left="0"/>
        <w:jc w:val="left"/>
      </w:pPr>
      <w:r>
        <w:rPr>
          <w:rFonts w:ascii="Times New Roman"/>
          <w:b/>
          <w:i w:val="false"/>
          <w:color w:val="000000"/>
        </w:rPr>
        <w:t xml:space="preserve"> Параграф 4. Специальные требования</w:t>
      </w:r>
    </w:p>
    <w:bookmarkEnd w:id="1770"/>
    <w:bookmarkStart w:name="z1771" w:id="1771"/>
    <w:p>
      <w:pPr>
        <w:spacing w:after="0"/>
        <w:ind w:left="0"/>
        <w:jc w:val="both"/>
      </w:pPr>
      <w:r>
        <w:rPr>
          <w:rFonts w:ascii="Times New Roman"/>
          <w:b w:val="false"/>
          <w:i w:val="false"/>
          <w:color w:val="000000"/>
          <w:sz w:val="28"/>
        </w:rPr>
        <w:t>
      392. При поперечной системе набора борта обеспечивают надежное соединение нижних концов шпангоутов с днищевыми конструкциями с помощью скуловых книц или других эквивалентных им по прочности конструкций. Скуловые кницы отвечают следующим требованиям:</w:t>
      </w:r>
    </w:p>
    <w:bookmarkEnd w:id="1771"/>
    <w:bookmarkStart w:name="z1772" w:id="1772"/>
    <w:p>
      <w:pPr>
        <w:spacing w:after="0"/>
        <w:ind w:left="0"/>
        <w:jc w:val="both"/>
      </w:pPr>
      <w:r>
        <w:rPr>
          <w:rFonts w:ascii="Times New Roman"/>
          <w:b w:val="false"/>
          <w:i w:val="false"/>
          <w:color w:val="000000"/>
          <w:sz w:val="28"/>
        </w:rPr>
        <w:t>
      1) по высоте скуловые кницы полностью перекрывают скулу. Свободная кромка скуловой кницы имеет фланец или подкрепляется пояском, размеры которых выбираются согласно подпункту 2) пункта 271 настоящих Правил.</w:t>
      </w:r>
    </w:p>
    <w:bookmarkEnd w:id="1772"/>
    <w:bookmarkStart w:name="z1773" w:id="1773"/>
    <w:p>
      <w:pPr>
        <w:spacing w:after="0"/>
        <w:ind w:left="0"/>
        <w:jc w:val="both"/>
      </w:pPr>
      <w:r>
        <w:rPr>
          <w:rFonts w:ascii="Times New Roman"/>
          <w:b w:val="false"/>
          <w:i w:val="false"/>
          <w:color w:val="000000"/>
          <w:sz w:val="28"/>
        </w:rPr>
        <w:t>
      Толщина скуловой кницы принимается равной толщине сплошных флоров в рассматриваемом районе корпуса, но не превышает толщину стенки шпангоута более чем в 1,5 раза.</w:t>
      </w:r>
    </w:p>
    <w:bookmarkEnd w:id="1773"/>
    <w:bookmarkStart w:name="z1774" w:id="1774"/>
    <w:p>
      <w:pPr>
        <w:spacing w:after="0"/>
        <w:ind w:left="0"/>
        <w:jc w:val="both"/>
      </w:pPr>
      <w:r>
        <w:rPr>
          <w:rFonts w:ascii="Times New Roman"/>
          <w:b w:val="false"/>
          <w:i w:val="false"/>
          <w:color w:val="000000"/>
          <w:sz w:val="28"/>
        </w:rPr>
        <w:t xml:space="preserve">
      Размеры вырезов в скуловых кницах такие, чтобы ни в одном месте ширина листа с одной стороны выреза была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ширины кницы.</w:t>
      </w:r>
    </w:p>
    <w:bookmarkEnd w:id="1774"/>
    <w:bookmarkStart w:name="z1775" w:id="1775"/>
    <w:p>
      <w:pPr>
        <w:spacing w:after="0"/>
        <w:ind w:left="0"/>
        <w:jc w:val="both"/>
      </w:pPr>
      <w:r>
        <w:rPr>
          <w:rFonts w:ascii="Times New Roman"/>
          <w:b w:val="false"/>
          <w:i w:val="false"/>
          <w:color w:val="000000"/>
          <w:sz w:val="28"/>
        </w:rPr>
        <w:t>
      В любом случае размеры скуловых книц равны не менее требуемых в пункте 271 настоящих Правил;</w:t>
      </w:r>
    </w:p>
    <w:bookmarkEnd w:id="1775"/>
    <w:bookmarkStart w:name="z1776" w:id="1776"/>
    <w:p>
      <w:pPr>
        <w:spacing w:after="0"/>
        <w:ind w:left="0"/>
        <w:jc w:val="both"/>
      </w:pPr>
      <w:r>
        <w:rPr>
          <w:rFonts w:ascii="Times New Roman"/>
          <w:b w:val="false"/>
          <w:i w:val="false"/>
          <w:color w:val="000000"/>
          <w:sz w:val="28"/>
        </w:rPr>
        <w:t>
      2) конструкция крепления конца шпангоута к скуловой книце такая, чтобы ни в одном сечении момент сопротивления не был меньше требуемого для шпангоута;</w:t>
      </w:r>
    </w:p>
    <w:bookmarkEnd w:id="1776"/>
    <w:bookmarkStart w:name="z1777" w:id="1777"/>
    <w:p>
      <w:pPr>
        <w:spacing w:after="0"/>
        <w:ind w:left="0"/>
        <w:jc w:val="both"/>
      </w:pPr>
      <w:r>
        <w:rPr>
          <w:rFonts w:ascii="Times New Roman"/>
          <w:b w:val="false"/>
          <w:i w:val="false"/>
          <w:color w:val="000000"/>
          <w:sz w:val="28"/>
        </w:rPr>
        <w:t>
      3) при наклонном междудонном листе двойного дна скуловая кница доводится до настила второго дна, а ее поясок (фланец) приваривают к этому настилу;</w:t>
      </w:r>
    </w:p>
    <w:bookmarkEnd w:id="1777"/>
    <w:bookmarkStart w:name="z1778" w:id="1778"/>
    <w:p>
      <w:pPr>
        <w:spacing w:after="0"/>
        <w:ind w:left="0"/>
        <w:jc w:val="both"/>
      </w:pPr>
      <w:r>
        <w:rPr>
          <w:rFonts w:ascii="Times New Roman"/>
          <w:b w:val="false"/>
          <w:i w:val="false"/>
          <w:color w:val="000000"/>
          <w:sz w:val="28"/>
        </w:rPr>
        <w:t>
      4) при горизонтальном междудонном листе двойного дна или поперечной системе набора одинарного дна ширина скуловой кницы выбирается из условия, чтобы момент сопротивления ее сечения в месте соединения с настилом второго дна или верхней кромкой флора не менее чем в два раза превышал момент сопротивления шпангоута.</w:t>
      </w:r>
    </w:p>
    <w:bookmarkEnd w:id="1778"/>
    <w:bookmarkStart w:name="z1779" w:id="1779"/>
    <w:p>
      <w:pPr>
        <w:spacing w:after="0"/>
        <w:ind w:left="0"/>
        <w:jc w:val="both"/>
      </w:pPr>
      <w:r>
        <w:rPr>
          <w:rFonts w:ascii="Times New Roman"/>
          <w:b w:val="false"/>
          <w:i w:val="false"/>
          <w:color w:val="000000"/>
          <w:sz w:val="28"/>
        </w:rPr>
        <w:t>
      Свободный поясок (фланец) скуловой кницы приваривают к настилу второго дна, или свободному пояску (фланцу) флора, либо срезан "на ус". В случае приварки свободного пояска (фланца) в месте приварки стенка флора подкрепляется вертикальным ребром жесткости или кницей, также приваренными к настилу второго дна или пояску (фланцу) флора.</w:t>
      </w:r>
    </w:p>
    <w:bookmarkEnd w:id="1779"/>
    <w:bookmarkStart w:name="z1780" w:id="1780"/>
    <w:p>
      <w:pPr>
        <w:spacing w:after="0"/>
        <w:ind w:left="0"/>
        <w:jc w:val="both"/>
      </w:pPr>
      <w:r>
        <w:rPr>
          <w:rFonts w:ascii="Times New Roman"/>
          <w:b w:val="false"/>
          <w:i w:val="false"/>
          <w:color w:val="000000"/>
          <w:sz w:val="28"/>
        </w:rPr>
        <w:t>
      Высота скуловой кницы равна не менее ее ширины;</w:t>
      </w:r>
    </w:p>
    <w:bookmarkEnd w:id="1780"/>
    <w:bookmarkStart w:name="z1781" w:id="1781"/>
    <w:p>
      <w:pPr>
        <w:spacing w:after="0"/>
        <w:ind w:left="0"/>
        <w:jc w:val="both"/>
      </w:pPr>
      <w:r>
        <w:rPr>
          <w:rFonts w:ascii="Times New Roman"/>
          <w:b w:val="false"/>
          <w:i w:val="false"/>
          <w:color w:val="000000"/>
          <w:sz w:val="28"/>
        </w:rPr>
        <w:t>
      5) при продольной системе набора одинарного дна скуловая кница доводится по крайней мере до ближайшей к борту продольной балки днища и приварена к ней. Момент сопротивления кницы в сечении, перпендикулярном наружной обшивке, где кница имеет наибольшую ширину, не менее чем в два раза превышает момент сопротивления шпангоута.</w:t>
      </w:r>
    </w:p>
    <w:bookmarkEnd w:id="1781"/>
    <w:bookmarkStart w:name="z1782" w:id="1782"/>
    <w:p>
      <w:pPr>
        <w:spacing w:after="0"/>
        <w:ind w:left="0"/>
        <w:jc w:val="both"/>
      </w:pPr>
      <w:r>
        <w:rPr>
          <w:rFonts w:ascii="Times New Roman"/>
          <w:b w:val="false"/>
          <w:i w:val="false"/>
          <w:color w:val="000000"/>
          <w:sz w:val="28"/>
        </w:rPr>
        <w:t>
      393. Верхние концы шпангоутов во всех помещениях доводят до палуб (платформ) с минимальным зазором. Бимсы палуб (платформ) с поперечной системой набора доводят с минимальным зазором до внутренней кромки шпангоута.</w:t>
      </w:r>
    </w:p>
    <w:bookmarkEnd w:id="1782"/>
    <w:bookmarkStart w:name="z1783" w:id="1783"/>
    <w:p>
      <w:pPr>
        <w:spacing w:after="0"/>
        <w:ind w:left="0"/>
        <w:jc w:val="both"/>
      </w:pPr>
      <w:r>
        <w:rPr>
          <w:rFonts w:ascii="Times New Roman"/>
          <w:b w:val="false"/>
          <w:i w:val="false"/>
          <w:color w:val="000000"/>
          <w:sz w:val="28"/>
        </w:rPr>
        <w:t>
      Для верхних палуб (за исключением судов, швартующихся в море) допускается конструкция, в которой бимсы доводятся до наружной обшивки с минимальным зазором, а шпангоуты — до бимсов.</w:t>
      </w:r>
    </w:p>
    <w:bookmarkEnd w:id="1783"/>
    <w:bookmarkStart w:name="z1784" w:id="1784"/>
    <w:p>
      <w:pPr>
        <w:spacing w:after="0"/>
        <w:ind w:left="0"/>
        <w:jc w:val="both"/>
      </w:pPr>
      <w:r>
        <w:rPr>
          <w:rFonts w:ascii="Times New Roman"/>
          <w:b w:val="false"/>
          <w:i w:val="false"/>
          <w:color w:val="000000"/>
          <w:sz w:val="28"/>
        </w:rPr>
        <w:t>
      Размеры книц, подкрепляющих верхние концы шпангоутов, отвечают требованиям пункта 271 настоящих Правил. При продольной системе набора палубы кница доводится по крайней мере до ближайшей к борту продольной балки палубы и приварена к ней.</w:t>
      </w:r>
    </w:p>
    <w:bookmarkEnd w:id="1784"/>
    <w:bookmarkStart w:name="z1785" w:id="1785"/>
    <w:p>
      <w:pPr>
        <w:spacing w:after="0"/>
        <w:ind w:left="0"/>
        <w:jc w:val="both"/>
      </w:pPr>
      <w:r>
        <w:rPr>
          <w:rFonts w:ascii="Times New Roman"/>
          <w:b w:val="false"/>
          <w:i w:val="false"/>
          <w:color w:val="000000"/>
          <w:sz w:val="28"/>
        </w:rPr>
        <w:t>
      394. Если шпангоут разрезан на палубе, крепление его нижнего конца выполняют с помощью кницы, отвечающей требованиям пункта 271 настоящих Правил. Кница не устанавливается, если концы разрезанного шпангоута приварены к настилу палубы сверху и снизу и обеспечен полный провар.</w:t>
      </w:r>
    </w:p>
    <w:bookmarkEnd w:id="1785"/>
    <w:bookmarkStart w:name="z1786" w:id="1786"/>
    <w:p>
      <w:pPr>
        <w:spacing w:after="0"/>
        <w:ind w:left="0"/>
        <w:jc w:val="both"/>
      </w:pPr>
      <w:r>
        <w:rPr>
          <w:rFonts w:ascii="Times New Roman"/>
          <w:b w:val="false"/>
          <w:i w:val="false"/>
          <w:color w:val="000000"/>
          <w:sz w:val="28"/>
        </w:rPr>
        <w:t>
      395. Бортовые стрингеры крепятся к рамным шпангоутам кницами, доходящими до свободного пояска рамного шпангоута и приваренными к нему.</w:t>
      </w:r>
    </w:p>
    <w:bookmarkEnd w:id="1786"/>
    <w:bookmarkStart w:name="z1787" w:id="1787"/>
    <w:p>
      <w:pPr>
        <w:spacing w:after="0"/>
        <w:ind w:left="0"/>
        <w:jc w:val="both"/>
      </w:pPr>
      <w:r>
        <w:rPr>
          <w:rFonts w:ascii="Times New Roman"/>
          <w:b w:val="false"/>
          <w:i w:val="false"/>
          <w:color w:val="000000"/>
          <w:sz w:val="28"/>
        </w:rPr>
        <w:t xml:space="preserve">
      396. При наличии распорок в бортовых танках наливных судов стенки рамных шпангоутов или бортовых стрингеров в местах крепления распорок подкрепляют ребрами жесткости, являющимися продолжением свободных поясков распорок. Необходимо чтобы крепление распорки к рамному шпангоуту (бортовому стрингеру) отвечало требованиям пунктов 272-275 настоящих Правил. </w:t>
      </w:r>
    </w:p>
    <w:bookmarkEnd w:id="1787"/>
    <w:bookmarkStart w:name="z1788" w:id="1788"/>
    <w:p>
      <w:pPr>
        <w:spacing w:after="0"/>
        <w:ind w:left="0"/>
        <w:jc w:val="left"/>
      </w:pPr>
      <w:r>
        <w:rPr>
          <w:rFonts w:ascii="Times New Roman"/>
          <w:b/>
          <w:i w:val="false"/>
          <w:color w:val="000000"/>
        </w:rPr>
        <w:t xml:space="preserve"> Глава 20. Палубы и платформы</w:t>
      </w:r>
    </w:p>
    <w:bookmarkEnd w:id="1788"/>
    <w:p>
      <w:pPr>
        <w:spacing w:after="0"/>
        <w:ind w:left="0"/>
        <w:jc w:val="both"/>
      </w:pPr>
      <w:r>
        <w:rPr>
          <w:rFonts w:ascii="Times New Roman"/>
          <w:b w:val="false"/>
          <w:i w:val="false"/>
          <w:color w:val="ff0000"/>
          <w:sz w:val="28"/>
        </w:rPr>
        <w:t xml:space="preserve">
      Сноска. Заголовок главы 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89" w:id="1789"/>
    <w:p>
      <w:pPr>
        <w:spacing w:after="0"/>
        <w:ind w:left="0"/>
        <w:jc w:val="left"/>
      </w:pPr>
      <w:r>
        <w:rPr>
          <w:rFonts w:ascii="Times New Roman"/>
          <w:b/>
          <w:i w:val="false"/>
          <w:color w:val="000000"/>
        </w:rPr>
        <w:t xml:space="preserve"> Параграф 1. Общие положения, конструкция</w:t>
      </w:r>
    </w:p>
    <w:bookmarkEnd w:id="1789"/>
    <w:bookmarkStart w:name="z1790" w:id="1790"/>
    <w:p>
      <w:pPr>
        <w:spacing w:after="0"/>
        <w:ind w:left="0"/>
        <w:jc w:val="both"/>
      </w:pPr>
      <w:r>
        <w:rPr>
          <w:rFonts w:ascii="Times New Roman"/>
          <w:b w:val="false"/>
          <w:i w:val="false"/>
          <w:color w:val="000000"/>
          <w:sz w:val="28"/>
        </w:rPr>
        <w:t>
      397. В главе приводятся требования к конструкциям палуб и платформ судов, у которых ширина одинарных люковых вырезов не превышает 0,7 ширины судна в районе выреза. Дополнительные требования к палубам и платформам судов с большей шириной вырезов и длиной вырезов, превышающей 0,7 расстояния между центрами поперечных перемычек между вырезами, а также судов с двойными и тройными люковыми вырезами приведены в главе 28 настоящих Правил.</w:t>
      </w:r>
    </w:p>
    <w:bookmarkEnd w:id="1790"/>
    <w:bookmarkStart w:name="z1791" w:id="1791"/>
    <w:p>
      <w:pPr>
        <w:spacing w:after="0"/>
        <w:ind w:left="0"/>
        <w:jc w:val="both"/>
      </w:pPr>
      <w:r>
        <w:rPr>
          <w:rFonts w:ascii="Times New Roman"/>
          <w:b w:val="false"/>
          <w:i w:val="false"/>
          <w:color w:val="000000"/>
          <w:sz w:val="28"/>
        </w:rPr>
        <w:t>
      Там же приведены требования к консольным бимсам.</w:t>
      </w:r>
    </w:p>
    <w:bookmarkEnd w:id="1791"/>
    <w:bookmarkStart w:name="z1792" w:id="1792"/>
    <w:p>
      <w:pPr>
        <w:spacing w:after="0"/>
        <w:ind w:left="0"/>
        <w:jc w:val="both"/>
      </w:pPr>
      <w:r>
        <w:rPr>
          <w:rFonts w:ascii="Times New Roman"/>
          <w:b w:val="false"/>
          <w:i w:val="false"/>
          <w:color w:val="000000"/>
          <w:sz w:val="28"/>
        </w:rPr>
        <w:t>
      Требования к палубам и платформам накатных судов приведены в главе 29 настоящих Правил.</w:t>
      </w:r>
    </w:p>
    <w:bookmarkEnd w:id="1792"/>
    <w:bookmarkStart w:name="z1793" w:id="1793"/>
    <w:p>
      <w:pPr>
        <w:spacing w:after="0"/>
        <w:ind w:left="0"/>
        <w:jc w:val="both"/>
      </w:pPr>
      <w:r>
        <w:rPr>
          <w:rFonts w:ascii="Times New Roman"/>
          <w:b w:val="false"/>
          <w:i w:val="false"/>
          <w:color w:val="000000"/>
          <w:sz w:val="28"/>
        </w:rPr>
        <w:t>
      Требования к комингсам грузовых люков судов для навалочных грузов приведены в главе 30 настоящих Правил.</w:t>
      </w:r>
    </w:p>
    <w:bookmarkEnd w:id="1793"/>
    <w:bookmarkStart w:name="z1794" w:id="1794"/>
    <w:p>
      <w:pPr>
        <w:spacing w:after="0"/>
        <w:ind w:left="0"/>
        <w:jc w:val="both"/>
      </w:pPr>
      <w:r>
        <w:rPr>
          <w:rFonts w:ascii="Times New Roman"/>
          <w:b w:val="false"/>
          <w:i w:val="false"/>
          <w:color w:val="000000"/>
          <w:sz w:val="28"/>
        </w:rPr>
        <w:t>
      Настоящая глава содержит требования к настилу, балкам основного и рамного набора палуб и платформ: продольным подпалубным балкам, бимсам, рамным бимсам, карлингсам, концевым люковым бимсам, продольным и поперечным комингсам грузовых люков, отбойному листу в танках наливных судов.</w:t>
      </w:r>
    </w:p>
    <w:bookmarkEnd w:id="1794"/>
    <w:bookmarkStart w:name="z1795" w:id="1795"/>
    <w:p>
      <w:pPr>
        <w:spacing w:after="0"/>
        <w:ind w:left="0"/>
        <w:jc w:val="both"/>
      </w:pPr>
      <w:r>
        <w:rPr>
          <w:rFonts w:ascii="Times New Roman"/>
          <w:b w:val="false"/>
          <w:i w:val="false"/>
          <w:color w:val="000000"/>
          <w:sz w:val="28"/>
        </w:rPr>
        <w:t>
      Дополнительные требования к участкам верхней палубы, расположенным под надстройками, приведены в подпунктах 1) – 3) пунктов 552 – 554 настоящих Правил.</w:t>
      </w:r>
    </w:p>
    <w:bookmarkEnd w:id="1795"/>
    <w:bookmarkStart w:name="z1796" w:id="1796"/>
    <w:p>
      <w:pPr>
        <w:spacing w:after="0"/>
        <w:ind w:left="0"/>
        <w:jc w:val="both"/>
      </w:pPr>
      <w:r>
        <w:rPr>
          <w:rFonts w:ascii="Times New Roman"/>
          <w:b w:val="false"/>
          <w:i w:val="false"/>
          <w:color w:val="000000"/>
          <w:sz w:val="28"/>
        </w:rPr>
        <w:t>
      398. На наливных судах длиной 80 м и более, судах для навалочных грузов и рудовозах, а также нефтенавалочных и нефтерудовозах применяется продольная система набора расчетной палубы в районе грузовых трюмов (танков).</w:t>
      </w:r>
    </w:p>
    <w:bookmarkEnd w:id="1796"/>
    <w:bookmarkStart w:name="z1797" w:id="1797"/>
    <w:p>
      <w:pPr>
        <w:spacing w:after="0"/>
        <w:ind w:left="0"/>
        <w:jc w:val="both"/>
      </w:pPr>
      <w:r>
        <w:rPr>
          <w:rFonts w:ascii="Times New Roman"/>
          <w:b w:val="false"/>
          <w:i w:val="false"/>
          <w:color w:val="000000"/>
          <w:sz w:val="28"/>
        </w:rPr>
        <w:t>
      Расстояние между рамными бимсами при продольной системе набора не превышает расстояние между флорами.</w:t>
      </w:r>
    </w:p>
    <w:bookmarkEnd w:id="1797"/>
    <w:bookmarkStart w:name="z1798" w:id="1798"/>
    <w:p>
      <w:pPr>
        <w:spacing w:after="0"/>
        <w:ind w:left="0"/>
        <w:jc w:val="both"/>
      </w:pPr>
      <w:r>
        <w:rPr>
          <w:rFonts w:ascii="Times New Roman"/>
          <w:b w:val="false"/>
          <w:i w:val="false"/>
          <w:color w:val="000000"/>
          <w:sz w:val="28"/>
        </w:rPr>
        <w:t>
      399. Обеспечивается конструктивная непрерывность карлингсов расчетной палубы в средней части судна. Если карлингсы разрезаются на поперечных переборках, их стенки привариваются к поперечным переборкам и крепиться к ним кницами.</w:t>
      </w:r>
    </w:p>
    <w:bookmarkEnd w:id="1798"/>
    <w:bookmarkStart w:name="z1799" w:id="1799"/>
    <w:p>
      <w:pPr>
        <w:spacing w:after="0"/>
        <w:ind w:left="0"/>
        <w:jc w:val="both"/>
      </w:pPr>
      <w:r>
        <w:rPr>
          <w:rFonts w:ascii="Times New Roman"/>
          <w:b w:val="false"/>
          <w:i w:val="false"/>
          <w:color w:val="000000"/>
          <w:sz w:val="28"/>
        </w:rPr>
        <w:t>
      Стенки поперечных комингсов, рамных и концевых люковых бимсов, а также поперечных отбойных листов подкрепляют ребрами жесткости и кницами (параграф 3 главы 14 настоящих Правил).</w:t>
      </w:r>
    </w:p>
    <w:bookmarkEnd w:id="1799"/>
    <w:bookmarkStart w:name="z1800" w:id="1800"/>
    <w:p>
      <w:pPr>
        <w:spacing w:after="0"/>
        <w:ind w:left="0"/>
        <w:jc w:val="both"/>
      </w:pPr>
      <w:r>
        <w:rPr>
          <w:rFonts w:ascii="Times New Roman"/>
          <w:b w:val="false"/>
          <w:i w:val="false"/>
          <w:color w:val="000000"/>
          <w:sz w:val="28"/>
        </w:rPr>
        <w:t>
      Соединение поясков карлингса и концевого люкового бимса выполняется с помощью крестовины (пункт 287 настоящих Правил), толщина которой равна большей толщине этих поясков.</w:t>
      </w:r>
    </w:p>
    <w:bookmarkEnd w:id="1800"/>
    <w:bookmarkStart w:name="z1801" w:id="1801"/>
    <w:p>
      <w:pPr>
        <w:spacing w:after="0"/>
        <w:ind w:left="0"/>
        <w:jc w:val="both"/>
      </w:pPr>
      <w:r>
        <w:rPr>
          <w:rFonts w:ascii="Times New Roman"/>
          <w:b w:val="false"/>
          <w:i w:val="false"/>
          <w:color w:val="000000"/>
          <w:sz w:val="28"/>
        </w:rPr>
        <w:t>
      400. В углах люков, расположенных на расчетной палубе, концы продольных комингсов загнуты по линии закругления выреза угла люка и сварены встык с поперечным комингсом или продолжены за угол люка в виде кницы. Обеспечивают плавное окончание кницы над стенкой расположенного под палубой карлингса.</w:t>
      </w:r>
    </w:p>
    <w:bookmarkEnd w:id="1801"/>
    <w:bookmarkStart w:name="z1802" w:id="1802"/>
    <w:p>
      <w:pPr>
        <w:spacing w:after="0"/>
        <w:ind w:left="0"/>
        <w:jc w:val="both"/>
      </w:pPr>
      <w:r>
        <w:rPr>
          <w:rFonts w:ascii="Times New Roman"/>
          <w:b w:val="false"/>
          <w:i w:val="false"/>
          <w:color w:val="000000"/>
          <w:sz w:val="28"/>
        </w:rPr>
        <w:t>
      Верхние кромки комингса-карлингса подкрепляют поясками, а нижние кромки имеют обделку, обеспечивающую закругленность кромок.</w:t>
      </w:r>
    </w:p>
    <w:bookmarkEnd w:id="1802"/>
    <w:bookmarkStart w:name="z1803" w:id="1803"/>
    <w:p>
      <w:pPr>
        <w:spacing w:after="0"/>
        <w:ind w:left="0"/>
        <w:jc w:val="both"/>
      </w:pPr>
      <w:r>
        <w:rPr>
          <w:rFonts w:ascii="Times New Roman"/>
          <w:b w:val="false"/>
          <w:i w:val="false"/>
          <w:color w:val="000000"/>
          <w:sz w:val="28"/>
        </w:rPr>
        <w:t>
      Верхняя кромка вертикального продольного комингса грузового люка гладкая, а ее углы скруглены в поперечном направлении.</w:t>
      </w:r>
    </w:p>
    <w:bookmarkEnd w:id="1803"/>
    <w:bookmarkStart w:name="z1804" w:id="1804"/>
    <w:p>
      <w:pPr>
        <w:spacing w:after="0"/>
        <w:ind w:left="0"/>
        <w:jc w:val="both"/>
      </w:pPr>
      <w:r>
        <w:rPr>
          <w:rFonts w:ascii="Times New Roman"/>
          <w:b w:val="false"/>
          <w:i w:val="false"/>
          <w:color w:val="000000"/>
          <w:sz w:val="28"/>
        </w:rPr>
        <w:t>
      401. Карлингсы и рамные бимсы в местах установки пиллерсов подкрепляют кницами или бракетами.</w:t>
      </w:r>
    </w:p>
    <w:bookmarkEnd w:id="1804"/>
    <w:bookmarkStart w:name="z1805" w:id="1805"/>
    <w:p>
      <w:pPr>
        <w:spacing w:after="0"/>
        <w:ind w:left="0"/>
        <w:jc w:val="both"/>
      </w:pPr>
      <w:r>
        <w:rPr>
          <w:rFonts w:ascii="Times New Roman"/>
          <w:b w:val="false"/>
          <w:i w:val="false"/>
          <w:color w:val="000000"/>
          <w:sz w:val="28"/>
        </w:rPr>
        <w:t>
      В местах соединения рамных бимсов с карлингсами при разной высоте их стенок стенка карлингса подкрепляется кницами, устанавливаемыми в плоскости рамного бимса. Кницы приваривают к свободному пояску рамного бимса, стенке и свободному пояску карлингса.</w:t>
      </w:r>
    </w:p>
    <w:bookmarkEnd w:id="1805"/>
    <w:bookmarkStart w:name="z1806" w:id="1806"/>
    <w:p>
      <w:pPr>
        <w:spacing w:after="0"/>
        <w:ind w:left="0"/>
        <w:jc w:val="both"/>
      </w:pPr>
      <w:r>
        <w:rPr>
          <w:rFonts w:ascii="Times New Roman"/>
          <w:b w:val="false"/>
          <w:i w:val="false"/>
          <w:color w:val="000000"/>
          <w:sz w:val="28"/>
        </w:rPr>
        <w:t>
      В местах соединения карлингсов с обыкновенными бимсами стенка карлингса подкрепляется вертикальными ребрами жесткости.</w:t>
      </w:r>
    </w:p>
    <w:bookmarkEnd w:id="1806"/>
    <w:bookmarkStart w:name="z1807" w:id="1807"/>
    <w:p>
      <w:pPr>
        <w:spacing w:after="0"/>
        <w:ind w:left="0"/>
        <w:jc w:val="both"/>
      </w:pPr>
      <w:r>
        <w:rPr>
          <w:rFonts w:ascii="Times New Roman"/>
          <w:b w:val="false"/>
          <w:i w:val="false"/>
          <w:color w:val="000000"/>
          <w:sz w:val="28"/>
        </w:rPr>
        <w:t>
      402. Соединение продольных подпалубных балок с поперечными переборками обеспечивает сохранение эффективной площади сечения указанных балок.</w:t>
      </w:r>
    </w:p>
    <w:bookmarkEnd w:id="1807"/>
    <w:bookmarkStart w:name="z1808" w:id="1808"/>
    <w:p>
      <w:pPr>
        <w:spacing w:after="0"/>
        <w:ind w:left="0"/>
        <w:jc w:val="both"/>
      </w:pPr>
      <w:r>
        <w:rPr>
          <w:rFonts w:ascii="Times New Roman"/>
          <w:b w:val="false"/>
          <w:i w:val="false"/>
          <w:color w:val="000000"/>
          <w:sz w:val="28"/>
        </w:rPr>
        <w:t xml:space="preserve">
      403. У наливных судов при наличии двух продольных переборок устанавливают отбойный лист в диаметральной плоскости. </w:t>
      </w:r>
    </w:p>
    <w:bookmarkEnd w:id="1808"/>
    <w:bookmarkStart w:name="z1809" w:id="1809"/>
    <w:p>
      <w:pPr>
        <w:spacing w:after="0"/>
        <w:ind w:left="0"/>
        <w:jc w:val="left"/>
      </w:pPr>
      <w:r>
        <w:rPr>
          <w:rFonts w:ascii="Times New Roman"/>
          <w:b/>
          <w:i w:val="false"/>
          <w:color w:val="000000"/>
        </w:rPr>
        <w:t xml:space="preserve"> Параграф 2. Нагрузки на палубные конструкции</w:t>
      </w:r>
    </w:p>
    <w:bookmarkEnd w:id="1809"/>
    <w:bookmarkStart w:name="z1810" w:id="1810"/>
    <w:p>
      <w:pPr>
        <w:spacing w:after="0"/>
        <w:ind w:left="0"/>
        <w:jc w:val="both"/>
      </w:pPr>
      <w:r>
        <w:rPr>
          <w:rFonts w:ascii="Times New Roman"/>
          <w:b w:val="false"/>
          <w:i w:val="false"/>
          <w:color w:val="000000"/>
          <w:sz w:val="28"/>
        </w:rPr>
        <w:t xml:space="preserve">
      404. Расчетное давление на открытых участках верхней палубы равна не менее, определяемого по формуле: </w:t>
      </w:r>
    </w:p>
    <w:bookmarkEnd w:id="18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0,7</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(112)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волновая нагрузка на уровне палубы согласно пункту 171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+ 7 в носовой оконечности в пределах 0,2</w:t>
      </w:r>
      <w:r>
        <w:rPr>
          <w:rFonts w:ascii="Times New Roman"/>
          <w:b w:val="false"/>
          <w:i/>
          <w:color w:val="000000"/>
          <w:sz w:val="28"/>
        </w:rPr>
        <w:t>L</w:t>
      </w:r>
      <w:r>
        <w:rPr>
          <w:rFonts w:ascii="Times New Roman"/>
          <w:b w:val="false"/>
          <w:i w:val="false"/>
          <w:color w:val="000000"/>
          <w:sz w:val="28"/>
        </w:rPr>
        <w:t xml:space="preserve"> от носового перпендикуляра;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0,015</w:t>
      </w:r>
      <w:r>
        <w:rPr>
          <w:rFonts w:ascii="Times New Roman"/>
          <w:b w:val="false"/>
          <w:i/>
          <w:color w:val="000000"/>
          <w:sz w:val="28"/>
        </w:rPr>
        <w:t>L</w:t>
      </w:r>
      <w:r>
        <w:rPr>
          <w:rFonts w:ascii="Times New Roman"/>
          <w:b w:val="false"/>
          <w:i w:val="false"/>
          <w:color w:val="000000"/>
          <w:sz w:val="28"/>
        </w:rPr>
        <w:t xml:space="preserve"> + 7 в средней части и в корму от средней части судна; в промежуточном районе между носовой оконечностью и средней частью судна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определяется линейной интерполяцией. У судов ограниченного района плавания величину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уменьшают умножением на коэффициент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определяемый по приложению 18 настоящих Правил.</w:t>
      </w:r>
      <w:r>
        <w:br/>
      </w:r>
      <w:r>
        <w:rPr>
          <w:rFonts w:ascii="Times New Roman"/>
          <w:b w:val="false"/>
          <w:i w:val="false"/>
          <w:color w:val="000000"/>
          <w:sz w:val="28"/>
        </w:rPr>
        <w:t>
</w:t>
      </w:r>
    </w:p>
    <w:bookmarkStart w:name="z1811" w:id="1811"/>
    <w:p>
      <w:pPr>
        <w:spacing w:after="0"/>
        <w:ind w:left="0"/>
        <w:jc w:val="both"/>
      </w:pPr>
      <w:r>
        <w:rPr>
          <w:rFonts w:ascii="Times New Roman"/>
          <w:b w:val="false"/>
          <w:i w:val="false"/>
          <w:color w:val="000000"/>
          <w:sz w:val="28"/>
        </w:rPr>
        <w:t xml:space="preserve">
      405. Для верхних открытых палуб, предназначенных для перевозки палубного груза (за исключением леса и кокса), расчетное давление принимается равным давлению груза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определенному по формуле (17) настоящих Правил. Для верхних открытых палуб, предназначенных для перевозки леса и кокса, величина </w:t>
      </w:r>
      <w:r>
        <w:rPr>
          <w:rFonts w:ascii="Times New Roman"/>
          <w:b w:val="false"/>
          <w:i/>
          <w:color w:val="000000"/>
          <w:sz w:val="28"/>
        </w:rPr>
        <w:t>h</w:t>
      </w:r>
      <w:r>
        <w:rPr>
          <w:rFonts w:ascii="Times New Roman"/>
          <w:b w:val="false"/>
          <w:i w:val="false"/>
          <w:color w:val="000000"/>
          <w:sz w:val="28"/>
        </w:rPr>
        <w:t xml:space="preserve"> в формуле (17) настоящих Правил принимается равной 0,7 высоты укладки леса и кокса на палубе.</w:t>
      </w:r>
    </w:p>
    <w:bookmarkEnd w:id="1811"/>
    <w:bookmarkStart w:name="z1812" w:id="1812"/>
    <w:p>
      <w:pPr>
        <w:spacing w:after="0"/>
        <w:ind w:left="0"/>
        <w:jc w:val="both"/>
      </w:pPr>
      <w:r>
        <w:rPr>
          <w:rFonts w:ascii="Times New Roman"/>
          <w:b w:val="false"/>
          <w:i w:val="false"/>
          <w:color w:val="000000"/>
          <w:sz w:val="28"/>
        </w:rPr>
        <w:t>
      Для нижних палуб и платформ расчетное давление следует принимать согласно пункту 174 настоящих Правил. Для палуб, у которых снизу к бимсам или продольным подпалубным балкам подвешивается груз, расчетное давление должно быть соответственно увеличено.</w:t>
      </w:r>
    </w:p>
    <w:bookmarkEnd w:id="1812"/>
    <w:bookmarkStart w:name="z1813" w:id="1813"/>
    <w:p>
      <w:pPr>
        <w:spacing w:after="0"/>
        <w:ind w:left="0"/>
        <w:jc w:val="both"/>
      </w:pPr>
      <w:r>
        <w:rPr>
          <w:rFonts w:ascii="Times New Roman"/>
          <w:b w:val="false"/>
          <w:i w:val="false"/>
          <w:color w:val="000000"/>
          <w:sz w:val="28"/>
        </w:rPr>
        <w:t xml:space="preserve">
      Для палуб и платформ, предназначенных для размещения экипажа, пассажиров и оборудования, расчетное давление определяется по формуле (17) настоящих Правил, при этом произведение </w:t>
      </w:r>
      <w:r>
        <w:rPr>
          <w:rFonts w:ascii="Times New Roman"/>
          <w:b w:val="false"/>
          <w:i/>
          <w:color w:val="000000"/>
          <w:sz w:val="28"/>
        </w:rPr>
        <w:t>h</w:t>
      </w:r>
    </w:p>
    <w:bookmarkEnd w:id="1813"/>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w:t>
      </w:r>
      <w:r>
        <w:rPr>
          <w:rFonts w:ascii="Times New Roman"/>
          <w:b w:val="false"/>
          <w:i w:val="false"/>
          <w:color w:val="000000"/>
          <w:sz w:val="28"/>
        </w:rPr>
        <w:t xml:space="preserve"> должно быть не менее 3,5 кПа.</w:t>
      </w:r>
      <w:r>
        <w:br/>
      </w:r>
      <w:r>
        <w:rPr>
          <w:rFonts w:ascii="Times New Roman"/>
          <w:b w:val="false"/>
          <w:i w:val="false"/>
          <w:color w:val="000000"/>
          <w:sz w:val="28"/>
        </w:rPr>
        <w:t>
</w:t>
      </w:r>
    </w:p>
    <w:bookmarkStart w:name="z1814" w:id="1814"/>
    <w:p>
      <w:pPr>
        <w:spacing w:after="0"/>
        <w:ind w:left="0"/>
        <w:jc w:val="both"/>
      </w:pPr>
      <w:r>
        <w:rPr>
          <w:rFonts w:ascii="Times New Roman"/>
          <w:b w:val="false"/>
          <w:i w:val="false"/>
          <w:color w:val="000000"/>
          <w:sz w:val="28"/>
        </w:rPr>
        <w:t>
      Для платформ в машинном отделении минимальное расчетное давление 18 кПа.</w:t>
      </w:r>
    </w:p>
    <w:bookmarkEnd w:id="1814"/>
    <w:bookmarkStart w:name="z1815" w:id="1815"/>
    <w:p>
      <w:pPr>
        <w:spacing w:after="0"/>
        <w:ind w:left="0"/>
        <w:jc w:val="both"/>
      </w:pPr>
      <w:r>
        <w:rPr>
          <w:rFonts w:ascii="Times New Roman"/>
          <w:b w:val="false"/>
          <w:i w:val="false"/>
          <w:color w:val="000000"/>
          <w:sz w:val="28"/>
        </w:rPr>
        <w:t xml:space="preserve">
      Водонепроницаемые нижние палубы и платформы дополнительно рассчитываются на нагрузки при испытаниях, кПа, определяемые по формуле: </w:t>
      </w:r>
    </w:p>
    <w:bookmarkEnd w:id="18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7,5</w:t>
      </w:r>
      <w:r>
        <w:rPr>
          <w:rFonts w:ascii="Times New Roman"/>
          <w:b w:val="false"/>
          <w:i/>
          <w:color w:val="000000"/>
          <w:sz w:val="28"/>
        </w:rPr>
        <w:t>h</w:t>
      </w:r>
      <w:r>
        <w:rPr>
          <w:rFonts w:ascii="Times New Roman"/>
          <w:b w:val="false"/>
          <w:i w:val="false"/>
          <w:color w:val="000000"/>
          <w:vertAlign w:val="subscript"/>
        </w:rPr>
        <w:t>и</w:t>
      </w:r>
      <w:r>
        <w:rPr>
          <w:rFonts w:ascii="Times New Roman"/>
          <w:b w:val="false"/>
          <w:i w:val="false"/>
          <w:color w:val="000000"/>
          <w:sz w:val="28"/>
        </w:rPr>
        <w:t>,                        (113)</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и</w:t>
      </w:r>
      <w:r>
        <w:rPr>
          <w:rFonts w:ascii="Times New Roman"/>
          <w:b w:val="false"/>
          <w:i w:val="false"/>
          <w:color w:val="000000"/>
          <w:sz w:val="28"/>
        </w:rPr>
        <w:t xml:space="preserve"> — вертикальное отстояние настила палубы (платформы) от верха воздушной трубы, м.</w:t>
      </w:r>
    </w:p>
    <w:bookmarkStart w:name="z1816" w:id="1816"/>
    <w:p>
      <w:pPr>
        <w:spacing w:after="0"/>
        <w:ind w:left="0"/>
        <w:jc w:val="both"/>
      </w:pPr>
      <w:r>
        <w:rPr>
          <w:rFonts w:ascii="Times New Roman"/>
          <w:b w:val="false"/>
          <w:i w:val="false"/>
          <w:color w:val="000000"/>
          <w:sz w:val="28"/>
        </w:rPr>
        <w:t xml:space="preserve">
      406. Расчетное давление на конструкции палуб и платформ, ограничивающие отсеки, предназначенные для перевозки жидкостей, определяется согласно пункту 175 настоящих Правил. </w:t>
      </w:r>
    </w:p>
    <w:bookmarkEnd w:id="1816"/>
    <w:bookmarkStart w:name="z1817" w:id="1817"/>
    <w:p>
      <w:pPr>
        <w:spacing w:after="0"/>
        <w:ind w:left="0"/>
        <w:jc w:val="left"/>
      </w:pPr>
      <w:r>
        <w:rPr>
          <w:rFonts w:ascii="Times New Roman"/>
          <w:b/>
          <w:i w:val="false"/>
          <w:color w:val="000000"/>
        </w:rPr>
        <w:t xml:space="preserve"> Параграф 3. Размеры палубных связей</w:t>
      </w:r>
    </w:p>
    <w:bookmarkEnd w:id="1817"/>
    <w:bookmarkStart w:name="z1818" w:id="1818"/>
    <w:p>
      <w:pPr>
        <w:spacing w:after="0"/>
        <w:ind w:left="0"/>
        <w:jc w:val="both"/>
      </w:pPr>
      <w:r>
        <w:rPr>
          <w:rFonts w:ascii="Times New Roman"/>
          <w:b w:val="false"/>
          <w:i w:val="false"/>
          <w:color w:val="000000"/>
          <w:sz w:val="28"/>
        </w:rPr>
        <w:t>
      407. Толщина настила палубы соответствует следующим требованиям:</w:t>
      </w:r>
    </w:p>
    <w:bookmarkEnd w:id="1818"/>
    <w:bookmarkStart w:name="z1819" w:id="1819"/>
    <w:p>
      <w:pPr>
        <w:spacing w:after="0"/>
        <w:ind w:left="0"/>
        <w:jc w:val="both"/>
      </w:pPr>
      <w:r>
        <w:rPr>
          <w:rFonts w:ascii="Times New Roman"/>
          <w:b w:val="false"/>
          <w:i w:val="false"/>
          <w:color w:val="000000"/>
          <w:sz w:val="28"/>
        </w:rPr>
        <w:t>
      1) толщина настила расчетной палубы вне линии люковых вырезов с учетом продольных подпалубных балок основного и рамного набора обеспечивает получение требуемого в параграфе 5 главы 11 настоящих Правил момента сопротивления поперечного сечения корпуса для расчетной палубы.</w:t>
      </w:r>
    </w:p>
    <w:bookmarkEnd w:id="1819"/>
    <w:bookmarkStart w:name="z1820" w:id="1820"/>
    <w:p>
      <w:pPr>
        <w:spacing w:after="0"/>
        <w:ind w:left="0"/>
        <w:jc w:val="both"/>
      </w:pPr>
      <w:r>
        <w:rPr>
          <w:rFonts w:ascii="Times New Roman"/>
          <w:b w:val="false"/>
          <w:i w:val="false"/>
          <w:color w:val="000000"/>
          <w:sz w:val="28"/>
        </w:rPr>
        <w:t>
      Принятая толщина настила расчетной палубы в средней части судна отвечает требованию устойчивости (параграф 4 главы 13 настоящих Правил);</w:t>
      </w:r>
    </w:p>
    <w:bookmarkEnd w:id="1820"/>
    <w:bookmarkStart w:name="z1821" w:id="1821"/>
    <w:p>
      <w:pPr>
        <w:spacing w:after="0"/>
        <w:ind w:left="0"/>
        <w:jc w:val="both"/>
      </w:pPr>
      <w:r>
        <w:rPr>
          <w:rFonts w:ascii="Times New Roman"/>
          <w:b w:val="false"/>
          <w:i w:val="false"/>
          <w:color w:val="000000"/>
          <w:sz w:val="28"/>
        </w:rPr>
        <w:t>
      2) толщина настила палуб и платформ равна не менее определяемой по формуле (57) настоящих Правил. При этом:</w:t>
      </w:r>
    </w:p>
    <w:bookmarkEnd w:id="182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20 настоящих Правил;</w:t>
      </w:r>
    </w:p>
    <w:p>
      <w:pPr>
        <w:spacing w:after="0"/>
        <w:ind w:left="0"/>
        <w:jc w:val="both"/>
      </w:pPr>
      <w:r>
        <w:rPr>
          <w:rFonts w:ascii="Times New Roman"/>
          <w:b w:val="false"/>
          <w:i w:val="false"/>
          <w:color w:val="000000"/>
          <w:sz w:val="28"/>
        </w:rPr>
        <w:t>
      для расчетной палубы: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w:t>
      </w:r>
      <w:r>
        <w:rPr>
          <w:rFonts w:ascii="Times New Roman"/>
          <w:b w:val="false"/>
          <w:i/>
          <w:color w:val="000000"/>
          <w:sz w:val="28"/>
        </w:rPr>
        <w:t>k</w:t>
      </w:r>
      <w:r>
        <w:rPr>
          <w:rFonts w:ascii="Times New Roman"/>
          <w:b w:val="false"/>
          <w:i w:val="false"/>
          <w:color w:val="000000"/>
          <w:vertAlign w:val="subscript"/>
        </w:rPr>
        <w:t xml:space="preserve">D </w:t>
      </w:r>
      <w:r>
        <w:rPr>
          <w:rFonts w:ascii="Times New Roman"/>
          <w:b w:val="false"/>
          <w:i w:val="false"/>
          <w:color w:val="000000"/>
          <w:sz w:val="28"/>
          <w:u w:val="single"/>
        </w:rPr>
        <w:t>&lt;</w:t>
      </w:r>
      <w:r>
        <w:rPr>
          <w:rFonts w:ascii="Times New Roman"/>
          <w:b w:val="false"/>
          <w:i w:val="false"/>
          <w:color w:val="000000"/>
          <w:sz w:val="28"/>
        </w:rPr>
        <w:t xml:space="preserve"> 0,6 в средней части судна длиной 65м и более при поперечной системе набора;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определяется по формуле (86)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в средней части судна длиной 12 м при поперечной системе набора.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w:t>
      </w:r>
      <w:r>
        <w:rPr>
          <w:rFonts w:ascii="Times New Roman"/>
          <w:b w:val="false"/>
          <w:i/>
          <w:color w:val="000000"/>
          <w:sz w:val="28"/>
        </w:rPr>
        <w:t xml:space="preserve">L </w:t>
      </w:r>
      <w:r>
        <w:rPr>
          <w:rFonts w:ascii="Times New Roman"/>
          <w:b w:val="false"/>
          <w:i w:val="false"/>
          <w:color w:val="000000"/>
          <w:sz w:val="28"/>
        </w:rPr>
        <w:t xml:space="preserve">&lt; 65м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линейной интерполяцией, принимая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 при </w:t>
      </w:r>
      <w:r>
        <w:rPr>
          <w:rFonts w:ascii="Times New Roman"/>
          <w:b w:val="false"/>
          <w:i/>
          <w:color w:val="000000"/>
          <w:sz w:val="28"/>
        </w:rPr>
        <w:t>L</w:t>
      </w:r>
      <w:r>
        <w:rPr>
          <w:rFonts w:ascii="Times New Roman"/>
          <w:b w:val="false"/>
          <w:i w:val="false"/>
          <w:color w:val="000000"/>
          <w:sz w:val="28"/>
        </w:rPr>
        <w:t xml:space="preserve"> = 65 м.</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в средней части судна при продольной системе набора;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второй непрерывной палубы, расположенной выше 0,75</w:t>
      </w:r>
      <w:r>
        <w:rPr>
          <w:rFonts w:ascii="Times New Roman"/>
          <w:b w:val="false"/>
          <w:i/>
          <w:color w:val="000000"/>
          <w:sz w:val="28"/>
        </w:rPr>
        <w:t>D</w:t>
      </w:r>
      <w:r>
        <w:rPr>
          <w:rFonts w:ascii="Times New Roman"/>
          <w:b w:val="false"/>
          <w:i w:val="false"/>
          <w:color w:val="000000"/>
          <w:sz w:val="28"/>
        </w:rPr>
        <w:t xml:space="preserve"> от основной плоскости: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0,8 в средней части судна длиной 65 м и более при поперечной системе набора;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определяется по формуле (86)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в средней части судна длиной 12 м при поперечной системе набора.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w:t>
      </w:r>
      <w:r>
        <w:rPr>
          <w:rFonts w:ascii="Times New Roman"/>
          <w:b w:val="false"/>
          <w:i/>
          <w:color w:val="000000"/>
          <w:sz w:val="28"/>
        </w:rPr>
        <w:t>L</w:t>
      </w:r>
      <w:r>
        <w:rPr>
          <w:rFonts w:ascii="Times New Roman"/>
          <w:b w:val="false"/>
          <w:i w:val="false"/>
          <w:color w:val="000000"/>
          <w:sz w:val="28"/>
        </w:rPr>
        <w:t xml:space="preserve"> &lt; 65 м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линейной интерполяцией, принимая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0,73 при </w:t>
      </w:r>
      <w:r>
        <w:rPr>
          <w:rFonts w:ascii="Times New Roman"/>
          <w:b w:val="false"/>
          <w:i/>
          <w:color w:val="000000"/>
          <w:sz w:val="28"/>
        </w:rPr>
        <w:t>L</w:t>
      </w:r>
      <w:r>
        <w:rPr>
          <w:rFonts w:ascii="Times New Roman"/>
          <w:b w:val="false"/>
          <w:i w:val="false"/>
          <w:color w:val="000000"/>
          <w:sz w:val="28"/>
        </w:rPr>
        <w:t xml:space="preserve"> = 65 м.</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в средней части судна при продольной системе набора;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остальных нижних палуб и платформ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0,9;</w:t>
      </w:r>
      <w:r>
        <w:br/>
      </w:r>
      <w:r>
        <w:rPr>
          <w:rFonts w:ascii="Times New Roman"/>
          <w:b w:val="false"/>
          <w:i w:val="false"/>
          <w:color w:val="000000"/>
          <w:sz w:val="28"/>
        </w:rPr>
        <w:t>
</w:t>
      </w:r>
    </w:p>
    <w:bookmarkStart w:name="z1822" w:id="1822"/>
    <w:p>
      <w:pPr>
        <w:spacing w:after="0"/>
        <w:ind w:left="0"/>
        <w:jc w:val="both"/>
      </w:pPr>
      <w:r>
        <w:rPr>
          <w:rFonts w:ascii="Times New Roman"/>
          <w:b w:val="false"/>
          <w:i w:val="false"/>
          <w:color w:val="000000"/>
          <w:sz w:val="28"/>
        </w:rPr>
        <w:t>
      3) при кормовом расположении машинного отделения толщина настила и размеры продольных балок палубы перед ютом и кормовой рубкой не уменьшают на участке длиной не менее ширины выреза для машинной шахты, считая в корму от носовой переборки юта (кормовой рубки).</w:t>
      </w:r>
    </w:p>
    <w:bookmarkEnd w:id="1822"/>
    <w:bookmarkStart w:name="z1823" w:id="1823"/>
    <w:p>
      <w:pPr>
        <w:spacing w:after="0"/>
        <w:ind w:left="0"/>
        <w:jc w:val="both"/>
      </w:pPr>
      <w:r>
        <w:rPr>
          <w:rFonts w:ascii="Times New Roman"/>
          <w:b w:val="false"/>
          <w:i w:val="false"/>
          <w:color w:val="000000"/>
          <w:sz w:val="28"/>
        </w:rPr>
        <w:t>
      Если носовая кромка выреза машинной шахты расположена от носовой переборки юта (кормовой рубки) на расстоянии, меньшем ширины выреза, требуется дополнительное усиление палубы в этом районе;</w:t>
      </w:r>
    </w:p>
    <w:bookmarkEnd w:id="1823"/>
    <w:bookmarkStart w:name="z1824" w:id="1824"/>
    <w:p>
      <w:pPr>
        <w:spacing w:after="0"/>
        <w:ind w:left="0"/>
        <w:jc w:val="both"/>
      </w:pPr>
      <w:r>
        <w:rPr>
          <w:rFonts w:ascii="Times New Roman"/>
          <w:b w:val="false"/>
          <w:i w:val="false"/>
          <w:color w:val="000000"/>
          <w:sz w:val="28"/>
        </w:rPr>
        <w:t xml:space="preserve">
      4) если толщина настила расчетной палубы принимается меньше толщины обшивки борта, предусматривают палубный стрингер. Ширина палубного стрингера верхней палубы </w:t>
      </w:r>
      <w:r>
        <w:rPr>
          <w:rFonts w:ascii="Times New Roman"/>
          <w:b w:val="false"/>
          <w:i/>
          <w:color w:val="000000"/>
          <w:sz w:val="28"/>
        </w:rPr>
        <w:t>b</w:t>
      </w:r>
      <w:r>
        <w:rPr>
          <w:rFonts w:ascii="Times New Roman"/>
          <w:b w:val="false"/>
          <w:i w:val="false"/>
          <w:color w:val="000000"/>
          <w:sz w:val="28"/>
        </w:rPr>
        <w:t>, мм, равна не менее определяемой по формуле</w:t>
      </w:r>
    </w:p>
    <w:bookmarkEnd w:id="18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r>
        <w:rPr>
          <w:rFonts w:ascii="Times New Roman"/>
          <w:b w:val="false"/>
          <w:i w:val="false"/>
          <w:color w:val="000000"/>
          <w:sz w:val="28"/>
        </w:rPr>
        <w:t xml:space="preserve"> = 5</w:t>
      </w:r>
      <w:r>
        <w:rPr>
          <w:rFonts w:ascii="Times New Roman"/>
          <w:b w:val="false"/>
          <w:i/>
          <w:color w:val="000000"/>
          <w:sz w:val="28"/>
        </w:rPr>
        <w:t>L</w:t>
      </w:r>
      <w:r>
        <w:rPr>
          <w:rFonts w:ascii="Times New Roman"/>
          <w:b w:val="false"/>
          <w:i w:val="false"/>
          <w:color w:val="000000"/>
          <w:sz w:val="28"/>
        </w:rPr>
        <w:t xml:space="preserve"> + 800 </w:t>
      </w:r>
      <w:r>
        <w:rPr>
          <w:rFonts w:ascii="Times New Roman"/>
          <w:b w:val="false"/>
          <w:i w:val="false"/>
          <w:color w:val="000000"/>
          <w:sz w:val="28"/>
          <w:u w:val="single"/>
        </w:rPr>
        <w:t>&lt;</w:t>
      </w:r>
      <w:r>
        <w:rPr>
          <w:rFonts w:ascii="Times New Roman"/>
          <w:b w:val="false"/>
          <w:i w:val="false"/>
          <w:color w:val="000000"/>
          <w:sz w:val="28"/>
        </w:rPr>
        <w:t xml:space="preserve"> 1800,                     (114)</w:t>
      </w:r>
    </w:p>
    <w:p>
      <w:pPr>
        <w:spacing w:after="0"/>
        <w:ind w:left="0"/>
        <w:jc w:val="both"/>
      </w:pPr>
      <w:r>
        <w:rPr>
          <w:rFonts w:ascii="Times New Roman"/>
          <w:b w:val="false"/>
          <w:i w:val="false"/>
          <w:color w:val="000000"/>
          <w:sz w:val="28"/>
        </w:rPr>
        <w:t>
      а толщина палубного стрингера равна не менее толщины бортовой обшивки;</w:t>
      </w:r>
    </w:p>
    <w:bookmarkStart w:name="z1825" w:id="1825"/>
    <w:p>
      <w:pPr>
        <w:spacing w:after="0"/>
        <w:ind w:left="0"/>
        <w:jc w:val="both"/>
      </w:pPr>
      <w:r>
        <w:rPr>
          <w:rFonts w:ascii="Times New Roman"/>
          <w:b w:val="false"/>
          <w:i w:val="false"/>
          <w:color w:val="000000"/>
          <w:sz w:val="28"/>
        </w:rPr>
        <w:t xml:space="preserve">
      5) толщина листов настила палуб и платформ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равна не менее:</w:t>
      </w:r>
    </w:p>
    <w:bookmarkEnd w:id="1825"/>
    <w:bookmarkStart w:name="z1826" w:id="1826"/>
    <w:p>
      <w:pPr>
        <w:spacing w:after="0"/>
        <w:ind w:left="0"/>
        <w:jc w:val="both"/>
      </w:pPr>
      <w:r>
        <w:rPr>
          <w:rFonts w:ascii="Times New Roman"/>
          <w:b w:val="false"/>
          <w:i w:val="false"/>
          <w:color w:val="000000"/>
          <w:sz w:val="28"/>
        </w:rPr>
        <w:t>
      для верхней палубы между бортом и линией больших вырезов (палубы танков наливных судов) в средней части судна:</w:t>
      </w:r>
    </w:p>
    <w:bookmarkEnd w:id="182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&lt; 100 м; (115)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(7 + 0,02</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xml:space="preserve"> 100 м; (116)</w:t>
      </w:r>
      <w:r>
        <w:br/>
      </w:r>
      <w:r>
        <w:rPr>
          <w:rFonts w:ascii="Times New Roman"/>
          <w:b w:val="false"/>
          <w:i w:val="false"/>
          <w:color w:val="000000"/>
          <w:sz w:val="28"/>
        </w:rPr>
        <w:t>
</w:t>
      </w:r>
    </w:p>
    <w:bookmarkStart w:name="z1827" w:id="1827"/>
    <w:p>
      <w:pPr>
        <w:spacing w:after="0"/>
        <w:ind w:left="0"/>
        <w:jc w:val="both"/>
      </w:pPr>
      <w:r>
        <w:rPr>
          <w:rFonts w:ascii="Times New Roman"/>
          <w:b w:val="false"/>
          <w:i w:val="false"/>
          <w:color w:val="000000"/>
          <w:sz w:val="28"/>
        </w:rPr>
        <w:t>
      для верхней палубы в оконечностях судна и внутри линии больших вырезов, а также для второй палубы:</w:t>
      </w:r>
    </w:p>
    <w:bookmarkEnd w:id="182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+ 0,04</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&lt; 100 м; (117)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(7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xml:space="preserve"> 100 м; (118)</w:t>
      </w:r>
      <w:r>
        <w:br/>
      </w:r>
      <w:r>
        <w:rPr>
          <w:rFonts w:ascii="Times New Roman"/>
          <w:b w:val="false"/>
          <w:i w:val="false"/>
          <w:color w:val="000000"/>
          <w:sz w:val="28"/>
        </w:rPr>
        <w:t>
</w:t>
      </w:r>
    </w:p>
    <w:bookmarkStart w:name="z1828" w:id="1828"/>
    <w:p>
      <w:pPr>
        <w:spacing w:after="0"/>
        <w:ind w:left="0"/>
        <w:jc w:val="both"/>
      </w:pPr>
      <w:r>
        <w:rPr>
          <w:rFonts w:ascii="Times New Roman"/>
          <w:b w:val="false"/>
          <w:i w:val="false"/>
          <w:color w:val="000000"/>
          <w:sz w:val="28"/>
        </w:rPr>
        <w:t>
      для третьей и других нижележащих палуб и платформ:</w:t>
      </w:r>
    </w:p>
    <w:bookmarkEnd w:id="182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согласно пункту 133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1829" w:id="1829"/>
    <w:p>
      <w:pPr>
        <w:spacing w:after="0"/>
        <w:ind w:left="0"/>
        <w:jc w:val="both"/>
      </w:pPr>
      <w:r>
        <w:rPr>
          <w:rFonts w:ascii="Times New Roman"/>
          <w:b w:val="false"/>
          <w:i w:val="false"/>
          <w:color w:val="000000"/>
          <w:sz w:val="28"/>
        </w:rPr>
        <w:t>
      Для судов неограниченного района плавания и ограниченного района плавания R1, если принятая шпация меньше нормальной (параграф 3 главы 8 настоящих Правил), допускается уменьшение минимальной толщины настила палуб и платформ пропорционально отношению принятой шпации к нормальной, но не более чем на 10 %.</w:t>
      </w:r>
    </w:p>
    <w:bookmarkEnd w:id="1829"/>
    <w:bookmarkStart w:name="z1830" w:id="1830"/>
    <w:p>
      <w:pPr>
        <w:spacing w:after="0"/>
        <w:ind w:left="0"/>
        <w:jc w:val="both"/>
      </w:pPr>
      <w:r>
        <w:rPr>
          <w:rFonts w:ascii="Times New Roman"/>
          <w:b w:val="false"/>
          <w:i w:val="false"/>
          <w:color w:val="000000"/>
          <w:sz w:val="28"/>
        </w:rPr>
        <w:t>
      Во всех случаях минимальная толщина равна не менее 5,5 мм.</w:t>
      </w:r>
    </w:p>
    <w:bookmarkEnd w:id="1830"/>
    <w:bookmarkStart w:name="z1831" w:id="1831"/>
    <w:p>
      <w:pPr>
        <w:spacing w:after="0"/>
        <w:ind w:left="0"/>
        <w:jc w:val="both"/>
      </w:pPr>
      <w:r>
        <w:rPr>
          <w:rFonts w:ascii="Times New Roman"/>
          <w:b w:val="false"/>
          <w:i w:val="false"/>
          <w:color w:val="000000"/>
          <w:sz w:val="28"/>
        </w:rPr>
        <w:t>
      Толщина листов настила и конструктивных элементов палуб (в том числе перфорированных) в районе отсеков, предназначенных для перевозки жидкостей, равна не менее требуемой в параграфе 3 главы 32 для наливных судов и не менее требуемой формулой (130) настоящих Правил для остальных судов.</w:t>
      </w:r>
    </w:p>
    <w:bookmarkEnd w:id="1831"/>
    <w:bookmarkStart w:name="z1832" w:id="1832"/>
    <w:p>
      <w:pPr>
        <w:spacing w:after="0"/>
        <w:ind w:left="0"/>
        <w:jc w:val="both"/>
      </w:pPr>
      <w:r>
        <w:rPr>
          <w:rFonts w:ascii="Times New Roman"/>
          <w:b w:val="false"/>
          <w:i w:val="false"/>
          <w:color w:val="000000"/>
          <w:sz w:val="28"/>
        </w:rPr>
        <w:t>
      408. Момент сопротивления поперечного сечения продольных подпалубных балок равен не менее определяемого в пунктах 246 и 247 настоящих Правил. При этом:</w:t>
      </w:r>
    </w:p>
    <w:bookmarkEnd w:id="183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20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для верхней палубы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rPr>
          <w:rFonts w:ascii="Times New Roman"/>
          <w:b w:val="false"/>
          <w:i/>
          <w:color w:val="000000"/>
          <w:sz w:val="28"/>
        </w:rPr>
        <w:t xml:space="preserve"> k</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0,65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остальных палуб</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определяется по формуле (86) настоящих Правил.</w:t>
      </w:r>
    </w:p>
    <w:p>
      <w:pPr>
        <w:spacing w:after="0"/>
        <w:ind w:left="0"/>
        <w:jc w:val="both"/>
      </w:pPr>
      <w:r>
        <w:rPr>
          <w:rFonts w:ascii="Times New Roman"/>
          <w:b w:val="false"/>
          <w:i w:val="false"/>
          <w:color w:val="000000"/>
          <w:sz w:val="28"/>
        </w:rPr>
        <w:t>
      409. При поперечной системе набора палуб размеры бимсов удовлетворяют следующим требованиям:</w:t>
      </w:r>
    </w:p>
    <w:bookmarkStart w:name="z1833" w:id="1833"/>
    <w:p>
      <w:pPr>
        <w:spacing w:after="0"/>
        <w:ind w:left="0"/>
        <w:jc w:val="both"/>
      </w:pPr>
      <w:r>
        <w:rPr>
          <w:rFonts w:ascii="Times New Roman"/>
          <w:b w:val="false"/>
          <w:i w:val="false"/>
          <w:color w:val="000000"/>
          <w:sz w:val="28"/>
        </w:rPr>
        <w:t>
      1) момент сопротивления бимсов равен не менее определяемого в пункте 246 настоящих Правил. При этом:</w:t>
      </w:r>
    </w:p>
    <w:bookmarkEnd w:id="183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20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bookmarkStart w:name="z1834" w:id="1834"/>
    <w:p>
      <w:pPr>
        <w:spacing w:after="0"/>
        <w:ind w:left="0"/>
        <w:jc w:val="both"/>
      </w:pPr>
      <w:r>
        <w:rPr>
          <w:rFonts w:ascii="Times New Roman"/>
          <w:b w:val="false"/>
          <w:i w:val="false"/>
          <w:color w:val="000000"/>
          <w:sz w:val="28"/>
        </w:rPr>
        <w:t xml:space="preserve">
      2) момент инерции бимсов </w:t>
      </w:r>
      <w:r>
        <w:rPr>
          <w:rFonts w:ascii="Times New Roman"/>
          <w:b w:val="false"/>
          <w:i/>
          <w:color w:val="000000"/>
          <w:sz w:val="28"/>
        </w:rPr>
        <w:t>i</w:t>
      </w:r>
      <w:r>
        <w:rPr>
          <w:rFonts w:ascii="Times New Roman"/>
          <w:b w:val="false"/>
          <w:i w:val="false"/>
          <w:color w:val="000000"/>
          <w:vertAlign w:val="subscript"/>
        </w:rPr>
        <w:t>б</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верхней палубы в средней части судна длиной 65 м и более определяется из расчета устойчивости палубного перекрытия как стержневой системы согласно параграфу 4 главы 13 настоящих Правил.</w:t>
      </w:r>
    </w:p>
    <w:bookmarkEnd w:id="1834"/>
    <w:bookmarkStart w:name="z1835" w:id="1835"/>
    <w:p>
      <w:pPr>
        <w:spacing w:after="0"/>
        <w:ind w:left="0"/>
        <w:jc w:val="both"/>
      </w:pPr>
      <w:r>
        <w:rPr>
          <w:rFonts w:ascii="Times New Roman"/>
          <w:b w:val="false"/>
          <w:i w:val="false"/>
          <w:color w:val="000000"/>
          <w:sz w:val="28"/>
        </w:rPr>
        <w:t>
      Для бимсов, имеющих две и более промежуточные жесткие опоры, взамен расчета перекрытия требуемый момент инерции определяется по формуле:</w:t>
      </w:r>
    </w:p>
    <w:bookmarkEnd w:id="183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б</w:t>
      </w:r>
      <w:r>
        <w:rPr>
          <w:rFonts w:ascii="Times New Roman"/>
          <w:b w:val="false"/>
          <w:i w:val="false"/>
          <w:color w:val="000000"/>
          <w:sz w:val="28"/>
        </w:rPr>
        <w:t xml:space="preserve"> = 6,33(</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color w:val="000000"/>
          <w:sz w:val="28"/>
        </w:rPr>
        <w:t>l</w:t>
      </w:r>
      <w:r>
        <w:rPr>
          <w:rFonts w:ascii="Times New Roman"/>
          <w:b w:val="false"/>
          <w:i w:val="false"/>
          <w:color w:val="000000"/>
          <w:vertAlign w:val="superscript"/>
        </w:rPr>
        <w:t>4</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пролет бимса между опорами,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при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w:t>
      </w:r>
    </w:p>
    <w:p>
      <w:pPr>
        <w:spacing w:after="0"/>
        <w:ind w:left="0"/>
        <w:jc w:val="both"/>
      </w:pPr>
      <w:r>
        <w:drawing>
          <wp:inline distT="0" distB="0" distL="0" distR="0">
            <wp:extent cx="87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876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&gt;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/(4 – 1,5</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w:t>
      </w:r>
    </w:p>
    <w:p>
      <w:pPr>
        <w:spacing w:after="0"/>
        <w:ind w:left="0"/>
        <w:jc w:val="both"/>
      </w:pPr>
      <w:r>
        <w:drawing>
          <wp:inline distT="0" distB="0" distL="0" distR="0">
            <wp:extent cx="69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698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но не более 1;</w:t>
      </w:r>
      <w:r>
        <w:br/>
      </w:r>
      <w:r>
        <w:rPr>
          <w:rFonts w:ascii="Times New Roman"/>
          <w:b w:val="false"/>
          <w:i w:val="false"/>
          <w:color w:val="000000"/>
          <w:sz w:val="28"/>
        </w:rPr>
        <w:t>
</w:t>
      </w:r>
      <w:r>
        <w:br/>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 сжимающие напряжения согласно пункту 252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фактическая толщина настила палубы, мм.</w:t>
      </w:r>
    </w:p>
    <w:bookmarkStart w:name="z1836" w:id="1836"/>
    <w:p>
      <w:pPr>
        <w:spacing w:after="0"/>
        <w:ind w:left="0"/>
        <w:jc w:val="both"/>
      </w:pPr>
      <w:r>
        <w:rPr>
          <w:rFonts w:ascii="Times New Roman"/>
          <w:b w:val="false"/>
          <w:i w:val="false"/>
          <w:color w:val="000000"/>
          <w:sz w:val="28"/>
        </w:rPr>
        <w:t>
      410. Размеры подпалубного рамного набора: рамных бимсов, карлингсов, комингсов люков и концевых люковых бимсов — выбираются на основании расчета палубного перекрытия как стержневой системы, за исключением случаев, указанных в пунктах 411-414 настоящих Правил. Расчетные нагрузки выбираются согласно параграфа 2 главы 20 настоящих Правил. При наличии пиллерсов в зависимости от их расположения учитывают взаимодействие палубного перекрытия с выше- и/или нижележащими конструкциями.</w:t>
      </w:r>
    </w:p>
    <w:bookmarkEnd w:id="1836"/>
    <w:bookmarkStart w:name="z1837" w:id="1837"/>
    <w:p>
      <w:pPr>
        <w:spacing w:after="0"/>
        <w:ind w:left="0"/>
        <w:jc w:val="both"/>
      </w:pPr>
      <w:r>
        <w:rPr>
          <w:rFonts w:ascii="Times New Roman"/>
          <w:b w:val="false"/>
          <w:i w:val="false"/>
          <w:color w:val="000000"/>
          <w:sz w:val="28"/>
        </w:rPr>
        <w:t>
      Коэффициенты допускаемых напряжений принимаются:</w:t>
      </w:r>
    </w:p>
    <w:bookmarkEnd w:id="1837"/>
    <w:p>
      <w:pPr>
        <w:spacing w:after="0"/>
        <w:ind w:left="0"/>
        <w:jc w:val="both"/>
      </w:pPr>
      <w:r>
        <w:rPr>
          <w:rFonts w:ascii="Times New Roman"/>
          <w:b w:val="false"/>
          <w:i w:val="false"/>
          <w:color w:val="000000"/>
          <w:sz w:val="28"/>
        </w:rPr>
        <w:t>
      для расчетной палубы</w:t>
      </w:r>
    </w:p>
    <w:p>
      <w:pPr>
        <w:spacing w:after="0"/>
        <w:ind w:left="0"/>
        <w:jc w:val="both"/>
      </w:pPr>
      <w:r>
        <w:rPr>
          <w:rFonts w:ascii="Times New Roman"/>
          <w:b w:val="false"/>
          <w:i w:val="false"/>
          <w:color w:val="000000"/>
          <w:sz w:val="28"/>
        </w:rPr>
        <w:t>
      при расчете карлингсов и продольных комингсов люков, совпадающих с карлингсами,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0,35</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0,65 в средней части судна длиной 65 м и более;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определяется по формуле (86)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в средней части судна длиной 12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w:t>
      </w:r>
      <w:r>
        <w:rPr>
          <w:rFonts w:ascii="Times New Roman"/>
          <w:b w:val="false"/>
          <w:i/>
          <w:color w:val="000000"/>
          <w:sz w:val="28"/>
        </w:rPr>
        <w:t>L</w:t>
      </w:r>
      <w:r>
        <w:rPr>
          <w:rFonts w:ascii="Times New Roman"/>
          <w:b w:val="false"/>
          <w:i w:val="false"/>
          <w:color w:val="000000"/>
          <w:sz w:val="28"/>
        </w:rPr>
        <w:t xml:space="preserve"> &lt;65 м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линейной интерполяцией, принимая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 при </w:t>
      </w:r>
      <w:r>
        <w:rPr>
          <w:rFonts w:ascii="Times New Roman"/>
          <w:b w:val="false"/>
          <w:i/>
          <w:color w:val="000000"/>
          <w:sz w:val="28"/>
        </w:rPr>
        <w:t>L</w:t>
      </w:r>
      <w:r>
        <w:rPr>
          <w:rFonts w:ascii="Times New Roman"/>
          <w:b w:val="false"/>
          <w:i w:val="false"/>
          <w:color w:val="000000"/>
          <w:sz w:val="28"/>
        </w:rPr>
        <w:t xml:space="preserve"> = 65 м;</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в оконечностях в пределах участков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bookmarkStart w:name="z1838" w:id="1838"/>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bookmarkEnd w:id="1838"/>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bookmarkStart w:name="z1839" w:id="1839"/>
    <w:p>
      <w:pPr>
        <w:spacing w:after="0"/>
        <w:ind w:left="0"/>
        <w:jc w:val="both"/>
      </w:pPr>
      <w:r>
        <w:rPr>
          <w:rFonts w:ascii="Times New Roman"/>
          <w:b w:val="false"/>
          <w:i w:val="false"/>
          <w:color w:val="000000"/>
          <w:sz w:val="28"/>
        </w:rPr>
        <w:t>
      при расчете рамных бимсов и полубимсов, комингсов люков, не совпадающих с карлингсами, и концевых люковых бимсов:</w:t>
      </w:r>
    </w:p>
    <w:bookmarkEnd w:id="18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расчете рамных связей по касательным напряжениям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рамных связей остальных палуб и платформ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1840" w:id="1840"/>
    <w:p>
      <w:pPr>
        <w:spacing w:after="0"/>
        <w:ind w:left="0"/>
        <w:jc w:val="both"/>
      </w:pPr>
      <w:r>
        <w:rPr>
          <w:rFonts w:ascii="Times New Roman"/>
          <w:b w:val="false"/>
          <w:i w:val="false"/>
          <w:color w:val="000000"/>
          <w:sz w:val="28"/>
        </w:rPr>
        <w:t>
      Подпалубный рамный набор верхней палубы в средней части судна также отвечает требованиям пункта 415 настоящих Правил.</w:t>
      </w:r>
    </w:p>
    <w:bookmarkEnd w:id="1840"/>
    <w:bookmarkStart w:name="z1841" w:id="1841"/>
    <w:p>
      <w:pPr>
        <w:spacing w:after="0"/>
        <w:ind w:left="0"/>
        <w:jc w:val="both"/>
      </w:pPr>
      <w:r>
        <w:rPr>
          <w:rFonts w:ascii="Times New Roman"/>
          <w:b w:val="false"/>
          <w:i w:val="false"/>
          <w:color w:val="000000"/>
          <w:sz w:val="28"/>
        </w:rPr>
        <w:t>
      411. У наливных судов с продольной системой набора при наличии двух продольных переборок и отсутствии карлингсов размеры подпалубного рамного набора в среднем танке отвечают следующим требованиям:</w:t>
      </w:r>
    </w:p>
    <w:bookmarkEnd w:id="1841"/>
    <w:bookmarkStart w:name="z1842" w:id="1842"/>
    <w:p>
      <w:pPr>
        <w:spacing w:after="0"/>
        <w:ind w:left="0"/>
        <w:jc w:val="both"/>
      </w:pPr>
      <w:r>
        <w:rPr>
          <w:rFonts w:ascii="Times New Roman"/>
          <w:b w:val="false"/>
          <w:i w:val="false"/>
          <w:color w:val="000000"/>
          <w:sz w:val="28"/>
        </w:rPr>
        <w:t>
      1) момент сопротивления сечения рамного бимса равен не менее определяемого в пунктах 246 и 247 настоящих Правил, площадь сечения стенки рамного бимса за вычетом вырезов равна не менее определяемой в пункте 248 настоящих Правил. При этом:</w:t>
      </w:r>
    </w:p>
    <w:bookmarkEnd w:id="184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20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пункту 410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где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 ширина среднего танка, м;</w:t>
      </w:r>
    </w:p>
    <w:p>
      <w:pPr>
        <w:spacing w:after="0"/>
        <w:ind w:left="0"/>
        <w:jc w:val="both"/>
      </w:pPr>
      <w:r>
        <w:rPr>
          <w:rFonts w:ascii="Times New Roman"/>
          <w:b w:val="false"/>
          <w:i w:val="false"/>
          <w:color w:val="000000"/>
          <w:sz w:val="28"/>
        </w:rPr>
        <w:t>
      m = m</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0,7</w:t>
      </w:r>
      <w:r>
        <w:rPr>
          <w:rFonts w:ascii="Times New Roman"/>
          <w:b w:val="false"/>
          <w:i/>
          <w:color w:val="000000"/>
          <w:sz w:val="28"/>
        </w:rPr>
        <w:t>n</w:t>
      </w:r>
      <w:r>
        <w:rPr>
          <w:rFonts w:ascii="Times New Roman"/>
          <w:b w:val="false"/>
          <w:i w:val="false"/>
          <w:color w:val="000000"/>
          <w:vertAlign w:val="subscript"/>
        </w:rPr>
        <w:t>ф</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ф</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ф</w:t>
      </w:r>
      <w:r>
        <w:rPr>
          <w:rFonts w:ascii="Times New Roman"/>
          <w:b w:val="false"/>
          <w:i w:val="false"/>
          <w:color w:val="000000"/>
          <w:sz w:val="28"/>
        </w:rPr>
        <w:t xml:space="preserve"> определяются по приложению 55 настоящих Правил в зависимости от параметра м и числа рамных бимсов в пределах танка;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perscript"/>
        </w:rPr>
        <w:t>4/3</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о.л</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длина танка, 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w:t>
      </w:r>
      <w:r>
        <w:rPr>
          <w:rFonts w:ascii="Times New Roman"/>
          <w:b w:val="false"/>
          <w:i w:val="false"/>
          <w:color w:val="000000"/>
          <w:sz w:val="28"/>
        </w:rPr>
        <w:t xml:space="preserve"> — момент сопротивления рамного бимса, отвечающий настоящим требованиям;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о.л</w:t>
      </w:r>
      <w:r>
        <w:rPr>
          <w:rFonts w:ascii="Times New Roman"/>
          <w:b w:val="false"/>
          <w:i w:val="false"/>
          <w:color w:val="000000"/>
          <w:sz w:val="28"/>
        </w:rPr>
        <w:t xml:space="preserve"> — момент сопротивления сечения отбойного листа, отвечающий настоящим требованиям.</w:t>
      </w:r>
    </w:p>
    <w:p>
      <w:pPr>
        <w:spacing w:after="0"/>
        <w:ind w:left="0"/>
        <w:jc w:val="both"/>
      </w:pPr>
      <w:r>
        <w:rPr>
          <w:rFonts w:ascii="Times New Roman"/>
          <w:b w:val="false"/>
          <w:i w:val="false"/>
          <w:color w:val="000000"/>
          <w:sz w:val="28"/>
        </w:rPr>
        <w:t xml:space="preserve">
      Значение параметра </w:t>
      </w:r>
      <w:r>
        <w:rPr>
          <w:rFonts w:ascii="Times New Roman"/>
          <w:b w:val="false"/>
          <w:i/>
          <w:color w:val="000000"/>
          <w:sz w:val="28"/>
        </w:rPr>
        <w:t>а</w:t>
      </w:r>
      <w:r>
        <w:rPr>
          <w:rFonts w:ascii="Times New Roman"/>
          <w:b w:val="false"/>
          <w:i w:val="false"/>
          <w:color w:val="000000"/>
          <w:sz w:val="28"/>
        </w:rPr>
        <w:t xml:space="preserve"> задается произвольно, но не более 0,6; значение параметра м не более 1,5.</w:t>
      </w:r>
    </w:p>
    <w:p>
      <w:pPr>
        <w:spacing w:after="0"/>
        <w:ind w:left="0"/>
        <w:jc w:val="both"/>
      </w:pPr>
      <w:r>
        <w:rPr>
          <w:rFonts w:ascii="Times New Roman"/>
          <w:b w:val="false"/>
          <w:i w:val="false"/>
          <w:color w:val="000000"/>
          <w:sz w:val="28"/>
        </w:rPr>
        <w:t xml:space="preserve">
      Момент сопротивления рамного бимса не менее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vertAlign w:val="subscript"/>
        </w:rPr>
        <w:t>о.л</w:t>
      </w:r>
      <w:r>
        <w:rPr>
          <w:rFonts w:ascii="Times New Roman"/>
          <w:b w:val="false"/>
          <w:i w:val="false"/>
          <w:color w:val="000000"/>
          <w:sz w:val="28"/>
        </w:rPr>
        <w:t>;/</w:t>
      </w:r>
      <w:r>
        <w:br/>
      </w:r>
      <w:r>
        <w:rPr>
          <w:rFonts w:ascii="Times New Roman"/>
          <w:b w:val="false"/>
          <w:i w:val="false"/>
          <w:color w:val="000000"/>
          <w:sz w:val="28"/>
        </w:rPr>
        <w:t>
</w:t>
      </w:r>
    </w:p>
    <w:bookmarkStart w:name="z1843" w:id="1843"/>
    <w:p>
      <w:pPr>
        <w:spacing w:after="0"/>
        <w:ind w:left="0"/>
        <w:jc w:val="both"/>
      </w:pPr>
      <w:r>
        <w:rPr>
          <w:rFonts w:ascii="Times New Roman"/>
          <w:b w:val="false"/>
          <w:i w:val="false"/>
          <w:color w:val="000000"/>
          <w:sz w:val="28"/>
        </w:rPr>
        <w:t>
      2) момент сопротивления отбойного листа не менее определяемого в пунктах 246 и 247 настоящих Правил, площадь сечения стенки отбойного листа за вычетом вырезов не менее определяемой в пункте 248 настоящих Правил. При этом:</w:t>
      </w:r>
    </w:p>
    <w:bookmarkEnd w:id="184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20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пункту 410 настоящих Правил, для карлингсов;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отбойным листом и продольной переборкой, м;</w:t>
      </w:r>
    </w:p>
    <w:p>
      <w:pPr>
        <w:spacing w:after="0"/>
        <w:ind w:left="0"/>
        <w:jc w:val="both"/>
      </w:pPr>
      <w:r>
        <w:rPr>
          <w:rFonts w:ascii="Times New Roman"/>
          <w:b w:val="false"/>
          <w:i w:val="false"/>
          <w:color w:val="000000"/>
          <w:sz w:val="28"/>
        </w:rPr>
        <w:t>
      m = m</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0,7</w:t>
      </w:r>
      <w:r>
        <w:rPr>
          <w:rFonts w:ascii="Times New Roman"/>
          <w:b w:val="false"/>
          <w:i/>
          <w:color w:val="000000"/>
          <w:sz w:val="28"/>
        </w:rPr>
        <w:t>n</w:t>
      </w:r>
      <w:r>
        <w:rPr>
          <w:rFonts w:ascii="Times New Roman"/>
          <w:b w:val="false"/>
          <w:i w:val="false"/>
          <w:color w:val="000000"/>
          <w:vertAlign w:val="subscript"/>
        </w:rPr>
        <w:t>к</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к</w:t>
      </w:r>
      <w:r>
        <w:rPr>
          <w:rFonts w:ascii="Times New Roman"/>
          <w:b w:val="false"/>
          <w:i w:val="false"/>
          <w:color w:val="000000"/>
          <w:sz w:val="28"/>
        </w:rPr>
        <w:t xml:space="preserve"> определяются по приложению 55 настоящих Правил в зависимости от параметра м и числа рамных бимсов в пределах танка; м определяется согласно подпункту 1) пункта 411 настоящих Правил.</w:t>
      </w:r>
    </w:p>
    <w:bookmarkStart w:name="z1844" w:id="1844"/>
    <w:p>
      <w:pPr>
        <w:spacing w:after="0"/>
        <w:ind w:left="0"/>
        <w:jc w:val="both"/>
      </w:pPr>
      <w:r>
        <w:rPr>
          <w:rFonts w:ascii="Times New Roman"/>
          <w:b w:val="false"/>
          <w:i w:val="false"/>
          <w:color w:val="000000"/>
          <w:sz w:val="28"/>
        </w:rPr>
        <w:t xml:space="preserve">
      Момент сопротивления отбойного листа также не менее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w:t>
      </w:r>
    </w:p>
    <w:bookmarkEnd w:id="184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 xml:space="preserve"> — момент сопротивления рамного бимса, отвечающий требованиям подпункта 1) пункта 411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подпункту 1) пункта 411 настоящих Правил.</w:t>
      </w:r>
      <w:r>
        <w:br/>
      </w:r>
      <w:r>
        <w:rPr>
          <w:rFonts w:ascii="Times New Roman"/>
          <w:b w:val="false"/>
          <w:i w:val="false"/>
          <w:color w:val="000000"/>
          <w:sz w:val="28"/>
        </w:rPr>
        <w:t>
</w:t>
      </w:r>
    </w:p>
    <w:bookmarkStart w:name="z1845" w:id="1845"/>
    <w:p>
      <w:pPr>
        <w:spacing w:after="0"/>
        <w:ind w:left="0"/>
        <w:jc w:val="both"/>
      </w:pPr>
      <w:r>
        <w:rPr>
          <w:rFonts w:ascii="Times New Roman"/>
          <w:b w:val="false"/>
          <w:i w:val="false"/>
          <w:color w:val="000000"/>
          <w:sz w:val="28"/>
        </w:rPr>
        <w:t>
      По свободной кромке отбойный лист подкрепляют пояском, имеющим площадь сечения не менее площади сечения свободного пояска рамного бимса.</w:t>
      </w:r>
    </w:p>
    <w:bookmarkEnd w:id="1845"/>
    <w:bookmarkStart w:name="z1846" w:id="1846"/>
    <w:p>
      <w:pPr>
        <w:spacing w:after="0"/>
        <w:ind w:left="0"/>
        <w:jc w:val="both"/>
      </w:pPr>
      <w:r>
        <w:rPr>
          <w:rFonts w:ascii="Times New Roman"/>
          <w:b w:val="false"/>
          <w:i w:val="false"/>
          <w:color w:val="000000"/>
          <w:sz w:val="28"/>
        </w:rPr>
        <w:t>
      412. Рамные бимсы наливных судов с одной продольной переборкой, наливных судов с двумя продольными переборками при отсутствии карлингсов и усиленных продольных балок (только в бортовых танках), а также рамные полубимсы, рамные бимсы и поперечные комингсы люков сухогрузных судов, которые можно рассматривать как балки на жестких опорах, имеют момент сопротивления сечения не менее, определяемого в пунктах 246 и 247, площадь сечения стенки за вычетом вырезов не менее определяемой в пункте 248 настоящих Правил. При этом:</w:t>
      </w:r>
    </w:p>
    <w:bookmarkEnd w:id="184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3 главы 20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пункту 410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раl</w:t>
      </w:r>
      <w:r>
        <w:rPr>
          <w:rFonts w:ascii="Times New Roman"/>
          <w:b w:val="false"/>
          <w:i w:val="false"/>
          <w:color w:val="000000"/>
          <w:sz w:val="28"/>
        </w:rPr>
        <w:t>.</w:t>
      </w:r>
    </w:p>
    <w:bookmarkStart w:name="z1847" w:id="1847"/>
    <w:p>
      <w:pPr>
        <w:spacing w:after="0"/>
        <w:ind w:left="0"/>
        <w:jc w:val="both"/>
      </w:pPr>
      <w:r>
        <w:rPr>
          <w:rFonts w:ascii="Times New Roman"/>
          <w:b w:val="false"/>
          <w:i w:val="false"/>
          <w:color w:val="000000"/>
          <w:sz w:val="28"/>
        </w:rPr>
        <w:t>
      413. Карлингсы и продольные комингсы люков отвечают следующим требованиям:</w:t>
      </w:r>
    </w:p>
    <w:bookmarkEnd w:id="1847"/>
    <w:bookmarkStart w:name="z1848" w:id="1848"/>
    <w:p>
      <w:pPr>
        <w:spacing w:after="0"/>
        <w:ind w:left="0"/>
        <w:jc w:val="both"/>
      </w:pPr>
      <w:r>
        <w:rPr>
          <w:rFonts w:ascii="Times New Roman"/>
          <w:b w:val="false"/>
          <w:i w:val="false"/>
          <w:color w:val="000000"/>
          <w:sz w:val="28"/>
        </w:rPr>
        <w:t>
      1) карлингсы и продольные комингсы люков, которые можно рассматривать как балки на жестких опорах, имеют момент сопротивления сечения не менее определяемого в пунктах 246 и 247 настоящих Правил, площадь сечения стенки за вычетом вырезов не менее определяемой в пункте 248 настоящих Правил. При этом:</w:t>
      </w:r>
    </w:p>
    <w:bookmarkEnd w:id="184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20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пункту 410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m = 10 для разрезных карлингсов, продольных комингсов люков;</w:t>
      </w:r>
    </w:p>
    <w:p>
      <w:pPr>
        <w:spacing w:after="0"/>
        <w:ind w:left="0"/>
        <w:jc w:val="both"/>
      </w:pPr>
      <w:r>
        <w:rPr>
          <w:rFonts w:ascii="Times New Roman"/>
          <w:b w:val="false"/>
          <w:i w:val="false"/>
          <w:color w:val="000000"/>
          <w:sz w:val="28"/>
        </w:rPr>
        <w:t>
      m = 12 для непрерывных карлингсов, продольных комингсов люков при определении момента сопротивления в опорном сечении с учетом попадающей в это сечение кницы, если таковая установлена;</w:t>
      </w:r>
    </w:p>
    <w:p>
      <w:pPr>
        <w:spacing w:after="0"/>
        <w:ind w:left="0"/>
        <w:jc w:val="both"/>
      </w:pPr>
      <w:r>
        <w:rPr>
          <w:rFonts w:ascii="Times New Roman"/>
          <w:b w:val="false"/>
          <w:i w:val="false"/>
          <w:color w:val="000000"/>
          <w:sz w:val="28"/>
        </w:rPr>
        <w:t>
      m = 18 для непрерывных карлингсов, продольных комингсов люков при определении момента сопротивления в пролете карлингса, продольного комингса люка;</w:t>
      </w:r>
    </w:p>
    <w:bookmarkStart w:name="z1849" w:id="1849"/>
    <w:p>
      <w:pPr>
        <w:spacing w:after="0"/>
        <w:ind w:left="0"/>
        <w:jc w:val="both"/>
      </w:pPr>
      <w:r>
        <w:rPr>
          <w:rFonts w:ascii="Times New Roman"/>
          <w:b w:val="false"/>
          <w:i w:val="false"/>
          <w:color w:val="000000"/>
          <w:sz w:val="28"/>
        </w:rPr>
        <w:t>
      2) для судов длиной менее 30 м толщина стенки карлингса принимается не более толщины настила палубы, толщина стенки комингса люков на 1 мм больше толщины настила палубы;</w:t>
      </w:r>
    </w:p>
    <w:bookmarkEnd w:id="1849"/>
    <w:bookmarkStart w:name="z1850" w:id="1850"/>
    <w:p>
      <w:pPr>
        <w:spacing w:after="0"/>
        <w:ind w:left="0"/>
        <w:jc w:val="both"/>
      </w:pPr>
      <w:r>
        <w:rPr>
          <w:rFonts w:ascii="Times New Roman"/>
          <w:b w:val="false"/>
          <w:i w:val="false"/>
          <w:color w:val="000000"/>
          <w:sz w:val="28"/>
        </w:rPr>
        <w:t xml:space="preserve">
      3) если продольные комингсы люков верхней расчетной палубы оканчиваются кницами, протяженность кницы по палубе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м:</w:t>
      </w:r>
    </w:p>
    <w:bookmarkEnd w:id="18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l</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0,75</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при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315;</w:t>
      </w:r>
    </w:p>
    <w:p>
      <w:pPr>
        <w:spacing w:after="0"/>
        <w:ind w:left="0"/>
        <w:jc w:val="both"/>
      </w:pPr>
      <w:r>
        <w:rPr>
          <w:rFonts w:ascii="Times New Roman"/>
          <w:b w:val="false"/>
          <w:i w:val="false"/>
          <w:color w:val="000000"/>
          <w:sz w:val="28"/>
        </w:rPr>
        <w:t>
                                                                   (121)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l</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при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390 МПа,</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высота комингса над палубой, м.</w:t>
      </w:r>
    </w:p>
    <w:bookmarkStart w:name="z1851" w:id="1851"/>
    <w:p>
      <w:pPr>
        <w:spacing w:after="0"/>
        <w:ind w:left="0"/>
        <w:jc w:val="both"/>
      </w:pPr>
      <w:r>
        <w:rPr>
          <w:rFonts w:ascii="Times New Roman"/>
          <w:b w:val="false"/>
          <w:i w:val="false"/>
          <w:color w:val="000000"/>
          <w:sz w:val="28"/>
        </w:rPr>
        <w:t xml:space="preserve">
      Для промежуточных значений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протяженность кницы определяется линейной интерполяцией;</w:t>
      </w:r>
    </w:p>
    <w:bookmarkEnd w:id="1851"/>
    <w:bookmarkStart w:name="z1852" w:id="1852"/>
    <w:p>
      <w:pPr>
        <w:spacing w:after="0"/>
        <w:ind w:left="0"/>
        <w:jc w:val="both"/>
      </w:pPr>
      <w:r>
        <w:rPr>
          <w:rFonts w:ascii="Times New Roman"/>
          <w:b w:val="false"/>
          <w:i w:val="false"/>
          <w:color w:val="000000"/>
          <w:sz w:val="28"/>
        </w:rPr>
        <w:t>
      4) если на крышках грузовых люков предусмотрена перевозка контейнеров или любого другого груза, размеры подкрепления стенки комингса назначаются с учетом восприятия ими как вертикальной, так и горизонтальной составляющей сил инерции при бортовой качке судна.</w:t>
      </w:r>
    </w:p>
    <w:bookmarkEnd w:id="1852"/>
    <w:bookmarkStart w:name="z1853" w:id="1853"/>
    <w:p>
      <w:pPr>
        <w:spacing w:after="0"/>
        <w:ind w:left="0"/>
        <w:jc w:val="both"/>
      </w:pPr>
      <w:r>
        <w:rPr>
          <w:rFonts w:ascii="Times New Roman"/>
          <w:b w:val="false"/>
          <w:i w:val="false"/>
          <w:color w:val="000000"/>
          <w:sz w:val="28"/>
        </w:rPr>
        <w:t xml:space="preserve">
      414. Если балка подпалубного рамного набора рассматривается как изолированная, момент сопротивления ее сечения равен не менее определяемого в пунктах 246 и 247 настоящих Правил. При этом расчетные нагрузки и коэффициент </w:t>
      </w:r>
    </w:p>
    <w:bookmarkEnd w:id="1853"/>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выбираются так же, как в пункте 410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bookmarkStart w:name="z1854" w:id="1854"/>
    <w:p>
      <w:pPr>
        <w:spacing w:after="0"/>
        <w:ind w:left="0"/>
        <w:jc w:val="both"/>
      </w:pPr>
      <w:r>
        <w:rPr>
          <w:rFonts w:ascii="Times New Roman"/>
          <w:b w:val="false"/>
          <w:i w:val="false"/>
          <w:color w:val="000000"/>
          <w:sz w:val="28"/>
        </w:rPr>
        <w:t xml:space="preserve">
      Площадь сечения стенки такой балки равна не менее определяемой по формуле (55) настоящих Правил. При этом коэффициент </w:t>
      </w:r>
      <w:r>
        <w:rPr>
          <w:rFonts w:ascii="Times New Roman"/>
          <w:b w:val="false"/>
          <w:i/>
          <w:color w:val="000000"/>
          <w:sz w:val="28"/>
        </w:rPr>
        <w:t>k</w:t>
      </w:r>
      <w:r>
        <w:rPr>
          <w:rFonts w:ascii="Times New Roman"/>
          <w:b w:val="false"/>
          <w:i w:val="false"/>
          <w:color w:val="000000"/>
          <w:sz w:val="28"/>
        </w:rPr>
        <w:t xml:space="preserve"> определяется так же, как в пункте 410 настоящих Правил;</w:t>
      </w:r>
    </w:p>
    <w:bookmarkEnd w:id="185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2 главы 20 настоящих Правил.</w:t>
      </w:r>
    </w:p>
    <w:bookmarkStart w:name="z1855" w:id="1855"/>
    <w:p>
      <w:pPr>
        <w:spacing w:after="0"/>
        <w:ind w:left="0"/>
        <w:jc w:val="both"/>
      </w:pPr>
      <w:r>
        <w:rPr>
          <w:rFonts w:ascii="Times New Roman"/>
          <w:b w:val="false"/>
          <w:i w:val="false"/>
          <w:color w:val="000000"/>
          <w:sz w:val="28"/>
        </w:rPr>
        <w:t>
      415. Размеры рамного подпалубного набора верхней палубы в средней части судна длиной 65 м и более удовлетворяют условиям устойчивости согласно параграфу 4 главы 13 настоящих Правил, определяемых расчетом палубного перекрытия как стержневой системы.</w:t>
      </w:r>
    </w:p>
    <w:bookmarkEnd w:id="1855"/>
    <w:bookmarkStart w:name="z1856" w:id="1856"/>
    <w:p>
      <w:pPr>
        <w:spacing w:after="0"/>
        <w:ind w:left="0"/>
        <w:jc w:val="both"/>
      </w:pPr>
      <w:r>
        <w:rPr>
          <w:rFonts w:ascii="Times New Roman"/>
          <w:b w:val="false"/>
          <w:i w:val="false"/>
          <w:color w:val="000000"/>
          <w:sz w:val="28"/>
        </w:rPr>
        <w:t xml:space="preserve">
      При продольной системе набора и отсутствии карлингсов или в случае, когда карлингсы являются жесткими опорами для рамных бимсов, взамен расчета перекрытия требуемый момент инерции рамных бимсов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определяется по формуле:</w:t>
      </w:r>
    </w:p>
    <w:bookmarkEnd w:id="185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б</w:t>
      </w:r>
      <w:r>
        <w:rPr>
          <w:rFonts w:ascii="Times New Roman"/>
          <w:b w:val="false"/>
          <w:i w:val="false"/>
          <w:color w:val="000000"/>
          <w:sz w:val="28"/>
        </w:rPr>
        <w:t xml:space="preserve"> = 0,76(</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с</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19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90500" cy="419100"/>
                    </a:xfrm>
                    <a:prstGeom prst="rect">
                      <a:avLst/>
                    </a:prstGeom>
                  </pic:spPr>
                </pic:pic>
              </a:graphicData>
            </a:graphic>
          </wp:inline>
        </w:drawing>
      </w:r>
    </w:p>
    <w:p>
      <w:pPr>
        <w:spacing w:after="0"/>
        <w:ind w:left="0"/>
        <w:jc w:val="left"/>
      </w:pPr>
      <w:r>
        <w:rPr>
          <w:rFonts w:ascii="Times New Roman"/>
          <w:b w:val="false"/>
          <w:i/>
          <w:color w:val="000000"/>
          <w:sz w:val="28"/>
        </w:rPr>
        <w:t>i</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(122)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пролет рамного бимса между опорами, м;</w:t>
      </w:r>
    </w:p>
    <w:p>
      <w:pPr>
        <w:spacing w:after="0"/>
        <w:ind w:left="0"/>
        <w:jc w:val="both"/>
      </w:pPr>
      <w:r>
        <w:rPr>
          <w:rFonts w:ascii="Times New Roman"/>
          <w:b w:val="false"/>
          <w:i w:val="false"/>
          <w:color w:val="000000"/>
          <w:sz w:val="28"/>
        </w:rPr>
        <w:t>
      c —расстояние между рамными бимсами,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расстояние между продольными подпалубными балками, м;</w:t>
      </w:r>
    </w:p>
    <w:p>
      <w:pPr>
        <w:spacing w:after="0"/>
        <w:ind w:left="0"/>
        <w:jc w:val="both"/>
      </w:pPr>
      <w:r>
        <w:rPr>
          <w:rFonts w:ascii="Times New Roman"/>
          <w:b w:val="false"/>
          <w:i w:val="false"/>
          <w:color w:val="000000"/>
          <w:sz w:val="28"/>
        </w:rPr>
        <w:t>
      i — фактический момент инерции подпалубной балки с присоединенным пояском,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при 1,15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4,6(1 – 1,15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при 1,15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vertAlign w:val="subscript"/>
        </w:rPr>
        <w:t xml:space="preserve"> </w:t>
      </w:r>
      <w:r>
        <w:rPr>
          <w:rFonts w:ascii="Times New Roman"/>
          <w:b w:val="false"/>
          <w:i w:val="false"/>
          <w:color w:val="000000"/>
          <w:sz w:val="28"/>
        </w:rPr>
        <w:t>&gt; 0,5</w:t>
      </w:r>
      <w:r>
        <w:rPr>
          <w:rFonts w:ascii="Times New Roman"/>
          <w:b w:val="false"/>
          <w:i/>
          <w:color w:val="000000"/>
          <w:sz w:val="28"/>
        </w:rPr>
        <w:t xml:space="preserve"> 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определяется по формуле (120) настоящих Правил, при </w:t>
      </w:r>
      <w:r>
        <w:rPr>
          <w:rFonts w:ascii="Times New Roman"/>
          <w:b w:val="false"/>
          <w:i/>
          <w:color w:val="000000"/>
          <w:sz w:val="28"/>
        </w:rPr>
        <w:t xml:space="preserve">l </w:t>
      </w:r>
      <w:r>
        <w:rPr>
          <w:rFonts w:ascii="Times New Roman"/>
          <w:b w:val="false"/>
          <w:i w:val="false"/>
          <w:color w:val="000000"/>
          <w:sz w:val="28"/>
        </w:rPr>
        <w:t>=   1,15</w:t>
      </w:r>
    </w:p>
    <w:p>
      <w:pPr>
        <w:spacing w:after="0"/>
        <w:ind w:left="0"/>
        <w:jc w:val="both"/>
      </w:pPr>
      <w:r>
        <w:drawing>
          <wp:inline distT="0" distB="0" distL="0" distR="0">
            <wp:extent cx="381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810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сжимающее напряжение согласно пункту 252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e</w:t>
      </w:r>
      <w:r>
        <w:rPr>
          <w:rFonts w:ascii="Times New Roman"/>
          <w:b w:val="false"/>
          <w:i w:val="false"/>
          <w:color w:val="000000"/>
          <w:sz w:val="28"/>
        </w:rPr>
        <w:t xml:space="preserve"> — фактические эйлеровы напряжения продольных подпалубных балок, определяемые согласно пункту 255 настоящих Правил.</w:t>
      </w:r>
      <w:r>
        <w:br/>
      </w:r>
      <w:r>
        <w:rPr>
          <w:rFonts w:ascii="Times New Roman"/>
          <w:b w:val="false"/>
          <w:i w:val="false"/>
          <w:color w:val="000000"/>
          <w:sz w:val="28"/>
        </w:rPr>
        <w:t>
</w:t>
      </w:r>
    </w:p>
    <w:bookmarkStart w:name="z1857" w:id="1857"/>
    <w:p>
      <w:pPr>
        <w:spacing w:after="0"/>
        <w:ind w:left="0"/>
        <w:jc w:val="left"/>
      </w:pPr>
      <w:r>
        <w:rPr>
          <w:rFonts w:ascii="Times New Roman"/>
          <w:b/>
          <w:i w:val="false"/>
          <w:color w:val="000000"/>
        </w:rPr>
        <w:t xml:space="preserve"> Параграф 4. Специальные требования</w:t>
      </w:r>
    </w:p>
    <w:bookmarkEnd w:id="1857"/>
    <w:bookmarkStart w:name="z1858" w:id="1858"/>
    <w:p>
      <w:pPr>
        <w:spacing w:after="0"/>
        <w:ind w:left="0"/>
        <w:jc w:val="both"/>
      </w:pPr>
      <w:r>
        <w:rPr>
          <w:rFonts w:ascii="Times New Roman"/>
          <w:b w:val="false"/>
          <w:i w:val="false"/>
          <w:color w:val="000000"/>
          <w:sz w:val="28"/>
        </w:rPr>
        <w:t>
      416. Требования к оформлению люковых вырезов, приведенные ниже, относятся к одинарным вырезам, размеры которых не превышают указанных в параграфе 1 главы 20 настоящих Правил.</w:t>
      </w:r>
    </w:p>
    <w:bookmarkEnd w:id="1858"/>
    <w:bookmarkStart w:name="z1859" w:id="1859"/>
    <w:p>
      <w:pPr>
        <w:spacing w:after="0"/>
        <w:ind w:left="0"/>
        <w:jc w:val="both"/>
      </w:pPr>
      <w:r>
        <w:rPr>
          <w:rFonts w:ascii="Times New Roman"/>
          <w:b w:val="false"/>
          <w:i w:val="false"/>
          <w:color w:val="000000"/>
          <w:sz w:val="28"/>
        </w:rPr>
        <w:t>
      Предполагается, что вырезы расположены большей стороной вдоль судна. При другом расположении вырезов их оформление является предметом специального рассмотрения Регистром судоходства.</w:t>
      </w:r>
    </w:p>
    <w:bookmarkEnd w:id="1859"/>
    <w:bookmarkStart w:name="z1860" w:id="1860"/>
    <w:p>
      <w:pPr>
        <w:spacing w:after="0"/>
        <w:ind w:left="0"/>
        <w:jc w:val="both"/>
      </w:pPr>
      <w:r>
        <w:rPr>
          <w:rFonts w:ascii="Times New Roman"/>
          <w:b w:val="false"/>
          <w:i w:val="false"/>
          <w:color w:val="000000"/>
          <w:sz w:val="28"/>
        </w:rPr>
        <w:t>
      417. Для расчетной палубы в средней части судна на участке протяженностью 0,6</w:t>
      </w:r>
      <w:r>
        <w:rPr>
          <w:rFonts w:ascii="Times New Roman"/>
          <w:b w:val="false"/>
          <w:i/>
          <w:color w:val="000000"/>
          <w:sz w:val="28"/>
        </w:rPr>
        <w:t>L</w:t>
      </w: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65 м и 0,5</w:t>
      </w:r>
      <w:r>
        <w:rPr>
          <w:rFonts w:ascii="Times New Roman"/>
          <w:b w:val="false"/>
          <w:i/>
          <w:color w:val="000000"/>
          <w:sz w:val="28"/>
        </w:rPr>
        <w:t>L</w:t>
      </w:r>
      <w:r>
        <w:rPr>
          <w:rFonts w:ascii="Times New Roman"/>
          <w:b w:val="false"/>
          <w:i w:val="false"/>
          <w:color w:val="000000"/>
          <w:sz w:val="28"/>
        </w:rPr>
        <w:t xml:space="preserve"> при 40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65 м размеры скругления углов вырезов грузовых люков и машинно-котельных шахт отвечают следующим требованиям:</w:t>
      </w:r>
    </w:p>
    <w:bookmarkEnd w:id="1860"/>
    <w:p>
      <w:pPr>
        <w:spacing w:after="0"/>
        <w:ind w:left="0"/>
        <w:jc w:val="both"/>
      </w:pPr>
      <w:r>
        <w:rPr>
          <w:rFonts w:ascii="Times New Roman"/>
          <w:b w:val="false"/>
          <w:i w:val="false"/>
          <w:color w:val="000000"/>
          <w:sz w:val="28"/>
        </w:rPr>
        <w:t xml:space="preserve">
      если скругление выполнено по дуге окружности радиуса </w:t>
      </w:r>
      <w:r>
        <w:rPr>
          <w:rFonts w:ascii="Times New Roman"/>
          <w:b w:val="false"/>
          <w:i/>
          <w:color w:val="000000"/>
          <w:sz w:val="28"/>
        </w:rPr>
        <w:t>r</w:t>
      </w:r>
      <w:r>
        <w:rPr>
          <w:rFonts w:ascii="Times New Roman"/>
          <w:b w:val="false"/>
          <w:i w:val="false"/>
          <w:color w:val="000000"/>
          <w:sz w:val="28"/>
        </w:rPr>
        <w:t>,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r </w:t>
      </w:r>
      <w:r>
        <w:rPr>
          <w:rFonts w:ascii="Times New Roman"/>
          <w:b w:val="false"/>
          <w:i w:val="false"/>
          <w:color w:val="000000"/>
          <w:sz w:val="28"/>
          <w:u w:val="single"/>
        </w:rPr>
        <w:t>&gt;</w:t>
      </w:r>
      <w:r>
        <w:rPr>
          <w:rFonts w:ascii="Times New Roman"/>
          <w:b w:val="false"/>
          <w:i w:val="false"/>
          <w:color w:val="000000"/>
          <w:sz w:val="28"/>
        </w:rPr>
        <w:t xml:space="preserve"> 0,1</w:t>
      </w:r>
      <w:r>
        <w:rPr>
          <w:rFonts w:ascii="Times New Roman"/>
          <w:b w:val="false"/>
          <w:i/>
          <w:color w:val="000000"/>
          <w:sz w:val="28"/>
        </w:rPr>
        <w:t>ab</w:t>
      </w:r>
      <w:r>
        <w:rPr>
          <w:rFonts w:ascii="Times New Roman"/>
          <w:b w:val="false"/>
          <w:i w:val="false"/>
          <w:color w:val="000000"/>
          <w:vertAlign w:val="subscript"/>
        </w:rPr>
        <w:t>1</w:t>
      </w:r>
      <w:r>
        <w:rPr>
          <w:rFonts w:ascii="Times New Roman"/>
          <w:b w:val="false"/>
          <w:i w:val="false"/>
          <w:color w:val="000000"/>
          <w:sz w:val="28"/>
        </w:rPr>
        <w:t>;                               (123)</w:t>
      </w:r>
    </w:p>
    <w:p>
      <w:pPr>
        <w:spacing w:after="0"/>
        <w:ind w:left="0"/>
        <w:jc w:val="both"/>
      </w:pPr>
      <w:r>
        <w:rPr>
          <w:rFonts w:ascii="Times New Roman"/>
          <w:b w:val="false"/>
          <w:i w:val="false"/>
          <w:color w:val="000000"/>
          <w:sz w:val="28"/>
        </w:rPr>
        <w:t xml:space="preserve">
      если скругление выполнено по дуге эллипса с отношением длины продольной полуоси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м, к длине поперечной полуоси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м, равным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c</w:t>
      </w:r>
      <w:r>
        <w:rPr>
          <w:rFonts w:ascii="Times New Roman"/>
          <w:b w:val="false"/>
          <w:i w:val="false"/>
          <w:color w:val="000000"/>
          <w:vertAlign w:val="subscript"/>
        </w:rPr>
        <w:t xml:space="preserve">1 </w:t>
      </w:r>
      <w:r>
        <w:rPr>
          <w:rFonts w:ascii="Times New Roman"/>
          <w:b w:val="false"/>
          <w:i w:val="false"/>
          <w:color w:val="000000"/>
          <w:sz w:val="28"/>
          <w:u w:val="single"/>
        </w:rPr>
        <w:t>&gt;</w:t>
      </w:r>
      <w:r>
        <w:rPr>
          <w:rFonts w:ascii="Times New Roman"/>
          <w:b w:val="false"/>
          <w:i w:val="false"/>
          <w:color w:val="000000"/>
          <w:sz w:val="28"/>
        </w:rPr>
        <w:t xml:space="preserve"> 0,07</w:t>
      </w:r>
      <w:r>
        <w:rPr>
          <w:rFonts w:ascii="Times New Roman"/>
          <w:b w:val="false"/>
          <w:i/>
          <w:color w:val="000000"/>
          <w:sz w:val="28"/>
        </w:rPr>
        <w:t>ab</w:t>
      </w:r>
      <w:r>
        <w:rPr>
          <w:rFonts w:ascii="Times New Roman"/>
          <w:b w:val="false"/>
          <w:i w:val="false"/>
          <w:color w:val="000000"/>
          <w:vertAlign w:val="subscript"/>
        </w:rPr>
        <w:t>1</w:t>
      </w:r>
      <w:r>
        <w:rPr>
          <w:rFonts w:ascii="Times New Roman"/>
          <w:b w:val="false"/>
          <w:i w:val="false"/>
          <w:color w:val="000000"/>
          <w:sz w:val="28"/>
        </w:rPr>
        <w:t>,                             (124)</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1, если углы выреза не подкреплены утолщенными вварными листами;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0,7, если углы выреза подкреплены утолщенными вварными листами;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при </w:t>
      </w:r>
      <w:r>
        <w:rPr>
          <w:rFonts w:ascii="Times New Roman"/>
          <w:b w:val="false"/>
          <w:i/>
          <w:color w:val="000000"/>
          <w:sz w:val="28"/>
        </w:rPr>
        <w:t xml:space="preserve">c </w:t>
      </w:r>
      <w:r>
        <w:rPr>
          <w:rFonts w:ascii="Times New Roman"/>
          <w:b w:val="false"/>
          <w:i w:val="false"/>
          <w:color w:val="000000"/>
          <w:sz w:val="28"/>
          <w:u w:val="single"/>
        </w:rPr>
        <w:t>&lt;</w:t>
      </w:r>
      <w:r>
        <w:rPr>
          <w:rFonts w:ascii="Times New Roman"/>
          <w:b w:val="false"/>
          <w:i/>
          <w:color w:val="000000"/>
          <w:sz w:val="28"/>
        </w:rPr>
        <w:t xml:space="preserve"> с</w:t>
      </w:r>
      <w:r>
        <w:rPr>
          <w:rFonts w:ascii="Times New Roman"/>
          <w:b w:val="false"/>
          <w:i w:val="false"/>
          <w:color w:val="000000"/>
          <w:vertAlign w:val="subscript"/>
        </w:rPr>
        <w:t>0</w:t>
      </w:r>
      <w:r>
        <w:rPr>
          <w:rFonts w:ascii="Times New Roman"/>
          <w:b w:val="false"/>
          <w:i w:val="false"/>
          <w:color w:val="000000"/>
          <w:sz w:val="28"/>
        </w:rPr>
        <w:t xml:space="preserve"> для смежных кромок последовательно расположенных вырезов;</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при </w:t>
      </w:r>
      <w:r>
        <w:rPr>
          <w:rFonts w:ascii="Times New Roman"/>
          <w:b w:val="false"/>
          <w:i/>
          <w:color w:val="000000"/>
          <w:sz w:val="28"/>
        </w:rPr>
        <w:t>с</w:t>
      </w:r>
      <w:r>
        <w:rPr>
          <w:rFonts w:ascii="Times New Roman"/>
          <w:b w:val="false"/>
          <w:i w:val="false"/>
          <w:color w:val="000000"/>
          <w:sz w:val="28"/>
        </w:rPr>
        <w:t xml:space="preserve"> &gt; </w:t>
      </w:r>
      <w:r>
        <w:rPr>
          <w:rFonts w:ascii="Times New Roman"/>
          <w:b w:val="false"/>
          <w:i/>
          <w:color w:val="000000"/>
          <w:sz w:val="28"/>
        </w:rPr>
        <w:t>с</w:t>
      </w:r>
      <w:r>
        <w:rPr>
          <w:rFonts w:ascii="Times New Roman"/>
          <w:b w:val="false"/>
          <w:i w:val="false"/>
          <w:color w:val="000000"/>
          <w:vertAlign w:val="subscript"/>
        </w:rPr>
        <w:t>0</w:t>
      </w:r>
      <w:r>
        <w:rPr>
          <w:rFonts w:ascii="Times New Roman"/>
          <w:b w:val="false"/>
          <w:i w:val="false"/>
          <w:color w:val="000000"/>
          <w:sz w:val="28"/>
        </w:rPr>
        <w:t xml:space="preserve"> для смежных кромок последовательно расположенных вырезов и для всех остальных случаев;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расстояние между смежными кромками последовательно расположенных вырезов (размер перемычки между вырезами), м;</w:t>
      </w:r>
    </w:p>
    <w:p>
      <w:pPr>
        <w:spacing w:after="0"/>
        <w:ind w:left="0"/>
        <w:jc w:val="both"/>
      </w:pPr>
      <w:r>
        <w:rPr>
          <w:rFonts w:ascii="Times New Roman"/>
          <w:b w:val="false"/>
          <w:i w:val="false"/>
          <w:color w:val="000000"/>
          <w:sz w:val="28"/>
        </w:rPr>
        <w:t>
      b — ширина выреза,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308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длина выреза, м.</w:t>
      </w:r>
    </w:p>
    <w:bookmarkStart w:name="z1861" w:id="1861"/>
    <w:p>
      <w:pPr>
        <w:spacing w:after="0"/>
        <w:ind w:left="0"/>
        <w:jc w:val="both"/>
      </w:pPr>
      <w:r>
        <w:rPr>
          <w:rFonts w:ascii="Times New Roman"/>
          <w:b w:val="false"/>
          <w:i w:val="false"/>
          <w:color w:val="000000"/>
          <w:sz w:val="28"/>
        </w:rPr>
        <w:t xml:space="preserve">
      Размеры утолщенных вварных листов, подкрепляющих углы вырезов, соответствуют указанным в приложении 63 настоящих Правил или требуемым в пункте 421 настоящих Правил, где </w:t>
      </w:r>
      <w:r>
        <w:rPr>
          <w:rFonts w:ascii="Times New Roman"/>
          <w:b w:val="false"/>
          <w:i/>
          <w:color w:val="000000"/>
          <w:sz w:val="28"/>
        </w:rPr>
        <w:t>r</w:t>
      </w:r>
      <w:r>
        <w:rPr>
          <w:rFonts w:ascii="Times New Roman"/>
          <w:b w:val="false"/>
          <w:i w:val="false"/>
          <w:color w:val="000000"/>
          <w:sz w:val="28"/>
        </w:rPr>
        <w:t xml:space="preserve"> определяется по формуле (123) настоящих Правил, если скругление выполнено по дуге окружности;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для поперечных размеров вварного листа и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для его продольных размеров, если скругление выполнено по дуге эллипса, и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определяется по формуле (124) настоящих Правил.</w:t>
      </w:r>
    </w:p>
    <w:bookmarkEnd w:id="1861"/>
    <w:bookmarkStart w:name="z1862" w:id="1862"/>
    <w:p>
      <w:pPr>
        <w:spacing w:after="0"/>
        <w:ind w:left="0"/>
        <w:jc w:val="both"/>
      </w:pPr>
      <w:r>
        <w:rPr>
          <w:rFonts w:ascii="Times New Roman"/>
          <w:b w:val="false"/>
          <w:i w:val="false"/>
          <w:color w:val="000000"/>
          <w:sz w:val="28"/>
        </w:rPr>
        <w:t>
      418. Для расчетной палубы вне участка, указанного в пункте 417 настоящих Правил, а также для второй непрерывной палубы, расположенной выше 0,75</w:t>
      </w:r>
      <w:r>
        <w:rPr>
          <w:rFonts w:ascii="Times New Roman"/>
          <w:b w:val="false"/>
          <w:i/>
          <w:color w:val="000000"/>
          <w:sz w:val="28"/>
        </w:rPr>
        <w:t>D</w:t>
      </w:r>
      <w:r>
        <w:rPr>
          <w:rFonts w:ascii="Times New Roman"/>
          <w:b w:val="false"/>
          <w:i w:val="false"/>
          <w:color w:val="000000"/>
          <w:sz w:val="28"/>
        </w:rPr>
        <w:t xml:space="preserve"> от основной плоскости, в средней части судна согласно параграфу 3 главы 8 настоящих Правил, размеры скруглений вырезов, требуемые в пункте 417 настоящих Правил, уменьшают вдвое. При этом минимальный размер скругления не принимается менее 0,2 м.</w:t>
      </w:r>
    </w:p>
    <w:bookmarkEnd w:id="1862"/>
    <w:bookmarkStart w:name="z1863" w:id="1863"/>
    <w:p>
      <w:pPr>
        <w:spacing w:after="0"/>
        <w:ind w:left="0"/>
        <w:jc w:val="both"/>
      </w:pPr>
      <w:r>
        <w:rPr>
          <w:rFonts w:ascii="Times New Roman"/>
          <w:b w:val="false"/>
          <w:i w:val="false"/>
          <w:color w:val="000000"/>
          <w:sz w:val="28"/>
        </w:rPr>
        <w:t>
      Для остальных районов, прочих палуб и платформ, а также на судах длиной менее 40 м минимальный размер скруглений углов вырезов грузовых люков и машинно-котельных шахт принимается равным 0,15 м.</w:t>
      </w:r>
    </w:p>
    <w:bookmarkEnd w:id="1863"/>
    <w:bookmarkStart w:name="z1864" w:id="1864"/>
    <w:p>
      <w:pPr>
        <w:spacing w:after="0"/>
        <w:ind w:left="0"/>
        <w:jc w:val="both"/>
      </w:pPr>
      <w:r>
        <w:rPr>
          <w:rFonts w:ascii="Times New Roman"/>
          <w:b w:val="false"/>
          <w:i w:val="false"/>
          <w:color w:val="000000"/>
          <w:sz w:val="28"/>
        </w:rPr>
        <w:t>
      419. Размеры скруглений углов вырезов грузовых люков палуб (независимо от их расположения по длине и высоте корпуса судна), подвергающихся воздействию низких температур, отвечают требованиям к аналогичным конструкциям расчетной палубы, расположенным в средней части судна (пункт 417 настоящих Правил).</w:t>
      </w:r>
    </w:p>
    <w:bookmarkEnd w:id="1864"/>
    <w:bookmarkStart w:name="z1865" w:id="1865"/>
    <w:p>
      <w:pPr>
        <w:spacing w:after="0"/>
        <w:ind w:left="0"/>
        <w:jc w:val="both"/>
      </w:pPr>
      <w:r>
        <w:rPr>
          <w:rFonts w:ascii="Times New Roman"/>
          <w:b w:val="false"/>
          <w:i w:val="false"/>
          <w:color w:val="000000"/>
          <w:sz w:val="28"/>
        </w:rPr>
        <w:t>
      420. В районе А (приложение 63 настоящих Правил) не следует располагать стыки листов палубного настила и стенок комингсов, стыковые соединения продольных балок основного и рамного набора, выполнять отверстия, приваривать к настилу палуб скобы, рамы, а также монтажные детали.</w:t>
      </w:r>
    </w:p>
    <w:bookmarkEnd w:id="1865"/>
    <w:bookmarkStart w:name="z1866" w:id="1866"/>
    <w:p>
      <w:pPr>
        <w:spacing w:after="0"/>
        <w:ind w:left="0"/>
        <w:jc w:val="both"/>
      </w:pPr>
      <w:r>
        <w:rPr>
          <w:rFonts w:ascii="Times New Roman"/>
          <w:b w:val="false"/>
          <w:i w:val="false"/>
          <w:color w:val="000000"/>
          <w:sz w:val="28"/>
        </w:rPr>
        <w:t>
      В районе С (приложение 63 настоящих Правил) допускается располагать лишь малые вырезы, как правило, круглой или эллиптической формы, с минимальным размером выреза, не превышающим 20</w:t>
      </w:r>
      <w:r>
        <w:rPr>
          <w:rFonts w:ascii="Times New Roman"/>
          <w:b w:val="false"/>
          <w:i/>
          <w:color w:val="000000"/>
          <w:sz w:val="28"/>
        </w:rPr>
        <w:t>s</w:t>
      </w: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толщина палубного настила, мм). Следует по возможности избегать выхода сварных швов на продольные кромки вырезов.</w:t>
      </w:r>
    </w:p>
    <w:bookmarkEnd w:id="1866"/>
    <w:bookmarkStart w:name="z1867" w:id="1867"/>
    <w:p>
      <w:pPr>
        <w:spacing w:after="0"/>
        <w:ind w:left="0"/>
        <w:jc w:val="both"/>
      </w:pPr>
      <w:r>
        <w:rPr>
          <w:rFonts w:ascii="Times New Roman"/>
          <w:b w:val="false"/>
          <w:i w:val="false"/>
          <w:color w:val="000000"/>
          <w:sz w:val="28"/>
        </w:rPr>
        <w:t>
      Если палубный настил прерывается у комингса грузового люка (или шахты машинного отделения) и приваривается к нему, применяется сварка с полным проваром. Если палубный настил прорезает комингс, необходимо чтобы свободные кромки настила внутри люка были гладкими: к ним не привариваются какие-либо детали.</w:t>
      </w:r>
    </w:p>
    <w:bookmarkEnd w:id="1867"/>
    <w:bookmarkStart w:name="z1868" w:id="1868"/>
    <w:p>
      <w:pPr>
        <w:spacing w:after="0"/>
        <w:ind w:left="0"/>
        <w:jc w:val="both"/>
      </w:pPr>
      <w:r>
        <w:rPr>
          <w:rFonts w:ascii="Times New Roman"/>
          <w:b w:val="false"/>
          <w:i w:val="false"/>
          <w:color w:val="000000"/>
          <w:sz w:val="28"/>
        </w:rPr>
        <w:t>
      Если продольный комингс грузового люка заканчивается кницей, конец ее не совмещается со стыком листов палубного настила.</w:t>
      </w:r>
    </w:p>
    <w:bookmarkEnd w:id="1868"/>
    <w:bookmarkStart w:name="z1869" w:id="1869"/>
    <w:p>
      <w:pPr>
        <w:spacing w:after="0"/>
        <w:ind w:left="0"/>
        <w:jc w:val="both"/>
      </w:pPr>
      <w:r>
        <w:rPr>
          <w:rFonts w:ascii="Times New Roman"/>
          <w:b w:val="false"/>
          <w:i w:val="false"/>
          <w:color w:val="000000"/>
          <w:sz w:val="28"/>
        </w:rPr>
        <w:t xml:space="preserve">
      421. При необходимости компенсации потерянной площади поперечного сечения палубы в районе изолированного выреза выполняется подкрепление, конструкция которого показана в приложении 64 настоящих Правил. Значение коэффициента </w:t>
      </w:r>
      <w:r>
        <w:rPr>
          <w:rFonts w:ascii="Times New Roman"/>
          <w:b w:val="false"/>
          <w:i/>
          <w:color w:val="000000"/>
          <w:sz w:val="28"/>
        </w:rPr>
        <w:t>k</w:t>
      </w:r>
      <w:r>
        <w:rPr>
          <w:rFonts w:ascii="Times New Roman"/>
          <w:b w:val="false"/>
          <w:i w:val="false"/>
          <w:color w:val="000000"/>
          <w:sz w:val="28"/>
        </w:rPr>
        <w:t xml:space="preserve"> выбирается в зависимости от соотношения толщины палубного настила </w:t>
      </w:r>
      <w:r>
        <w:rPr>
          <w:rFonts w:ascii="Times New Roman"/>
          <w:b w:val="false"/>
          <w:i/>
          <w:color w:val="000000"/>
          <w:sz w:val="28"/>
        </w:rPr>
        <w:t>s</w:t>
      </w:r>
      <w:r>
        <w:rPr>
          <w:rFonts w:ascii="Times New Roman"/>
          <w:b w:val="false"/>
          <w:i w:val="false"/>
          <w:color w:val="000000"/>
          <w:sz w:val="28"/>
        </w:rPr>
        <w:t xml:space="preserve">, толщины подкрепляющего листа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и ширины выреза </w:t>
      </w:r>
      <w:r>
        <w:rPr>
          <w:rFonts w:ascii="Times New Roman"/>
          <w:b w:val="false"/>
          <w:i/>
          <w:color w:val="000000"/>
          <w:sz w:val="28"/>
        </w:rPr>
        <w:t>b</w:t>
      </w:r>
      <w:r>
        <w:rPr>
          <w:rFonts w:ascii="Times New Roman"/>
          <w:b w:val="false"/>
          <w:i w:val="false"/>
          <w:color w:val="000000"/>
          <w:sz w:val="28"/>
        </w:rPr>
        <w:t xml:space="preserve">, но не следует принимать его менее чем </w:t>
      </w:r>
      <w:r>
        <w:rPr>
          <w:rFonts w:ascii="Times New Roman"/>
          <w:b w:val="false"/>
          <w:i/>
          <w:color w:val="000000"/>
          <w:sz w:val="28"/>
        </w:rPr>
        <w:t>k</w:t>
      </w:r>
      <w:r>
        <w:rPr>
          <w:rFonts w:ascii="Times New Roman"/>
          <w:b w:val="false"/>
          <w:i w:val="false"/>
          <w:color w:val="000000"/>
          <w:sz w:val="28"/>
        </w:rPr>
        <w:t xml:space="preserve"> = 0,35</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w:t>
      </w:r>
    </w:p>
    <w:bookmarkEnd w:id="1869"/>
    <w:bookmarkStart w:name="z1870" w:id="1870"/>
    <w:p>
      <w:pPr>
        <w:spacing w:after="0"/>
        <w:ind w:left="0"/>
        <w:jc w:val="both"/>
      </w:pPr>
      <w:r>
        <w:rPr>
          <w:rFonts w:ascii="Times New Roman"/>
          <w:b w:val="false"/>
          <w:i w:val="false"/>
          <w:color w:val="000000"/>
          <w:sz w:val="28"/>
        </w:rPr>
        <w:t>
      422. Толщина листов палубного настила между поперечными кромками соседних, последовательно расположенных вырезов грузовых люков и машинных шахт (пункт 417 настоящих Правил) в пределах их ширины за вычетом поперечных размеров скругления должна быть не менее указанной в подпункте 5) пункта 407 настоящих Правил.</w:t>
      </w:r>
    </w:p>
    <w:bookmarkEnd w:id="1870"/>
    <w:bookmarkStart w:name="z1871" w:id="1871"/>
    <w:p>
      <w:pPr>
        <w:spacing w:after="0"/>
        <w:ind w:left="0"/>
        <w:jc w:val="both"/>
      </w:pPr>
      <w:r>
        <w:rPr>
          <w:rFonts w:ascii="Times New Roman"/>
          <w:b w:val="false"/>
          <w:i w:val="false"/>
          <w:color w:val="000000"/>
          <w:sz w:val="28"/>
        </w:rPr>
        <w:t xml:space="preserve">
      У поперечных кромок изолированных вырезов толщина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допускается на участке, показанном в приложении 65 настоящих Правил.</w:t>
      </w:r>
    </w:p>
    <w:bookmarkEnd w:id="1871"/>
    <w:bookmarkStart w:name="z1872" w:id="1872"/>
    <w:p>
      <w:pPr>
        <w:spacing w:after="0"/>
        <w:ind w:left="0"/>
        <w:jc w:val="both"/>
      </w:pPr>
      <w:r>
        <w:rPr>
          <w:rFonts w:ascii="Times New Roman"/>
          <w:b w:val="false"/>
          <w:i w:val="false"/>
          <w:color w:val="000000"/>
          <w:sz w:val="28"/>
        </w:rPr>
        <w:t>
      При продольной системе набора настил палубы на участке между поперечными комингсами грузовых люков дополнительно подкрепляют установкой на каждом шпангоуте разрезных поперечных ребер.</w:t>
      </w:r>
    </w:p>
    <w:bookmarkEnd w:id="1872"/>
    <w:bookmarkStart w:name="z1873" w:id="1873"/>
    <w:p>
      <w:pPr>
        <w:spacing w:after="0"/>
        <w:ind w:left="0"/>
        <w:jc w:val="both"/>
      </w:pPr>
      <w:r>
        <w:rPr>
          <w:rFonts w:ascii="Times New Roman"/>
          <w:b w:val="false"/>
          <w:i w:val="false"/>
          <w:color w:val="000000"/>
          <w:sz w:val="28"/>
        </w:rPr>
        <w:t>
      423. Одинарные вырезы в расчетной палубе и второй непрерывной палубе, расположенной выше 0,75</w:t>
      </w:r>
      <w:r>
        <w:rPr>
          <w:rFonts w:ascii="Times New Roman"/>
          <w:b w:val="false"/>
          <w:i/>
          <w:color w:val="000000"/>
          <w:sz w:val="28"/>
        </w:rPr>
        <w:t>D</w:t>
      </w:r>
      <w:r>
        <w:rPr>
          <w:rFonts w:ascii="Times New Roman"/>
          <w:b w:val="false"/>
          <w:i w:val="false"/>
          <w:color w:val="000000"/>
          <w:sz w:val="28"/>
        </w:rPr>
        <w:t xml:space="preserve"> от основной плоскости, на участках в средней части судна, указанных в пунктах 417 и 418 настоящих Правил, при </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xml:space="preserve"> 40 м на ширине от борта до линии вырезов грузовых люков должны иметь возможно меньшие размеры и располагаться на достаточном удалении от углов вырезов грузовых люков и машинно-котельных шахт, а также концов надстроек.</w:t>
      </w:r>
    </w:p>
    <w:bookmarkEnd w:id="1873"/>
    <w:bookmarkStart w:name="z1874" w:id="1874"/>
    <w:p>
      <w:pPr>
        <w:spacing w:after="0"/>
        <w:ind w:left="0"/>
        <w:jc w:val="both"/>
      </w:pPr>
      <w:r>
        <w:rPr>
          <w:rFonts w:ascii="Times New Roman"/>
          <w:b w:val="false"/>
          <w:i w:val="false"/>
          <w:color w:val="000000"/>
          <w:sz w:val="28"/>
        </w:rPr>
        <w:t>
      Прямоугольные и круглые вырезы в указанных районах могут не подкрепляться, если их ширина (диаметр) менее 20 толщин настила палубы в районе выреза или 300 мм, в зависимости от того, что меньше.</w:t>
      </w:r>
    </w:p>
    <w:bookmarkEnd w:id="1874"/>
    <w:bookmarkStart w:name="z1875" w:id="1875"/>
    <w:p>
      <w:pPr>
        <w:spacing w:after="0"/>
        <w:ind w:left="0"/>
        <w:jc w:val="both"/>
      </w:pPr>
      <w:r>
        <w:rPr>
          <w:rFonts w:ascii="Times New Roman"/>
          <w:b w:val="false"/>
          <w:i w:val="false"/>
          <w:color w:val="000000"/>
          <w:sz w:val="28"/>
        </w:rPr>
        <w:t>
      424. Не допускаются вырезы в утолщенных листах, подкрепляющих углы грузовых люков и машинно-котельных шахт, а также в утолщенных листах палубного стрингера у концов надстроек и книц, которыми заканчиваются продольные комингсы.</w:t>
      </w:r>
    </w:p>
    <w:bookmarkEnd w:id="1875"/>
    <w:bookmarkStart w:name="z1876" w:id="1876"/>
    <w:p>
      <w:pPr>
        <w:spacing w:after="0"/>
        <w:ind w:left="0"/>
        <w:jc w:val="both"/>
      </w:pPr>
      <w:r>
        <w:rPr>
          <w:rFonts w:ascii="Times New Roman"/>
          <w:b w:val="false"/>
          <w:i w:val="false"/>
          <w:color w:val="000000"/>
          <w:sz w:val="28"/>
        </w:rPr>
        <w:t>
      Не требуется подкреплять вырезы (в том числе и прямоугольные), расположенные внутри линии вырезов грузовых люков не далее 0,25</w:t>
      </w:r>
      <w:r>
        <w:rPr>
          <w:rFonts w:ascii="Times New Roman"/>
          <w:b w:val="false"/>
          <w:i/>
          <w:color w:val="000000"/>
          <w:sz w:val="28"/>
        </w:rPr>
        <w:t>b</w:t>
      </w:r>
      <w:r>
        <w:rPr>
          <w:rFonts w:ascii="Times New Roman"/>
          <w:b w:val="false"/>
          <w:i w:val="false"/>
          <w:color w:val="000000"/>
          <w:sz w:val="28"/>
        </w:rPr>
        <w:t xml:space="preserve"> от диаметральной плоскости и 0,5</w:t>
      </w:r>
      <w:r>
        <w:rPr>
          <w:rFonts w:ascii="Times New Roman"/>
          <w:b w:val="false"/>
          <w:i/>
          <w:color w:val="000000"/>
          <w:sz w:val="28"/>
        </w:rPr>
        <w:t>b</w:t>
      </w:r>
      <w:r>
        <w:rPr>
          <w:rFonts w:ascii="Times New Roman"/>
          <w:b w:val="false"/>
          <w:i w:val="false"/>
          <w:color w:val="000000"/>
          <w:sz w:val="28"/>
        </w:rPr>
        <w:t xml:space="preserve"> от поперечных кромок грузового люка (где </w:t>
      </w:r>
      <w:r>
        <w:rPr>
          <w:rFonts w:ascii="Times New Roman"/>
          <w:b w:val="false"/>
          <w:i/>
          <w:color w:val="000000"/>
          <w:sz w:val="28"/>
        </w:rPr>
        <w:t>b</w:t>
      </w:r>
      <w:r>
        <w:rPr>
          <w:rFonts w:ascii="Times New Roman"/>
          <w:b w:val="false"/>
          <w:i w:val="false"/>
          <w:color w:val="000000"/>
          <w:sz w:val="28"/>
        </w:rPr>
        <w:t xml:space="preserve"> — ширина грузового люка, м).</w:t>
      </w:r>
    </w:p>
    <w:bookmarkEnd w:id="1876"/>
    <w:bookmarkStart w:name="z1877" w:id="1877"/>
    <w:p>
      <w:pPr>
        <w:spacing w:after="0"/>
        <w:ind w:left="0"/>
        <w:jc w:val="both"/>
      </w:pPr>
      <w:r>
        <w:rPr>
          <w:rFonts w:ascii="Times New Roman"/>
          <w:b w:val="false"/>
          <w:i w:val="false"/>
          <w:color w:val="000000"/>
          <w:sz w:val="28"/>
        </w:rPr>
        <w:t>
      Подкрепление изолированных вырезов, расположенных на участке, показанном в приложении 64 настоящих Правил, не требуется.</w:t>
      </w:r>
    </w:p>
    <w:bookmarkEnd w:id="1877"/>
    <w:bookmarkStart w:name="z1878" w:id="1878"/>
    <w:p>
      <w:pPr>
        <w:spacing w:after="0"/>
        <w:ind w:left="0"/>
        <w:jc w:val="both"/>
      </w:pPr>
      <w:r>
        <w:rPr>
          <w:rFonts w:ascii="Times New Roman"/>
          <w:b w:val="false"/>
          <w:i w:val="false"/>
          <w:color w:val="000000"/>
          <w:sz w:val="28"/>
        </w:rPr>
        <w:t>
      425. Если на расчетной палубе расстояние между кромкой выреза и бортом (продольным комингсом люка) меньше двойной ширины выреза, независимо от ширины и формы выреза необходимо выполнение подкреплений. При этом указанное выше расстояние не должно приниматься менее 75 мм.</w:t>
      </w:r>
    </w:p>
    <w:bookmarkEnd w:id="1878"/>
    <w:bookmarkStart w:name="z1879" w:id="1879"/>
    <w:p>
      <w:pPr>
        <w:spacing w:after="0"/>
        <w:ind w:left="0"/>
        <w:jc w:val="both"/>
      </w:pPr>
      <w:r>
        <w:rPr>
          <w:rFonts w:ascii="Times New Roman"/>
          <w:b w:val="false"/>
          <w:i w:val="false"/>
          <w:color w:val="000000"/>
          <w:sz w:val="28"/>
        </w:rPr>
        <w:t xml:space="preserve">
      Углы прямоугольных вырезов должны быть скруглены по радиусу. Как правило, </w:t>
      </w:r>
      <w:r>
        <w:rPr>
          <w:rFonts w:ascii="Times New Roman"/>
          <w:b w:val="false"/>
          <w:i/>
          <w:color w:val="000000"/>
          <w:sz w:val="28"/>
        </w:rPr>
        <w:t>r</w:t>
      </w:r>
      <w:r>
        <w:rPr>
          <w:rFonts w:ascii="Times New Roman"/>
          <w:b w:val="false"/>
          <w:i w:val="false"/>
          <w:color w:val="000000"/>
          <w:vertAlign w:val="subscript"/>
        </w:rPr>
        <w:t>min</w:t>
      </w:r>
      <w:r>
        <w:rPr>
          <w:rFonts w:ascii="Times New Roman"/>
          <w:b w:val="false"/>
          <w:i w:val="false"/>
          <w:color w:val="000000"/>
          <w:sz w:val="28"/>
        </w:rPr>
        <w:t xml:space="preserve"> = 0,1</w:t>
      </w:r>
      <w:r>
        <w:rPr>
          <w:rFonts w:ascii="Times New Roman"/>
          <w:b w:val="false"/>
          <w:i/>
          <w:color w:val="000000"/>
          <w:sz w:val="28"/>
        </w:rPr>
        <w:t>b</w:t>
      </w: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sz w:val="28"/>
        </w:rPr>
        <w:t xml:space="preserve"> — ширина выреза, м). Минимальный радиус скругления во всех случаях не должен приниматься менее двух толщин настила в районе выреза или 50 мм, в зависимости от того, что больше.</w:t>
      </w:r>
    </w:p>
    <w:bookmarkEnd w:id="1879"/>
    <w:bookmarkStart w:name="z1880" w:id="1880"/>
    <w:p>
      <w:pPr>
        <w:spacing w:after="0"/>
        <w:ind w:left="0"/>
        <w:jc w:val="both"/>
      </w:pPr>
      <w:r>
        <w:rPr>
          <w:rFonts w:ascii="Times New Roman"/>
          <w:b w:val="false"/>
          <w:i w:val="false"/>
          <w:color w:val="000000"/>
          <w:sz w:val="28"/>
        </w:rPr>
        <w:t>
      426. Толщина комингсов вентиляторов (вентиляционных труб, каналов, шахт) на палубе надводного борта и квартердека, а также на открытых палубах надстроек, расположенных в пределах 0,25</w:t>
      </w:r>
      <w:r>
        <w:rPr>
          <w:rFonts w:ascii="Times New Roman"/>
          <w:b w:val="false"/>
          <w:i/>
          <w:color w:val="000000"/>
          <w:sz w:val="28"/>
        </w:rPr>
        <w:t>L</w:t>
      </w:r>
      <w:r>
        <w:rPr>
          <w:rFonts w:ascii="Times New Roman"/>
          <w:b w:val="false"/>
          <w:i w:val="false"/>
          <w:color w:val="000000"/>
          <w:sz w:val="28"/>
        </w:rPr>
        <w:t xml:space="preserve"> от носового перпендикуляра, </w:t>
      </w:r>
      <w:r>
        <w:rPr>
          <w:rFonts w:ascii="Times New Roman"/>
          <w:b w:val="false"/>
          <w:i/>
          <w:color w:val="000000"/>
          <w:sz w:val="28"/>
        </w:rPr>
        <w:t>s</w:t>
      </w:r>
      <w:r>
        <w:rPr>
          <w:rFonts w:ascii="Times New Roman"/>
          <w:b w:val="false"/>
          <w:i w:val="false"/>
          <w:color w:val="000000"/>
          <w:sz w:val="28"/>
        </w:rPr>
        <w:t>, мм, равна не менее определяемой по формуле:</w:t>
      </w:r>
    </w:p>
    <w:bookmarkEnd w:id="188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0,01</w:t>
      </w:r>
      <w:r>
        <w:rPr>
          <w:rFonts w:ascii="Times New Roman"/>
          <w:b w:val="false"/>
          <w:i/>
          <w:color w:val="000000"/>
          <w:sz w:val="28"/>
        </w:rPr>
        <w:t>d</w:t>
      </w:r>
      <w:r>
        <w:rPr>
          <w:rFonts w:ascii="Times New Roman"/>
          <w:b w:val="false"/>
          <w:i w:val="false"/>
          <w:color w:val="000000"/>
          <w:vertAlign w:val="subscript"/>
        </w:rPr>
        <w:t>к</w:t>
      </w:r>
      <w:r>
        <w:rPr>
          <w:rFonts w:ascii="Times New Roman"/>
          <w:b w:val="false"/>
          <w:i w:val="false"/>
          <w:color w:val="000000"/>
          <w:sz w:val="28"/>
        </w:rPr>
        <w:t xml:space="preserve"> + 5,                         (125)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к</w:t>
      </w:r>
      <w:r>
        <w:rPr>
          <w:rFonts w:ascii="Times New Roman"/>
          <w:b w:val="false"/>
          <w:i w:val="false"/>
          <w:color w:val="000000"/>
          <w:sz w:val="28"/>
        </w:rPr>
        <w:t xml:space="preserve"> — внутренний диаметр или длина большей стороны сечения комингса,мм.</w:t>
      </w:r>
    </w:p>
    <w:p>
      <w:pPr>
        <w:spacing w:after="0"/>
        <w:ind w:left="0"/>
        <w:jc w:val="both"/>
      </w:pPr>
      <w:r>
        <w:rPr>
          <w:rFonts w:ascii="Times New Roman"/>
          <w:b w:val="false"/>
          <w:i w:val="false"/>
          <w:color w:val="000000"/>
          <w:sz w:val="28"/>
        </w:rPr>
        <w:t xml:space="preserve">
      При этом толщина </w:t>
      </w:r>
      <w:r>
        <w:rPr>
          <w:rFonts w:ascii="Times New Roman"/>
          <w:b w:val="false"/>
          <w:i/>
          <w:color w:val="000000"/>
          <w:sz w:val="28"/>
        </w:rPr>
        <w:t>s</w:t>
      </w:r>
      <w:r>
        <w:rPr>
          <w:rFonts w:ascii="Times New Roman"/>
          <w:b w:val="false"/>
          <w:i w:val="false"/>
          <w:color w:val="000000"/>
          <w:sz w:val="28"/>
        </w:rPr>
        <w:t xml:space="preserve"> допускается не менее 7, но может не превышать 10 мм.</w:t>
      </w:r>
    </w:p>
    <w:bookmarkStart w:name="z1881" w:id="1881"/>
    <w:p>
      <w:pPr>
        <w:spacing w:after="0"/>
        <w:ind w:left="0"/>
        <w:jc w:val="both"/>
      </w:pPr>
      <w:r>
        <w:rPr>
          <w:rFonts w:ascii="Times New Roman"/>
          <w:b w:val="false"/>
          <w:i w:val="false"/>
          <w:color w:val="000000"/>
          <w:sz w:val="28"/>
        </w:rPr>
        <w:t xml:space="preserve">
      427. На судах ограниченных районов плавания R2, R2-RSN, R3-RSN и R3 длиной менее 24 м толщина комингсов вентиляторов </w:t>
      </w:r>
      <w:r>
        <w:rPr>
          <w:rFonts w:ascii="Times New Roman"/>
          <w:b w:val="false"/>
          <w:i/>
          <w:color w:val="000000"/>
          <w:sz w:val="28"/>
        </w:rPr>
        <w:t>s</w:t>
      </w:r>
      <w:r>
        <w:rPr>
          <w:rFonts w:ascii="Times New Roman"/>
          <w:b w:val="false"/>
          <w:i w:val="false"/>
          <w:color w:val="000000"/>
          <w:sz w:val="28"/>
        </w:rPr>
        <w:t>, мм, равна не менее определяемой по формулам:</w:t>
      </w:r>
    </w:p>
    <w:bookmarkEnd w:id="188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0,01</w:t>
      </w:r>
      <w:r>
        <w:rPr>
          <w:rFonts w:ascii="Times New Roman"/>
          <w:b w:val="false"/>
          <w:i/>
          <w:color w:val="000000"/>
          <w:sz w:val="28"/>
        </w:rPr>
        <w:t xml:space="preserve">d </w:t>
      </w:r>
      <w:r>
        <w:rPr>
          <w:rFonts w:ascii="Times New Roman"/>
          <w:b w:val="false"/>
          <w:i w:val="false"/>
          <w:color w:val="000000"/>
          <w:sz w:val="28"/>
        </w:rPr>
        <w:t>+ 4                           (126)</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пал</w:t>
      </w:r>
      <w:r>
        <w:rPr>
          <w:rFonts w:ascii="Times New Roman"/>
          <w:b w:val="false"/>
          <w:i w:val="false"/>
          <w:color w:val="000000"/>
          <w:sz w:val="28"/>
        </w:rPr>
        <w:t xml:space="preserve"> + 1,                           (127)</w:t>
      </w:r>
    </w:p>
    <w:p>
      <w:pPr>
        <w:spacing w:after="0"/>
        <w:ind w:left="0"/>
        <w:jc w:val="both"/>
      </w:pPr>
      <w:r>
        <w:rPr>
          <w:rFonts w:ascii="Times New Roman"/>
          <w:b w:val="false"/>
          <w:i w:val="false"/>
          <w:color w:val="000000"/>
          <w:sz w:val="28"/>
        </w:rPr>
        <w:t>
      в зависимости от того, что больше,</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sz w:val="28"/>
        </w:rPr>
        <w:t xml:space="preserve"> — внутренний диаметр или длина большей стороны сечения комингса,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пал</w:t>
      </w:r>
      <w:r>
        <w:rPr>
          <w:rFonts w:ascii="Times New Roman"/>
          <w:b w:val="false"/>
          <w:i w:val="false"/>
          <w:color w:val="000000"/>
          <w:sz w:val="28"/>
        </w:rPr>
        <w:t xml:space="preserve"> — толщина настила палубы, мм.</w:t>
      </w:r>
    </w:p>
    <w:bookmarkStart w:name="z1882" w:id="1882"/>
    <w:p>
      <w:pPr>
        <w:spacing w:after="0"/>
        <w:ind w:left="0"/>
        <w:jc w:val="both"/>
      </w:pPr>
      <w:r>
        <w:rPr>
          <w:rFonts w:ascii="Times New Roman"/>
          <w:b w:val="false"/>
          <w:i w:val="false"/>
          <w:color w:val="000000"/>
          <w:sz w:val="28"/>
        </w:rPr>
        <w:t>
      428. Толщина комингсов на палубах первого яруса надстроек, расположенных вне пределов 0,25</w:t>
      </w:r>
      <w:r>
        <w:rPr>
          <w:rFonts w:ascii="Times New Roman"/>
          <w:b w:val="false"/>
          <w:i/>
          <w:color w:val="000000"/>
          <w:sz w:val="28"/>
        </w:rPr>
        <w:t>L</w:t>
      </w:r>
      <w:r>
        <w:rPr>
          <w:rFonts w:ascii="Times New Roman"/>
          <w:b w:val="false"/>
          <w:i w:val="false"/>
          <w:color w:val="000000"/>
          <w:sz w:val="28"/>
        </w:rPr>
        <w:t xml:space="preserve"> от носового перпендикуляра, допускается на 10 % меньше требуемой для комингсов на палубе надводного борта и возвышенном квартердеке.</w:t>
      </w:r>
    </w:p>
    <w:bookmarkEnd w:id="1882"/>
    <w:bookmarkStart w:name="z1883" w:id="1883"/>
    <w:p>
      <w:pPr>
        <w:spacing w:after="0"/>
        <w:ind w:left="0"/>
        <w:jc w:val="both"/>
      </w:pPr>
      <w:r>
        <w:rPr>
          <w:rFonts w:ascii="Times New Roman"/>
          <w:b w:val="false"/>
          <w:i w:val="false"/>
          <w:color w:val="000000"/>
          <w:sz w:val="28"/>
        </w:rPr>
        <w:t>
      Если толщина стального настила палубы меньше 10 мм, в районе комингса устанавливают вварной или накладной лист толщиной не менее 10 мм, длиной и шириной не менее двойного диаметра или удвоенной длины большей стороны сечения комингса.</w:t>
      </w:r>
    </w:p>
    <w:bookmarkEnd w:id="1883"/>
    <w:bookmarkStart w:name="z1884" w:id="1884"/>
    <w:p>
      <w:pPr>
        <w:spacing w:after="0"/>
        <w:ind w:left="0"/>
        <w:jc w:val="both"/>
      </w:pPr>
      <w:r>
        <w:rPr>
          <w:rFonts w:ascii="Times New Roman"/>
          <w:b w:val="false"/>
          <w:i w:val="false"/>
          <w:color w:val="000000"/>
          <w:sz w:val="28"/>
        </w:rPr>
        <w:t>
      При надежной перевязке комингса с подпалубным набором установка вварного или накладного листа не требуется.</w:t>
      </w:r>
    </w:p>
    <w:bookmarkEnd w:id="1884"/>
    <w:bookmarkStart w:name="z1885" w:id="1885"/>
    <w:p>
      <w:pPr>
        <w:spacing w:after="0"/>
        <w:ind w:left="0"/>
        <w:jc w:val="both"/>
      </w:pPr>
      <w:r>
        <w:rPr>
          <w:rFonts w:ascii="Times New Roman"/>
          <w:b w:val="false"/>
          <w:i w:val="false"/>
          <w:color w:val="000000"/>
          <w:sz w:val="28"/>
        </w:rPr>
        <w:t>
      429. Если комингс вентиляторов имеет высоту более 0,9 м и при этом не поддерживается соседними корпусными конструкциями, необходима установка книц, крепящих комингс к палубе.</w:t>
      </w:r>
    </w:p>
    <w:bookmarkEnd w:id="1885"/>
    <w:bookmarkStart w:name="z1886" w:id="1886"/>
    <w:p>
      <w:pPr>
        <w:spacing w:after="0"/>
        <w:ind w:left="0"/>
        <w:jc w:val="both"/>
      </w:pPr>
      <w:r>
        <w:rPr>
          <w:rFonts w:ascii="Times New Roman"/>
          <w:b w:val="false"/>
          <w:i w:val="false"/>
          <w:color w:val="000000"/>
          <w:sz w:val="28"/>
        </w:rPr>
        <w:t>
      Высота комингсов вентиляторов определяется согласно главы 73 настоящих Правил.</w:t>
      </w:r>
    </w:p>
    <w:bookmarkEnd w:id="1886"/>
    <w:bookmarkStart w:name="z1887" w:id="1887"/>
    <w:p>
      <w:pPr>
        <w:spacing w:after="0"/>
        <w:ind w:left="0"/>
        <w:jc w:val="both"/>
      </w:pPr>
      <w:r>
        <w:rPr>
          <w:rFonts w:ascii="Times New Roman"/>
          <w:b w:val="false"/>
          <w:i w:val="false"/>
          <w:color w:val="000000"/>
          <w:sz w:val="28"/>
        </w:rPr>
        <w:t>
      430. Необходимо чтобы конструкция комингсов сходных и световых люков была эквивалентной по прочности конструкции комингсов грузовых люков; при этом толщина комингсов не принимается менее 7 мм, но не превышает толщины палубы у комингса.</w:t>
      </w:r>
    </w:p>
    <w:bookmarkEnd w:id="1887"/>
    <w:bookmarkStart w:name="z1888" w:id="1888"/>
    <w:p>
      <w:pPr>
        <w:spacing w:after="0"/>
        <w:ind w:left="0"/>
        <w:jc w:val="left"/>
      </w:pPr>
      <w:r>
        <w:rPr>
          <w:rFonts w:ascii="Times New Roman"/>
          <w:b/>
          <w:i w:val="false"/>
          <w:color w:val="000000"/>
        </w:rPr>
        <w:t xml:space="preserve"> Глава 21. Переборки, туннель гребного вала</w:t>
      </w:r>
    </w:p>
    <w:bookmarkEnd w:id="1888"/>
    <w:p>
      <w:pPr>
        <w:spacing w:after="0"/>
        <w:ind w:left="0"/>
        <w:jc w:val="both"/>
      </w:pPr>
      <w:r>
        <w:rPr>
          <w:rFonts w:ascii="Times New Roman"/>
          <w:b w:val="false"/>
          <w:i w:val="false"/>
          <w:color w:val="ff0000"/>
          <w:sz w:val="28"/>
        </w:rPr>
        <w:t xml:space="preserve">
      Сноска. Заголовок главы 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9" w:id="1889"/>
    <w:p>
      <w:pPr>
        <w:spacing w:after="0"/>
        <w:ind w:left="0"/>
        <w:jc w:val="left"/>
      </w:pPr>
      <w:r>
        <w:rPr>
          <w:rFonts w:ascii="Times New Roman"/>
          <w:b/>
          <w:i w:val="false"/>
          <w:color w:val="000000"/>
        </w:rPr>
        <w:t xml:space="preserve"> Параграф 1. Общие положения</w:t>
      </w:r>
    </w:p>
    <w:bookmarkEnd w:id="1889"/>
    <w:bookmarkStart w:name="z1890" w:id="1890"/>
    <w:p>
      <w:pPr>
        <w:spacing w:after="0"/>
        <w:ind w:left="0"/>
        <w:jc w:val="both"/>
      </w:pPr>
      <w:r>
        <w:rPr>
          <w:rFonts w:ascii="Times New Roman"/>
          <w:b w:val="false"/>
          <w:i w:val="false"/>
          <w:color w:val="000000"/>
          <w:sz w:val="28"/>
        </w:rPr>
        <w:t>
      431. В настоящей главе приводятся требования к переборкам различных типов, туннелю гребного вала и коффердамам. Требования к коффердамным переборкам приведены в главе 31 настоящих Правил.</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431 -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1" w:id="1891"/>
    <w:p>
      <w:pPr>
        <w:spacing w:after="0"/>
        <w:ind w:left="0"/>
        <w:jc w:val="both"/>
      </w:pPr>
      <w:r>
        <w:rPr>
          <w:rFonts w:ascii="Times New Roman"/>
          <w:b w:val="false"/>
          <w:i w:val="false"/>
          <w:color w:val="000000"/>
          <w:sz w:val="28"/>
        </w:rPr>
        <w:t>
      432. Общее число поперечных водонепроницаемых переборок, включая переборки форпика и ахтерпика, как правило, не менее, указанного в приложении 66 настоящих Правил. Эти требования относятся только к грузовым судам и являются минимальными.</w:t>
      </w:r>
    </w:p>
    <w:bookmarkEnd w:id="1891"/>
    <w:bookmarkStart w:name="z1892" w:id="1892"/>
    <w:p>
      <w:pPr>
        <w:spacing w:after="0"/>
        <w:ind w:left="0"/>
        <w:jc w:val="both"/>
      </w:pPr>
      <w:r>
        <w:rPr>
          <w:rFonts w:ascii="Times New Roman"/>
          <w:b w:val="false"/>
          <w:i w:val="false"/>
          <w:color w:val="000000"/>
          <w:sz w:val="28"/>
        </w:rPr>
        <w:t>
      433. Если предусматривается обеспечение непотопляемости судна, число и расположение водонепроницаемых переборок (а также частичных водонепроницаемых переборок) следует принимать в соответствии с требованиями раздела 7 настоящих Правил.</w:t>
      </w:r>
    </w:p>
    <w:bookmarkEnd w:id="1892"/>
    <w:bookmarkStart w:name="z1893" w:id="1893"/>
    <w:p>
      <w:pPr>
        <w:spacing w:after="0"/>
        <w:ind w:left="0"/>
        <w:jc w:val="both"/>
      </w:pPr>
      <w:r>
        <w:rPr>
          <w:rFonts w:ascii="Times New Roman"/>
          <w:b w:val="false"/>
          <w:i w:val="false"/>
          <w:color w:val="000000"/>
          <w:sz w:val="28"/>
        </w:rPr>
        <w:t>
      434. В отдельных случаях Регистром судоходства допускается уменьшение числа переборок, при этом расстояние между соседними водонепроницаемыми переборками, как правило, не должно превышать 30м. Увеличение этого расстояния является в каждом случае предметом специального рассмотрения Регистра судоходства.</w:t>
      </w:r>
    </w:p>
    <w:bookmarkEnd w:id="1893"/>
    <w:bookmarkStart w:name="z1894" w:id="1894"/>
    <w:p>
      <w:pPr>
        <w:spacing w:after="0"/>
        <w:ind w:left="0"/>
        <w:jc w:val="both"/>
      </w:pPr>
      <w:r>
        <w:rPr>
          <w:rFonts w:ascii="Times New Roman"/>
          <w:b w:val="false"/>
          <w:i w:val="false"/>
          <w:color w:val="000000"/>
          <w:sz w:val="28"/>
        </w:rPr>
        <w:t>
      435. Все водонепроницаемые поперечные переборки, расположенные между форпиковой и ахтерпиковой переборками, как правило, доводятся до палубы надводного борта.</w:t>
      </w:r>
    </w:p>
    <w:bookmarkEnd w:id="1894"/>
    <w:bookmarkStart w:name="z1895" w:id="1895"/>
    <w:p>
      <w:pPr>
        <w:spacing w:after="0"/>
        <w:ind w:left="0"/>
        <w:jc w:val="both"/>
      </w:pPr>
      <w:r>
        <w:rPr>
          <w:rFonts w:ascii="Times New Roman"/>
          <w:b w:val="false"/>
          <w:i w:val="false"/>
          <w:color w:val="000000"/>
          <w:sz w:val="28"/>
        </w:rPr>
        <w:t>
      436. Переборки пиков и машинного помещения, туннели гребных валов соответствуют также требованиям пунктов 142 или 143 настоящих Правил.</w:t>
      </w:r>
    </w:p>
    <w:bookmarkEnd w:id="1895"/>
    <w:bookmarkStart w:name="z1896" w:id="1896"/>
    <w:p>
      <w:pPr>
        <w:spacing w:after="0"/>
        <w:ind w:left="0"/>
        <w:jc w:val="both"/>
      </w:pPr>
      <w:r>
        <w:rPr>
          <w:rFonts w:ascii="Times New Roman"/>
          <w:b w:val="false"/>
          <w:i w:val="false"/>
          <w:color w:val="000000"/>
          <w:sz w:val="28"/>
        </w:rPr>
        <w:t xml:space="preserve">
      437. Отсеки, предназначенные для перевозки жидких грузов и балласта, у которых </w:t>
      </w:r>
      <w:r>
        <w:rPr>
          <w:rFonts w:ascii="Times New Roman"/>
          <w:b w:val="false"/>
          <w:i/>
          <w:color w:val="000000"/>
          <w:sz w:val="28"/>
        </w:rPr>
        <w:t>l</w:t>
      </w:r>
      <w:r>
        <w:rPr>
          <w:rFonts w:ascii="Times New Roman"/>
          <w:b w:val="false"/>
          <w:i w:val="false"/>
          <w:color w:val="000000"/>
          <w:sz w:val="28"/>
        </w:rPr>
        <w:t xml:space="preserve"> &gt; 0,13</w:t>
      </w:r>
      <w:r>
        <w:rPr>
          <w:rFonts w:ascii="Times New Roman"/>
          <w:b w:val="false"/>
          <w:i/>
          <w:color w:val="000000"/>
          <w:sz w:val="28"/>
        </w:rPr>
        <w:t>L</w:t>
      </w:r>
      <w:r>
        <w:rPr>
          <w:rFonts w:ascii="Times New Roman"/>
          <w:b w:val="false"/>
          <w:i w:val="false"/>
          <w:color w:val="000000"/>
          <w:sz w:val="28"/>
        </w:rPr>
        <w:t xml:space="preserve"> и/или </w:t>
      </w:r>
      <w:r>
        <w:rPr>
          <w:rFonts w:ascii="Times New Roman"/>
          <w:b w:val="false"/>
          <w:i/>
          <w:color w:val="000000"/>
          <w:sz w:val="28"/>
        </w:rPr>
        <w:t>b</w:t>
      </w:r>
      <w:r>
        <w:rPr>
          <w:rFonts w:ascii="Times New Roman"/>
          <w:b w:val="false"/>
          <w:i w:val="false"/>
          <w:color w:val="000000"/>
          <w:sz w:val="28"/>
        </w:rPr>
        <w:t xml:space="preserve"> &gt; 0,6</w:t>
      </w:r>
      <w:r>
        <w:rPr>
          <w:rFonts w:ascii="Times New Roman"/>
          <w:b w:val="false"/>
          <w:i/>
          <w:color w:val="000000"/>
          <w:sz w:val="28"/>
        </w:rPr>
        <w:t>В</w:t>
      </w:r>
      <w:r>
        <w:rPr>
          <w:rFonts w:ascii="Times New Roman"/>
          <w:b w:val="false"/>
          <w:i w:val="false"/>
          <w:color w:val="000000"/>
          <w:sz w:val="28"/>
        </w:rPr>
        <w:t>, являются предметом специального рассмотрения Регистром судоходства (где l и b — длина и ширина отсека, измеренные на середине его высоты, м).</w:t>
      </w:r>
    </w:p>
    <w:bookmarkEnd w:id="1896"/>
    <w:bookmarkStart w:name="z1898" w:id="1897"/>
    <w:p>
      <w:pPr>
        <w:spacing w:after="0"/>
        <w:ind w:left="0"/>
        <w:jc w:val="left"/>
      </w:pPr>
      <w:r>
        <w:rPr>
          <w:rFonts w:ascii="Times New Roman"/>
          <w:b/>
          <w:i w:val="false"/>
          <w:color w:val="000000"/>
        </w:rPr>
        <w:t xml:space="preserve"> Параграф 2. Конструкция</w:t>
      </w:r>
    </w:p>
    <w:bookmarkEnd w:id="1897"/>
    <w:bookmarkStart w:name="z1899" w:id="1898"/>
    <w:p>
      <w:pPr>
        <w:spacing w:after="0"/>
        <w:ind w:left="0"/>
        <w:jc w:val="both"/>
      </w:pPr>
      <w:r>
        <w:rPr>
          <w:rFonts w:ascii="Times New Roman"/>
          <w:b w:val="false"/>
          <w:i w:val="false"/>
          <w:color w:val="000000"/>
          <w:sz w:val="28"/>
        </w:rPr>
        <w:t>
      438. Непроницаемые переборки бывают плоскими или гофрированными. Отбойные переборки с вырезами бывают плоскими.</w:t>
      </w:r>
    </w:p>
    <w:bookmarkEnd w:id="1898"/>
    <w:bookmarkStart w:name="z1900" w:id="1899"/>
    <w:p>
      <w:pPr>
        <w:spacing w:after="0"/>
        <w:ind w:left="0"/>
        <w:jc w:val="both"/>
      </w:pPr>
      <w:r>
        <w:rPr>
          <w:rFonts w:ascii="Times New Roman"/>
          <w:b w:val="false"/>
          <w:i w:val="false"/>
          <w:color w:val="000000"/>
          <w:sz w:val="28"/>
        </w:rPr>
        <w:t>
      К конструкции продольных непроницаемых переборок, непроницаемых переборок шахт лага, эхолота, аварийного выхода, туннеля гребного вала предъявляются те же требования, что и к поперечным непроницаемым переборкам.</w:t>
      </w:r>
    </w:p>
    <w:bookmarkEnd w:id="1899"/>
    <w:bookmarkStart w:name="z1901" w:id="1900"/>
    <w:p>
      <w:pPr>
        <w:spacing w:after="0"/>
        <w:ind w:left="0"/>
        <w:jc w:val="both"/>
      </w:pPr>
      <w:r>
        <w:rPr>
          <w:rFonts w:ascii="Times New Roman"/>
          <w:b w:val="false"/>
          <w:i w:val="false"/>
          <w:color w:val="000000"/>
          <w:sz w:val="28"/>
        </w:rPr>
        <w:t>
      Допускается устройство водонепроницаемых уступов и выступов переборок.</w:t>
      </w:r>
    </w:p>
    <w:bookmarkEnd w:id="1900"/>
    <w:bookmarkStart w:name="z1902" w:id="1901"/>
    <w:p>
      <w:pPr>
        <w:spacing w:after="0"/>
        <w:ind w:left="0"/>
        <w:jc w:val="both"/>
      </w:pPr>
      <w:r>
        <w:rPr>
          <w:rFonts w:ascii="Times New Roman"/>
          <w:b w:val="false"/>
          <w:i w:val="false"/>
          <w:color w:val="000000"/>
          <w:sz w:val="28"/>
        </w:rPr>
        <w:t>
      Продольные переборки наливных судов на всем протяжении района грузовых танков (включая насосные отделения и коффердамы) непроницаемы, за исключением третьей переборки в диаметральной плоскости, которая выполняется как отбойная.</w:t>
      </w:r>
    </w:p>
    <w:bookmarkEnd w:id="1901"/>
    <w:bookmarkStart w:name="z1903" w:id="1902"/>
    <w:p>
      <w:pPr>
        <w:spacing w:after="0"/>
        <w:ind w:left="0"/>
        <w:jc w:val="both"/>
      </w:pPr>
      <w:r>
        <w:rPr>
          <w:rFonts w:ascii="Times New Roman"/>
          <w:b w:val="false"/>
          <w:i w:val="false"/>
          <w:color w:val="000000"/>
          <w:sz w:val="28"/>
        </w:rPr>
        <w:t>
      В пересечениях продольных и поперечных переборок должна быть обеспечена конструктивная непрерывность продольных переборок. Окончание продольных переборок должно быть плавным.</w:t>
      </w:r>
    </w:p>
    <w:bookmarkEnd w:id="1902"/>
    <w:bookmarkStart w:name="z1904" w:id="1903"/>
    <w:p>
      <w:pPr>
        <w:spacing w:after="0"/>
        <w:ind w:left="0"/>
        <w:jc w:val="both"/>
      </w:pPr>
      <w:r>
        <w:rPr>
          <w:rFonts w:ascii="Times New Roman"/>
          <w:b w:val="false"/>
          <w:i w:val="false"/>
          <w:color w:val="000000"/>
          <w:sz w:val="28"/>
        </w:rPr>
        <w:t>
      Полупереборки должны быть плоскими.</w:t>
      </w:r>
    </w:p>
    <w:bookmarkEnd w:id="1903"/>
    <w:bookmarkStart w:name="z1905" w:id="1904"/>
    <w:p>
      <w:pPr>
        <w:spacing w:after="0"/>
        <w:ind w:left="0"/>
        <w:jc w:val="both"/>
      </w:pPr>
      <w:r>
        <w:rPr>
          <w:rFonts w:ascii="Times New Roman"/>
          <w:b w:val="false"/>
          <w:i w:val="false"/>
          <w:color w:val="000000"/>
          <w:sz w:val="28"/>
        </w:rPr>
        <w:t>
      439. Гофрированные продольные переборки имеют, как правило, горизонтальное расположение гофров. Поперечные переборки бывают как с вертикальным, так и с горизонтальным расположением гофров.</w:t>
      </w:r>
    </w:p>
    <w:bookmarkEnd w:id="1904"/>
    <w:bookmarkStart w:name="z1906" w:id="1905"/>
    <w:p>
      <w:pPr>
        <w:spacing w:after="0"/>
        <w:ind w:left="0"/>
        <w:jc w:val="both"/>
      </w:pPr>
      <w:r>
        <w:rPr>
          <w:rFonts w:ascii="Times New Roman"/>
          <w:b w:val="false"/>
          <w:i w:val="false"/>
          <w:color w:val="000000"/>
          <w:sz w:val="28"/>
        </w:rPr>
        <w:t>
      Плоские переборки подкрепляют стойками или горизонтальными балками. Стойки и горизонтальные балки плоских переборок, а также вертикальные и горизонтальные гофры гофрированных переборок поддерживаются горизонтальными рамами или рамными стойками соответственно.</w:t>
      </w:r>
    </w:p>
    <w:bookmarkEnd w:id="1905"/>
    <w:bookmarkStart w:name="z1907" w:id="1906"/>
    <w:p>
      <w:pPr>
        <w:spacing w:after="0"/>
        <w:ind w:left="0"/>
        <w:jc w:val="both"/>
      </w:pPr>
      <w:r>
        <w:rPr>
          <w:rFonts w:ascii="Times New Roman"/>
          <w:b w:val="false"/>
          <w:i w:val="false"/>
          <w:color w:val="000000"/>
          <w:sz w:val="28"/>
        </w:rPr>
        <w:t>
      Горизонтальные рамы и рамные стойки подкрепляют согласно требованиям параграфа 3 главы 14 настоящих Правил.</w:t>
      </w:r>
    </w:p>
    <w:bookmarkEnd w:id="1906"/>
    <w:bookmarkStart w:name="z1908" w:id="1907"/>
    <w:p>
      <w:pPr>
        <w:spacing w:after="0"/>
        <w:ind w:left="0"/>
        <w:jc w:val="both"/>
      </w:pPr>
      <w:r>
        <w:rPr>
          <w:rFonts w:ascii="Times New Roman"/>
          <w:b w:val="false"/>
          <w:i w:val="false"/>
          <w:color w:val="000000"/>
          <w:sz w:val="28"/>
        </w:rPr>
        <w:t>
      Полупереборки подкрепляют стойками.</w:t>
      </w:r>
    </w:p>
    <w:bookmarkEnd w:id="1907"/>
    <w:bookmarkStart w:name="z1909" w:id="1908"/>
    <w:p>
      <w:pPr>
        <w:spacing w:after="0"/>
        <w:ind w:left="0"/>
        <w:jc w:val="both"/>
      </w:pPr>
      <w:r>
        <w:rPr>
          <w:rFonts w:ascii="Times New Roman"/>
          <w:b w:val="false"/>
          <w:i w:val="false"/>
          <w:color w:val="000000"/>
          <w:sz w:val="28"/>
        </w:rPr>
        <w:t>
      440. Необходимо чтобы крепление концов балок набора переборок соответствовало следующим требованиям:</w:t>
      </w:r>
    </w:p>
    <w:bookmarkEnd w:id="1908"/>
    <w:bookmarkStart w:name="z1910" w:id="1909"/>
    <w:p>
      <w:pPr>
        <w:spacing w:after="0"/>
        <w:ind w:left="0"/>
        <w:jc w:val="both"/>
      </w:pPr>
      <w:r>
        <w:rPr>
          <w:rFonts w:ascii="Times New Roman"/>
          <w:b w:val="false"/>
          <w:i w:val="false"/>
          <w:color w:val="000000"/>
          <w:sz w:val="28"/>
        </w:rPr>
        <w:t>
      1) концы стоек и горизонтальных балок переборок, как правило, закрепляются кницами, отвечающими требованиям пункта 271 настоящих Правил. Для закрепления концов основного набора переборки форпика ниже палубы надводного борта установка книц обязательна;</w:t>
      </w:r>
    </w:p>
    <w:bookmarkEnd w:id="1909"/>
    <w:bookmarkStart w:name="z1911" w:id="1910"/>
    <w:p>
      <w:pPr>
        <w:spacing w:after="0"/>
        <w:ind w:left="0"/>
        <w:jc w:val="both"/>
      </w:pPr>
      <w:r>
        <w:rPr>
          <w:rFonts w:ascii="Times New Roman"/>
          <w:b w:val="false"/>
          <w:i w:val="false"/>
          <w:color w:val="000000"/>
          <w:sz w:val="28"/>
        </w:rPr>
        <w:t>
      2) кницы, крепящие стойки поперечных переборок к настилам палуб и второго дна (обшивке днища), при поперечной системе набора доводят до ближайшего к переборке бимса или флора и приваривают к ним.</w:t>
      </w:r>
    </w:p>
    <w:bookmarkEnd w:id="1910"/>
    <w:bookmarkStart w:name="z1912" w:id="1911"/>
    <w:p>
      <w:pPr>
        <w:spacing w:after="0"/>
        <w:ind w:left="0"/>
        <w:jc w:val="both"/>
      </w:pPr>
      <w:r>
        <w:rPr>
          <w:rFonts w:ascii="Times New Roman"/>
          <w:b w:val="false"/>
          <w:i w:val="false"/>
          <w:color w:val="000000"/>
          <w:sz w:val="28"/>
        </w:rPr>
        <w:t>
      Кницы, крепящие горизонтальные балки переборок к борту или другой переборке, при поперечной системе набора последних доводят до ближайшего к переборке шпангоута или стойки переборки и приваривают к ним;</w:t>
      </w:r>
    </w:p>
    <w:bookmarkEnd w:id="1911"/>
    <w:bookmarkStart w:name="z1913" w:id="1912"/>
    <w:p>
      <w:pPr>
        <w:spacing w:after="0"/>
        <w:ind w:left="0"/>
        <w:jc w:val="both"/>
      </w:pPr>
      <w:r>
        <w:rPr>
          <w:rFonts w:ascii="Times New Roman"/>
          <w:b w:val="false"/>
          <w:i w:val="false"/>
          <w:color w:val="000000"/>
          <w:sz w:val="28"/>
        </w:rPr>
        <w:t>
      3) если стойки переборок разрезаются на палубах, платформах или горизонтальных рамах и кницы не устанавливаются, концы стоек приваривают к настилу палубы, платформы или стенке горизонтальной рамы, либо срезаны "на ус";</w:t>
      </w:r>
    </w:p>
    <w:bookmarkEnd w:id="1912"/>
    <w:bookmarkStart w:name="z1914" w:id="1913"/>
    <w:p>
      <w:pPr>
        <w:spacing w:after="0"/>
        <w:ind w:left="0"/>
        <w:jc w:val="both"/>
      </w:pPr>
      <w:r>
        <w:rPr>
          <w:rFonts w:ascii="Times New Roman"/>
          <w:b w:val="false"/>
          <w:i w:val="false"/>
          <w:color w:val="000000"/>
          <w:sz w:val="28"/>
        </w:rPr>
        <w:t>
      4) закрепление концов рамных стоек и горизонтальных рам необходимо чтобы отвечало требованиям пунктов 272-275 настоящих Правил.</w:t>
      </w:r>
    </w:p>
    <w:bookmarkEnd w:id="1913"/>
    <w:bookmarkStart w:name="z1915" w:id="1914"/>
    <w:p>
      <w:pPr>
        <w:spacing w:after="0"/>
        <w:ind w:left="0"/>
        <w:jc w:val="both"/>
      </w:pPr>
      <w:r>
        <w:rPr>
          <w:rFonts w:ascii="Times New Roman"/>
          <w:b w:val="false"/>
          <w:i w:val="false"/>
          <w:color w:val="000000"/>
          <w:sz w:val="28"/>
        </w:rPr>
        <w:t>
      Кницы горизонтальных рам поперечных переборок при отсутствии на одной высоте с ними горизонтальных рам продольных переборок и/или бортовых стрингеров доводят до ближайшей стойки продольной переборки и/или ближайшего шпангоута и приваривают к ним.</w:t>
      </w:r>
    </w:p>
    <w:bookmarkEnd w:id="1914"/>
    <w:bookmarkStart w:name="z1916" w:id="1915"/>
    <w:p>
      <w:pPr>
        <w:spacing w:after="0"/>
        <w:ind w:left="0"/>
        <w:jc w:val="both"/>
      </w:pPr>
      <w:r>
        <w:rPr>
          <w:rFonts w:ascii="Times New Roman"/>
          <w:b w:val="false"/>
          <w:i w:val="false"/>
          <w:color w:val="000000"/>
          <w:sz w:val="28"/>
        </w:rPr>
        <w:t>
      Если рамная стойка поперечной переборки не лежит в одной плоскости с вертикальным килем или днищевым стрингером, в двойном дне под кницей, крепящей нижний конец рамной стойки, устанавливется бракета.</w:t>
      </w:r>
    </w:p>
    <w:bookmarkEnd w:id="1915"/>
    <w:bookmarkStart w:name="z1917" w:id="1916"/>
    <w:p>
      <w:pPr>
        <w:spacing w:after="0"/>
        <w:ind w:left="0"/>
        <w:jc w:val="both"/>
      </w:pPr>
      <w:r>
        <w:rPr>
          <w:rFonts w:ascii="Times New Roman"/>
          <w:b w:val="false"/>
          <w:i w:val="false"/>
          <w:color w:val="000000"/>
          <w:sz w:val="28"/>
        </w:rPr>
        <w:t>
      441. Необходимо чтобы крепление гофрированных переборок соответствовало следующим требованиям:</w:t>
      </w:r>
    </w:p>
    <w:bookmarkEnd w:id="1916"/>
    <w:bookmarkStart w:name="z1918" w:id="1917"/>
    <w:p>
      <w:pPr>
        <w:spacing w:after="0"/>
        <w:ind w:left="0"/>
        <w:jc w:val="both"/>
      </w:pPr>
      <w:r>
        <w:rPr>
          <w:rFonts w:ascii="Times New Roman"/>
          <w:b w:val="false"/>
          <w:i w:val="false"/>
          <w:color w:val="000000"/>
          <w:sz w:val="28"/>
        </w:rPr>
        <w:t>
      1) в местах присоединения гофрированной переборки с горизонтальными гофрами к палубе и днищу (второму дну), с вертикальными гофрами к бортам и продольным переборкам предусматривают плоские переходные участки, конструкция, толщина и подкрепление которых должны отвечать требованиям к плоским переборкам;</w:t>
      </w:r>
    </w:p>
    <w:bookmarkEnd w:id="1917"/>
    <w:bookmarkStart w:name="z1919" w:id="1918"/>
    <w:p>
      <w:pPr>
        <w:spacing w:after="0"/>
        <w:ind w:left="0"/>
        <w:jc w:val="both"/>
      </w:pPr>
      <w:r>
        <w:rPr>
          <w:rFonts w:ascii="Times New Roman"/>
          <w:b w:val="false"/>
          <w:i w:val="false"/>
          <w:color w:val="000000"/>
          <w:sz w:val="28"/>
        </w:rPr>
        <w:t>
      2) закрепление концов гофров выполняется непосредственной приваркой их к настилу второго дна (обшивке днища), бортовой обшивке, настилу палуб. Обращают внимание на исключение при этом "жестких точек" (пункт 306 настоящих Правил) в указанных конструкциях;</w:t>
      </w:r>
    </w:p>
    <w:bookmarkEnd w:id="1918"/>
    <w:bookmarkStart w:name="z1920" w:id="1919"/>
    <w:p>
      <w:pPr>
        <w:spacing w:after="0"/>
        <w:ind w:left="0"/>
        <w:jc w:val="both"/>
      </w:pPr>
      <w:r>
        <w:rPr>
          <w:rFonts w:ascii="Times New Roman"/>
          <w:b w:val="false"/>
          <w:i w:val="false"/>
          <w:color w:val="000000"/>
          <w:sz w:val="28"/>
        </w:rPr>
        <w:t>
      3) требования к креплению гофрированных переборок судов для навалочных грузов определены в параграфе 2 главы 30 настоящих Правил.</w:t>
      </w:r>
    </w:p>
    <w:bookmarkEnd w:id="1919"/>
    <w:bookmarkStart w:name="z1921" w:id="1920"/>
    <w:p>
      <w:pPr>
        <w:spacing w:after="0"/>
        <w:ind w:left="0"/>
        <w:jc w:val="left"/>
      </w:pPr>
      <w:r>
        <w:rPr>
          <w:rFonts w:ascii="Times New Roman"/>
          <w:b/>
          <w:i w:val="false"/>
          <w:color w:val="000000"/>
        </w:rPr>
        <w:t xml:space="preserve"> Параграф 3. Нагрузки на переборки</w:t>
      </w:r>
    </w:p>
    <w:bookmarkEnd w:id="1920"/>
    <w:bookmarkStart w:name="z1922" w:id="1921"/>
    <w:p>
      <w:pPr>
        <w:spacing w:after="0"/>
        <w:ind w:left="0"/>
        <w:jc w:val="both"/>
      </w:pPr>
      <w:r>
        <w:rPr>
          <w:rFonts w:ascii="Times New Roman"/>
          <w:b w:val="false"/>
          <w:i w:val="false"/>
          <w:color w:val="000000"/>
          <w:sz w:val="28"/>
        </w:rPr>
        <w:t>
      442. Расчетное давление р, кПа, на конструкции водонепроницаемых переборок и туннеля гребного вала определяется по формуле:</w:t>
      </w:r>
    </w:p>
    <w:bookmarkEnd w:id="1921"/>
    <w:p>
      <w:pPr>
        <w:spacing w:after="0"/>
        <w:ind w:left="0"/>
        <w:jc w:val="both"/>
      </w:pPr>
      <w:r>
        <w:rPr>
          <w:rFonts w:ascii="Times New Roman"/>
          <w:b w:val="false"/>
          <w:i w:val="false"/>
          <w:color w:val="000000"/>
          <w:sz w:val="28"/>
        </w:rPr>
        <w:t xml:space="preserve">
      р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п</w:t>
      </w:r>
      <w:r>
        <w:rPr>
          <w:rFonts w:ascii="Times New Roman"/>
          <w:b w:val="false"/>
          <w:i w:val="false"/>
          <w:color w:val="000000"/>
          <w:sz w:val="28"/>
        </w:rPr>
        <w:t>,(128)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10 для конструкций форпиковой переборки;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7,5 в остальных случаях;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w:t>
      </w:r>
      <w:r>
        <w:rPr>
          <w:rFonts w:ascii="Times New Roman"/>
          <w:b w:val="false"/>
          <w:i w:val="false"/>
          <w:color w:val="000000"/>
          <w:sz w:val="28"/>
        </w:rPr>
        <w:t xml:space="preserve"> — отстояние, измеренное в диаметральной плоскости, от точки приложения расчетной нагрузки до ее верхнего уровня, м;</w:t>
      </w:r>
    </w:p>
    <w:bookmarkStart w:name="z1897" w:id="1922"/>
    <w:p>
      <w:pPr>
        <w:spacing w:after="0"/>
        <w:ind w:left="0"/>
        <w:jc w:val="both"/>
      </w:pPr>
      <w:r>
        <w:rPr>
          <w:rFonts w:ascii="Times New Roman"/>
          <w:b w:val="false"/>
          <w:i w:val="false"/>
          <w:color w:val="000000"/>
          <w:sz w:val="28"/>
        </w:rPr>
        <w:t>
      верхним уровнем нагрузки являются:</w:t>
      </w:r>
    </w:p>
    <w:bookmarkEnd w:id="1922"/>
    <w:p>
      <w:pPr>
        <w:spacing w:after="0"/>
        <w:ind w:left="0"/>
        <w:jc w:val="both"/>
      </w:pPr>
      <w:r>
        <w:rPr>
          <w:rFonts w:ascii="Times New Roman"/>
          <w:b w:val="false"/>
          <w:i w:val="false"/>
          <w:color w:val="000000"/>
          <w:sz w:val="28"/>
        </w:rPr>
        <w:t>
      палуба переборок — для водонепроницаемых переборок и туннеля гребного вала;</w:t>
      </w:r>
    </w:p>
    <w:p>
      <w:pPr>
        <w:spacing w:after="0"/>
        <w:ind w:left="0"/>
        <w:jc w:val="both"/>
      </w:pPr>
      <w:r>
        <w:rPr>
          <w:rFonts w:ascii="Times New Roman"/>
          <w:b w:val="false"/>
          <w:i w:val="false"/>
          <w:color w:val="000000"/>
          <w:sz w:val="28"/>
        </w:rPr>
        <w:t>
      верхняя кромка форпиковой переборки — для форпиковой переборки.</w:t>
      </w:r>
    </w:p>
    <w:bookmarkStart w:name="z1923" w:id="1923"/>
    <w:p>
      <w:pPr>
        <w:spacing w:after="0"/>
        <w:ind w:left="0"/>
        <w:jc w:val="both"/>
      </w:pPr>
      <w:r>
        <w:rPr>
          <w:rFonts w:ascii="Times New Roman"/>
          <w:b w:val="false"/>
          <w:i w:val="false"/>
          <w:color w:val="000000"/>
          <w:sz w:val="28"/>
        </w:rPr>
        <w:t>
      При установке на палубе переборок в плоскости водонепроницаемых переборок или в непосредственной близости от них частичных водонепроницаемых переборок z</w:t>
      </w:r>
      <w:r>
        <w:rPr>
          <w:rFonts w:ascii="Times New Roman"/>
          <w:b w:val="false"/>
          <w:i w:val="false"/>
          <w:color w:val="000000"/>
          <w:vertAlign w:val="subscript"/>
        </w:rPr>
        <w:t>п</w:t>
      </w:r>
      <w:r>
        <w:rPr>
          <w:rFonts w:ascii="Times New Roman"/>
          <w:b w:val="false"/>
          <w:i w:val="false"/>
          <w:color w:val="000000"/>
          <w:sz w:val="28"/>
        </w:rPr>
        <w:t xml:space="preserve"> измеряется до верхней кромки последних.</w:t>
      </w:r>
    </w:p>
    <w:bookmarkEnd w:id="1923"/>
    <w:bookmarkStart w:name="z1924" w:id="1924"/>
    <w:p>
      <w:pPr>
        <w:spacing w:after="0"/>
        <w:ind w:left="0"/>
        <w:jc w:val="both"/>
      </w:pPr>
      <w:r>
        <w:rPr>
          <w:rFonts w:ascii="Times New Roman"/>
          <w:b w:val="false"/>
          <w:i w:val="false"/>
          <w:color w:val="000000"/>
          <w:sz w:val="28"/>
        </w:rPr>
        <w:t>
      В любом случае расчетное давление для конструкций водонепроницаемых переборок равно не менее 12 кПа, а для конструкций форпиковой переборки — не менее 16 кПа.</w:t>
      </w:r>
    </w:p>
    <w:bookmarkEnd w:id="1924"/>
    <w:bookmarkStart w:name="z1925" w:id="1925"/>
    <w:p>
      <w:pPr>
        <w:spacing w:after="0"/>
        <w:ind w:left="0"/>
        <w:jc w:val="both"/>
      </w:pPr>
      <w:r>
        <w:rPr>
          <w:rFonts w:ascii="Times New Roman"/>
          <w:b w:val="false"/>
          <w:i w:val="false"/>
          <w:color w:val="000000"/>
          <w:sz w:val="28"/>
        </w:rPr>
        <w:t>
      443. Расчетное давление на переборки цистерн, грузовых танков и трюмов для водяного балласта определяется согласно пунктов 175-177 настоящих Правил.</w:t>
      </w:r>
    </w:p>
    <w:bookmarkEnd w:id="1925"/>
    <w:bookmarkStart w:name="z1926" w:id="1926"/>
    <w:p>
      <w:pPr>
        <w:spacing w:after="0"/>
        <w:ind w:left="0"/>
        <w:jc w:val="both"/>
      </w:pPr>
      <w:r>
        <w:rPr>
          <w:rFonts w:ascii="Times New Roman"/>
          <w:b w:val="false"/>
          <w:i w:val="false"/>
          <w:color w:val="000000"/>
          <w:sz w:val="28"/>
        </w:rPr>
        <w:t>
      Расчетное давление на отбойные переборки и отбойные листы определяется по формулам (23) и (24) настоящих Правил, но допускается не менее р</w:t>
      </w:r>
      <w:r>
        <w:rPr>
          <w:rFonts w:ascii="Times New Roman"/>
          <w:b w:val="false"/>
          <w:i w:val="false"/>
          <w:color w:val="000000"/>
          <w:vertAlign w:val="subscript"/>
        </w:rPr>
        <w:t>min</w:t>
      </w:r>
      <w:r>
        <w:rPr>
          <w:rFonts w:ascii="Times New Roman"/>
          <w:b w:val="false"/>
          <w:i w:val="false"/>
          <w:color w:val="000000"/>
          <w:sz w:val="28"/>
        </w:rPr>
        <w:t xml:space="preserve"> = 25 кПа.</w:t>
      </w:r>
    </w:p>
    <w:bookmarkEnd w:id="1926"/>
    <w:bookmarkStart w:name="z1927" w:id="1927"/>
    <w:p>
      <w:pPr>
        <w:spacing w:after="0"/>
        <w:ind w:left="0"/>
        <w:jc w:val="both"/>
      </w:pPr>
      <w:r>
        <w:rPr>
          <w:rFonts w:ascii="Times New Roman"/>
          <w:b w:val="false"/>
          <w:i w:val="false"/>
          <w:color w:val="000000"/>
          <w:sz w:val="28"/>
        </w:rPr>
        <w:t>
      Расчетное давление на переборки, ограничивающие трюмы для тяжелого навалочного груза, определяется согласно пункту 178 настоящих Правил.</w:t>
      </w:r>
    </w:p>
    <w:bookmarkEnd w:id="1927"/>
    <w:bookmarkStart w:name="z1928" w:id="1928"/>
    <w:p>
      <w:pPr>
        <w:spacing w:after="0"/>
        <w:ind w:left="0"/>
        <w:jc w:val="left"/>
      </w:pPr>
      <w:r>
        <w:rPr>
          <w:rFonts w:ascii="Times New Roman"/>
          <w:b/>
          <w:i w:val="false"/>
          <w:color w:val="000000"/>
        </w:rPr>
        <w:t xml:space="preserve"> Параграф 4. Размеры связей переборок</w:t>
      </w:r>
    </w:p>
    <w:bookmarkEnd w:id="1928"/>
    <w:bookmarkStart w:name="z1929" w:id="1929"/>
    <w:p>
      <w:pPr>
        <w:spacing w:after="0"/>
        <w:ind w:left="0"/>
        <w:jc w:val="both"/>
      </w:pPr>
      <w:r>
        <w:rPr>
          <w:rFonts w:ascii="Times New Roman"/>
          <w:b w:val="false"/>
          <w:i w:val="false"/>
          <w:color w:val="000000"/>
          <w:sz w:val="28"/>
        </w:rPr>
        <w:t>
      444. Толщина обшивки переборок равна не менее определяемой по формуле (57) настоящих Правил. При этом:</w:t>
      </w:r>
    </w:p>
    <w:bookmarkEnd w:id="1929"/>
    <w:p>
      <w:pPr>
        <w:spacing w:after="0"/>
        <w:ind w:left="0"/>
        <w:jc w:val="both"/>
      </w:pPr>
      <w:r>
        <w:rPr>
          <w:rFonts w:ascii="Times New Roman"/>
          <w:b w:val="false"/>
          <w:i w:val="false"/>
          <w:color w:val="000000"/>
          <w:sz w:val="28"/>
        </w:rPr>
        <w:t>
      р — согласно параграфу 3 главы 21 настоящих Правил;</w:t>
      </w:r>
    </w:p>
    <w:p>
      <w:pPr>
        <w:spacing w:after="0"/>
        <w:ind w:left="0"/>
        <w:jc w:val="both"/>
      </w:pPr>
      <w:r>
        <w:rPr>
          <w:rFonts w:ascii="Times New Roman"/>
          <w:b w:val="false"/>
          <w:i w:val="false"/>
          <w:color w:val="000000"/>
          <w:sz w:val="28"/>
        </w:rPr>
        <w:t>
      m = 15,8;</w:t>
      </w:r>
    </w:p>
    <w:p>
      <w:pPr>
        <w:spacing w:after="0"/>
        <w:ind w:left="0"/>
        <w:jc w:val="both"/>
      </w:pPr>
      <w:r>
        <w:rPr>
          <w:rFonts w:ascii="Times New Roman"/>
          <w:b w:val="false"/>
          <w:i w:val="false"/>
          <w:color w:val="000000"/>
          <w:sz w:val="28"/>
        </w:rPr>
        <w:t>
      для продольных переборок наливных судов длиной 65 м и более при поперечной системе набора в средней части: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w:t>
      </w:r>
      <w:r>
        <w:rPr>
          <w:rFonts w:ascii="Times New Roman"/>
          <w:b w:val="false"/>
          <w:i w:val="false"/>
          <w:color w:val="000000"/>
          <w:sz w:val="28"/>
          <w:u w:val="single"/>
        </w:rPr>
        <w:t>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0,8 на уровне основной плоскости;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0,8 на уровне верхней палубы;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определяется по формуле (86)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в районе (0,4 — 0,5)D от основной плоскости.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по высоте борта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при L = 12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L &lt; 65 м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линейной интерполяцией, принимая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0,68 при L = 65 м на уровнях основной плоскости и верхней палубы.</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в оконечностях в пределах участков 0,1L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для всех остальных переборок.</w:t>
      </w:r>
      <w:r>
        <w:br/>
      </w:r>
      <w:r>
        <w:rPr>
          <w:rFonts w:ascii="Times New Roman"/>
          <w:b w:val="false"/>
          <w:i w:val="false"/>
          <w:color w:val="000000"/>
          <w:sz w:val="28"/>
        </w:rPr>
        <w:t>
</w:t>
      </w:r>
    </w:p>
    <w:bookmarkStart w:name="z1930" w:id="1930"/>
    <w:p>
      <w:pPr>
        <w:spacing w:after="0"/>
        <w:ind w:left="0"/>
        <w:jc w:val="both"/>
      </w:pPr>
      <w:r>
        <w:rPr>
          <w:rFonts w:ascii="Times New Roman"/>
          <w:b w:val="false"/>
          <w:i w:val="false"/>
          <w:color w:val="000000"/>
          <w:sz w:val="28"/>
        </w:rPr>
        <w:t>
      445. Листы обшивки водонепроницаемых переборок судов длиной 50м имеют толщину менее на 0,5мм, а на судах длиной 40м и менее — на 1мм. Для промежуточных значений длины судна уменьшение толщины определяется линейной интерполяцией.</w:t>
      </w:r>
    </w:p>
    <w:bookmarkEnd w:id="1930"/>
    <w:bookmarkStart w:name="z1931" w:id="1931"/>
    <w:p>
      <w:pPr>
        <w:spacing w:after="0"/>
        <w:ind w:left="0"/>
        <w:jc w:val="both"/>
      </w:pPr>
      <w:r>
        <w:rPr>
          <w:rFonts w:ascii="Times New Roman"/>
          <w:b w:val="false"/>
          <w:i w:val="false"/>
          <w:color w:val="000000"/>
          <w:sz w:val="28"/>
        </w:rPr>
        <w:t>
      446. Толщина верхнего и нижнего поясьев продольных переборок наливных судов отвечает требованиям к бортовой обшивке согласно параграфу 3 главы 16 настоящих Правил с учетом давления от жидкого груза.</w:t>
      </w:r>
    </w:p>
    <w:bookmarkEnd w:id="1931"/>
    <w:bookmarkStart w:name="z1932" w:id="1932"/>
    <w:p>
      <w:pPr>
        <w:spacing w:after="0"/>
        <w:ind w:left="0"/>
        <w:jc w:val="both"/>
      </w:pPr>
      <w:r>
        <w:rPr>
          <w:rFonts w:ascii="Times New Roman"/>
          <w:b w:val="false"/>
          <w:i w:val="false"/>
          <w:color w:val="000000"/>
          <w:sz w:val="28"/>
        </w:rPr>
        <w:t>
      447. Толщина обшивки водонепроницаемых переборок и переборок масляных цистерн s</w:t>
      </w:r>
      <w:r>
        <w:rPr>
          <w:rFonts w:ascii="Times New Roman"/>
          <w:b w:val="false"/>
          <w:i w:val="false"/>
          <w:color w:val="000000"/>
          <w:vertAlign w:val="subscript"/>
        </w:rPr>
        <w:t>min</w:t>
      </w:r>
      <w:r>
        <w:rPr>
          <w:rFonts w:ascii="Times New Roman"/>
          <w:b w:val="false"/>
          <w:i w:val="false"/>
          <w:color w:val="000000"/>
          <w:sz w:val="28"/>
        </w:rPr>
        <w:t>, мм, равна не менее:</w:t>
      </w:r>
    </w:p>
    <w:bookmarkEnd w:id="1932"/>
    <w:p>
      <w:pPr>
        <w:spacing w:after="0"/>
        <w:ind w:left="0"/>
        <w:jc w:val="both"/>
      </w:pPr>
      <w:r>
        <w:rPr>
          <w:rFonts w:ascii="Times New Roman"/>
          <w:b w:val="false"/>
          <w:i w:val="false"/>
          <w:color w:val="000000"/>
          <w:sz w:val="28"/>
        </w:rPr>
        <w:t>
                        smin = 4 + 0,02L.                             (129)</w:t>
      </w:r>
    </w:p>
    <w:p>
      <w:pPr>
        <w:spacing w:after="0"/>
        <w:ind w:left="0"/>
        <w:jc w:val="both"/>
      </w:pPr>
      <w:r>
        <w:rPr>
          <w:rFonts w:ascii="Times New Roman"/>
          <w:b w:val="false"/>
          <w:i w:val="false"/>
          <w:color w:val="000000"/>
          <w:sz w:val="28"/>
        </w:rPr>
        <w:t>
      При L &gt; 150 м принимается L = 150 м.</w:t>
      </w:r>
    </w:p>
    <w:bookmarkStart w:name="z1933" w:id="1933"/>
    <w:p>
      <w:pPr>
        <w:spacing w:after="0"/>
        <w:ind w:left="0"/>
        <w:jc w:val="both"/>
      </w:pPr>
      <w:r>
        <w:rPr>
          <w:rFonts w:ascii="Times New Roman"/>
          <w:b w:val="false"/>
          <w:i w:val="false"/>
          <w:color w:val="000000"/>
          <w:sz w:val="28"/>
        </w:rPr>
        <w:t>
      Толщина нижних листов переборок должна быть на 1 мм больше указанной и не менее 6 мм.</w:t>
      </w:r>
    </w:p>
    <w:bookmarkEnd w:id="1933"/>
    <w:bookmarkStart w:name="z1934" w:id="1934"/>
    <w:p>
      <w:pPr>
        <w:spacing w:after="0"/>
        <w:ind w:left="0"/>
        <w:jc w:val="both"/>
      </w:pPr>
      <w:r>
        <w:rPr>
          <w:rFonts w:ascii="Times New Roman"/>
          <w:b w:val="false"/>
          <w:i w:val="false"/>
          <w:color w:val="000000"/>
          <w:sz w:val="28"/>
        </w:rPr>
        <w:t>
      Для переборок цистерн (за исключением масляных) толщина обшивки, поясков и стенок балок набора s</w:t>
      </w:r>
      <w:r>
        <w:rPr>
          <w:rFonts w:ascii="Times New Roman"/>
          <w:b w:val="false"/>
          <w:i w:val="false"/>
          <w:color w:val="000000"/>
          <w:vertAlign w:val="subscript"/>
        </w:rPr>
        <w:t>min</w:t>
      </w:r>
      <w:r>
        <w:rPr>
          <w:rFonts w:ascii="Times New Roman"/>
          <w:b w:val="false"/>
          <w:i w:val="false"/>
          <w:color w:val="000000"/>
          <w:sz w:val="28"/>
        </w:rPr>
        <w:t>, мм, равна не менее определяемой по формуле:</w:t>
      </w:r>
    </w:p>
    <w:bookmarkEnd w:id="1934"/>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5 + 0,015</w:t>
      </w:r>
      <w:r>
        <w:rPr>
          <w:rFonts w:ascii="Times New Roman"/>
          <w:b w:val="false"/>
          <w:i/>
          <w:color w:val="000000"/>
          <w:sz w:val="28"/>
        </w:rPr>
        <w:t>L</w:t>
      </w:r>
      <w:r>
        <w:rPr>
          <w:rFonts w:ascii="Times New Roman"/>
          <w:b w:val="false"/>
          <w:i w:val="false"/>
          <w:color w:val="000000"/>
          <w:sz w:val="28"/>
        </w:rPr>
        <w:t>;                           (130)</w:t>
      </w:r>
    </w:p>
    <w:p>
      <w:pPr>
        <w:spacing w:after="0"/>
        <w:ind w:left="0"/>
        <w:jc w:val="both"/>
      </w:pPr>
      <w:r>
        <w:rPr>
          <w:rFonts w:ascii="Times New Roman"/>
          <w:b w:val="false"/>
          <w:i w:val="false"/>
          <w:color w:val="000000"/>
          <w:sz w:val="28"/>
        </w:rPr>
        <w:t xml:space="preserve">
                        6,0 </w:t>
      </w:r>
      <w:r>
        <w:rPr>
          <w:rFonts w:ascii="Times New Roman"/>
          <w:b w:val="false"/>
          <w:i w:val="false"/>
          <w:color w:val="000000"/>
          <w:sz w:val="28"/>
          <w:u w:val="single"/>
        </w:rPr>
        <w:t>&lt;</w:t>
      </w:r>
      <w:r>
        <w:rPr>
          <w:rFonts w:ascii="Times New Roman"/>
          <w:b w:val="false"/>
          <w:i w:val="false"/>
          <w:color w:val="000000"/>
          <w:sz w:val="28"/>
        </w:rPr>
        <w:t xml:space="preserve"> smin </w:t>
      </w:r>
      <w:r>
        <w:rPr>
          <w:rFonts w:ascii="Times New Roman"/>
          <w:b w:val="false"/>
          <w:i w:val="false"/>
          <w:color w:val="000000"/>
          <w:sz w:val="28"/>
          <w:u w:val="single"/>
        </w:rPr>
        <w:t>&lt;</w:t>
      </w:r>
      <w:r>
        <w:rPr>
          <w:rFonts w:ascii="Times New Roman"/>
          <w:b w:val="false"/>
          <w:i w:val="false"/>
          <w:color w:val="000000"/>
          <w:sz w:val="28"/>
        </w:rPr>
        <w:t xml:space="preserve"> 7,5 мм.</w:t>
      </w:r>
    </w:p>
    <w:bookmarkStart w:name="z1935" w:id="1935"/>
    <w:p>
      <w:pPr>
        <w:spacing w:after="0"/>
        <w:ind w:left="0"/>
        <w:jc w:val="both"/>
      </w:pPr>
      <w:r>
        <w:rPr>
          <w:rFonts w:ascii="Times New Roman"/>
          <w:b w:val="false"/>
          <w:i w:val="false"/>
          <w:color w:val="000000"/>
          <w:sz w:val="28"/>
        </w:rPr>
        <w:t>
      Минимальная толщина обшивки переборок наливных судов в районе грузовых и балластных танков равна не менее требуемой в параграфе 3 главы 32 настоящих Правил.</w:t>
      </w:r>
    </w:p>
    <w:bookmarkEnd w:id="1935"/>
    <w:bookmarkStart w:name="z1936" w:id="1936"/>
    <w:p>
      <w:pPr>
        <w:spacing w:after="0"/>
        <w:ind w:left="0"/>
        <w:jc w:val="both"/>
      </w:pPr>
      <w:r>
        <w:rPr>
          <w:rFonts w:ascii="Times New Roman"/>
          <w:b w:val="false"/>
          <w:i w:val="false"/>
          <w:color w:val="000000"/>
          <w:sz w:val="28"/>
        </w:rPr>
        <w:t>
      448. Листы обшивки переборок имеют толщину, не превышающую толщины соответствующих поясьев наружной обшивки и настила палуб при одинаковых пролетах пластин и пределах текучести стали. Указанное также относится к соотношению толщин нижних листов переборок и настила второго дна (днища).</w:t>
      </w:r>
    </w:p>
    <w:bookmarkEnd w:id="1936"/>
    <w:bookmarkStart w:name="z1937" w:id="1937"/>
    <w:p>
      <w:pPr>
        <w:spacing w:after="0"/>
        <w:ind w:left="0"/>
        <w:jc w:val="both"/>
      </w:pPr>
      <w:r>
        <w:rPr>
          <w:rFonts w:ascii="Times New Roman"/>
          <w:b w:val="false"/>
          <w:i w:val="false"/>
          <w:color w:val="000000"/>
          <w:sz w:val="28"/>
        </w:rPr>
        <w:t>
      Ширина нижнего и верхнего поясьев переборок определяется согласно пункту 457 настоящих Правил.</w:t>
      </w:r>
    </w:p>
    <w:bookmarkEnd w:id="1937"/>
    <w:bookmarkStart w:name="z1938" w:id="1938"/>
    <w:p>
      <w:pPr>
        <w:spacing w:after="0"/>
        <w:ind w:left="0"/>
        <w:jc w:val="both"/>
      </w:pPr>
      <w:r>
        <w:rPr>
          <w:rFonts w:ascii="Times New Roman"/>
          <w:b w:val="false"/>
          <w:i w:val="false"/>
          <w:color w:val="000000"/>
          <w:sz w:val="28"/>
        </w:rPr>
        <w:t>
      В местах прохода дейдвудных труб листы переборок имеют удвоенную толщину.</w:t>
      </w:r>
    </w:p>
    <w:bookmarkEnd w:id="1938"/>
    <w:bookmarkStart w:name="z1939" w:id="1939"/>
    <w:p>
      <w:pPr>
        <w:spacing w:after="0"/>
        <w:ind w:left="0"/>
        <w:jc w:val="both"/>
      </w:pPr>
      <w:r>
        <w:rPr>
          <w:rFonts w:ascii="Times New Roman"/>
          <w:b w:val="false"/>
          <w:i w:val="false"/>
          <w:color w:val="000000"/>
          <w:sz w:val="28"/>
        </w:rPr>
        <w:t>
      449. Толщина гофрированных переборок определяется согласно пункту 250 настоящих Правил с учетом требований к моменту сопротивления стоек или горизонтальных балок согласно пункту 450 настоящих Правил.</w:t>
      </w:r>
    </w:p>
    <w:bookmarkEnd w:id="1939"/>
    <w:bookmarkStart w:name="z1940" w:id="1940"/>
    <w:p>
      <w:pPr>
        <w:spacing w:after="0"/>
        <w:ind w:left="0"/>
        <w:jc w:val="both"/>
      </w:pPr>
      <w:r>
        <w:rPr>
          <w:rFonts w:ascii="Times New Roman"/>
          <w:b w:val="false"/>
          <w:i w:val="false"/>
          <w:color w:val="000000"/>
          <w:sz w:val="28"/>
        </w:rPr>
        <w:t>
      450. Момент сопротивления стоек или горизонтальных балок переборок равен не менее определяемого в пунктах 246 и 247 настоящих Правил. При этом:</w:t>
      </w:r>
    </w:p>
    <w:bookmarkEnd w:id="1940"/>
    <w:p>
      <w:pPr>
        <w:spacing w:after="0"/>
        <w:ind w:left="0"/>
        <w:jc w:val="both"/>
      </w:pPr>
      <w:r>
        <w:rPr>
          <w:rFonts w:ascii="Times New Roman"/>
          <w:b w:val="false"/>
          <w:i w:val="false"/>
          <w:color w:val="000000"/>
          <w:sz w:val="28"/>
        </w:rPr>
        <w:t>
      р — согласно параграфу 3 главы 20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приложение 67 настоящих Правил;</w:t>
      </w:r>
    </w:p>
    <w:p>
      <w:pPr>
        <w:spacing w:after="0"/>
        <w:ind w:left="0"/>
        <w:jc w:val="both"/>
      </w:pPr>
      <w:r>
        <w:rPr>
          <w:rFonts w:ascii="Times New Roman"/>
          <w:b w:val="false"/>
          <w:i w:val="false"/>
          <w:color w:val="000000"/>
          <w:sz w:val="28"/>
        </w:rPr>
        <w:t>
      для горизонтальных балок продольных переборок наливных судов длиной</w:t>
      </w:r>
    </w:p>
    <w:p>
      <w:pPr>
        <w:spacing w:after="0"/>
        <w:ind w:left="0"/>
        <w:jc w:val="both"/>
      </w:pPr>
      <w:r>
        <w:rPr>
          <w:rFonts w:ascii="Times New Roman"/>
          <w:b w:val="false"/>
          <w:i w:val="false"/>
          <w:color w:val="000000"/>
          <w:sz w:val="28"/>
        </w:rPr>
        <w:t>
      65 м и более в средней части: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0,55kВ </w:t>
      </w:r>
      <w:r>
        <w:rPr>
          <w:rFonts w:ascii="Times New Roman"/>
          <w:b w:val="false"/>
          <w:i w:val="false"/>
          <w:color w:val="000000"/>
          <w:sz w:val="28"/>
          <w:u w:val="single"/>
        </w:rPr>
        <w:t>&lt;</w:t>
      </w:r>
      <w:r>
        <w:rPr>
          <w:rFonts w:ascii="Times New Roman"/>
          <w:b w:val="false"/>
          <w:i w:val="false"/>
          <w:color w:val="000000"/>
          <w:sz w:val="28"/>
        </w:rPr>
        <w:t xml:space="preserve"> 0,75 на уровне основной плоскости;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0,55kD </w:t>
      </w:r>
      <w:r>
        <w:rPr>
          <w:rFonts w:ascii="Times New Roman"/>
          <w:b w:val="false"/>
          <w:i w:val="false"/>
          <w:color w:val="000000"/>
          <w:sz w:val="28"/>
          <w:u w:val="single"/>
        </w:rPr>
        <w:t>&lt;</w:t>
      </w:r>
      <w:r>
        <w:rPr>
          <w:rFonts w:ascii="Times New Roman"/>
          <w:b w:val="false"/>
          <w:i w:val="false"/>
          <w:color w:val="000000"/>
          <w:sz w:val="28"/>
        </w:rPr>
        <w:t xml:space="preserve"> 0,75 на уровне верхней палубы;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определяется по формуле (86)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в районе (0,4 — 0,5)D от основной плоскости.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по высоте борта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при L = 12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12 &lt; L &lt;65 м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линейной интерполяцией, принимая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0,65 при L = 65 м на уровнях основной плоскости и верхней палубы.</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в оконечностях в пределах участков 0,1L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для всех остальных балок набора.</w:t>
      </w:r>
      <w:r>
        <w:br/>
      </w:r>
      <w:r>
        <w:rPr>
          <w:rFonts w:ascii="Times New Roman"/>
          <w:b w:val="false"/>
          <w:i w:val="false"/>
          <w:color w:val="000000"/>
          <w:sz w:val="28"/>
        </w:rPr>
        <w:t>
</w:t>
      </w:r>
    </w:p>
    <w:bookmarkStart w:name="z1941" w:id="1941"/>
    <w:p>
      <w:pPr>
        <w:spacing w:after="0"/>
        <w:ind w:left="0"/>
        <w:jc w:val="both"/>
      </w:pPr>
      <w:r>
        <w:rPr>
          <w:rFonts w:ascii="Times New Roman"/>
          <w:b w:val="false"/>
          <w:i w:val="false"/>
          <w:color w:val="000000"/>
          <w:sz w:val="28"/>
        </w:rPr>
        <w:t xml:space="preserve">
      451. Для гофров </w:t>
      </w:r>
      <w:r>
        <w:rPr>
          <w:rFonts w:ascii="Times New Roman"/>
          <w:b w:val="false"/>
          <w:i/>
          <w:color w:val="000000"/>
          <w:sz w:val="28"/>
        </w:rPr>
        <w:t>m</w:t>
      </w:r>
      <w:r>
        <w:rPr>
          <w:rFonts w:ascii="Times New Roman"/>
          <w:b w:val="false"/>
          <w:i w:val="false"/>
          <w:color w:val="000000"/>
          <w:sz w:val="28"/>
        </w:rPr>
        <w:t xml:space="preserve"> = 10, для вертикальных гофров переборок, верхние и нижние концы которых крепятся к палубе и днищу или второму дну с помощью соответственно поперечных балок прямоугольного или трапецеидального сечения и опор трапецеидального сечения, </w:t>
      </w:r>
      <w:r>
        <w:rPr>
          <w:rFonts w:ascii="Times New Roman"/>
          <w:b w:val="false"/>
          <w:i/>
          <w:color w:val="000000"/>
          <w:sz w:val="28"/>
        </w:rPr>
        <w:t>m</w:t>
      </w:r>
      <w:r>
        <w:rPr>
          <w:rFonts w:ascii="Times New Roman"/>
          <w:b w:val="false"/>
          <w:i w:val="false"/>
          <w:color w:val="000000"/>
          <w:sz w:val="28"/>
        </w:rPr>
        <w:t xml:space="preserve"> = 13.</w:t>
      </w:r>
    </w:p>
    <w:bookmarkEnd w:id="1941"/>
    <w:bookmarkStart w:name="z1942" w:id="1942"/>
    <w:p>
      <w:pPr>
        <w:spacing w:after="0"/>
        <w:ind w:left="0"/>
        <w:jc w:val="both"/>
      </w:pPr>
      <w:r>
        <w:rPr>
          <w:rFonts w:ascii="Times New Roman"/>
          <w:b w:val="false"/>
          <w:i w:val="false"/>
          <w:color w:val="000000"/>
          <w:sz w:val="28"/>
        </w:rPr>
        <w:t>
      Горизонтальные балки продольных переборок, расположенные на расстоянии 0,15D от палубы и днища, отвечают требованиям устойчивости согласно параграфу 4 главы 13 настоящих Правил.</w:t>
      </w:r>
    </w:p>
    <w:bookmarkEnd w:id="1942"/>
    <w:bookmarkStart w:name="z1943" w:id="1943"/>
    <w:p>
      <w:pPr>
        <w:spacing w:after="0"/>
        <w:ind w:left="0"/>
        <w:jc w:val="both"/>
      </w:pPr>
      <w:r>
        <w:rPr>
          <w:rFonts w:ascii="Times New Roman"/>
          <w:b w:val="false"/>
          <w:i w:val="false"/>
          <w:color w:val="000000"/>
          <w:sz w:val="28"/>
        </w:rPr>
        <w:t>
      452. Толщина стенок и поясков балок набора и подкрепляющих их книц у переборок цистерн (за исключением масляных) должна быть не менее требуемой формулой (130) настоящих Правил, у переборок наливных судов в районе грузовых и балластных танков — не менее требуемой в параграфе 3 главы 32 настоящих Правил.</w:t>
      </w:r>
    </w:p>
    <w:bookmarkEnd w:id="1943"/>
    <w:bookmarkStart w:name="z1944" w:id="1944"/>
    <w:p>
      <w:pPr>
        <w:spacing w:after="0"/>
        <w:ind w:left="0"/>
        <w:jc w:val="both"/>
      </w:pPr>
      <w:r>
        <w:rPr>
          <w:rFonts w:ascii="Times New Roman"/>
          <w:b w:val="false"/>
          <w:i w:val="false"/>
          <w:color w:val="000000"/>
          <w:sz w:val="28"/>
        </w:rPr>
        <w:t>
      453. Необходимо чтобы рамный набор переборок соответствовал следующим требованиям:</w:t>
      </w:r>
    </w:p>
    <w:bookmarkEnd w:id="1944"/>
    <w:bookmarkStart w:name="z1945" w:id="1945"/>
    <w:p>
      <w:pPr>
        <w:spacing w:after="0"/>
        <w:ind w:left="0"/>
        <w:jc w:val="both"/>
      </w:pPr>
      <w:r>
        <w:rPr>
          <w:rFonts w:ascii="Times New Roman"/>
          <w:b w:val="false"/>
          <w:i w:val="false"/>
          <w:color w:val="000000"/>
          <w:sz w:val="28"/>
        </w:rPr>
        <w:t>
      1) у рамных стоек переборок, в конструкции которых отсутствуют горизонтальные рамы, и у горизонтальных рам переборок, в конструкции которых отсутствуют рамные стойки, момент сопротивления сечения и площадь сечения стенки за вычетом вырезов равен не менее определяемых в пунктах 2246-248 настоящих Правил. При этом:</w:t>
      </w:r>
    </w:p>
    <w:bookmarkEnd w:id="1945"/>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n</w:t>
      </w:r>
      <w:r>
        <w:rPr>
          <w:rFonts w:ascii="Times New Roman"/>
          <w:b w:val="false"/>
          <w:i w:val="false"/>
          <w:color w:val="000000"/>
          <w:vertAlign w:val="subscript"/>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р — согласно параграфу 3 главы 20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определяются по приложению 68 настоящих Правил, в зависимости от числа распорок, устанавливаемых в бортовых танках между рамным набором переборки и борта, для продольных переборок наливных судов;</w:t>
      </w:r>
    </w:p>
    <w:bookmarkStart w:name="z1947" w:id="1946"/>
    <w:p>
      <w:pPr>
        <w:spacing w:after="0"/>
        <w:ind w:left="0"/>
        <w:jc w:val="both"/>
      </w:pPr>
      <w:r>
        <w:rPr>
          <w:rFonts w:ascii="Times New Roman"/>
          <w:b w:val="false"/>
          <w:i w:val="false"/>
          <w:color w:val="000000"/>
          <w:sz w:val="28"/>
        </w:rPr>
        <w:t>
      для рамного набора других переборок, у которых имеются рамные стойки, но нет горизонтальных рам или имеются горизонтальные рамы, но нет рамных стоек, т и п определяются по приложению 69 настоящих Правил;</w:t>
      </w:r>
    </w:p>
    <w:bookmarkEnd w:id="194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пролета, включающая кницы,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горизонтальных рам продольных переборок наливных судов определяется так же, как для горизонтальных балок тех же переборок согласно пункту 450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остального рамного набора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0,75;</w:t>
      </w:r>
      <w:r>
        <w:br/>
      </w: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1948" w:id="1947"/>
    <w:p>
      <w:pPr>
        <w:spacing w:after="0"/>
        <w:ind w:left="0"/>
        <w:jc w:val="both"/>
      </w:pPr>
      <w:r>
        <w:rPr>
          <w:rFonts w:ascii="Times New Roman"/>
          <w:b w:val="false"/>
          <w:i w:val="false"/>
          <w:color w:val="000000"/>
          <w:sz w:val="28"/>
        </w:rPr>
        <w:t>
      2) в случаях, когда в составе конструкции переборки имеются и рамные стойки, и горизонтальные рамы, размеры этих балок определяют по расчету перекрытия как стержневой системы при действии расчетных нагрузок согласно параграфу 3 главы 21 настоящих Правил и коэффициентах допускаемых напряжений согласно подпункту 1) пункта 453 настоящих Правил;</w:t>
      </w:r>
    </w:p>
    <w:bookmarkEnd w:id="1947"/>
    <w:bookmarkStart w:name="z1949" w:id="1948"/>
    <w:p>
      <w:pPr>
        <w:spacing w:after="0"/>
        <w:ind w:left="0"/>
        <w:jc w:val="both"/>
      </w:pPr>
      <w:r>
        <w:rPr>
          <w:rFonts w:ascii="Times New Roman"/>
          <w:b w:val="false"/>
          <w:i w:val="false"/>
          <w:color w:val="000000"/>
          <w:sz w:val="28"/>
        </w:rPr>
        <w:t>
      3) у рамных балок гофрированных переборок в качестве расчетного принимается наименьшее по высоте поперечное сечение, ширина присоединенного пояска принимается согласно пункту 243 настоящих Правил;</w:t>
      </w:r>
    </w:p>
    <w:bookmarkEnd w:id="1948"/>
    <w:bookmarkStart w:name="z1950" w:id="1949"/>
    <w:p>
      <w:pPr>
        <w:spacing w:after="0"/>
        <w:ind w:left="0"/>
        <w:jc w:val="both"/>
      </w:pPr>
      <w:r>
        <w:rPr>
          <w:rFonts w:ascii="Times New Roman"/>
          <w:b w:val="false"/>
          <w:i w:val="false"/>
          <w:color w:val="000000"/>
          <w:sz w:val="28"/>
        </w:rPr>
        <w:t>
      4) толщина стенок и поясков рамных балок и подкрепляющих их книц и ребер у переборок цистерн (за исключением масляных) равна не менее требуемой формулой (130) настоящих Правил, у переборок наливных судов в районе грузовых и балластных танков — не менее требуемой в параграфе 3 главы 32 настоящих Правил.</w:t>
      </w:r>
    </w:p>
    <w:bookmarkEnd w:id="1949"/>
    <w:bookmarkStart w:name="z1951" w:id="1950"/>
    <w:p>
      <w:pPr>
        <w:spacing w:after="0"/>
        <w:ind w:left="0"/>
        <w:jc w:val="both"/>
      </w:pPr>
      <w:r>
        <w:rPr>
          <w:rFonts w:ascii="Times New Roman"/>
          <w:b w:val="false"/>
          <w:i w:val="false"/>
          <w:color w:val="000000"/>
          <w:sz w:val="28"/>
        </w:rPr>
        <w:t>
      454. Размеры элементов отбойных переборок и отбойных листов в отсеках, предназначенных для перевозки жидких грузов и балласта, отвечают следующим дополнительным требованиям:</w:t>
      </w:r>
    </w:p>
    <w:bookmarkEnd w:id="1950"/>
    <w:bookmarkStart w:name="z1952" w:id="1951"/>
    <w:p>
      <w:pPr>
        <w:spacing w:after="0"/>
        <w:ind w:left="0"/>
        <w:jc w:val="both"/>
      </w:pPr>
      <w:r>
        <w:rPr>
          <w:rFonts w:ascii="Times New Roman"/>
          <w:b w:val="false"/>
          <w:i w:val="false"/>
          <w:color w:val="000000"/>
          <w:sz w:val="28"/>
        </w:rPr>
        <w:t>
      1) в отбойных переборках общая площадь вырезов должна быть не больше 10 % площади всей переборки. Число и размеры вырезов в верхних и нижних поясьях бывают минимальными.</w:t>
      </w:r>
    </w:p>
    <w:bookmarkEnd w:id="1951"/>
    <w:bookmarkStart w:name="z1953" w:id="1952"/>
    <w:p>
      <w:pPr>
        <w:spacing w:after="0"/>
        <w:ind w:left="0"/>
        <w:jc w:val="both"/>
      </w:pPr>
      <w:r>
        <w:rPr>
          <w:rFonts w:ascii="Times New Roman"/>
          <w:b w:val="false"/>
          <w:i w:val="false"/>
          <w:color w:val="000000"/>
          <w:sz w:val="28"/>
        </w:rPr>
        <w:t>
      Толщина и ширина верхнего и нижнего листов отбойных переборок принимается в соответствии с требованиями к обшивке переборок цистерн или грузовых (балластных) танков в зависимости от назначения;</w:t>
      </w:r>
    </w:p>
    <w:bookmarkEnd w:id="1952"/>
    <w:bookmarkStart w:name="z1954" w:id="1953"/>
    <w:p>
      <w:pPr>
        <w:spacing w:after="0"/>
        <w:ind w:left="0"/>
        <w:jc w:val="both"/>
      </w:pPr>
      <w:r>
        <w:rPr>
          <w:rFonts w:ascii="Times New Roman"/>
          <w:b w:val="false"/>
          <w:i w:val="false"/>
          <w:color w:val="000000"/>
          <w:sz w:val="28"/>
        </w:rPr>
        <w:t>
      2) отбойный лист подкрепляют набором, отвечающим требованиям к набору отбойных переборок.</w:t>
      </w:r>
    </w:p>
    <w:bookmarkEnd w:id="1953"/>
    <w:bookmarkStart w:name="z1955" w:id="1954"/>
    <w:p>
      <w:pPr>
        <w:spacing w:after="0"/>
        <w:ind w:left="0"/>
        <w:jc w:val="both"/>
      </w:pPr>
      <w:r>
        <w:rPr>
          <w:rFonts w:ascii="Times New Roman"/>
          <w:b w:val="false"/>
          <w:i w:val="false"/>
          <w:color w:val="000000"/>
          <w:sz w:val="28"/>
        </w:rPr>
        <w:t>
      Свободная кромка отбойного листа подкрепляют горизонтальной балкой или свободным пояском. Их момент сопротивления отвечает требованиям к основному набору отбойных переборок.</w:t>
      </w:r>
    </w:p>
    <w:bookmarkEnd w:id="1954"/>
    <w:bookmarkStart w:name="z1956" w:id="1955"/>
    <w:p>
      <w:pPr>
        <w:spacing w:after="0"/>
        <w:ind w:left="0"/>
        <w:jc w:val="both"/>
      </w:pPr>
      <w:r>
        <w:rPr>
          <w:rFonts w:ascii="Times New Roman"/>
          <w:b w:val="false"/>
          <w:i w:val="false"/>
          <w:color w:val="000000"/>
          <w:sz w:val="28"/>
        </w:rPr>
        <w:t>
      Если отбойный лист выполняет функции рамной подпалубной балки, то он соответствует требованиям главы 20 настоящих Правил.</w:t>
      </w:r>
    </w:p>
    <w:bookmarkEnd w:id="1955"/>
    <w:bookmarkStart w:name="z1957" w:id="1956"/>
    <w:p>
      <w:pPr>
        <w:spacing w:after="0"/>
        <w:ind w:left="0"/>
        <w:jc w:val="both"/>
      </w:pPr>
      <w:r>
        <w:rPr>
          <w:rFonts w:ascii="Times New Roman"/>
          <w:b w:val="false"/>
          <w:i w:val="false"/>
          <w:color w:val="000000"/>
          <w:sz w:val="28"/>
        </w:rPr>
        <w:t>
      455. Необходимо чтобы размеры элементов полупереборок соответствовали следующим требованиям:</w:t>
      </w:r>
    </w:p>
    <w:bookmarkEnd w:id="1956"/>
    <w:bookmarkStart w:name="z1958" w:id="1957"/>
    <w:p>
      <w:pPr>
        <w:spacing w:after="0"/>
        <w:ind w:left="0"/>
        <w:jc w:val="both"/>
      </w:pPr>
      <w:r>
        <w:rPr>
          <w:rFonts w:ascii="Times New Roman"/>
          <w:b w:val="false"/>
          <w:i w:val="false"/>
          <w:color w:val="000000"/>
          <w:sz w:val="28"/>
        </w:rPr>
        <w:t>
      1) толщина обшивки полупереборки равна не менее требуемой формулой (129) настоящих Правил;</w:t>
      </w:r>
    </w:p>
    <w:bookmarkEnd w:id="1957"/>
    <w:bookmarkStart w:name="z1959" w:id="1958"/>
    <w:p>
      <w:pPr>
        <w:spacing w:after="0"/>
        <w:ind w:left="0"/>
        <w:jc w:val="both"/>
      </w:pPr>
      <w:r>
        <w:rPr>
          <w:rFonts w:ascii="Times New Roman"/>
          <w:b w:val="false"/>
          <w:i w:val="false"/>
          <w:color w:val="000000"/>
          <w:sz w:val="28"/>
        </w:rPr>
        <w:t>
      2) стойки полупереборок, поддерживающие рамные и концевые люковые бимсы, соответствовали требованиям для соответствующих пиллерсов (глава 23 настоящих Правил).</w:t>
      </w:r>
    </w:p>
    <w:bookmarkEnd w:id="1958"/>
    <w:bookmarkStart w:name="z1960" w:id="1959"/>
    <w:p>
      <w:pPr>
        <w:spacing w:after="0"/>
        <w:ind w:left="0"/>
        <w:jc w:val="both"/>
      </w:pPr>
      <w:r>
        <w:rPr>
          <w:rFonts w:ascii="Times New Roman"/>
          <w:b w:val="false"/>
          <w:i w:val="false"/>
          <w:color w:val="000000"/>
          <w:sz w:val="28"/>
        </w:rPr>
        <w:t xml:space="preserve">
      В любом случае эйлеровы напряжения стойки </w:t>
      </w:r>
    </w:p>
    <w:bookmarkEnd w:id="1959"/>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МПа, определяемые согласно пункту 507 настоящих Правил, равны не менее: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200</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(131)</w:t>
      </w:r>
      <w:r>
        <w:br/>
      </w:r>
      <w:r>
        <w:rPr>
          <w:rFonts w:ascii="Times New Roman"/>
          <w:b w:val="false"/>
          <w:i w:val="false"/>
          <w:color w:val="000000"/>
          <w:sz w:val="28"/>
        </w:rPr>
        <w:t>
</w:t>
      </w:r>
    </w:p>
    <w:bookmarkStart w:name="z1961" w:id="1960"/>
    <w:p>
      <w:pPr>
        <w:spacing w:after="0"/>
        <w:ind w:left="0"/>
        <w:jc w:val="both"/>
      </w:pPr>
      <w:r>
        <w:rPr>
          <w:rFonts w:ascii="Times New Roman"/>
          <w:b w:val="false"/>
          <w:i w:val="false"/>
          <w:color w:val="000000"/>
          <w:sz w:val="28"/>
        </w:rPr>
        <w:t>
      Момент инерции и площадь сечения стойки, используемые для определения ее эйлеровых напряжений, должны вычисляться с учетом присоединенного пояска обшивки полупереборки шириной, равной половине расстояния между стойками;</w:t>
      </w:r>
    </w:p>
    <w:bookmarkEnd w:id="1960"/>
    <w:bookmarkStart w:name="z1962" w:id="1961"/>
    <w:p>
      <w:pPr>
        <w:spacing w:after="0"/>
        <w:ind w:left="0"/>
        <w:jc w:val="both"/>
      </w:pPr>
      <w:r>
        <w:rPr>
          <w:rFonts w:ascii="Times New Roman"/>
          <w:b w:val="false"/>
          <w:i w:val="false"/>
          <w:color w:val="000000"/>
          <w:sz w:val="28"/>
        </w:rPr>
        <w:t>
      3) если полупереборка непосредственно воспринимает нагрузку от воздействия груза, необходимо чтобы размеры ее элементов соответствовали требованиям к переборкам трюмов для указанного груза.</w:t>
      </w:r>
    </w:p>
    <w:bookmarkEnd w:id="1961"/>
    <w:bookmarkStart w:name="z1963" w:id="1962"/>
    <w:p>
      <w:pPr>
        <w:spacing w:after="0"/>
        <w:ind w:left="0"/>
        <w:jc w:val="both"/>
      </w:pPr>
      <w:r>
        <w:rPr>
          <w:rFonts w:ascii="Times New Roman"/>
          <w:b w:val="false"/>
          <w:i w:val="false"/>
          <w:color w:val="000000"/>
          <w:sz w:val="28"/>
        </w:rPr>
        <w:t>
      456. Размеры элементов туннеля гребного вала, включая его выгородки и рецесс, а также непроницаемых переборок шахт лага, эхолота, аварийного выхода отвечают требованиям, предъявляемым к размерам элементов водонепроницаемых переборок.</w:t>
      </w:r>
    </w:p>
    <w:bookmarkEnd w:id="1962"/>
    <w:bookmarkStart w:name="z1964" w:id="1963"/>
    <w:p>
      <w:pPr>
        <w:spacing w:after="0"/>
        <w:ind w:left="0"/>
        <w:jc w:val="both"/>
      </w:pPr>
      <w:r>
        <w:rPr>
          <w:rFonts w:ascii="Times New Roman"/>
          <w:b w:val="false"/>
          <w:i w:val="false"/>
          <w:color w:val="000000"/>
          <w:sz w:val="28"/>
        </w:rPr>
        <w:t>
      Если туннель гребного вала проходит через отсек, предназначенный для перевозки жидкого груза и балласта, необходимо чтобы размеры его элементов соответствовали требованиям, предъявляемым к размерам элементов непроницаемых переборок, ограждающих указанный отсек.</w:t>
      </w:r>
    </w:p>
    <w:bookmarkEnd w:id="1963"/>
    <w:bookmarkStart w:name="z1965" w:id="1964"/>
    <w:p>
      <w:pPr>
        <w:spacing w:after="0"/>
        <w:ind w:left="0"/>
        <w:jc w:val="both"/>
      </w:pPr>
      <w:r>
        <w:rPr>
          <w:rFonts w:ascii="Times New Roman"/>
          <w:b w:val="false"/>
          <w:i w:val="false"/>
          <w:color w:val="000000"/>
          <w:sz w:val="28"/>
        </w:rPr>
        <w:t>
      При сводчатой форме крыши туннеля гребного вала толщина настила крыши может быть уменьшена на 10 %.</w:t>
      </w:r>
    </w:p>
    <w:bookmarkEnd w:id="1964"/>
    <w:bookmarkStart w:name="z1966" w:id="1965"/>
    <w:p>
      <w:pPr>
        <w:spacing w:after="0"/>
        <w:ind w:left="0"/>
        <w:jc w:val="both"/>
      </w:pPr>
      <w:r>
        <w:rPr>
          <w:rFonts w:ascii="Times New Roman"/>
          <w:b w:val="false"/>
          <w:i w:val="false"/>
          <w:color w:val="000000"/>
          <w:sz w:val="28"/>
        </w:rPr>
        <w:t>
      Толщина настила крыши туннеля гребного вала под грузовыми люками увеличивается на 2 мм.</w:t>
      </w:r>
    </w:p>
    <w:bookmarkEnd w:id="1965"/>
    <w:bookmarkStart w:name="z1967" w:id="1966"/>
    <w:p>
      <w:pPr>
        <w:spacing w:after="0"/>
        <w:ind w:left="0"/>
        <w:jc w:val="left"/>
      </w:pPr>
      <w:r>
        <w:rPr>
          <w:rFonts w:ascii="Times New Roman"/>
          <w:b/>
          <w:i w:val="false"/>
          <w:color w:val="000000"/>
        </w:rPr>
        <w:t xml:space="preserve"> Параграф 5. Специальные требования</w:t>
      </w:r>
    </w:p>
    <w:bookmarkEnd w:id="1966"/>
    <w:bookmarkStart w:name="z1968" w:id="1967"/>
    <w:p>
      <w:pPr>
        <w:spacing w:after="0"/>
        <w:ind w:left="0"/>
        <w:jc w:val="both"/>
      </w:pPr>
      <w:r>
        <w:rPr>
          <w:rFonts w:ascii="Times New Roman"/>
          <w:b w:val="false"/>
          <w:i w:val="false"/>
          <w:color w:val="000000"/>
          <w:sz w:val="28"/>
        </w:rPr>
        <w:t>
      457. Ширина нижнего пояса переборки, считая от уровня второго дна, или, если оно отсутствует, от днища судна, допускают не менее 0,9 м у судов длиной 40 м и более и не менее 0,4 м у судов длиной 12 м. Для промежуточных значений длины судна ширина указанного пояса определяется линейной интерполяцией. При этом, если двойное дно подходит к переборке только с одной стороны, нижний пояс переборки должен выступать не менее чем на 0,3 м над уровнем второго дна.</w:t>
      </w:r>
    </w:p>
    <w:bookmarkEnd w:id="1967"/>
    <w:bookmarkStart w:name="z1969" w:id="1968"/>
    <w:p>
      <w:pPr>
        <w:spacing w:after="0"/>
        <w:ind w:left="0"/>
        <w:jc w:val="both"/>
      </w:pPr>
      <w:r>
        <w:rPr>
          <w:rFonts w:ascii="Times New Roman"/>
          <w:b w:val="false"/>
          <w:i w:val="false"/>
          <w:color w:val="000000"/>
          <w:sz w:val="28"/>
        </w:rPr>
        <w:t>
      В котельном отделении нижний пояс переборки выступает над настилом не менее чем на 0,6 м.</w:t>
      </w:r>
    </w:p>
    <w:bookmarkEnd w:id="1968"/>
    <w:bookmarkStart w:name="z1970" w:id="1969"/>
    <w:p>
      <w:pPr>
        <w:spacing w:after="0"/>
        <w:ind w:left="0"/>
        <w:jc w:val="both"/>
      </w:pPr>
      <w:r>
        <w:rPr>
          <w:rFonts w:ascii="Times New Roman"/>
          <w:b w:val="false"/>
          <w:i w:val="false"/>
          <w:color w:val="000000"/>
          <w:sz w:val="28"/>
        </w:rPr>
        <w:t>
      458. Верхняя кромка нижнего пояса обшивки поперечных переборок в грузовых танках наливных судов допускается не менее чем на 100мм выше верхних концов книц продольных днищевых балок. Ширина верхнего и нижнего поясьев обшивки продольных переборок равна не менее 0,1</w:t>
      </w:r>
      <w:r>
        <w:rPr>
          <w:rFonts w:ascii="Times New Roman"/>
          <w:b w:val="false"/>
          <w:i/>
          <w:color w:val="000000"/>
          <w:sz w:val="28"/>
        </w:rPr>
        <w:t>D</w:t>
      </w:r>
      <w:r>
        <w:rPr>
          <w:rFonts w:ascii="Times New Roman"/>
          <w:b w:val="false"/>
          <w:i w:val="false"/>
          <w:color w:val="000000"/>
          <w:sz w:val="28"/>
        </w:rPr>
        <w:t xml:space="preserve"> однако допускается не более 1,8 м.</w:t>
      </w:r>
    </w:p>
    <w:bookmarkEnd w:id="1969"/>
    <w:bookmarkStart w:name="z1971" w:id="1970"/>
    <w:p>
      <w:pPr>
        <w:spacing w:after="0"/>
        <w:ind w:left="0"/>
        <w:jc w:val="both"/>
      </w:pPr>
      <w:r>
        <w:rPr>
          <w:rFonts w:ascii="Times New Roman"/>
          <w:b w:val="false"/>
          <w:i w:val="false"/>
          <w:color w:val="000000"/>
          <w:sz w:val="28"/>
        </w:rPr>
        <w:t>
      459. Необходимо чтобы коффердамы и ограждающие их переборки соответствовали следующим требованиям:</w:t>
      </w:r>
    </w:p>
    <w:bookmarkEnd w:id="1970"/>
    <w:bookmarkStart w:name="z1972" w:id="1971"/>
    <w:p>
      <w:pPr>
        <w:spacing w:after="0"/>
        <w:ind w:left="0"/>
        <w:jc w:val="both"/>
      </w:pPr>
      <w:r>
        <w:rPr>
          <w:rFonts w:ascii="Times New Roman"/>
          <w:b w:val="false"/>
          <w:i w:val="false"/>
          <w:color w:val="000000"/>
          <w:sz w:val="28"/>
        </w:rPr>
        <w:t>
      1) ширина вертикальных коффердамов, предусматриваемых пунктами 2243, 2742, 3693, 3795, главы 327 настоящих Правил, если в других частях Правил не предусмотрены иные требования, составляет одну шпацию, но не менее 0,6 м, а высота горизонтальных коффердамов — не менее 0,7 м.</w:t>
      </w:r>
    </w:p>
    <w:bookmarkEnd w:id="1971"/>
    <w:bookmarkStart w:name="z1973" w:id="1972"/>
    <w:p>
      <w:pPr>
        <w:spacing w:after="0"/>
        <w:ind w:left="0"/>
        <w:jc w:val="both"/>
      </w:pPr>
      <w:r>
        <w:rPr>
          <w:rFonts w:ascii="Times New Roman"/>
          <w:b w:val="false"/>
          <w:i w:val="false"/>
          <w:color w:val="000000"/>
          <w:sz w:val="28"/>
        </w:rPr>
        <w:t>
      Во всех случаях размеры коффердамов выбирается таким образом, чтобы обеспечивался доступ в них для осмотра и ремонта.</w:t>
      </w:r>
    </w:p>
    <w:bookmarkEnd w:id="1972"/>
    <w:bookmarkStart w:name="z1974" w:id="1973"/>
    <w:p>
      <w:pPr>
        <w:spacing w:after="0"/>
        <w:ind w:left="0"/>
        <w:jc w:val="both"/>
      </w:pPr>
      <w:r>
        <w:rPr>
          <w:rFonts w:ascii="Times New Roman"/>
          <w:b w:val="false"/>
          <w:i w:val="false"/>
          <w:color w:val="000000"/>
          <w:sz w:val="28"/>
        </w:rPr>
        <w:t>
      Взамен коффердамов устраиваются коффердамные переборки согласно главе 30 настоящих Правил, если Правилами не предусмотрено иное;</w:t>
      </w:r>
    </w:p>
    <w:bookmarkEnd w:id="1973"/>
    <w:bookmarkStart w:name="z1975" w:id="1974"/>
    <w:p>
      <w:pPr>
        <w:spacing w:after="0"/>
        <w:ind w:left="0"/>
        <w:jc w:val="both"/>
      </w:pPr>
      <w:r>
        <w:rPr>
          <w:rFonts w:ascii="Times New Roman"/>
          <w:b w:val="false"/>
          <w:i w:val="false"/>
          <w:color w:val="000000"/>
          <w:sz w:val="28"/>
        </w:rPr>
        <w:t>
      2) коффердамы, примыкающие к грузовым танкам и топливным цистернам, были бы водонепроницаемыми.</w:t>
      </w:r>
    </w:p>
    <w:bookmarkEnd w:id="1974"/>
    <w:bookmarkStart w:name="z1976" w:id="1975"/>
    <w:p>
      <w:pPr>
        <w:spacing w:after="0"/>
        <w:ind w:left="0"/>
        <w:jc w:val="both"/>
      </w:pPr>
      <w:r>
        <w:rPr>
          <w:rFonts w:ascii="Times New Roman"/>
          <w:b w:val="false"/>
          <w:i w:val="false"/>
          <w:color w:val="000000"/>
          <w:sz w:val="28"/>
        </w:rPr>
        <w:t>
      Переборки, отделяющие коффердамы от цистерн и танков, должны отвечать требованиям к переборкам этих цистерн и танков.</w:t>
      </w:r>
    </w:p>
    <w:bookmarkEnd w:id="1975"/>
    <w:bookmarkStart w:name="z1977" w:id="1976"/>
    <w:p>
      <w:pPr>
        <w:spacing w:after="0"/>
        <w:ind w:left="0"/>
        <w:jc w:val="both"/>
      </w:pPr>
      <w:r>
        <w:rPr>
          <w:rFonts w:ascii="Times New Roman"/>
          <w:b w:val="false"/>
          <w:i w:val="false"/>
          <w:color w:val="000000"/>
          <w:sz w:val="28"/>
        </w:rPr>
        <w:t>
      Переборки коффердамов, заполняемых водой, должны отвечать требованиям к переборкам цистерн.</w:t>
      </w:r>
    </w:p>
    <w:bookmarkEnd w:id="1976"/>
    <w:bookmarkStart w:name="z1978" w:id="1977"/>
    <w:p>
      <w:pPr>
        <w:spacing w:after="0"/>
        <w:ind w:left="0"/>
        <w:jc w:val="both"/>
      </w:pPr>
      <w:r>
        <w:rPr>
          <w:rFonts w:ascii="Times New Roman"/>
          <w:b w:val="false"/>
          <w:i w:val="false"/>
          <w:color w:val="000000"/>
          <w:sz w:val="28"/>
        </w:rPr>
        <w:t>
      Переборки коффердамов, которые обеспечивают непроницаемость, но не заполняются водой, отвечают требованиям к водонепроницаемым переборкам.</w:t>
      </w:r>
    </w:p>
    <w:bookmarkEnd w:id="1977"/>
    <w:bookmarkStart w:name="z1979" w:id="1978"/>
    <w:p>
      <w:pPr>
        <w:spacing w:after="0"/>
        <w:ind w:left="0"/>
        <w:jc w:val="both"/>
      </w:pPr>
      <w:r>
        <w:rPr>
          <w:rFonts w:ascii="Times New Roman"/>
          <w:b w:val="false"/>
          <w:i w:val="false"/>
          <w:color w:val="000000"/>
          <w:sz w:val="28"/>
        </w:rPr>
        <w:t>
      Необходимо чтобы переборки коффердамов, которые не обеспечивают непроницаемость, отвечали требованиям к полупереборкам согласно пункту 455 настоящих Правил, исключая требование к стойкам, поддерживающим рамные и концевые люковые бимсы. Они имеют вырезы при условии скругления углов и соответствующего подкрепления. Указанные вырезы, как правило, не выполняются в верхних и нижних поясьях продольных переборок.</w:t>
      </w:r>
    </w:p>
    <w:bookmarkEnd w:id="1978"/>
    <w:bookmarkStart w:name="z1980" w:id="1979"/>
    <w:p>
      <w:pPr>
        <w:spacing w:after="0"/>
        <w:ind w:left="0"/>
        <w:jc w:val="left"/>
      </w:pPr>
      <w:r>
        <w:rPr>
          <w:rFonts w:ascii="Times New Roman"/>
          <w:b/>
          <w:i w:val="false"/>
          <w:color w:val="000000"/>
        </w:rPr>
        <w:t xml:space="preserve"> Глава 22. Носовая и кормовая оконечности</w:t>
      </w:r>
    </w:p>
    <w:bookmarkEnd w:id="1979"/>
    <w:p>
      <w:pPr>
        <w:spacing w:after="0"/>
        <w:ind w:left="0"/>
        <w:jc w:val="both"/>
      </w:pPr>
      <w:r>
        <w:rPr>
          <w:rFonts w:ascii="Times New Roman"/>
          <w:b w:val="false"/>
          <w:i w:val="false"/>
          <w:color w:val="ff0000"/>
          <w:sz w:val="28"/>
        </w:rPr>
        <w:t xml:space="preserve">
      Сноска. Заголовок главы 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1" w:id="1980"/>
    <w:p>
      <w:pPr>
        <w:spacing w:after="0"/>
        <w:ind w:left="0"/>
        <w:jc w:val="left"/>
      </w:pPr>
      <w:r>
        <w:rPr>
          <w:rFonts w:ascii="Times New Roman"/>
          <w:b/>
          <w:i w:val="false"/>
          <w:color w:val="000000"/>
        </w:rPr>
        <w:t xml:space="preserve"> Параграф 1. Общие положения и конструкция</w:t>
      </w:r>
    </w:p>
    <w:bookmarkEnd w:id="1980"/>
    <w:bookmarkStart w:name="z1982" w:id="1981"/>
    <w:p>
      <w:pPr>
        <w:spacing w:after="0"/>
        <w:ind w:left="0"/>
        <w:jc w:val="both"/>
      </w:pPr>
      <w:r>
        <w:rPr>
          <w:rFonts w:ascii="Times New Roman"/>
          <w:b w:val="false"/>
          <w:i w:val="false"/>
          <w:color w:val="000000"/>
          <w:sz w:val="28"/>
        </w:rPr>
        <w:t xml:space="preserve">
      460. В настоящей главе приводятся требования к следующим конструкциям: форпику и бульбу, если последний предусматривается, днищу в районе 0,25 </w:t>
      </w:r>
      <w:r>
        <w:rPr>
          <w:rFonts w:ascii="Times New Roman"/>
          <w:b w:val="false"/>
          <w:i/>
          <w:color w:val="000000"/>
          <w:sz w:val="28"/>
        </w:rPr>
        <w:t>L</w:t>
      </w:r>
      <w:r>
        <w:rPr>
          <w:rFonts w:ascii="Times New Roman"/>
          <w:b w:val="false"/>
          <w:i w:val="false"/>
          <w:color w:val="000000"/>
          <w:sz w:val="28"/>
        </w:rPr>
        <w:t xml:space="preserve"> в корму от носового перпендикуляра, борту в районе 0,15 </w:t>
      </w:r>
      <w:r>
        <w:rPr>
          <w:rFonts w:ascii="Times New Roman"/>
          <w:b w:val="false"/>
          <w:i/>
          <w:color w:val="000000"/>
          <w:sz w:val="28"/>
        </w:rPr>
        <w:t>L</w:t>
      </w:r>
      <w:r>
        <w:rPr>
          <w:rFonts w:ascii="Times New Roman"/>
          <w:b w:val="false"/>
          <w:i w:val="false"/>
          <w:color w:val="000000"/>
          <w:sz w:val="28"/>
        </w:rPr>
        <w:t xml:space="preserve"> в корму от носового перпендикуляра, конструкциям, расположенным в корму от переборки ахтерпика, а также конструкциям усилений днища и борта в носу в районе действия ударного давления.</w:t>
      </w:r>
    </w:p>
    <w:bookmarkEnd w:id="1981"/>
    <w:bookmarkStart w:name="z1987" w:id="1982"/>
    <w:p>
      <w:pPr>
        <w:spacing w:after="0"/>
        <w:ind w:left="0"/>
        <w:jc w:val="both"/>
      </w:pPr>
      <w:r>
        <w:rPr>
          <w:rFonts w:ascii="Times New Roman"/>
          <w:b w:val="false"/>
          <w:i w:val="false"/>
          <w:color w:val="000000"/>
          <w:sz w:val="28"/>
        </w:rPr>
        <w:t>
      В настоящей главе принимается, что верхней границей форпика и ахтерпика является непроницаемая палуба или платформа, расположенная непосредственно над летней грузовой ватерлинией.</w:t>
      </w:r>
    </w:p>
    <w:bookmarkEnd w:id="1982"/>
    <w:bookmarkStart w:name="z1988" w:id="1983"/>
    <w:p>
      <w:pPr>
        <w:spacing w:after="0"/>
        <w:ind w:left="0"/>
        <w:jc w:val="both"/>
      </w:pPr>
      <w:r>
        <w:rPr>
          <w:rFonts w:ascii="Times New Roman"/>
          <w:b w:val="false"/>
          <w:i w:val="false"/>
          <w:color w:val="000000"/>
          <w:sz w:val="28"/>
        </w:rPr>
        <w:t>
      461. В настоящей главе приняты следующие обозначения:</w:t>
      </w:r>
    </w:p>
    <w:bookmarkEnd w:id="198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 наименьшая расчетная осадка (на носовом перпендикуляре),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угол между вертикалью и прямой линией, соединяющей точки пересечения летней грузовой ватерлинии и верхней открытой палубы с бортом судна в поперечном сечении, отстоящем на расстоянии 0,05</w:t>
      </w:r>
      <w:r>
        <w:rPr>
          <w:rFonts w:ascii="Times New Roman"/>
          <w:b w:val="false"/>
          <w:i/>
          <w:color w:val="000000"/>
          <w:sz w:val="28"/>
        </w:rPr>
        <w:t>L</w:t>
      </w:r>
      <w:r>
        <w:rPr>
          <w:rFonts w:ascii="Times New Roman"/>
          <w:b w:val="false"/>
          <w:i w:val="false"/>
          <w:color w:val="000000"/>
          <w:sz w:val="28"/>
        </w:rPr>
        <w:t xml:space="preserve"> от носового перпендикуляра (приложение 70 настоящих Правил), град;</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угол между касательной к ватерлинии, расположенной посередине вертикального расстояния между летней грузовой ватерлинией и верхней открытой палубой на носовом перпендикуляре, и линией, параллельной диаметральной плоскости, в поперечном сечении судна, отстоящем на расстоянии 0,05</w:t>
      </w:r>
      <w:r>
        <w:rPr>
          <w:rFonts w:ascii="Times New Roman"/>
          <w:b w:val="false"/>
          <w:i/>
          <w:color w:val="000000"/>
          <w:sz w:val="28"/>
        </w:rPr>
        <w:t>L</w:t>
      </w:r>
      <w:r>
        <w:rPr>
          <w:rFonts w:ascii="Times New Roman"/>
          <w:b w:val="false"/>
          <w:i w:val="false"/>
          <w:color w:val="000000"/>
          <w:sz w:val="28"/>
        </w:rPr>
        <w:t xml:space="preserve"> от носового перпендикуляра (приложение 71 настоящих Правил), град.</w:t>
      </w:r>
      <w:r>
        <w:br/>
      </w:r>
      <w:r>
        <w:rPr>
          <w:rFonts w:ascii="Times New Roman"/>
          <w:b w:val="false"/>
          <w:i w:val="false"/>
          <w:color w:val="000000"/>
          <w:sz w:val="28"/>
        </w:rPr>
        <w:t>
</w:t>
      </w:r>
    </w:p>
    <w:bookmarkStart w:name="z1989" w:id="1984"/>
    <w:p>
      <w:pPr>
        <w:spacing w:after="0"/>
        <w:ind w:left="0"/>
        <w:jc w:val="both"/>
      </w:pPr>
      <w:r>
        <w:rPr>
          <w:rFonts w:ascii="Times New Roman"/>
          <w:b w:val="false"/>
          <w:i w:val="false"/>
          <w:color w:val="000000"/>
          <w:sz w:val="28"/>
        </w:rPr>
        <w:t>
      462. Предусматриваются следующие системы набора оконечностей:</w:t>
      </w:r>
    </w:p>
    <w:bookmarkEnd w:id="1984"/>
    <w:p>
      <w:pPr>
        <w:spacing w:after="0"/>
        <w:ind w:left="0"/>
        <w:jc w:val="both"/>
      </w:pPr>
      <w:r>
        <w:rPr>
          <w:rFonts w:ascii="Times New Roman"/>
          <w:b w:val="false"/>
          <w:i w:val="false"/>
          <w:color w:val="000000"/>
          <w:sz w:val="28"/>
        </w:rPr>
        <w:t>
      поперечная — для днища в пиках;</w:t>
      </w:r>
    </w:p>
    <w:p>
      <w:pPr>
        <w:spacing w:after="0"/>
        <w:ind w:left="0"/>
        <w:jc w:val="both"/>
      </w:pPr>
      <w:r>
        <w:rPr>
          <w:rFonts w:ascii="Times New Roman"/>
          <w:b w:val="false"/>
          <w:i w:val="false"/>
          <w:color w:val="000000"/>
          <w:sz w:val="28"/>
        </w:rPr>
        <w:t>
      поперечная или продольная — для остальных конструкций.</w:t>
      </w:r>
    </w:p>
    <w:bookmarkStart w:name="z1990" w:id="1985"/>
    <w:p>
      <w:pPr>
        <w:spacing w:after="0"/>
        <w:ind w:left="0"/>
        <w:jc w:val="both"/>
      </w:pPr>
      <w:r>
        <w:rPr>
          <w:rFonts w:ascii="Times New Roman"/>
          <w:b w:val="false"/>
          <w:i w:val="false"/>
          <w:color w:val="000000"/>
          <w:sz w:val="28"/>
        </w:rPr>
        <w:t xml:space="preserve">
      463. Флоры в форпике устанавливаются на каждом шпангоуте. Их высота равна не менее требуемой в пункте 358 настоящих Правил, но не более 2,25 м, толщина — не менее требуемой формулой (98) настоящих Правил при </w:t>
      </w:r>
      <w:r>
        <w:rPr>
          <w:rFonts w:ascii="Times New Roman"/>
          <w:b w:val="false"/>
          <w:i/>
          <w:color w:val="000000"/>
          <w:sz w:val="28"/>
        </w:rPr>
        <w:t>k</w:t>
      </w:r>
      <w:r>
        <w:rPr>
          <w:rFonts w:ascii="Times New Roman"/>
          <w:b w:val="false"/>
          <w:i w:val="false"/>
          <w:color w:val="000000"/>
          <w:sz w:val="28"/>
        </w:rPr>
        <w:t xml:space="preserve"> = 1 и а = 0,6 м, однако нет необходимости делать их толще днищевой обшивки в данном районе. Стенки флоров подкрепляют вертикальными ребрами жесткости, устанавливаемыми на расстоянии не более 0,6 м друг от друга.</w:t>
      </w:r>
    </w:p>
    <w:bookmarkEnd w:id="1985"/>
    <w:bookmarkStart w:name="z1991" w:id="1986"/>
    <w:p>
      <w:pPr>
        <w:spacing w:after="0"/>
        <w:ind w:left="0"/>
        <w:jc w:val="both"/>
      </w:pPr>
      <w:r>
        <w:rPr>
          <w:rFonts w:ascii="Times New Roman"/>
          <w:b w:val="false"/>
          <w:i w:val="false"/>
          <w:color w:val="000000"/>
          <w:sz w:val="28"/>
        </w:rPr>
        <w:t>
      Пояски флоров имеют толщину не менее толщины флоров и ширину согласно пункту 277 настоящих Правил.</w:t>
      </w:r>
    </w:p>
    <w:bookmarkEnd w:id="1986"/>
    <w:bookmarkStart w:name="z1992" w:id="1987"/>
    <w:p>
      <w:pPr>
        <w:spacing w:after="0"/>
        <w:ind w:left="0"/>
        <w:jc w:val="both"/>
      </w:pPr>
      <w:r>
        <w:rPr>
          <w:rFonts w:ascii="Times New Roman"/>
          <w:b w:val="false"/>
          <w:i w:val="false"/>
          <w:color w:val="000000"/>
          <w:sz w:val="28"/>
        </w:rPr>
        <w:t>
      464. В диаметральной плоскости устанавливается днищевой стрингер, являющийся продолжением вертикального киля в районе трюмов и состоящий из разрезных на флорах листов с пояском по верхней кромке. Высота и толщина листов днищевого стрингера, а также толщина и ширина его пояска такие же, как у флоров.</w:t>
      </w:r>
    </w:p>
    <w:bookmarkEnd w:id="1987"/>
    <w:bookmarkStart w:name="z1993" w:id="1988"/>
    <w:p>
      <w:pPr>
        <w:spacing w:after="0"/>
        <w:ind w:left="0"/>
        <w:jc w:val="both"/>
      </w:pPr>
      <w:r>
        <w:rPr>
          <w:rFonts w:ascii="Times New Roman"/>
          <w:b w:val="false"/>
          <w:i w:val="false"/>
          <w:color w:val="000000"/>
          <w:sz w:val="28"/>
        </w:rPr>
        <w:t>
      Если установка вертикальных листов стрингера невозможна, пояски флоров соединяют между собой в диаметральной плоскости угольником, тавровой балкой или балкой другого профиля, имеющего ширину и толщину полок такие же, как у поясков флоров.</w:t>
      </w:r>
    </w:p>
    <w:bookmarkEnd w:id="1988"/>
    <w:bookmarkStart w:name="z1994" w:id="1989"/>
    <w:p>
      <w:pPr>
        <w:spacing w:after="0"/>
        <w:ind w:left="0"/>
        <w:jc w:val="both"/>
      </w:pPr>
      <w:r>
        <w:rPr>
          <w:rFonts w:ascii="Times New Roman"/>
          <w:b w:val="false"/>
          <w:i w:val="false"/>
          <w:color w:val="000000"/>
          <w:sz w:val="28"/>
        </w:rPr>
        <w:t>
      465. При поперечной системе набора борта форпика, по крайней мере, до палубы, расположенной непосредственно над летней грузовой ватерлинией, устанавливают бортовые стрингеры. Расстояние между бортовыми стрингерами, измеренное по вертикали, не должно, как правило, превышать 2 м.</w:t>
      </w:r>
    </w:p>
    <w:bookmarkEnd w:id="1989"/>
    <w:bookmarkStart w:name="z1995" w:id="1990"/>
    <w:p>
      <w:pPr>
        <w:spacing w:after="0"/>
        <w:ind w:left="0"/>
        <w:jc w:val="both"/>
      </w:pPr>
      <w:r>
        <w:rPr>
          <w:rFonts w:ascii="Times New Roman"/>
          <w:b w:val="false"/>
          <w:i w:val="false"/>
          <w:color w:val="000000"/>
          <w:sz w:val="28"/>
        </w:rPr>
        <w:t>
      Бортовые стрингеры поддерживаются распорными бимсами, установленными через шпангоут и опирающимися по возможности на продольную переборку в диаметральной плоскости.</w:t>
      </w:r>
    </w:p>
    <w:bookmarkEnd w:id="1990"/>
    <w:bookmarkStart w:name="z1996" w:id="1991"/>
    <w:p>
      <w:pPr>
        <w:spacing w:after="0"/>
        <w:ind w:left="0"/>
        <w:jc w:val="both"/>
      </w:pPr>
      <w:r>
        <w:rPr>
          <w:rFonts w:ascii="Times New Roman"/>
          <w:b w:val="false"/>
          <w:i w:val="false"/>
          <w:color w:val="000000"/>
          <w:sz w:val="28"/>
        </w:rPr>
        <w:t>
      Свободная кромка бортовых стрингеров подкрепляют пояском, имеющим толщину не менее толщины стенки стрингера и ширину согласно пункту 277 настоящих Правил. Стенка стрингера на каждом шпангоуте подкрепляется кницами с размерами сторон не менее 1/2 высоты стенки стрингера, а в местах установки распорных бимсов — не менее требуемых в пункте 271 настоящих Правил. Толщина книц равна не менее толщины стенки стрингера.</w:t>
      </w:r>
    </w:p>
    <w:bookmarkEnd w:id="1991"/>
    <w:bookmarkStart w:name="z1997" w:id="1992"/>
    <w:p>
      <w:pPr>
        <w:spacing w:after="0"/>
        <w:ind w:left="0"/>
        <w:jc w:val="both"/>
      </w:pPr>
      <w:r>
        <w:rPr>
          <w:rFonts w:ascii="Times New Roman"/>
          <w:b w:val="false"/>
          <w:i w:val="false"/>
          <w:color w:val="000000"/>
          <w:sz w:val="28"/>
        </w:rPr>
        <w:t>
      Вместо распорных бимсов бортовые стрингеры поддерживаются рамными шпангоутами, установленными не далее 3 м друг от друга.</w:t>
      </w:r>
    </w:p>
    <w:bookmarkEnd w:id="1992"/>
    <w:bookmarkStart w:name="z1998" w:id="1993"/>
    <w:p>
      <w:pPr>
        <w:spacing w:after="0"/>
        <w:ind w:left="0"/>
        <w:jc w:val="both"/>
      </w:pPr>
      <w:r>
        <w:rPr>
          <w:rFonts w:ascii="Times New Roman"/>
          <w:b w:val="false"/>
          <w:i w:val="false"/>
          <w:color w:val="000000"/>
          <w:sz w:val="28"/>
        </w:rPr>
        <w:t>
      Вместо бортовых стрингеров с распорными бимсами или рамными шпангоутами рекомендуется установка проницаемых платформ. В этом случае расстояние между платформами увеличивают до 2,5 м. Бимсы проницаемых платформ устанавливаются на каждом шпангоуте.</w:t>
      </w:r>
    </w:p>
    <w:bookmarkEnd w:id="1993"/>
    <w:bookmarkStart w:name="z1999" w:id="1994"/>
    <w:p>
      <w:pPr>
        <w:spacing w:after="0"/>
        <w:ind w:left="0"/>
        <w:jc w:val="both"/>
      </w:pPr>
      <w:r>
        <w:rPr>
          <w:rFonts w:ascii="Times New Roman"/>
          <w:b w:val="false"/>
          <w:i w:val="false"/>
          <w:color w:val="000000"/>
          <w:sz w:val="28"/>
        </w:rPr>
        <w:t>
      Если в конструкции с распорными бимсами или рамными шпангоутами расстояние от основной плоскости до ближайшей палубы или платформы превышает 9 м, посередине этого расстояния устанавливается проницаемая платформа, у которой общая площадь вырезов не превышает 10 % ее площади.</w:t>
      </w:r>
    </w:p>
    <w:bookmarkEnd w:id="1994"/>
    <w:bookmarkStart w:name="z2000" w:id="1995"/>
    <w:p>
      <w:pPr>
        <w:spacing w:after="0"/>
        <w:ind w:left="0"/>
        <w:jc w:val="both"/>
      </w:pPr>
      <w:r>
        <w:rPr>
          <w:rFonts w:ascii="Times New Roman"/>
          <w:b w:val="false"/>
          <w:i w:val="false"/>
          <w:color w:val="000000"/>
          <w:sz w:val="28"/>
        </w:rPr>
        <w:t>
      466. При продольной системе набора борта форпика расстояние между рамными шпангоутами предусматривается не более 2,4 м. В местах прохода или закрепления рамных шпангоутов на палубах и платформах устанавливают рамные бимсы.</w:t>
      </w:r>
    </w:p>
    <w:bookmarkEnd w:id="1995"/>
    <w:bookmarkStart w:name="z2001" w:id="1996"/>
    <w:p>
      <w:pPr>
        <w:spacing w:after="0"/>
        <w:ind w:left="0"/>
        <w:jc w:val="both"/>
      </w:pPr>
      <w:r>
        <w:rPr>
          <w:rFonts w:ascii="Times New Roman"/>
          <w:b w:val="false"/>
          <w:i w:val="false"/>
          <w:color w:val="000000"/>
          <w:sz w:val="28"/>
        </w:rPr>
        <w:t>
      Флоры, в плоскости которых отсутствуют рамные шпангоуты, соединяются кницами с ближайшими бортовыми продольными балками.</w:t>
      </w:r>
    </w:p>
    <w:bookmarkEnd w:id="1996"/>
    <w:bookmarkStart w:name="z2002" w:id="1997"/>
    <w:p>
      <w:pPr>
        <w:spacing w:after="0"/>
        <w:ind w:left="0"/>
        <w:jc w:val="both"/>
      </w:pPr>
      <w:r>
        <w:rPr>
          <w:rFonts w:ascii="Times New Roman"/>
          <w:b w:val="false"/>
          <w:i w:val="false"/>
          <w:color w:val="000000"/>
          <w:sz w:val="28"/>
        </w:rPr>
        <w:t>
      467. Носовой бульб подкрепляют платформами, расстояние между которыми по вертикали не превышает 2м. Бимсы платформы устанавливаются на каждом шпангоуте.</w:t>
      </w:r>
    </w:p>
    <w:bookmarkEnd w:id="1997"/>
    <w:bookmarkStart w:name="z2003" w:id="1998"/>
    <w:p>
      <w:pPr>
        <w:spacing w:after="0"/>
        <w:ind w:left="0"/>
        <w:jc w:val="both"/>
      </w:pPr>
      <w:r>
        <w:rPr>
          <w:rFonts w:ascii="Times New Roman"/>
          <w:b w:val="false"/>
          <w:i w:val="false"/>
          <w:color w:val="000000"/>
          <w:sz w:val="28"/>
        </w:rPr>
        <w:t>
      Если протяженность бульба в нос от носового перпендикуляра превышает 0,03</w:t>
      </w:r>
      <w:r>
        <w:rPr>
          <w:rFonts w:ascii="Times New Roman"/>
          <w:b w:val="false"/>
          <w:i/>
          <w:color w:val="000000"/>
          <w:sz w:val="28"/>
        </w:rPr>
        <w:t>L</w:t>
      </w:r>
      <w:r>
        <w:rPr>
          <w:rFonts w:ascii="Times New Roman"/>
          <w:b w:val="false"/>
          <w:i w:val="false"/>
          <w:color w:val="000000"/>
          <w:sz w:val="28"/>
        </w:rPr>
        <w:t>, в диаметральной плоскости устанавливается проницаемая переборка, подкрепленная стойками на каждом шпангоуте.</w:t>
      </w:r>
    </w:p>
    <w:bookmarkEnd w:id="1998"/>
    <w:bookmarkStart w:name="z2004" w:id="1999"/>
    <w:p>
      <w:pPr>
        <w:spacing w:after="0"/>
        <w:ind w:left="0"/>
        <w:jc w:val="both"/>
      </w:pPr>
      <w:r>
        <w:rPr>
          <w:rFonts w:ascii="Times New Roman"/>
          <w:b w:val="false"/>
          <w:i w:val="false"/>
          <w:color w:val="000000"/>
          <w:sz w:val="28"/>
        </w:rPr>
        <w:t>
      При протяженности бульба менее 0,03</w:t>
      </w:r>
      <w:r>
        <w:rPr>
          <w:rFonts w:ascii="Times New Roman"/>
          <w:b w:val="false"/>
          <w:i/>
          <w:color w:val="000000"/>
          <w:sz w:val="28"/>
        </w:rPr>
        <w:t>L</w:t>
      </w:r>
      <w:r>
        <w:rPr>
          <w:rFonts w:ascii="Times New Roman"/>
          <w:b w:val="false"/>
          <w:i w:val="false"/>
          <w:color w:val="000000"/>
          <w:sz w:val="28"/>
        </w:rPr>
        <w:t xml:space="preserve"> он подкрепляется установкой в диаметральной плоскости рамной балки, являющейся продолжением вертикального киля.</w:t>
      </w:r>
    </w:p>
    <w:bookmarkEnd w:id="1999"/>
    <w:bookmarkStart w:name="z2005" w:id="2000"/>
    <w:p>
      <w:pPr>
        <w:spacing w:after="0"/>
        <w:ind w:left="0"/>
        <w:jc w:val="both"/>
      </w:pPr>
      <w:r>
        <w:rPr>
          <w:rFonts w:ascii="Times New Roman"/>
          <w:b w:val="false"/>
          <w:i w:val="false"/>
          <w:color w:val="000000"/>
          <w:sz w:val="28"/>
        </w:rPr>
        <w:t>
      Конструкция носовой оконечности при наличии бульба обеспечивает свободное прохождение якоря мимо бульба при антикрене 5</w:t>
      </w:r>
      <w:r>
        <w:rPr>
          <w:rFonts w:ascii="Times New Roman"/>
          <w:b w:val="false"/>
          <w:i w:val="false"/>
          <w:color w:val="000000"/>
          <w:vertAlign w:val="superscript"/>
        </w:rPr>
        <w:t>о</w:t>
      </w:r>
      <w:r>
        <w:rPr>
          <w:rFonts w:ascii="Times New Roman"/>
          <w:b w:val="false"/>
          <w:i w:val="false"/>
          <w:color w:val="000000"/>
          <w:sz w:val="28"/>
        </w:rPr>
        <w:t>.</w:t>
      </w:r>
    </w:p>
    <w:bookmarkEnd w:id="2000"/>
    <w:bookmarkStart w:name="z2006" w:id="2001"/>
    <w:p>
      <w:pPr>
        <w:spacing w:after="0"/>
        <w:ind w:left="0"/>
        <w:jc w:val="both"/>
      </w:pPr>
      <w:r>
        <w:rPr>
          <w:rFonts w:ascii="Times New Roman"/>
          <w:b w:val="false"/>
          <w:i w:val="false"/>
          <w:color w:val="000000"/>
          <w:sz w:val="28"/>
        </w:rPr>
        <w:t>
      В районе возможного касания якоря предусматривают промежуточные шпангоуты, а также увеличение толщины наружной обшивки бульба.</w:t>
      </w:r>
    </w:p>
    <w:bookmarkEnd w:id="2001"/>
    <w:bookmarkStart w:name="z2007" w:id="2002"/>
    <w:p>
      <w:pPr>
        <w:spacing w:after="0"/>
        <w:ind w:left="0"/>
        <w:jc w:val="both"/>
      </w:pPr>
      <w:r>
        <w:rPr>
          <w:rFonts w:ascii="Times New Roman"/>
          <w:b w:val="false"/>
          <w:i w:val="false"/>
          <w:color w:val="000000"/>
          <w:sz w:val="28"/>
        </w:rPr>
        <w:t>
      468. Конструкция днища в носовой оконечности вне форпика на судне с одинарным дном отвечает требованиям параграфов 1, 2 главы 17 настоящих Правил и дополнительно следующим требованиям:</w:t>
      </w:r>
    </w:p>
    <w:bookmarkEnd w:id="2002"/>
    <w:bookmarkStart w:name="z2008" w:id="2003"/>
    <w:p>
      <w:pPr>
        <w:spacing w:after="0"/>
        <w:ind w:left="0"/>
        <w:jc w:val="both"/>
      </w:pPr>
      <w:r>
        <w:rPr>
          <w:rFonts w:ascii="Times New Roman"/>
          <w:b w:val="false"/>
          <w:i w:val="false"/>
          <w:color w:val="000000"/>
          <w:sz w:val="28"/>
        </w:rPr>
        <w:t>
      1) в районе 0,25</w:t>
      </w:r>
      <w:r>
        <w:rPr>
          <w:rFonts w:ascii="Times New Roman"/>
          <w:b w:val="false"/>
          <w:i/>
          <w:color w:val="000000"/>
          <w:sz w:val="28"/>
        </w:rPr>
        <w:t>L</w:t>
      </w:r>
      <w:r>
        <w:rPr>
          <w:rFonts w:ascii="Times New Roman"/>
          <w:b w:val="false"/>
          <w:i w:val="false"/>
          <w:color w:val="000000"/>
          <w:sz w:val="28"/>
        </w:rPr>
        <w:t xml:space="preserve"> от носового перпендикуляра при поперечной системе набора расстояние между днищевыми стрингерами, а также от вертикального киля или борта судна до днищевого стрингера не должно превышать 1,1 м.</w:t>
      </w:r>
    </w:p>
    <w:bookmarkEnd w:id="2003"/>
    <w:bookmarkStart w:name="z2009" w:id="2004"/>
    <w:p>
      <w:pPr>
        <w:spacing w:after="0"/>
        <w:ind w:left="0"/>
        <w:jc w:val="both"/>
      </w:pPr>
      <w:r>
        <w:rPr>
          <w:rFonts w:ascii="Times New Roman"/>
          <w:b w:val="false"/>
          <w:i w:val="false"/>
          <w:color w:val="000000"/>
          <w:sz w:val="28"/>
        </w:rPr>
        <w:t>
      В грузовых танках наливных судов при продольной системе набора и минимальной осадке на носовом перпендикуляре менее 0,035</w:t>
      </w:r>
      <w:r>
        <w:rPr>
          <w:rFonts w:ascii="Times New Roman"/>
          <w:b w:val="false"/>
          <w:i/>
          <w:color w:val="000000"/>
          <w:sz w:val="28"/>
        </w:rPr>
        <w:t>L</w:t>
      </w:r>
      <w:r>
        <w:rPr>
          <w:rFonts w:ascii="Times New Roman"/>
          <w:b w:val="false"/>
          <w:i w:val="false"/>
          <w:color w:val="000000"/>
          <w:sz w:val="28"/>
        </w:rPr>
        <w:t xml:space="preserve"> посередине между флорами устанавливается дополнительная поперечная связь с пояском по свободной кромке. Высота этой связи равна не менее высоты продольных днищевых балок;</w:t>
      </w:r>
    </w:p>
    <w:bookmarkEnd w:id="2004"/>
    <w:bookmarkStart w:name="z2010" w:id="2005"/>
    <w:p>
      <w:pPr>
        <w:spacing w:after="0"/>
        <w:ind w:left="0"/>
        <w:jc w:val="both"/>
      </w:pPr>
      <w:r>
        <w:rPr>
          <w:rFonts w:ascii="Times New Roman"/>
          <w:b w:val="false"/>
          <w:i w:val="false"/>
          <w:color w:val="000000"/>
          <w:sz w:val="28"/>
        </w:rPr>
        <w:t>
      2) в нос от грузовых танков:</w:t>
      </w:r>
    </w:p>
    <w:bookmarkEnd w:id="2005"/>
    <w:bookmarkStart w:name="z2011" w:id="2006"/>
    <w:p>
      <w:pPr>
        <w:spacing w:after="0"/>
        <w:ind w:left="0"/>
        <w:jc w:val="both"/>
      </w:pPr>
      <w:r>
        <w:rPr>
          <w:rFonts w:ascii="Times New Roman"/>
          <w:b w:val="false"/>
          <w:i w:val="false"/>
          <w:color w:val="000000"/>
          <w:sz w:val="28"/>
        </w:rPr>
        <w:t>
      При поперечной системе набора как продолжение каждой второй продольной днищевой балки грузовых танков устанавливают интеркостельные стрингеры с пояском по свободной кромке, протянутые в нос насколько это практически возможно. Высота и толщина стенок стрингеров, а также размеры поясков принимаются такими же, как у флоров.</w:t>
      </w:r>
    </w:p>
    <w:bookmarkEnd w:id="2006"/>
    <w:bookmarkStart w:name="z2012" w:id="2007"/>
    <w:p>
      <w:pPr>
        <w:spacing w:after="0"/>
        <w:ind w:left="0"/>
        <w:jc w:val="both"/>
      </w:pPr>
      <w:r>
        <w:rPr>
          <w:rFonts w:ascii="Times New Roman"/>
          <w:b w:val="false"/>
          <w:i w:val="false"/>
          <w:color w:val="000000"/>
          <w:sz w:val="28"/>
        </w:rPr>
        <w:t>
      При продольной системе набора расстояние между флорами предусматривают не более 2,8 м. Между вертикальным килем и продольной переборкой или конструкцией, которой она заканчивается, с каждого борта устанавливают интеркостельный стрингер, имеющий размеры флоров.</w:t>
      </w:r>
    </w:p>
    <w:bookmarkEnd w:id="2007"/>
    <w:bookmarkStart w:name="z2013" w:id="2008"/>
    <w:p>
      <w:pPr>
        <w:spacing w:after="0"/>
        <w:ind w:left="0"/>
        <w:jc w:val="both"/>
      </w:pPr>
      <w:r>
        <w:rPr>
          <w:rFonts w:ascii="Times New Roman"/>
          <w:b w:val="false"/>
          <w:i w:val="false"/>
          <w:color w:val="000000"/>
          <w:sz w:val="28"/>
        </w:rPr>
        <w:t>
      469. Конструкция двойного дна в носовой оконечности вне форпика удовлетворяют требованиям параграфа 1 главы 18 настоящих Правил и приведенным ниже требованиям.</w:t>
      </w:r>
    </w:p>
    <w:bookmarkEnd w:id="2008"/>
    <w:bookmarkStart w:name="z2014" w:id="2009"/>
    <w:p>
      <w:pPr>
        <w:spacing w:after="0"/>
        <w:ind w:left="0"/>
        <w:jc w:val="both"/>
      </w:pPr>
      <w:r>
        <w:rPr>
          <w:rFonts w:ascii="Times New Roman"/>
          <w:b w:val="false"/>
          <w:i w:val="false"/>
          <w:color w:val="000000"/>
          <w:sz w:val="28"/>
        </w:rPr>
        <w:t>
      В районе 0,25</w:t>
      </w:r>
      <w:r>
        <w:rPr>
          <w:rFonts w:ascii="Times New Roman"/>
          <w:b w:val="false"/>
          <w:i/>
          <w:color w:val="000000"/>
          <w:sz w:val="28"/>
        </w:rPr>
        <w:t>L</w:t>
      </w:r>
      <w:r>
        <w:rPr>
          <w:rFonts w:ascii="Times New Roman"/>
          <w:b w:val="false"/>
          <w:i w:val="false"/>
          <w:color w:val="000000"/>
          <w:sz w:val="28"/>
        </w:rPr>
        <w:t xml:space="preserve"> от носового перпендикуляра расстояние между стрингерами равна не более 2,2 м. В этом районе при поперечной системе набора дополнительно устанавливают полустрингеры, приваренные к днищу и флорам. Расстояние между стрингерами и полустрингерами не должно превышать 1,1 м. Эти полустрингеры продлевают по возможности дальше в нос, а их свободные кромки подкрепляют фланцами или поясками.</w:t>
      </w:r>
    </w:p>
    <w:bookmarkEnd w:id="2009"/>
    <w:bookmarkStart w:name="z2015" w:id="2010"/>
    <w:p>
      <w:pPr>
        <w:spacing w:after="0"/>
        <w:ind w:left="0"/>
        <w:jc w:val="both"/>
      </w:pPr>
      <w:r>
        <w:rPr>
          <w:rFonts w:ascii="Times New Roman"/>
          <w:b w:val="false"/>
          <w:i w:val="false"/>
          <w:color w:val="000000"/>
          <w:sz w:val="28"/>
        </w:rPr>
        <w:t>
      470. Флоры подкрепляют ребрами жесткости в плоскости каждого полустрингера и в плоскости каждой продольной балки днища при продольной системе набора.</w:t>
      </w:r>
    </w:p>
    <w:bookmarkEnd w:id="2010"/>
    <w:bookmarkStart w:name="z2016" w:id="2011"/>
    <w:p>
      <w:pPr>
        <w:spacing w:after="0"/>
        <w:ind w:left="0"/>
        <w:jc w:val="both"/>
      </w:pPr>
      <w:r>
        <w:rPr>
          <w:rFonts w:ascii="Times New Roman"/>
          <w:b w:val="false"/>
          <w:i w:val="false"/>
          <w:color w:val="000000"/>
          <w:sz w:val="28"/>
        </w:rPr>
        <w:t>
      На судах длиной более 80м с минимальной осадкой на носовом перпендикуляре менее 0,025</w:t>
      </w:r>
      <w:r>
        <w:rPr>
          <w:rFonts w:ascii="Times New Roman"/>
          <w:b w:val="false"/>
          <w:i/>
          <w:color w:val="000000"/>
          <w:sz w:val="28"/>
        </w:rPr>
        <w:t>L</w:t>
      </w:r>
      <w:r>
        <w:rPr>
          <w:rFonts w:ascii="Times New Roman"/>
          <w:b w:val="false"/>
          <w:i w:val="false"/>
          <w:color w:val="000000"/>
          <w:sz w:val="28"/>
        </w:rPr>
        <w:t xml:space="preserve"> в районе 0,25</w:t>
      </w:r>
      <w:r>
        <w:rPr>
          <w:rFonts w:ascii="Times New Roman"/>
          <w:b w:val="false"/>
          <w:i/>
          <w:color w:val="000000"/>
          <w:sz w:val="28"/>
        </w:rPr>
        <w:t>L</w:t>
      </w:r>
      <w:r>
        <w:rPr>
          <w:rFonts w:ascii="Times New Roman"/>
          <w:b w:val="false"/>
          <w:i w:val="false"/>
          <w:color w:val="000000"/>
          <w:sz w:val="28"/>
        </w:rPr>
        <w:t xml:space="preserve"> от носового перпендикуляра кромки вырезов в стенках флоров, стрингеров и вертикального киля подкрепляются.</w:t>
      </w:r>
    </w:p>
    <w:bookmarkEnd w:id="2011"/>
    <w:bookmarkStart w:name="z2017" w:id="2012"/>
    <w:p>
      <w:pPr>
        <w:spacing w:after="0"/>
        <w:ind w:left="0"/>
        <w:jc w:val="both"/>
      </w:pPr>
      <w:r>
        <w:rPr>
          <w:rFonts w:ascii="Times New Roman"/>
          <w:b w:val="false"/>
          <w:i w:val="false"/>
          <w:color w:val="000000"/>
          <w:sz w:val="28"/>
        </w:rPr>
        <w:t>
      471. При поперечной системе набора борта в районе 0,15</w:t>
      </w:r>
      <w:r>
        <w:rPr>
          <w:rFonts w:ascii="Times New Roman"/>
          <w:b w:val="false"/>
          <w:i/>
          <w:color w:val="000000"/>
          <w:sz w:val="28"/>
        </w:rPr>
        <w:t>L</w:t>
      </w:r>
      <w:r>
        <w:rPr>
          <w:rFonts w:ascii="Times New Roman"/>
          <w:b w:val="false"/>
          <w:i w:val="false"/>
          <w:color w:val="000000"/>
          <w:sz w:val="28"/>
        </w:rPr>
        <w:t xml:space="preserve"> от носового перпендикуляра, вне форпика, на уровне бортовых стрингеров форпика устанавливают интеркостельные бортовые стрингеры. Высота и толщина стенки стрингера равны, соответственно, высоте и толщине стенки шпангоута. Бракеты, образующие стенку стрингера, приваривают к стенкам шпангоутов и наружной обшивке. На свободной кромке стрингер имеет свободный поясок толщиной не менее толщины стенки и шириной согласно пункту 277 настоящих Правил.</w:t>
      </w:r>
    </w:p>
    <w:bookmarkEnd w:id="2012"/>
    <w:bookmarkStart w:name="z2018" w:id="2013"/>
    <w:p>
      <w:pPr>
        <w:spacing w:after="0"/>
        <w:ind w:left="0"/>
        <w:jc w:val="both"/>
      </w:pPr>
      <w:r>
        <w:rPr>
          <w:rFonts w:ascii="Times New Roman"/>
          <w:b w:val="false"/>
          <w:i w:val="false"/>
          <w:color w:val="000000"/>
          <w:sz w:val="28"/>
        </w:rPr>
        <w:t>
      Допускается конструкция интеркостельного бортового стрингера из того же профиля, что и шпангоуты.</w:t>
      </w:r>
    </w:p>
    <w:bookmarkEnd w:id="2013"/>
    <w:bookmarkStart w:name="z2019" w:id="2014"/>
    <w:p>
      <w:pPr>
        <w:spacing w:after="0"/>
        <w:ind w:left="0"/>
        <w:jc w:val="both"/>
      </w:pPr>
      <w:r>
        <w:rPr>
          <w:rFonts w:ascii="Times New Roman"/>
          <w:b w:val="false"/>
          <w:i w:val="false"/>
          <w:color w:val="000000"/>
          <w:sz w:val="28"/>
        </w:rPr>
        <w:t>
      Поясок (фланец) стрингера не следует приваривать к пояскам шпангоутов.</w:t>
      </w:r>
    </w:p>
    <w:bookmarkEnd w:id="2014"/>
    <w:bookmarkStart w:name="z2020" w:id="2015"/>
    <w:p>
      <w:pPr>
        <w:spacing w:after="0"/>
        <w:ind w:left="0"/>
        <w:jc w:val="both"/>
      </w:pPr>
      <w:r>
        <w:rPr>
          <w:rFonts w:ascii="Times New Roman"/>
          <w:b w:val="false"/>
          <w:i w:val="false"/>
          <w:color w:val="000000"/>
          <w:sz w:val="28"/>
        </w:rPr>
        <w:t>
      Интеркостельные стрингеры крепятся к переборкам кницами.</w:t>
      </w:r>
    </w:p>
    <w:bookmarkEnd w:id="2015"/>
    <w:bookmarkStart w:name="z2021" w:id="2016"/>
    <w:p>
      <w:pPr>
        <w:spacing w:after="0"/>
        <w:ind w:left="0"/>
        <w:jc w:val="both"/>
      </w:pPr>
      <w:r>
        <w:rPr>
          <w:rFonts w:ascii="Times New Roman"/>
          <w:b w:val="false"/>
          <w:i w:val="false"/>
          <w:color w:val="000000"/>
          <w:sz w:val="28"/>
        </w:rPr>
        <w:t xml:space="preserve">
      . Если расстояние между шпангоутами не превышает их удвоенной высоты, допускается выполнять интеркостельные стрингеры без свободного пояска или фланца. При этом их толщина s, мм, равна не менее s = </w:t>
      </w:r>
      <w:r>
        <w:rPr>
          <w:rFonts w:ascii="Times New Roman"/>
          <w:b w:val="false"/>
          <w:i/>
          <w:color w:val="000000"/>
          <w:sz w:val="28"/>
        </w:rPr>
        <w:t>l</w:t>
      </w:r>
      <w:r>
        <w:rPr>
          <w:rFonts w:ascii="Times New Roman"/>
          <w:b w:val="false"/>
          <w:i w:val="false"/>
          <w:color w:val="000000"/>
          <w:sz w:val="28"/>
        </w:rPr>
        <w:t xml:space="preserve">/4s + </w:t>
      </w:r>
    </w:p>
    <w:bookmarkEnd w:id="2016"/>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или s = 0,05</w:t>
      </w:r>
      <w:r>
        <w:rPr>
          <w:rFonts w:ascii="Times New Roman"/>
          <w:b w:val="false"/>
          <w:i/>
          <w:color w:val="000000"/>
          <w:sz w:val="28"/>
        </w:rPr>
        <w:t>h</w:t>
      </w:r>
      <w:r>
        <w:rPr>
          <w:rFonts w:ascii="Times New Roman"/>
          <w:b w:val="false"/>
          <w:i w:val="false"/>
          <w:color w:val="000000"/>
          <w:sz w:val="28"/>
        </w:rPr>
        <w:t xml:space="preserve"> в зависимости от того, что больше, где </w:t>
      </w:r>
      <w:r>
        <w:rPr>
          <w:rFonts w:ascii="Times New Roman"/>
          <w:b w:val="false"/>
          <w:i/>
          <w:color w:val="000000"/>
          <w:sz w:val="28"/>
        </w:rPr>
        <w:t>l</w:t>
      </w:r>
      <w:r>
        <w:rPr>
          <w:rFonts w:ascii="Times New Roman"/>
          <w:b w:val="false"/>
          <w:i w:val="false"/>
          <w:color w:val="000000"/>
          <w:sz w:val="28"/>
        </w:rPr>
        <w:t xml:space="preserve"> — протяженность свободной кромки стрингера между шпангоутами, мм; </w:t>
      </w:r>
      <w:r>
        <w:rPr>
          <w:rFonts w:ascii="Times New Roman"/>
          <w:b w:val="false"/>
          <w:i/>
          <w:color w:val="000000"/>
          <w:sz w:val="28"/>
        </w:rPr>
        <w:t>h</w:t>
      </w:r>
      <w:r>
        <w:rPr>
          <w:rFonts w:ascii="Times New Roman"/>
          <w:b w:val="false"/>
          <w:i w:val="false"/>
          <w:color w:val="000000"/>
          <w:sz w:val="28"/>
        </w:rPr>
        <w:t xml:space="preserve"> — высота стрингера, мм.</w:t>
      </w:r>
      <w:r>
        <w:br/>
      </w:r>
      <w:r>
        <w:rPr>
          <w:rFonts w:ascii="Times New Roman"/>
          <w:b w:val="false"/>
          <w:i w:val="false"/>
          <w:color w:val="000000"/>
          <w:sz w:val="28"/>
        </w:rPr>
        <w:t>
</w:t>
      </w:r>
    </w:p>
    <w:bookmarkStart w:name="z2022" w:id="2017"/>
    <w:p>
      <w:pPr>
        <w:spacing w:after="0"/>
        <w:ind w:left="0"/>
        <w:jc w:val="both"/>
      </w:pPr>
      <w:r>
        <w:rPr>
          <w:rFonts w:ascii="Times New Roman"/>
          <w:b w:val="false"/>
          <w:i w:val="false"/>
          <w:color w:val="000000"/>
          <w:sz w:val="28"/>
        </w:rPr>
        <w:t>
      473. На судах, имеющих характеристику (</w:t>
      </w:r>
    </w:p>
    <w:bookmarkEnd w:id="2017"/>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0/</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&gt; 1,5 или значительный развал шпангоутов в носу, предусматривают рамные шпангоуты и поддерживаемые ими бортовые стрингеры. Расстояние между рамными шпангоутами не превышает 5 шпаций.</w:t>
      </w:r>
      <w:r>
        <w:br/>
      </w:r>
      <w:r>
        <w:rPr>
          <w:rFonts w:ascii="Times New Roman"/>
          <w:b w:val="false"/>
          <w:i w:val="false"/>
          <w:color w:val="000000"/>
          <w:sz w:val="28"/>
        </w:rPr>
        <w:t>
</w:t>
      </w:r>
    </w:p>
    <w:bookmarkStart w:name="z2023" w:id="2018"/>
    <w:p>
      <w:pPr>
        <w:spacing w:after="0"/>
        <w:ind w:left="0"/>
        <w:jc w:val="both"/>
      </w:pPr>
      <w:r>
        <w:rPr>
          <w:rFonts w:ascii="Times New Roman"/>
          <w:b w:val="false"/>
          <w:i w:val="false"/>
          <w:color w:val="000000"/>
          <w:sz w:val="28"/>
        </w:rPr>
        <w:t>
      474. При продольной системе набора борта в носу вне форпика расстояние между рамными шпангоутами допускается не более 3 м. В трюмах всех судов, а также в твиндеках и надстройках судов, имеющих характеристику (</w:t>
      </w:r>
    </w:p>
    <w:bookmarkEnd w:id="2018"/>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0/</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&gt; 1,5 или значительный развал шпангоутов в носу, предусматривается установка между рамными шпангоутами вертикальной интеркостельной связи, имеющей размеры бортовых продольных балок. Конструкция указанной связи аналогична конструкции интеркостельных бортовых стрингеров, требуемых при поперечной системе набора. Интеркостельная связь заканчивается на верхней и нижней бортовых продольных балках трюма, твиндеков и надстройки. Каждая вторая бортовая продольная балка соединяется с рамными шпангоутами кницами, доведенными до свободного пояска шпангоута.</w:t>
      </w:r>
      <w:r>
        <w:br/>
      </w:r>
      <w:r>
        <w:rPr>
          <w:rFonts w:ascii="Times New Roman"/>
          <w:b w:val="false"/>
          <w:i w:val="false"/>
          <w:color w:val="000000"/>
          <w:sz w:val="28"/>
        </w:rPr>
        <w:t>
</w:t>
      </w:r>
    </w:p>
    <w:bookmarkStart w:name="z2024" w:id="2019"/>
    <w:p>
      <w:pPr>
        <w:spacing w:after="0"/>
        <w:ind w:left="0"/>
        <w:jc w:val="both"/>
      </w:pPr>
      <w:r>
        <w:rPr>
          <w:rFonts w:ascii="Times New Roman"/>
          <w:b w:val="false"/>
          <w:i w:val="false"/>
          <w:color w:val="000000"/>
          <w:sz w:val="28"/>
        </w:rPr>
        <w:t>
      475. В районе до 0,1</w:t>
      </w:r>
      <w:r>
        <w:rPr>
          <w:rFonts w:ascii="Times New Roman"/>
          <w:b w:val="false"/>
          <w:i/>
          <w:color w:val="000000"/>
          <w:sz w:val="28"/>
        </w:rPr>
        <w:t>L</w:t>
      </w:r>
      <w:r>
        <w:rPr>
          <w:rFonts w:ascii="Times New Roman"/>
          <w:b w:val="false"/>
          <w:i w:val="false"/>
          <w:color w:val="000000"/>
          <w:sz w:val="28"/>
        </w:rPr>
        <w:t xml:space="preserve"> от носового перпендикуляра пролет рамных бимсов открытых палуб не превышает 3 м, а пролет карлингсов - 3,6 м.</w:t>
      </w:r>
    </w:p>
    <w:bookmarkEnd w:id="2019"/>
    <w:bookmarkStart w:name="z2025" w:id="2020"/>
    <w:p>
      <w:pPr>
        <w:spacing w:after="0"/>
        <w:ind w:left="0"/>
        <w:jc w:val="both"/>
      </w:pPr>
      <w:r>
        <w:rPr>
          <w:rFonts w:ascii="Times New Roman"/>
          <w:b w:val="false"/>
          <w:i w:val="false"/>
          <w:color w:val="000000"/>
          <w:sz w:val="28"/>
        </w:rPr>
        <w:t>
      В районе до 0,2</w:t>
      </w:r>
      <w:r>
        <w:rPr>
          <w:rFonts w:ascii="Times New Roman"/>
          <w:b w:val="false"/>
          <w:i/>
          <w:color w:val="000000"/>
          <w:sz w:val="28"/>
        </w:rPr>
        <w:t>L</w:t>
      </w:r>
      <w:r>
        <w:rPr>
          <w:rFonts w:ascii="Times New Roman"/>
          <w:b w:val="false"/>
          <w:i w:val="false"/>
          <w:color w:val="000000"/>
          <w:sz w:val="28"/>
        </w:rPr>
        <w:t xml:space="preserve"> от носового перпендикуляра момент сопротивления сечения рамных бимсов открытых палуб равен не менее требуемого для карлингсов при одинаковых пролетах и расстояниях между балками.</w:t>
      </w:r>
    </w:p>
    <w:bookmarkEnd w:id="2020"/>
    <w:bookmarkStart w:name="z2026" w:id="2021"/>
    <w:p>
      <w:pPr>
        <w:spacing w:after="0"/>
        <w:ind w:left="0"/>
        <w:jc w:val="both"/>
      </w:pPr>
      <w:r>
        <w:rPr>
          <w:rFonts w:ascii="Times New Roman"/>
          <w:b w:val="false"/>
          <w:i w:val="false"/>
          <w:color w:val="000000"/>
          <w:sz w:val="28"/>
        </w:rPr>
        <w:t>
      476. Конструкция в корму от переборки ахтерпика имеет достаточную жесткость в вертикальной и горизонтальной плоскостях. С этой целью требуется установка дополнительных продольных переборок или платформ, утолщение настила палубы и наружной обшивки, а также перевязка продольных связей днища и верхней палубы пиллерсами или раскосами. Если свес кормы велик или ширина ахтерпика в каком-либо сечении превышает 20 м, рекомендуется установка дополнительных продольных проницаемых переборок по правому и левому борту.</w:t>
      </w:r>
    </w:p>
    <w:bookmarkEnd w:id="2021"/>
    <w:bookmarkStart w:name="z2027" w:id="2022"/>
    <w:p>
      <w:pPr>
        <w:spacing w:after="0"/>
        <w:ind w:left="0"/>
        <w:jc w:val="both"/>
      </w:pPr>
      <w:r>
        <w:rPr>
          <w:rFonts w:ascii="Times New Roman"/>
          <w:b w:val="false"/>
          <w:i w:val="false"/>
          <w:color w:val="000000"/>
          <w:sz w:val="28"/>
        </w:rPr>
        <w:t>
      При наличии плоского участка днища требуются дополнительные подкрепления для восприятия нагрузок от ударного давления.</w:t>
      </w:r>
    </w:p>
    <w:bookmarkEnd w:id="2022"/>
    <w:bookmarkStart w:name="z2028" w:id="2023"/>
    <w:p>
      <w:pPr>
        <w:spacing w:after="0"/>
        <w:ind w:left="0"/>
        <w:jc w:val="both"/>
      </w:pPr>
      <w:r>
        <w:rPr>
          <w:rFonts w:ascii="Times New Roman"/>
          <w:b w:val="false"/>
          <w:i w:val="false"/>
          <w:color w:val="000000"/>
          <w:sz w:val="28"/>
        </w:rPr>
        <w:t>
      477. Флоры в ахтерпике отвечают требованиям пункта 463 настоящих Правил.</w:t>
      </w:r>
    </w:p>
    <w:bookmarkEnd w:id="2023"/>
    <w:bookmarkStart w:name="z2029" w:id="2024"/>
    <w:p>
      <w:pPr>
        <w:spacing w:after="0"/>
        <w:ind w:left="0"/>
        <w:jc w:val="both"/>
      </w:pPr>
      <w:r>
        <w:rPr>
          <w:rFonts w:ascii="Times New Roman"/>
          <w:b w:val="false"/>
          <w:i w:val="false"/>
          <w:color w:val="000000"/>
          <w:sz w:val="28"/>
        </w:rPr>
        <w:t>
      На одновинтовых судах флоры поднимают над дейдвудной трубой не менее чем на 0,8м. Если это требование окажется практически невыполнимым, сверху дейдвудной трубы на каждом шпангоуте устанавливаются поперечные связные полосы с поясками по обеим кромкам. Толщина этих полос допускается не менее толщины флора. При длине полосы более 1,5 м на ее середине устанавливается ребро жесткости.</w:t>
      </w:r>
    </w:p>
    <w:bookmarkEnd w:id="2024"/>
    <w:bookmarkStart w:name="z2030" w:id="2025"/>
    <w:p>
      <w:pPr>
        <w:spacing w:after="0"/>
        <w:ind w:left="0"/>
        <w:jc w:val="both"/>
      </w:pPr>
      <w:r>
        <w:rPr>
          <w:rFonts w:ascii="Times New Roman"/>
          <w:b w:val="false"/>
          <w:i w:val="false"/>
          <w:color w:val="000000"/>
          <w:sz w:val="28"/>
        </w:rPr>
        <w:t>
      Флоры с отогнутыми фланцами не допускаются.</w:t>
      </w:r>
    </w:p>
    <w:bookmarkEnd w:id="2025"/>
    <w:bookmarkStart w:name="z2031" w:id="2026"/>
    <w:p>
      <w:pPr>
        <w:spacing w:after="0"/>
        <w:ind w:left="0"/>
        <w:jc w:val="both"/>
      </w:pPr>
      <w:r>
        <w:rPr>
          <w:rFonts w:ascii="Times New Roman"/>
          <w:b w:val="false"/>
          <w:i w:val="false"/>
          <w:color w:val="000000"/>
          <w:sz w:val="28"/>
        </w:rPr>
        <w:t>
      478. На судах длиной более 200м флоры доводятся до платформы, расположенной выше дейдвудной трубы. В продольном направлении следует подкреплять флоры бракетами, установленными в диаметральной плоскости, как правило, по всей высоте флоров. Выше дейдвудной трубы установка бракет обязательна. Следует доводить бракеты до старнпоста. Бракеты не устанавливаются, если над флорами установлен отбойный лист, нижняя кромка которого расположена ниже поясков флоров не менее чем на 0,8 м.</w:t>
      </w:r>
    </w:p>
    <w:bookmarkEnd w:id="2026"/>
    <w:bookmarkStart w:name="z2032" w:id="2027"/>
    <w:p>
      <w:pPr>
        <w:spacing w:after="0"/>
        <w:ind w:left="0"/>
        <w:jc w:val="both"/>
      </w:pPr>
      <w:r>
        <w:rPr>
          <w:rFonts w:ascii="Times New Roman"/>
          <w:b w:val="false"/>
          <w:i w:val="false"/>
          <w:color w:val="000000"/>
          <w:sz w:val="28"/>
        </w:rPr>
        <w:t>
      Вырез во флорах для пропуска дейдвудной трубы следует подкреплять пояском. Вырезы во флорах, расположенные ниже дейдвудной трубы, подкрепляются поясками или ребрами жесткости.</w:t>
      </w:r>
    </w:p>
    <w:bookmarkEnd w:id="2027"/>
    <w:bookmarkStart w:name="z2033" w:id="2028"/>
    <w:p>
      <w:pPr>
        <w:spacing w:after="0"/>
        <w:ind w:left="0"/>
        <w:jc w:val="both"/>
      </w:pPr>
      <w:r>
        <w:rPr>
          <w:rFonts w:ascii="Times New Roman"/>
          <w:b w:val="false"/>
          <w:i w:val="false"/>
          <w:color w:val="000000"/>
          <w:sz w:val="28"/>
        </w:rPr>
        <w:t>
      479. При поперечной системе набора борта ахтерпика конструкция распорных бимсов и стрингеров, бимсовых книц, соединения шпангоутов со стрингерами, расстановка и конструкция рамных шпангоутов и проницаемых платформ соответствовуют требованиям пункта 465 настоящих Правил. Расстояние между бортовыми стрингерами, измеренное по вертикали, не превышает 2,5 м. При этом пролет шпангоута, измеренный по борту, не превышат 3,5 м.</w:t>
      </w:r>
    </w:p>
    <w:bookmarkEnd w:id="2028"/>
    <w:bookmarkStart w:name="z2034" w:id="2029"/>
    <w:p>
      <w:pPr>
        <w:spacing w:after="0"/>
        <w:ind w:left="0"/>
        <w:jc w:val="both"/>
      </w:pPr>
      <w:r>
        <w:rPr>
          <w:rFonts w:ascii="Times New Roman"/>
          <w:b w:val="false"/>
          <w:i w:val="false"/>
          <w:color w:val="000000"/>
          <w:sz w:val="28"/>
        </w:rPr>
        <w:t>
      На двух- и многовинтовых судах с крейсерской и транцевой кормой расстояние между стрингерами, измеренное по борту, не превышает 2 м;</w:t>
      </w:r>
    </w:p>
    <w:bookmarkEnd w:id="2029"/>
    <w:bookmarkStart w:name="z2035" w:id="2030"/>
    <w:p>
      <w:pPr>
        <w:spacing w:after="0"/>
        <w:ind w:left="0"/>
        <w:jc w:val="both"/>
      </w:pPr>
      <w:r>
        <w:rPr>
          <w:rFonts w:ascii="Times New Roman"/>
          <w:b w:val="false"/>
          <w:i w:val="false"/>
          <w:color w:val="000000"/>
          <w:sz w:val="28"/>
        </w:rPr>
        <w:t>
      при этом один из стрингеров устанавливается у верхней кромки выкружки или в плоскости кронштейна гребного вала. При установке рамных шпангоутов расстояние между ними не должно быть более 2,4 м.</w:t>
      </w:r>
    </w:p>
    <w:bookmarkEnd w:id="2030"/>
    <w:bookmarkStart w:name="z2036" w:id="2031"/>
    <w:p>
      <w:pPr>
        <w:spacing w:after="0"/>
        <w:ind w:left="0"/>
        <w:jc w:val="both"/>
      </w:pPr>
      <w:r>
        <w:rPr>
          <w:rFonts w:ascii="Times New Roman"/>
          <w:b w:val="false"/>
          <w:i w:val="false"/>
          <w:color w:val="000000"/>
          <w:sz w:val="28"/>
        </w:rPr>
        <w:t>
      При продольной системе набора борта ахтерпика выполняются соответствующие требования пункта 465 настоящих Правил.</w:t>
      </w:r>
    </w:p>
    <w:bookmarkEnd w:id="2031"/>
    <w:bookmarkStart w:name="z2037" w:id="2032"/>
    <w:p>
      <w:pPr>
        <w:spacing w:after="0"/>
        <w:ind w:left="0"/>
        <w:jc w:val="both"/>
      </w:pPr>
      <w:r>
        <w:rPr>
          <w:rFonts w:ascii="Times New Roman"/>
          <w:b w:val="false"/>
          <w:i w:val="false"/>
          <w:color w:val="000000"/>
          <w:sz w:val="28"/>
        </w:rPr>
        <w:t>
      480. Концы балок набора ахтерпика (включая набор палуб, платформ и переборок), а также концы горизонтальных и, по возможности, вертикальных ребер жесткости флоров закрепляются (пункт 265 настоящих Правил).</w:t>
      </w:r>
    </w:p>
    <w:bookmarkEnd w:id="2032"/>
    <w:bookmarkStart w:name="z2038" w:id="2033"/>
    <w:p>
      <w:pPr>
        <w:spacing w:after="0"/>
        <w:ind w:left="0"/>
        <w:jc w:val="both"/>
      </w:pPr>
      <w:r>
        <w:rPr>
          <w:rFonts w:ascii="Times New Roman"/>
          <w:b w:val="false"/>
          <w:i w:val="false"/>
          <w:color w:val="000000"/>
          <w:sz w:val="28"/>
        </w:rPr>
        <w:t>
      Пояски флоров и рамных бимсов ахтерпика срезаются на "ус" в местах соединения флоров и рамных бимсов с продольными переборками. При этом стойки переборок крепятся к пояскам флоров кницами, установленными с обеих сторон переборок.</w:t>
      </w:r>
    </w:p>
    <w:bookmarkEnd w:id="2033"/>
    <w:bookmarkStart w:name="z2039" w:id="2034"/>
    <w:p>
      <w:pPr>
        <w:spacing w:after="0"/>
        <w:ind w:left="0"/>
        <w:jc w:val="both"/>
      </w:pPr>
      <w:r>
        <w:rPr>
          <w:rFonts w:ascii="Times New Roman"/>
          <w:b w:val="false"/>
          <w:i w:val="false"/>
          <w:color w:val="000000"/>
          <w:sz w:val="28"/>
        </w:rPr>
        <w:t>
      Указанное относится также к узлам соединения карлингсов и днищевых стрингеров с поперечными переборками.</w:t>
      </w:r>
    </w:p>
    <w:bookmarkEnd w:id="2034"/>
    <w:bookmarkStart w:name="z2040" w:id="2035"/>
    <w:p>
      <w:pPr>
        <w:spacing w:after="0"/>
        <w:ind w:left="0"/>
        <w:jc w:val="both"/>
      </w:pPr>
      <w:r>
        <w:rPr>
          <w:rFonts w:ascii="Times New Roman"/>
          <w:b w:val="false"/>
          <w:i w:val="false"/>
          <w:color w:val="000000"/>
          <w:sz w:val="28"/>
        </w:rPr>
        <w:t>
      481. Расстояние между обыкновенными или поворотными шпангоутами такими, как в середине длины судна, но не более 750 мм. В диаметральной плоскости устанавливается стрингер одинаковой высоты с флорами. При наличии транцевой кормы и/или плоского участка днища устанавливают днищевые стрингеры, расположенные на расстоянии не более 2 м друг от друга.</w:t>
      </w:r>
    </w:p>
    <w:bookmarkEnd w:id="2035"/>
    <w:bookmarkStart w:name="z2041" w:id="2036"/>
    <w:p>
      <w:pPr>
        <w:spacing w:after="0"/>
        <w:ind w:left="0"/>
        <w:jc w:val="both"/>
      </w:pPr>
      <w:r>
        <w:rPr>
          <w:rFonts w:ascii="Times New Roman"/>
          <w:b w:val="false"/>
          <w:i w:val="false"/>
          <w:color w:val="000000"/>
          <w:sz w:val="28"/>
        </w:rPr>
        <w:t>
      При полной крейсерской корме и при пролете шпангоута от верхней кромки флоров до ближайшей палубы более 2,5 м предусматриваются дополнительные подкрепления в виде рамных шпангоутов и бортового стрингера.</w:t>
      </w:r>
    </w:p>
    <w:bookmarkEnd w:id="2036"/>
    <w:bookmarkStart w:name="z2042" w:id="2037"/>
    <w:p>
      <w:pPr>
        <w:spacing w:after="0"/>
        <w:ind w:left="0"/>
        <w:jc w:val="both"/>
      </w:pPr>
      <w:r>
        <w:rPr>
          <w:rFonts w:ascii="Times New Roman"/>
          <w:b w:val="false"/>
          <w:i w:val="false"/>
          <w:color w:val="000000"/>
          <w:sz w:val="28"/>
        </w:rPr>
        <w:t>
      482. При использовании пиков в качестве цистерн рекомендуется установка в диаметральной плоскости отбойной переборки.</w:t>
      </w:r>
    </w:p>
    <w:bookmarkEnd w:id="2037"/>
    <w:bookmarkStart w:name="z2043" w:id="2038"/>
    <w:p>
      <w:pPr>
        <w:spacing w:after="0"/>
        <w:ind w:left="0"/>
        <w:jc w:val="left"/>
      </w:pPr>
      <w:r>
        <w:rPr>
          <w:rFonts w:ascii="Times New Roman"/>
          <w:b/>
          <w:i w:val="false"/>
          <w:color w:val="000000"/>
        </w:rPr>
        <w:t xml:space="preserve"> Параграф 2. Нагрузки на конструкции оконечностей</w:t>
      </w:r>
    </w:p>
    <w:bookmarkEnd w:id="2038"/>
    <w:bookmarkStart w:name="z2044" w:id="2039"/>
    <w:p>
      <w:pPr>
        <w:spacing w:after="0"/>
        <w:ind w:left="0"/>
        <w:jc w:val="both"/>
      </w:pPr>
      <w:r>
        <w:rPr>
          <w:rFonts w:ascii="Times New Roman"/>
          <w:b w:val="false"/>
          <w:i w:val="false"/>
          <w:color w:val="000000"/>
          <w:sz w:val="28"/>
        </w:rPr>
        <w:t>
      483. Расчетное давление на конструкции в оконечностях судна определяется при действии эксплуатационных нагрузок, указанных в главах 16-21 настоящих Правил, а также экстремальных нагрузок, приведенных в пунктах 484-485 настоящих Правил.</w:t>
      </w:r>
    </w:p>
    <w:bookmarkEnd w:id="2039"/>
    <w:bookmarkStart w:name="z2045" w:id="2040"/>
    <w:p>
      <w:pPr>
        <w:spacing w:after="0"/>
        <w:ind w:left="0"/>
        <w:jc w:val="both"/>
      </w:pPr>
      <w:r>
        <w:rPr>
          <w:rFonts w:ascii="Times New Roman"/>
          <w:b w:val="false"/>
          <w:i w:val="false"/>
          <w:color w:val="000000"/>
          <w:sz w:val="28"/>
        </w:rPr>
        <w:t>
      Размеры конструктивных элементов носовой оконечности в районе действия ударного давления проверяют на действие экстремальных нагрузок:</w:t>
      </w:r>
    </w:p>
    <w:bookmarkEnd w:id="2040"/>
    <w:bookmarkStart w:name="z2046" w:id="2041"/>
    <w:p>
      <w:pPr>
        <w:spacing w:after="0"/>
        <w:ind w:left="0"/>
        <w:jc w:val="both"/>
      </w:pPr>
      <w:r>
        <w:rPr>
          <w:rFonts w:ascii="Times New Roman"/>
          <w:b w:val="false"/>
          <w:i w:val="false"/>
          <w:color w:val="000000"/>
          <w:sz w:val="28"/>
        </w:rPr>
        <w:t>
      согласно пункту 484 настоящих Правил для судов длиной более 65 м с минимальной осадкой на носовом перпендикуляре менее 0,045</w:t>
      </w:r>
      <w:r>
        <w:rPr>
          <w:rFonts w:ascii="Times New Roman"/>
          <w:b w:val="false"/>
          <w:i/>
          <w:color w:val="000000"/>
          <w:sz w:val="28"/>
        </w:rPr>
        <w:t>L</w:t>
      </w:r>
      <w:r>
        <w:rPr>
          <w:rFonts w:ascii="Times New Roman"/>
          <w:b w:val="false"/>
          <w:i w:val="false"/>
          <w:color w:val="000000"/>
          <w:sz w:val="28"/>
        </w:rPr>
        <w:t>;</w:t>
      </w:r>
    </w:p>
    <w:bookmarkEnd w:id="2041"/>
    <w:bookmarkStart w:name="z2047" w:id="2042"/>
    <w:p>
      <w:pPr>
        <w:spacing w:after="0"/>
        <w:ind w:left="0"/>
        <w:jc w:val="both"/>
      </w:pPr>
      <w:r>
        <w:rPr>
          <w:rFonts w:ascii="Times New Roman"/>
          <w:b w:val="false"/>
          <w:i w:val="false"/>
          <w:color w:val="000000"/>
          <w:sz w:val="28"/>
        </w:rPr>
        <w:t xml:space="preserve">
      согласно пункту 485 настоящих Правил для судов с характеристикой </w:t>
      </w:r>
    </w:p>
    <w:bookmarkEnd w:id="2042"/>
    <w:p>
      <w:pPr>
        <w:spacing w:after="0"/>
        <w:ind w:left="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03200" cy="203200"/>
                    </a:xfrm>
                    <a:prstGeom prst="rect">
                      <a:avLst/>
                    </a:prstGeom>
                  </pic:spPr>
                </pic:pic>
              </a:graphicData>
            </a:graphic>
          </wp:inline>
        </w:drawing>
      </w:r>
    </w:p>
    <w:p>
      <w:pPr>
        <w:spacing w:after="0"/>
        <w:ind w:left="0"/>
        <w:jc w:val="left"/>
      </w:pPr>
      <w:r>
        <w:rPr>
          <w:rFonts w:ascii="Times New Roman"/>
          <w:b w:val="false"/>
          <w:i w:val="false"/>
          <w:color w:val="000000"/>
          <w:sz w:val="28"/>
        </w:rPr>
        <w:t>0/</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1,5 или имеющих значительный развал шпангоутов в носу.</w:t>
      </w:r>
      <w:r>
        <w:br/>
      </w:r>
      <w:r>
        <w:rPr>
          <w:rFonts w:ascii="Times New Roman"/>
          <w:b w:val="false"/>
          <w:i w:val="false"/>
          <w:color w:val="000000"/>
          <w:sz w:val="28"/>
        </w:rPr>
        <w:t>
</w:t>
      </w:r>
    </w:p>
    <w:bookmarkStart w:name="z2048" w:id="2043"/>
    <w:p>
      <w:pPr>
        <w:spacing w:after="0"/>
        <w:ind w:left="0"/>
        <w:jc w:val="both"/>
      </w:pPr>
      <w:r>
        <w:rPr>
          <w:rFonts w:ascii="Times New Roman"/>
          <w:b w:val="false"/>
          <w:i w:val="false"/>
          <w:color w:val="000000"/>
          <w:sz w:val="28"/>
        </w:rPr>
        <w:t xml:space="preserve">
      484. Экстремальные значения расчетного гидродинамического давления </w:t>
      </w:r>
      <w:r>
        <w:rPr>
          <w:rFonts w:ascii="Times New Roman"/>
          <w:b w:val="false"/>
          <w:i/>
          <w:color w:val="000000"/>
          <w:sz w:val="28"/>
        </w:rPr>
        <w:t>PSL</w:t>
      </w:r>
      <w:r>
        <w:rPr>
          <w:rFonts w:ascii="Times New Roman"/>
          <w:b w:val="false"/>
          <w:i w:val="false"/>
          <w:color w:val="000000"/>
          <w:sz w:val="28"/>
        </w:rPr>
        <w:t>, кПа, при ударах волн в днище носовой оконечности определяются с помощью формулы:</w:t>
      </w:r>
    </w:p>
    <w:bookmarkEnd w:id="2043"/>
    <w:p>
      <w:pPr>
        <w:spacing w:after="0"/>
        <w:ind w:left="0"/>
        <w:jc w:val="both"/>
      </w:pPr>
      <w:r>
        <w:rPr>
          <w:rFonts w:ascii="Times New Roman"/>
          <w:b w:val="false"/>
          <w:i w:val="false"/>
          <w:color w:val="000000"/>
          <w:sz w:val="28"/>
        </w:rPr>
        <w:t>
      р = 5,5C</w:t>
      </w:r>
      <w:r>
        <w:rPr>
          <w:rFonts w:ascii="Times New Roman"/>
          <w:b w:val="false"/>
          <w:i w:val="false"/>
          <w:color w:val="000000"/>
          <w:vertAlign w:val="subscript"/>
        </w:rPr>
        <w:t>1</w:t>
      </w:r>
      <w:r>
        <w:rPr>
          <w:rFonts w:ascii="Times New Roman"/>
          <w:b w:val="false"/>
          <w:i w:val="false"/>
          <w:color w:val="000000"/>
          <w:sz w:val="28"/>
        </w:rPr>
        <w:t>C</w:t>
      </w:r>
      <w:r>
        <w:rPr>
          <w:rFonts w:ascii="Times New Roman"/>
          <w:b w:val="false"/>
          <w:i w:val="false"/>
          <w:color w:val="000000"/>
          <w:vertAlign w:val="subscript"/>
        </w:rPr>
        <w:t>2</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393700"/>
                    </a:xfrm>
                    <a:prstGeom prst="rect">
                      <a:avLst/>
                    </a:prstGeom>
                  </pic:spPr>
                </pic:pic>
              </a:graphicData>
            </a:graphic>
          </wp:inline>
        </w:drawing>
      </w:r>
    </w:p>
    <w:p>
      <w:pPr>
        <w:spacing w:after="0"/>
        <w:ind w:left="0"/>
        <w:jc w:val="left"/>
      </w:pPr>
      <w:r>
        <w:rPr>
          <w:rFonts w:ascii="Times New Roman"/>
          <w:b w:val="false"/>
          <w:i w:val="false"/>
          <w:color w:val="000000"/>
          <w:sz w:val="28"/>
        </w:rPr>
        <w:t>(1 – 5</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)(1 –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д</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L </w:t>
      </w:r>
      <w:r>
        <w:rPr>
          <w:rFonts w:ascii="Times New Roman"/>
          <w:b w:val="false"/>
          <w:i w:val="false"/>
          <w:color w:val="000000"/>
          <w:sz w:val="28"/>
          <w:u w:val="single"/>
        </w:rPr>
        <w:t>&lt;</w:t>
      </w:r>
      <w:r>
        <w:rPr>
          <w:rFonts w:ascii="Times New Roman"/>
          <w:b w:val="false"/>
          <w:i w:val="false"/>
          <w:color w:val="000000"/>
          <w:sz w:val="28"/>
        </w:rPr>
        <w:t xml:space="preserve"> 200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5</w:t>
      </w:r>
    </w:p>
    <w:p>
      <w:pPr>
        <w:spacing w:after="0"/>
        <w:ind w:left="0"/>
        <w:jc w:val="both"/>
      </w:pPr>
      <w:r>
        <w:drawing>
          <wp:inline distT="0" distB="0" distL="0" distR="0">
            <wp:extent cx="77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774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L &gt; 200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0,134</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0(l – 17,1</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д</w:t>
      </w:r>
      <w:r>
        <w:rPr>
          <w:rFonts w:ascii="Times New Roman"/>
          <w:b w:val="false"/>
          <w:i w:val="false"/>
          <w:color w:val="000000"/>
          <w:sz w:val="28"/>
        </w:rPr>
        <w:t xml:space="preserve"> = (0,22 + l,5C</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0 —параграф 3 главы 8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r — согласно пункту 169 настоящих Правил (для судов неограниченного района плавания цr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r>
        <w:rPr>
          <w:rFonts w:ascii="Times New Roman"/>
          <w:b w:val="false"/>
          <w:i w:val="false"/>
          <w:color w:val="000000"/>
          <w:vertAlign w:val="subscript"/>
        </w:rPr>
        <w:t>х</w:t>
      </w:r>
      <w:r>
        <w:rPr>
          <w:rFonts w:ascii="Times New Roman"/>
          <w:b w:val="false"/>
          <w:i w:val="false"/>
          <w:color w:val="000000"/>
          <w:sz w:val="28"/>
        </w:rPr>
        <w:t xml:space="preserve"> — ширина судна в рассматриваемом поперечном сечении на уровне 0,04B от основной плоскости, но не более 0,8B, м;</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отстояние рассматриваемого поперечного сечения от носового перпендикуляра, но не более </w:t>
      </w:r>
      <w:r>
        <w:rPr>
          <w:rFonts w:ascii="Times New Roman"/>
          <w:b w:val="false"/>
          <w:i/>
          <w:color w:val="000000"/>
          <w:sz w:val="28"/>
        </w:rPr>
        <w:t>l</w:t>
      </w:r>
      <w:r>
        <w:rPr>
          <w:rFonts w:ascii="Times New Roman"/>
          <w:b w:val="false"/>
          <w:i w:val="false"/>
          <w:color w:val="000000"/>
          <w:vertAlign w:val="subscript"/>
        </w:rPr>
        <w:t>д</w:t>
      </w:r>
      <w:r>
        <w:rPr>
          <w:rFonts w:ascii="Times New Roman"/>
          <w:b w:val="false"/>
          <w:i w:val="false"/>
          <w:color w:val="000000"/>
          <w:sz w:val="28"/>
        </w:rPr>
        <w:t>, м.</w:t>
      </w:r>
    </w:p>
    <w:bookmarkStart w:name="z2049" w:id="2044"/>
    <w:p>
      <w:pPr>
        <w:spacing w:after="0"/>
        <w:ind w:left="0"/>
        <w:jc w:val="both"/>
      </w:pPr>
      <w:r>
        <w:rPr>
          <w:rFonts w:ascii="Times New Roman"/>
          <w:b w:val="false"/>
          <w:i w:val="false"/>
          <w:color w:val="000000"/>
          <w:sz w:val="28"/>
        </w:rPr>
        <w:t>
      По формуле (132) настоящих Правил определяются наибольшая величина р (далее — p</w:t>
      </w:r>
      <w:r>
        <w:rPr>
          <w:rFonts w:ascii="Times New Roman"/>
          <w:b w:val="false"/>
          <w:i w:val="false"/>
          <w:color w:val="000000"/>
          <w:vertAlign w:val="subscript"/>
        </w:rPr>
        <w:t>mах</w:t>
      </w:r>
      <w:r>
        <w:rPr>
          <w:rFonts w:ascii="Times New Roman"/>
          <w:b w:val="false"/>
          <w:i w:val="false"/>
          <w:color w:val="000000"/>
          <w:sz w:val="28"/>
        </w:rPr>
        <w:t xml:space="preserve">) и соответствующая ей величина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 xml:space="preserve"> (далее — х</w:t>
      </w:r>
      <w:r>
        <w:rPr>
          <w:rFonts w:ascii="Times New Roman"/>
          <w:b w:val="false"/>
          <w:i w:val="false"/>
          <w:color w:val="000000"/>
          <w:vertAlign w:val="subscript"/>
        </w:rPr>
        <w:t>mах</w:t>
      </w:r>
      <w:r>
        <w:rPr>
          <w:rFonts w:ascii="Times New Roman"/>
          <w:b w:val="false"/>
          <w:i w:val="false"/>
          <w:color w:val="000000"/>
          <w:sz w:val="28"/>
        </w:rPr>
        <w:t xml:space="preserve">) путем вычисления р в ряде сечений в пределах участка </w:t>
      </w:r>
      <w:r>
        <w:rPr>
          <w:rFonts w:ascii="Times New Roman"/>
          <w:b w:val="false"/>
          <w:i/>
          <w:color w:val="000000"/>
          <w:sz w:val="28"/>
        </w:rPr>
        <w:t>l</w:t>
      </w:r>
      <w:r>
        <w:rPr>
          <w:rFonts w:ascii="Times New Roman"/>
          <w:b w:val="false"/>
          <w:i w:val="false"/>
          <w:color w:val="000000"/>
          <w:vertAlign w:val="subscript"/>
        </w:rPr>
        <w:t>d</w:t>
      </w:r>
      <w:r>
        <w:rPr>
          <w:rFonts w:ascii="Times New Roman"/>
          <w:b w:val="false"/>
          <w:i w:val="false"/>
          <w:color w:val="000000"/>
          <w:sz w:val="28"/>
        </w:rPr>
        <w:t>, и устанавливается расчетное давление PSL (приложение 72 настоящих Правил) по формуле</w:t>
      </w:r>
    </w:p>
    <w:bookmarkEnd w:id="2044"/>
    <w:p>
      <w:pPr>
        <w:spacing w:after="0"/>
        <w:ind w:left="0"/>
        <w:jc w:val="both"/>
      </w:pPr>
      <w:r>
        <w:rPr>
          <w:rFonts w:ascii="Times New Roman"/>
          <w:b w:val="false"/>
          <w:i w:val="false"/>
          <w:color w:val="000000"/>
          <w:sz w:val="28"/>
        </w:rPr>
        <w:t>
      PSL = р</w:t>
      </w:r>
      <w:r>
        <w:rPr>
          <w:rFonts w:ascii="Times New Roman"/>
          <w:b w:val="false"/>
          <w:i w:val="false"/>
          <w:color w:val="000000"/>
          <w:vertAlign w:val="subscript"/>
        </w:rPr>
        <w:t>н</w:t>
      </w:r>
      <w:r>
        <w:rPr>
          <w:rFonts w:ascii="Times New Roman"/>
          <w:b w:val="false"/>
          <w:i w:val="false"/>
          <w:color w:val="000000"/>
          <w:sz w:val="28"/>
        </w:rPr>
        <w:t xml:space="preserve"> + (р</w:t>
      </w:r>
      <w:r>
        <w:rPr>
          <w:rFonts w:ascii="Times New Roman"/>
          <w:b w:val="false"/>
          <w:i w:val="false"/>
          <w:color w:val="000000"/>
          <w:vertAlign w:val="subscript"/>
        </w:rPr>
        <w:t>max</w:t>
      </w:r>
      <w:r>
        <w:rPr>
          <w:rFonts w:ascii="Times New Roman"/>
          <w:b w:val="false"/>
          <w:i w:val="false"/>
          <w:color w:val="000000"/>
          <w:sz w:val="28"/>
        </w:rPr>
        <w:t xml:space="preserve"> – р</w:t>
      </w:r>
      <w:r>
        <w:rPr>
          <w:rFonts w:ascii="Times New Roman"/>
          <w:b w:val="false"/>
          <w:i w:val="false"/>
          <w:color w:val="000000"/>
          <w:vertAlign w:val="subscript"/>
        </w:rPr>
        <w:t>н</w:t>
      </w:r>
      <w:r>
        <w:rPr>
          <w:rFonts w:ascii="Times New Roman"/>
          <w:b w:val="false"/>
          <w:i w:val="false"/>
          <w:color w:val="000000"/>
          <w:sz w:val="28"/>
        </w:rPr>
        <w:t>)х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max</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 0 </w:t>
      </w:r>
      <w:r>
        <w:rPr>
          <w:rFonts w:ascii="Times New Roman"/>
          <w:b w:val="false"/>
          <w:i w:val="false"/>
          <w:color w:val="000000"/>
          <w:sz w:val="28"/>
          <w:u w:val="single"/>
        </w:rPr>
        <w:t>&lt;</w:t>
      </w:r>
      <w:r>
        <w:rPr>
          <w:rFonts w:ascii="Times New Roman"/>
          <w:b w:val="false"/>
          <w:i w:val="false"/>
          <w:color w:val="000000"/>
          <w:sz w:val="28"/>
        </w:rPr>
        <w:t xml:space="preserve"> х</w:t>
      </w:r>
      <w:r>
        <w:rPr>
          <w:rFonts w:ascii="Times New Roman"/>
          <w:b w:val="false"/>
          <w:i w:val="false"/>
          <w:color w:val="000000"/>
          <w:vertAlign w:val="subscript"/>
        </w:rPr>
        <w:t>1</w:t>
      </w:r>
      <w:r>
        <w:rPr>
          <w:rFonts w:ascii="Times New Roman"/>
          <w:b w:val="false"/>
          <w:i w:val="false"/>
          <w:color w:val="000000"/>
          <w:sz w:val="28"/>
        </w:rPr>
        <w:t xml:space="preserve"> &lt; x</w:t>
      </w:r>
      <w:r>
        <w:rPr>
          <w:rFonts w:ascii="Times New Roman"/>
          <w:b w:val="false"/>
          <w:i w:val="false"/>
          <w:color w:val="000000"/>
          <w:vertAlign w:val="subscript"/>
        </w:rPr>
        <w:t>max</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PSL = р</w:t>
      </w:r>
      <w:r>
        <w:rPr>
          <w:rFonts w:ascii="Times New Roman"/>
          <w:b w:val="false"/>
          <w:i w:val="false"/>
          <w:color w:val="000000"/>
          <w:vertAlign w:val="subscript"/>
        </w:rPr>
        <w:t xml:space="preserve">max                                 </w:t>
      </w:r>
      <w:r>
        <w:rPr>
          <w:rFonts w:ascii="Times New Roman"/>
          <w:b w:val="false"/>
          <w:i w:val="false"/>
          <w:color w:val="000000"/>
          <w:sz w:val="28"/>
        </w:rPr>
        <w:t xml:space="preserve">                       (133)</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x</w:t>
      </w:r>
      <w:r>
        <w:rPr>
          <w:rFonts w:ascii="Times New Roman"/>
          <w:b w:val="false"/>
          <w:i w:val="false"/>
          <w:color w:val="000000"/>
          <w:vertAlign w:val="subscript"/>
        </w:rPr>
        <w:t>max</w:t>
      </w:r>
      <w:r>
        <w:rPr>
          <w:rFonts w:ascii="Times New Roman"/>
          <w:b w:val="false"/>
          <w:i w:val="false"/>
          <w:color w:val="000000"/>
          <w:sz w:val="28"/>
        </w:rPr>
        <w:t xml:space="preserve"> – 0,05L </w:t>
      </w:r>
      <w:r>
        <w:rPr>
          <w:rFonts w:ascii="Times New Roman"/>
          <w:b w:val="false"/>
          <w:i w:val="false"/>
          <w:color w:val="000000"/>
          <w:sz w:val="28"/>
          <w:u w:val="single"/>
        </w:rPr>
        <w:t>&lt;</w:t>
      </w:r>
      <w:r>
        <w:rPr>
          <w:rFonts w:ascii="Times New Roman"/>
          <w:b w:val="false"/>
          <w:i w:val="false"/>
          <w:color w:val="000000"/>
          <w:sz w:val="28"/>
        </w:rPr>
        <w:t xml:space="preserve"> х</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x</w:t>
      </w:r>
      <w:r>
        <w:rPr>
          <w:rFonts w:ascii="Times New Roman"/>
          <w:b w:val="false"/>
          <w:i w:val="false"/>
          <w:color w:val="000000"/>
          <w:vertAlign w:val="subscript"/>
        </w:rPr>
        <w:t>max</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PSL = р</w:t>
      </w:r>
      <w:r>
        <w:rPr>
          <w:rFonts w:ascii="Times New Roman"/>
          <w:b w:val="false"/>
          <w:i w:val="false"/>
          <w:color w:val="000000"/>
          <w:vertAlign w:val="subscript"/>
        </w:rPr>
        <w:t>max</w:t>
      </w:r>
      <w:r>
        <w:rPr>
          <w:rFonts w:ascii="Times New Roman"/>
          <w:b w:val="false"/>
          <w:i w:val="false"/>
          <w:color w:val="000000"/>
          <w:sz w:val="28"/>
        </w:rPr>
        <w:t>(0,05</w:t>
      </w:r>
      <w:r>
        <w:rPr>
          <w:rFonts w:ascii="Times New Roman"/>
          <w:b w:val="false"/>
          <w:i/>
          <w:color w:val="000000"/>
          <w:sz w:val="28"/>
        </w:rPr>
        <w:t>L</w:t>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)/( 0,45L– x</w:t>
      </w:r>
      <w:r>
        <w:rPr>
          <w:rFonts w:ascii="Times New Roman"/>
          <w:b w:val="false"/>
          <w:i w:val="false"/>
          <w:color w:val="000000"/>
          <w:vertAlign w:val="subscript"/>
        </w:rPr>
        <w:t>max</w:t>
      </w:r>
      <w:r>
        <w:rPr>
          <w:rFonts w:ascii="Times New Roman"/>
          <w:b w:val="false"/>
          <w:i w:val="false"/>
          <w:color w:val="000000"/>
          <w:sz w:val="28"/>
        </w:rPr>
        <w:t>)</w:t>
      </w:r>
    </w:p>
    <w:p>
      <w:pPr>
        <w:spacing w:after="0"/>
        <w:ind w:left="0"/>
        <w:jc w:val="both"/>
      </w:pPr>
      <w:r>
        <w:rPr>
          <w:rFonts w:ascii="Times New Roman"/>
          <w:b w:val="false"/>
          <w:i w:val="false"/>
          <w:color w:val="000000"/>
          <w:sz w:val="28"/>
        </w:rPr>
        <w:t>
            при xmax + 0,05</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х1 </w:t>
      </w:r>
      <w:r>
        <w:rPr>
          <w:rFonts w:ascii="Times New Roman"/>
          <w:b w:val="false"/>
          <w:i w:val="false"/>
          <w:color w:val="000000"/>
          <w:sz w:val="28"/>
          <w:u w:val="single"/>
        </w:rPr>
        <w:t>&lt;</w:t>
      </w:r>
      <w:r>
        <w:rPr>
          <w:rFonts w:ascii="Times New Roman"/>
          <w:b w:val="false"/>
          <w:i w:val="false"/>
          <w:color w:val="000000"/>
          <w:sz w:val="28"/>
        </w:rPr>
        <w:t xml:space="preserve"> 0,5</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0,5p</w:t>
      </w:r>
      <w:r>
        <w:rPr>
          <w:rFonts w:ascii="Times New Roman"/>
          <w:b w:val="false"/>
          <w:i w:val="false"/>
          <w:color w:val="000000"/>
          <w:vertAlign w:val="subscript"/>
        </w:rPr>
        <w:t>max</w:t>
      </w:r>
      <w:r>
        <w:rPr>
          <w:rFonts w:ascii="Times New Roman"/>
          <w:b w:val="false"/>
          <w:i w:val="false"/>
          <w:color w:val="000000"/>
          <w:sz w:val="28"/>
        </w:rPr>
        <w:t xml:space="preserve"> при наличии носового бульба;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0 при отсутствии носового бульба.</w:t>
      </w:r>
    </w:p>
    <w:bookmarkStart w:name="z2050" w:id="2045"/>
    <w:p>
      <w:pPr>
        <w:spacing w:after="0"/>
        <w:ind w:left="0"/>
        <w:jc w:val="both"/>
      </w:pPr>
      <w:r>
        <w:rPr>
          <w:rFonts w:ascii="Times New Roman"/>
          <w:b w:val="false"/>
          <w:i w:val="false"/>
          <w:color w:val="000000"/>
          <w:sz w:val="28"/>
        </w:rPr>
        <w:t>
      Действие гидродинамического давления, определяемого по формуле (133) настоящих Правил, распространяется на высоту 0,04В от основной плоскости.</w:t>
      </w:r>
    </w:p>
    <w:bookmarkEnd w:id="2045"/>
    <w:bookmarkStart w:name="z2051" w:id="2046"/>
    <w:p>
      <w:pPr>
        <w:spacing w:after="0"/>
        <w:ind w:left="0"/>
        <w:jc w:val="both"/>
      </w:pPr>
      <w:r>
        <w:rPr>
          <w:rFonts w:ascii="Times New Roman"/>
          <w:b w:val="false"/>
          <w:i w:val="false"/>
          <w:color w:val="000000"/>
          <w:sz w:val="28"/>
        </w:rPr>
        <w:t>
      485. Экстремальные значения расчетного гидродинамического давления PSL, кПа, при ударах волн в борт носовой оконечности определяются по формуле:</w:t>
      </w:r>
    </w:p>
    <w:bookmarkEnd w:id="2046"/>
    <w:p>
      <w:pPr>
        <w:spacing w:after="0"/>
        <w:ind w:left="0"/>
        <w:jc w:val="both"/>
      </w:pPr>
      <w:r>
        <w:rPr>
          <w:rFonts w:ascii="Times New Roman"/>
          <w:b w:val="false"/>
          <w:i w:val="false"/>
          <w:color w:val="000000"/>
          <w:sz w:val="28"/>
        </w:rPr>
        <w:t>
      PSL = 0,9C</w:t>
      </w:r>
      <w:r>
        <w:rPr>
          <w:rFonts w:ascii="Times New Roman"/>
          <w:b w:val="false"/>
          <w:i w:val="false"/>
          <w:color w:val="000000"/>
          <w:vertAlign w:val="subscript"/>
        </w:rPr>
        <w:t>3</w:t>
      </w:r>
      <w:r>
        <w:rPr>
          <w:rFonts w:ascii="Times New Roman"/>
          <w:b w:val="false"/>
          <w:i w:val="false"/>
          <w:color w:val="000000"/>
          <w:sz w:val="28"/>
        </w:rPr>
        <w:t>C</w:t>
      </w:r>
    </w:p>
    <w:p>
      <w:pPr>
        <w:spacing w:after="0"/>
        <w:ind w:left="0"/>
        <w:jc w:val="both"/>
      </w:pPr>
      <w:r>
        <w:drawing>
          <wp:inline distT="0" distB="0" distL="0" distR="0">
            <wp:extent cx="88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88900" cy="228600"/>
                    </a:xfrm>
                    <a:prstGeom prst="rect">
                      <a:avLst/>
                    </a:prstGeom>
                  </pic:spPr>
                </pic:pic>
              </a:graphicData>
            </a:graphic>
          </wp:inline>
        </w:drawing>
      </w:r>
    </w:p>
    <w:p>
      <w:pPr>
        <w:spacing w:after="0"/>
        <w:ind w:left="0"/>
        <w:jc w:val="left"/>
      </w:pPr>
      <w:r>
        <w:rPr>
          <w:rFonts w:ascii="Times New Roman"/>
          <w:b w:val="false"/>
          <w:i w:val="false"/>
          <w:color w:val="000000"/>
          <w:sz w:val="28"/>
        </w:rPr>
        <w:t>,                          (134)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3</w:t>
      </w:r>
      <w:r>
        <w:rPr>
          <w:rFonts w:ascii="Times New Roman"/>
          <w:b w:val="false"/>
          <w:i w:val="false"/>
          <w:color w:val="000000"/>
          <w:sz w:val="28"/>
        </w:rPr>
        <w:t xml:space="preserve"> = 2,2 + l,5 tg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x</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4</w:t>
      </w:r>
      <w:r>
        <w:rPr>
          <w:rFonts w:ascii="Times New Roman"/>
          <w:b w:val="false"/>
          <w:i w:val="false"/>
          <w:color w:val="000000"/>
          <w:sz w:val="28"/>
        </w:rPr>
        <w:t xml:space="preserve"> =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0(0,6 – 20/</w:t>
      </w:r>
      <w:r>
        <w:rPr>
          <w:rFonts w:ascii="Times New Roman"/>
          <w:b w:val="false"/>
          <w:i/>
          <w:color w:val="000000"/>
          <w:sz w:val="28"/>
        </w:rPr>
        <w:t>L</w:t>
      </w:r>
      <w:r>
        <w:rPr>
          <w:rFonts w:ascii="Times New Roman"/>
          <w:b w:val="false"/>
          <w:i w:val="false"/>
          <w:color w:val="000000"/>
          <w:sz w:val="28"/>
        </w:rPr>
        <w:t>)(1,2 – 0,2</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/60)sin</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x</w:t>
      </w:r>
      <w:r>
        <w:rPr>
          <w:rFonts w:ascii="Times New Roman"/>
          <w:b w:val="false"/>
          <w:i w:val="false"/>
          <w:color w:val="000000"/>
          <w:sz w:val="28"/>
        </w:rPr>
        <w:t xml:space="preserve"> + 0,6</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0 — согласно параграф 3 главы 8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и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согласно пункту 461 настоящих Правил.</w:t>
      </w:r>
      <w:r>
        <w:br/>
      </w:r>
      <w:r>
        <w:rPr>
          <w:rFonts w:ascii="Times New Roman"/>
          <w:b w:val="false"/>
          <w:i w:val="false"/>
          <w:color w:val="000000"/>
          <w:sz w:val="28"/>
        </w:rPr>
        <w:t>
</w:t>
      </w:r>
    </w:p>
    <w:bookmarkStart w:name="z2052" w:id="2047"/>
    <w:p>
      <w:pPr>
        <w:spacing w:after="0"/>
        <w:ind w:left="0"/>
        <w:jc w:val="both"/>
      </w:pPr>
      <w:r>
        <w:rPr>
          <w:rFonts w:ascii="Times New Roman"/>
          <w:b w:val="false"/>
          <w:i w:val="false"/>
          <w:color w:val="000000"/>
          <w:sz w:val="28"/>
        </w:rPr>
        <w:t>
      Действие ударного давления распространяется по высоте на часть борта, расположенную выше балластной ватерлинии, а по длине — на часть борта, простирающуюся в корму до поперечного сечения, отстоящего на 0,01</w:t>
      </w:r>
    </w:p>
    <w:bookmarkEnd w:id="2047"/>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color w:val="000000"/>
          <w:sz w:val="28"/>
        </w:rPr>
        <w:t>L</w:t>
      </w:r>
      <w:r>
        <w:rPr>
          <w:rFonts w:ascii="Times New Roman"/>
          <w:b w:val="false"/>
          <w:i w:val="false"/>
          <w:color w:val="000000"/>
          <w:sz w:val="28"/>
        </w:rPr>
        <w:t xml:space="preserve"> от носового перпендикуляра, и в нос до пересечения верхней палубы с форштевнем (приложение 70 настоящих Правил).</w:t>
      </w:r>
      <w:r>
        <w:br/>
      </w:r>
      <w:r>
        <w:rPr>
          <w:rFonts w:ascii="Times New Roman"/>
          <w:b w:val="false"/>
          <w:i w:val="false"/>
          <w:color w:val="000000"/>
          <w:sz w:val="28"/>
        </w:rPr>
        <w:t>
</w:t>
      </w:r>
    </w:p>
    <w:bookmarkStart w:name="z2053" w:id="2048"/>
    <w:p>
      <w:pPr>
        <w:spacing w:after="0"/>
        <w:ind w:left="0"/>
        <w:jc w:val="left"/>
      </w:pPr>
      <w:r>
        <w:rPr>
          <w:rFonts w:ascii="Times New Roman"/>
          <w:b/>
          <w:i w:val="false"/>
          <w:color w:val="000000"/>
        </w:rPr>
        <w:t xml:space="preserve"> Параграф 3. Размеры конструктивных элементов оконечностей</w:t>
      </w:r>
    </w:p>
    <w:bookmarkEnd w:id="2048"/>
    <w:bookmarkStart w:name="z2054" w:id="2049"/>
    <w:p>
      <w:pPr>
        <w:spacing w:after="0"/>
        <w:ind w:left="0"/>
        <w:jc w:val="both"/>
      </w:pPr>
      <w:r>
        <w:rPr>
          <w:rFonts w:ascii="Times New Roman"/>
          <w:b w:val="false"/>
          <w:i w:val="false"/>
          <w:color w:val="000000"/>
          <w:sz w:val="28"/>
        </w:rPr>
        <w:t>
      486. Толщина наружной обшивки, размеры конструктивных элементов одинарного и двойного дна, а также бортового набора при действии эксплуатационных нагрузок, определяемых в главах 16, 17, 18, 19 настоящих Правил, должны отвечать требованиям параграфов 3 главы 16, 2 главы 17, 3 главы 89 и 3 главы 19 настоящих Правил. Кроме того, при определении размеров конструктивных элементов форпика и ахтерпика выполняются следующие требования:</w:t>
      </w:r>
    </w:p>
    <w:bookmarkEnd w:id="2049"/>
    <w:p>
      <w:pPr>
        <w:spacing w:after="0"/>
        <w:ind w:left="0"/>
        <w:jc w:val="both"/>
      </w:pPr>
      <w:r>
        <w:rPr>
          <w:rFonts w:ascii="Times New Roman"/>
          <w:b w:val="false"/>
          <w:i w:val="false"/>
          <w:color w:val="000000"/>
          <w:sz w:val="28"/>
        </w:rPr>
        <w:t>
      1) момент сопротивления шпангоутов определяется по формулам (53) и (54) настоящих Правил. При этом: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бортовыми стрингерами, измеренное по обшивке;</w:t>
      </w:r>
    </w:p>
    <w:p>
      <w:pPr>
        <w:spacing w:after="0"/>
        <w:ind w:left="0"/>
        <w:jc w:val="both"/>
      </w:pPr>
      <w:r>
        <w:rPr>
          <w:rFonts w:ascii="Times New Roman"/>
          <w:b w:val="false"/>
          <w:i w:val="false"/>
          <w:color w:val="000000"/>
          <w:sz w:val="28"/>
        </w:rPr>
        <w:t>
      2) размеры распорных бимсов отвечают требованиям пункта 507 настоящих Правил;</w:t>
      </w:r>
    </w:p>
    <w:p>
      <w:pPr>
        <w:spacing w:after="0"/>
        <w:ind w:left="0"/>
        <w:jc w:val="both"/>
      </w:pPr>
      <w:r>
        <w:rPr>
          <w:rFonts w:ascii="Times New Roman"/>
          <w:b w:val="false"/>
          <w:i w:val="false"/>
          <w:color w:val="000000"/>
          <w:sz w:val="28"/>
        </w:rPr>
        <w:t>
      3) при определении момента сопротивления и площади сечения рамных шпангоутов следует принимать: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(135)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2 главы 19 настоящих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рамными шпангоутами,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пролет рамного шпангоута, измеренный между верхней кромкой флора и палубой (платформой), ограничивающей форпик (ахтерпик), или ближайшей к днищу проницаемой платформой, если она имеется, либо между проницаемыми платформами, палубой и проницаемой платформой за вычетом высоты рамного бимса соответствующей палубы (платформы), м;</w:t>
      </w:r>
    </w:p>
    <w:bookmarkStart w:name="z2055" w:id="2050"/>
    <w:p>
      <w:pPr>
        <w:spacing w:after="0"/>
        <w:ind w:left="0"/>
        <w:jc w:val="both"/>
      </w:pPr>
      <w:r>
        <w:rPr>
          <w:rFonts w:ascii="Times New Roman"/>
          <w:b w:val="false"/>
          <w:i w:val="false"/>
          <w:color w:val="000000"/>
          <w:sz w:val="28"/>
        </w:rPr>
        <w:t xml:space="preserve">
      4) толщина настила и набор проницаемой платформы отвечает требованиям параграфа 3 главы 20 настоящих Правил для платформ в оконечностях. При определении расчетной нагрузки по формуле (17) настоящих Правил, </w:t>
      </w:r>
      <w:r>
        <w:rPr>
          <w:rFonts w:ascii="Times New Roman"/>
          <w:b w:val="false"/>
          <w:i/>
          <w:color w:val="000000"/>
          <w:sz w:val="28"/>
        </w:rPr>
        <w:t>h</w:t>
      </w:r>
      <w:r>
        <w:rPr>
          <w:rFonts w:ascii="Times New Roman"/>
          <w:b w:val="false"/>
          <w:i w:val="false"/>
          <w:color w:val="000000"/>
          <w:sz w:val="28"/>
        </w:rPr>
        <w:t>p</w:t>
      </w:r>
      <w:r>
        <w:rPr>
          <w:rFonts w:ascii="Times New Roman"/>
          <w:b w:val="false"/>
          <w:i w:val="false"/>
          <w:color w:val="000000"/>
          <w:vertAlign w:val="subscript"/>
        </w:rPr>
        <w:t>r</w:t>
      </w:r>
      <w:r>
        <w:rPr>
          <w:rFonts w:ascii="Times New Roman"/>
          <w:b w:val="false"/>
          <w:i w:val="false"/>
          <w:color w:val="000000"/>
          <w:sz w:val="28"/>
        </w:rPr>
        <w:t>g должно быть не менее 3,5 кПа.</w:t>
      </w:r>
    </w:p>
    <w:bookmarkEnd w:id="2050"/>
    <w:bookmarkStart w:name="z2056" w:id="2051"/>
    <w:p>
      <w:pPr>
        <w:spacing w:after="0"/>
        <w:ind w:left="0"/>
        <w:jc w:val="both"/>
      </w:pPr>
      <w:r>
        <w:rPr>
          <w:rFonts w:ascii="Times New Roman"/>
          <w:b w:val="false"/>
          <w:i w:val="false"/>
          <w:color w:val="000000"/>
          <w:sz w:val="28"/>
        </w:rPr>
        <w:t>
      Толщина настила проницаемых платформ s</w:t>
      </w:r>
      <w:r>
        <w:rPr>
          <w:rFonts w:ascii="Times New Roman"/>
          <w:b w:val="false"/>
          <w:i w:val="false"/>
          <w:color w:val="000000"/>
          <w:vertAlign w:val="subscript"/>
        </w:rPr>
        <w:t>min</w:t>
      </w:r>
      <w:r>
        <w:rPr>
          <w:rFonts w:ascii="Times New Roman"/>
          <w:b w:val="false"/>
          <w:i w:val="false"/>
          <w:color w:val="000000"/>
          <w:sz w:val="28"/>
        </w:rPr>
        <w:t>, мм, определяется по формуле:</w:t>
      </w:r>
    </w:p>
    <w:bookmarkEnd w:id="2051"/>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(5 + 0,02</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при этом быть не менее 5 мм.</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2057" w:id="2052"/>
    <w:p>
      <w:pPr>
        <w:spacing w:after="0"/>
        <w:ind w:left="0"/>
        <w:jc w:val="both"/>
      </w:pPr>
      <w:r>
        <w:rPr>
          <w:rFonts w:ascii="Times New Roman"/>
          <w:b w:val="false"/>
          <w:i w:val="false"/>
          <w:color w:val="000000"/>
          <w:sz w:val="28"/>
        </w:rPr>
        <w:t>
      5) если форпик (ахтерпик) используется в качестве цистерн, размеры их конструктивных элементов отвечает также требованиям, предъявляемым к конструктивным элементам цистерн.</w:t>
      </w:r>
    </w:p>
    <w:bookmarkEnd w:id="2052"/>
    <w:bookmarkStart w:name="z2058" w:id="2053"/>
    <w:p>
      <w:pPr>
        <w:spacing w:after="0"/>
        <w:ind w:left="0"/>
        <w:jc w:val="both"/>
      </w:pPr>
      <w:r>
        <w:rPr>
          <w:rFonts w:ascii="Times New Roman"/>
          <w:b w:val="false"/>
          <w:i w:val="false"/>
          <w:color w:val="000000"/>
          <w:sz w:val="28"/>
        </w:rPr>
        <w:t>
      487. Размеры конструктивных элементов днища носовой оконечности в районе действия экстремальных нагрузок, определяемых согласно пункту 484, должны отвечать требованиям параграфов 3 главы 16, 2 главы 17 или 3 главы 18 настоящих Правил и следующим дополнительным требованиям:</w:t>
      </w:r>
    </w:p>
    <w:bookmarkEnd w:id="2053"/>
    <w:bookmarkStart w:name="z2059" w:id="2054"/>
    <w:p>
      <w:pPr>
        <w:spacing w:after="0"/>
        <w:ind w:left="0"/>
        <w:jc w:val="both"/>
      </w:pPr>
      <w:r>
        <w:rPr>
          <w:rFonts w:ascii="Times New Roman"/>
          <w:b w:val="false"/>
          <w:i w:val="false"/>
          <w:color w:val="000000"/>
          <w:sz w:val="28"/>
        </w:rPr>
        <w:t>
      1) толщина обшивки определяется по формуле (57) настоящих Правил. При этом:</w:t>
      </w:r>
    </w:p>
    <w:bookmarkEnd w:id="205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0,4PSL,                       (137)</w:t>
      </w:r>
    </w:p>
    <w:p>
      <w:pPr>
        <w:spacing w:after="0"/>
        <w:ind w:left="0"/>
        <w:jc w:val="both"/>
      </w:pPr>
      <w:r>
        <w:rPr>
          <w:rFonts w:ascii="Times New Roman"/>
          <w:b w:val="false"/>
          <w:i w:val="false"/>
          <w:color w:val="000000"/>
          <w:sz w:val="28"/>
        </w:rPr>
        <w:t>
      где PSL определяется по формуле (133)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2060" w:id="2055"/>
    <w:p>
      <w:pPr>
        <w:spacing w:after="0"/>
        <w:ind w:left="0"/>
        <w:jc w:val="both"/>
      </w:pPr>
      <w:r>
        <w:rPr>
          <w:rFonts w:ascii="Times New Roman"/>
          <w:b w:val="false"/>
          <w:i w:val="false"/>
          <w:color w:val="000000"/>
          <w:sz w:val="28"/>
        </w:rPr>
        <w:t>
      2) момент сопротивления балок основного набора,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20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638300" cy="444500"/>
                    </a:xfrm>
                    <a:prstGeom prst="rect">
                      <a:avLst/>
                    </a:prstGeom>
                  </pic:spPr>
                </pic:pic>
              </a:graphicData>
            </a:graphic>
          </wp:inline>
        </w:drawing>
      </w:r>
    </w:p>
    <w:p>
      <w:pPr>
        <w:spacing w:after="0"/>
        <w:ind w:left="0"/>
        <w:jc w:val="left"/>
      </w:pPr>
      <w:r>
        <w:rPr>
          <w:rFonts w:ascii="Times New Roman"/>
          <w:b w:val="false"/>
          <w:i w:val="false"/>
          <w:color w:val="000000"/>
          <w:sz w:val="28"/>
        </w:rPr>
        <w:t>,                 (138)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определяется по формуле (137)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16, если балки проходят, не разрезаясь, через стенки опорных конструкций;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8, если балки разрезаны на опорах;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28, если с обеих сторон опорной конструкции опорные сечения балки подкреплены кницами, высота и длина которых не менее 1,5 высоты балки;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пункт 141 настоящих Правил;</w:t>
      </w:r>
      <w:r>
        <w:br/>
      </w:r>
      <w:r>
        <w:rPr>
          <w:rFonts w:ascii="Times New Roman"/>
          <w:b w:val="false"/>
          <w:i w:val="false"/>
          <w:color w:val="000000"/>
          <w:sz w:val="28"/>
        </w:rPr>
        <w:t>
</w:t>
      </w:r>
    </w:p>
    <w:bookmarkStart w:name="z2061" w:id="2056"/>
    <w:p>
      <w:pPr>
        <w:spacing w:after="0"/>
        <w:ind w:left="0"/>
        <w:jc w:val="both"/>
      </w:pPr>
      <w:r>
        <w:rPr>
          <w:rFonts w:ascii="Times New Roman"/>
          <w:b w:val="false"/>
          <w:i w:val="false"/>
          <w:color w:val="000000"/>
          <w:sz w:val="28"/>
        </w:rPr>
        <w:t>
      3) площадь поперечного сечения балки основного набора, см</w:t>
      </w:r>
      <w:r>
        <w:rPr>
          <w:rFonts w:ascii="Times New Roman"/>
          <w:b w:val="false"/>
          <w:i w:val="false"/>
          <w:color w:val="000000"/>
          <w:vertAlign w:val="superscript"/>
        </w:rPr>
        <w:t>2</w:t>
      </w:r>
      <w:r>
        <w:rPr>
          <w:rFonts w:ascii="Times New Roman"/>
          <w:b w:val="false"/>
          <w:i w:val="false"/>
          <w:color w:val="000000"/>
          <w:sz w:val="28"/>
        </w:rPr>
        <w:t>, или сварных швов, соединяющих разрезные балки с опорными конструкциями, равна не менее:</w:t>
      </w:r>
    </w:p>
    <w:bookmarkEnd w:id="20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905000" cy="406400"/>
                    </a:xfrm>
                    <a:prstGeom prst="rect">
                      <a:avLst/>
                    </a:prstGeom>
                  </pic:spPr>
                </pic:pic>
              </a:graphicData>
            </a:graphic>
          </wp:inline>
        </w:drawing>
      </w:r>
    </w:p>
    <w:p>
      <w:pPr>
        <w:spacing w:after="0"/>
        <w:ind w:left="0"/>
        <w:jc w:val="left"/>
      </w:pPr>
      <w:r>
        <w:rPr>
          <w:rFonts w:ascii="Times New Roman"/>
          <w:b w:val="false"/>
          <w:i w:val="false"/>
          <w:color w:val="000000"/>
          <w:sz w:val="28"/>
        </w:rPr>
        <w:t>,                  (139)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определяется по формуле (137)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длина периметра сечения балки, см;</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—пункту 139 настоящих Правил.</w:t>
      </w:r>
      <w:r>
        <w:br/>
      </w:r>
      <w:r>
        <w:rPr>
          <w:rFonts w:ascii="Times New Roman"/>
          <w:b w:val="false"/>
          <w:i w:val="false"/>
          <w:color w:val="000000"/>
          <w:sz w:val="28"/>
        </w:rPr>
        <w:t>
</w:t>
      </w:r>
    </w:p>
    <w:bookmarkStart w:name="z2062" w:id="2057"/>
    <w:p>
      <w:pPr>
        <w:spacing w:after="0"/>
        <w:ind w:left="0"/>
        <w:jc w:val="both"/>
      </w:pPr>
      <w:r>
        <w:rPr>
          <w:rFonts w:ascii="Times New Roman"/>
          <w:b w:val="false"/>
          <w:i w:val="false"/>
          <w:color w:val="000000"/>
          <w:sz w:val="28"/>
        </w:rPr>
        <w:t xml:space="preserve">
      В площадь поперечного сечения балки включается площадь стенки, а также площадь участка сечения обшивки шириной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3s (где s — толщина обшивки, мм). Свободный поясок балки полосо-бульбового профиля в площадь поперечного сечения включается полностью. Свободный поясок балки таврового профиля в площадь сечения включается частью своей ширины </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 3s</w:t>
      </w:r>
      <w:r>
        <w:rPr>
          <w:rFonts w:ascii="Times New Roman"/>
          <w:b w:val="false"/>
          <w:i w:val="false"/>
          <w:color w:val="000000"/>
          <w:vertAlign w:val="subscript"/>
        </w:rPr>
        <w:t>п</w:t>
      </w:r>
      <w:r>
        <w:rPr>
          <w:rFonts w:ascii="Times New Roman"/>
          <w:b w:val="false"/>
          <w:i w:val="false"/>
          <w:color w:val="000000"/>
          <w:sz w:val="28"/>
        </w:rPr>
        <w:t xml:space="preserve"> (где s</w:t>
      </w:r>
      <w:r>
        <w:rPr>
          <w:rFonts w:ascii="Times New Roman"/>
          <w:b w:val="false"/>
          <w:i w:val="false"/>
          <w:color w:val="000000"/>
          <w:vertAlign w:val="subscript"/>
        </w:rPr>
        <w:t>п</w:t>
      </w:r>
      <w:r>
        <w:rPr>
          <w:rFonts w:ascii="Times New Roman"/>
          <w:b w:val="false"/>
          <w:i w:val="false"/>
          <w:color w:val="000000"/>
          <w:sz w:val="28"/>
        </w:rPr>
        <w:t xml:space="preserve"> — толщина свободного пояска балки, мм);</w:t>
      </w:r>
    </w:p>
    <w:bookmarkEnd w:id="2057"/>
    <w:bookmarkStart w:name="z2063" w:id="2058"/>
    <w:p>
      <w:pPr>
        <w:spacing w:after="0"/>
        <w:ind w:left="0"/>
        <w:jc w:val="both"/>
      </w:pPr>
      <w:r>
        <w:rPr>
          <w:rFonts w:ascii="Times New Roman"/>
          <w:b w:val="false"/>
          <w:i w:val="false"/>
          <w:color w:val="000000"/>
          <w:sz w:val="28"/>
        </w:rPr>
        <w:t>
      4) толщина стенки флора, днищевого стрингера, вертикального киля s, мм, равна не менее определяемой по формуле:</w:t>
      </w:r>
    </w:p>
    <w:bookmarkEnd w:id="20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295400" cy="419100"/>
                    </a:xfrm>
                    <a:prstGeom prst="rect">
                      <a:avLst/>
                    </a:prstGeom>
                  </pic:spPr>
                </pic:pic>
              </a:graphicData>
            </a:graphic>
          </wp:inline>
        </w:drawing>
      </w:r>
    </w:p>
    <w:p>
      <w:pPr>
        <w:spacing w:after="0"/>
        <w:ind w:left="0"/>
        <w:jc w:val="left"/>
      </w:pPr>
      <w:r>
        <w:rPr>
          <w:rFonts w:ascii="Times New Roman"/>
          <w:b w:val="false"/>
          <w:i w:val="false"/>
          <w:color w:val="000000"/>
          <w:sz w:val="28"/>
        </w:rPr>
        <w:t>,                       (140)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определяется по формуле (137) настоящих Правил;</w:t>
      </w:r>
    </w:p>
    <w:p>
      <w:pPr>
        <w:spacing w:after="0"/>
        <w:ind w:left="0"/>
        <w:jc w:val="both"/>
      </w:pPr>
      <w:r>
        <w:rPr>
          <w:rFonts w:ascii="Times New Roman"/>
          <w:b w:val="false"/>
          <w:i w:val="false"/>
          <w:color w:val="000000"/>
          <w:sz w:val="28"/>
        </w:rPr>
        <w:t>
      а и b — среднее расстояние, м, соответственно между флорами и стрингерами (вертикальным килем и стрингером); наличие полустрингеров при определении b не учитывается;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—высота флора, стрингера, вертикального киля соответственно,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согласно пункту 139 настоящих Правил.</w:t>
      </w:r>
      <w:r>
        <w:br/>
      </w:r>
      <w:r>
        <w:rPr>
          <w:rFonts w:ascii="Times New Roman"/>
          <w:b w:val="false"/>
          <w:i w:val="false"/>
          <w:color w:val="000000"/>
          <w:sz w:val="28"/>
        </w:rPr>
        <w:t>
</w:t>
      </w:r>
    </w:p>
    <w:bookmarkStart w:name="z2064" w:id="2059"/>
    <w:p>
      <w:pPr>
        <w:spacing w:after="0"/>
        <w:ind w:left="0"/>
        <w:jc w:val="both"/>
      </w:pPr>
      <w:r>
        <w:rPr>
          <w:rFonts w:ascii="Times New Roman"/>
          <w:b w:val="false"/>
          <w:i w:val="false"/>
          <w:color w:val="000000"/>
          <w:sz w:val="28"/>
        </w:rPr>
        <w:t>
      488. Размеры конструктивных элементов борта носовой оконечности в районе действия экстремальных нагрузок, определяемых согласно пункту 485 настоящих Правил, отвечают требованиям параграфа 3 главы 16 и параграфа 3 главы 19 настоящих Правил, а также следующим дополнительным требованиям:</w:t>
      </w:r>
    </w:p>
    <w:bookmarkEnd w:id="2059"/>
    <w:bookmarkStart w:name="z2065" w:id="2060"/>
    <w:p>
      <w:pPr>
        <w:spacing w:after="0"/>
        <w:ind w:left="0"/>
        <w:jc w:val="both"/>
      </w:pPr>
      <w:r>
        <w:rPr>
          <w:rFonts w:ascii="Times New Roman"/>
          <w:b w:val="false"/>
          <w:i w:val="false"/>
          <w:color w:val="000000"/>
          <w:sz w:val="28"/>
        </w:rPr>
        <w:t>
      1) толщина обшивки определяется по формуле (57) настоящих Правил. При этом:</w:t>
      </w:r>
    </w:p>
    <w:bookmarkEnd w:id="2060"/>
    <w:p>
      <w:pPr>
        <w:spacing w:after="0"/>
        <w:ind w:left="0"/>
        <w:jc w:val="both"/>
      </w:pPr>
      <w:r>
        <w:rPr>
          <w:rFonts w:ascii="Times New Roman"/>
          <w:b w:val="false"/>
          <w:i w:val="false"/>
          <w:color w:val="000000"/>
          <w:sz w:val="28"/>
        </w:rPr>
        <w:t>
                                    р = 0,5PSL,                        (141)</w:t>
      </w:r>
    </w:p>
    <w:p>
      <w:pPr>
        <w:spacing w:after="0"/>
        <w:ind w:left="0"/>
        <w:jc w:val="both"/>
      </w:pPr>
      <w:r>
        <w:rPr>
          <w:rFonts w:ascii="Times New Roman"/>
          <w:b w:val="false"/>
          <w:i w:val="false"/>
          <w:color w:val="000000"/>
          <w:sz w:val="28"/>
        </w:rPr>
        <w:t>
      где PSL определяется по формуле (134)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2066" w:id="2061"/>
    <w:p>
      <w:pPr>
        <w:spacing w:after="0"/>
        <w:ind w:left="0"/>
        <w:jc w:val="both"/>
      </w:pPr>
      <w:r>
        <w:rPr>
          <w:rFonts w:ascii="Times New Roman"/>
          <w:b w:val="false"/>
          <w:i w:val="false"/>
          <w:color w:val="000000"/>
          <w:sz w:val="28"/>
        </w:rPr>
        <w:t>
      2) момент сопротивления балки основного набора отвечает требованиям подпункта 2) пункта 487 настоящих Правил при действии расчетной нагрузки, определяемой по формуле (141) настоящих Правил;</w:t>
      </w:r>
    </w:p>
    <w:bookmarkEnd w:id="2061"/>
    <w:bookmarkStart w:name="z2067" w:id="2062"/>
    <w:p>
      <w:pPr>
        <w:spacing w:after="0"/>
        <w:ind w:left="0"/>
        <w:jc w:val="both"/>
      </w:pPr>
      <w:r>
        <w:rPr>
          <w:rFonts w:ascii="Times New Roman"/>
          <w:b w:val="false"/>
          <w:i w:val="false"/>
          <w:color w:val="000000"/>
          <w:sz w:val="28"/>
        </w:rPr>
        <w:t>
      3) площадь поперечного сечения балки основного набора отвечает требованиям подпункта 3) пункта 487 настоящих Правил при действии расчетной нагрузки, определяемой по формуле (141) настоящих Правил.</w:t>
      </w:r>
    </w:p>
    <w:bookmarkEnd w:id="2062"/>
    <w:bookmarkStart w:name="z2068" w:id="2063"/>
    <w:p>
      <w:pPr>
        <w:spacing w:after="0"/>
        <w:ind w:left="0"/>
        <w:jc w:val="both"/>
      </w:pPr>
      <w:r>
        <w:rPr>
          <w:rFonts w:ascii="Times New Roman"/>
          <w:b w:val="false"/>
          <w:i w:val="false"/>
          <w:color w:val="000000"/>
          <w:sz w:val="28"/>
        </w:rPr>
        <w:t>
      489. Размеры шпангоутов в кормовом подзоре не меньше, чем размеры шпангоутов в ахтерпике, если их пролет не превышает 2,5 м. При большем пролете размеры шпангоутов соответственно увеличивают. Толщина флоров и стрингеров не менее требуемой согласно пункту 490 настоящих Правил.</w:t>
      </w:r>
    </w:p>
    <w:bookmarkEnd w:id="2063"/>
    <w:bookmarkStart w:name="z2069" w:id="2064"/>
    <w:p>
      <w:pPr>
        <w:spacing w:after="0"/>
        <w:ind w:left="0"/>
        <w:jc w:val="both"/>
      </w:pPr>
      <w:r>
        <w:rPr>
          <w:rFonts w:ascii="Times New Roman"/>
          <w:b w:val="false"/>
          <w:i w:val="false"/>
          <w:color w:val="000000"/>
          <w:sz w:val="28"/>
        </w:rPr>
        <w:t xml:space="preserve">
      490. Бортовые стрингеры форпика и ахтерпика имеют площадь сечения стенки </w:t>
      </w:r>
    </w:p>
    <w:bookmarkEnd w:id="206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определяемой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 12+0,45</w:t>
      </w:r>
      <w:r>
        <w:rPr>
          <w:rFonts w:ascii="Times New Roman"/>
          <w:b w:val="false"/>
          <w:i/>
          <w:color w:val="000000"/>
          <w:sz w:val="28"/>
        </w:rPr>
        <w:t>L</w:t>
      </w:r>
      <w:r>
        <w:rPr>
          <w:rFonts w:ascii="Times New Roman"/>
          <w:b w:val="false"/>
          <w:i w:val="false"/>
          <w:color w:val="000000"/>
          <w:sz w:val="28"/>
        </w:rPr>
        <w:t>.                    (142)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Ширина бортового стрингера </w:t>
      </w:r>
      <w:r>
        <w:rPr>
          <w:rFonts w:ascii="Times New Roman"/>
          <w:b w:val="false"/>
          <w:i/>
          <w:color w:val="000000"/>
          <w:sz w:val="28"/>
        </w:rPr>
        <w:t>b</w:t>
      </w:r>
      <w:r>
        <w:rPr>
          <w:rFonts w:ascii="Times New Roman"/>
          <w:b w:val="false"/>
          <w:i w:val="false"/>
          <w:color w:val="000000"/>
          <w:sz w:val="28"/>
        </w:rPr>
        <w:t>, м, равна не менее определяемой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0,24 + 0,005L  L </w:t>
      </w:r>
      <w:r>
        <w:rPr>
          <w:rFonts w:ascii="Times New Roman"/>
          <w:b w:val="false"/>
          <w:i w:val="false"/>
          <w:color w:val="000000"/>
          <w:sz w:val="28"/>
          <w:u w:val="single"/>
        </w:rPr>
        <w:t>&lt;</w:t>
      </w:r>
      <w:r>
        <w:rPr>
          <w:rFonts w:ascii="Times New Roman"/>
          <w:b w:val="false"/>
          <w:i w:val="false"/>
          <w:color w:val="000000"/>
          <w:sz w:val="28"/>
        </w:rPr>
        <w:t xml:space="preserve"> 80 м;</w:t>
      </w:r>
    </w:p>
    <w:p>
      <w:pPr>
        <w:spacing w:after="0"/>
        <w:ind w:left="0"/>
        <w:jc w:val="both"/>
      </w:pPr>
      <w:r>
        <w:rPr>
          <w:rFonts w:ascii="Times New Roman"/>
          <w:b w:val="false"/>
          <w:i w:val="false"/>
          <w:color w:val="000000"/>
          <w:sz w:val="28"/>
        </w:rPr>
        <w:t>
                                                                      (143)</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0,4+0,003L  L &gt; 80 м.</w:t>
      </w:r>
    </w:p>
    <w:p>
      <w:pPr>
        <w:spacing w:after="0"/>
        <w:ind w:left="0"/>
        <w:jc w:val="both"/>
      </w:pPr>
      <w:r>
        <w:rPr>
          <w:rFonts w:ascii="Times New Roman"/>
          <w:b w:val="false"/>
          <w:i w:val="false"/>
          <w:color w:val="000000"/>
          <w:sz w:val="28"/>
        </w:rPr>
        <w:t>
      Толщина стенки бортового стрингера, мм, равна не менее: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(5 + 0.02L)</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(144)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не менее 5 мм.</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2070" w:id="2065"/>
    <w:p>
      <w:pPr>
        <w:spacing w:after="0"/>
        <w:ind w:left="0"/>
        <w:jc w:val="both"/>
      </w:pPr>
      <w:r>
        <w:rPr>
          <w:rFonts w:ascii="Times New Roman"/>
          <w:b w:val="false"/>
          <w:i w:val="false"/>
          <w:color w:val="000000"/>
          <w:sz w:val="28"/>
        </w:rPr>
        <w:t>
      491. Толщина наружной обшивки бульба равна не менее 0,08</w:t>
      </w:r>
      <w:r>
        <w:rPr>
          <w:rFonts w:ascii="Times New Roman"/>
          <w:b w:val="false"/>
          <w:i/>
          <w:color w:val="000000"/>
          <w:sz w:val="28"/>
        </w:rPr>
        <w:t xml:space="preserve">L </w:t>
      </w:r>
      <w:r>
        <w:rPr>
          <w:rFonts w:ascii="Times New Roman"/>
          <w:b w:val="false"/>
          <w:i w:val="false"/>
          <w:color w:val="000000"/>
          <w:sz w:val="28"/>
        </w:rPr>
        <w:t>+ 6, но принимается не более 25 мм. При этом толщина нижних поясьев наружной обшивки бульба допускается не менее определяемой в подпункте 1) пункта 487 настоящих Правил для сечения на носовом перпендикуляре.</w:t>
      </w:r>
    </w:p>
    <w:bookmarkEnd w:id="2065"/>
    <w:bookmarkStart w:name="z2071" w:id="2066"/>
    <w:p>
      <w:pPr>
        <w:spacing w:after="0"/>
        <w:ind w:left="0"/>
        <w:jc w:val="left"/>
      </w:pPr>
      <w:r>
        <w:rPr>
          <w:rFonts w:ascii="Times New Roman"/>
          <w:b/>
          <w:i w:val="false"/>
          <w:color w:val="000000"/>
        </w:rPr>
        <w:t xml:space="preserve"> Параграф 4. Специальные требования</w:t>
      </w:r>
    </w:p>
    <w:bookmarkEnd w:id="2066"/>
    <w:bookmarkStart w:name="z2072" w:id="2067"/>
    <w:p>
      <w:pPr>
        <w:spacing w:after="0"/>
        <w:ind w:left="0"/>
        <w:jc w:val="both"/>
      </w:pPr>
      <w:r>
        <w:rPr>
          <w:rFonts w:ascii="Times New Roman"/>
          <w:b w:val="false"/>
          <w:i w:val="false"/>
          <w:color w:val="000000"/>
          <w:sz w:val="28"/>
        </w:rPr>
        <w:t>
      492. Требования настоящего параграфа применяются к конструкции носовых объемных дверей типа "визор", которые представляют собой объемные секции носовой оконечности судна, механически соединяемые с бортовыми или подпалубными конструкциями и способные перемещаться в вертикальном направлении для обеспечения погрузки колесной техники и/или других транспортных средств.</w:t>
      </w:r>
    </w:p>
    <w:bookmarkEnd w:id="2067"/>
    <w:bookmarkStart w:name="z2073" w:id="2068"/>
    <w:p>
      <w:pPr>
        <w:spacing w:after="0"/>
        <w:ind w:left="0"/>
        <w:jc w:val="both"/>
      </w:pPr>
      <w:r>
        <w:rPr>
          <w:rFonts w:ascii="Times New Roman"/>
          <w:b w:val="false"/>
          <w:i w:val="false"/>
          <w:color w:val="000000"/>
          <w:sz w:val="28"/>
        </w:rPr>
        <w:t>
      493. Толщина обшивки носовых объемных дверей типа "визор" предусматривается не менее требуемой для соответствующих участков наружной обшивки согласно параграфу 3 главы 22 настоящих Правил;</w:t>
      </w:r>
    </w:p>
    <w:bookmarkEnd w:id="2068"/>
    <w:bookmarkStart w:name="z2074" w:id="2069"/>
    <w:p>
      <w:pPr>
        <w:spacing w:after="0"/>
        <w:ind w:left="0"/>
        <w:jc w:val="both"/>
      </w:pPr>
      <w:r>
        <w:rPr>
          <w:rFonts w:ascii="Times New Roman"/>
          <w:b w:val="false"/>
          <w:i w:val="false"/>
          <w:color w:val="000000"/>
          <w:sz w:val="28"/>
        </w:rPr>
        <w:t>
      494. Момент сопротивления балок основного набора не менее требуемого для соответствующих районов носовой оконечности согласно параграфу 3 главы 22 настоящих Правил. При этом расчетная нагрузка, кПа, равна не менее определяемой по формуле:</w:t>
      </w:r>
    </w:p>
    <w:bookmarkEnd w:id="206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min</w:t>
      </w:r>
      <w:r>
        <w:rPr>
          <w:rFonts w:ascii="Times New Roman"/>
          <w:b w:val="false"/>
          <w:i w:val="false"/>
          <w:color w:val="000000"/>
          <w:sz w:val="28"/>
        </w:rPr>
        <w:t xml:space="preserve"> = 0,8(1,5</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+ 0,6</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(145)</w:t>
      </w:r>
      <w:r>
        <w:br/>
      </w:r>
      <w:r>
        <w:rPr>
          <w:rFonts w:ascii="Times New Roman"/>
          <w:b w:val="false"/>
          <w:i w:val="false"/>
          <w:color w:val="000000"/>
          <w:sz w:val="28"/>
        </w:rPr>
        <w:t>
</w:t>
      </w:r>
    </w:p>
    <w:bookmarkStart w:name="z2075" w:id="2070"/>
    <w:p>
      <w:pPr>
        <w:spacing w:after="0"/>
        <w:ind w:left="0"/>
        <w:jc w:val="both"/>
      </w:pPr>
      <w:r>
        <w:rPr>
          <w:rFonts w:ascii="Times New Roman"/>
          <w:b w:val="false"/>
          <w:i w:val="false"/>
          <w:color w:val="000000"/>
          <w:sz w:val="28"/>
        </w:rPr>
        <w:t>
      Площадь сечения стенки балки равна не менее определяемой по формуле (55) настоящих Правил. При этом:</w:t>
      </w:r>
    </w:p>
    <w:bookmarkEnd w:id="2070"/>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(146)</w:t>
      </w:r>
    </w:p>
    <w:p>
      <w:pPr>
        <w:spacing w:after="0"/>
        <w:ind w:left="0"/>
        <w:jc w:val="both"/>
      </w:pPr>
      <w:r>
        <w:rPr>
          <w:rFonts w:ascii="Times New Roman"/>
          <w:b w:val="false"/>
          <w:i w:val="false"/>
          <w:color w:val="000000"/>
          <w:sz w:val="28"/>
        </w:rPr>
        <w:t>
      где р — расчетная нагрузка согласно пунктов 171 или 485 настоящих Правил в зависимости от того, что больше, но не менее p</w:t>
      </w:r>
      <w:r>
        <w:rPr>
          <w:rFonts w:ascii="Times New Roman"/>
          <w:b w:val="false"/>
          <w:i w:val="false"/>
          <w:color w:val="000000"/>
          <w:vertAlign w:val="subscript"/>
        </w:rPr>
        <w:t>min</w:t>
      </w:r>
      <w:r>
        <w:rPr>
          <w:rFonts w:ascii="Times New Roman"/>
          <w:b w:val="false"/>
          <w:i w:val="false"/>
          <w:color w:val="000000"/>
          <w:sz w:val="28"/>
        </w:rPr>
        <w:t xml:space="preserve"> по формуле (145) настоящих Правил, кПа;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2076" w:id="2071"/>
    <w:p>
      <w:pPr>
        <w:spacing w:after="0"/>
        <w:ind w:left="0"/>
        <w:jc w:val="both"/>
      </w:pPr>
      <w:r>
        <w:rPr>
          <w:rFonts w:ascii="Times New Roman"/>
          <w:b w:val="false"/>
          <w:i w:val="false"/>
          <w:color w:val="000000"/>
          <w:sz w:val="28"/>
        </w:rPr>
        <w:t>
      495. Принимаются конструктивные меры для обеспечения жесткого закрепления балок основного набора и поддерживающих их рамных балок носового объемного лацпорта.</w:t>
      </w:r>
    </w:p>
    <w:bookmarkEnd w:id="2071"/>
    <w:bookmarkStart w:name="z2077" w:id="2072"/>
    <w:p>
      <w:pPr>
        <w:spacing w:after="0"/>
        <w:ind w:left="0"/>
        <w:jc w:val="both"/>
      </w:pPr>
      <w:r>
        <w:rPr>
          <w:rFonts w:ascii="Times New Roman"/>
          <w:b w:val="false"/>
          <w:i w:val="false"/>
          <w:color w:val="000000"/>
          <w:sz w:val="28"/>
        </w:rPr>
        <w:t>
      496. Размеры рамных балок определяются на основании расчета прочности с использованием расчетных нагрузок согласно пунктов 171 или 485 настоящих Правил, в зависимости от того, что больше, но не менее p</w:t>
      </w:r>
      <w:r>
        <w:rPr>
          <w:rFonts w:ascii="Times New Roman"/>
          <w:b w:val="false"/>
          <w:i w:val="false"/>
          <w:color w:val="000000"/>
          <w:vertAlign w:val="subscript"/>
        </w:rPr>
        <w:t>min</w:t>
      </w:r>
      <w:r>
        <w:rPr>
          <w:rFonts w:ascii="Times New Roman"/>
          <w:b w:val="false"/>
          <w:i w:val="false"/>
          <w:color w:val="000000"/>
          <w:sz w:val="28"/>
        </w:rPr>
        <w:t xml:space="preserve"> по формуле (145) настоящих Правил, и коэффициентов допускаемых напряжений </w:t>
      </w:r>
    </w:p>
    <w:bookmarkEnd w:id="2072"/>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0,6.</w:t>
      </w:r>
      <w:r>
        <w:br/>
      </w:r>
      <w:r>
        <w:rPr>
          <w:rFonts w:ascii="Times New Roman"/>
          <w:b w:val="false"/>
          <w:i w:val="false"/>
          <w:color w:val="000000"/>
          <w:sz w:val="28"/>
        </w:rPr>
        <w:t>
</w:t>
      </w:r>
    </w:p>
    <w:bookmarkStart w:name="z2078" w:id="2073"/>
    <w:p>
      <w:pPr>
        <w:spacing w:after="0"/>
        <w:ind w:left="0"/>
        <w:jc w:val="both"/>
      </w:pPr>
      <w:r>
        <w:rPr>
          <w:rFonts w:ascii="Times New Roman"/>
          <w:b w:val="false"/>
          <w:i w:val="false"/>
          <w:color w:val="000000"/>
          <w:sz w:val="28"/>
        </w:rPr>
        <w:t>
      497. Конструкция рамных балок отвечает требованиям параграфа 3 главы 14 настоящих Правил.</w:t>
      </w:r>
    </w:p>
    <w:bookmarkEnd w:id="2073"/>
    <w:bookmarkStart w:name="z2079" w:id="2074"/>
    <w:p>
      <w:pPr>
        <w:spacing w:after="0"/>
        <w:ind w:left="0"/>
        <w:jc w:val="both"/>
      </w:pPr>
      <w:r>
        <w:rPr>
          <w:rFonts w:ascii="Times New Roman"/>
          <w:b w:val="false"/>
          <w:i w:val="false"/>
          <w:color w:val="000000"/>
          <w:sz w:val="28"/>
        </w:rPr>
        <w:t>
      498. У судов с неповоротными насадками в районе крепления насадок следует устанавливать поперечные переборки или рамные связи.</w:t>
      </w:r>
    </w:p>
    <w:bookmarkEnd w:id="2074"/>
    <w:bookmarkStart w:name="z2080" w:id="2075"/>
    <w:p>
      <w:pPr>
        <w:spacing w:after="0"/>
        <w:ind w:left="0"/>
        <w:jc w:val="both"/>
      </w:pPr>
      <w:r>
        <w:rPr>
          <w:rFonts w:ascii="Times New Roman"/>
          <w:b w:val="false"/>
          <w:i w:val="false"/>
          <w:color w:val="000000"/>
          <w:sz w:val="28"/>
        </w:rPr>
        <w:t>
      499. В районах криволинейных участков корпуса (подъем днища, развал бортов) рекомендуется устанавливать набор под углом к наружной обшивке, близком к прямому.</w:t>
      </w:r>
    </w:p>
    <w:bookmarkEnd w:id="2075"/>
    <w:bookmarkStart w:name="z2081" w:id="2076"/>
    <w:p>
      <w:pPr>
        <w:spacing w:after="0"/>
        <w:ind w:left="0"/>
        <w:jc w:val="both"/>
      </w:pPr>
      <w:r>
        <w:rPr>
          <w:rFonts w:ascii="Times New Roman"/>
          <w:b w:val="false"/>
          <w:i w:val="false"/>
          <w:color w:val="000000"/>
          <w:sz w:val="28"/>
        </w:rPr>
        <w:t>
      500. На многовинтовых судах прочность и жесткость конструкций в районе крепления дейдвудной трубы, кронштейнов и мортир гребных валов является предметом специального рассмотрения Регистром судоходства.</w:t>
      </w:r>
    </w:p>
    <w:bookmarkEnd w:id="2076"/>
    <w:bookmarkStart w:name="z2082" w:id="2077"/>
    <w:p>
      <w:pPr>
        <w:spacing w:after="0"/>
        <w:ind w:left="0"/>
        <w:jc w:val="left"/>
      </w:pPr>
      <w:r>
        <w:rPr>
          <w:rFonts w:ascii="Times New Roman"/>
          <w:b/>
          <w:i w:val="false"/>
          <w:color w:val="000000"/>
        </w:rPr>
        <w:t xml:space="preserve"> Глава 23. Пиллерсы и распорные бимсы</w:t>
      </w:r>
    </w:p>
    <w:bookmarkEnd w:id="2077"/>
    <w:p>
      <w:pPr>
        <w:spacing w:after="0"/>
        <w:ind w:left="0"/>
        <w:jc w:val="both"/>
      </w:pPr>
      <w:r>
        <w:rPr>
          <w:rFonts w:ascii="Times New Roman"/>
          <w:b w:val="false"/>
          <w:i w:val="false"/>
          <w:color w:val="ff0000"/>
          <w:sz w:val="28"/>
        </w:rPr>
        <w:t xml:space="preserve">
      Сноска. Заголовок главы 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83" w:id="2078"/>
    <w:p>
      <w:pPr>
        <w:spacing w:after="0"/>
        <w:ind w:left="0"/>
        <w:jc w:val="left"/>
      </w:pPr>
      <w:r>
        <w:rPr>
          <w:rFonts w:ascii="Times New Roman"/>
          <w:b/>
          <w:i w:val="false"/>
          <w:color w:val="000000"/>
        </w:rPr>
        <w:t xml:space="preserve"> Параграф 1. Общие положения и конструкция</w:t>
      </w:r>
    </w:p>
    <w:bookmarkEnd w:id="2078"/>
    <w:bookmarkStart w:name="z2084" w:id="2079"/>
    <w:p>
      <w:pPr>
        <w:spacing w:after="0"/>
        <w:ind w:left="0"/>
        <w:jc w:val="both"/>
      </w:pPr>
      <w:r>
        <w:rPr>
          <w:rFonts w:ascii="Times New Roman"/>
          <w:b w:val="false"/>
          <w:i w:val="false"/>
          <w:color w:val="000000"/>
          <w:sz w:val="28"/>
        </w:rPr>
        <w:t>
      501. В главе приводятся требования к размерам пиллерсов, устанавливаемых в корпусе, надстройках и рубках, и к распорным бимсам в пиках.</w:t>
      </w:r>
    </w:p>
    <w:bookmarkEnd w:id="2079"/>
    <w:bookmarkStart w:name="z2085" w:id="2080"/>
    <w:p>
      <w:pPr>
        <w:spacing w:after="0"/>
        <w:ind w:left="0"/>
        <w:jc w:val="both"/>
      </w:pPr>
      <w:r>
        <w:rPr>
          <w:rFonts w:ascii="Times New Roman"/>
          <w:b w:val="false"/>
          <w:i w:val="false"/>
          <w:color w:val="000000"/>
          <w:sz w:val="28"/>
        </w:rPr>
        <w:t>
      В настоящей главе приняты следующие обозначения:</w:t>
      </w:r>
    </w:p>
    <w:bookmarkEnd w:id="208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пиллерса (распорного бимса), м, измеренная: для пиллерса — между свободным пояском карлингса (или рамного бимса, если пиллерс поддерживает рамный бимс) и настилом палубы (или второго дна); для распорного бимса — между внутренними кромками шпангоутов левого и правого борта или от внутренней кромки шпангоута до прочной опоры в диаметральной плоскости судна;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поперечного сечения пиллерса (распорного бимса),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наименьший момент инерции поперечного сечения пиллерса (распорного бимса),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наружный диаметр пиллерса, мм.</w:t>
      </w:r>
    </w:p>
    <w:bookmarkStart w:name="z2086" w:id="2081"/>
    <w:p>
      <w:pPr>
        <w:spacing w:after="0"/>
        <w:ind w:left="0"/>
        <w:jc w:val="both"/>
      </w:pPr>
      <w:r>
        <w:rPr>
          <w:rFonts w:ascii="Times New Roman"/>
          <w:b w:val="false"/>
          <w:i w:val="false"/>
          <w:color w:val="000000"/>
          <w:sz w:val="28"/>
        </w:rPr>
        <w:t>
      502. Как правило, оси пиллерсов в междупалубных помещениях и трюмах располагаются на одной вертикали, концы пиллерсов подкрепляются кницами.</w:t>
      </w:r>
    </w:p>
    <w:bookmarkEnd w:id="2081"/>
    <w:bookmarkStart w:name="z2087" w:id="2082"/>
    <w:p>
      <w:pPr>
        <w:spacing w:after="0"/>
        <w:ind w:left="0"/>
        <w:jc w:val="both"/>
      </w:pPr>
      <w:r>
        <w:rPr>
          <w:rFonts w:ascii="Times New Roman"/>
          <w:b w:val="false"/>
          <w:i w:val="false"/>
          <w:color w:val="000000"/>
          <w:sz w:val="28"/>
        </w:rPr>
        <w:t xml:space="preserve">
      Если нижний конец трубчатого пиллерса при нагрузке </w:t>
      </w:r>
      <w:r>
        <w:rPr>
          <w:rFonts w:ascii="Times New Roman"/>
          <w:b w:val="false"/>
          <w:i/>
          <w:color w:val="000000"/>
          <w:sz w:val="28"/>
        </w:rPr>
        <w:t>P</w:t>
      </w:r>
      <w:r>
        <w:rPr>
          <w:rFonts w:ascii="Times New Roman"/>
          <w:b w:val="false"/>
          <w:i w:val="false"/>
          <w:color w:val="000000"/>
          <w:sz w:val="28"/>
        </w:rPr>
        <w:t xml:space="preserve"> &lt; 250 кН не имеет книц, настил палубы (второго дна) под ним усиливается установкой накладного или утолщенного вварного листа (</w:t>
      </w:r>
      <w:r>
        <w:rPr>
          <w:rFonts w:ascii="Times New Roman"/>
          <w:b w:val="false"/>
          <w:i/>
          <w:color w:val="000000"/>
          <w:sz w:val="28"/>
        </w:rPr>
        <w:t>P</w:t>
      </w:r>
      <w:r>
        <w:rPr>
          <w:rFonts w:ascii="Times New Roman"/>
          <w:b w:val="false"/>
          <w:i w:val="false"/>
          <w:color w:val="000000"/>
          <w:sz w:val="28"/>
        </w:rPr>
        <w:t xml:space="preserve"> — согласно пункту 505 настоящих Правил).</w:t>
      </w:r>
    </w:p>
    <w:bookmarkEnd w:id="2082"/>
    <w:bookmarkStart w:name="z2088" w:id="2083"/>
    <w:p>
      <w:pPr>
        <w:spacing w:after="0"/>
        <w:ind w:left="0"/>
        <w:jc w:val="both"/>
      </w:pPr>
      <w:r>
        <w:rPr>
          <w:rFonts w:ascii="Times New Roman"/>
          <w:b w:val="false"/>
          <w:i w:val="false"/>
          <w:color w:val="000000"/>
          <w:sz w:val="28"/>
        </w:rPr>
        <w:t>
      Стенка балки набора, к которой крепится верхний конец пиллерса, подкрепляется кницами, чтобы обеспечить передачу нагрузки на пиллерс.</w:t>
      </w:r>
    </w:p>
    <w:bookmarkEnd w:id="2083"/>
    <w:bookmarkStart w:name="z2089" w:id="2084"/>
    <w:p>
      <w:pPr>
        <w:spacing w:after="0"/>
        <w:ind w:left="0"/>
        <w:jc w:val="both"/>
      </w:pPr>
      <w:r>
        <w:rPr>
          <w:rFonts w:ascii="Times New Roman"/>
          <w:b w:val="false"/>
          <w:i w:val="false"/>
          <w:color w:val="000000"/>
          <w:sz w:val="28"/>
        </w:rPr>
        <w:t>
      503. Пиллерсы устанавливаются на сплошные флоры и стрингеры, которые подкрепляют вертикальными бракетами. Вырезы во флорах и стрингерах под пиллерсами не допускаются.</w:t>
      </w:r>
    </w:p>
    <w:bookmarkEnd w:id="2084"/>
    <w:bookmarkStart w:name="z2090" w:id="2085"/>
    <w:p>
      <w:pPr>
        <w:spacing w:after="0"/>
        <w:ind w:left="0"/>
        <w:jc w:val="both"/>
      </w:pPr>
      <w:r>
        <w:rPr>
          <w:rFonts w:ascii="Times New Roman"/>
          <w:b w:val="false"/>
          <w:i w:val="false"/>
          <w:color w:val="000000"/>
          <w:sz w:val="28"/>
        </w:rPr>
        <w:t xml:space="preserve">
      При нагрузке </w:t>
      </w:r>
      <w:r>
        <w:rPr>
          <w:rFonts w:ascii="Times New Roman"/>
          <w:b w:val="false"/>
          <w:i/>
          <w:color w:val="000000"/>
          <w:sz w:val="28"/>
        </w:rPr>
        <w:t>Р</w:t>
      </w:r>
      <w:r>
        <w:rPr>
          <w:rFonts w:ascii="Times New Roman"/>
          <w:b w:val="false"/>
          <w:i w:val="false"/>
          <w:color w:val="000000"/>
          <w:sz w:val="28"/>
        </w:rPr>
        <w:t xml:space="preserve"> &gt; 250 кН (</w:t>
      </w:r>
      <w:r>
        <w:rPr>
          <w:rFonts w:ascii="Times New Roman"/>
          <w:b w:val="false"/>
          <w:i/>
          <w:color w:val="000000"/>
          <w:sz w:val="28"/>
        </w:rPr>
        <w:t>Р</w:t>
      </w:r>
      <w:r>
        <w:rPr>
          <w:rFonts w:ascii="Times New Roman"/>
          <w:b w:val="false"/>
          <w:i w:val="false"/>
          <w:color w:val="000000"/>
          <w:sz w:val="28"/>
        </w:rPr>
        <w:t xml:space="preserve"> — согласно пункту 505 настоящих Правил) пиллерсы устанавливаются на пересечении сплошных флоров и стрингеров, либо флор (стрингер) в месте установки пиллерса подкрепляется вертикальными бракетами, соединенными с соседними флорами (стрингерами).</w:t>
      </w:r>
    </w:p>
    <w:bookmarkEnd w:id="2085"/>
    <w:bookmarkStart w:name="z2091" w:id="2086"/>
    <w:p>
      <w:pPr>
        <w:spacing w:after="0"/>
        <w:ind w:left="0"/>
        <w:jc w:val="both"/>
      </w:pPr>
      <w:r>
        <w:rPr>
          <w:rFonts w:ascii="Times New Roman"/>
          <w:b w:val="false"/>
          <w:i w:val="false"/>
          <w:color w:val="000000"/>
          <w:sz w:val="28"/>
        </w:rPr>
        <w:t>
      504. Концы пиллерсов крепятся кницами или иными одобренными Регистром судоходства конструкциями, обеспечивающими надежную передачу усилий на нижележащие конструкции корпуса:</w:t>
      </w:r>
    </w:p>
    <w:bookmarkEnd w:id="2086"/>
    <w:bookmarkStart w:name="z2092" w:id="2087"/>
    <w:p>
      <w:pPr>
        <w:spacing w:after="0"/>
        <w:ind w:left="0"/>
        <w:jc w:val="both"/>
      </w:pPr>
      <w:r>
        <w:rPr>
          <w:rFonts w:ascii="Times New Roman"/>
          <w:b w:val="false"/>
          <w:i w:val="false"/>
          <w:color w:val="000000"/>
          <w:sz w:val="28"/>
        </w:rPr>
        <w:t>
      в цистернах, под водонепроницаемыми платформами, палубными рубками, концевыми переборками надстроек, брашпилями, лебедками, шпилями;</w:t>
      </w:r>
    </w:p>
    <w:bookmarkEnd w:id="2087"/>
    <w:bookmarkStart w:name="z2093" w:id="2088"/>
    <w:p>
      <w:pPr>
        <w:spacing w:after="0"/>
        <w:ind w:left="0"/>
        <w:jc w:val="both"/>
      </w:pPr>
      <w:r>
        <w:rPr>
          <w:rFonts w:ascii="Times New Roman"/>
          <w:b w:val="false"/>
          <w:i w:val="false"/>
          <w:color w:val="000000"/>
          <w:sz w:val="28"/>
        </w:rPr>
        <w:t xml:space="preserve">
      в носовой оконечности судов, имеющих спецификационную скорость </w:t>
      </w:r>
    </w:p>
    <w:bookmarkEnd w:id="2088"/>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&gt; 1,5</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значительный развал шпангоутов в носу.</w:t>
      </w:r>
      <w:r>
        <w:br/>
      </w:r>
      <w:r>
        <w:rPr>
          <w:rFonts w:ascii="Times New Roman"/>
          <w:b w:val="false"/>
          <w:i w:val="false"/>
          <w:color w:val="000000"/>
          <w:sz w:val="28"/>
        </w:rPr>
        <w:t>
</w:t>
      </w:r>
    </w:p>
    <w:bookmarkStart w:name="z2094" w:id="2089"/>
    <w:p>
      <w:pPr>
        <w:spacing w:after="0"/>
        <w:ind w:left="0"/>
        <w:jc w:val="left"/>
      </w:pPr>
      <w:r>
        <w:rPr>
          <w:rFonts w:ascii="Times New Roman"/>
          <w:b/>
          <w:i w:val="false"/>
          <w:color w:val="000000"/>
        </w:rPr>
        <w:t xml:space="preserve"> Параграф 2. Расчетные нагрузки</w:t>
      </w:r>
    </w:p>
    <w:bookmarkEnd w:id="2089"/>
    <w:bookmarkStart w:name="z2095" w:id="2090"/>
    <w:p>
      <w:pPr>
        <w:spacing w:after="0"/>
        <w:ind w:left="0"/>
        <w:jc w:val="both"/>
      </w:pPr>
      <w:r>
        <w:rPr>
          <w:rFonts w:ascii="Times New Roman"/>
          <w:b w:val="false"/>
          <w:i w:val="false"/>
          <w:color w:val="000000"/>
          <w:sz w:val="28"/>
        </w:rPr>
        <w:t xml:space="preserve">
      505. Нагрузка на пиллерс </w:t>
      </w:r>
      <w:r>
        <w:rPr>
          <w:rFonts w:ascii="Times New Roman"/>
          <w:b w:val="false"/>
          <w:i/>
          <w:color w:val="000000"/>
          <w:sz w:val="28"/>
        </w:rPr>
        <w:t>Р</w:t>
      </w:r>
      <w:r>
        <w:rPr>
          <w:rFonts w:ascii="Times New Roman"/>
          <w:b w:val="false"/>
          <w:i w:val="false"/>
          <w:color w:val="000000"/>
          <w:sz w:val="28"/>
        </w:rPr>
        <w:t>, кН, определяется по формуле:</w:t>
      </w:r>
    </w:p>
    <w:bookmarkEnd w:id="2090"/>
    <w:p>
      <w:pPr>
        <w:spacing w:after="0"/>
        <w:ind w:left="0"/>
        <w:jc w:val="both"/>
      </w:pPr>
      <w:r>
        <w:rPr>
          <w:rFonts w:ascii="Times New Roman"/>
          <w:b w:val="false"/>
          <w:i w:val="false"/>
          <w:color w:val="000000"/>
          <w:sz w:val="28"/>
        </w:rPr>
        <w:t>
      Р = pl</w:t>
      </w:r>
      <w:r>
        <w:rPr>
          <w:rFonts w:ascii="Times New Roman"/>
          <w:b w:val="false"/>
          <w:i w:val="false"/>
          <w:color w:val="000000"/>
          <w:vertAlign w:val="subscript"/>
        </w:rPr>
        <w:t>m</w:t>
      </w:r>
      <w:r>
        <w:rPr>
          <w:rFonts w:ascii="Times New Roman"/>
          <w:b w:val="false"/>
          <w:i w:val="false"/>
          <w:color w:val="000000"/>
          <w:sz w:val="28"/>
        </w:rPr>
        <w:t>b</w:t>
      </w:r>
      <w:r>
        <w:rPr>
          <w:rFonts w:ascii="Times New Roman"/>
          <w:b w:val="false"/>
          <w:i w:val="false"/>
          <w:color w:val="000000"/>
          <w:vertAlign w:val="subscript"/>
        </w:rPr>
        <w:t>m</w:t>
      </w:r>
      <w:r>
        <w:rPr>
          <w:rFonts w:ascii="Times New Roman"/>
          <w:b w:val="false"/>
          <w:i w:val="false"/>
          <w:color w:val="000000"/>
          <w:sz w:val="28"/>
        </w:rPr>
        <w:t xml:space="preserve"> + </w:t>
      </w:r>
    </w:p>
    <w:p>
      <w:pPr>
        <w:spacing w:after="0"/>
        <w:ind w:left="0"/>
        <w:jc w:val="both"/>
      </w:pPr>
      <w:r>
        <w:drawing>
          <wp:inline distT="0" distB="0" distL="0" distR="0">
            <wp:extent cx="99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990600" cy="393700"/>
                    </a:xfrm>
                    <a:prstGeom prst="rect">
                      <a:avLst/>
                    </a:prstGeom>
                  </pic:spPr>
                </pic:pic>
              </a:graphicData>
            </a:graphic>
          </wp:inline>
        </w:drawing>
      </w:r>
    </w:p>
    <w:p>
      <w:pPr>
        <w:spacing w:after="0"/>
        <w:ind w:left="0"/>
        <w:jc w:val="left"/>
      </w:pPr>
      <w:r>
        <w:rPr>
          <w:rFonts w:ascii="Times New Roman"/>
          <w:b w:val="false"/>
          <w:i w:val="false"/>
          <w:color w:val="000000"/>
          <w:sz w:val="28"/>
        </w:rPr>
        <w:t>,             (147)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—расчетное давление на вышележащую палубу согласно параграфу 2 главы 20 настоящих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w:t>
      </w:r>
      <w:r>
        <w:rPr>
          <w:rFonts w:ascii="Times New Roman"/>
          <w:b w:val="false"/>
          <w:i w:val="false"/>
          <w:color w:val="000000"/>
          <w:sz w:val="28"/>
        </w:rPr>
        <w:t xml:space="preserve"> — расстояние, измеренное вдоль карлингсов между серединами их пролетов,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m</w:t>
      </w:r>
      <w:r>
        <w:rPr>
          <w:rFonts w:ascii="Times New Roman"/>
          <w:b w:val="false"/>
          <w:i w:val="false"/>
          <w:color w:val="000000"/>
          <w:sz w:val="28"/>
        </w:rPr>
        <w:t xml:space="preserve"> — средняя ширина площади палубы, поддерживаемой пиллерсом, включая грузовые люки, расположенные в рассматриваемом районе,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(pl</w:t>
      </w:r>
      <w:r>
        <w:rPr>
          <w:rFonts w:ascii="Times New Roman"/>
          <w:b w:val="false"/>
          <w:i w:val="false"/>
          <w:color w:val="000000"/>
          <w:vertAlign w:val="subscript"/>
        </w:rPr>
        <w:t>m</w:t>
      </w:r>
      <w:r>
        <w:rPr>
          <w:rFonts w:ascii="Times New Roman"/>
          <w:b w:val="false"/>
          <w:i w:val="false"/>
          <w:color w:val="000000"/>
          <w:sz w:val="28"/>
        </w:rPr>
        <w:t>b</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сумма нагрузок от расположенных выше пиллерсов, определенных с учетом параграфа 2 главы 20 настоящих Правил, которые передаются на рассматриваемый пиллерс, кН.</w:t>
      </w:r>
      <w:r>
        <w:br/>
      </w:r>
      <w:r>
        <w:rPr>
          <w:rFonts w:ascii="Times New Roman"/>
          <w:b w:val="false"/>
          <w:i w:val="false"/>
          <w:color w:val="000000"/>
          <w:sz w:val="28"/>
        </w:rPr>
        <w:t>
</w:t>
      </w:r>
    </w:p>
    <w:bookmarkStart w:name="z2096" w:id="2091"/>
    <w:p>
      <w:pPr>
        <w:spacing w:after="0"/>
        <w:ind w:left="0"/>
        <w:jc w:val="both"/>
      </w:pPr>
      <w:r>
        <w:rPr>
          <w:rFonts w:ascii="Times New Roman"/>
          <w:b w:val="false"/>
          <w:i w:val="false"/>
          <w:color w:val="000000"/>
          <w:sz w:val="28"/>
        </w:rPr>
        <w:t>
      506. Нагрузка на распорный бимс Р, кН, определяется по формуле:</w:t>
      </w:r>
    </w:p>
    <w:bookmarkEnd w:id="209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                          (148)</w:t>
      </w:r>
    </w:p>
    <w:p>
      <w:pPr>
        <w:spacing w:after="0"/>
        <w:ind w:left="0"/>
        <w:jc w:val="both"/>
      </w:pPr>
      <w:r>
        <w:rPr>
          <w:rFonts w:ascii="Times New Roman"/>
          <w:b w:val="false"/>
          <w:i w:val="false"/>
          <w:color w:val="000000"/>
          <w:sz w:val="28"/>
        </w:rPr>
        <w:t>
      где р = p</w:t>
      </w:r>
      <w:r>
        <w:rPr>
          <w:rFonts w:ascii="Times New Roman"/>
          <w:b w:val="false"/>
          <w:i w:val="false"/>
          <w:color w:val="000000"/>
          <w:vertAlign w:val="subscript"/>
        </w:rPr>
        <w:t>st</w:t>
      </w:r>
      <w:r>
        <w:rPr>
          <w:rFonts w:ascii="Times New Roman"/>
          <w:b w:val="false"/>
          <w:i w:val="false"/>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расчетное давление на борт судна в месте расположения распорного бимса, определяемое согласно пунктов 170 и 171 настоящих Правил, кПа;</w:t>
      </w:r>
    </w:p>
    <w:p>
      <w:pPr>
        <w:spacing w:after="0"/>
        <w:ind w:left="0"/>
        <w:jc w:val="both"/>
      </w:pPr>
      <w:r>
        <w:rPr>
          <w:rFonts w:ascii="Times New Roman"/>
          <w:b w:val="false"/>
          <w:i w:val="false"/>
          <w:color w:val="000000"/>
          <w:sz w:val="28"/>
        </w:rPr>
        <w:t>
      а — расстояние между шпангоутами, на которых устанавливаются распорные бимсы, м;</w:t>
      </w:r>
    </w:p>
    <w:p>
      <w:pPr>
        <w:spacing w:after="0"/>
        <w:ind w:left="0"/>
        <w:jc w:val="both"/>
      </w:pPr>
      <w:r>
        <w:rPr>
          <w:rFonts w:ascii="Times New Roman"/>
          <w:b w:val="false"/>
          <w:i w:val="false"/>
          <w:color w:val="000000"/>
          <w:sz w:val="28"/>
        </w:rPr>
        <w:t>
      с — полусумма пролетов шпангоута, измеренных по вертикали, примыкающих сверху и снизу к рассматриваемому бимсу, м.</w:t>
      </w:r>
    </w:p>
    <w:bookmarkStart w:name="z2097" w:id="2092"/>
    <w:p>
      <w:pPr>
        <w:spacing w:after="0"/>
        <w:ind w:left="0"/>
        <w:jc w:val="left"/>
      </w:pPr>
      <w:r>
        <w:rPr>
          <w:rFonts w:ascii="Times New Roman"/>
          <w:b/>
          <w:i w:val="false"/>
          <w:color w:val="000000"/>
        </w:rPr>
        <w:t xml:space="preserve"> Параграф 3. Размеры пиллерсов и распорных бимсов</w:t>
      </w:r>
    </w:p>
    <w:bookmarkEnd w:id="2092"/>
    <w:bookmarkStart w:name="z2098" w:id="2093"/>
    <w:p>
      <w:pPr>
        <w:spacing w:after="0"/>
        <w:ind w:left="0"/>
        <w:jc w:val="both"/>
      </w:pPr>
      <w:r>
        <w:rPr>
          <w:rFonts w:ascii="Times New Roman"/>
          <w:b w:val="false"/>
          <w:i w:val="false"/>
          <w:color w:val="000000"/>
          <w:sz w:val="28"/>
        </w:rPr>
        <w:t xml:space="preserve">
      507. Площадь поперечного сечения пиллерсов и распорных бимсов </w:t>
      </w:r>
    </w:p>
    <w:bookmarkEnd w:id="2093"/>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равна не менее определяемой методом последовательных приближений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w:t>
      </w:r>
      <w:r>
        <w:rPr>
          <w:rFonts w:ascii="Times New Roman"/>
          <w:b w:val="false"/>
          <w:i/>
          <w:color w:val="000000"/>
          <w:sz w:val="28"/>
        </w:rPr>
        <w:t>kP</w:t>
      </w:r>
      <w:r>
        <w:rPr>
          <w:rFonts w:ascii="Times New Roman"/>
          <w:b w:val="false"/>
          <w:i w:val="false"/>
          <w:color w:val="000000"/>
          <w:sz w:val="28"/>
        </w:rPr>
        <w:t>/</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cr </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(149)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согласно параграфу 2 главы 23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2 —коэффициент запаса устойчивости;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критические напряжения согласно пункту 254 настоящих Правил при эйлеровых напряжениях, вычисляемых по формуле:</w:t>
      </w:r>
      <w:r>
        <w:br/>
      </w:r>
      <w:r>
        <w:rPr>
          <w:rFonts w:ascii="Times New Roman"/>
          <w:b w:val="false"/>
          <w:i w:val="false"/>
          <w:color w:val="000000"/>
          <w:sz w:val="28"/>
        </w:rPr>
        <w:t>
</w:t>
      </w:r>
      <w:r>
        <w:br/>
      </w:r>
    </w:p>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надбавки на износ, см</w:t>
      </w:r>
      <w:r>
        <w:rPr>
          <w:rFonts w:ascii="Times New Roman"/>
          <w:b w:val="false"/>
          <w:i w:val="false"/>
          <w:color w:val="000000"/>
          <w:vertAlign w:val="superscript"/>
        </w:rPr>
        <w:t>2</w:t>
      </w:r>
      <w:r>
        <w:rPr>
          <w:rFonts w:ascii="Times New Roman"/>
          <w:b w:val="false"/>
          <w:i w:val="false"/>
          <w:color w:val="000000"/>
          <w:sz w:val="28"/>
        </w:rPr>
        <w:t>, определяемые по следующим формулам: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трубчатых пиллерсов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0,03d</w:t>
      </w: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коробчатых пиллерсов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hi — длина периметра поперечного сечения,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пиллерсов и распорных бимсов составного профиля (двутавровых, из швеллеров)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0,05</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—пункт 139 настоящих Правил.</w:t>
      </w:r>
      <w:r>
        <w:br/>
      </w:r>
      <w:r>
        <w:rPr>
          <w:rFonts w:ascii="Times New Roman"/>
          <w:b w:val="false"/>
          <w:i w:val="false"/>
          <w:color w:val="000000"/>
          <w:sz w:val="28"/>
        </w:rPr>
        <w:t>
</w:t>
      </w:r>
    </w:p>
    <w:bookmarkStart w:name="z2099" w:id="2094"/>
    <w:p>
      <w:pPr>
        <w:spacing w:after="0"/>
        <w:ind w:left="0"/>
        <w:jc w:val="both"/>
      </w:pPr>
      <w:r>
        <w:rPr>
          <w:rFonts w:ascii="Times New Roman"/>
          <w:b w:val="false"/>
          <w:i w:val="false"/>
          <w:color w:val="000000"/>
          <w:sz w:val="28"/>
        </w:rPr>
        <w:t>
      508. Толщина стенок трубчатых пиллерсов s, мм, принимается не менее определяемой по формуле:</w:t>
      </w:r>
    </w:p>
    <w:bookmarkEnd w:id="2094"/>
    <w:p>
      <w:pPr>
        <w:spacing w:after="0"/>
        <w:ind w:left="0"/>
        <w:jc w:val="both"/>
      </w:pPr>
      <w:r>
        <w:rPr>
          <w:rFonts w:ascii="Times New Roman"/>
          <w:b w:val="false"/>
          <w:i w:val="false"/>
          <w:color w:val="000000"/>
          <w:sz w:val="28"/>
        </w:rPr>
        <w:t>
                                    s = (d</w:t>
      </w:r>
      <w:r>
        <w:rPr>
          <w:rFonts w:ascii="Times New Roman"/>
          <w:b w:val="false"/>
          <w:i w:val="false"/>
          <w:color w:val="000000"/>
          <w:vertAlign w:val="subscript"/>
        </w:rPr>
        <w:t>0</w:t>
      </w:r>
      <w:r>
        <w:rPr>
          <w:rFonts w:ascii="Times New Roman"/>
          <w:b w:val="false"/>
          <w:i w:val="false"/>
          <w:color w:val="000000"/>
          <w:sz w:val="28"/>
        </w:rPr>
        <w:t>/50) + 3,5.                 (150)</w:t>
      </w:r>
    </w:p>
    <w:bookmarkStart w:name="z2100" w:id="2095"/>
    <w:p>
      <w:pPr>
        <w:spacing w:after="0"/>
        <w:ind w:left="0"/>
        <w:jc w:val="both"/>
      </w:pPr>
      <w:r>
        <w:rPr>
          <w:rFonts w:ascii="Times New Roman"/>
          <w:b w:val="false"/>
          <w:i w:val="false"/>
          <w:color w:val="000000"/>
          <w:sz w:val="28"/>
        </w:rPr>
        <w:t xml:space="preserve">
      Толщина стенок пиллерсов составного профиля (коробчатых, из швеллеров или двутавровых) </w:t>
      </w:r>
      <w:r>
        <w:rPr>
          <w:rFonts w:ascii="Times New Roman"/>
          <w:b w:val="false"/>
          <w:i/>
          <w:color w:val="000000"/>
          <w:sz w:val="28"/>
        </w:rPr>
        <w:t>s</w:t>
      </w:r>
      <w:r>
        <w:rPr>
          <w:rFonts w:ascii="Times New Roman"/>
          <w:b w:val="false"/>
          <w:i w:val="false"/>
          <w:color w:val="000000"/>
          <w:sz w:val="28"/>
        </w:rPr>
        <w:t>, мм, равна не менее определяемой по формуле:</w:t>
      </w:r>
    </w:p>
    <w:bookmarkEnd w:id="2095"/>
    <w:p>
      <w:pPr>
        <w:spacing w:after="0"/>
        <w:ind w:left="0"/>
        <w:jc w:val="both"/>
      </w:pPr>
      <w:r>
        <w:rPr>
          <w:rFonts w:ascii="Times New Roman"/>
          <w:b w:val="false"/>
          <w:i w:val="false"/>
          <w:color w:val="000000"/>
          <w:sz w:val="28"/>
        </w:rPr>
        <w:t xml:space="preserve">
                                    s = </w:t>
      </w:r>
      <w:r>
        <w:rPr>
          <w:rFonts w:ascii="Times New Roman"/>
          <w:b w:val="false"/>
          <w:i/>
          <w:color w:val="000000"/>
          <w:sz w:val="28"/>
        </w:rPr>
        <w:t>h</w:t>
      </w:r>
      <w:r>
        <w:rPr>
          <w:rFonts w:ascii="Times New Roman"/>
          <w:b w:val="false"/>
          <w:i w:val="false"/>
          <w:color w:val="000000"/>
          <w:vertAlign w:val="subscript"/>
        </w:rPr>
        <w:t>п</w:t>
      </w:r>
      <w:r>
        <w:rPr>
          <w:rFonts w:ascii="Times New Roman"/>
          <w:b w:val="false"/>
          <w:i w:val="false"/>
          <w:color w:val="000000"/>
          <w:sz w:val="28"/>
        </w:rPr>
        <w:t>/50,                         (151)</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п</w:t>
      </w:r>
      <w:r>
        <w:rPr>
          <w:rFonts w:ascii="Times New Roman"/>
          <w:b w:val="false"/>
          <w:i w:val="false"/>
          <w:color w:val="000000"/>
          <w:sz w:val="28"/>
        </w:rPr>
        <w:t xml:space="preserve"> — высота стенки профиля, мм.</w:t>
      </w:r>
    </w:p>
    <w:bookmarkStart w:name="z2101" w:id="2096"/>
    <w:p>
      <w:pPr>
        <w:spacing w:after="0"/>
        <w:ind w:left="0"/>
        <w:jc w:val="both"/>
      </w:pPr>
      <w:r>
        <w:rPr>
          <w:rFonts w:ascii="Times New Roman"/>
          <w:b w:val="false"/>
          <w:i w:val="false"/>
          <w:color w:val="000000"/>
          <w:sz w:val="28"/>
        </w:rPr>
        <w:t>
      Толщина стенки пиллерса, как правило, не менее 6 мм.</w:t>
      </w:r>
    </w:p>
    <w:bookmarkEnd w:id="2096"/>
    <w:bookmarkStart w:name="z2102" w:id="2097"/>
    <w:p>
      <w:pPr>
        <w:spacing w:after="0"/>
        <w:ind w:left="0"/>
        <w:jc w:val="both"/>
      </w:pPr>
      <w:r>
        <w:rPr>
          <w:rFonts w:ascii="Times New Roman"/>
          <w:b w:val="false"/>
          <w:i w:val="false"/>
          <w:color w:val="000000"/>
          <w:sz w:val="28"/>
        </w:rPr>
        <w:t>
      На малых судах по согласованию с Регистром судоходства допускается уменьшение толщины стенок пиллерсов до 5 мм при сохранении требуемой площади поперечного сечения.</w:t>
      </w:r>
    </w:p>
    <w:bookmarkEnd w:id="2097"/>
    <w:bookmarkStart w:name="z2103" w:id="2098"/>
    <w:p>
      <w:pPr>
        <w:spacing w:after="0"/>
        <w:ind w:left="0"/>
        <w:jc w:val="left"/>
      </w:pPr>
      <w:r>
        <w:rPr>
          <w:rFonts w:ascii="Times New Roman"/>
          <w:b/>
          <w:i w:val="false"/>
          <w:color w:val="000000"/>
        </w:rPr>
        <w:t xml:space="preserve"> Глава 24. Штевни, кили, кронштейны руля и гребного вала, неповоротные насадки гребного винта</w:t>
      </w:r>
    </w:p>
    <w:bookmarkEnd w:id="2098"/>
    <w:p>
      <w:pPr>
        <w:spacing w:after="0"/>
        <w:ind w:left="0"/>
        <w:jc w:val="both"/>
      </w:pPr>
      <w:r>
        <w:rPr>
          <w:rFonts w:ascii="Times New Roman"/>
          <w:b w:val="false"/>
          <w:i w:val="false"/>
          <w:color w:val="ff0000"/>
          <w:sz w:val="28"/>
        </w:rPr>
        <w:t xml:space="preserve">
      Сноска. Заголовок главы 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4" w:id="2099"/>
    <w:p>
      <w:pPr>
        <w:spacing w:after="0"/>
        <w:ind w:left="0"/>
        <w:jc w:val="left"/>
      </w:pPr>
      <w:r>
        <w:rPr>
          <w:rFonts w:ascii="Times New Roman"/>
          <w:b/>
          <w:i w:val="false"/>
          <w:color w:val="000000"/>
        </w:rPr>
        <w:t xml:space="preserve"> Параграф 1. Общие положения, конструкция</w:t>
      </w:r>
    </w:p>
    <w:bookmarkEnd w:id="2099"/>
    <w:bookmarkStart w:name="z2105" w:id="2100"/>
    <w:p>
      <w:pPr>
        <w:spacing w:after="0"/>
        <w:ind w:left="0"/>
        <w:jc w:val="both"/>
      </w:pPr>
      <w:r>
        <w:rPr>
          <w:rFonts w:ascii="Times New Roman"/>
          <w:b w:val="false"/>
          <w:i w:val="false"/>
          <w:color w:val="000000"/>
          <w:sz w:val="28"/>
        </w:rPr>
        <w:t>
      509. В главе приводятся требования к конструкции и размерам форштевня, ахтерштевня (рудерпоста, старнпоста), подошвы ахтерштевня, кронштейнов полуподвесного руля и гребных валов, брускового киля, неповоротной насадки гребного винта.</w:t>
      </w:r>
    </w:p>
    <w:bookmarkEnd w:id="2100"/>
    <w:bookmarkStart w:name="z2106" w:id="2101"/>
    <w:p>
      <w:pPr>
        <w:spacing w:after="0"/>
        <w:ind w:left="0"/>
        <w:jc w:val="both"/>
      </w:pPr>
      <w:r>
        <w:rPr>
          <w:rFonts w:ascii="Times New Roman"/>
          <w:b w:val="false"/>
          <w:i w:val="false"/>
          <w:color w:val="000000"/>
          <w:sz w:val="28"/>
        </w:rPr>
        <w:t>
      510. Рекомендуется использовать брусковый или листовой форштевень сварной конструкции. В нижней части форштевень соединяется с брусковым или горизонтальным килем и по возможности с вертикальным килем.</w:t>
      </w:r>
    </w:p>
    <w:bookmarkEnd w:id="2101"/>
    <w:bookmarkStart w:name="z2107" w:id="2102"/>
    <w:p>
      <w:pPr>
        <w:spacing w:after="0"/>
        <w:ind w:left="0"/>
        <w:jc w:val="both"/>
      </w:pPr>
      <w:r>
        <w:rPr>
          <w:rFonts w:ascii="Times New Roman"/>
          <w:b w:val="false"/>
          <w:i w:val="false"/>
          <w:color w:val="000000"/>
          <w:sz w:val="28"/>
        </w:rPr>
        <w:t>
      Листовая часть сварного форштевня должна быть подкреплена поперечными бракетами. Необходимо чтобы расположение бракет по высоте форштевня было согласовано с набором корпуса. Поперечные бракеты, подкрепляющие листовой форштевень, устанавливаются не реже чем через 1 м ниже летней грузовой ватерлинии и не реже чем через 1,5 м выше ее. Бракеты по длине перекрывают стыковые соединения форштевня с наружной обшивкой, доводится до ближайших шпангоутов и приваривается к ним.</w:t>
      </w:r>
    </w:p>
    <w:bookmarkEnd w:id="2102"/>
    <w:bookmarkStart w:name="z2108" w:id="2103"/>
    <w:p>
      <w:pPr>
        <w:spacing w:after="0"/>
        <w:ind w:left="0"/>
        <w:jc w:val="both"/>
      </w:pPr>
      <w:r>
        <w:rPr>
          <w:rFonts w:ascii="Times New Roman"/>
          <w:b w:val="false"/>
          <w:i w:val="false"/>
          <w:color w:val="000000"/>
          <w:sz w:val="28"/>
        </w:rPr>
        <w:t>
      Отдельные бракеты, которые не доводят до набора, за исключением бракет в районе ледового пояса на судах с ледовыми усилениями, имеют заднюю кромку, образованную по плавной кривой.</w:t>
      </w:r>
    </w:p>
    <w:bookmarkEnd w:id="2103"/>
    <w:bookmarkStart w:name="z2109" w:id="2104"/>
    <w:p>
      <w:pPr>
        <w:spacing w:after="0"/>
        <w:ind w:left="0"/>
        <w:jc w:val="both"/>
      </w:pPr>
      <w:r>
        <w:rPr>
          <w:rFonts w:ascii="Times New Roman"/>
          <w:b w:val="false"/>
          <w:i w:val="false"/>
          <w:color w:val="000000"/>
          <w:sz w:val="28"/>
        </w:rPr>
        <w:t>
      При достаточно большом радиусе закругления форштевня рекомендуется в его диаметральной плоскости устанавливать ребро жесткости со свободным пояском.</w:t>
      </w:r>
    </w:p>
    <w:bookmarkEnd w:id="2104"/>
    <w:bookmarkStart w:name="z2110" w:id="2105"/>
    <w:p>
      <w:pPr>
        <w:spacing w:after="0"/>
        <w:ind w:left="0"/>
        <w:jc w:val="both"/>
      </w:pPr>
      <w:r>
        <w:rPr>
          <w:rFonts w:ascii="Times New Roman"/>
          <w:b w:val="false"/>
          <w:i w:val="false"/>
          <w:color w:val="000000"/>
          <w:sz w:val="28"/>
        </w:rPr>
        <w:t>
      511. Необходимо чтобы конструкция ахтерштевня одновального судна соответствует следующим требованиям:</w:t>
      </w:r>
    </w:p>
    <w:bookmarkEnd w:id="2105"/>
    <w:bookmarkStart w:name="z2111" w:id="2106"/>
    <w:p>
      <w:pPr>
        <w:spacing w:after="0"/>
        <w:ind w:left="0"/>
        <w:jc w:val="both"/>
      </w:pPr>
      <w:r>
        <w:rPr>
          <w:rFonts w:ascii="Times New Roman"/>
          <w:b w:val="false"/>
          <w:i w:val="false"/>
          <w:color w:val="000000"/>
          <w:sz w:val="28"/>
        </w:rPr>
        <w:t>
      1) размеры ахтерштевня такие, чтобы конструктивные зазоры между гребным винтом, с одной стороны, ахтерштевнем и рулем, с другой стороны (приложение 74 настоящих Правил), были не менее, указанных в приложении 73 настоящих Правил;</w:t>
      </w:r>
    </w:p>
    <w:bookmarkEnd w:id="2106"/>
    <w:bookmarkStart w:name="z2112" w:id="2107"/>
    <w:p>
      <w:pPr>
        <w:spacing w:after="0"/>
        <w:ind w:left="0"/>
        <w:jc w:val="both"/>
      </w:pPr>
      <w:r>
        <w:rPr>
          <w:rFonts w:ascii="Times New Roman"/>
          <w:b w:val="false"/>
          <w:i w:val="false"/>
          <w:color w:val="000000"/>
          <w:sz w:val="28"/>
        </w:rPr>
        <w:t>
      2) следует выполнять подошву ахтерштевня с плавным подъемом в корму;</w:t>
      </w:r>
    </w:p>
    <w:bookmarkEnd w:id="2107"/>
    <w:bookmarkStart w:name="z2113" w:id="2108"/>
    <w:p>
      <w:pPr>
        <w:spacing w:after="0"/>
        <w:ind w:left="0"/>
        <w:jc w:val="both"/>
      </w:pPr>
      <w:r>
        <w:rPr>
          <w:rFonts w:ascii="Times New Roman"/>
          <w:b w:val="false"/>
          <w:i w:val="false"/>
          <w:color w:val="000000"/>
          <w:sz w:val="28"/>
        </w:rPr>
        <w:t>
      3) старнпост имеет подкрепляющие поперечные бракеты у сварного ахтерштевня и ребра жесткости у литого ахтерштевня. Бракеты и ребра устанавливаются не реже чем через 1 м; их расположение согласовывается согласовано с набором корпуса;</w:t>
      </w:r>
    </w:p>
    <w:bookmarkEnd w:id="2108"/>
    <w:bookmarkStart w:name="z2114" w:id="2109"/>
    <w:p>
      <w:pPr>
        <w:spacing w:after="0"/>
        <w:ind w:left="0"/>
        <w:jc w:val="both"/>
      </w:pPr>
      <w:r>
        <w:rPr>
          <w:rFonts w:ascii="Times New Roman"/>
          <w:b w:val="false"/>
          <w:i w:val="false"/>
          <w:color w:val="000000"/>
          <w:sz w:val="28"/>
        </w:rPr>
        <w:t>
      4) ахтерштевень надежно закрепляют в корпусе судна.</w:t>
      </w:r>
    </w:p>
    <w:bookmarkEnd w:id="2109"/>
    <w:bookmarkStart w:name="z2115" w:id="2110"/>
    <w:p>
      <w:pPr>
        <w:spacing w:after="0"/>
        <w:ind w:left="0"/>
        <w:jc w:val="both"/>
      </w:pPr>
      <w:r>
        <w:rPr>
          <w:rFonts w:ascii="Times New Roman"/>
          <w:b w:val="false"/>
          <w:i w:val="false"/>
          <w:color w:val="000000"/>
          <w:sz w:val="28"/>
        </w:rPr>
        <w:t xml:space="preserve">
      Нижняя часть ахтерштевня протягивается в нос от старнпоста и крепится своими бракетами (ребрами) не менее чем к трем флорам при </w:t>
      </w:r>
      <w:r>
        <w:rPr>
          <w:rFonts w:ascii="Times New Roman"/>
          <w:b w:val="false"/>
          <w:i/>
          <w:color w:val="000000"/>
          <w:sz w:val="28"/>
        </w:rPr>
        <w:t>L</w:t>
      </w:r>
      <w:r>
        <w:rPr>
          <w:rFonts w:ascii="Times New Roman"/>
          <w:b w:val="false"/>
          <w:i w:val="false"/>
          <w:color w:val="000000"/>
          <w:sz w:val="28"/>
        </w:rPr>
        <w:t xml:space="preserve"> &gt; 120 м и не менее чем к двум флорам при </w:t>
      </w:r>
      <w:r>
        <w:rPr>
          <w:rFonts w:ascii="Times New Roman"/>
          <w:b w:val="false"/>
          <w:i/>
          <w:color w:val="000000"/>
          <w:sz w:val="28"/>
        </w:rPr>
        <w:t xml:space="preserve">L </w:t>
      </w:r>
      <w:r>
        <w:rPr>
          <w:rFonts w:ascii="Times New Roman"/>
          <w:b w:val="false"/>
          <w:i w:val="false"/>
          <w:color w:val="000000"/>
          <w:sz w:val="28"/>
          <w:u w:val="single"/>
        </w:rPr>
        <w:t>&lt;</w:t>
      </w:r>
      <w:r>
        <w:rPr>
          <w:rFonts w:ascii="Times New Roman"/>
          <w:b w:val="false"/>
          <w:i w:val="false"/>
          <w:color w:val="000000"/>
          <w:sz w:val="28"/>
        </w:rPr>
        <w:t xml:space="preserve"> 120м. На малых судах указанное крепление выполняют к одному флору.</w:t>
      </w:r>
    </w:p>
    <w:bookmarkEnd w:id="2110"/>
    <w:bookmarkStart w:name="z2116" w:id="2111"/>
    <w:p>
      <w:pPr>
        <w:spacing w:after="0"/>
        <w:ind w:left="0"/>
        <w:jc w:val="both"/>
      </w:pPr>
      <w:r>
        <w:rPr>
          <w:rFonts w:ascii="Times New Roman"/>
          <w:b w:val="false"/>
          <w:i w:val="false"/>
          <w:color w:val="000000"/>
          <w:sz w:val="28"/>
        </w:rPr>
        <w:t>
      Рудерпост протягивается выше кормового подзора на величину, достаточную для его крепления к транцевому флору.</w:t>
      </w:r>
    </w:p>
    <w:bookmarkEnd w:id="2111"/>
    <w:bookmarkStart w:name="z2117" w:id="2112"/>
    <w:p>
      <w:pPr>
        <w:spacing w:after="0"/>
        <w:ind w:left="0"/>
        <w:jc w:val="both"/>
      </w:pPr>
      <w:r>
        <w:rPr>
          <w:rFonts w:ascii="Times New Roman"/>
          <w:b w:val="false"/>
          <w:i w:val="false"/>
          <w:color w:val="000000"/>
          <w:sz w:val="28"/>
        </w:rPr>
        <w:t xml:space="preserve">
      На судах длиной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80м, а также на судах с крейсерской кормой старнпост также протягивается вверх на величину, достаточную для его крепления к дополнительному транцевому флору.</w:t>
      </w:r>
    </w:p>
    <w:bookmarkEnd w:id="2112"/>
    <w:bookmarkStart w:name="z2118" w:id="2113"/>
    <w:p>
      <w:pPr>
        <w:spacing w:after="0"/>
        <w:ind w:left="0"/>
        <w:jc w:val="both"/>
      </w:pPr>
      <w:r>
        <w:rPr>
          <w:rFonts w:ascii="Times New Roman"/>
          <w:b w:val="false"/>
          <w:i w:val="false"/>
          <w:color w:val="000000"/>
          <w:sz w:val="28"/>
        </w:rPr>
        <w:t>
      Толщина транцевого и дополнительного транцевого флоров увеличивают по сравнению с толщиной флоров ахтерпика. Как правило, их следует доводить до ближайшей палубы или платформы.</w:t>
      </w:r>
    </w:p>
    <w:bookmarkEnd w:id="2113"/>
    <w:bookmarkStart w:name="z2119" w:id="2114"/>
    <w:p>
      <w:pPr>
        <w:spacing w:after="0"/>
        <w:ind w:left="0"/>
        <w:jc w:val="both"/>
      </w:pPr>
      <w:r>
        <w:rPr>
          <w:rFonts w:ascii="Times New Roman"/>
          <w:b w:val="false"/>
          <w:i w:val="false"/>
          <w:color w:val="000000"/>
          <w:sz w:val="28"/>
        </w:rPr>
        <w:t>
      512. Конструкция ахтерштевня двухвального судна отвечает требованиям к конструкции старнпоста одновального судна согласно пункту 511 настоящих Правил. Допускается крепление нижней части ахтерштевня, протягиваемой в нос, не менее чем к двум основным флорам.</w:t>
      </w:r>
    </w:p>
    <w:bookmarkEnd w:id="2114"/>
    <w:bookmarkStart w:name="z2120" w:id="2115"/>
    <w:p>
      <w:pPr>
        <w:spacing w:after="0"/>
        <w:ind w:left="0"/>
        <w:jc w:val="both"/>
      </w:pPr>
      <w:r>
        <w:rPr>
          <w:rFonts w:ascii="Times New Roman"/>
          <w:b w:val="false"/>
          <w:i w:val="false"/>
          <w:color w:val="000000"/>
          <w:sz w:val="28"/>
        </w:rPr>
        <w:t>
      513. Ахтерштевень трехвального судна отвечает требованиям к ахтерштевню одновального судна согласно пунктов 511 и 519 настоящих Правил.</w:t>
      </w:r>
    </w:p>
    <w:bookmarkEnd w:id="2115"/>
    <w:bookmarkStart w:name="z2121" w:id="2116"/>
    <w:p>
      <w:pPr>
        <w:spacing w:after="0"/>
        <w:ind w:left="0"/>
        <w:jc w:val="both"/>
      </w:pPr>
      <w:r>
        <w:rPr>
          <w:rFonts w:ascii="Times New Roman"/>
          <w:b w:val="false"/>
          <w:i w:val="false"/>
          <w:color w:val="000000"/>
          <w:sz w:val="28"/>
        </w:rPr>
        <w:t>
      514. Рулевой кронштейн полуподвесного руля надежно соединяют с соответствующими флорами ахтерпика и его диаметральной отбойной переборкой.</w:t>
      </w:r>
    </w:p>
    <w:bookmarkEnd w:id="2116"/>
    <w:bookmarkStart w:name="z2122" w:id="2117"/>
    <w:p>
      <w:pPr>
        <w:spacing w:after="0"/>
        <w:ind w:left="0"/>
        <w:jc w:val="both"/>
      </w:pPr>
      <w:r>
        <w:rPr>
          <w:rFonts w:ascii="Times New Roman"/>
          <w:b w:val="false"/>
          <w:i w:val="false"/>
          <w:color w:val="000000"/>
          <w:sz w:val="28"/>
        </w:rPr>
        <w:t>
      Кронштейн сварной конструкции внутри подкрепляют поперечными бракетами; основные его несущие связи доведят до ближайшей палубы или платформы; толщина флоров, с которыми соединяется кронштейн, увеличивается по сравнению с толщиной флоров ахтерпика.</w:t>
      </w:r>
    </w:p>
    <w:bookmarkEnd w:id="2117"/>
    <w:bookmarkStart w:name="z2123" w:id="2118"/>
    <w:p>
      <w:pPr>
        <w:spacing w:after="0"/>
        <w:ind w:left="0"/>
        <w:jc w:val="both"/>
      </w:pPr>
      <w:r>
        <w:rPr>
          <w:rFonts w:ascii="Times New Roman"/>
          <w:b w:val="false"/>
          <w:i w:val="false"/>
          <w:color w:val="000000"/>
          <w:sz w:val="28"/>
        </w:rPr>
        <w:t>
      515. Лапы двухлапных кронштейнов бортовых гребных валов располагаются по отношению друг к другу под углом, близким к 90</w:t>
      </w:r>
      <w:r>
        <w:rPr>
          <w:rFonts w:ascii="Times New Roman"/>
          <w:b w:val="false"/>
          <w:i w:val="false"/>
          <w:color w:val="000000"/>
          <w:vertAlign w:val="superscript"/>
        </w:rPr>
        <w:t>0</w:t>
      </w:r>
      <w:r>
        <w:rPr>
          <w:rFonts w:ascii="Times New Roman"/>
          <w:b w:val="false"/>
          <w:i w:val="false"/>
          <w:color w:val="000000"/>
          <w:sz w:val="28"/>
        </w:rPr>
        <w:t>. Осевые линии лап пересекаются на оси гребного вала.</w:t>
      </w:r>
    </w:p>
    <w:bookmarkEnd w:id="2118"/>
    <w:bookmarkStart w:name="z2124" w:id="2119"/>
    <w:p>
      <w:pPr>
        <w:spacing w:after="0"/>
        <w:ind w:left="0"/>
        <w:jc w:val="both"/>
      </w:pPr>
      <w:r>
        <w:rPr>
          <w:rFonts w:ascii="Times New Roman"/>
          <w:b w:val="false"/>
          <w:i w:val="false"/>
          <w:color w:val="000000"/>
          <w:sz w:val="28"/>
        </w:rPr>
        <w:t>
      Конструкция кронштейнов гребных валов, лапы которых располагаются под углом, меньшим 80</w:t>
      </w:r>
      <w:r>
        <w:rPr>
          <w:rFonts w:ascii="Times New Roman"/>
          <w:b w:val="false"/>
          <w:i w:val="false"/>
          <w:color w:val="000000"/>
          <w:vertAlign w:val="superscript"/>
        </w:rPr>
        <w:t>0</w:t>
      </w:r>
      <w:r>
        <w:rPr>
          <w:rFonts w:ascii="Times New Roman"/>
          <w:b w:val="false"/>
          <w:i w:val="false"/>
          <w:color w:val="000000"/>
          <w:sz w:val="28"/>
        </w:rPr>
        <w:t xml:space="preserve"> и большим 100</w:t>
      </w:r>
      <w:r>
        <w:rPr>
          <w:rFonts w:ascii="Times New Roman"/>
          <w:b w:val="false"/>
          <w:i w:val="false"/>
          <w:color w:val="000000"/>
          <w:vertAlign w:val="superscript"/>
        </w:rPr>
        <w:t>0</w:t>
      </w:r>
      <w:r>
        <w:rPr>
          <w:rFonts w:ascii="Times New Roman"/>
          <w:b w:val="false"/>
          <w:i w:val="false"/>
          <w:color w:val="000000"/>
          <w:sz w:val="28"/>
        </w:rPr>
        <w:t>, и дополнительные подкрепления корпуса судна в районе таких кронштейнов являются предметом специального рассмотрения Регистром судоходства.</w:t>
      </w:r>
    </w:p>
    <w:bookmarkEnd w:id="2119"/>
    <w:bookmarkStart w:name="z2125" w:id="2120"/>
    <w:p>
      <w:pPr>
        <w:spacing w:after="0"/>
        <w:ind w:left="0"/>
        <w:jc w:val="both"/>
      </w:pPr>
      <w:r>
        <w:rPr>
          <w:rFonts w:ascii="Times New Roman"/>
          <w:b w:val="false"/>
          <w:i w:val="false"/>
          <w:color w:val="000000"/>
          <w:sz w:val="28"/>
        </w:rPr>
        <w:t>
      Расположение кронштейнов относительно корпуса обеспечивает возможно больший зазор между кромкой лопасти гребного винта и корпусом, но не менее 25 % диаметра гребного винта.</w:t>
      </w:r>
    </w:p>
    <w:bookmarkEnd w:id="2120"/>
    <w:bookmarkStart w:name="z2126" w:id="2121"/>
    <w:p>
      <w:pPr>
        <w:spacing w:after="0"/>
        <w:ind w:left="0"/>
        <w:jc w:val="both"/>
      </w:pPr>
      <w:r>
        <w:rPr>
          <w:rFonts w:ascii="Times New Roman"/>
          <w:b w:val="false"/>
          <w:i w:val="false"/>
          <w:color w:val="000000"/>
          <w:sz w:val="28"/>
        </w:rPr>
        <w:t>
      516. Наружная и внутренняя обшивки неповоротной насадки гребного винта подкрепляют набором, расположение и размеры элементов которого определяются в соответствии с пунктом 986 настоящих Правил.</w:t>
      </w:r>
    </w:p>
    <w:bookmarkEnd w:id="2121"/>
    <w:bookmarkStart w:name="z2127" w:id="2122"/>
    <w:p>
      <w:pPr>
        <w:spacing w:after="0"/>
        <w:ind w:left="0"/>
        <w:jc w:val="both"/>
      </w:pPr>
      <w:r>
        <w:rPr>
          <w:rFonts w:ascii="Times New Roman"/>
          <w:b w:val="false"/>
          <w:i w:val="false"/>
          <w:color w:val="000000"/>
          <w:sz w:val="28"/>
        </w:rPr>
        <w:t>
      Поперечные диафрагмы в насадке, как правило, располагаются в плоскости флоров ахтерпика.</w:t>
      </w:r>
    </w:p>
    <w:bookmarkEnd w:id="2122"/>
    <w:bookmarkStart w:name="z2128" w:id="2123"/>
    <w:p>
      <w:pPr>
        <w:spacing w:after="0"/>
        <w:ind w:left="0"/>
        <w:jc w:val="both"/>
      </w:pPr>
      <w:r>
        <w:rPr>
          <w:rFonts w:ascii="Times New Roman"/>
          <w:b w:val="false"/>
          <w:i w:val="false"/>
          <w:color w:val="000000"/>
          <w:sz w:val="28"/>
        </w:rPr>
        <w:t>
      В месте крепления насадки к корпусу судна обеспечивают плавный переход от насадки к корпусу. В нижней части насадка соединяется с корпусом. При креплении насадки к корпусу судна кронштейнами обеспечивается их надежная конструктивная перевязка с набором кормовой оконечности корпуса и внутренним набором насадки. Конструкция кронштейнов отвечает требованиям пункта 515 настоящих Правил. В верхней и нижней частях обшивки насадки предусматриваются спускные пробки из материала, не подверженного коррозии.</w:t>
      </w:r>
    </w:p>
    <w:bookmarkEnd w:id="2123"/>
    <w:bookmarkStart w:name="z2129" w:id="2124"/>
    <w:p>
      <w:pPr>
        <w:spacing w:after="0"/>
        <w:ind w:left="0"/>
        <w:jc w:val="left"/>
      </w:pPr>
      <w:r>
        <w:rPr>
          <w:rFonts w:ascii="Times New Roman"/>
          <w:b/>
          <w:i w:val="false"/>
          <w:color w:val="000000"/>
        </w:rPr>
        <w:t xml:space="preserve"> Параграф 2. Расчетные нагрузки, размеры форштевня,</w:t>
      </w:r>
      <w:r>
        <w:br/>
      </w:r>
      <w:r>
        <w:rPr>
          <w:rFonts w:ascii="Times New Roman"/>
          <w:b/>
          <w:i w:val="false"/>
          <w:color w:val="000000"/>
        </w:rPr>
        <w:t>ахтерштевня, кронштейнов руля и гребного вала,</w:t>
      </w:r>
      <w:r>
        <w:br/>
      </w:r>
      <w:r>
        <w:rPr>
          <w:rFonts w:ascii="Times New Roman"/>
          <w:b/>
          <w:i w:val="false"/>
          <w:color w:val="000000"/>
        </w:rPr>
        <w:t>брускового киля и неповоротной насадки гребного винта</w:t>
      </w:r>
    </w:p>
    <w:bookmarkEnd w:id="2124"/>
    <w:bookmarkStart w:name="z2130" w:id="2125"/>
    <w:p>
      <w:pPr>
        <w:spacing w:after="0"/>
        <w:ind w:left="0"/>
        <w:jc w:val="both"/>
      </w:pPr>
      <w:r>
        <w:rPr>
          <w:rFonts w:ascii="Times New Roman"/>
          <w:b w:val="false"/>
          <w:i w:val="false"/>
          <w:color w:val="000000"/>
          <w:sz w:val="28"/>
        </w:rPr>
        <w:t>
      517. Расчетная нагрузка для конструкций подошвы ахтерштевня и кронштейна полуподвесного руля принимается равной условной расчетной реакции нижней опоры пера руля R</w:t>
      </w:r>
      <w:r>
        <w:rPr>
          <w:rFonts w:ascii="Times New Roman"/>
          <w:b w:val="false"/>
          <w:i w:val="false"/>
          <w:color w:val="000000"/>
          <w:vertAlign w:val="subscript"/>
        </w:rPr>
        <w:t>4</w:t>
      </w:r>
      <w:r>
        <w:rPr>
          <w:rFonts w:ascii="Times New Roman"/>
          <w:b w:val="false"/>
          <w:i w:val="false"/>
          <w:color w:val="000000"/>
          <w:sz w:val="28"/>
        </w:rPr>
        <w:t xml:space="preserve"> в соответствии с пунктом 945 настоящих Правил. При этом в формулах (444) - (446) настоящих Правил коэффициент </w:t>
      </w:r>
    </w:p>
    <w:bookmarkEnd w:id="2125"/>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следует принимать равным нулю.</w:t>
      </w:r>
      <w:r>
        <w:br/>
      </w:r>
      <w:r>
        <w:rPr>
          <w:rFonts w:ascii="Times New Roman"/>
          <w:b w:val="false"/>
          <w:i w:val="false"/>
          <w:color w:val="000000"/>
          <w:sz w:val="28"/>
        </w:rPr>
        <w:t>
</w:t>
      </w:r>
    </w:p>
    <w:bookmarkStart w:name="z2131" w:id="2126"/>
    <w:p>
      <w:pPr>
        <w:spacing w:after="0"/>
        <w:ind w:left="0"/>
        <w:jc w:val="both"/>
      </w:pPr>
      <w:r>
        <w:rPr>
          <w:rFonts w:ascii="Times New Roman"/>
          <w:b w:val="false"/>
          <w:i w:val="false"/>
          <w:color w:val="000000"/>
          <w:sz w:val="28"/>
        </w:rPr>
        <w:t>
      518. Форштевень отвечает следующим требованиям:</w:t>
      </w:r>
    </w:p>
    <w:bookmarkEnd w:id="2126"/>
    <w:bookmarkStart w:name="z2132" w:id="2127"/>
    <w:p>
      <w:pPr>
        <w:spacing w:after="0"/>
        <w:ind w:left="0"/>
        <w:jc w:val="both"/>
      </w:pPr>
      <w:r>
        <w:rPr>
          <w:rFonts w:ascii="Times New Roman"/>
          <w:b w:val="false"/>
          <w:i w:val="false"/>
          <w:color w:val="000000"/>
          <w:sz w:val="28"/>
        </w:rPr>
        <w:t xml:space="preserve">
      1) брусковый форштевень на участке от киля до летней грузовой ватерлинии имеет площадь поперечного сечения </w:t>
      </w:r>
    </w:p>
    <w:bookmarkEnd w:id="2127"/>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определяемой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w:t>
      </w:r>
      <w:r>
        <w:rPr>
          <w:rFonts w:ascii="Times New Roman"/>
          <w:b w:val="false"/>
          <w:i/>
          <w:color w:val="000000"/>
          <w:sz w:val="28"/>
        </w:rPr>
        <w:t>L</w:t>
      </w:r>
      <w:r>
        <w:rPr>
          <w:rFonts w:ascii="Times New Roman"/>
          <w:b w:val="false"/>
          <w:i w:val="false"/>
          <w:color w:val="000000"/>
          <w:sz w:val="28"/>
        </w:rPr>
        <w:t xml:space="preserve"> – 4.                     (152)</w:t>
      </w:r>
      <w:r>
        <w:br/>
      </w:r>
      <w:r>
        <w:rPr>
          <w:rFonts w:ascii="Times New Roman"/>
          <w:b w:val="false"/>
          <w:i w:val="false"/>
          <w:color w:val="000000"/>
          <w:sz w:val="28"/>
        </w:rPr>
        <w:t>
</w:t>
      </w:r>
    </w:p>
    <w:bookmarkStart w:name="z2133" w:id="2128"/>
    <w:p>
      <w:pPr>
        <w:spacing w:after="0"/>
        <w:ind w:left="0"/>
        <w:jc w:val="both"/>
      </w:pPr>
      <w:r>
        <w:rPr>
          <w:rFonts w:ascii="Times New Roman"/>
          <w:b w:val="false"/>
          <w:i w:val="false"/>
          <w:color w:val="000000"/>
          <w:sz w:val="28"/>
        </w:rPr>
        <w:t>
      Площадь сечения форштевня уменьшается для судов ограниченных районов плавания:</w:t>
      </w:r>
    </w:p>
    <w:bookmarkEnd w:id="2128"/>
    <w:p>
      <w:pPr>
        <w:spacing w:after="0"/>
        <w:ind w:left="0"/>
        <w:jc w:val="both"/>
      </w:pPr>
      <w:r>
        <w:rPr>
          <w:rFonts w:ascii="Times New Roman"/>
          <w:b w:val="false"/>
          <w:i w:val="false"/>
          <w:color w:val="000000"/>
          <w:sz w:val="28"/>
        </w:rPr>
        <w:t>
      R2 и R2-RSN — на 10 %;</w:t>
      </w:r>
    </w:p>
    <w:p>
      <w:pPr>
        <w:spacing w:after="0"/>
        <w:ind w:left="0"/>
        <w:jc w:val="both"/>
      </w:pPr>
      <w:r>
        <w:rPr>
          <w:rFonts w:ascii="Times New Roman"/>
          <w:b w:val="false"/>
          <w:i w:val="false"/>
          <w:color w:val="000000"/>
          <w:sz w:val="28"/>
        </w:rPr>
        <w:t>
      R3-RSN и R3 — на 20 %.</w:t>
      </w:r>
    </w:p>
    <w:bookmarkStart w:name="z2134" w:id="2129"/>
    <w:p>
      <w:pPr>
        <w:spacing w:after="0"/>
        <w:ind w:left="0"/>
        <w:jc w:val="both"/>
      </w:pPr>
      <w:r>
        <w:rPr>
          <w:rFonts w:ascii="Times New Roman"/>
          <w:b w:val="false"/>
          <w:i w:val="false"/>
          <w:color w:val="000000"/>
          <w:sz w:val="28"/>
        </w:rPr>
        <w:t>
      Выше летней грузовой ватерлинии площадь сечения форштевня постепенно уменьшатся до 70 % площади, установленной выше;</w:t>
      </w:r>
    </w:p>
    <w:bookmarkEnd w:id="2129"/>
    <w:bookmarkStart w:name="z2135" w:id="2130"/>
    <w:p>
      <w:pPr>
        <w:spacing w:after="0"/>
        <w:ind w:left="0"/>
        <w:jc w:val="both"/>
      </w:pPr>
      <w:r>
        <w:rPr>
          <w:rFonts w:ascii="Times New Roman"/>
          <w:b w:val="false"/>
          <w:i w:val="false"/>
          <w:color w:val="000000"/>
          <w:sz w:val="28"/>
        </w:rPr>
        <w:t xml:space="preserve">
      2) толщина листов сварного форштевня </w:t>
      </w:r>
      <w:r>
        <w:rPr>
          <w:rFonts w:ascii="Times New Roman"/>
          <w:b w:val="false"/>
          <w:i/>
          <w:color w:val="000000"/>
          <w:sz w:val="28"/>
        </w:rPr>
        <w:t>s</w:t>
      </w:r>
      <w:r>
        <w:rPr>
          <w:rFonts w:ascii="Times New Roman"/>
          <w:b w:val="false"/>
          <w:i w:val="false"/>
          <w:color w:val="000000"/>
          <w:sz w:val="28"/>
        </w:rPr>
        <w:t>, мм, определяется по формуле:</w:t>
      </w:r>
    </w:p>
    <w:bookmarkEnd w:id="213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(0,085L + 5,5)</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согласно пункту 133 настоящих Правил, но при этом быть не менее 7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220 м принимается </w:t>
      </w:r>
      <w:r>
        <w:rPr>
          <w:rFonts w:ascii="Times New Roman"/>
          <w:b w:val="false"/>
          <w:i/>
          <w:color w:val="000000"/>
          <w:sz w:val="28"/>
        </w:rPr>
        <w:t>L</w:t>
      </w:r>
      <w:r>
        <w:rPr>
          <w:rFonts w:ascii="Times New Roman"/>
          <w:b w:val="false"/>
          <w:i w:val="false"/>
          <w:color w:val="000000"/>
          <w:sz w:val="28"/>
        </w:rPr>
        <w:t xml:space="preserve"> = 220 м;</w:t>
      </w:r>
    </w:p>
    <w:bookmarkStart w:name="z2136" w:id="2131"/>
    <w:p>
      <w:pPr>
        <w:spacing w:after="0"/>
        <w:ind w:left="0"/>
        <w:jc w:val="both"/>
      </w:pPr>
      <w:r>
        <w:rPr>
          <w:rFonts w:ascii="Times New Roman"/>
          <w:b w:val="false"/>
          <w:i w:val="false"/>
          <w:color w:val="000000"/>
          <w:sz w:val="28"/>
        </w:rPr>
        <w:t>
      Толщина листов форштевня уменьшается для судов ограниченных районов плавания:</w:t>
      </w:r>
    </w:p>
    <w:bookmarkEnd w:id="2131"/>
    <w:p>
      <w:pPr>
        <w:spacing w:after="0"/>
        <w:ind w:left="0"/>
        <w:jc w:val="both"/>
      </w:pPr>
      <w:r>
        <w:rPr>
          <w:rFonts w:ascii="Times New Roman"/>
          <w:b w:val="false"/>
          <w:i w:val="false"/>
          <w:color w:val="000000"/>
          <w:sz w:val="28"/>
        </w:rPr>
        <w:t>
      R2 и R2-RSN — на 5 %;</w:t>
      </w:r>
    </w:p>
    <w:p>
      <w:pPr>
        <w:spacing w:after="0"/>
        <w:ind w:left="0"/>
        <w:jc w:val="both"/>
      </w:pPr>
      <w:r>
        <w:rPr>
          <w:rFonts w:ascii="Times New Roman"/>
          <w:b w:val="false"/>
          <w:i w:val="false"/>
          <w:color w:val="000000"/>
          <w:sz w:val="28"/>
        </w:rPr>
        <w:t>
      R3-RSN и R3 — на 10 %.</w:t>
      </w:r>
    </w:p>
    <w:bookmarkStart w:name="z2137" w:id="2132"/>
    <w:p>
      <w:pPr>
        <w:spacing w:after="0"/>
        <w:ind w:left="0"/>
        <w:jc w:val="both"/>
      </w:pPr>
      <w:r>
        <w:rPr>
          <w:rFonts w:ascii="Times New Roman"/>
          <w:b w:val="false"/>
          <w:i w:val="false"/>
          <w:color w:val="000000"/>
          <w:sz w:val="28"/>
        </w:rPr>
        <w:t>
      Толщина листов форштевня выше летней грузовой ватерлинии постепенно уменьшается до толщины прилегающих к форштевню листов наружной обшивки.</w:t>
      </w:r>
    </w:p>
    <w:bookmarkEnd w:id="2132"/>
    <w:bookmarkStart w:name="z2138" w:id="2133"/>
    <w:p>
      <w:pPr>
        <w:spacing w:after="0"/>
        <w:ind w:left="0"/>
        <w:jc w:val="both"/>
      </w:pPr>
      <w:r>
        <w:rPr>
          <w:rFonts w:ascii="Times New Roman"/>
          <w:b w:val="false"/>
          <w:i w:val="false"/>
          <w:color w:val="000000"/>
          <w:sz w:val="28"/>
        </w:rPr>
        <w:t>
      Толщина и ширина листов форштевня в месте их соединения с горизонтальным килем не менее толщины и ширины последнего.</w:t>
      </w:r>
    </w:p>
    <w:bookmarkEnd w:id="2133"/>
    <w:bookmarkStart w:name="z2139" w:id="2134"/>
    <w:p>
      <w:pPr>
        <w:spacing w:after="0"/>
        <w:ind w:left="0"/>
        <w:jc w:val="both"/>
      </w:pPr>
      <w:r>
        <w:rPr>
          <w:rFonts w:ascii="Times New Roman"/>
          <w:b w:val="false"/>
          <w:i w:val="false"/>
          <w:color w:val="000000"/>
          <w:sz w:val="28"/>
        </w:rPr>
        <w:t>
      При уменьшении расстояния между бракетами, подкрепляющими форштевень, на 0,5м против требуемого в пункте 510 настоящих Правил толщина листов форштевня уменьшается на 20 %. При меньшем снижении расстояния между бракетами допустимое уменьшение толщины листов форштевня определяется линейной интерполяцией;</w:t>
      </w:r>
    </w:p>
    <w:bookmarkEnd w:id="2134"/>
    <w:bookmarkStart w:name="z2140" w:id="2135"/>
    <w:p>
      <w:pPr>
        <w:spacing w:after="0"/>
        <w:ind w:left="0"/>
        <w:jc w:val="both"/>
      </w:pPr>
      <w:r>
        <w:rPr>
          <w:rFonts w:ascii="Times New Roman"/>
          <w:b w:val="false"/>
          <w:i w:val="false"/>
          <w:color w:val="000000"/>
          <w:sz w:val="28"/>
        </w:rPr>
        <w:t>
      3) толщина бракет, подкрепляющих форштевень, равна не менее толщины наружной обшивки, примыкающей к форштевню.</w:t>
      </w:r>
    </w:p>
    <w:bookmarkEnd w:id="2135"/>
    <w:bookmarkStart w:name="z2141" w:id="2136"/>
    <w:p>
      <w:pPr>
        <w:spacing w:after="0"/>
        <w:ind w:left="0"/>
        <w:jc w:val="both"/>
      </w:pPr>
      <w:r>
        <w:rPr>
          <w:rFonts w:ascii="Times New Roman"/>
          <w:b w:val="false"/>
          <w:i w:val="false"/>
          <w:color w:val="000000"/>
          <w:sz w:val="28"/>
        </w:rPr>
        <w:t>
      Толщина стенки и полки ребра, подкрепляющего форштевень в диаметральной плоскости, равна не менее толщины его бракет.</w:t>
      </w:r>
    </w:p>
    <w:bookmarkEnd w:id="2136"/>
    <w:bookmarkStart w:name="z2142" w:id="2137"/>
    <w:p>
      <w:pPr>
        <w:spacing w:after="0"/>
        <w:ind w:left="0"/>
        <w:jc w:val="both"/>
      </w:pPr>
      <w:r>
        <w:rPr>
          <w:rFonts w:ascii="Times New Roman"/>
          <w:b w:val="false"/>
          <w:i w:val="false"/>
          <w:color w:val="000000"/>
          <w:sz w:val="28"/>
        </w:rPr>
        <w:t>
      519. Необходимо чтобы ахтерштевень одновального судна отвечал следующим требованиям:</w:t>
      </w:r>
    </w:p>
    <w:bookmarkEnd w:id="2137"/>
    <w:bookmarkStart w:name="z2143" w:id="2138"/>
    <w:p>
      <w:pPr>
        <w:spacing w:after="0"/>
        <w:ind w:left="0"/>
        <w:jc w:val="both"/>
      </w:pPr>
      <w:r>
        <w:rPr>
          <w:rFonts w:ascii="Times New Roman"/>
          <w:b w:val="false"/>
          <w:i w:val="false"/>
          <w:color w:val="000000"/>
          <w:sz w:val="28"/>
        </w:rPr>
        <w:t xml:space="preserve">
      1) старнпост сплошного прямоугольного сечения на участке от киля до кормового подзора имел длину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и ширину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сечения, мм, не менее определяемых по формулам:</w:t>
      </w:r>
    </w:p>
    <w:bookmarkEnd w:id="2138"/>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=1,30</w:t>
      </w:r>
      <w:r>
        <w:rPr>
          <w:rFonts w:ascii="Times New Roman"/>
          <w:b w:val="false"/>
          <w:i/>
          <w:color w:val="000000"/>
          <w:sz w:val="28"/>
        </w:rPr>
        <w:t>L</w:t>
      </w:r>
      <w:r>
        <w:rPr>
          <w:rFonts w:ascii="Times New Roman"/>
          <w:b w:val="false"/>
          <w:i w:val="false"/>
          <w:color w:val="000000"/>
          <w:sz w:val="28"/>
        </w:rPr>
        <w:t xml:space="preserve"> + 95;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=1,60</w:t>
      </w:r>
      <w:r>
        <w:rPr>
          <w:rFonts w:ascii="Times New Roman"/>
          <w:b w:val="false"/>
          <w:i/>
          <w:color w:val="000000"/>
          <w:sz w:val="28"/>
        </w:rPr>
        <w:t>L</w:t>
      </w:r>
      <w:r>
        <w:rPr>
          <w:rFonts w:ascii="Times New Roman"/>
          <w:b w:val="false"/>
          <w:i w:val="false"/>
          <w:color w:val="000000"/>
          <w:sz w:val="28"/>
        </w:rPr>
        <w:t xml:space="preserve"> + 20 при </w:t>
      </w:r>
      <w:r>
        <w:rPr>
          <w:rFonts w:ascii="Times New Roman"/>
          <w:b w:val="false"/>
          <w:i/>
          <w:color w:val="000000"/>
          <w:sz w:val="28"/>
        </w:rPr>
        <w:t>L</w:t>
      </w:r>
      <w:r>
        <w:rPr>
          <w:rFonts w:ascii="Times New Roman"/>
          <w:b w:val="false"/>
          <w:i w:val="false"/>
          <w:color w:val="000000"/>
          <w:sz w:val="28"/>
        </w:rPr>
        <w:t xml:space="preserve"> &lt; 120м;</w:t>
      </w:r>
    </w:p>
    <w:p>
      <w:pPr>
        <w:spacing w:after="0"/>
        <w:ind w:left="0"/>
        <w:jc w:val="both"/>
      </w:pPr>
      <w:r>
        <w:rPr>
          <w:rFonts w:ascii="Times New Roman"/>
          <w:b w:val="false"/>
          <w:i w:val="false"/>
          <w:color w:val="000000"/>
          <w:sz w:val="28"/>
        </w:rPr>
        <w:t>
                                                                     (154)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1,15 </w:t>
      </w:r>
      <w:r>
        <w:rPr>
          <w:rFonts w:ascii="Times New Roman"/>
          <w:b w:val="false"/>
          <w:i/>
          <w:color w:val="000000"/>
          <w:sz w:val="28"/>
        </w:rPr>
        <w:t>L</w:t>
      </w:r>
      <w:r>
        <w:rPr>
          <w:rFonts w:ascii="Times New Roman"/>
          <w:b w:val="false"/>
          <w:i w:val="false"/>
          <w:color w:val="000000"/>
          <w:sz w:val="28"/>
        </w:rPr>
        <w:t xml:space="preserve"> + 110;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0,675</w:t>
      </w:r>
      <w:r>
        <w:rPr>
          <w:rFonts w:ascii="Times New Roman"/>
          <w:b w:val="false"/>
          <w:i/>
          <w:color w:val="000000"/>
          <w:sz w:val="28"/>
        </w:rPr>
        <w:t>L</w:t>
      </w:r>
      <w:r>
        <w:rPr>
          <w:rFonts w:ascii="Times New Roman"/>
          <w:b w:val="false"/>
          <w:i w:val="false"/>
          <w:color w:val="000000"/>
          <w:sz w:val="28"/>
        </w:rPr>
        <w:t xml:space="preserve"> + 130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120 м.</w:t>
      </w:r>
    </w:p>
    <w:bookmarkStart w:name="z2144" w:id="2139"/>
    <w:p>
      <w:pPr>
        <w:spacing w:after="0"/>
        <w:ind w:left="0"/>
        <w:jc w:val="both"/>
      </w:pPr>
      <w:r>
        <w:rPr>
          <w:rFonts w:ascii="Times New Roman"/>
          <w:b w:val="false"/>
          <w:i w:val="false"/>
          <w:color w:val="000000"/>
          <w:sz w:val="28"/>
        </w:rPr>
        <w:t>
      Размеры сечения старнпоста уменьшают для судов ограниченных районов плавания:</w:t>
      </w:r>
    </w:p>
    <w:bookmarkEnd w:id="2139"/>
    <w:p>
      <w:pPr>
        <w:spacing w:after="0"/>
        <w:ind w:left="0"/>
        <w:jc w:val="both"/>
      </w:pPr>
      <w:r>
        <w:rPr>
          <w:rFonts w:ascii="Times New Roman"/>
          <w:b w:val="false"/>
          <w:i w:val="false"/>
          <w:color w:val="000000"/>
          <w:sz w:val="28"/>
        </w:rPr>
        <w:t>
      R2 и R2-RSN — на 5 %,</w:t>
      </w:r>
    </w:p>
    <w:p>
      <w:pPr>
        <w:spacing w:after="0"/>
        <w:ind w:left="0"/>
        <w:jc w:val="both"/>
      </w:pPr>
      <w:r>
        <w:rPr>
          <w:rFonts w:ascii="Times New Roman"/>
          <w:b w:val="false"/>
          <w:i w:val="false"/>
          <w:color w:val="000000"/>
          <w:sz w:val="28"/>
        </w:rPr>
        <w:t>
      R3-RSN и R3 — на 10 %.</w:t>
      </w:r>
    </w:p>
    <w:bookmarkStart w:name="z2145" w:id="2140"/>
    <w:p>
      <w:pPr>
        <w:spacing w:after="0"/>
        <w:ind w:left="0"/>
        <w:jc w:val="both"/>
      </w:pPr>
      <w:r>
        <w:rPr>
          <w:rFonts w:ascii="Times New Roman"/>
          <w:b w:val="false"/>
          <w:i w:val="false"/>
          <w:color w:val="000000"/>
          <w:sz w:val="28"/>
        </w:rPr>
        <w:t>
      Выше кормового подзора площадь сечения ахтерштевня плавно уменьшается. При этом площадь его сечения нигде не становится меньше 40 % требуемой площади старнпоста, отвечающей указанным выше размерам;</w:t>
      </w:r>
    </w:p>
    <w:bookmarkEnd w:id="2140"/>
    <w:bookmarkStart w:name="z2146" w:id="2141"/>
    <w:p>
      <w:pPr>
        <w:spacing w:after="0"/>
        <w:ind w:left="0"/>
        <w:jc w:val="both"/>
      </w:pPr>
      <w:r>
        <w:rPr>
          <w:rFonts w:ascii="Times New Roman"/>
          <w:b w:val="false"/>
          <w:i w:val="false"/>
          <w:color w:val="000000"/>
          <w:sz w:val="28"/>
        </w:rPr>
        <w:t xml:space="preserve">
      2) основные размеры поперечного сечения старнпоста литого ахтерштевня с рулем, имеющим верхнюю и нижнюю опоры, устанавливаются согласно приложению 75 настоящих Правил в зависимости от базовой толщины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мм, определяемой по следующим формулам:</w:t>
      </w:r>
    </w:p>
    <w:bookmarkEnd w:id="214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+ 4,4 при </w:t>
      </w:r>
      <w:r>
        <w:rPr>
          <w:rFonts w:ascii="Times New Roman"/>
          <w:b w:val="false"/>
          <w:i/>
          <w:color w:val="000000"/>
          <w:sz w:val="28"/>
        </w:rPr>
        <w:t>L</w:t>
      </w:r>
      <w:r>
        <w:rPr>
          <w:rFonts w:ascii="Times New Roman"/>
          <w:b w:val="false"/>
          <w:i w:val="false"/>
          <w:color w:val="000000"/>
          <w:sz w:val="28"/>
        </w:rPr>
        <w:t xml:space="preserve"> &lt; 200 м;</w:t>
      </w:r>
    </w:p>
    <w:p>
      <w:pPr>
        <w:spacing w:after="0"/>
        <w:ind w:left="0"/>
        <w:jc w:val="both"/>
      </w:pPr>
      <w:r>
        <w:rPr>
          <w:rFonts w:ascii="Times New Roman"/>
          <w:b w:val="false"/>
          <w:i w:val="false"/>
          <w:color w:val="000000"/>
          <w:sz w:val="28"/>
        </w:rPr>
        <w:t>
                                                                      (155)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0,06</w:t>
      </w:r>
      <w:r>
        <w:rPr>
          <w:rFonts w:ascii="Times New Roman"/>
          <w:b w:val="false"/>
          <w:i/>
          <w:color w:val="000000"/>
          <w:sz w:val="28"/>
        </w:rPr>
        <w:t>L</w:t>
      </w:r>
      <w:r>
        <w:rPr>
          <w:rFonts w:ascii="Times New Roman"/>
          <w:b w:val="false"/>
          <w:i w:val="false"/>
          <w:color w:val="000000"/>
          <w:sz w:val="28"/>
        </w:rPr>
        <w:t xml:space="preserve"> + 12,4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200 м.</w:t>
      </w:r>
    </w:p>
    <w:bookmarkStart w:name="z2147" w:id="2142"/>
    <w:p>
      <w:pPr>
        <w:spacing w:after="0"/>
        <w:ind w:left="0"/>
        <w:jc w:val="both"/>
      </w:pPr>
      <w:r>
        <w:rPr>
          <w:rFonts w:ascii="Times New Roman"/>
          <w:b w:val="false"/>
          <w:i w:val="false"/>
          <w:color w:val="000000"/>
          <w:sz w:val="28"/>
        </w:rPr>
        <w:t>
      Толщина ребер жесткости равна не менее чем на 50 % больше толщины обшивки, примыкающей к ахтерштевню;</w:t>
      </w:r>
    </w:p>
    <w:bookmarkEnd w:id="2142"/>
    <w:bookmarkStart w:name="z2148" w:id="2143"/>
    <w:p>
      <w:pPr>
        <w:spacing w:after="0"/>
        <w:ind w:left="0"/>
        <w:jc w:val="both"/>
      </w:pPr>
      <w:r>
        <w:rPr>
          <w:rFonts w:ascii="Times New Roman"/>
          <w:b w:val="false"/>
          <w:i w:val="false"/>
          <w:color w:val="000000"/>
          <w:sz w:val="28"/>
        </w:rPr>
        <w:t xml:space="preserve">
      3) основные размеры поперечного сечения старнпоста сварного ахтерштевня с рулем, имеющим верхнюю и нижнюю опоры, устанавливаются по приложению 76 настоящих Правил, где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согласно подпункту 2) пункта 519 настоящих Правил. Толщина поперечных бракет равна не менее чем на 20 % больше толщины обшивки, примыкающей к ахтерштевню.</w:t>
      </w:r>
    </w:p>
    <w:bookmarkEnd w:id="2143"/>
    <w:bookmarkStart w:name="z2149" w:id="2144"/>
    <w:p>
      <w:pPr>
        <w:spacing w:after="0"/>
        <w:ind w:left="0"/>
        <w:jc w:val="both"/>
      </w:pPr>
      <w:r>
        <w:rPr>
          <w:rFonts w:ascii="Times New Roman"/>
          <w:b w:val="false"/>
          <w:i w:val="false"/>
          <w:color w:val="000000"/>
          <w:sz w:val="28"/>
        </w:rPr>
        <w:t>
      Допускается применение сварного старнпоста иной конструкции, эквивалентной по прочности указанной;</w:t>
      </w:r>
    </w:p>
    <w:bookmarkEnd w:id="2144"/>
    <w:bookmarkStart w:name="z2150" w:id="2145"/>
    <w:p>
      <w:pPr>
        <w:spacing w:after="0"/>
        <w:ind w:left="0"/>
        <w:jc w:val="both"/>
      </w:pPr>
      <w:r>
        <w:rPr>
          <w:rFonts w:ascii="Times New Roman"/>
          <w:b w:val="false"/>
          <w:i w:val="false"/>
          <w:color w:val="000000"/>
          <w:sz w:val="28"/>
        </w:rPr>
        <w:t>
      4) толщина стенки дейдвудного яблока после обработки отверстия составляет не менее 30 % диаметра гребного вала;</w:t>
      </w:r>
    </w:p>
    <w:bookmarkEnd w:id="2145"/>
    <w:bookmarkStart w:name="z2151" w:id="2146"/>
    <w:p>
      <w:pPr>
        <w:spacing w:after="0"/>
        <w:ind w:left="0"/>
        <w:jc w:val="both"/>
      </w:pPr>
      <w:r>
        <w:rPr>
          <w:rFonts w:ascii="Times New Roman"/>
          <w:b w:val="false"/>
          <w:i w:val="false"/>
          <w:color w:val="000000"/>
          <w:sz w:val="28"/>
        </w:rPr>
        <w:t xml:space="preserve">
      5) момент сопротивления сечения подошвы ахтерштевня относительно вертикальной оси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214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 8</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p</w:t>
      </w:r>
      <w:r>
        <w:rPr>
          <w:rFonts w:ascii="Times New Roman"/>
          <w:b w:val="false"/>
          <w:i w:val="false"/>
          <w:color w:val="000000"/>
          <w:vertAlign w:val="subscript"/>
        </w:rPr>
        <w:t>4</w:t>
      </w:r>
      <w:r>
        <w:rPr>
          <w:rFonts w:ascii="Times New Roman"/>
          <w:b w:val="false"/>
          <w:i w:val="false"/>
          <w:color w:val="000000"/>
          <w:sz w:val="28"/>
        </w:rPr>
        <w:t>x</w:t>
      </w:r>
      <w:r>
        <w:rPr>
          <w:rFonts w:ascii="Times New Roman"/>
          <w:b w:val="false"/>
          <w:i w:val="false"/>
          <w:color w:val="000000"/>
          <w:vertAlign w:val="subscript"/>
        </w:rPr>
        <w:t>s</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(156)</w:t>
      </w:r>
      <w:r>
        <w:br/>
      </w:r>
      <w:r>
        <w:rPr>
          <w:rFonts w:ascii="Times New Roman"/>
          <w:b w:val="false"/>
          <w:i w:val="false"/>
          <w:color w:val="000000"/>
          <w:sz w:val="28"/>
        </w:rPr>
        <w:t>
</w:t>
      </w:r>
    </w:p>
    <w:bookmarkStart w:name="z2152" w:id="2147"/>
    <w:p>
      <w:pPr>
        <w:spacing w:after="0"/>
        <w:ind w:left="0"/>
        <w:jc w:val="both"/>
      </w:pPr>
      <w:r>
        <w:rPr>
          <w:rFonts w:ascii="Times New Roman"/>
          <w:b w:val="false"/>
          <w:i w:val="false"/>
          <w:color w:val="000000"/>
          <w:sz w:val="28"/>
        </w:rPr>
        <w:t xml:space="preserve">
      Момент сопротивления сечения рудерпоста относительно горизонтальной продольной оси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214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8(1 – б)</w:t>
      </w:r>
      <w:r>
        <w:rPr>
          <w:rFonts w:ascii="Times New Roman"/>
          <w:b w:val="false"/>
          <w:i/>
          <w:color w:val="000000"/>
          <w:sz w:val="28"/>
        </w:rPr>
        <w:t>R</w:t>
      </w:r>
      <w:r>
        <w:rPr>
          <w:rFonts w:ascii="Times New Roman"/>
          <w:b w:val="false"/>
          <w:i w:val="false"/>
          <w:color w:val="000000"/>
          <w:vertAlign w:val="subscript"/>
        </w:rPr>
        <w:t>4</w:t>
      </w:r>
      <w:r>
        <w:rPr>
          <w:rFonts w:ascii="Times New Roman"/>
          <w:b w:val="false"/>
          <w:i/>
          <w:color w:val="000000"/>
          <w:sz w:val="28"/>
        </w:rPr>
        <w:t>l</w:t>
      </w:r>
      <w:r>
        <w:rPr>
          <w:rFonts w:ascii="Times New Roman"/>
          <w:b w:val="false"/>
          <w:i w:val="false"/>
          <w:color w:val="000000"/>
          <w:vertAlign w:val="subscript"/>
        </w:rPr>
        <w:t>р</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Здесь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0,85 при наличии рудерпоста;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при отсутствии рудерпоста или, если рудерпост съемный;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4</w:t>
      </w:r>
      <w:r>
        <w:rPr>
          <w:rFonts w:ascii="Times New Roman"/>
          <w:b w:val="false"/>
          <w:i w:val="false"/>
          <w:color w:val="000000"/>
          <w:sz w:val="28"/>
        </w:rPr>
        <w:t xml:space="preserve"> — согласно параграфу 2 главы 24 настоящих Правил;</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s</w:t>
      </w:r>
      <w:r>
        <w:rPr>
          <w:rFonts w:ascii="Times New Roman"/>
          <w:b w:val="false"/>
          <w:i w:val="false"/>
          <w:color w:val="000000"/>
          <w:sz w:val="28"/>
        </w:rPr>
        <w:t xml:space="preserve"> — отстояние рассматриваемого сечения подошвы ахтерштевня от оси вращения руля, м (не следует принимать x</w:t>
      </w:r>
      <w:r>
        <w:rPr>
          <w:rFonts w:ascii="Times New Roman"/>
          <w:b w:val="false"/>
          <w:i w:val="false"/>
          <w:color w:val="000000"/>
          <w:vertAlign w:val="subscript"/>
        </w:rPr>
        <w:t>s</w:t>
      </w:r>
      <w:r>
        <w:rPr>
          <w:rFonts w:ascii="Times New Roman"/>
          <w:b w:val="false"/>
          <w:i w:val="false"/>
          <w:color w:val="000000"/>
          <w:sz w:val="28"/>
        </w:rPr>
        <w:t xml:space="preserve"> менее 0,5</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 xml:space="preserve"> и более </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 xml:space="preserve"> — длина пролета подошвы ахтерштевня, измеряемая от оси вращения руля до начала скругления около старнпоста,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val="false"/>
          <w:color w:val="000000"/>
          <w:sz w:val="28"/>
        </w:rPr>
        <w:t xml:space="preserve"> — длина пролета рудерпоста, измеряемая по вертикали от середины толщины подошвы ахтерштевня на оси вращения руля до начала скругления в верхней части рудерпоста,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пункту 133 настоящих Правил.</w:t>
      </w:r>
      <w:r>
        <w:br/>
      </w:r>
      <w:r>
        <w:rPr>
          <w:rFonts w:ascii="Times New Roman"/>
          <w:b w:val="false"/>
          <w:i w:val="false"/>
          <w:color w:val="000000"/>
          <w:sz w:val="28"/>
        </w:rPr>
        <w:t>
</w:t>
      </w:r>
    </w:p>
    <w:bookmarkStart w:name="z2153" w:id="2148"/>
    <w:p>
      <w:pPr>
        <w:spacing w:after="0"/>
        <w:ind w:left="0"/>
        <w:jc w:val="both"/>
      </w:pPr>
      <w:r>
        <w:rPr>
          <w:rFonts w:ascii="Times New Roman"/>
          <w:b w:val="false"/>
          <w:i w:val="false"/>
          <w:color w:val="000000"/>
          <w:sz w:val="28"/>
        </w:rPr>
        <w:t xml:space="preserve">
      Момент сопротивления сечения подошвы ахтерштевня относительно горизонтальной поперечной оси должен быть не менее 0,5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 согласно формуле (156) настоящих Правил. Момент сопротивления сечения рудерпоста относительно горизонтальной поперечной оси равен не менее 0,5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согласно формуле (157) настоящих Правил;</w:t>
      </w:r>
    </w:p>
    <w:bookmarkEnd w:id="2148"/>
    <w:bookmarkStart w:name="z2154" w:id="2149"/>
    <w:p>
      <w:pPr>
        <w:spacing w:after="0"/>
        <w:ind w:left="0"/>
        <w:jc w:val="both"/>
      </w:pPr>
      <w:r>
        <w:rPr>
          <w:rFonts w:ascii="Times New Roman"/>
          <w:b w:val="false"/>
          <w:i w:val="false"/>
          <w:color w:val="000000"/>
          <w:sz w:val="28"/>
        </w:rPr>
        <w:t xml:space="preserve">
      6) размеры сечений элементов ахтерштевня допускается определять на основании прямого расчета прочности, принимая значение коэффициента допускаемых напряжений </w:t>
      </w:r>
    </w:p>
    <w:bookmarkEnd w:id="2149"/>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0,55 и внешние нагрузки согласно главы 47 настоящих Правил.</w:t>
      </w:r>
      <w:r>
        <w:br/>
      </w:r>
      <w:r>
        <w:rPr>
          <w:rFonts w:ascii="Times New Roman"/>
          <w:b w:val="false"/>
          <w:i w:val="false"/>
          <w:color w:val="000000"/>
          <w:sz w:val="28"/>
        </w:rPr>
        <w:t>
</w:t>
      </w:r>
    </w:p>
    <w:bookmarkStart w:name="z2155" w:id="2150"/>
    <w:p>
      <w:pPr>
        <w:spacing w:after="0"/>
        <w:ind w:left="0"/>
        <w:jc w:val="both"/>
      </w:pPr>
      <w:r>
        <w:rPr>
          <w:rFonts w:ascii="Times New Roman"/>
          <w:b w:val="false"/>
          <w:i w:val="false"/>
          <w:color w:val="000000"/>
          <w:sz w:val="28"/>
        </w:rPr>
        <w:t>
      520. Размеры сечения ахтерштевня двухвального судна отвечают требованиям к размерам сечения старнпоста одновального судна согласно пункту 519 настоящих Правил со следующими изменениями:</w:t>
      </w:r>
    </w:p>
    <w:bookmarkEnd w:id="2150"/>
    <w:bookmarkStart w:name="z2156" w:id="2151"/>
    <w:p>
      <w:pPr>
        <w:spacing w:after="0"/>
        <w:ind w:left="0"/>
        <w:jc w:val="both"/>
      </w:pPr>
      <w:r>
        <w:rPr>
          <w:rFonts w:ascii="Times New Roman"/>
          <w:b w:val="false"/>
          <w:i w:val="false"/>
          <w:color w:val="000000"/>
          <w:sz w:val="28"/>
        </w:rPr>
        <w:t>
      1) возможно уменьшение ширины сечения ахтерштевня сплошного прямоугольного сечения на 50 % против требуемой в подпункте 1) пункта 519 настоящих Правил;</w:t>
      </w:r>
    </w:p>
    <w:bookmarkEnd w:id="2151"/>
    <w:bookmarkStart w:name="z2157" w:id="2152"/>
    <w:p>
      <w:pPr>
        <w:spacing w:after="0"/>
        <w:ind w:left="0"/>
        <w:jc w:val="both"/>
      </w:pPr>
      <w:r>
        <w:rPr>
          <w:rFonts w:ascii="Times New Roman"/>
          <w:b w:val="false"/>
          <w:i w:val="false"/>
          <w:color w:val="000000"/>
          <w:sz w:val="28"/>
        </w:rPr>
        <w:t>
      2) возможно уменьшение размеров сечения ахтерштевня литой или сварной конструкции против требуемых соответственно в подпунктах 2) и 3) пункта 519 настоящих Правил, из расчета, чтобы моменты сопротивления их сечений относительно горизонтальных продольной и поперечной осей уменьшились не более чем на 50 %. При этом толщина стенок ахтерштевня равна не менее 7мм.</w:t>
      </w:r>
    </w:p>
    <w:bookmarkEnd w:id="2152"/>
    <w:bookmarkStart w:name="z2158" w:id="2153"/>
    <w:p>
      <w:pPr>
        <w:spacing w:after="0"/>
        <w:ind w:left="0"/>
        <w:jc w:val="both"/>
      </w:pPr>
      <w:r>
        <w:rPr>
          <w:rFonts w:ascii="Times New Roman"/>
          <w:b w:val="false"/>
          <w:i w:val="false"/>
          <w:color w:val="000000"/>
          <w:sz w:val="28"/>
        </w:rPr>
        <w:t>
      521. У кронштейна полуподвесного руля с одной петлей на кронштейне момент сопротивления сечения относительно горизонтальной продольной оси,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2153"/>
    <w:p>
      <w:pPr>
        <w:spacing w:after="0"/>
        <w:ind w:left="0"/>
        <w:jc w:val="both"/>
      </w:pPr>
      <w:r>
        <w:rPr>
          <w:rFonts w:ascii="Times New Roman"/>
          <w:b w:val="false"/>
          <w:i w:val="false"/>
          <w:color w:val="000000"/>
          <w:sz w:val="28"/>
        </w:rPr>
        <w:t>
      W = 12R</w:t>
      </w:r>
      <w:r>
        <w:rPr>
          <w:rFonts w:ascii="Times New Roman"/>
          <w:b w:val="false"/>
          <w:i w:val="false"/>
          <w:color w:val="000000"/>
          <w:vertAlign w:val="subscript"/>
        </w:rPr>
        <w:t>4</w:t>
      </w:r>
      <w:r>
        <w:rPr>
          <w:rFonts w:ascii="Times New Roman"/>
          <w:b w:val="false"/>
          <w:i w:val="false"/>
          <w:color w:val="000000"/>
          <w:sz w:val="28"/>
        </w:rPr>
        <w:t>z</w:t>
      </w:r>
      <w:r>
        <w:rPr>
          <w:rFonts w:ascii="Times New Roman"/>
          <w:b w:val="false"/>
          <w:i w:val="false"/>
          <w:color w:val="000000"/>
          <w:vertAlign w:val="subscript"/>
        </w:rPr>
        <w:t>s</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4</w:t>
      </w:r>
      <w:r>
        <w:rPr>
          <w:rFonts w:ascii="Times New Roman"/>
          <w:b w:val="false"/>
          <w:i w:val="false"/>
          <w:color w:val="000000"/>
          <w:sz w:val="28"/>
        </w:rPr>
        <w:t xml:space="preserve"> — согласно параграфу 2 главы 24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s</w:t>
      </w:r>
      <w:r>
        <w:rPr>
          <w:rFonts w:ascii="Times New Roman"/>
          <w:b w:val="false"/>
          <w:i w:val="false"/>
          <w:color w:val="000000"/>
          <w:sz w:val="28"/>
        </w:rPr>
        <w:t xml:space="preserve"> — отстояние по вертикали от середины толщины петли руля на кронштейне до рассматриваемого сечения, м (не следует принимать z</w:t>
      </w:r>
      <w:r>
        <w:rPr>
          <w:rFonts w:ascii="Times New Roman"/>
          <w:b w:val="false"/>
          <w:i w:val="false"/>
          <w:color w:val="000000"/>
          <w:vertAlign w:val="subscript"/>
        </w:rPr>
        <w:t>s</w:t>
      </w:r>
      <w:r>
        <w:rPr>
          <w:rFonts w:ascii="Times New Roman"/>
          <w:b w:val="false"/>
          <w:i w:val="false"/>
          <w:color w:val="000000"/>
          <w:sz w:val="28"/>
        </w:rPr>
        <w:t xml:space="preserve"> менее 0,5</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и более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 длина пролета кронштейна, измеряемая по вертикали от середины толщины петли руля на кронштейне до точки пересечения оси кронштейна с наружной обшивкой,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согласно пункту 133 настоящих Правил.</w:t>
      </w:r>
      <w:r>
        <w:br/>
      </w:r>
      <w:r>
        <w:rPr>
          <w:rFonts w:ascii="Times New Roman"/>
          <w:b w:val="false"/>
          <w:i w:val="false"/>
          <w:color w:val="000000"/>
          <w:sz w:val="28"/>
        </w:rPr>
        <w:t>
</w:t>
      </w:r>
    </w:p>
    <w:bookmarkStart w:name="z2159" w:id="2154"/>
    <w:p>
      <w:pPr>
        <w:spacing w:after="0"/>
        <w:ind w:left="0"/>
        <w:jc w:val="both"/>
      </w:pPr>
      <w:r>
        <w:rPr>
          <w:rFonts w:ascii="Times New Roman"/>
          <w:b w:val="false"/>
          <w:i w:val="false"/>
          <w:color w:val="000000"/>
          <w:sz w:val="28"/>
        </w:rPr>
        <w:t>
      У кронштейна сварной листовой конструкции толщина листовых элементов во всех случаях равна не менее 7мм.</w:t>
      </w:r>
    </w:p>
    <w:bookmarkEnd w:id="2154"/>
    <w:bookmarkStart w:name="z2160" w:id="2155"/>
    <w:p>
      <w:pPr>
        <w:spacing w:after="0"/>
        <w:ind w:left="0"/>
        <w:jc w:val="both"/>
      </w:pPr>
      <w:r>
        <w:rPr>
          <w:rFonts w:ascii="Times New Roman"/>
          <w:b w:val="false"/>
          <w:i w:val="false"/>
          <w:color w:val="000000"/>
          <w:sz w:val="28"/>
        </w:rPr>
        <w:t xml:space="preserve">
      Размеры элементов кронштейна допускается определять на основании прямого расчета прочности, принимая коэффициент допускаемых напряжений </w:t>
      </w:r>
    </w:p>
    <w:bookmarkEnd w:id="2155"/>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0,35 и внешние нагрузки согласно главы 47 настоящих Правил.</w:t>
      </w:r>
      <w:r>
        <w:br/>
      </w:r>
      <w:r>
        <w:rPr>
          <w:rFonts w:ascii="Times New Roman"/>
          <w:b w:val="false"/>
          <w:i w:val="false"/>
          <w:color w:val="000000"/>
          <w:sz w:val="28"/>
        </w:rPr>
        <w:t>
</w:t>
      </w:r>
    </w:p>
    <w:bookmarkStart w:name="z2161" w:id="2156"/>
    <w:p>
      <w:pPr>
        <w:spacing w:after="0"/>
        <w:ind w:left="0"/>
        <w:jc w:val="both"/>
      </w:pPr>
      <w:r>
        <w:rPr>
          <w:rFonts w:ascii="Times New Roman"/>
          <w:b w:val="false"/>
          <w:i w:val="false"/>
          <w:color w:val="000000"/>
          <w:sz w:val="28"/>
        </w:rPr>
        <w:t>
      522. Площадь поперечного сечения каждой из лап кронштейна бортовых гребных валов равна не менее 60 % площади сечения гребного вала в плоскости кронштейна, толщина сечения лапы — не менее 45 %, а толщина ступицы — не менее 35 % диаметра вала. Длина ступицы принимается согласно пункту 2811 настоящих Правил.</w:t>
      </w:r>
    </w:p>
    <w:bookmarkEnd w:id="2156"/>
    <w:bookmarkStart w:name="z2162" w:id="2157"/>
    <w:p>
      <w:pPr>
        <w:spacing w:after="0"/>
        <w:ind w:left="0"/>
        <w:jc w:val="both"/>
      </w:pPr>
      <w:r>
        <w:rPr>
          <w:rFonts w:ascii="Times New Roman"/>
          <w:b w:val="false"/>
          <w:i w:val="false"/>
          <w:color w:val="000000"/>
          <w:sz w:val="28"/>
        </w:rPr>
        <w:t>
      Кронштейны сварной конструкции имеют прочность не менее, указанной выше. Толщина листов при этом равна не менее 7мм.</w:t>
      </w:r>
    </w:p>
    <w:bookmarkEnd w:id="2157"/>
    <w:bookmarkStart w:name="z2163" w:id="2158"/>
    <w:p>
      <w:pPr>
        <w:spacing w:after="0"/>
        <w:ind w:left="0"/>
        <w:jc w:val="both"/>
      </w:pPr>
      <w:r>
        <w:rPr>
          <w:rFonts w:ascii="Times New Roman"/>
          <w:b w:val="false"/>
          <w:i w:val="false"/>
          <w:color w:val="000000"/>
          <w:sz w:val="28"/>
        </w:rPr>
        <w:t>
      Площадь сечения сварного шва, крепящего каждую лапу к корпусу, должна быть не менее 25 % площади поперечного сечения гребного вала. При креплении лап фланцами толщина последних должна быть не менее 25 % диаметра вала.</w:t>
      </w:r>
    </w:p>
    <w:bookmarkEnd w:id="2158"/>
    <w:bookmarkStart w:name="z2164" w:id="2159"/>
    <w:p>
      <w:pPr>
        <w:spacing w:after="0"/>
        <w:ind w:left="0"/>
        <w:jc w:val="both"/>
      </w:pPr>
      <w:r>
        <w:rPr>
          <w:rFonts w:ascii="Times New Roman"/>
          <w:b w:val="false"/>
          <w:i w:val="false"/>
          <w:color w:val="000000"/>
          <w:sz w:val="28"/>
        </w:rPr>
        <w:t xml:space="preserve">
      523. Брусковый киль имеет высоту </w:t>
      </w:r>
      <w:r>
        <w:rPr>
          <w:rFonts w:ascii="Times New Roman"/>
          <w:b w:val="false"/>
          <w:i/>
          <w:color w:val="000000"/>
          <w:sz w:val="28"/>
        </w:rPr>
        <w:t>h</w:t>
      </w:r>
      <w:r>
        <w:rPr>
          <w:rFonts w:ascii="Times New Roman"/>
          <w:b w:val="false"/>
          <w:i w:val="false"/>
          <w:color w:val="000000"/>
          <w:vertAlign w:val="subscript"/>
        </w:rPr>
        <w:t>s</w:t>
      </w:r>
      <w:r>
        <w:rPr>
          <w:rFonts w:ascii="Times New Roman"/>
          <w:b w:val="false"/>
          <w:i w:val="false"/>
          <w:color w:val="000000"/>
          <w:sz w:val="28"/>
        </w:rPr>
        <w:t xml:space="preserve"> и ширину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поперечного сечения, мм, не менее, определяемой по формулам:</w:t>
      </w:r>
    </w:p>
    <w:bookmarkEnd w:id="2159"/>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s</w:t>
      </w:r>
      <w:r>
        <w:rPr>
          <w:rFonts w:ascii="Times New Roman"/>
          <w:b w:val="false"/>
          <w:i w:val="false"/>
          <w:color w:val="000000"/>
          <w:sz w:val="28"/>
        </w:rPr>
        <w:t xml:space="preserve"> = 1,3</w:t>
      </w:r>
      <w:r>
        <w:rPr>
          <w:rFonts w:ascii="Times New Roman"/>
          <w:b w:val="false"/>
          <w:i/>
          <w:color w:val="000000"/>
          <w:sz w:val="28"/>
        </w:rPr>
        <w:t>L</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0,7</w:t>
      </w:r>
      <w:r>
        <w:rPr>
          <w:rFonts w:ascii="Times New Roman"/>
          <w:b w:val="false"/>
          <w:i/>
          <w:color w:val="000000"/>
          <w:sz w:val="28"/>
        </w:rPr>
        <w:t>L</w:t>
      </w:r>
      <w:r>
        <w:rPr>
          <w:rFonts w:ascii="Times New Roman"/>
          <w:b w:val="false"/>
          <w:i w:val="false"/>
          <w:color w:val="000000"/>
          <w:sz w:val="28"/>
        </w:rPr>
        <w:t xml:space="preserve"> + 8   </w:t>
      </w:r>
      <w:r>
        <w:rPr>
          <w:rFonts w:ascii="Times New Roman"/>
          <w:b w:val="false"/>
          <w:i/>
          <w:color w:val="000000"/>
          <w:sz w:val="28"/>
        </w:rPr>
        <w:t>L</w:t>
      </w:r>
      <w:r>
        <w:rPr>
          <w:rFonts w:ascii="Times New Roman"/>
          <w:b w:val="false"/>
          <w:i w:val="false"/>
          <w:color w:val="000000"/>
          <w:sz w:val="28"/>
        </w:rPr>
        <w:t xml:space="preserve"> &lt; 60 м;                (159)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0,4</w:t>
      </w:r>
      <w:r>
        <w:rPr>
          <w:rFonts w:ascii="Times New Roman"/>
          <w:b w:val="false"/>
          <w:i/>
          <w:color w:val="000000"/>
          <w:sz w:val="28"/>
        </w:rPr>
        <w:t>L</w:t>
      </w:r>
      <w:r>
        <w:rPr>
          <w:rFonts w:ascii="Times New Roman"/>
          <w:b w:val="false"/>
          <w:i w:val="false"/>
          <w:color w:val="000000"/>
          <w:sz w:val="28"/>
        </w:rPr>
        <w:t xml:space="preserve"> + 26   L </w:t>
      </w:r>
      <w:r>
        <w:rPr>
          <w:rFonts w:ascii="Times New Roman"/>
          <w:b w:val="false"/>
          <w:i w:val="false"/>
          <w:color w:val="000000"/>
          <w:sz w:val="28"/>
          <w:u w:val="single"/>
        </w:rPr>
        <w:t>&gt;</w:t>
      </w:r>
      <w:r>
        <w:rPr>
          <w:rFonts w:ascii="Times New Roman"/>
          <w:b w:val="false"/>
          <w:i w:val="false"/>
          <w:color w:val="000000"/>
          <w:sz w:val="28"/>
        </w:rPr>
        <w:t xml:space="preserve"> 60 м.</w:t>
      </w:r>
    </w:p>
    <w:bookmarkStart w:name="z2165" w:id="2160"/>
    <w:p>
      <w:pPr>
        <w:spacing w:after="0"/>
        <w:ind w:left="0"/>
        <w:jc w:val="both"/>
      </w:pPr>
      <w:r>
        <w:rPr>
          <w:rFonts w:ascii="Times New Roman"/>
          <w:b w:val="false"/>
          <w:i w:val="false"/>
          <w:color w:val="000000"/>
          <w:sz w:val="28"/>
        </w:rPr>
        <w:t>
      Возможно уменьшение высоты и ширины сечения брускового киля для судов ограниченных районов плавания:</w:t>
      </w:r>
    </w:p>
    <w:bookmarkEnd w:id="2160"/>
    <w:p>
      <w:pPr>
        <w:spacing w:after="0"/>
        <w:ind w:left="0"/>
        <w:jc w:val="both"/>
      </w:pPr>
      <w:r>
        <w:rPr>
          <w:rFonts w:ascii="Times New Roman"/>
          <w:b w:val="false"/>
          <w:i w:val="false"/>
          <w:color w:val="000000"/>
          <w:sz w:val="28"/>
        </w:rPr>
        <w:t>
      R2 и R2-RSN — на 5 %;</w:t>
      </w:r>
    </w:p>
    <w:p>
      <w:pPr>
        <w:spacing w:after="0"/>
        <w:ind w:left="0"/>
        <w:jc w:val="both"/>
      </w:pPr>
      <w:r>
        <w:rPr>
          <w:rFonts w:ascii="Times New Roman"/>
          <w:b w:val="false"/>
          <w:i w:val="false"/>
          <w:color w:val="000000"/>
          <w:sz w:val="28"/>
        </w:rPr>
        <w:t>
      R3-RSN и R3 — на 10 %.</w:t>
      </w:r>
    </w:p>
    <w:bookmarkStart w:name="z2166" w:id="2161"/>
    <w:p>
      <w:pPr>
        <w:spacing w:after="0"/>
        <w:ind w:left="0"/>
        <w:jc w:val="both"/>
      </w:pPr>
      <w:r>
        <w:rPr>
          <w:rFonts w:ascii="Times New Roman"/>
          <w:b w:val="false"/>
          <w:i w:val="false"/>
          <w:color w:val="000000"/>
          <w:sz w:val="28"/>
        </w:rPr>
        <w:t>
      524. Толщина наружной и внутренней обшивок неповоротной насадки соответствуют параграфу 2 главы 49 настоящих Правил с учетом следующего:</w:t>
      </w:r>
    </w:p>
    <w:bookmarkEnd w:id="2161"/>
    <w:bookmarkStart w:name="z2167" w:id="2162"/>
    <w:p>
      <w:pPr>
        <w:spacing w:after="0"/>
        <w:ind w:left="0"/>
        <w:jc w:val="both"/>
      </w:pPr>
      <w:r>
        <w:rPr>
          <w:rFonts w:ascii="Times New Roman"/>
          <w:b w:val="false"/>
          <w:i w:val="false"/>
          <w:color w:val="000000"/>
          <w:sz w:val="28"/>
        </w:rPr>
        <w:t>
      ширина среднего пояса внутренней обшивки принимается не менее расстояния от 0,03</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в нос от концевых кромок лопастей винта до 0,07 </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в корму от кромок, где </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 внутренний диаметр насадки гребного винта;</w:t>
      </w:r>
    </w:p>
    <w:bookmarkEnd w:id="2162"/>
    <w:bookmarkStart w:name="z2168" w:id="2163"/>
    <w:p>
      <w:pPr>
        <w:spacing w:after="0"/>
        <w:ind w:left="0"/>
        <w:jc w:val="both"/>
      </w:pPr>
      <w:r>
        <w:rPr>
          <w:rFonts w:ascii="Times New Roman"/>
          <w:b w:val="false"/>
          <w:i w:val="false"/>
          <w:color w:val="000000"/>
          <w:sz w:val="28"/>
        </w:rPr>
        <w:t>
      толщина носового участка внутренней и наружной обшивок равна не менее требуемой для бортовой обшивки (пункт 314 настоящих Правил) для поперечной системы набора.</w:t>
      </w:r>
    </w:p>
    <w:bookmarkEnd w:id="2163"/>
    <w:bookmarkStart w:name="z2169" w:id="2164"/>
    <w:p>
      <w:pPr>
        <w:spacing w:after="0"/>
        <w:ind w:left="0"/>
        <w:jc w:val="both"/>
      </w:pPr>
      <w:r>
        <w:rPr>
          <w:rFonts w:ascii="Times New Roman"/>
          <w:b w:val="false"/>
          <w:i w:val="false"/>
          <w:color w:val="000000"/>
          <w:sz w:val="28"/>
        </w:rPr>
        <w:t>
      Ширина крепления насадки гребного винта к корпусу судна равна не менее 0,15</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w:t>
      </w:r>
    </w:p>
    <w:bookmarkEnd w:id="2164"/>
    <w:bookmarkStart w:name="z2170" w:id="2165"/>
    <w:p>
      <w:pPr>
        <w:spacing w:after="0"/>
        <w:ind w:left="0"/>
        <w:jc w:val="both"/>
      </w:pPr>
      <w:r>
        <w:rPr>
          <w:rFonts w:ascii="Times New Roman"/>
          <w:b w:val="false"/>
          <w:i w:val="false"/>
          <w:color w:val="000000"/>
          <w:sz w:val="28"/>
        </w:rPr>
        <w:t>
      Площадь поперечного сечения соединения допускается не менее требуемой подпунктом 5) пункта 519 настоящих Правил для подошвы ахтерштевня. При наличии опоры пера руля в пятке ахтерштевня соединение насадки гребного винта с подошвой ахтерштевня является предметом специального рассмотрения Регистром судоходства.</w:t>
      </w:r>
    </w:p>
    <w:bookmarkEnd w:id="2165"/>
    <w:bookmarkStart w:name="z2171" w:id="2166"/>
    <w:p>
      <w:pPr>
        <w:spacing w:after="0"/>
        <w:ind w:left="0"/>
        <w:jc w:val="both"/>
      </w:pPr>
      <w:r>
        <w:rPr>
          <w:rFonts w:ascii="Times New Roman"/>
          <w:b w:val="false"/>
          <w:i w:val="false"/>
          <w:color w:val="000000"/>
          <w:sz w:val="28"/>
        </w:rPr>
        <w:t>
      525. Для двухвинтовых судов, когда насадка гребного винта не закреплена к корпусу судна в нижней части, ширина верхнего крепления ее к корпусу приниматеся не менее 0,3</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w:t>
      </w:r>
    </w:p>
    <w:bookmarkEnd w:id="2166"/>
    <w:bookmarkStart w:name="z2172" w:id="2167"/>
    <w:p>
      <w:pPr>
        <w:spacing w:after="0"/>
        <w:ind w:left="0"/>
        <w:jc w:val="both"/>
      </w:pPr>
      <w:r>
        <w:rPr>
          <w:rFonts w:ascii="Times New Roman"/>
          <w:b w:val="false"/>
          <w:i w:val="false"/>
          <w:color w:val="000000"/>
          <w:sz w:val="28"/>
        </w:rPr>
        <w:t>
      Если насадка гребного винта крепится к корпусу судна с помощью кронштейнов, необходимо чтобы их прочность соответствовала требованиям пункта 522 настоящих Правил.</w:t>
      </w:r>
    </w:p>
    <w:bookmarkEnd w:id="2167"/>
    <w:bookmarkStart w:name="z2173" w:id="2168"/>
    <w:p>
      <w:pPr>
        <w:spacing w:after="0"/>
        <w:ind w:left="0"/>
        <w:jc w:val="both"/>
      </w:pPr>
      <w:r>
        <w:rPr>
          <w:rFonts w:ascii="Times New Roman"/>
          <w:b w:val="false"/>
          <w:i w:val="false"/>
          <w:color w:val="000000"/>
          <w:sz w:val="28"/>
        </w:rPr>
        <w:t>
      В районе крепления насадки гребного винта к корпусу толщина элементов набора равна не менее требуемой формулой (490) настоящих Правил.</w:t>
      </w:r>
    </w:p>
    <w:bookmarkEnd w:id="2168"/>
    <w:bookmarkStart w:name="z2174" w:id="2169"/>
    <w:p>
      <w:pPr>
        <w:spacing w:after="0"/>
        <w:ind w:left="0"/>
        <w:jc w:val="left"/>
      </w:pPr>
      <w:r>
        <w:rPr>
          <w:rFonts w:ascii="Times New Roman"/>
          <w:b/>
          <w:i w:val="false"/>
          <w:color w:val="000000"/>
        </w:rPr>
        <w:t xml:space="preserve"> Глава 25. Фундаменты под механизмы и котлы</w:t>
      </w:r>
    </w:p>
    <w:bookmarkEnd w:id="2169"/>
    <w:p>
      <w:pPr>
        <w:spacing w:after="0"/>
        <w:ind w:left="0"/>
        <w:jc w:val="both"/>
      </w:pPr>
      <w:r>
        <w:rPr>
          <w:rFonts w:ascii="Times New Roman"/>
          <w:b w:val="false"/>
          <w:i w:val="false"/>
          <w:color w:val="ff0000"/>
          <w:sz w:val="28"/>
        </w:rPr>
        <w:t xml:space="preserve">
      Сноска. Заголовок главы 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5" w:id="2170"/>
    <w:p>
      <w:pPr>
        <w:spacing w:after="0"/>
        <w:ind w:left="0"/>
        <w:jc w:val="left"/>
      </w:pPr>
      <w:r>
        <w:rPr>
          <w:rFonts w:ascii="Times New Roman"/>
          <w:b/>
          <w:i w:val="false"/>
          <w:color w:val="000000"/>
        </w:rPr>
        <w:t xml:space="preserve"> Параграф 1. Общие положения, конструкция фундаментов</w:t>
      </w:r>
    </w:p>
    <w:bookmarkEnd w:id="2170"/>
    <w:bookmarkStart w:name="z2176" w:id="2171"/>
    <w:p>
      <w:pPr>
        <w:spacing w:after="0"/>
        <w:ind w:left="0"/>
        <w:jc w:val="both"/>
      </w:pPr>
      <w:r>
        <w:rPr>
          <w:rFonts w:ascii="Times New Roman"/>
          <w:b w:val="false"/>
          <w:i w:val="false"/>
          <w:color w:val="000000"/>
          <w:sz w:val="28"/>
        </w:rPr>
        <w:t>
      526. В главе приводятся требования к конструкции и размерам фундаментов под главные механизмы и котлы, палубные, промысловые, грузовые, вспомогательные и другие механизмы, агрегаты и устройства.</w:t>
      </w:r>
    </w:p>
    <w:bookmarkEnd w:id="2171"/>
    <w:bookmarkStart w:name="z2177" w:id="2172"/>
    <w:p>
      <w:pPr>
        <w:spacing w:after="0"/>
        <w:ind w:left="0"/>
        <w:jc w:val="both"/>
      </w:pPr>
      <w:r>
        <w:rPr>
          <w:rFonts w:ascii="Times New Roman"/>
          <w:b w:val="false"/>
          <w:i w:val="false"/>
          <w:color w:val="000000"/>
          <w:sz w:val="28"/>
        </w:rPr>
        <w:t>
      527. Требования главы являются минимальными. Также выполняются указания, касающиеся конструкции и размеров деталей фундамента, которые содержатся в технической документации механизма, агрегата или устройства, устанавливаемого на этот фундамент.</w:t>
      </w:r>
    </w:p>
    <w:bookmarkEnd w:id="2172"/>
    <w:bookmarkStart w:name="z2178" w:id="2173"/>
    <w:p>
      <w:pPr>
        <w:spacing w:after="0"/>
        <w:ind w:left="0"/>
        <w:jc w:val="both"/>
      </w:pPr>
      <w:r>
        <w:rPr>
          <w:rFonts w:ascii="Times New Roman"/>
          <w:b w:val="false"/>
          <w:i w:val="false"/>
          <w:color w:val="000000"/>
          <w:sz w:val="28"/>
        </w:rPr>
        <w:t>
      528. Необходимо чтобы конструкция фундамента соответствовала следующим общим требованиям:</w:t>
      </w:r>
    </w:p>
    <w:bookmarkEnd w:id="2173"/>
    <w:bookmarkStart w:name="z2179" w:id="2174"/>
    <w:p>
      <w:pPr>
        <w:spacing w:after="0"/>
        <w:ind w:left="0"/>
        <w:jc w:val="both"/>
      </w:pPr>
      <w:r>
        <w:rPr>
          <w:rFonts w:ascii="Times New Roman"/>
          <w:b w:val="false"/>
          <w:i w:val="false"/>
          <w:color w:val="000000"/>
          <w:sz w:val="28"/>
        </w:rPr>
        <w:t>
      1) фундамент имеет прочную и жесткую конструкцию, обеспечивающую надежное крепление механизма, агрегата или устройства и передачу усилий на набор корпуса, обладающий достаточной прочностью. При необходимости набор подкрепляют;</w:t>
      </w:r>
    </w:p>
    <w:bookmarkEnd w:id="2174"/>
    <w:bookmarkStart w:name="z2180" w:id="2175"/>
    <w:p>
      <w:pPr>
        <w:spacing w:after="0"/>
        <w:ind w:left="0"/>
        <w:jc w:val="both"/>
      </w:pPr>
      <w:r>
        <w:rPr>
          <w:rFonts w:ascii="Times New Roman"/>
          <w:b w:val="false"/>
          <w:i w:val="false"/>
          <w:color w:val="000000"/>
          <w:sz w:val="28"/>
        </w:rPr>
        <w:t>
      2) конструкция исключает резонансную вибрацию фундамента в целом и его элементов на всех спецификационных режимах работы механизма;</w:t>
      </w:r>
    </w:p>
    <w:bookmarkEnd w:id="2175"/>
    <w:bookmarkStart w:name="z2181" w:id="2176"/>
    <w:p>
      <w:pPr>
        <w:spacing w:after="0"/>
        <w:ind w:left="0"/>
        <w:jc w:val="both"/>
      </w:pPr>
      <w:r>
        <w:rPr>
          <w:rFonts w:ascii="Times New Roman"/>
          <w:b w:val="false"/>
          <w:i w:val="false"/>
          <w:color w:val="000000"/>
          <w:sz w:val="28"/>
        </w:rPr>
        <w:t>
      3) при установке фундамента на непрерывные продольные связи расчетной палубы и двойного дна (днища) в районе 0,5L средней части судна длиной более 65 м высота продольных стенок фундамента по концам уменьшается постепенно и плавно. Если длина продольной стенки более чем в 6 раз превышает ее высоту, стенка и ее опорный лист изготавливают из такой же стали, как и связь палубы или двойного дна (днища), на которой она установлена. Элементы фундамента не заканчиваются на неподкрепленных участках настилов (обшивки). Крепление фундамента к верхней кромке ширстрека является предметом специального рассмотрения Регистром судоходства;</w:t>
      </w:r>
    </w:p>
    <w:bookmarkEnd w:id="2176"/>
    <w:bookmarkStart w:name="z2182" w:id="2177"/>
    <w:p>
      <w:pPr>
        <w:spacing w:after="0"/>
        <w:ind w:left="0"/>
        <w:jc w:val="both"/>
      </w:pPr>
      <w:r>
        <w:rPr>
          <w:rFonts w:ascii="Times New Roman"/>
          <w:b w:val="false"/>
          <w:i w:val="false"/>
          <w:color w:val="000000"/>
          <w:sz w:val="28"/>
        </w:rPr>
        <w:t>
      4) конструкция фундамента обеспечивает доступ для осмотра настила (обшивки) под ним. Исключается скопление воды под фундаментом.</w:t>
      </w:r>
    </w:p>
    <w:bookmarkEnd w:id="2177"/>
    <w:bookmarkStart w:name="z2183" w:id="2178"/>
    <w:p>
      <w:pPr>
        <w:spacing w:after="0"/>
        <w:ind w:left="0"/>
        <w:jc w:val="both"/>
      </w:pPr>
      <w:r>
        <w:rPr>
          <w:rFonts w:ascii="Times New Roman"/>
          <w:b w:val="false"/>
          <w:i w:val="false"/>
          <w:color w:val="000000"/>
          <w:sz w:val="28"/>
        </w:rPr>
        <w:t>
      В отдельных случаях по согласованию с Регистром судоходства допускается выполнение конструкции фундамента герметичной с заполнением внутренней полости химически нейтральным материалом с хорошей адгезией.</w:t>
      </w:r>
    </w:p>
    <w:bookmarkEnd w:id="2178"/>
    <w:bookmarkStart w:name="z2184" w:id="2179"/>
    <w:p>
      <w:pPr>
        <w:spacing w:after="0"/>
        <w:ind w:left="0"/>
        <w:jc w:val="both"/>
      </w:pPr>
      <w:r>
        <w:rPr>
          <w:rFonts w:ascii="Times New Roman"/>
          <w:b w:val="false"/>
          <w:i w:val="false"/>
          <w:color w:val="000000"/>
          <w:sz w:val="28"/>
        </w:rPr>
        <w:t>
      529. Фундамент под главные механизмы и котлы, как правило, состоит из двух продольных вертикальных листов (стенок) (для среднеоборотных двигателей и двигателей большой мощности — из четырех стенок (по две с каждой стороны двигателя)) и горизонтальных поясков (опорных листов), предназначенных для непосредственного крепления к ним механизма (котла). Стенки подкрепляют бракетами (кницами) с поясками (фланцами) по свободным кромкам.</w:t>
      </w:r>
    </w:p>
    <w:bookmarkEnd w:id="2179"/>
    <w:bookmarkStart w:name="z2185" w:id="2180"/>
    <w:p>
      <w:pPr>
        <w:spacing w:after="0"/>
        <w:ind w:left="0"/>
        <w:jc w:val="both"/>
      </w:pPr>
      <w:r>
        <w:rPr>
          <w:rFonts w:ascii="Times New Roman"/>
          <w:b w:val="false"/>
          <w:i w:val="false"/>
          <w:color w:val="000000"/>
          <w:sz w:val="28"/>
        </w:rPr>
        <w:t>
      У фундамента с четырьмя стенками опорный лист крепится к двум стенкам, расположенным по одну сторону механизма; в наружных стенках имеются вырезы для доступа в фундамент. У среднеоборотных двигателей эти вырезы не доходят до опорного листа. Наружные стенки выполняются наклонными.</w:t>
      </w:r>
    </w:p>
    <w:bookmarkEnd w:id="2180"/>
    <w:bookmarkStart w:name="z2186" w:id="2181"/>
    <w:p>
      <w:pPr>
        <w:spacing w:after="0"/>
        <w:ind w:left="0"/>
        <w:jc w:val="both"/>
      </w:pPr>
      <w:r>
        <w:rPr>
          <w:rFonts w:ascii="Times New Roman"/>
          <w:b w:val="false"/>
          <w:i w:val="false"/>
          <w:color w:val="000000"/>
          <w:sz w:val="28"/>
        </w:rPr>
        <w:t>
      Все стенки совмещаются с основными или дополнительными днищевыми стрингерами.</w:t>
      </w:r>
    </w:p>
    <w:bookmarkEnd w:id="2181"/>
    <w:bookmarkStart w:name="z2187" w:id="2182"/>
    <w:p>
      <w:pPr>
        <w:spacing w:after="0"/>
        <w:ind w:left="0"/>
        <w:jc w:val="both"/>
      </w:pPr>
      <w:r>
        <w:rPr>
          <w:rFonts w:ascii="Times New Roman"/>
          <w:b w:val="false"/>
          <w:i w:val="false"/>
          <w:color w:val="000000"/>
          <w:sz w:val="28"/>
        </w:rPr>
        <w:t>
      530. Установка механизмов и другого оборудования на наружной обшивке корпуса, на непроницаемых переборках, палубах и платформах (в том числе на стенках и крышах цистерн), на настиле второго дна и обшивке туннеля гребного вала допускается при креплении их к балкам набора, к специально установленным ребрам жесткости (пункт 265 настоящих Правил) или на кронштейнах, соединенных с балками набора или ребрами жесткости.</w:t>
      </w:r>
    </w:p>
    <w:bookmarkEnd w:id="2182"/>
    <w:bookmarkStart w:name="z2188" w:id="2183"/>
    <w:p>
      <w:pPr>
        <w:spacing w:after="0"/>
        <w:ind w:left="0"/>
        <w:jc w:val="both"/>
      </w:pPr>
      <w:r>
        <w:rPr>
          <w:rFonts w:ascii="Times New Roman"/>
          <w:b w:val="false"/>
          <w:i w:val="false"/>
          <w:color w:val="000000"/>
          <w:sz w:val="28"/>
        </w:rPr>
        <w:t>
      Установка малогабаритных механизмов и оборудования на указанные выше конструкции на наварышах не допускается.</w:t>
      </w:r>
    </w:p>
    <w:bookmarkEnd w:id="2183"/>
    <w:bookmarkStart w:name="z2189" w:id="2184"/>
    <w:p>
      <w:pPr>
        <w:spacing w:after="0"/>
        <w:ind w:left="0"/>
        <w:jc w:val="left"/>
      </w:pPr>
      <w:r>
        <w:rPr>
          <w:rFonts w:ascii="Times New Roman"/>
          <w:b/>
          <w:i w:val="false"/>
          <w:color w:val="000000"/>
        </w:rPr>
        <w:t xml:space="preserve"> Параграф 2. Размеры конструкций фундаментов</w:t>
      </w:r>
    </w:p>
    <w:bookmarkEnd w:id="2184"/>
    <w:bookmarkStart w:name="z2190" w:id="2185"/>
    <w:p>
      <w:pPr>
        <w:spacing w:after="0"/>
        <w:ind w:left="0"/>
        <w:jc w:val="both"/>
      </w:pPr>
      <w:r>
        <w:rPr>
          <w:rFonts w:ascii="Times New Roman"/>
          <w:b w:val="false"/>
          <w:i w:val="false"/>
          <w:color w:val="000000"/>
          <w:sz w:val="28"/>
        </w:rPr>
        <w:t xml:space="preserve">
      531. Толщина деталей фундамента главного механизма или котла </w:t>
      </w:r>
      <w:r>
        <w:rPr>
          <w:rFonts w:ascii="Times New Roman"/>
          <w:b w:val="false"/>
          <w:i/>
          <w:color w:val="000000"/>
          <w:sz w:val="28"/>
        </w:rPr>
        <w:t>s</w:t>
      </w:r>
      <w:r>
        <w:rPr>
          <w:rFonts w:ascii="Times New Roman"/>
          <w:b w:val="false"/>
          <w:i w:val="false"/>
          <w:color w:val="000000"/>
          <w:sz w:val="28"/>
        </w:rPr>
        <w:t>, мм, равна не менее определяемой по формуле</w:t>
      </w:r>
    </w:p>
    <w:bookmarkEnd w:id="218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0</w:t>
      </w:r>
    </w:p>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17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(160)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sz w:val="28"/>
        </w:rPr>
        <w:t xml:space="preserve"> — масса механизма (котла) в рабочем состоянии,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коэффициент, определяемый по приложению 77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коэффициент, определяемый по приложению 78 настоящих Правил.</w:t>
      </w:r>
    </w:p>
    <w:bookmarkStart w:name="z2191" w:id="2186"/>
    <w:p>
      <w:pPr>
        <w:spacing w:after="0"/>
        <w:ind w:left="0"/>
        <w:jc w:val="both"/>
      </w:pPr>
      <w:r>
        <w:rPr>
          <w:rFonts w:ascii="Times New Roman"/>
          <w:b w:val="false"/>
          <w:i w:val="false"/>
          <w:color w:val="000000"/>
          <w:sz w:val="28"/>
        </w:rPr>
        <w:t>
      532. Толщина деталей фундамента главного двигателя внутреннего сгорания s, мм, определяется по формуле:</w:t>
      </w:r>
    </w:p>
    <w:bookmarkEnd w:id="218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2</w:t>
      </w:r>
    </w:p>
    <w:p>
      <w:pPr>
        <w:spacing w:after="0"/>
        <w:ind w:left="0"/>
        <w:jc w:val="both"/>
      </w:pPr>
      <w:r>
        <w:drawing>
          <wp:inline distT="0" distB="0" distL="0" distR="0">
            <wp:extent cx="266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(161)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спецификационная мощность двигателя, кВт;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коэффициенты, определяемые по приложению 79 настоящих Правил, но при этом быть не менее требуемой в пункте 531 настоящих Правил.</w:t>
      </w:r>
    </w:p>
    <w:bookmarkStart w:name="z2192" w:id="2187"/>
    <w:p>
      <w:pPr>
        <w:spacing w:after="0"/>
        <w:ind w:left="0"/>
        <w:jc w:val="left"/>
      </w:pPr>
      <w:r>
        <w:rPr>
          <w:rFonts w:ascii="Times New Roman"/>
          <w:b/>
          <w:i w:val="false"/>
          <w:color w:val="000000"/>
        </w:rPr>
        <w:t xml:space="preserve"> Глава 26. Надстройки, рубки, квартердек</w:t>
      </w:r>
    </w:p>
    <w:bookmarkEnd w:id="2187"/>
    <w:p>
      <w:pPr>
        <w:spacing w:after="0"/>
        <w:ind w:left="0"/>
        <w:jc w:val="both"/>
      </w:pPr>
      <w:r>
        <w:rPr>
          <w:rFonts w:ascii="Times New Roman"/>
          <w:b w:val="false"/>
          <w:i w:val="false"/>
          <w:color w:val="ff0000"/>
          <w:sz w:val="28"/>
        </w:rPr>
        <w:t xml:space="preserve">
      Сноска. Заголовок главы 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3" w:id="2188"/>
    <w:p>
      <w:pPr>
        <w:spacing w:after="0"/>
        <w:ind w:left="0"/>
        <w:jc w:val="left"/>
      </w:pPr>
      <w:r>
        <w:rPr>
          <w:rFonts w:ascii="Times New Roman"/>
          <w:b/>
          <w:i w:val="false"/>
          <w:color w:val="000000"/>
        </w:rPr>
        <w:t xml:space="preserve"> Параграф 1. Общие положения, определения и обозначения</w:t>
      </w:r>
    </w:p>
    <w:bookmarkEnd w:id="2188"/>
    <w:bookmarkStart w:name="z2194" w:id="2189"/>
    <w:p>
      <w:pPr>
        <w:spacing w:after="0"/>
        <w:ind w:left="0"/>
        <w:jc w:val="both"/>
      </w:pPr>
      <w:r>
        <w:rPr>
          <w:rFonts w:ascii="Times New Roman"/>
          <w:b w:val="false"/>
          <w:i w:val="false"/>
          <w:color w:val="000000"/>
          <w:sz w:val="28"/>
        </w:rPr>
        <w:t>
      533. В настоящей главе приводятся требования к конструкциям  коротких и длинных средних надстроек, у которых продольные стенки совпадают с бортами судна, а также коротких средних надстроек с несовпадающими с бортом продольными стенками, бака, юта, удлиненных бака и юта с совпадающими с бортом стенками, коротких рубок и квартердека.</w:t>
      </w:r>
    </w:p>
    <w:bookmarkEnd w:id="2189"/>
    <w:bookmarkStart w:name="z2195" w:id="2190"/>
    <w:p>
      <w:pPr>
        <w:spacing w:after="0"/>
        <w:ind w:left="0"/>
        <w:jc w:val="both"/>
      </w:pPr>
      <w:r>
        <w:rPr>
          <w:rFonts w:ascii="Times New Roman"/>
          <w:b w:val="false"/>
          <w:i w:val="false"/>
          <w:color w:val="000000"/>
          <w:sz w:val="28"/>
        </w:rPr>
        <w:t>
      Возможность и объем применения требований настоящей главы к длинным надстройкам с несовпадающими с бортом продольными стенками, а также к длинным рубкам являются предметом специального рассмотрения Регистром судоходства.</w:t>
      </w:r>
    </w:p>
    <w:bookmarkEnd w:id="2190"/>
    <w:bookmarkStart w:name="z2196" w:id="2191"/>
    <w:p>
      <w:pPr>
        <w:spacing w:after="0"/>
        <w:ind w:left="0"/>
        <w:jc w:val="both"/>
      </w:pPr>
      <w:r>
        <w:rPr>
          <w:rFonts w:ascii="Times New Roman"/>
          <w:b w:val="false"/>
          <w:i w:val="false"/>
          <w:color w:val="000000"/>
          <w:sz w:val="28"/>
        </w:rPr>
        <w:t>
      534. В настоящей главе применяются следующие обозначения:</w:t>
      </w:r>
    </w:p>
    <w:bookmarkEnd w:id="2191"/>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2</w:t>
      </w:r>
      <w:r>
        <w:rPr>
          <w:rFonts w:ascii="Times New Roman"/>
          <w:b w:val="false"/>
          <w:i w:val="false"/>
          <w:color w:val="000000"/>
          <w:sz w:val="28"/>
        </w:rPr>
        <w:t xml:space="preserve"> — ширина палубы надстройки или рубки, измеренная посередине ее длины, за вычетом ширины вырезов грузовых люков, машинных шахт, если таковые имеются,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первого яруса надстройки или рубки,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длина надстройки (рубки), измеренная между концевыми переборками; длина бака (юта), измеренная от носового (кормового) перпендикуляра до концевой переборки бака (юта),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xml:space="preserve"> — ширина судна на уровне верхней палубы в рассматриваемом сечении,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ширина рубки, м.</w:t>
      </w:r>
    </w:p>
    <w:bookmarkStart w:name="z2197" w:id="2192"/>
    <w:p>
      <w:pPr>
        <w:spacing w:after="0"/>
        <w:ind w:left="0"/>
        <w:jc w:val="left"/>
      </w:pPr>
      <w:r>
        <w:rPr>
          <w:rFonts w:ascii="Times New Roman"/>
          <w:b/>
          <w:i w:val="false"/>
          <w:color w:val="000000"/>
        </w:rPr>
        <w:t xml:space="preserve"> Параграф 2. Конструкция</w:t>
      </w:r>
    </w:p>
    <w:bookmarkEnd w:id="2192"/>
    <w:bookmarkStart w:name="z2198" w:id="2193"/>
    <w:p>
      <w:pPr>
        <w:spacing w:after="0"/>
        <w:ind w:left="0"/>
        <w:jc w:val="both"/>
      </w:pPr>
      <w:r>
        <w:rPr>
          <w:rFonts w:ascii="Times New Roman"/>
          <w:b w:val="false"/>
          <w:i w:val="false"/>
          <w:color w:val="000000"/>
          <w:sz w:val="28"/>
        </w:rPr>
        <w:t>
      535. Для первого яруса длинной средней надстройки вне концевых участков, удлиненного бака (юта) вне концевого участка должны выполняться требования, предъявляемые к верхней палубе согласно главы 20 настоящих Правил и борту в районе верхнего междупалубного помещения согласно глав 16 и 19 настоящих Правил.</w:t>
      </w:r>
    </w:p>
    <w:bookmarkEnd w:id="2193"/>
    <w:bookmarkStart w:name="z2199" w:id="2194"/>
    <w:p>
      <w:pPr>
        <w:spacing w:after="0"/>
        <w:ind w:left="0"/>
        <w:jc w:val="both"/>
      </w:pPr>
      <w:r>
        <w:rPr>
          <w:rFonts w:ascii="Times New Roman"/>
          <w:b w:val="false"/>
          <w:i w:val="false"/>
          <w:color w:val="000000"/>
          <w:sz w:val="28"/>
        </w:rPr>
        <w:t>
      536. Нижний пояс бортовой обшивки и обшивки продольных переборок коротких средних надстроек, концевых участков длинных средних надстроек первого яруса и удлиненного бака (юта), нижний пояс бортовых стенок коротких стальных рубок и концевых участков длинных стальных рубок, установленных на расчетной палубе, изготавливают из стали той же категории, с тем же пределом текучести, что и расчетная палуба в данном районе. Ширина нижнего пояса равна не менее 0,5</w:t>
      </w:r>
      <w:r>
        <w:rPr>
          <w:rFonts w:ascii="Times New Roman"/>
          <w:b w:val="false"/>
          <w:i/>
          <w:color w:val="000000"/>
          <w:sz w:val="28"/>
        </w:rPr>
        <w:t>h</w:t>
      </w:r>
      <w:r>
        <w:rPr>
          <w:rFonts w:ascii="Times New Roman"/>
          <w:b w:val="false"/>
          <w:i w:val="false"/>
          <w:color w:val="000000"/>
          <w:sz w:val="28"/>
        </w:rPr>
        <w:t>.</w:t>
      </w:r>
    </w:p>
    <w:bookmarkEnd w:id="2194"/>
    <w:bookmarkStart w:name="z2200" w:id="2195"/>
    <w:p>
      <w:pPr>
        <w:spacing w:after="0"/>
        <w:ind w:left="0"/>
        <w:jc w:val="both"/>
      </w:pPr>
      <w:r>
        <w:rPr>
          <w:rFonts w:ascii="Times New Roman"/>
          <w:b w:val="false"/>
          <w:i w:val="false"/>
          <w:color w:val="000000"/>
          <w:sz w:val="28"/>
        </w:rPr>
        <w:t>
      537. Концевые переборки надстроек и рубок, по возможности, располагаются в одной плоскости с поперечными переборками корпуса или возможно ближе к ним.</w:t>
      </w:r>
    </w:p>
    <w:bookmarkEnd w:id="2195"/>
    <w:bookmarkStart w:name="z2201" w:id="2196"/>
    <w:p>
      <w:pPr>
        <w:spacing w:after="0"/>
        <w:ind w:left="0"/>
        <w:jc w:val="both"/>
      </w:pPr>
      <w:r>
        <w:rPr>
          <w:rFonts w:ascii="Times New Roman"/>
          <w:b w:val="false"/>
          <w:i w:val="false"/>
          <w:color w:val="000000"/>
          <w:sz w:val="28"/>
        </w:rPr>
        <w:t>
      Внутри надстроек и рубок предусматривают рамные шпангоуты или рамные стойки, переборки или полупереборки, установленные в плоскости рамных связей и переборок нижележащих конструкций корпуса. Рамные стойки концевых переборок должны располагаться в одной плоскости с рамными стойками переборок корпуса.</w:t>
      </w:r>
    </w:p>
    <w:bookmarkEnd w:id="2196"/>
    <w:bookmarkStart w:name="z2202" w:id="2197"/>
    <w:p>
      <w:pPr>
        <w:spacing w:after="0"/>
        <w:ind w:left="0"/>
        <w:jc w:val="both"/>
      </w:pPr>
      <w:r>
        <w:rPr>
          <w:rFonts w:ascii="Times New Roman"/>
          <w:b w:val="false"/>
          <w:i w:val="false"/>
          <w:color w:val="000000"/>
          <w:sz w:val="28"/>
        </w:rPr>
        <w:t>
      538. Нижние концы стоек концевых переборок надстроек и рубок первого яруса приваривают к палубе. Нижние концы стоек боковых переборок рубки первого яруса закрепляют к палубе кницами.</w:t>
      </w:r>
    </w:p>
    <w:bookmarkEnd w:id="2197"/>
    <w:bookmarkStart w:name="z2203" w:id="2198"/>
    <w:p>
      <w:pPr>
        <w:spacing w:after="0"/>
        <w:ind w:left="0"/>
        <w:jc w:val="both"/>
      </w:pPr>
      <w:r>
        <w:rPr>
          <w:rFonts w:ascii="Times New Roman"/>
          <w:b w:val="false"/>
          <w:i w:val="false"/>
          <w:color w:val="000000"/>
          <w:sz w:val="28"/>
        </w:rPr>
        <w:t>
      539. Предусматривают необходимые подкрепления конструкций рубок и надстроек в местах установки спускоподъемных устройств для спасательных и дежурных шлюпок, а также для спасательных плотов.</w:t>
      </w:r>
    </w:p>
    <w:bookmarkEnd w:id="2198"/>
    <w:bookmarkStart w:name="z2204" w:id="2199"/>
    <w:p>
      <w:pPr>
        <w:spacing w:after="0"/>
        <w:ind w:left="0"/>
        <w:jc w:val="left"/>
      </w:pPr>
      <w:r>
        <w:rPr>
          <w:rFonts w:ascii="Times New Roman"/>
          <w:b/>
          <w:i w:val="false"/>
          <w:color w:val="000000"/>
        </w:rPr>
        <w:t xml:space="preserve"> Параграф 3. Расчетные нагрузки</w:t>
      </w:r>
    </w:p>
    <w:bookmarkEnd w:id="2199"/>
    <w:bookmarkStart w:name="z2205" w:id="2200"/>
    <w:p>
      <w:pPr>
        <w:spacing w:after="0"/>
        <w:ind w:left="0"/>
        <w:jc w:val="both"/>
      </w:pPr>
      <w:r>
        <w:rPr>
          <w:rFonts w:ascii="Times New Roman"/>
          <w:b w:val="false"/>
          <w:i w:val="false"/>
          <w:color w:val="000000"/>
          <w:sz w:val="28"/>
        </w:rPr>
        <w:t>
      540. Расчетные нагрузки на борта надстроек и палубы надстроек и рубок отвечают следующим требованиям:</w:t>
      </w:r>
    </w:p>
    <w:bookmarkEnd w:id="2200"/>
    <w:bookmarkStart w:name="z2206" w:id="2201"/>
    <w:p>
      <w:pPr>
        <w:spacing w:after="0"/>
        <w:ind w:left="0"/>
        <w:jc w:val="both"/>
      </w:pPr>
      <w:r>
        <w:rPr>
          <w:rFonts w:ascii="Times New Roman"/>
          <w:b w:val="false"/>
          <w:i w:val="false"/>
          <w:color w:val="000000"/>
          <w:sz w:val="28"/>
        </w:rPr>
        <w:t>
      1) расчетное давление на борта надстроек определяется согласно параграфу 3 главы 16 настоящих Правил;</w:t>
      </w:r>
    </w:p>
    <w:bookmarkEnd w:id="2201"/>
    <w:bookmarkStart w:name="z2207" w:id="2202"/>
    <w:p>
      <w:pPr>
        <w:spacing w:after="0"/>
        <w:ind w:left="0"/>
        <w:jc w:val="both"/>
      </w:pPr>
      <w:r>
        <w:rPr>
          <w:rFonts w:ascii="Times New Roman"/>
          <w:b w:val="false"/>
          <w:i w:val="false"/>
          <w:color w:val="000000"/>
          <w:sz w:val="28"/>
        </w:rPr>
        <w:t>
      2) расчетное давление на открытые участки палуб надстроек и рубок определяется по формуле:</w:t>
      </w:r>
    </w:p>
    <w:bookmarkEnd w:id="220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(165)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должно быть не менее р</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волновая нагрузка на уровне палубы согласно пункту 171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для палубы бака, палубы удлиненного бака или части палубы длинной средней надстройки в пределах участка 0,2</w:t>
      </w:r>
      <w:r>
        <w:rPr>
          <w:rFonts w:ascii="Times New Roman"/>
          <w:b w:val="false"/>
          <w:i/>
          <w:color w:val="000000"/>
          <w:sz w:val="28"/>
        </w:rPr>
        <w:t>L</w:t>
      </w:r>
      <w:r>
        <w:rPr>
          <w:rFonts w:ascii="Times New Roman"/>
          <w:b w:val="false"/>
          <w:i w:val="false"/>
          <w:color w:val="000000"/>
          <w:sz w:val="28"/>
        </w:rPr>
        <w:t xml:space="preserve"> от носового перпендикуляра;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для палубы юта, палубы удлиненного юта или части палубы длинной средней надстройки в пределах участка 0,2</w:t>
      </w:r>
      <w:r>
        <w:rPr>
          <w:rFonts w:ascii="Times New Roman"/>
          <w:b w:val="false"/>
          <w:i/>
          <w:color w:val="000000"/>
          <w:sz w:val="28"/>
        </w:rPr>
        <w:t>L</w:t>
      </w:r>
      <w:r>
        <w:rPr>
          <w:rFonts w:ascii="Times New Roman"/>
          <w:b w:val="false"/>
          <w:i w:val="false"/>
          <w:color w:val="000000"/>
          <w:sz w:val="28"/>
        </w:rPr>
        <w:t xml:space="preserve"> от кормового перпендикуляра;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для палуб коротких средних надстроек и рубок, палуб длинных надстроек и рубок удлиненных бака и юта, расположенных в пределах средней части судна.</w:t>
      </w:r>
      <w:r>
        <w:br/>
      </w:r>
      <w:r>
        <w:rPr>
          <w:rFonts w:ascii="Times New Roman"/>
          <w:b w:val="false"/>
          <w:i w:val="false"/>
          <w:color w:val="000000"/>
          <w:sz w:val="28"/>
        </w:rPr>
        <w:t>
</w:t>
      </w:r>
    </w:p>
    <w:bookmarkStart w:name="z2208" w:id="2203"/>
    <w:p>
      <w:pPr>
        <w:spacing w:after="0"/>
        <w:ind w:left="0"/>
        <w:jc w:val="both"/>
      </w:pPr>
      <w:r>
        <w:rPr>
          <w:rFonts w:ascii="Times New Roman"/>
          <w:b w:val="false"/>
          <w:i w:val="false"/>
          <w:color w:val="000000"/>
          <w:sz w:val="28"/>
        </w:rPr>
        <w:t xml:space="preserve">
      Для участков палуб длинной средней надстройки и рубок, удлиненных бака и юта, расположенных вне средней части судна и вне пределов участков, отстоящих на 0,2L от носового или кормового перпендикуляра, </w:t>
      </w:r>
    </w:p>
    <w:bookmarkEnd w:id="2203"/>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bookmarkStart w:name="z2209" w:id="2204"/>
    <w:p>
      <w:pPr>
        <w:spacing w:after="0"/>
        <w:ind w:left="0"/>
        <w:jc w:val="both"/>
      </w:pPr>
      <w:r>
        <w:rPr>
          <w:rFonts w:ascii="Times New Roman"/>
          <w:b w:val="false"/>
          <w:i w:val="false"/>
          <w:color w:val="000000"/>
          <w:sz w:val="28"/>
        </w:rPr>
        <w:t>
      Для палуб надстроек и рубок первого яруса р</w:t>
      </w:r>
      <w:r>
        <w:rPr>
          <w:rFonts w:ascii="Times New Roman"/>
          <w:b w:val="false"/>
          <w:i w:val="false"/>
          <w:color w:val="000000"/>
          <w:vertAlign w:val="subscript"/>
        </w:rPr>
        <w:t>min</w:t>
      </w:r>
      <w:r>
        <w:rPr>
          <w:rFonts w:ascii="Times New Roman"/>
          <w:b w:val="false"/>
          <w:i w:val="false"/>
          <w:color w:val="000000"/>
          <w:sz w:val="28"/>
        </w:rPr>
        <w:t>, кПа, определяется по следующим формулам:</w:t>
      </w:r>
    </w:p>
    <w:bookmarkEnd w:id="2204"/>
    <w:p>
      <w:pPr>
        <w:spacing w:after="0"/>
        <w:ind w:left="0"/>
        <w:jc w:val="both"/>
      </w:pPr>
      <w:r>
        <w:rPr>
          <w:rFonts w:ascii="Times New Roman"/>
          <w:b w:val="false"/>
          <w:i w:val="false"/>
          <w:color w:val="000000"/>
          <w:sz w:val="28"/>
        </w:rPr>
        <w:t>
      для палуб бака, удлиненного бака или части палубы длинной средней надстройки в пределах участка 0,2</w:t>
      </w:r>
      <w:r>
        <w:rPr>
          <w:rFonts w:ascii="Times New Roman"/>
          <w:b w:val="false"/>
          <w:i/>
          <w:color w:val="000000"/>
          <w:sz w:val="28"/>
        </w:rPr>
        <w:t>L</w:t>
      </w:r>
      <w:r>
        <w:rPr>
          <w:rFonts w:ascii="Times New Roman"/>
          <w:b w:val="false"/>
          <w:i w:val="false"/>
          <w:color w:val="000000"/>
          <w:sz w:val="28"/>
        </w:rPr>
        <w:t xml:space="preserve"> от носового перпендикуляра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+ 7;</w:t>
      </w:r>
    </w:p>
    <w:p>
      <w:pPr>
        <w:spacing w:after="0"/>
        <w:ind w:left="0"/>
        <w:jc w:val="both"/>
      </w:pPr>
      <w:r>
        <w:rPr>
          <w:rFonts w:ascii="Times New Roman"/>
          <w:b w:val="false"/>
          <w:i w:val="false"/>
          <w:color w:val="000000"/>
          <w:sz w:val="28"/>
        </w:rPr>
        <w:t>
      для палуб юта, удлиненного юта или части палубы длинной средней надстройки в пределах участка 0,2</w:t>
      </w:r>
      <w:r>
        <w:rPr>
          <w:rFonts w:ascii="Times New Roman"/>
          <w:b w:val="false"/>
          <w:i/>
          <w:color w:val="000000"/>
          <w:sz w:val="28"/>
        </w:rPr>
        <w:t>L</w:t>
      </w:r>
      <w:r>
        <w:rPr>
          <w:rFonts w:ascii="Times New Roman"/>
          <w:b w:val="false"/>
          <w:i w:val="false"/>
          <w:color w:val="000000"/>
          <w:sz w:val="28"/>
        </w:rPr>
        <w:t xml:space="preserve"> от кормового перпендикуляра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0,015</w:t>
      </w:r>
      <w:r>
        <w:rPr>
          <w:rFonts w:ascii="Times New Roman"/>
          <w:b w:val="false"/>
          <w:i/>
          <w:color w:val="000000"/>
          <w:sz w:val="28"/>
        </w:rPr>
        <w:t>L</w:t>
      </w:r>
      <w:r>
        <w:rPr>
          <w:rFonts w:ascii="Times New Roman"/>
          <w:b w:val="false"/>
          <w:i w:val="false"/>
          <w:color w:val="000000"/>
          <w:sz w:val="28"/>
        </w:rPr>
        <w:t xml:space="preserve"> + 4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80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0,03</w:t>
      </w:r>
      <w:r>
        <w:rPr>
          <w:rFonts w:ascii="Times New Roman"/>
          <w:b w:val="false"/>
          <w:i/>
          <w:color w:val="000000"/>
          <w:sz w:val="28"/>
        </w:rPr>
        <w:t>L</w:t>
      </w:r>
      <w:r>
        <w:rPr>
          <w:rFonts w:ascii="Times New Roman"/>
          <w:b w:val="false"/>
          <w:i w:val="false"/>
          <w:color w:val="000000"/>
          <w:sz w:val="28"/>
        </w:rPr>
        <w:t xml:space="preserve"> + 2,8 при </w:t>
      </w:r>
      <w:r>
        <w:rPr>
          <w:rFonts w:ascii="Times New Roman"/>
          <w:b w:val="false"/>
          <w:i/>
          <w:color w:val="000000"/>
          <w:sz w:val="28"/>
        </w:rPr>
        <w:t>L</w:t>
      </w:r>
      <w:r>
        <w:rPr>
          <w:rFonts w:ascii="Times New Roman"/>
          <w:b w:val="false"/>
          <w:i w:val="false"/>
          <w:color w:val="000000"/>
          <w:sz w:val="28"/>
        </w:rPr>
        <w:t xml:space="preserve"> &gt;80 м;</w:t>
      </w:r>
    </w:p>
    <w:p>
      <w:pPr>
        <w:spacing w:after="0"/>
        <w:ind w:left="0"/>
        <w:jc w:val="both"/>
      </w:pPr>
      <w:r>
        <w:rPr>
          <w:rFonts w:ascii="Times New Roman"/>
          <w:b w:val="false"/>
          <w:i w:val="false"/>
          <w:color w:val="000000"/>
          <w:sz w:val="28"/>
        </w:rPr>
        <w:t>
      для палуб средней надстройки и рубок, удлиненных бака и юта, расположенных в пределах средней части судна,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0,015</w:t>
      </w:r>
      <w:r>
        <w:rPr>
          <w:rFonts w:ascii="Times New Roman"/>
          <w:b w:val="false"/>
          <w:i/>
          <w:color w:val="000000"/>
          <w:sz w:val="28"/>
        </w:rPr>
        <w:t>L</w:t>
      </w:r>
      <w:r>
        <w:rPr>
          <w:rFonts w:ascii="Times New Roman"/>
          <w:b w:val="false"/>
          <w:i w:val="false"/>
          <w:color w:val="000000"/>
          <w:sz w:val="28"/>
        </w:rPr>
        <w:t xml:space="preserve"> + 4;</w:t>
      </w:r>
    </w:p>
    <w:p>
      <w:pPr>
        <w:spacing w:after="0"/>
        <w:ind w:left="0"/>
        <w:jc w:val="both"/>
      </w:pPr>
      <w:r>
        <w:rPr>
          <w:rFonts w:ascii="Times New Roman"/>
          <w:b w:val="false"/>
          <w:i w:val="false"/>
          <w:color w:val="000000"/>
          <w:sz w:val="28"/>
        </w:rPr>
        <w:t>
      для участков палуб средней надстройки и рубок, удлиненных бака и юта, расположенных вне средней части судна и вне пределов участков, отстоящих на 0,2</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определяется линейной интерполяцией.</w:t>
      </w:r>
    </w:p>
    <w:p>
      <w:pPr>
        <w:spacing w:after="0"/>
        <w:ind w:left="0"/>
        <w:jc w:val="both"/>
      </w:pPr>
      <w:r>
        <w:rPr>
          <w:rFonts w:ascii="Times New Roman"/>
          <w:b w:val="false"/>
          <w:i w:val="false"/>
          <w:color w:val="000000"/>
          <w:sz w:val="28"/>
        </w:rPr>
        <w:t>
      Для палуб надстроек и рубок второго и других вышележащих ярусов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2 кПа.</w:t>
      </w:r>
    </w:p>
    <w:p>
      <w:pPr>
        <w:spacing w:after="0"/>
        <w:ind w:left="0"/>
        <w:jc w:val="both"/>
      </w:pPr>
      <w:r>
        <w:rPr>
          <w:rFonts w:ascii="Times New Roman"/>
          <w:b w:val="false"/>
          <w:i w:val="false"/>
          <w:color w:val="000000"/>
          <w:sz w:val="28"/>
        </w:rPr>
        <w:t xml:space="preserve">
      Для судов длиной более 250 м при определении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принимается </w:t>
      </w:r>
      <w:r>
        <w:rPr>
          <w:rFonts w:ascii="Times New Roman"/>
          <w:b w:val="false"/>
          <w:i/>
          <w:color w:val="000000"/>
          <w:sz w:val="28"/>
        </w:rPr>
        <w:t>L</w:t>
      </w:r>
      <w:r>
        <w:rPr>
          <w:rFonts w:ascii="Times New Roman"/>
          <w:b w:val="false"/>
          <w:i w:val="false"/>
          <w:color w:val="000000"/>
          <w:sz w:val="28"/>
        </w:rPr>
        <w:t xml:space="preserve"> = 250 м.</w:t>
      </w:r>
    </w:p>
    <w:p>
      <w:pPr>
        <w:spacing w:after="0"/>
        <w:ind w:left="0"/>
        <w:jc w:val="both"/>
      </w:pPr>
      <w:r>
        <w:rPr>
          <w:rFonts w:ascii="Times New Roman"/>
          <w:b w:val="false"/>
          <w:i w:val="false"/>
          <w:color w:val="000000"/>
          <w:sz w:val="28"/>
        </w:rPr>
        <w:t xml:space="preserve">
      Для судов ограниченного района плавания величина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уменьшают умножением на коэффициент </w:t>
      </w:r>
    </w:p>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определяемый по приложению 18 настоящих Правил.</w:t>
      </w:r>
      <w:r>
        <w:br/>
      </w:r>
      <w:r>
        <w:rPr>
          <w:rFonts w:ascii="Times New Roman"/>
          <w:b w:val="false"/>
          <w:i w:val="false"/>
          <w:color w:val="000000"/>
          <w:sz w:val="28"/>
        </w:rPr>
        <w:t>
</w:t>
      </w:r>
    </w:p>
    <w:bookmarkStart w:name="z2210" w:id="2205"/>
    <w:p>
      <w:pPr>
        <w:spacing w:after="0"/>
        <w:ind w:left="0"/>
        <w:jc w:val="both"/>
      </w:pPr>
      <w:r>
        <w:rPr>
          <w:rFonts w:ascii="Times New Roman"/>
          <w:b w:val="false"/>
          <w:i w:val="false"/>
          <w:color w:val="000000"/>
          <w:sz w:val="28"/>
        </w:rPr>
        <w:t>
      541. Давление на концевые переборки надстроек и рубок и боковые переборки рубок р, кПа, определяется по формуле:</w:t>
      </w:r>
    </w:p>
    <w:bookmarkEnd w:id="220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5,1</w:t>
      </w:r>
      <w:r>
        <w:rPr>
          <w:rFonts w:ascii="Times New Roman"/>
          <w:b w:val="false"/>
          <w:i/>
          <w:color w:val="000000"/>
          <w:sz w:val="28"/>
        </w:rPr>
        <w:t>nc</w:t>
      </w:r>
      <w:r>
        <w:rPr>
          <w:rFonts w:ascii="Times New Roman"/>
          <w:b w:val="false"/>
          <w:i w:val="false"/>
          <w:color w:val="000000"/>
          <w:vertAlign w:val="subscript"/>
        </w:rPr>
        <w:t>2</w:t>
      </w:r>
      <w:r>
        <w:rPr>
          <w:rFonts w:ascii="Times New Roman"/>
          <w:b w:val="false"/>
          <w:i w:val="false"/>
          <w:color w:val="000000"/>
          <w:sz w:val="28"/>
        </w:rPr>
        <w:t>(kz</w:t>
      </w:r>
      <w:r>
        <w:rPr>
          <w:rFonts w:ascii="Times New Roman"/>
          <w:b w:val="false"/>
          <w:i w:val="false"/>
          <w:color w:val="000000"/>
          <w:vertAlign w:val="subscript"/>
        </w:rPr>
        <w:t>0</w:t>
      </w:r>
      <w:r>
        <w:rPr>
          <w:rFonts w:ascii="Times New Roman"/>
          <w:b w:val="false"/>
          <w:i w:val="false"/>
          <w:color w:val="000000"/>
          <w:sz w:val="28"/>
        </w:rPr>
        <w:t xml:space="preserve"> – z</w:t>
      </w:r>
      <w:r>
        <w:rPr>
          <w:rFonts w:ascii="Times New Roman"/>
          <w:b w:val="false"/>
          <w:i w:val="false"/>
          <w:color w:val="000000"/>
          <w:vertAlign w:val="subscript"/>
        </w:rPr>
        <w:t>1</w:t>
      </w:r>
      <w:r>
        <w:rPr>
          <w:rFonts w:ascii="Times New Roman"/>
          <w:b w:val="false"/>
          <w:i w:val="false"/>
          <w:color w:val="000000"/>
          <w:sz w:val="28"/>
        </w:rPr>
        <w:t>),                    (166)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коэффициент, определяемый по приложению 80 настоящих Правил;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0,3 + 0,7</w:t>
      </w:r>
      <w:r>
        <w:rPr>
          <w:rFonts w:ascii="Times New Roman"/>
          <w:b w:val="false"/>
          <w:i/>
          <w:color w:val="000000"/>
          <w:sz w:val="28"/>
        </w:rPr>
        <w:t>b</w:t>
      </w:r>
      <w:r>
        <w:rPr>
          <w:rFonts w:ascii="Times New Roman"/>
          <w:b w:val="false"/>
          <w:i w:val="false"/>
          <w:color w:val="000000"/>
          <w:sz w:val="28"/>
        </w:rPr>
        <w:t>/В</w:t>
      </w:r>
      <w:r>
        <w:rPr>
          <w:rFonts w:ascii="Times New Roman"/>
          <w:b w:val="false"/>
          <w:i w:val="false"/>
          <w:color w:val="000000"/>
          <w:vertAlign w:val="subscript"/>
        </w:rPr>
        <w:t>х</w:t>
      </w:r>
      <w:r>
        <w:rPr>
          <w:rFonts w:ascii="Times New Roman"/>
          <w:b w:val="false"/>
          <w:i w:val="false"/>
          <w:color w:val="000000"/>
          <w:sz w:val="28"/>
        </w:rPr>
        <w:t>, при этом с</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1,0 + </w:t>
      </w:r>
    </w:p>
    <w:p>
      <w:pPr>
        <w:spacing w:after="0"/>
        <w:ind w:left="0"/>
        <w:jc w:val="both"/>
      </w:pPr>
      <w:r>
        <w:drawing>
          <wp:inline distT="0" distB="0" distL="0" distR="0">
            <wp:extent cx="102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028700" cy="495300"/>
                    </a:xfrm>
                    <a:prstGeom prst="rect">
                      <a:avLst/>
                    </a:prstGeom>
                  </pic:spPr>
                </pic:pic>
              </a:graphicData>
            </a:graphic>
          </wp:inline>
        </w:drawing>
      </w:r>
    </w:p>
    <w:p>
      <w:pPr>
        <w:spacing w:after="0"/>
        <w:ind w:left="0"/>
        <w:jc w:val="left"/>
      </w:pPr>
      <w:r>
        <w:rPr>
          <w:rFonts w:ascii="Times New Roman"/>
          <w:b w:val="false"/>
          <w:i w:val="false"/>
          <w:color w:val="000000"/>
          <w:sz w:val="28"/>
        </w:rPr>
        <w:t>при x</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1,0 + 1,5</w:t>
      </w:r>
    </w:p>
    <w:p>
      <w:pPr>
        <w:spacing w:after="0"/>
        <w:ind w:left="0"/>
        <w:jc w:val="both"/>
      </w:pPr>
      <w:r>
        <w:drawing>
          <wp:inline distT="0" distB="0" distL="0" distR="0">
            <wp:extent cx="1016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016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x1/L &gt; 0,45;</w:t>
      </w:r>
      <w:r>
        <w:br/>
      </w:r>
      <w:r>
        <w:rPr>
          <w:rFonts w:ascii="Times New Roman"/>
          <w:b w:val="false"/>
          <w:i w:val="false"/>
          <w:color w:val="000000"/>
          <w:sz w:val="28"/>
        </w:rPr>
        <w:t>
</w:t>
      </w:r>
    </w:p>
    <w:bookmarkStart w:name="z2211" w:id="2206"/>
    <w:p>
      <w:pPr>
        <w:spacing w:after="0"/>
        <w:ind w:left="0"/>
        <w:jc w:val="both"/>
      </w:pPr>
      <w:r>
        <w:rPr>
          <w:rFonts w:ascii="Times New Roman"/>
          <w:b w:val="false"/>
          <w:i w:val="false"/>
          <w:color w:val="000000"/>
          <w:sz w:val="28"/>
        </w:rPr>
        <w:t xml:space="preserve">
      для боковых переборок рубок коэффициент </w:t>
      </w:r>
      <w:r>
        <w:rPr>
          <w:rFonts w:ascii="Times New Roman"/>
          <w:b w:val="false"/>
          <w:i/>
          <w:color w:val="000000"/>
          <w:sz w:val="28"/>
        </w:rPr>
        <w:t>k</w:t>
      </w:r>
      <w:r>
        <w:rPr>
          <w:rFonts w:ascii="Times New Roman"/>
          <w:b w:val="false"/>
          <w:i w:val="false"/>
          <w:color w:val="000000"/>
          <w:sz w:val="28"/>
        </w:rPr>
        <w:t xml:space="preserve"> принимается переменным по длине переборки. С этой целью рубка разбивается на равные участки длиной не более 0,15</w:t>
      </w:r>
      <w:r>
        <w:rPr>
          <w:rFonts w:ascii="Times New Roman"/>
          <w:b w:val="false"/>
          <w:i/>
          <w:color w:val="000000"/>
          <w:sz w:val="28"/>
        </w:rPr>
        <w:t>L</w:t>
      </w:r>
      <w:r>
        <w:rPr>
          <w:rFonts w:ascii="Times New Roman"/>
          <w:b w:val="false"/>
          <w:i w:val="false"/>
          <w:color w:val="000000"/>
          <w:sz w:val="28"/>
        </w:rPr>
        <w:t xml:space="preserve"> каждый; при этом за величину х</w:t>
      </w:r>
      <w:r>
        <w:rPr>
          <w:rFonts w:ascii="Times New Roman"/>
          <w:b w:val="false"/>
          <w:i w:val="false"/>
          <w:color w:val="000000"/>
          <w:vertAlign w:val="subscript"/>
        </w:rPr>
        <w:t>1</w:t>
      </w:r>
      <w:r>
        <w:rPr>
          <w:rFonts w:ascii="Times New Roman"/>
          <w:b w:val="false"/>
          <w:i w:val="false"/>
          <w:color w:val="000000"/>
          <w:sz w:val="28"/>
        </w:rPr>
        <w:t xml:space="preserve"> принимается расстояние между кормовым перпендикуляром и серединой рассматриваемого участка;</w:t>
      </w:r>
    </w:p>
    <w:bookmarkEnd w:id="220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b</w:t>
      </w:r>
      <w:r>
        <w:rPr>
          <w:rFonts w:ascii="Times New Roman"/>
          <w:b w:val="false"/>
          <w:i w:val="false"/>
          <w:color w:val="000000"/>
          <w:sz w:val="28"/>
        </w:rPr>
        <w:t xml:space="preserve"> — не принимается меньше 0,6 и больше 0,8;</w:t>
      </w:r>
    </w:p>
    <w:p>
      <w:pPr>
        <w:spacing w:after="0"/>
        <w:ind w:left="0"/>
        <w:jc w:val="both"/>
      </w:pPr>
      <w:r>
        <w:rPr>
          <w:rFonts w:ascii="Times New Roman"/>
          <w:b w:val="false"/>
          <w:i w:val="false"/>
          <w:color w:val="000000"/>
          <w:sz w:val="28"/>
        </w:rPr>
        <w:t>
      для кормовых концевых переборок, расположенных в нос от миделя, принимается С</w:t>
      </w:r>
      <w:r>
        <w:rPr>
          <w:rFonts w:ascii="Times New Roman"/>
          <w:b w:val="false"/>
          <w:i w:val="false"/>
          <w:color w:val="000000"/>
          <w:vertAlign w:val="subscript"/>
        </w:rPr>
        <w:t>b</w:t>
      </w:r>
      <w:r>
        <w:rPr>
          <w:rFonts w:ascii="Times New Roman"/>
          <w:b w:val="false"/>
          <w:i w:val="false"/>
          <w:color w:val="000000"/>
          <w:sz w:val="28"/>
        </w:rPr>
        <w:t xml:space="preserve"> = 0,8;</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принимается согласно приложению 81 настоящих Правил;</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 вертикальное расстояние от летней грузовой ватерлинии до середины ширины рассматриваемого листа или пролета стойки.</w:t>
      </w:r>
    </w:p>
    <w:bookmarkStart w:name="z2212" w:id="2207"/>
    <w:p>
      <w:pPr>
        <w:spacing w:after="0"/>
        <w:ind w:left="0"/>
        <w:jc w:val="both"/>
      </w:pPr>
      <w:r>
        <w:rPr>
          <w:rFonts w:ascii="Times New Roman"/>
          <w:b w:val="false"/>
          <w:i w:val="false"/>
          <w:color w:val="000000"/>
          <w:sz w:val="28"/>
        </w:rPr>
        <w:t xml:space="preserve">
      542. Приведенные значения коэффициента п относятся к судну, имеющему надводный борт, равный минимальному базисному для судов типа "В", и стандартную высоту надстроек согласно главы 5 Правил о грузовой марке. Если палуба, на которой находится рассматриваемый ярус надстройки, вследствие увеличенного надводного борта по сравнению с базисным, находится по высоте выше установленного стандартного положения, то соответствующее ее положению значение коэффициента </w:t>
      </w:r>
      <w:r>
        <w:rPr>
          <w:rFonts w:ascii="Times New Roman"/>
          <w:b w:val="false"/>
          <w:i/>
          <w:color w:val="000000"/>
          <w:sz w:val="28"/>
        </w:rPr>
        <w:t>n</w:t>
      </w:r>
      <w:r>
        <w:rPr>
          <w:rFonts w:ascii="Times New Roman"/>
          <w:b w:val="false"/>
          <w:i w:val="false"/>
          <w:color w:val="000000"/>
          <w:sz w:val="28"/>
        </w:rPr>
        <w:t xml:space="preserve"> определяется линейной интерполяцией между значениями этого коэффициента для надстроек со стандартным и фактическим положением палуб под надстройками.</w:t>
      </w:r>
    </w:p>
    <w:bookmarkEnd w:id="2207"/>
    <w:bookmarkStart w:name="z2213" w:id="2208"/>
    <w:p>
      <w:pPr>
        <w:spacing w:after="0"/>
        <w:ind w:left="0"/>
        <w:jc w:val="both"/>
      </w:pPr>
      <w:r>
        <w:rPr>
          <w:rFonts w:ascii="Times New Roman"/>
          <w:b w:val="false"/>
          <w:i w:val="false"/>
          <w:color w:val="000000"/>
          <w:sz w:val="28"/>
        </w:rPr>
        <w:t>
      В любом случае расчетное давление не принимается менее, указанного в приложении 82 настоящих Правил.</w:t>
      </w:r>
    </w:p>
    <w:bookmarkEnd w:id="2208"/>
    <w:bookmarkStart w:name="z2214" w:id="2209"/>
    <w:p>
      <w:pPr>
        <w:spacing w:after="0"/>
        <w:ind w:left="0"/>
        <w:jc w:val="both"/>
      </w:pPr>
      <w:r>
        <w:rPr>
          <w:rFonts w:ascii="Times New Roman"/>
          <w:b w:val="false"/>
          <w:i w:val="false"/>
          <w:color w:val="000000"/>
          <w:sz w:val="28"/>
        </w:rPr>
        <w:t xml:space="preserve">
      Для судов ограниченного района плавания возможно уменьшение расчетного давления умножением на коэффициент </w:t>
      </w:r>
    </w:p>
    <w:bookmarkEnd w:id="2209"/>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определяемый по приложению 18 настоящих Правил.</w:t>
      </w:r>
      <w:r>
        <w:br/>
      </w:r>
      <w:r>
        <w:rPr>
          <w:rFonts w:ascii="Times New Roman"/>
          <w:b w:val="false"/>
          <w:i w:val="false"/>
          <w:color w:val="000000"/>
          <w:sz w:val="28"/>
        </w:rPr>
        <w:t>
</w:t>
      </w:r>
    </w:p>
    <w:bookmarkStart w:name="z2215" w:id="2210"/>
    <w:p>
      <w:pPr>
        <w:spacing w:after="0"/>
        <w:ind w:left="0"/>
        <w:jc w:val="left"/>
      </w:pPr>
      <w:r>
        <w:rPr>
          <w:rFonts w:ascii="Times New Roman"/>
          <w:b/>
          <w:i w:val="false"/>
          <w:color w:val="000000"/>
        </w:rPr>
        <w:t xml:space="preserve"> Параграф 4. Размеры конструкций надстроек, рубок и квартердека</w:t>
      </w:r>
    </w:p>
    <w:bookmarkEnd w:id="2210"/>
    <w:bookmarkStart w:name="z2216" w:id="2211"/>
    <w:p>
      <w:pPr>
        <w:spacing w:after="0"/>
        <w:ind w:left="0"/>
        <w:jc w:val="both"/>
      </w:pPr>
      <w:r>
        <w:rPr>
          <w:rFonts w:ascii="Times New Roman"/>
          <w:b w:val="false"/>
          <w:i w:val="false"/>
          <w:color w:val="000000"/>
          <w:sz w:val="28"/>
        </w:rPr>
        <w:t xml:space="preserve">
      543. Толщина бортовой обшивки коротких и длинных средних надстроек, бака и юта, удлиненных бака и юта определяется согласно пункту 314 настоящих Правил при действии расчетных нагрузок согласно подпункту 1) пункта 540 настоящих Правил. Для коротких средних надстроек, бака и юта </w:t>
      </w:r>
    </w:p>
    <w:bookmarkEnd w:id="2211"/>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0,7.</w:t>
      </w:r>
      <w:r>
        <w:br/>
      </w:r>
      <w:r>
        <w:rPr>
          <w:rFonts w:ascii="Times New Roman"/>
          <w:b w:val="false"/>
          <w:i w:val="false"/>
          <w:color w:val="000000"/>
          <w:sz w:val="28"/>
        </w:rPr>
        <w:t>
</w:t>
      </w:r>
    </w:p>
    <w:bookmarkStart w:name="z2217" w:id="2212"/>
    <w:p>
      <w:pPr>
        <w:spacing w:after="0"/>
        <w:ind w:left="0"/>
        <w:jc w:val="both"/>
      </w:pPr>
      <w:r>
        <w:rPr>
          <w:rFonts w:ascii="Times New Roman"/>
          <w:b w:val="false"/>
          <w:i w:val="false"/>
          <w:color w:val="000000"/>
          <w:sz w:val="28"/>
        </w:rPr>
        <w:t xml:space="preserve">
      Для длинной средней надстройки, удлиненных бака и юта вне концевых участков </w:t>
      </w:r>
    </w:p>
    <w:bookmarkEnd w:id="2212"/>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согласно пункту 314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сечениях у концевых переборок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пределах концевых участков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bookmarkStart w:name="z2218" w:id="2213"/>
    <w:p>
      <w:pPr>
        <w:spacing w:after="0"/>
        <w:ind w:left="0"/>
        <w:jc w:val="both"/>
      </w:pPr>
      <w:r>
        <w:rPr>
          <w:rFonts w:ascii="Times New Roman"/>
          <w:b w:val="false"/>
          <w:i w:val="false"/>
          <w:color w:val="000000"/>
          <w:sz w:val="28"/>
        </w:rPr>
        <w:t>
      Толщина бортовой обшивки длинных средних надстроек, удлиненных бака и юта отвечают требованиям пункта 321 настоящих Правил.</w:t>
      </w:r>
    </w:p>
    <w:bookmarkEnd w:id="2213"/>
    <w:bookmarkStart w:name="z2219" w:id="2214"/>
    <w:p>
      <w:pPr>
        <w:spacing w:after="0"/>
        <w:ind w:left="0"/>
        <w:jc w:val="both"/>
      </w:pPr>
      <w:r>
        <w:rPr>
          <w:rFonts w:ascii="Times New Roman"/>
          <w:b w:val="false"/>
          <w:i w:val="false"/>
          <w:color w:val="000000"/>
          <w:sz w:val="28"/>
        </w:rPr>
        <w:t>
      Во всех случаях толщина бортовой обшивки коротких средних надстроек, бака и юта s</w:t>
      </w:r>
      <w:r>
        <w:rPr>
          <w:rFonts w:ascii="Times New Roman"/>
          <w:b w:val="false"/>
          <w:i w:val="false"/>
          <w:color w:val="000000"/>
          <w:vertAlign w:val="subscript"/>
        </w:rPr>
        <w:t>min</w:t>
      </w:r>
      <w:r>
        <w:rPr>
          <w:rFonts w:ascii="Times New Roman"/>
          <w:b w:val="false"/>
          <w:i w:val="false"/>
          <w:color w:val="000000"/>
          <w:sz w:val="28"/>
        </w:rPr>
        <w:t>, мм, равна не менее:</w:t>
      </w:r>
    </w:p>
    <w:bookmarkEnd w:id="2214"/>
    <w:p>
      <w:pPr>
        <w:spacing w:after="0"/>
        <w:ind w:left="0"/>
        <w:jc w:val="both"/>
      </w:pPr>
      <w:r>
        <w:rPr>
          <w:rFonts w:ascii="Times New Roman"/>
          <w:b w:val="false"/>
          <w:i w:val="false"/>
          <w:color w:val="000000"/>
          <w:sz w:val="28"/>
        </w:rPr>
        <w:t>
      для надстроек нижнего яруса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(4,5 + 0,025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надстроек остальных ярусов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+ 0,02</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согласно приложению 8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2220" w:id="2215"/>
    <w:p>
      <w:pPr>
        <w:spacing w:after="0"/>
        <w:ind w:left="0"/>
        <w:jc w:val="both"/>
      </w:pPr>
      <w:r>
        <w:rPr>
          <w:rFonts w:ascii="Times New Roman"/>
          <w:b w:val="false"/>
          <w:i w:val="false"/>
          <w:color w:val="000000"/>
          <w:sz w:val="28"/>
        </w:rPr>
        <w:t>
      544. Для судов неограниченного района плавания и ограниченного района плавания R1, если принятая шпация меньше нормальной (параграф 3 главы 8 настоящих Правил), допускается уменьшение минимальной толщины пропорционально отношению принятой шпации к нормальной, но не более чем на 10 %. Для судов длиной 30 м и более во всех случаях минимальная толщина не менее 5 мм.</w:t>
      </w:r>
    </w:p>
    <w:bookmarkEnd w:id="2215"/>
    <w:bookmarkStart w:name="z2221" w:id="2216"/>
    <w:p>
      <w:pPr>
        <w:spacing w:after="0"/>
        <w:ind w:left="0"/>
        <w:jc w:val="both"/>
      </w:pPr>
      <w:r>
        <w:rPr>
          <w:rFonts w:ascii="Times New Roman"/>
          <w:b w:val="false"/>
          <w:i w:val="false"/>
          <w:color w:val="000000"/>
          <w:sz w:val="28"/>
        </w:rPr>
        <w:t xml:space="preserve">
      545. Толщина настила палуб коротких и длинных средних надстроек, бака и юта, удлиненных бака и юта, короткой и длинной рубок определяется согласно подпунктов 1) и 2) пункта 407 настоящих Правил при действии расчетных нагрузок согласно подпункту 2) пункта 540 настоящих Правил. Для коротких средних надстроек, бака, юта и коротких рубок </w:t>
      </w:r>
    </w:p>
    <w:bookmarkEnd w:id="2216"/>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0,7.</w:t>
      </w:r>
      <w:r>
        <w:br/>
      </w:r>
      <w:r>
        <w:rPr>
          <w:rFonts w:ascii="Times New Roman"/>
          <w:b w:val="false"/>
          <w:i w:val="false"/>
          <w:color w:val="000000"/>
          <w:sz w:val="28"/>
        </w:rPr>
        <w:t>
</w:t>
      </w:r>
    </w:p>
    <w:bookmarkStart w:name="z2222" w:id="2217"/>
    <w:p>
      <w:pPr>
        <w:spacing w:after="0"/>
        <w:ind w:left="0"/>
        <w:jc w:val="both"/>
      </w:pPr>
      <w:r>
        <w:rPr>
          <w:rFonts w:ascii="Times New Roman"/>
          <w:b w:val="false"/>
          <w:i w:val="false"/>
          <w:color w:val="000000"/>
          <w:sz w:val="28"/>
        </w:rPr>
        <w:t xml:space="preserve">
      Для длинной средней надстройки, удлиненных бака и юта вне концевых участков </w:t>
      </w:r>
    </w:p>
    <w:bookmarkEnd w:id="221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определяется как для расчетной палубы согласно подпункту 2) пункта 407 настоящих Правил; в сечениях у концевых переборок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 в пределах концевых участков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bookmarkStart w:name="z2223" w:id="2218"/>
    <w:p>
      <w:pPr>
        <w:spacing w:after="0"/>
        <w:ind w:left="0"/>
        <w:jc w:val="both"/>
      </w:pPr>
      <w:r>
        <w:rPr>
          <w:rFonts w:ascii="Times New Roman"/>
          <w:b w:val="false"/>
          <w:i w:val="false"/>
          <w:color w:val="000000"/>
          <w:sz w:val="28"/>
        </w:rPr>
        <w:t>
      Толщина настила палуб длинных средних надстроек, удлиненных бака и юта, длинных рубок отвечает требованиям подпункта 5) пункта 407 настоящих Правил для верхней палубы между бортом и линией больших вырезов.</w:t>
      </w:r>
    </w:p>
    <w:bookmarkEnd w:id="2218"/>
    <w:bookmarkStart w:name="z2224" w:id="2219"/>
    <w:p>
      <w:pPr>
        <w:spacing w:after="0"/>
        <w:ind w:left="0"/>
        <w:jc w:val="both"/>
      </w:pPr>
      <w:r>
        <w:rPr>
          <w:rFonts w:ascii="Times New Roman"/>
          <w:b w:val="false"/>
          <w:i w:val="false"/>
          <w:color w:val="000000"/>
          <w:sz w:val="28"/>
        </w:rPr>
        <w:t xml:space="preserve">
      546. Во всех случаях толщина настила палуб коротких средних надстроек, бака и юта, коротких рубок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равна не менее определяемой по формулам:</w:t>
      </w:r>
    </w:p>
    <w:bookmarkEnd w:id="2219"/>
    <w:bookmarkStart w:name="z2225" w:id="2220"/>
    <w:p>
      <w:pPr>
        <w:spacing w:after="0"/>
        <w:ind w:left="0"/>
        <w:jc w:val="both"/>
      </w:pPr>
      <w:r>
        <w:rPr>
          <w:rFonts w:ascii="Times New Roman"/>
          <w:b w:val="false"/>
          <w:i w:val="false"/>
          <w:color w:val="000000"/>
          <w:sz w:val="28"/>
        </w:rPr>
        <w:t>
      для открытой палубы бака:</w:t>
      </w:r>
    </w:p>
    <w:bookmarkEnd w:id="222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+ 0,04</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100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(7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val="false"/>
          <w:color w:val="000000"/>
          <w:sz w:val="28"/>
        </w:rPr>
        <w:t xml:space="preserve"> 100 м;</w:t>
      </w:r>
      <w:r>
        <w:br/>
      </w:r>
      <w:r>
        <w:rPr>
          <w:rFonts w:ascii="Times New Roman"/>
          <w:b w:val="false"/>
          <w:i w:val="false"/>
          <w:color w:val="000000"/>
          <w:sz w:val="28"/>
        </w:rPr>
        <w:t>
</w:t>
      </w:r>
    </w:p>
    <w:bookmarkStart w:name="z2226" w:id="2221"/>
    <w:p>
      <w:pPr>
        <w:spacing w:after="0"/>
        <w:ind w:left="0"/>
        <w:jc w:val="both"/>
      </w:pPr>
      <w:r>
        <w:rPr>
          <w:rFonts w:ascii="Times New Roman"/>
          <w:b w:val="false"/>
          <w:i w:val="false"/>
          <w:color w:val="000000"/>
          <w:sz w:val="28"/>
        </w:rPr>
        <w:t>
      для палуб надстроек и рубок нижнего яруса в остальных случаях:</w:t>
      </w:r>
    </w:p>
    <w:bookmarkEnd w:id="222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(170)</w:t>
      </w:r>
      <w:r>
        <w:br/>
      </w:r>
      <w:r>
        <w:rPr>
          <w:rFonts w:ascii="Times New Roman"/>
          <w:b w:val="false"/>
          <w:i w:val="false"/>
          <w:color w:val="000000"/>
          <w:sz w:val="28"/>
        </w:rPr>
        <w:t>
</w:t>
      </w:r>
    </w:p>
    <w:bookmarkStart w:name="z2227" w:id="2222"/>
    <w:p>
      <w:pPr>
        <w:spacing w:after="0"/>
        <w:ind w:left="0"/>
        <w:jc w:val="both"/>
      </w:pPr>
      <w:r>
        <w:rPr>
          <w:rFonts w:ascii="Times New Roman"/>
          <w:b w:val="false"/>
          <w:i w:val="false"/>
          <w:color w:val="000000"/>
          <w:sz w:val="28"/>
        </w:rPr>
        <w:t>
      для палуб надстроек и рубок остальных ярусов:</w:t>
      </w:r>
    </w:p>
    <w:bookmarkEnd w:id="222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согласно пункту 133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2228" w:id="2223"/>
    <w:p>
      <w:pPr>
        <w:spacing w:after="0"/>
        <w:ind w:left="0"/>
        <w:jc w:val="both"/>
      </w:pPr>
      <w:r>
        <w:rPr>
          <w:rFonts w:ascii="Times New Roman"/>
          <w:b w:val="false"/>
          <w:i w:val="false"/>
          <w:color w:val="000000"/>
          <w:sz w:val="28"/>
        </w:rPr>
        <w:t>
      547. Для судов неограниченного района плавания и ограниченного района плавания R1, если принятая шпация меньше нормальной (параграф 3 главы 8 настоящих Правил), допускается уменьшение минимальной толщины пропорционально отношению принятой шпации к нормальной, но не более чем на 10 %. Для судов длиной 50 м и более во всех случаях минимальная толщина допускается не менее 5 мм. Для судов длиной менее 50 м минимальная толщина может быть уменьшена до 4 мм, а для судов длиной менее 20 м — до 3 мм по согласованию с Регистром судоходства.</w:t>
      </w:r>
    </w:p>
    <w:bookmarkEnd w:id="2223"/>
    <w:bookmarkStart w:name="z2229" w:id="2224"/>
    <w:p>
      <w:pPr>
        <w:spacing w:after="0"/>
        <w:ind w:left="0"/>
        <w:jc w:val="both"/>
      </w:pPr>
      <w:r>
        <w:rPr>
          <w:rFonts w:ascii="Times New Roman"/>
          <w:b w:val="false"/>
          <w:i w:val="false"/>
          <w:color w:val="000000"/>
          <w:sz w:val="28"/>
        </w:rPr>
        <w:t>
      548. Толщина листов обшивки концевых переборок надстроек, бортовых и концевых переборок рубок равна не менее определяемой по формуле (57) настоящих Правил. При этом:</w:t>
      </w:r>
    </w:p>
    <w:bookmarkEnd w:id="222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пункту 541 настоящих Правил.</w:t>
      </w:r>
    </w:p>
    <w:bookmarkStart w:name="z2230" w:id="2225"/>
    <w:p>
      <w:pPr>
        <w:spacing w:after="0"/>
        <w:ind w:left="0"/>
        <w:jc w:val="both"/>
      </w:pPr>
      <w:r>
        <w:rPr>
          <w:rFonts w:ascii="Times New Roman"/>
          <w:b w:val="false"/>
          <w:i w:val="false"/>
          <w:color w:val="000000"/>
          <w:sz w:val="28"/>
        </w:rPr>
        <w:t>
      Толщина обшивки боковых переборок рубок допускают не более толщины бортовой обшивки надстроек согласно пункту 543 настоящих Правил при их одинаковом расположении по длине судна и высоте борта.</w:t>
      </w:r>
    </w:p>
    <w:bookmarkEnd w:id="2225"/>
    <w:bookmarkStart w:name="z2231" w:id="2226"/>
    <w:p>
      <w:pPr>
        <w:spacing w:after="0"/>
        <w:ind w:left="0"/>
        <w:jc w:val="both"/>
      </w:pPr>
      <w:r>
        <w:rPr>
          <w:rFonts w:ascii="Times New Roman"/>
          <w:b w:val="false"/>
          <w:i w:val="false"/>
          <w:color w:val="000000"/>
          <w:sz w:val="28"/>
        </w:rPr>
        <w:t>
      Толщина нижнего листа обшивки концевых переборок первого яруса надстроек (рубок) увеличивается на 1 мм по сравнению с расчетной. Ширина нижнего листа принимается не менее 0,5 м.</w:t>
      </w:r>
    </w:p>
    <w:bookmarkEnd w:id="2226"/>
    <w:bookmarkStart w:name="z2232" w:id="2227"/>
    <w:p>
      <w:pPr>
        <w:spacing w:after="0"/>
        <w:ind w:left="0"/>
        <w:jc w:val="both"/>
      </w:pPr>
      <w:r>
        <w:rPr>
          <w:rFonts w:ascii="Times New Roman"/>
          <w:b w:val="false"/>
          <w:i w:val="false"/>
          <w:color w:val="000000"/>
          <w:sz w:val="28"/>
        </w:rPr>
        <w:t>
      Если носовая переборка рубки выполнена скругленной в плане по всей ширине рубки, то толщину ее обшивки возможно уменьшить на 0,5мм по сравнению с расчетной.</w:t>
      </w:r>
    </w:p>
    <w:bookmarkEnd w:id="2227"/>
    <w:bookmarkStart w:name="z2233" w:id="2228"/>
    <w:p>
      <w:pPr>
        <w:spacing w:after="0"/>
        <w:ind w:left="0"/>
        <w:jc w:val="both"/>
      </w:pPr>
      <w:r>
        <w:rPr>
          <w:rFonts w:ascii="Times New Roman"/>
          <w:b w:val="false"/>
          <w:i w:val="false"/>
          <w:color w:val="000000"/>
          <w:sz w:val="28"/>
        </w:rPr>
        <w:t xml:space="preserve">
      549. Во всех случаях толщина обшивки концевых переборок надстроек, бортовых и концевых переборок рубок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равна не менее определяемой по формулам:</w:t>
      </w:r>
    </w:p>
    <w:bookmarkEnd w:id="2228"/>
    <w:p>
      <w:pPr>
        <w:spacing w:after="0"/>
        <w:ind w:left="0"/>
        <w:jc w:val="both"/>
      </w:pPr>
      <w:r>
        <w:rPr>
          <w:rFonts w:ascii="Times New Roman"/>
          <w:b w:val="false"/>
          <w:i w:val="false"/>
          <w:color w:val="000000"/>
          <w:sz w:val="28"/>
        </w:rPr>
        <w:t>
      для нижнего яруса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остальных ярусов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(173)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согласно пункту 165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2234" w:id="2229"/>
    <w:p>
      <w:pPr>
        <w:spacing w:after="0"/>
        <w:ind w:left="0"/>
        <w:jc w:val="both"/>
      </w:pPr>
      <w:r>
        <w:rPr>
          <w:rFonts w:ascii="Times New Roman"/>
          <w:b w:val="false"/>
          <w:i w:val="false"/>
          <w:color w:val="000000"/>
          <w:sz w:val="28"/>
        </w:rPr>
        <w:t>
      Во всех случаях для судов длиной 50 м и более минимальная толщина равна не менее 5 мм. Для судов длиной менее 50 м минимальную толщину возможно уменьшить до 4 мм, а для судов длиной менее 20 м — до 3 мм по согласованию с Регистром судоходства. Уменьшение минимальной толщины не допускается для носовой переборки средней надстройки и незащищенной носовой переборки юта судов длиной 20 м и более.</w:t>
      </w:r>
    </w:p>
    <w:bookmarkEnd w:id="2229"/>
    <w:bookmarkStart w:name="z2235" w:id="2230"/>
    <w:p>
      <w:pPr>
        <w:spacing w:after="0"/>
        <w:ind w:left="0"/>
        <w:jc w:val="both"/>
      </w:pPr>
      <w:r>
        <w:rPr>
          <w:rFonts w:ascii="Times New Roman"/>
          <w:b w:val="false"/>
          <w:i w:val="false"/>
          <w:color w:val="000000"/>
          <w:sz w:val="28"/>
        </w:rPr>
        <w:t>
      550. Набор бортов, палуб и концевых переборок бака, юта, средней надстройки, квартердека и рубок отвечает следующим требованиям:</w:t>
      </w:r>
    </w:p>
    <w:bookmarkEnd w:id="2230"/>
    <w:bookmarkStart w:name="z2236" w:id="2231"/>
    <w:p>
      <w:pPr>
        <w:spacing w:after="0"/>
        <w:ind w:left="0"/>
        <w:jc w:val="both"/>
      </w:pPr>
      <w:r>
        <w:rPr>
          <w:rFonts w:ascii="Times New Roman"/>
          <w:b w:val="false"/>
          <w:i w:val="false"/>
          <w:color w:val="000000"/>
          <w:sz w:val="28"/>
        </w:rPr>
        <w:t xml:space="preserve">
      1) необходимо чтобы бортовой набор надстроек отвечал требованиям к бортовому набору в междупалубных помещениях согласно пунктов 381 - 384 настоящих Правил при использовании расчетных нагрузок согласно подпункту 1) пункта 540 настоящих Правил. Для продольных балок и бортовых стрингеров короткой средней надстройки, бака и юта </w:t>
      </w:r>
    </w:p>
    <w:bookmarkEnd w:id="223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0,65.</w:t>
      </w:r>
      <w:r>
        <w:br/>
      </w:r>
      <w:r>
        <w:rPr>
          <w:rFonts w:ascii="Times New Roman"/>
          <w:b w:val="false"/>
          <w:i w:val="false"/>
          <w:color w:val="000000"/>
          <w:sz w:val="28"/>
        </w:rPr>
        <w:t>
</w:t>
      </w:r>
    </w:p>
    <w:bookmarkStart w:name="z2237" w:id="2232"/>
    <w:p>
      <w:pPr>
        <w:spacing w:after="0"/>
        <w:ind w:left="0"/>
        <w:jc w:val="both"/>
      </w:pPr>
      <w:r>
        <w:rPr>
          <w:rFonts w:ascii="Times New Roman"/>
          <w:b w:val="false"/>
          <w:i w:val="false"/>
          <w:color w:val="000000"/>
          <w:sz w:val="28"/>
        </w:rPr>
        <w:t xml:space="preserve">
      Для продольных балок и бортовых стрингеров длинной средней надстройки, удлиненных бака и юта вне концевых участков </w:t>
      </w:r>
    </w:p>
    <w:bookmarkEnd w:id="2232"/>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согласно пунктов 382 и 383 настоящих Правил;</w:t>
      </w:r>
      <w:r>
        <w:br/>
      </w:r>
      <w:r>
        <w:rPr>
          <w:rFonts w:ascii="Times New Roman"/>
          <w:b w:val="false"/>
          <w:i w:val="false"/>
          <w:color w:val="000000"/>
          <w:sz w:val="28"/>
        </w:rPr>
        <w:t>
</w:t>
      </w:r>
    </w:p>
    <w:bookmarkStart w:name="z2238" w:id="2233"/>
    <w:p>
      <w:pPr>
        <w:spacing w:after="0"/>
        <w:ind w:left="0"/>
        <w:jc w:val="both"/>
      </w:pPr>
      <w:r>
        <w:rPr>
          <w:rFonts w:ascii="Times New Roman"/>
          <w:b w:val="false"/>
          <w:i w:val="false"/>
          <w:color w:val="000000"/>
          <w:sz w:val="28"/>
        </w:rPr>
        <w:t xml:space="preserve">
      в сечениях у концевых переборок </w:t>
      </w:r>
    </w:p>
    <w:bookmarkEnd w:id="223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0,65;</w:t>
      </w:r>
      <w:r>
        <w:br/>
      </w:r>
      <w:r>
        <w:rPr>
          <w:rFonts w:ascii="Times New Roman"/>
          <w:b w:val="false"/>
          <w:i w:val="false"/>
          <w:color w:val="000000"/>
          <w:sz w:val="28"/>
        </w:rPr>
        <w:t>
</w:t>
      </w:r>
    </w:p>
    <w:bookmarkStart w:name="z2239" w:id="2234"/>
    <w:p>
      <w:pPr>
        <w:spacing w:after="0"/>
        <w:ind w:left="0"/>
        <w:jc w:val="both"/>
      </w:pPr>
      <w:r>
        <w:rPr>
          <w:rFonts w:ascii="Times New Roman"/>
          <w:b w:val="false"/>
          <w:i w:val="false"/>
          <w:color w:val="000000"/>
          <w:sz w:val="28"/>
        </w:rPr>
        <w:t xml:space="preserve">
      в пределах концевых участков </w:t>
      </w:r>
    </w:p>
    <w:bookmarkEnd w:id="2234"/>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bookmarkStart w:name="z2240" w:id="2235"/>
    <w:p>
      <w:pPr>
        <w:spacing w:after="0"/>
        <w:ind w:left="0"/>
        <w:jc w:val="both"/>
      </w:pPr>
      <w:r>
        <w:rPr>
          <w:rFonts w:ascii="Times New Roman"/>
          <w:b w:val="false"/>
          <w:i w:val="false"/>
          <w:color w:val="000000"/>
          <w:sz w:val="28"/>
        </w:rPr>
        <w:t xml:space="preserve">
      2) подпалубный набор надстроек и рубок удовлетворяет требованиям пунктов 408 - 415 настоящих Правил при использовании расчетных нагрузок согласно подпункту 2) пункта 540 настоящих Правил. Для продольных балок и карлингсов короткой средней надстройки, бака и юта </w:t>
      </w:r>
    </w:p>
    <w:bookmarkEnd w:id="2235"/>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0,65.</w:t>
      </w:r>
      <w:r>
        <w:br/>
      </w:r>
      <w:r>
        <w:rPr>
          <w:rFonts w:ascii="Times New Roman"/>
          <w:b w:val="false"/>
          <w:i w:val="false"/>
          <w:color w:val="000000"/>
          <w:sz w:val="28"/>
        </w:rPr>
        <w:t>
</w:t>
      </w:r>
    </w:p>
    <w:bookmarkStart w:name="z2241" w:id="2236"/>
    <w:p>
      <w:pPr>
        <w:spacing w:after="0"/>
        <w:ind w:left="0"/>
        <w:jc w:val="both"/>
      </w:pPr>
      <w:r>
        <w:rPr>
          <w:rFonts w:ascii="Times New Roman"/>
          <w:b w:val="false"/>
          <w:i w:val="false"/>
          <w:color w:val="000000"/>
          <w:sz w:val="28"/>
        </w:rPr>
        <w:t xml:space="preserve">
      Для продольных балок и карлингсов длинной средней надстройки, удлиненных бака и юта вне концевых участков </w:t>
      </w:r>
    </w:p>
    <w:bookmarkEnd w:id="2236"/>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согласно пунктов 408 и 410 настоящих Правил;</w:t>
      </w:r>
      <w:r>
        <w:br/>
      </w:r>
      <w:r>
        <w:rPr>
          <w:rFonts w:ascii="Times New Roman"/>
          <w:b w:val="false"/>
          <w:i w:val="false"/>
          <w:color w:val="000000"/>
          <w:sz w:val="28"/>
        </w:rPr>
        <w:t>
</w:t>
      </w:r>
    </w:p>
    <w:bookmarkStart w:name="z2242" w:id="2237"/>
    <w:p>
      <w:pPr>
        <w:spacing w:after="0"/>
        <w:ind w:left="0"/>
        <w:jc w:val="both"/>
      </w:pPr>
      <w:r>
        <w:rPr>
          <w:rFonts w:ascii="Times New Roman"/>
          <w:b w:val="false"/>
          <w:i w:val="false"/>
          <w:color w:val="000000"/>
          <w:sz w:val="28"/>
        </w:rPr>
        <w:t xml:space="preserve">
      в сечениях у концевых переборок </w:t>
      </w:r>
    </w:p>
    <w:bookmarkEnd w:id="223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0,65;</w:t>
      </w:r>
      <w:r>
        <w:br/>
      </w:r>
      <w:r>
        <w:rPr>
          <w:rFonts w:ascii="Times New Roman"/>
          <w:b w:val="false"/>
          <w:i w:val="false"/>
          <w:color w:val="000000"/>
          <w:sz w:val="28"/>
        </w:rPr>
        <w:t>
</w:t>
      </w:r>
    </w:p>
    <w:bookmarkStart w:name="z2243" w:id="2238"/>
    <w:p>
      <w:pPr>
        <w:spacing w:after="0"/>
        <w:ind w:left="0"/>
        <w:jc w:val="both"/>
      </w:pPr>
      <w:r>
        <w:rPr>
          <w:rFonts w:ascii="Times New Roman"/>
          <w:b w:val="false"/>
          <w:i w:val="false"/>
          <w:color w:val="000000"/>
          <w:sz w:val="28"/>
        </w:rPr>
        <w:t xml:space="preserve">
      в пределах концевых участков </w:t>
      </w:r>
    </w:p>
    <w:bookmarkEnd w:id="2238"/>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bookmarkStart w:name="z2244" w:id="2239"/>
    <w:p>
      <w:pPr>
        <w:spacing w:after="0"/>
        <w:ind w:left="0"/>
        <w:jc w:val="both"/>
      </w:pPr>
      <w:r>
        <w:rPr>
          <w:rFonts w:ascii="Times New Roman"/>
          <w:b w:val="false"/>
          <w:i w:val="false"/>
          <w:color w:val="000000"/>
          <w:sz w:val="28"/>
        </w:rPr>
        <w:t>
      3) момент сопротивления стоек концевых переборок надстроек, бортовых и концевых переборок рубок равен не менее определяемого согласно пункту 246 настоящих Правил. При этом:</w:t>
      </w:r>
    </w:p>
    <w:bookmarkEnd w:id="22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пункту 541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 если нижний конец стойки крепится к палубе кницей;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 если нижний конец стойки приварен к палубе;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8, если нижний конец стойки срезан "на ус".</w:t>
      </w:r>
    </w:p>
    <w:bookmarkStart w:name="z2245" w:id="2240"/>
    <w:p>
      <w:pPr>
        <w:spacing w:after="0"/>
        <w:ind w:left="0"/>
        <w:jc w:val="both"/>
      </w:pPr>
      <w:r>
        <w:rPr>
          <w:rFonts w:ascii="Times New Roman"/>
          <w:b w:val="false"/>
          <w:i w:val="false"/>
          <w:color w:val="000000"/>
          <w:sz w:val="28"/>
        </w:rPr>
        <w:t>
      Момент сопротивления стоек бортовых переборок рубок принимают не более момента сопротивления шпангоутов надстроек согласно подпункту 1) настоящего пункта Правил при их одинаковом расположении по длине судна и высоте борта.</w:t>
      </w:r>
    </w:p>
    <w:bookmarkEnd w:id="2240"/>
    <w:bookmarkStart w:name="z2246" w:id="2241"/>
    <w:p>
      <w:pPr>
        <w:spacing w:after="0"/>
        <w:ind w:left="0"/>
        <w:jc w:val="both"/>
      </w:pPr>
      <w:r>
        <w:rPr>
          <w:rFonts w:ascii="Times New Roman"/>
          <w:b w:val="false"/>
          <w:i w:val="false"/>
          <w:color w:val="000000"/>
          <w:sz w:val="28"/>
        </w:rPr>
        <w:t>
      551. Размеры связей переборок и полупереборок внутри надстроек и рубок, если не оговорено иное, отвечают требованиям пункта 455 настоящих Правил.</w:t>
      </w:r>
    </w:p>
    <w:bookmarkEnd w:id="2241"/>
    <w:bookmarkStart w:name="z2247" w:id="2242"/>
    <w:p>
      <w:pPr>
        <w:spacing w:after="0"/>
        <w:ind w:left="0"/>
        <w:jc w:val="left"/>
      </w:pPr>
      <w:r>
        <w:rPr>
          <w:rFonts w:ascii="Times New Roman"/>
          <w:b/>
          <w:i w:val="false"/>
          <w:color w:val="000000"/>
        </w:rPr>
        <w:t xml:space="preserve"> Параграф 5. Специальные требования</w:t>
      </w:r>
    </w:p>
    <w:bookmarkEnd w:id="2242"/>
    <w:bookmarkStart w:name="z2248" w:id="2243"/>
    <w:p>
      <w:pPr>
        <w:spacing w:after="0"/>
        <w:ind w:left="0"/>
        <w:jc w:val="both"/>
      </w:pPr>
      <w:r>
        <w:rPr>
          <w:rFonts w:ascii="Times New Roman"/>
          <w:b w:val="false"/>
          <w:i w:val="false"/>
          <w:color w:val="000000"/>
          <w:sz w:val="28"/>
        </w:rPr>
        <w:t>
      552. Районы верхней палубы, расположенные под длинной средней надстройкой, удлиненными баком и ютом вне концевых участков, отвечают требованиям главы 20 настоящих Правил для второй палубы. К районам верхней палубы, расположенным подконцевыми участками длинной средней надстройки, удлиненных бака и юта, применяются промежуточные требования между требованиями к верхней палубе и второй палубе.</w:t>
      </w:r>
    </w:p>
    <w:bookmarkEnd w:id="2243"/>
    <w:bookmarkStart w:name="z2249" w:id="2244"/>
    <w:p>
      <w:pPr>
        <w:spacing w:after="0"/>
        <w:ind w:left="0"/>
        <w:jc w:val="both"/>
      </w:pPr>
      <w:r>
        <w:rPr>
          <w:rFonts w:ascii="Times New Roman"/>
          <w:b w:val="false"/>
          <w:i w:val="false"/>
          <w:color w:val="000000"/>
          <w:sz w:val="28"/>
        </w:rPr>
        <w:t>
      553. Необходимо чтобы в местах установки концевых переборок выполнялись следующие требования:</w:t>
      </w:r>
    </w:p>
    <w:bookmarkEnd w:id="2244"/>
    <w:bookmarkStart w:name="z2250" w:id="2245"/>
    <w:p>
      <w:pPr>
        <w:spacing w:after="0"/>
        <w:ind w:left="0"/>
        <w:jc w:val="both"/>
      </w:pPr>
      <w:r>
        <w:rPr>
          <w:rFonts w:ascii="Times New Roman"/>
          <w:b w:val="false"/>
          <w:i w:val="false"/>
          <w:color w:val="000000"/>
          <w:sz w:val="28"/>
        </w:rPr>
        <w:t>
      1) если концевая переборка надстройки не совпадает с поперечной переборкой корпуса, в нижележащем помещении под концевой переборкой предусматриваются полупереборки, пиллерсы или, по крайней мере, усиление шпангоутов и бимсовых книц;</w:t>
      </w:r>
    </w:p>
    <w:bookmarkEnd w:id="2245"/>
    <w:bookmarkStart w:name="z2251" w:id="2246"/>
    <w:p>
      <w:pPr>
        <w:spacing w:after="0"/>
        <w:ind w:left="0"/>
        <w:jc w:val="both"/>
      </w:pPr>
      <w:r>
        <w:rPr>
          <w:rFonts w:ascii="Times New Roman"/>
          <w:b w:val="false"/>
          <w:i w:val="false"/>
          <w:color w:val="000000"/>
          <w:sz w:val="28"/>
        </w:rPr>
        <w:t>
      2) если концевая переборка длинной рубки не совпадает с поперечной переборкой в нижележащем помещении, в плоскости боковых переборок рубки под палубой, на которой она расположена, устанавливают короткие карлингсы длиной не менее трех шпаций в нос и корму от концевой переборки рубки;</w:t>
      </w:r>
    </w:p>
    <w:bookmarkEnd w:id="2246"/>
    <w:bookmarkStart w:name="z2252" w:id="2247"/>
    <w:p>
      <w:pPr>
        <w:spacing w:after="0"/>
        <w:ind w:left="0"/>
        <w:jc w:val="both"/>
      </w:pPr>
      <w:r>
        <w:rPr>
          <w:rFonts w:ascii="Times New Roman"/>
          <w:b w:val="false"/>
          <w:i w:val="false"/>
          <w:color w:val="000000"/>
          <w:sz w:val="28"/>
        </w:rPr>
        <w:t>
      3) в сечении, где концевые переборки надстроек и рубок опираются на продольные подпалубные связи, а боковые переборки рубок — на поперечные подпалубные связи расположенной ниже палубы (переборки и полупереборки, карлингсы, рамные бимсы), стенки указанных подпалубных связей подкрепляют кницами или бракетами.</w:t>
      </w:r>
    </w:p>
    <w:bookmarkEnd w:id="2247"/>
    <w:bookmarkStart w:name="z2253" w:id="2248"/>
    <w:p>
      <w:pPr>
        <w:spacing w:after="0"/>
        <w:ind w:left="0"/>
        <w:jc w:val="both"/>
      </w:pPr>
      <w:r>
        <w:rPr>
          <w:rFonts w:ascii="Times New Roman"/>
          <w:b w:val="false"/>
          <w:i w:val="false"/>
          <w:color w:val="000000"/>
          <w:sz w:val="28"/>
        </w:rPr>
        <w:t>
      554. Конструкция у концов надстроек отвечает следующим требованиям:</w:t>
      </w:r>
    </w:p>
    <w:bookmarkEnd w:id="2248"/>
    <w:bookmarkStart w:name="z2254" w:id="2249"/>
    <w:p>
      <w:pPr>
        <w:spacing w:after="0"/>
        <w:ind w:left="0"/>
        <w:jc w:val="both"/>
      </w:pPr>
      <w:r>
        <w:rPr>
          <w:rFonts w:ascii="Times New Roman"/>
          <w:b w:val="false"/>
          <w:i w:val="false"/>
          <w:color w:val="000000"/>
          <w:sz w:val="28"/>
        </w:rPr>
        <w:t>
      1) у концов средней надстройки, удлиненных бака и юта, расположенных в районе 0,6</w:t>
      </w:r>
      <w:r>
        <w:rPr>
          <w:rFonts w:ascii="Times New Roman"/>
          <w:b w:val="false"/>
          <w:i/>
          <w:color w:val="000000"/>
          <w:sz w:val="28"/>
        </w:rPr>
        <w:t>L</w:t>
      </w:r>
      <w:r>
        <w:rPr>
          <w:rFonts w:ascii="Times New Roman"/>
          <w:b w:val="false"/>
          <w:i w:val="false"/>
          <w:color w:val="000000"/>
          <w:sz w:val="28"/>
        </w:rPr>
        <w:t xml:space="preserve"> средней части судна длиной 65 м и более, бортовая обшивка продолжается за концевую переборку и плавно по кривой сводится к борту на длине d</w:t>
      </w:r>
      <w:r>
        <w:rPr>
          <w:rFonts w:ascii="Times New Roman"/>
          <w:b w:val="false"/>
          <w:i w:val="false"/>
          <w:color w:val="000000"/>
          <w:vertAlign w:val="subscript"/>
        </w:rPr>
        <w:t>1</w:t>
      </w:r>
      <w:r>
        <w:rPr>
          <w:rFonts w:ascii="Times New Roman"/>
          <w:b w:val="false"/>
          <w:i w:val="false"/>
          <w:color w:val="000000"/>
          <w:sz w:val="28"/>
        </w:rPr>
        <w:t>, м (приложение 83 настоящих Правил), определяемой по формуле:</w:t>
      </w:r>
    </w:p>
    <w:bookmarkEnd w:id="224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0,2(В</w:t>
      </w:r>
      <w:r>
        <w:rPr>
          <w:rFonts w:ascii="Times New Roman"/>
          <w:b w:val="false"/>
          <w:i w:val="false"/>
          <w:color w:val="000000"/>
          <w:vertAlign w:val="subscript"/>
        </w:rPr>
        <w:t>2</w:t>
      </w:r>
      <w:r>
        <w:rPr>
          <w:rFonts w:ascii="Times New Roman"/>
          <w:b w:val="false"/>
          <w:i w:val="false"/>
          <w:color w:val="000000"/>
          <w:sz w:val="28"/>
        </w:rPr>
        <w:t xml:space="preserve">/2 + </w:t>
      </w:r>
      <w:r>
        <w:rPr>
          <w:rFonts w:ascii="Times New Roman"/>
          <w:b w:val="false"/>
          <w:i/>
          <w:color w:val="000000"/>
          <w:sz w:val="28"/>
        </w:rPr>
        <w:t>h</w:t>
      </w:r>
      <w:r>
        <w:rPr>
          <w:rFonts w:ascii="Times New Roman"/>
          <w:b w:val="false"/>
          <w:i w:val="false"/>
          <w:color w:val="000000"/>
          <w:sz w:val="28"/>
        </w:rPr>
        <w:t>)                (174)</w:t>
      </w:r>
    </w:p>
    <w:bookmarkStart w:name="z2255" w:id="2250"/>
    <w:p>
      <w:pPr>
        <w:spacing w:after="0"/>
        <w:ind w:left="0"/>
        <w:jc w:val="both"/>
      </w:pPr>
      <w:r>
        <w:rPr>
          <w:rFonts w:ascii="Times New Roman"/>
          <w:b w:val="false"/>
          <w:i w:val="false"/>
          <w:color w:val="000000"/>
          <w:sz w:val="28"/>
        </w:rPr>
        <w:t xml:space="preserve">
      По согласованию с Регистром судоходства возможно уменьшение величины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при условии увеличения толщины нижнего пояса бортовой обшивки надстройки, ширстрека и палубного стрингера в районе, указанном в приложении 83 настоящих Правил;</w:t>
      </w:r>
    </w:p>
    <w:bookmarkEnd w:id="2250"/>
    <w:bookmarkStart w:name="z2256" w:id="2251"/>
    <w:p>
      <w:pPr>
        <w:spacing w:after="0"/>
        <w:ind w:left="0"/>
        <w:jc w:val="both"/>
      </w:pPr>
      <w:r>
        <w:rPr>
          <w:rFonts w:ascii="Times New Roman"/>
          <w:b w:val="false"/>
          <w:i w:val="false"/>
          <w:color w:val="000000"/>
          <w:sz w:val="28"/>
        </w:rPr>
        <w:t>
      2) если конец надстройки (бака, юта) расположен в пределах участка длиной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 а также на судах длиной менее 65 м, размер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согласно пункту 554 настоящих Правил допускается уменьшить в два раза. Если конец надстройки расположен вне указанных участков и вне района 0,6</w:t>
      </w:r>
      <w:r>
        <w:rPr>
          <w:rFonts w:ascii="Times New Roman"/>
          <w:b w:val="false"/>
          <w:i/>
          <w:color w:val="000000"/>
          <w:sz w:val="28"/>
        </w:rPr>
        <w:t>L</w:t>
      </w:r>
      <w:r>
        <w:rPr>
          <w:rFonts w:ascii="Times New Roman"/>
          <w:b w:val="false"/>
          <w:i w:val="false"/>
          <w:color w:val="000000"/>
          <w:sz w:val="28"/>
        </w:rPr>
        <w:t xml:space="preserve"> средней части судна, размер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определяется линейной интерполяцией;</w:t>
      </w:r>
    </w:p>
    <w:bookmarkEnd w:id="2251"/>
    <w:bookmarkStart w:name="z2257" w:id="2252"/>
    <w:p>
      <w:pPr>
        <w:spacing w:after="0"/>
        <w:ind w:left="0"/>
        <w:jc w:val="both"/>
      </w:pPr>
      <w:r>
        <w:rPr>
          <w:rFonts w:ascii="Times New Roman"/>
          <w:b w:val="false"/>
          <w:i w:val="false"/>
          <w:color w:val="000000"/>
          <w:sz w:val="28"/>
        </w:rPr>
        <w:t>
      3) притупление нижней части криволинейной кромки выступающей части бортовой обшивки надстройки удаляют и подвергают механической обработке.</w:t>
      </w:r>
    </w:p>
    <w:bookmarkEnd w:id="2252"/>
    <w:bookmarkStart w:name="z2258" w:id="2253"/>
    <w:p>
      <w:pPr>
        <w:spacing w:after="0"/>
        <w:ind w:left="0"/>
        <w:jc w:val="both"/>
      </w:pPr>
      <w:r>
        <w:rPr>
          <w:rFonts w:ascii="Times New Roman"/>
          <w:b w:val="false"/>
          <w:i w:val="false"/>
          <w:color w:val="000000"/>
          <w:sz w:val="28"/>
        </w:rPr>
        <w:t>
      Криволинейная кромка подкрепляется полосой, смещенной вниз от кромки на 50 мм. Концы полосы срезаются "на ус".</w:t>
      </w:r>
    </w:p>
    <w:bookmarkEnd w:id="2253"/>
    <w:bookmarkStart w:name="z2259" w:id="2254"/>
    <w:p>
      <w:pPr>
        <w:spacing w:after="0"/>
        <w:ind w:left="0"/>
        <w:jc w:val="both"/>
      </w:pPr>
      <w:r>
        <w:rPr>
          <w:rFonts w:ascii="Times New Roman"/>
          <w:b w:val="false"/>
          <w:i w:val="false"/>
          <w:color w:val="000000"/>
          <w:sz w:val="28"/>
        </w:rPr>
        <w:t>
      Устройство вырезов в выступающей части бортовой обшивки надстройки, как правило, не допускается. Соединение этих листов с фальшбортом делают подвижным;</w:t>
      </w:r>
    </w:p>
    <w:bookmarkEnd w:id="2254"/>
    <w:bookmarkStart w:name="z2260" w:id="2255"/>
    <w:p>
      <w:pPr>
        <w:spacing w:after="0"/>
        <w:ind w:left="0"/>
        <w:jc w:val="both"/>
      </w:pPr>
      <w:r>
        <w:rPr>
          <w:rFonts w:ascii="Times New Roman"/>
          <w:b w:val="false"/>
          <w:i w:val="false"/>
          <w:color w:val="000000"/>
          <w:sz w:val="28"/>
        </w:rPr>
        <w:t>
      4) у концов короткой средней надстройки, продольные стенки которой не совпадают с бортом судна, крепление концов продольных стенок к палубе выполняют так же, как у рубок согласно пункту 555 настоящих Правил, либо обеспечивают плавный переход скругленной кницей от продольной стенки надстройки к короткому карлингсу, подкрепляющему палубу под этой стенкой, с одновременным усилением палубного стрингера в районе, указанном в приложении 83 настоящих Правил.</w:t>
      </w:r>
    </w:p>
    <w:bookmarkEnd w:id="2255"/>
    <w:bookmarkStart w:name="z2261" w:id="2256"/>
    <w:p>
      <w:pPr>
        <w:spacing w:after="0"/>
        <w:ind w:left="0"/>
        <w:jc w:val="both"/>
      </w:pPr>
      <w:r>
        <w:rPr>
          <w:rFonts w:ascii="Times New Roman"/>
          <w:b w:val="false"/>
          <w:i w:val="false"/>
          <w:color w:val="000000"/>
          <w:sz w:val="28"/>
        </w:rPr>
        <w:t>
      555. Соединение боковых переборок рубки с концевой переборкой, расположенной в районе 0,6</w:t>
      </w:r>
      <w:r>
        <w:rPr>
          <w:rFonts w:ascii="Times New Roman"/>
          <w:b w:val="false"/>
          <w:i/>
          <w:color w:val="000000"/>
          <w:sz w:val="28"/>
        </w:rPr>
        <w:t>L</w:t>
      </w:r>
      <w:r>
        <w:rPr>
          <w:rFonts w:ascii="Times New Roman"/>
          <w:b w:val="false"/>
          <w:i w:val="false"/>
          <w:color w:val="000000"/>
          <w:sz w:val="28"/>
        </w:rPr>
        <w:t xml:space="preserve"> средней части судна длиной 65 м и более выполняется по скруглению радиусом r, м, определяемым по формуле:</w:t>
      </w:r>
    </w:p>
    <w:bookmarkEnd w:id="2256"/>
    <w:p>
      <w:pPr>
        <w:spacing w:after="0"/>
        <w:ind w:left="0"/>
        <w:jc w:val="both"/>
      </w:pPr>
      <w:r>
        <w:rPr>
          <w:rFonts w:ascii="Times New Roman"/>
          <w:b w:val="false"/>
          <w:i w:val="false"/>
          <w:color w:val="000000"/>
          <w:sz w:val="28"/>
        </w:rPr>
        <w:t xml:space="preserve">
      r = </w:t>
      </w:r>
    </w:p>
    <w:p>
      <w:pPr>
        <w:spacing w:after="0"/>
        <w:ind w:left="0"/>
        <w:jc w:val="both"/>
      </w:pPr>
      <w:r>
        <w:drawing>
          <wp:inline distT="0" distB="0" distL="0" distR="0">
            <wp:extent cx="156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562100" cy="495300"/>
                    </a:xfrm>
                    <a:prstGeom prst="rect">
                      <a:avLst/>
                    </a:prstGeom>
                  </pic:spPr>
                </pic:pic>
              </a:graphicData>
            </a:graphic>
          </wp:inline>
        </w:drawing>
      </w:r>
    </w:p>
    <w:p>
      <w:pPr>
        <w:spacing w:after="0"/>
        <w:ind w:left="0"/>
        <w:jc w:val="left"/>
      </w:pPr>
      <w:r>
        <w:rPr>
          <w:rFonts w:ascii="Times New Roman"/>
          <w:b w:val="false"/>
          <w:i w:val="false"/>
          <w:color w:val="000000"/>
          <w:sz w:val="28"/>
        </w:rPr>
        <w:t>,                      (175)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sz w:val="28"/>
        </w:rPr>
        <w:t xml:space="preserve"> — ширина рубки около концевой переборки, м.</w:t>
      </w:r>
    </w:p>
    <w:bookmarkStart w:name="z2262" w:id="2257"/>
    <w:p>
      <w:pPr>
        <w:spacing w:after="0"/>
        <w:ind w:left="0"/>
        <w:jc w:val="both"/>
      </w:pPr>
      <w:r>
        <w:rPr>
          <w:rFonts w:ascii="Times New Roman"/>
          <w:b w:val="false"/>
          <w:i w:val="false"/>
          <w:color w:val="000000"/>
          <w:sz w:val="28"/>
        </w:rPr>
        <w:t>
      556. Углы прямоугольных вырезов в наружных боковых переборках и палубе длинных рубок надлежащим образом скругляют и имеют обделочные рамки. Вырезы для дверей в упомянутых боковых переборках, расположенные в районе 0,6</w:t>
      </w:r>
      <w:r>
        <w:rPr>
          <w:rFonts w:ascii="Times New Roman"/>
          <w:b w:val="false"/>
          <w:i/>
          <w:color w:val="000000"/>
          <w:sz w:val="28"/>
        </w:rPr>
        <w:t>L</w:t>
      </w:r>
      <w:r>
        <w:rPr>
          <w:rFonts w:ascii="Times New Roman"/>
          <w:b w:val="false"/>
          <w:i w:val="false"/>
          <w:color w:val="000000"/>
          <w:sz w:val="28"/>
        </w:rPr>
        <w:t xml:space="preserve"> средней части судна дополнительно подкрепляют утолщенными листами согласно приложению 84 настоящих Правил, а в пределах участка протяженностью не менее высоты рубки от концевой переборки, если рубка располагается на расчетной палубе, такие вырезы не допускаются.</w:t>
      </w:r>
    </w:p>
    <w:bookmarkEnd w:id="2257"/>
    <w:bookmarkStart w:name="z2263" w:id="2258"/>
    <w:p>
      <w:pPr>
        <w:spacing w:after="0"/>
        <w:ind w:left="0"/>
        <w:jc w:val="both"/>
      </w:pPr>
      <w:r>
        <w:rPr>
          <w:rFonts w:ascii="Times New Roman"/>
          <w:b w:val="false"/>
          <w:i w:val="false"/>
          <w:color w:val="000000"/>
          <w:sz w:val="28"/>
        </w:rPr>
        <w:t>
      Если вырезы для дверей в боковых переборках располагаются вне средней части судна или рубка короткая, утолщенные листы согласно приложению 84 настоящих Правил устанавливаются только внизу выреза.</w:t>
      </w:r>
    </w:p>
    <w:bookmarkEnd w:id="2258"/>
    <w:bookmarkStart w:name="z2264" w:id="2259"/>
    <w:p>
      <w:pPr>
        <w:spacing w:after="0"/>
        <w:ind w:left="0"/>
        <w:jc w:val="both"/>
      </w:pPr>
      <w:r>
        <w:rPr>
          <w:rFonts w:ascii="Times New Roman"/>
          <w:b w:val="false"/>
          <w:i w:val="false"/>
          <w:color w:val="000000"/>
          <w:sz w:val="28"/>
        </w:rPr>
        <w:t>
      При расстоянии между расширительными или скользящими соединениями менее трех высот рубки требуется только скругление углов вырезов. Вырезы для иллюминаторов и окон по верхней и нижней кромкам подкрепляют горизонтальными ребрами.</w:t>
      </w:r>
    </w:p>
    <w:bookmarkEnd w:id="2259"/>
    <w:bookmarkStart w:name="z2265" w:id="2260"/>
    <w:p>
      <w:pPr>
        <w:spacing w:after="0"/>
        <w:ind w:left="0"/>
        <w:jc w:val="both"/>
      </w:pPr>
      <w:r>
        <w:rPr>
          <w:rFonts w:ascii="Times New Roman"/>
          <w:b w:val="false"/>
          <w:i w:val="false"/>
          <w:color w:val="000000"/>
          <w:sz w:val="28"/>
        </w:rPr>
        <w:t>
      557. Требования к устройству квартердека на судах длиной более 90 м являются предметом специального рассмотрения Регистром судоходства. На судах длиной 90 м и менее конструкция уступа в месте соединения верхней палубы с палубой квартердека отвечают следующим требованиям:</w:t>
      </w:r>
    </w:p>
    <w:bookmarkEnd w:id="2260"/>
    <w:bookmarkStart w:name="z2266" w:id="2261"/>
    <w:p>
      <w:pPr>
        <w:spacing w:after="0"/>
        <w:ind w:left="0"/>
        <w:jc w:val="both"/>
      </w:pPr>
      <w:r>
        <w:rPr>
          <w:rFonts w:ascii="Times New Roman"/>
          <w:b w:val="false"/>
          <w:i w:val="false"/>
          <w:color w:val="000000"/>
          <w:sz w:val="28"/>
        </w:rPr>
        <w:t>
      1) настил верхней палубы в месте уступа продлевают в корму от уступа на три шпации у судов длиной 60 м и более и на две шпации у судов длиной менее 60 м. У судов длиной менее 40 м допускается чтобы настил верхней палубы в корму от уступа не продолжался;</w:t>
      </w:r>
    </w:p>
    <w:bookmarkEnd w:id="2261"/>
    <w:bookmarkStart w:name="z2267" w:id="2262"/>
    <w:p>
      <w:pPr>
        <w:spacing w:after="0"/>
        <w:ind w:left="0"/>
        <w:jc w:val="both"/>
      </w:pPr>
      <w:r>
        <w:rPr>
          <w:rFonts w:ascii="Times New Roman"/>
          <w:b w:val="false"/>
          <w:i w:val="false"/>
          <w:color w:val="000000"/>
          <w:sz w:val="28"/>
        </w:rPr>
        <w:t xml:space="preserve">
      2) палубный стрингер верхней палубы продлевают дальше настила верхней палубы на три шпации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60 м и на две шпации при L &lt;60 м.</w:t>
      </w:r>
    </w:p>
    <w:bookmarkEnd w:id="2262"/>
    <w:bookmarkStart w:name="z2268" w:id="2263"/>
    <w:p>
      <w:pPr>
        <w:spacing w:after="0"/>
        <w:ind w:left="0"/>
        <w:jc w:val="both"/>
      </w:pPr>
      <w:r>
        <w:rPr>
          <w:rFonts w:ascii="Times New Roman"/>
          <w:b w:val="false"/>
          <w:i w:val="false"/>
          <w:color w:val="000000"/>
          <w:sz w:val="28"/>
        </w:rPr>
        <w:t>
      Палубный стрингер верхней палубы при этом суживается от полной своей ширины до ширины, равной высоте шпангоута, к которому он приваривается;</w:t>
      </w:r>
    </w:p>
    <w:bookmarkEnd w:id="2263"/>
    <w:bookmarkStart w:name="z2269" w:id="2264"/>
    <w:p>
      <w:pPr>
        <w:spacing w:after="0"/>
        <w:ind w:left="0"/>
        <w:jc w:val="both"/>
      </w:pPr>
      <w:r>
        <w:rPr>
          <w:rFonts w:ascii="Times New Roman"/>
          <w:b w:val="false"/>
          <w:i w:val="false"/>
          <w:color w:val="000000"/>
          <w:sz w:val="28"/>
        </w:rPr>
        <w:t>
      3) стрингер квартердека продлевается в нос в виде кницы, плавно сходящей к борту на расстоянии, равном трем шпациям. Выступающие за уступ листы палубного стрингера квартердека подкрепляют ребрами жесткости, а свободные кромки листов поясками или фланцами;</w:t>
      </w:r>
    </w:p>
    <w:bookmarkEnd w:id="2264"/>
    <w:bookmarkStart w:name="z2270" w:id="2265"/>
    <w:p>
      <w:pPr>
        <w:spacing w:after="0"/>
        <w:ind w:left="0"/>
        <w:jc w:val="both"/>
      </w:pPr>
      <w:r>
        <w:rPr>
          <w:rFonts w:ascii="Times New Roman"/>
          <w:b w:val="false"/>
          <w:i w:val="false"/>
          <w:color w:val="000000"/>
          <w:sz w:val="28"/>
        </w:rPr>
        <w:t>
      4) ширстрек квартердека продлевают в нос от конца листа палубного стрингера, выступающего за переборку уступа, не менее чем на 1,5 высоты уступа и плавно сведен "на нет" к верхней кромке ширстрека борта судна. Остальные конструктивные требования определяются согласно подпункту 4) пункта 554 настоящих Правил.</w:t>
      </w:r>
    </w:p>
    <w:bookmarkEnd w:id="2265"/>
    <w:bookmarkStart w:name="z2271" w:id="2266"/>
    <w:p>
      <w:pPr>
        <w:spacing w:after="0"/>
        <w:ind w:left="0"/>
        <w:jc w:val="both"/>
      </w:pPr>
      <w:r>
        <w:rPr>
          <w:rFonts w:ascii="Times New Roman"/>
          <w:b w:val="false"/>
          <w:i w:val="false"/>
          <w:color w:val="000000"/>
          <w:sz w:val="28"/>
        </w:rPr>
        <w:t>
      5) между палубами в месте уступа следует установить по ширине судна на расстоянии не более 1,5 м друг от друга вертикальные диафрагмы толщиной не менее толщины листов переборки уступа.</w:t>
      </w:r>
    </w:p>
    <w:bookmarkEnd w:id="2266"/>
    <w:bookmarkStart w:name="z2272" w:id="2267"/>
    <w:p>
      <w:pPr>
        <w:spacing w:after="0"/>
        <w:ind w:left="0"/>
        <w:jc w:val="both"/>
      </w:pPr>
      <w:r>
        <w:rPr>
          <w:rFonts w:ascii="Times New Roman"/>
          <w:b w:val="false"/>
          <w:i w:val="false"/>
          <w:color w:val="000000"/>
          <w:sz w:val="28"/>
        </w:rPr>
        <w:t>
      Листы диафрагм подкреплятюся вертикальными стойками.</w:t>
      </w:r>
    </w:p>
    <w:bookmarkEnd w:id="2267"/>
    <w:bookmarkStart w:name="z2273" w:id="2268"/>
    <w:p>
      <w:pPr>
        <w:spacing w:after="0"/>
        <w:ind w:left="0"/>
        <w:jc w:val="both"/>
      </w:pPr>
      <w:r>
        <w:rPr>
          <w:rFonts w:ascii="Times New Roman"/>
          <w:b w:val="false"/>
          <w:i w:val="false"/>
          <w:color w:val="000000"/>
          <w:sz w:val="28"/>
        </w:rPr>
        <w:t>
      Вертикальные стойки имеют момент инерции поперечного сечения (с присоединенным пояском) не менее определяемого по формуле (74) настоящих Правил.</w:t>
      </w:r>
    </w:p>
    <w:bookmarkEnd w:id="2268"/>
    <w:bookmarkStart w:name="z2274" w:id="2269"/>
    <w:p>
      <w:pPr>
        <w:spacing w:after="0"/>
        <w:ind w:left="0"/>
        <w:jc w:val="both"/>
      </w:pPr>
      <w:r>
        <w:rPr>
          <w:rFonts w:ascii="Times New Roman"/>
          <w:b w:val="false"/>
          <w:i w:val="false"/>
          <w:color w:val="000000"/>
          <w:sz w:val="28"/>
        </w:rPr>
        <w:t>
      Горизонтальные кромки диафрагм приваривают к палубам, а вертикальные кромки с одной стороны к переборке уступа, а с другой — к специальной опорной переборке, состоящей из сплошного листа, идущего по всей ширине судна и приваренного к палубам. Опорная переборка имеет толщину не менее толщины листа переборки уступа и допускается иметь вырезы между диафрагмами;</w:t>
      </w:r>
    </w:p>
    <w:bookmarkEnd w:id="2269"/>
    <w:bookmarkStart w:name="z2275" w:id="2270"/>
    <w:p>
      <w:pPr>
        <w:spacing w:after="0"/>
        <w:ind w:left="0"/>
        <w:jc w:val="both"/>
      </w:pPr>
      <w:r>
        <w:rPr>
          <w:rFonts w:ascii="Times New Roman"/>
          <w:b w:val="false"/>
          <w:i w:val="false"/>
          <w:color w:val="000000"/>
          <w:sz w:val="28"/>
        </w:rPr>
        <w:t>
      6) при установке опорной переборки у концов диафрагм устанавливают кницы (приложение 85 настоящих Правил);</w:t>
      </w:r>
    </w:p>
    <w:bookmarkEnd w:id="2270"/>
    <w:bookmarkStart w:name="z2276" w:id="2271"/>
    <w:p>
      <w:pPr>
        <w:spacing w:after="0"/>
        <w:ind w:left="0"/>
        <w:jc w:val="both"/>
      </w:pPr>
      <w:r>
        <w:rPr>
          <w:rFonts w:ascii="Times New Roman"/>
          <w:b w:val="false"/>
          <w:i w:val="false"/>
          <w:color w:val="000000"/>
          <w:sz w:val="28"/>
        </w:rPr>
        <w:t>
      7) если квартердек примыкает к средней надстройке, он продлевается от уступа внутрь средней надстройки на две шпации, однако не менее чем на величину возвышения надстройки над квартердеком.</w:t>
      </w:r>
    </w:p>
    <w:bookmarkEnd w:id="2271"/>
    <w:bookmarkStart w:name="z2277" w:id="2272"/>
    <w:p>
      <w:pPr>
        <w:spacing w:after="0"/>
        <w:ind w:left="0"/>
        <w:jc w:val="both"/>
      </w:pPr>
      <w:r>
        <w:rPr>
          <w:rFonts w:ascii="Times New Roman"/>
          <w:b w:val="false"/>
          <w:i w:val="false"/>
          <w:color w:val="000000"/>
          <w:sz w:val="28"/>
        </w:rPr>
        <w:t>
      Палубный стрингер квартердека продлевается дальше в нос на две шпации с постепенным уменьшением ширины, как указано в подпункте 2) пункта 556 настоящих Правил.</w:t>
      </w:r>
    </w:p>
    <w:bookmarkEnd w:id="2272"/>
    <w:bookmarkStart w:name="z2278" w:id="2273"/>
    <w:p>
      <w:pPr>
        <w:spacing w:after="0"/>
        <w:ind w:left="0"/>
        <w:jc w:val="both"/>
      </w:pPr>
      <w:r>
        <w:rPr>
          <w:rFonts w:ascii="Times New Roman"/>
          <w:b w:val="false"/>
          <w:i w:val="false"/>
          <w:color w:val="000000"/>
          <w:sz w:val="28"/>
        </w:rPr>
        <w:t>
      Подкрепления между верхней палубой и квартердеком в месте уступа соответствует подпунктам 5) и 6) пункта 557 настоящих Правил с учетом, что уступ расположен по длине судна.</w:t>
      </w:r>
    </w:p>
    <w:bookmarkEnd w:id="2273"/>
    <w:bookmarkStart w:name="z2279" w:id="2274"/>
    <w:p>
      <w:pPr>
        <w:spacing w:after="0"/>
        <w:ind w:left="0"/>
        <w:jc w:val="both"/>
      </w:pPr>
      <w:r>
        <w:rPr>
          <w:rFonts w:ascii="Times New Roman"/>
          <w:b w:val="false"/>
          <w:i w:val="false"/>
          <w:color w:val="000000"/>
          <w:sz w:val="28"/>
        </w:rPr>
        <w:t>
      Выступающие в корму за надстройку листы ее бортовой обшивки в этом случае плавно по кривой сводятся "на нет" к ширстреку на длине не менее 1,5 высоты уступа (подпункт 1) пункта 554 настоящих Правил);</w:t>
      </w:r>
    </w:p>
    <w:bookmarkEnd w:id="2274"/>
    <w:bookmarkStart w:name="z2280" w:id="2275"/>
    <w:p>
      <w:pPr>
        <w:spacing w:after="0"/>
        <w:ind w:left="0"/>
        <w:jc w:val="both"/>
      </w:pPr>
      <w:r>
        <w:rPr>
          <w:rFonts w:ascii="Times New Roman"/>
          <w:b w:val="false"/>
          <w:i w:val="false"/>
          <w:color w:val="000000"/>
          <w:sz w:val="28"/>
        </w:rPr>
        <w:t>
      8) если уступ квартердека расположен не далее 0,25</w:t>
      </w:r>
      <w:r>
        <w:rPr>
          <w:rFonts w:ascii="Times New Roman"/>
          <w:b w:val="false"/>
          <w:i/>
          <w:color w:val="000000"/>
          <w:sz w:val="28"/>
        </w:rPr>
        <w:t>L</w:t>
      </w:r>
      <w:r>
        <w:rPr>
          <w:rFonts w:ascii="Times New Roman"/>
          <w:b w:val="false"/>
          <w:i w:val="false"/>
          <w:color w:val="000000"/>
          <w:sz w:val="28"/>
        </w:rPr>
        <w:t xml:space="preserve"> от кормового перпендикуляра, подкрепления отвечают следующим требованиям:</w:t>
      </w:r>
    </w:p>
    <w:bookmarkEnd w:id="2275"/>
    <w:bookmarkStart w:name="z2281" w:id="2276"/>
    <w:p>
      <w:pPr>
        <w:spacing w:after="0"/>
        <w:ind w:left="0"/>
        <w:jc w:val="both"/>
      </w:pPr>
      <w:r>
        <w:rPr>
          <w:rFonts w:ascii="Times New Roman"/>
          <w:b w:val="false"/>
          <w:i w:val="false"/>
          <w:color w:val="000000"/>
          <w:sz w:val="28"/>
        </w:rPr>
        <w:t>
      на судах длиной более 60 м опорную переборку, расположенную по всей ширине судна, подкрепляющая свободные вертикальные кромки диафрагм, возмодно не устанавливать;</w:t>
      </w:r>
    </w:p>
    <w:bookmarkEnd w:id="2276"/>
    <w:bookmarkStart w:name="z2282" w:id="2277"/>
    <w:p>
      <w:pPr>
        <w:spacing w:after="0"/>
        <w:ind w:left="0"/>
        <w:jc w:val="both"/>
      </w:pPr>
      <w:r>
        <w:rPr>
          <w:rFonts w:ascii="Times New Roman"/>
          <w:b w:val="false"/>
          <w:i w:val="false"/>
          <w:color w:val="000000"/>
          <w:sz w:val="28"/>
        </w:rPr>
        <w:t>
      свободные кромки диафрагм в этом случае подкрепляют пояском или фланцем шириной не менее 10 толщин листа диафрагм;</w:t>
      </w:r>
    </w:p>
    <w:bookmarkEnd w:id="2277"/>
    <w:bookmarkStart w:name="z2283" w:id="2278"/>
    <w:p>
      <w:pPr>
        <w:spacing w:after="0"/>
        <w:ind w:left="0"/>
        <w:jc w:val="both"/>
      </w:pPr>
      <w:r>
        <w:rPr>
          <w:rFonts w:ascii="Times New Roman"/>
          <w:b w:val="false"/>
          <w:i w:val="false"/>
          <w:color w:val="000000"/>
          <w:sz w:val="28"/>
        </w:rPr>
        <w:t>
      на судах длиной 60 м и менее настил верхней палубы возможно не продолжать в корму за уступ по всей ширине судна, однако стрингер верхней палубы, а также стрингер и ширстрек квартердека протягивают соответственно в нос и в корму, как указано в подпунктах 3), 4) настоящего пункта Правил.</w:t>
      </w:r>
    </w:p>
    <w:bookmarkEnd w:id="2278"/>
    <w:bookmarkStart w:name="z2284" w:id="2279"/>
    <w:p>
      <w:pPr>
        <w:spacing w:after="0"/>
        <w:ind w:left="0"/>
        <w:jc w:val="both"/>
      </w:pPr>
      <w:r>
        <w:rPr>
          <w:rFonts w:ascii="Times New Roman"/>
          <w:b w:val="false"/>
          <w:i w:val="false"/>
          <w:color w:val="000000"/>
          <w:sz w:val="28"/>
        </w:rPr>
        <w:t>
      558. Для конструкций рубок допускается применение алюминиевых сплавов. Палубы жилых и служебных помещений, расположенных над машинными и грузовыми помещениями, должны быть стальными.</w:t>
      </w:r>
    </w:p>
    <w:bookmarkEnd w:id="2279"/>
    <w:bookmarkStart w:name="z2285" w:id="2280"/>
    <w:p>
      <w:pPr>
        <w:spacing w:after="0"/>
        <w:ind w:left="0"/>
        <w:jc w:val="both"/>
      </w:pPr>
      <w:r>
        <w:rPr>
          <w:rFonts w:ascii="Times New Roman"/>
          <w:b w:val="false"/>
          <w:i w:val="false"/>
          <w:color w:val="000000"/>
          <w:sz w:val="28"/>
        </w:rPr>
        <w:t>
      Конструктивные элементы рубки из алюминиевых сплавов определяются пересчетом согласно параграфу 5 главы 13 настоящих Правил. Минимальные размеры конструкций принимаются одинаковыми с минимальными размерами для стальной рубки.</w:t>
      </w:r>
    </w:p>
    <w:bookmarkEnd w:id="2280"/>
    <w:bookmarkStart w:name="z2286" w:id="2281"/>
    <w:p>
      <w:pPr>
        <w:spacing w:after="0"/>
        <w:ind w:left="0"/>
        <w:jc w:val="both"/>
      </w:pPr>
      <w:r>
        <w:rPr>
          <w:rFonts w:ascii="Times New Roman"/>
          <w:b w:val="false"/>
          <w:i w:val="false"/>
          <w:color w:val="000000"/>
          <w:sz w:val="28"/>
        </w:rPr>
        <w:t>
      Определение степени участия рубок из алюминиевых сплавов в общем изгибе корпуса и напряжений в корпусе судна и рубке выполняется по методике, согласованной с Регистром судоходства.</w:t>
      </w:r>
    </w:p>
    <w:bookmarkEnd w:id="2281"/>
    <w:bookmarkStart w:name="z2287" w:id="2282"/>
    <w:p>
      <w:pPr>
        <w:spacing w:after="0"/>
        <w:ind w:left="0"/>
        <w:jc w:val="both"/>
      </w:pPr>
      <w:r>
        <w:rPr>
          <w:rFonts w:ascii="Times New Roman"/>
          <w:b w:val="false"/>
          <w:i w:val="false"/>
          <w:color w:val="000000"/>
          <w:sz w:val="28"/>
        </w:rPr>
        <w:t>
      559. Связи вертолетных площадок и поддерживающие их конструкции отвечают следующим требованиям:</w:t>
      </w:r>
    </w:p>
    <w:bookmarkEnd w:id="2282"/>
    <w:bookmarkStart w:name="z2288" w:id="2283"/>
    <w:p>
      <w:pPr>
        <w:spacing w:after="0"/>
        <w:ind w:left="0"/>
        <w:jc w:val="both"/>
      </w:pPr>
      <w:r>
        <w:rPr>
          <w:rFonts w:ascii="Times New Roman"/>
          <w:b w:val="false"/>
          <w:i w:val="false"/>
          <w:color w:val="000000"/>
          <w:sz w:val="28"/>
        </w:rPr>
        <w:t>
      1) необходимо чтобы связи вертолетной площадки в соответствии с ее расположением по длине судна и высоте борта соответствовали требованиям к связям открытой палубы согласно главы 20 настоящих Правил или палуб надстройки (рубки) согласно пункту 545 и подпункту 2) пункта 550 настоящих Правил. В любом случае расчетное давление равно не менее: p</w:t>
      </w:r>
      <w:r>
        <w:rPr>
          <w:rFonts w:ascii="Times New Roman"/>
          <w:b w:val="false"/>
          <w:i w:val="false"/>
          <w:color w:val="000000"/>
          <w:vertAlign w:val="subscript"/>
        </w:rPr>
        <w:t>min</w:t>
      </w:r>
      <w:r>
        <w:rPr>
          <w:rFonts w:ascii="Times New Roman"/>
          <w:b w:val="false"/>
          <w:i w:val="false"/>
          <w:color w:val="000000"/>
          <w:sz w:val="28"/>
        </w:rPr>
        <w:t xml:space="preserve"> = 2 кПа;</w:t>
      </w:r>
    </w:p>
    <w:bookmarkEnd w:id="2283"/>
    <w:bookmarkStart w:name="z2289" w:id="2284"/>
    <w:p>
      <w:pPr>
        <w:spacing w:after="0"/>
        <w:ind w:left="0"/>
        <w:jc w:val="both"/>
      </w:pPr>
      <w:r>
        <w:rPr>
          <w:rFonts w:ascii="Times New Roman"/>
          <w:b w:val="false"/>
          <w:i w:val="false"/>
          <w:color w:val="000000"/>
          <w:sz w:val="28"/>
        </w:rPr>
        <w:t>
      2) связи вертолетной площадки отвечали бы требованиям к связям палуб, предназначенных для перевозки груза согласно главы 20 настоящих Правил. Расчетная нагрузка определяется согласно пункту 174 настоящих Правил, исходя из наибольшей массы вертолетов и оборудования, размещаемых на этой площадке в процессе эксплуатации и дополнительного давления 0,5 кПа от снежного покрова или льда;</w:t>
      </w:r>
    </w:p>
    <w:bookmarkEnd w:id="2284"/>
    <w:bookmarkStart w:name="z2290" w:id="2285"/>
    <w:p>
      <w:pPr>
        <w:spacing w:after="0"/>
        <w:ind w:left="0"/>
        <w:jc w:val="both"/>
      </w:pPr>
      <w:r>
        <w:rPr>
          <w:rFonts w:ascii="Times New Roman"/>
          <w:b w:val="false"/>
          <w:i w:val="false"/>
          <w:color w:val="000000"/>
          <w:sz w:val="28"/>
        </w:rPr>
        <w:t>
      3) связи вертолетной площадки отвечают требованиям к связям палубы накатных судов согласно главы 29 настоящих Правил. При этом расчетная нагрузка в условиях посадки вертолета определяется, исходя из следующего:</w:t>
      </w:r>
    </w:p>
    <w:bookmarkEnd w:id="2285"/>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условная нагрузка на ось;</w:t>
      </w:r>
    </w:p>
    <w:p>
      <w:pPr>
        <w:spacing w:after="0"/>
        <w:ind w:left="0"/>
        <w:jc w:val="both"/>
      </w:pPr>
      <w:r>
        <w:rPr>
          <w:rFonts w:ascii="Times New Roman"/>
          <w:b w:val="false"/>
          <w:i w:val="false"/>
          <w:color w:val="000000"/>
          <w:sz w:val="28"/>
        </w:rPr>
        <w:t>
      принимается равной максимальному взлетному весу вертолета,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2 — условное число колес на оси;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1 — число колес в группе;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w:t>
      </w:r>
    </w:p>
    <w:p>
      <w:pPr>
        <w:spacing w:after="0"/>
        <w:ind w:left="0"/>
        <w:jc w:val="both"/>
      </w:pP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52400" cy="330200"/>
                    </a:xfrm>
                    <a:prstGeom prst="rect">
                      <a:avLst/>
                    </a:prstGeom>
                  </pic:spPr>
                </pic:pic>
              </a:graphicData>
            </a:graphic>
          </wp:inline>
        </w:drawing>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 </w:t>
      </w:r>
    </w:p>
    <w:p>
      <w:pPr>
        <w:spacing w:after="0"/>
        <w:ind w:left="0"/>
        <w:jc w:val="both"/>
      </w:pP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52400" cy="330200"/>
                    </a:xfrm>
                    <a:prstGeom prst="rect">
                      <a:avLst/>
                    </a:prstGeom>
                  </pic:spPr>
                </pic:pic>
              </a:graphicData>
            </a:graphic>
          </wp:inline>
        </w:drawing>
      </w:r>
    </w:p>
    <w:p>
      <w:pPr>
        <w:spacing w:after="0"/>
        <w:ind w:left="0"/>
        <w:jc w:val="left"/>
      </w:pPr>
      <w:r>
        <w:rPr>
          <w:rFonts w:ascii="Times New Roman"/>
          <w:b w:val="false"/>
          <w:i w:val="false"/>
          <w:color w:val="000000"/>
          <w:sz w:val="28"/>
        </w:rPr>
        <w:t>0,3 м</w:t>
      </w:r>
      <w:r>
        <w:rPr>
          <w:rFonts w:ascii="Times New Roman"/>
          <w:b w:val="false"/>
          <w:i w:val="false"/>
          <w:color w:val="000000"/>
          <w:vertAlign w:val="superscript"/>
        </w:rPr>
        <w:t>2</w:t>
      </w:r>
      <w:r>
        <w:rPr>
          <w:rFonts w:ascii="Times New Roman"/>
          <w:b w:val="false"/>
          <w:i w:val="false"/>
          <w:color w:val="000000"/>
          <w:sz w:val="28"/>
        </w:rPr>
        <w:t xml:space="preserve"> — размеры отпечатка колеса;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=1,5 — коэффициент динамичности;</w:t>
      </w:r>
    </w:p>
    <w:bookmarkStart w:name="z2291" w:id="2286"/>
    <w:p>
      <w:pPr>
        <w:spacing w:after="0"/>
        <w:ind w:left="0"/>
        <w:jc w:val="both"/>
      </w:pPr>
      <w:r>
        <w:rPr>
          <w:rFonts w:ascii="Times New Roman"/>
          <w:b w:val="false"/>
          <w:i w:val="false"/>
          <w:color w:val="000000"/>
          <w:sz w:val="28"/>
        </w:rPr>
        <w:t>
      4) если вертолетная площадка не является палубой надстройки или рубки, ее опорные конструкции соответствуют требованиям к пиллерсам согласно главы 23 настоящих Правил и (или) полупереборкам согласно пункту 455 при действии расчетных нагрузок согласно подпунктов 1) – 3) настоящего пункта Правил;</w:t>
      </w:r>
    </w:p>
    <w:bookmarkEnd w:id="2286"/>
    <w:bookmarkStart w:name="z2292" w:id="2287"/>
    <w:p>
      <w:pPr>
        <w:spacing w:after="0"/>
        <w:ind w:left="0"/>
        <w:jc w:val="both"/>
      </w:pPr>
      <w:r>
        <w:rPr>
          <w:rFonts w:ascii="Times New Roman"/>
          <w:b w:val="false"/>
          <w:i w:val="false"/>
          <w:color w:val="000000"/>
          <w:sz w:val="28"/>
        </w:rPr>
        <w:t>
      5) если вертолетная площадка имеет конструкции, выступающие за линию борта, требования к ней являются предметом специального рассмотрения Регистром судоходства.</w:t>
      </w:r>
    </w:p>
    <w:bookmarkEnd w:id="2287"/>
    <w:bookmarkStart w:name="z2293" w:id="2288"/>
    <w:p>
      <w:pPr>
        <w:spacing w:after="0"/>
        <w:ind w:left="0"/>
        <w:jc w:val="left"/>
      </w:pPr>
      <w:r>
        <w:rPr>
          <w:rFonts w:ascii="Times New Roman"/>
          <w:b/>
          <w:i w:val="false"/>
          <w:color w:val="000000"/>
        </w:rPr>
        <w:t xml:space="preserve"> Глава 27. Машинные шахты</w:t>
      </w:r>
    </w:p>
    <w:bookmarkEnd w:id="2288"/>
    <w:p>
      <w:pPr>
        <w:spacing w:after="0"/>
        <w:ind w:left="0"/>
        <w:jc w:val="both"/>
      </w:pPr>
      <w:r>
        <w:rPr>
          <w:rFonts w:ascii="Times New Roman"/>
          <w:b w:val="false"/>
          <w:i w:val="false"/>
          <w:color w:val="ff0000"/>
          <w:sz w:val="28"/>
        </w:rPr>
        <w:t xml:space="preserve">
      Сноска. Заголовок главы 27 -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4" w:id="2289"/>
    <w:p>
      <w:pPr>
        <w:spacing w:after="0"/>
        <w:ind w:left="0"/>
        <w:jc w:val="left"/>
      </w:pPr>
      <w:r>
        <w:rPr>
          <w:rFonts w:ascii="Times New Roman"/>
          <w:b/>
          <w:i w:val="false"/>
          <w:color w:val="000000"/>
        </w:rPr>
        <w:t xml:space="preserve"> Параграф 1. Общие положения, конструкция</w:t>
      </w:r>
    </w:p>
    <w:bookmarkEnd w:id="2289"/>
    <w:bookmarkStart w:name="z2295" w:id="2290"/>
    <w:p>
      <w:pPr>
        <w:spacing w:after="0"/>
        <w:ind w:left="0"/>
        <w:jc w:val="both"/>
      </w:pPr>
      <w:r>
        <w:rPr>
          <w:rFonts w:ascii="Times New Roman"/>
          <w:b w:val="false"/>
          <w:i w:val="false"/>
          <w:color w:val="000000"/>
          <w:sz w:val="28"/>
        </w:rPr>
        <w:t>
      560. Вырезы в палубах и платформах над машинными отделениями ограждают прочными машинными шахтами.</w:t>
      </w:r>
    </w:p>
    <w:bookmarkEnd w:id="2290"/>
    <w:bookmarkStart w:name="z2296" w:id="2291"/>
    <w:p>
      <w:pPr>
        <w:spacing w:after="0"/>
        <w:ind w:left="0"/>
        <w:jc w:val="both"/>
      </w:pPr>
      <w:r>
        <w:rPr>
          <w:rFonts w:ascii="Times New Roman"/>
          <w:b w:val="false"/>
          <w:i w:val="false"/>
          <w:color w:val="000000"/>
          <w:sz w:val="28"/>
        </w:rPr>
        <w:t>
      Возможно шахты не предусматривать только в том случае, если помещение, расположенное на палубе или платформе, является частью машинного отделения.</w:t>
      </w:r>
    </w:p>
    <w:bookmarkEnd w:id="2291"/>
    <w:bookmarkStart w:name="z2297" w:id="2292"/>
    <w:p>
      <w:pPr>
        <w:spacing w:after="0"/>
        <w:ind w:left="0"/>
        <w:jc w:val="both"/>
      </w:pPr>
      <w:r>
        <w:rPr>
          <w:rFonts w:ascii="Times New Roman"/>
          <w:b w:val="false"/>
          <w:i w:val="false"/>
          <w:color w:val="000000"/>
          <w:sz w:val="28"/>
        </w:rPr>
        <w:t>
      561. Если в палубе в районе машинного отделения имеются большие вырезы, в районе машинной шахты предусматривают дополнительные пиллерсы и рамные бимсы.</w:t>
      </w:r>
    </w:p>
    <w:bookmarkEnd w:id="2292"/>
    <w:bookmarkStart w:name="z2298" w:id="2293"/>
    <w:p>
      <w:pPr>
        <w:spacing w:after="0"/>
        <w:ind w:left="0"/>
        <w:jc w:val="both"/>
      </w:pPr>
      <w:r>
        <w:rPr>
          <w:rFonts w:ascii="Times New Roman"/>
          <w:b w:val="false"/>
          <w:i w:val="false"/>
          <w:color w:val="000000"/>
          <w:sz w:val="28"/>
        </w:rPr>
        <w:t>
      562. Нижний пояс обшивки продольной стенки части шахты, расположенной на расчетной палубе в районе 0,6</w:t>
      </w:r>
      <w:r>
        <w:rPr>
          <w:rFonts w:ascii="Times New Roman"/>
          <w:b w:val="false"/>
          <w:i/>
          <w:color w:val="000000"/>
          <w:sz w:val="28"/>
        </w:rPr>
        <w:t>L</w:t>
      </w:r>
      <w:r>
        <w:rPr>
          <w:rFonts w:ascii="Times New Roman"/>
          <w:b w:val="false"/>
          <w:i w:val="false"/>
          <w:color w:val="000000"/>
          <w:sz w:val="28"/>
        </w:rPr>
        <w:t xml:space="preserve"> средней части судна длиной 65 м и более, изготавливают из стали той же категории, с тем же пределом текучести, что и расчетная палуба в этом районе.</w:t>
      </w:r>
    </w:p>
    <w:bookmarkEnd w:id="2293"/>
    <w:bookmarkStart w:name="z2299" w:id="2294"/>
    <w:p>
      <w:pPr>
        <w:spacing w:after="0"/>
        <w:ind w:left="0"/>
        <w:jc w:val="both"/>
      </w:pPr>
      <w:r>
        <w:rPr>
          <w:rFonts w:ascii="Times New Roman"/>
          <w:b w:val="false"/>
          <w:i w:val="false"/>
          <w:color w:val="000000"/>
          <w:sz w:val="28"/>
        </w:rPr>
        <w:t>
      563. При устройстве в расчетной палубе выреза для машинной шахты выполняют требования пункта 416 настоящих Правил о подкреплении палубы в углах вырезов и при необходимости компенсации вырезов.</w:t>
      </w:r>
    </w:p>
    <w:bookmarkEnd w:id="2294"/>
    <w:bookmarkStart w:name="z2300" w:id="2295"/>
    <w:p>
      <w:pPr>
        <w:spacing w:after="0"/>
        <w:ind w:left="0"/>
        <w:jc w:val="left"/>
      </w:pPr>
      <w:r>
        <w:rPr>
          <w:rFonts w:ascii="Times New Roman"/>
          <w:b/>
          <w:i w:val="false"/>
          <w:color w:val="000000"/>
        </w:rPr>
        <w:t xml:space="preserve"> Параграф 2. Размеры конструкций машинных шахт</w:t>
      </w:r>
    </w:p>
    <w:bookmarkEnd w:id="2295"/>
    <w:bookmarkStart w:name="z2301" w:id="2296"/>
    <w:p>
      <w:pPr>
        <w:spacing w:after="0"/>
        <w:ind w:left="0"/>
        <w:jc w:val="both"/>
      </w:pPr>
      <w:r>
        <w:rPr>
          <w:rFonts w:ascii="Times New Roman"/>
          <w:b w:val="false"/>
          <w:i w:val="false"/>
          <w:color w:val="000000"/>
          <w:sz w:val="28"/>
        </w:rPr>
        <w:t>
      564. Часть шахты, расположенная в закрытых помещениях (междупалубных помещениях, юте, средней надстройке, рубке), должна отвечать требованиям к полупереборкам согласно пункту 455 настоящих Правил. Расстояние между стойками не должно превышать 0,9 м.</w:t>
      </w:r>
    </w:p>
    <w:bookmarkEnd w:id="2296"/>
    <w:bookmarkStart w:name="z2302" w:id="2297"/>
    <w:p>
      <w:pPr>
        <w:spacing w:after="0"/>
        <w:ind w:left="0"/>
        <w:jc w:val="both"/>
      </w:pPr>
      <w:r>
        <w:rPr>
          <w:rFonts w:ascii="Times New Roman"/>
          <w:b w:val="false"/>
          <w:i w:val="false"/>
          <w:color w:val="000000"/>
          <w:sz w:val="28"/>
        </w:rPr>
        <w:t>
      Толщину обшивки части шахты, расположенной в юте, средней надстройке или рубке, возможно уменьшить против указанной на 0,5 мм.</w:t>
      </w:r>
    </w:p>
    <w:bookmarkEnd w:id="2297"/>
    <w:bookmarkStart w:name="z2303" w:id="2298"/>
    <w:p>
      <w:pPr>
        <w:spacing w:after="0"/>
        <w:ind w:left="0"/>
        <w:jc w:val="both"/>
      </w:pPr>
      <w:r>
        <w:rPr>
          <w:rFonts w:ascii="Times New Roman"/>
          <w:b w:val="false"/>
          <w:i w:val="false"/>
          <w:color w:val="000000"/>
          <w:sz w:val="28"/>
        </w:rPr>
        <w:t>
      565. Часть шахты, расположенная ниже палубы переборок, отвечает требованиям пунктов 440, 444-453 настоящих Правил для водонепроницаемых переборок, если при обеспечении непотопляемости она рассматривается как непроницаемая конструкция.</w:t>
      </w:r>
    </w:p>
    <w:bookmarkEnd w:id="2298"/>
    <w:bookmarkStart w:name="z2304" w:id="2299"/>
    <w:p>
      <w:pPr>
        <w:spacing w:after="0"/>
        <w:ind w:left="0"/>
        <w:jc w:val="both"/>
      </w:pPr>
      <w:r>
        <w:rPr>
          <w:rFonts w:ascii="Times New Roman"/>
          <w:b w:val="false"/>
          <w:i w:val="false"/>
          <w:color w:val="000000"/>
          <w:sz w:val="28"/>
        </w:rPr>
        <w:t>
      566. Часть шахты, расположенная выше открытой палубы, отвечает требованиям главы 26 настоящих Правил для рубок, расположенных в том же районе судна. При определении расчетной нагрузки по формуле (165) настоящих Правил следует принимать с2 = 1.</w:t>
      </w:r>
    </w:p>
    <w:bookmarkEnd w:id="2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5" w:id="2300"/>
    <w:p>
      <w:pPr>
        <w:spacing w:after="0"/>
        <w:ind w:left="0"/>
        <w:jc w:val="left"/>
      </w:pPr>
      <w:r>
        <w:rPr>
          <w:rFonts w:ascii="Times New Roman"/>
          <w:b/>
          <w:i w:val="false"/>
          <w:color w:val="000000"/>
        </w:rPr>
        <w:t xml:space="preserve"> Глава 28. Фальшборт</w:t>
      </w:r>
    </w:p>
    <w:bookmarkEnd w:id="2300"/>
    <w:p>
      <w:pPr>
        <w:spacing w:after="0"/>
        <w:ind w:left="0"/>
        <w:jc w:val="both"/>
      </w:pPr>
      <w:r>
        <w:rPr>
          <w:rFonts w:ascii="Times New Roman"/>
          <w:b w:val="false"/>
          <w:i w:val="false"/>
          <w:color w:val="ff0000"/>
          <w:sz w:val="28"/>
        </w:rPr>
        <w:t xml:space="preserve">
      Сноска. Заголовок главы 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06" w:id="2301"/>
    <w:p>
      <w:pPr>
        <w:spacing w:after="0"/>
        <w:ind w:left="0"/>
        <w:jc w:val="left"/>
      </w:pPr>
      <w:r>
        <w:rPr>
          <w:rFonts w:ascii="Times New Roman"/>
          <w:b/>
          <w:i w:val="false"/>
          <w:color w:val="000000"/>
        </w:rPr>
        <w:t xml:space="preserve"> Параграф 1. Обшие положения, конструкция</w:t>
      </w:r>
    </w:p>
    <w:bookmarkEnd w:id="2301"/>
    <w:bookmarkStart w:name="z2307" w:id="2302"/>
    <w:p>
      <w:pPr>
        <w:spacing w:after="0"/>
        <w:ind w:left="0"/>
        <w:jc w:val="both"/>
      </w:pPr>
      <w:r>
        <w:rPr>
          <w:rFonts w:ascii="Times New Roman"/>
          <w:b w:val="false"/>
          <w:i w:val="false"/>
          <w:color w:val="000000"/>
          <w:sz w:val="28"/>
        </w:rPr>
        <w:t>
      567. Фальшборт прочной конструкции устанавливают в местах, указанных в главе 85 настоящих Правил.</w:t>
      </w:r>
    </w:p>
    <w:bookmarkEnd w:id="2302"/>
    <w:bookmarkStart w:name="z2308" w:id="2303"/>
    <w:p>
      <w:pPr>
        <w:spacing w:after="0"/>
        <w:ind w:left="0"/>
        <w:jc w:val="both"/>
      </w:pPr>
      <w:r>
        <w:rPr>
          <w:rFonts w:ascii="Times New Roman"/>
          <w:b w:val="false"/>
          <w:i w:val="false"/>
          <w:color w:val="000000"/>
          <w:sz w:val="28"/>
        </w:rPr>
        <w:t>
      Конструкция фальшборта в средней части судна длиной 65 м и более такая, чтобы фальшборт не принимал участия в общем изгибе корпуса.</w:t>
      </w:r>
    </w:p>
    <w:bookmarkEnd w:id="2303"/>
    <w:bookmarkStart w:name="z2309" w:id="2304"/>
    <w:p>
      <w:pPr>
        <w:spacing w:after="0"/>
        <w:ind w:left="0"/>
        <w:jc w:val="both"/>
      </w:pPr>
      <w:r>
        <w:rPr>
          <w:rFonts w:ascii="Times New Roman"/>
          <w:b w:val="false"/>
          <w:i w:val="false"/>
          <w:color w:val="000000"/>
          <w:sz w:val="28"/>
        </w:rPr>
        <w:t>
      568. Высота фальшборта от верхней кромки стального настила палубы, а при наличии деревянного настила — от верхней кромки последнего до верхней кромки планширя или поручня отвечает требованиям пункта 1654 настоящих Правил.</w:t>
      </w:r>
    </w:p>
    <w:bookmarkEnd w:id="2304"/>
    <w:bookmarkStart w:name="z2310" w:id="2305"/>
    <w:p>
      <w:pPr>
        <w:spacing w:after="0"/>
        <w:ind w:left="0"/>
        <w:jc w:val="both"/>
      </w:pPr>
      <w:r>
        <w:rPr>
          <w:rFonts w:ascii="Times New Roman"/>
          <w:b w:val="false"/>
          <w:i w:val="false"/>
          <w:color w:val="000000"/>
          <w:sz w:val="28"/>
        </w:rPr>
        <w:t>
      569. Обшивка фальшборта в районе 0,6</w:t>
      </w:r>
      <w:r>
        <w:rPr>
          <w:rFonts w:ascii="Times New Roman"/>
          <w:b w:val="false"/>
          <w:i/>
          <w:color w:val="000000"/>
          <w:sz w:val="28"/>
        </w:rPr>
        <w:t>L</w:t>
      </w:r>
      <w:r>
        <w:rPr>
          <w:rFonts w:ascii="Times New Roman"/>
          <w:b w:val="false"/>
          <w:i w:val="false"/>
          <w:color w:val="000000"/>
          <w:sz w:val="28"/>
        </w:rPr>
        <w:t xml:space="preserve"> средней части судна длиной 65 м и более не приваривается к верхней кромке ширстрека. Вне указанного района, а также на судах длиной менее 65 м вырезы в фальшборте для проходов выполняются с обеспечением плавного (при радиусе не менее 100 мм) перехода обшивки фальшборта к ширстреку.</w:t>
      </w:r>
    </w:p>
    <w:bookmarkEnd w:id="2305"/>
    <w:bookmarkStart w:name="z2311" w:id="2306"/>
    <w:p>
      <w:pPr>
        <w:spacing w:after="0"/>
        <w:ind w:left="0"/>
        <w:jc w:val="both"/>
      </w:pPr>
      <w:r>
        <w:rPr>
          <w:rFonts w:ascii="Times New Roman"/>
          <w:b w:val="false"/>
          <w:i w:val="false"/>
          <w:color w:val="000000"/>
          <w:sz w:val="28"/>
        </w:rPr>
        <w:t>
      В районе до 0,07</w:t>
      </w:r>
      <w:r>
        <w:rPr>
          <w:rFonts w:ascii="Times New Roman"/>
          <w:b w:val="false"/>
          <w:i/>
          <w:color w:val="000000"/>
          <w:sz w:val="28"/>
        </w:rPr>
        <w:t>L</w:t>
      </w:r>
      <w:r>
        <w:rPr>
          <w:rFonts w:ascii="Times New Roman"/>
          <w:b w:val="false"/>
          <w:i w:val="false"/>
          <w:color w:val="000000"/>
          <w:sz w:val="28"/>
        </w:rPr>
        <w:t xml:space="preserve"> от носового перпендикуляра приварка обшивки фальшборта к ширстреку обязательна.</w:t>
      </w:r>
    </w:p>
    <w:bookmarkEnd w:id="2306"/>
    <w:bookmarkStart w:name="z2312" w:id="2307"/>
    <w:p>
      <w:pPr>
        <w:spacing w:after="0"/>
        <w:ind w:left="0"/>
        <w:jc w:val="both"/>
      </w:pPr>
      <w:r>
        <w:rPr>
          <w:rFonts w:ascii="Times New Roman"/>
          <w:b w:val="false"/>
          <w:i w:val="false"/>
          <w:color w:val="000000"/>
          <w:sz w:val="28"/>
        </w:rPr>
        <w:t>
      570. Фальшборт подкрепляют стойками, расстояние между которыми равна не более 1,8 м. При креплении стензелей для лесного палубного груза к фальшборту, а также в носовой оконечности на участке до 0,07</w:t>
      </w:r>
      <w:r>
        <w:rPr>
          <w:rFonts w:ascii="Times New Roman"/>
          <w:b w:val="false"/>
          <w:i/>
          <w:color w:val="000000"/>
          <w:sz w:val="28"/>
        </w:rPr>
        <w:t>L</w:t>
      </w:r>
      <w:r>
        <w:rPr>
          <w:rFonts w:ascii="Times New Roman"/>
          <w:b w:val="false"/>
          <w:i w:val="false"/>
          <w:color w:val="000000"/>
          <w:sz w:val="28"/>
        </w:rPr>
        <w:t xml:space="preserve"> от носового перпендикуляра расстояние между стойками должно быть не более 1,2 м. При значительном развале бортов, а также для судов с минимальным надводным бортом в указанном районе потребуется установка стоек на каждом шпангоуте.</w:t>
      </w:r>
    </w:p>
    <w:bookmarkEnd w:id="2307"/>
    <w:bookmarkStart w:name="z2314" w:id="2308"/>
    <w:p>
      <w:pPr>
        <w:spacing w:after="0"/>
        <w:ind w:left="0"/>
        <w:jc w:val="both"/>
      </w:pPr>
      <w:r>
        <w:rPr>
          <w:rFonts w:ascii="Times New Roman"/>
          <w:b w:val="false"/>
          <w:i w:val="false"/>
          <w:color w:val="000000"/>
          <w:sz w:val="28"/>
        </w:rPr>
        <w:t xml:space="preserve">
      571. Стойки располагаются в плоскости бимсов, книц конструкций и привариваться к планширю, фальшборту и палубе. Соединение стоек с фальшбортом предусматривается на длине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высоты фальшборта.</w:t>
      </w:r>
    </w:p>
    <w:bookmarkEnd w:id="2308"/>
    <w:bookmarkStart w:name="z2315" w:id="2309"/>
    <w:p>
      <w:pPr>
        <w:spacing w:after="0"/>
        <w:ind w:left="0"/>
        <w:jc w:val="both"/>
      </w:pPr>
      <w:r>
        <w:rPr>
          <w:rFonts w:ascii="Times New Roman"/>
          <w:b w:val="false"/>
          <w:i w:val="false"/>
          <w:color w:val="000000"/>
          <w:sz w:val="28"/>
        </w:rPr>
        <w:t>
      При приварке стоек к палубе необходимо предусматривать в них отверстия достаточных размеров для протока воды к шпигатам. На участке под стойкой сварное соединение бимса (кницы) с настилом палубы не должно быть слабее соединения стойки с палубой.</w:t>
      </w:r>
    </w:p>
    <w:bookmarkEnd w:id="2309"/>
    <w:bookmarkStart w:name="z2316" w:id="2310"/>
    <w:p>
      <w:pPr>
        <w:spacing w:after="0"/>
        <w:ind w:left="0"/>
        <w:jc w:val="both"/>
      </w:pPr>
      <w:r>
        <w:rPr>
          <w:rFonts w:ascii="Times New Roman"/>
          <w:b w:val="false"/>
          <w:i w:val="false"/>
          <w:color w:val="000000"/>
          <w:sz w:val="28"/>
        </w:rPr>
        <w:t>
      Непосредственно под нижними концами стоек не допускаются вырезы в стенках бимсов и зазоры между торцом шпангоута и палубой.</w:t>
      </w:r>
    </w:p>
    <w:bookmarkEnd w:id="2310"/>
    <w:bookmarkStart w:name="z2317" w:id="2311"/>
    <w:p>
      <w:pPr>
        <w:spacing w:after="0"/>
        <w:ind w:left="0"/>
        <w:jc w:val="both"/>
      </w:pPr>
      <w:r>
        <w:rPr>
          <w:rFonts w:ascii="Times New Roman"/>
          <w:b w:val="false"/>
          <w:i w:val="false"/>
          <w:color w:val="000000"/>
          <w:sz w:val="28"/>
        </w:rPr>
        <w:t xml:space="preserve">
      Вырезы для облегчения стойки предусматривают не более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ее ширины в каждом сечении.</w:t>
      </w:r>
    </w:p>
    <w:bookmarkEnd w:id="2311"/>
    <w:bookmarkStart w:name="z2318" w:id="2312"/>
    <w:p>
      <w:pPr>
        <w:spacing w:after="0"/>
        <w:ind w:left="0"/>
        <w:jc w:val="both"/>
      </w:pPr>
      <w:r>
        <w:rPr>
          <w:rFonts w:ascii="Times New Roman"/>
          <w:b w:val="false"/>
          <w:i w:val="false"/>
          <w:color w:val="000000"/>
          <w:sz w:val="28"/>
        </w:rPr>
        <w:t>
      Свободные кромки стоек подкрепляют фланцами или поясками.</w:t>
      </w:r>
    </w:p>
    <w:bookmarkEnd w:id="2312"/>
    <w:bookmarkStart w:name="z2319" w:id="2313"/>
    <w:p>
      <w:pPr>
        <w:spacing w:after="0"/>
        <w:ind w:left="0"/>
        <w:jc w:val="both"/>
      </w:pPr>
      <w:r>
        <w:rPr>
          <w:rFonts w:ascii="Times New Roman"/>
          <w:b w:val="false"/>
          <w:i w:val="false"/>
          <w:color w:val="000000"/>
          <w:sz w:val="28"/>
        </w:rPr>
        <w:t>
      Как правило, фланцы (пояски) стоек не привариваются к настилу палубы и к планширю.</w:t>
      </w:r>
    </w:p>
    <w:bookmarkEnd w:id="2313"/>
    <w:bookmarkStart w:name="z2320" w:id="2314"/>
    <w:p>
      <w:pPr>
        <w:spacing w:after="0"/>
        <w:ind w:left="0"/>
        <w:jc w:val="both"/>
      </w:pPr>
      <w:r>
        <w:rPr>
          <w:rFonts w:ascii="Times New Roman"/>
          <w:b w:val="false"/>
          <w:i w:val="false"/>
          <w:color w:val="000000"/>
          <w:sz w:val="28"/>
        </w:rPr>
        <w:t>
      Фланцы (пояски), устанавливаемые по наружной кромке стойки, не привариваются к ребру жесткости (фланцу), подкрепляющему нижнюю кромку фальшборта, имеющего сплошной вырез.</w:t>
      </w:r>
    </w:p>
    <w:bookmarkEnd w:id="2314"/>
    <w:bookmarkStart w:name="z2321" w:id="2315"/>
    <w:p>
      <w:pPr>
        <w:spacing w:after="0"/>
        <w:ind w:left="0"/>
        <w:jc w:val="both"/>
      </w:pPr>
      <w:r>
        <w:rPr>
          <w:rFonts w:ascii="Times New Roman"/>
          <w:b w:val="false"/>
          <w:i w:val="false"/>
          <w:color w:val="000000"/>
          <w:sz w:val="28"/>
        </w:rPr>
        <w:t>
      572. Планширь имеет фланец (поясок) или изготавливается из полособульбового профиля.</w:t>
      </w:r>
    </w:p>
    <w:bookmarkEnd w:id="2315"/>
    <w:bookmarkStart w:name="z2322" w:id="2316"/>
    <w:p>
      <w:pPr>
        <w:spacing w:after="0"/>
        <w:ind w:left="0"/>
        <w:jc w:val="both"/>
      </w:pPr>
      <w:r>
        <w:rPr>
          <w:rFonts w:ascii="Times New Roman"/>
          <w:b w:val="false"/>
          <w:i w:val="false"/>
          <w:color w:val="000000"/>
          <w:sz w:val="28"/>
        </w:rPr>
        <w:t>
      Нижняя кромка фальшборта над сплошной прорезью подкрепляется горизонтальным ребром жесткости или фланцем.</w:t>
      </w:r>
    </w:p>
    <w:bookmarkEnd w:id="2316"/>
    <w:bookmarkStart w:name="z2323" w:id="2317"/>
    <w:p>
      <w:pPr>
        <w:spacing w:after="0"/>
        <w:ind w:left="0"/>
        <w:jc w:val="both"/>
      </w:pPr>
      <w:r>
        <w:rPr>
          <w:rFonts w:ascii="Times New Roman"/>
          <w:b w:val="false"/>
          <w:i w:val="false"/>
          <w:color w:val="000000"/>
          <w:sz w:val="28"/>
        </w:rPr>
        <w:t>
      В районе швартовных клюзов, киповых планок и креплений обухов для вант предусматривают дополнительные подкрепления фальшборта.</w:t>
      </w:r>
    </w:p>
    <w:bookmarkEnd w:id="2317"/>
    <w:bookmarkStart w:name="z2324" w:id="2318"/>
    <w:p>
      <w:pPr>
        <w:spacing w:after="0"/>
        <w:ind w:left="0"/>
        <w:jc w:val="both"/>
      </w:pPr>
      <w:r>
        <w:rPr>
          <w:rFonts w:ascii="Times New Roman"/>
          <w:b w:val="false"/>
          <w:i w:val="false"/>
          <w:color w:val="000000"/>
          <w:sz w:val="28"/>
        </w:rPr>
        <w:t>
      573. Требования к устройству штормовых портиков в фальшборте изложены в пункте 146 настоящих Правил.</w:t>
      </w:r>
    </w:p>
    <w:bookmarkEnd w:id="2318"/>
    <w:bookmarkStart w:name="z2325" w:id="2319"/>
    <w:p>
      <w:pPr>
        <w:spacing w:after="0"/>
        <w:ind w:left="0"/>
        <w:jc w:val="left"/>
      </w:pPr>
      <w:r>
        <w:rPr>
          <w:rFonts w:ascii="Times New Roman"/>
          <w:b/>
          <w:i w:val="false"/>
          <w:color w:val="000000"/>
        </w:rPr>
        <w:t xml:space="preserve"> Параграф 2. Нагрузки на фальшборт, размеры связей фальшборта</w:t>
      </w:r>
    </w:p>
    <w:bookmarkEnd w:id="2319"/>
    <w:bookmarkStart w:name="z2326" w:id="2320"/>
    <w:p>
      <w:pPr>
        <w:spacing w:after="0"/>
        <w:ind w:left="0"/>
        <w:jc w:val="both"/>
      </w:pPr>
      <w:r>
        <w:rPr>
          <w:rFonts w:ascii="Times New Roman"/>
          <w:b w:val="false"/>
          <w:i w:val="false"/>
          <w:color w:val="000000"/>
          <w:sz w:val="28"/>
        </w:rPr>
        <w:t>
      574. Расчетным давлением на фальшборт р, кПа, является внешнее давление, определяемое по формуле (9) настоящих Правил. При этом оно принимается не менее:</w:t>
      </w:r>
    </w:p>
    <w:bookmarkEnd w:id="2320"/>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0,02</w:t>
      </w:r>
      <w:r>
        <w:rPr>
          <w:rFonts w:ascii="Times New Roman"/>
          <w:b w:val="false"/>
          <w:i/>
          <w:color w:val="000000"/>
          <w:sz w:val="28"/>
        </w:rPr>
        <w:t>L</w:t>
      </w:r>
      <w:r>
        <w:rPr>
          <w:rFonts w:ascii="Times New Roman"/>
          <w:b w:val="false"/>
          <w:i w:val="false"/>
          <w:color w:val="000000"/>
          <w:sz w:val="28"/>
        </w:rPr>
        <w:t xml:space="preserve"> + 14,                 (176)</w:t>
      </w:r>
    </w:p>
    <w:p>
      <w:pPr>
        <w:spacing w:after="0"/>
        <w:ind w:left="0"/>
        <w:jc w:val="both"/>
      </w:pPr>
      <w:r>
        <w:rPr>
          <w:rFonts w:ascii="Times New Roman"/>
          <w:b w:val="false"/>
          <w:i w:val="false"/>
          <w:color w:val="000000"/>
          <w:sz w:val="28"/>
        </w:rPr>
        <w:t>
      но не менее 15 кПа.</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 xml:space="preserve"> &gt; 300 м принимается </w:t>
      </w:r>
      <w:r>
        <w:rPr>
          <w:rFonts w:ascii="Times New Roman"/>
          <w:b w:val="false"/>
          <w:i/>
          <w:color w:val="000000"/>
          <w:sz w:val="28"/>
        </w:rPr>
        <w:t>L</w:t>
      </w:r>
      <w:r>
        <w:rPr>
          <w:rFonts w:ascii="Times New Roman"/>
          <w:b w:val="false"/>
          <w:i w:val="false"/>
          <w:color w:val="000000"/>
          <w:sz w:val="28"/>
        </w:rPr>
        <w:t xml:space="preserve"> = 300 м.</w:t>
      </w:r>
    </w:p>
    <w:bookmarkStart w:name="z2327" w:id="2321"/>
    <w:p>
      <w:pPr>
        <w:spacing w:after="0"/>
        <w:ind w:left="0"/>
        <w:jc w:val="both"/>
      </w:pPr>
      <w:r>
        <w:rPr>
          <w:rFonts w:ascii="Times New Roman"/>
          <w:b w:val="false"/>
          <w:i w:val="false"/>
          <w:color w:val="000000"/>
          <w:sz w:val="28"/>
        </w:rPr>
        <w:t>
      У судов ограниченного района плавания величина р</w:t>
      </w:r>
      <w:r>
        <w:rPr>
          <w:rFonts w:ascii="Times New Roman"/>
          <w:b w:val="false"/>
          <w:i w:val="false"/>
          <w:color w:val="000000"/>
          <w:vertAlign w:val="subscript"/>
        </w:rPr>
        <w:t>min</w:t>
      </w:r>
      <w:r>
        <w:rPr>
          <w:rFonts w:ascii="Times New Roman"/>
          <w:b w:val="false"/>
          <w:i w:val="false"/>
          <w:color w:val="000000"/>
          <w:sz w:val="28"/>
        </w:rPr>
        <w:t xml:space="preserve"> уменьшается умножением на коэффициент </w:t>
      </w:r>
    </w:p>
    <w:bookmarkEnd w:id="2321"/>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определяемый по приложению 18 настоящих Правил.</w:t>
      </w:r>
      <w:r>
        <w:br/>
      </w:r>
      <w:r>
        <w:rPr>
          <w:rFonts w:ascii="Times New Roman"/>
          <w:b w:val="false"/>
          <w:i w:val="false"/>
          <w:color w:val="000000"/>
          <w:sz w:val="28"/>
        </w:rPr>
        <w:t>
</w:t>
      </w:r>
    </w:p>
    <w:bookmarkStart w:name="z2328" w:id="2322"/>
    <w:p>
      <w:pPr>
        <w:spacing w:after="0"/>
        <w:ind w:left="0"/>
        <w:jc w:val="both"/>
      </w:pPr>
      <w:r>
        <w:rPr>
          <w:rFonts w:ascii="Times New Roman"/>
          <w:b w:val="false"/>
          <w:i w:val="false"/>
          <w:color w:val="000000"/>
          <w:sz w:val="28"/>
        </w:rPr>
        <w:t>
      575. Толщина обшивки фальшборта s, мм, определяется по формулам:</w:t>
      </w:r>
    </w:p>
    <w:bookmarkEnd w:id="232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0,065 </w:t>
      </w:r>
      <w:r>
        <w:rPr>
          <w:rFonts w:ascii="Times New Roman"/>
          <w:b w:val="false"/>
          <w:i/>
          <w:color w:val="000000"/>
          <w:sz w:val="28"/>
        </w:rPr>
        <w:t>L</w:t>
      </w:r>
      <w:r>
        <w:rPr>
          <w:rFonts w:ascii="Times New Roman"/>
          <w:b w:val="false"/>
          <w:i w:val="false"/>
          <w:color w:val="000000"/>
          <w:sz w:val="28"/>
        </w:rPr>
        <w:t xml:space="preserve"> +1,75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60 м и</w:t>
      </w:r>
    </w:p>
    <w:p>
      <w:pPr>
        <w:spacing w:after="0"/>
        <w:ind w:left="0"/>
        <w:jc w:val="both"/>
      </w:pPr>
      <w:r>
        <w:rPr>
          <w:rFonts w:ascii="Times New Roman"/>
          <w:b w:val="false"/>
          <w:i w:val="false"/>
          <w:color w:val="000000"/>
          <w:sz w:val="28"/>
        </w:rPr>
        <w:t>
                                                                      (177)</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0,025 </w:t>
      </w:r>
      <w:r>
        <w:rPr>
          <w:rFonts w:ascii="Times New Roman"/>
          <w:b w:val="false"/>
          <w:i/>
          <w:color w:val="000000"/>
          <w:sz w:val="28"/>
        </w:rPr>
        <w:t>L</w:t>
      </w:r>
      <w:r>
        <w:rPr>
          <w:rFonts w:ascii="Times New Roman"/>
          <w:b w:val="false"/>
          <w:i w:val="false"/>
          <w:color w:val="000000"/>
          <w:sz w:val="28"/>
        </w:rPr>
        <w:t xml:space="preserve"> + 4,0 при </w:t>
      </w:r>
      <w:r>
        <w:rPr>
          <w:rFonts w:ascii="Times New Roman"/>
          <w:b w:val="false"/>
          <w:i/>
          <w:color w:val="000000"/>
          <w:sz w:val="28"/>
        </w:rPr>
        <w:t>L</w:t>
      </w:r>
      <w:r>
        <w:rPr>
          <w:rFonts w:ascii="Times New Roman"/>
          <w:b w:val="false"/>
          <w:i w:val="false"/>
          <w:color w:val="000000"/>
          <w:sz w:val="28"/>
        </w:rPr>
        <w:t xml:space="preserve"> &gt; 60 м,</w:t>
      </w:r>
    </w:p>
    <w:p>
      <w:pPr>
        <w:spacing w:after="0"/>
        <w:ind w:left="0"/>
        <w:jc w:val="both"/>
      </w:pPr>
      <w:r>
        <w:rPr>
          <w:rFonts w:ascii="Times New Roman"/>
          <w:b w:val="false"/>
          <w:i w:val="false"/>
          <w:color w:val="000000"/>
          <w:sz w:val="28"/>
        </w:rPr>
        <w:t>
            но при этом равна не менее 3,0 и не более 8,5 мм.</w:t>
      </w:r>
    </w:p>
    <w:bookmarkStart w:name="z2329" w:id="2323"/>
    <w:p>
      <w:pPr>
        <w:spacing w:after="0"/>
        <w:ind w:left="0"/>
        <w:jc w:val="both"/>
      </w:pPr>
      <w:r>
        <w:rPr>
          <w:rFonts w:ascii="Times New Roman"/>
          <w:b w:val="false"/>
          <w:i w:val="false"/>
          <w:color w:val="000000"/>
          <w:sz w:val="28"/>
        </w:rPr>
        <w:t xml:space="preserve">
      Толщина фальшборта надстроек, расположенных вне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длины судна от носового перпендикуляра, а также фальшборта второго яруса рубок или надстроек возможно уменьшить на 1 мм.</w:t>
      </w:r>
    </w:p>
    <w:bookmarkEnd w:id="2323"/>
    <w:bookmarkStart w:name="z2330" w:id="2324"/>
    <w:p>
      <w:pPr>
        <w:spacing w:after="0"/>
        <w:ind w:left="0"/>
        <w:jc w:val="both"/>
      </w:pPr>
      <w:r>
        <w:rPr>
          <w:rFonts w:ascii="Times New Roman"/>
          <w:b w:val="false"/>
          <w:i w:val="false"/>
          <w:color w:val="000000"/>
          <w:sz w:val="28"/>
        </w:rPr>
        <w:t>
      Для третьего и вышерасположенных ярусов рубок толщина фальшборта допускается не более толщины, требуемой для обшивки боковых переборок рубки третьего яруса.</w:t>
      </w:r>
    </w:p>
    <w:bookmarkEnd w:id="2324"/>
    <w:bookmarkStart w:name="z2331" w:id="2325"/>
    <w:p>
      <w:pPr>
        <w:spacing w:after="0"/>
        <w:ind w:left="0"/>
        <w:jc w:val="both"/>
      </w:pPr>
      <w:r>
        <w:rPr>
          <w:rFonts w:ascii="Times New Roman"/>
          <w:b w:val="false"/>
          <w:i w:val="false"/>
          <w:color w:val="000000"/>
          <w:sz w:val="28"/>
        </w:rPr>
        <w:t>
      576. Момент сопротивления стойки фальшборта, примыкающей к настилу палубы, равен не менее определяемого в пункте 246 настоящих Правил. При этом:</w:t>
      </w:r>
    </w:p>
    <w:bookmarkEnd w:id="2325"/>
    <w:p>
      <w:pPr>
        <w:spacing w:after="0"/>
        <w:ind w:left="0"/>
        <w:jc w:val="both"/>
      </w:pPr>
      <w:r>
        <w:rPr>
          <w:rFonts w:ascii="Times New Roman"/>
          <w:b w:val="false"/>
          <w:i w:val="false"/>
          <w:color w:val="000000"/>
          <w:sz w:val="28"/>
        </w:rPr>
        <w:t>
      р — согласно параграфу 2 главы 27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bookmarkStart w:name="z2332" w:id="2326"/>
    <w:p>
      <w:pPr>
        <w:spacing w:after="0"/>
        <w:ind w:left="0"/>
        <w:jc w:val="both"/>
      </w:pPr>
      <w:r>
        <w:rPr>
          <w:rFonts w:ascii="Times New Roman"/>
          <w:b w:val="false"/>
          <w:i w:val="false"/>
          <w:color w:val="000000"/>
          <w:sz w:val="28"/>
        </w:rPr>
        <w:t>
      Если в фальшборте делаются вырезы для проходов или предусматриваются расширительные соединения, момент сопротивления стоек у концов этих вырезов или расширительных соединений увеличивают на 25 %.</w:t>
      </w:r>
    </w:p>
    <w:bookmarkEnd w:id="2326"/>
    <w:bookmarkStart w:name="z2333" w:id="2327"/>
    <w:p>
      <w:pPr>
        <w:spacing w:after="0"/>
        <w:ind w:left="0"/>
        <w:jc w:val="both"/>
      </w:pPr>
      <w:r>
        <w:rPr>
          <w:rFonts w:ascii="Times New Roman"/>
          <w:b w:val="false"/>
          <w:i w:val="false"/>
          <w:color w:val="000000"/>
          <w:sz w:val="28"/>
        </w:rPr>
        <w:t>
      Ширина верхнего конца стойки равна ширине планширя.</w:t>
      </w:r>
    </w:p>
    <w:bookmarkEnd w:id="2327"/>
    <w:bookmarkStart w:name="z2334" w:id="2328"/>
    <w:p>
      <w:pPr>
        <w:spacing w:after="0"/>
        <w:ind w:left="0"/>
        <w:jc w:val="both"/>
      </w:pPr>
      <w:r>
        <w:rPr>
          <w:rFonts w:ascii="Times New Roman"/>
          <w:b w:val="false"/>
          <w:i w:val="false"/>
          <w:color w:val="000000"/>
          <w:sz w:val="28"/>
        </w:rPr>
        <w:t>
      577. Если по условиям эксплуатации не исключено воздействие на фальшборт палубного груза, размеры стоек фальшборта определяются из расчета прочности на действие указанного груза с учетом крена судна, определяемого по формуле (14) настоящих Правил, и ускорения в горизонтально-поперечном направлении, определяемого по формулам (11) настоящих Правил;</w:t>
      </w:r>
    </w:p>
    <w:bookmarkEnd w:id="2328"/>
    <w:bookmarkStart w:name="z2335" w:id="2329"/>
    <w:p>
      <w:pPr>
        <w:spacing w:after="0"/>
        <w:ind w:left="0"/>
        <w:jc w:val="both"/>
      </w:pPr>
      <w:r>
        <w:rPr>
          <w:rFonts w:ascii="Times New Roman"/>
          <w:b w:val="false"/>
          <w:i w:val="false"/>
          <w:color w:val="000000"/>
          <w:sz w:val="28"/>
        </w:rPr>
        <w:t>
      коэффициент допускаемых напряжений определяется согласно пункту 576 настоящих Правил.</w:t>
      </w:r>
    </w:p>
    <w:bookmarkEnd w:id="2329"/>
    <w:bookmarkStart w:name="z2336" w:id="2330"/>
    <w:p>
      <w:pPr>
        <w:spacing w:after="0"/>
        <w:ind w:left="0"/>
        <w:jc w:val="left"/>
      </w:pPr>
      <w:r>
        <w:rPr>
          <w:rFonts w:ascii="Times New Roman"/>
          <w:b/>
          <w:i w:val="false"/>
          <w:color w:val="000000"/>
        </w:rPr>
        <w:t xml:space="preserve"> Подраздел 3. Требования к конструкциям специализированных судов</w:t>
      </w:r>
      <w:r>
        <w:br/>
      </w:r>
      <w:r>
        <w:rPr>
          <w:rFonts w:ascii="Times New Roman"/>
          <w:b/>
          <w:i w:val="false"/>
          <w:color w:val="000000"/>
        </w:rPr>
        <w:t>Глава 29. Суда с широким раскрытием палубы</w:t>
      </w:r>
    </w:p>
    <w:bookmarkEnd w:id="2330"/>
    <w:p>
      <w:pPr>
        <w:spacing w:after="0"/>
        <w:ind w:left="0"/>
        <w:jc w:val="both"/>
      </w:pPr>
      <w:r>
        <w:rPr>
          <w:rFonts w:ascii="Times New Roman"/>
          <w:b w:val="false"/>
          <w:i w:val="false"/>
          <w:color w:val="ff0000"/>
          <w:sz w:val="28"/>
        </w:rPr>
        <w:t xml:space="preserve">
      Сноска. Заголовок главы 29 -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38" w:id="2331"/>
    <w:p>
      <w:pPr>
        <w:spacing w:after="0"/>
        <w:ind w:left="0"/>
        <w:jc w:val="left"/>
      </w:pPr>
      <w:r>
        <w:rPr>
          <w:rFonts w:ascii="Times New Roman"/>
          <w:b/>
          <w:i w:val="false"/>
          <w:color w:val="000000"/>
        </w:rPr>
        <w:t xml:space="preserve"> Параграф 1. Общие положения и обозначения</w:t>
      </w:r>
    </w:p>
    <w:bookmarkEnd w:id="2331"/>
    <w:bookmarkStart w:name="z2339" w:id="2332"/>
    <w:p>
      <w:pPr>
        <w:spacing w:after="0"/>
        <w:ind w:left="0"/>
        <w:jc w:val="both"/>
      </w:pPr>
      <w:r>
        <w:rPr>
          <w:rFonts w:ascii="Times New Roman"/>
          <w:b w:val="false"/>
          <w:i w:val="false"/>
          <w:color w:val="000000"/>
          <w:sz w:val="28"/>
        </w:rPr>
        <w:t>
      578. Требования настоящей главы являются дополнительными к подразделам 1 и 2 настоящего раздела настоящих Правил.</w:t>
      </w:r>
    </w:p>
    <w:bookmarkEnd w:id="2332"/>
    <w:bookmarkStart w:name="z2340" w:id="2333"/>
    <w:p>
      <w:pPr>
        <w:spacing w:after="0"/>
        <w:ind w:left="0"/>
        <w:jc w:val="both"/>
      </w:pPr>
      <w:r>
        <w:rPr>
          <w:rFonts w:ascii="Times New Roman"/>
          <w:b w:val="false"/>
          <w:i w:val="false"/>
          <w:color w:val="000000"/>
          <w:sz w:val="28"/>
        </w:rPr>
        <w:t>
      579. Требования к конструкции палуб, исключая требования к консольным бимсам, распространяются на суда с одинарными, двойными или тройными грузовыми люками, образующими раскрытую часть палубы, отвечающим следующим условиям:</w:t>
      </w:r>
    </w:p>
    <w:bookmarkEnd w:id="233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/B </w:t>
      </w:r>
      <w:r>
        <w:rPr>
          <w:rFonts w:ascii="Times New Roman"/>
          <w:b w:val="false"/>
          <w:i w:val="false"/>
          <w:color w:val="000000"/>
          <w:sz w:val="28"/>
          <w:u w:val="single"/>
        </w:rPr>
        <w:t>&gt;</w:t>
      </w:r>
      <w:r>
        <w:rPr>
          <w:rFonts w:ascii="Times New Roman"/>
          <w:b w:val="false"/>
          <w:i w:val="false"/>
          <w:color w:val="000000"/>
          <w:sz w:val="28"/>
        </w:rPr>
        <w:t xml:space="preserve"> 0,7;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0,7.</w:t>
      </w:r>
    </w:p>
    <w:bookmarkStart w:name="z2341" w:id="2334"/>
    <w:p>
      <w:pPr>
        <w:spacing w:after="0"/>
        <w:ind w:left="0"/>
        <w:jc w:val="both"/>
      </w:pPr>
      <w:r>
        <w:rPr>
          <w:rFonts w:ascii="Times New Roman"/>
          <w:b w:val="false"/>
          <w:i w:val="false"/>
          <w:color w:val="000000"/>
          <w:sz w:val="28"/>
        </w:rPr>
        <w:t>
      Требования настоящей главы выполняются по всей длине района грузовых трюмов, включая и машинное отделение, если оно расположено между грузовыми трюмами.</w:t>
      </w:r>
    </w:p>
    <w:bookmarkEnd w:id="2334"/>
    <w:bookmarkStart w:name="z2342" w:id="2335"/>
    <w:p>
      <w:pPr>
        <w:spacing w:after="0"/>
        <w:ind w:left="0"/>
        <w:jc w:val="both"/>
      </w:pPr>
      <w:r>
        <w:rPr>
          <w:rFonts w:ascii="Times New Roman"/>
          <w:b w:val="false"/>
          <w:i w:val="false"/>
          <w:color w:val="000000"/>
          <w:sz w:val="28"/>
        </w:rPr>
        <w:t>
      580. Требования к конструкциям крепления контейнеров и конструкциям корпуса, воспринимающим усилия от указанных креплений, распространяются на контейнеровозы любых типов.</w:t>
      </w:r>
    </w:p>
    <w:bookmarkEnd w:id="2335"/>
    <w:bookmarkStart w:name="z2343" w:id="2336"/>
    <w:p>
      <w:pPr>
        <w:spacing w:after="0"/>
        <w:ind w:left="0"/>
        <w:jc w:val="both"/>
      </w:pPr>
      <w:r>
        <w:rPr>
          <w:rFonts w:ascii="Times New Roman"/>
          <w:b w:val="false"/>
          <w:i w:val="false"/>
          <w:color w:val="000000"/>
          <w:sz w:val="28"/>
        </w:rPr>
        <w:t>
      581. Консольным бимсом считается рамный полубимс, для которого поддерживающее влияние продольного комингса люка не принимается во внимание в расчете палубного перекрытия на прочность согласно пункту 410 и устойчивость согласно пункту 415 настоящих Правил.</w:t>
      </w:r>
    </w:p>
    <w:bookmarkEnd w:id="2336"/>
    <w:bookmarkStart w:name="z2344" w:id="2337"/>
    <w:p>
      <w:pPr>
        <w:spacing w:after="0"/>
        <w:ind w:left="0"/>
        <w:jc w:val="both"/>
      </w:pPr>
      <w:r>
        <w:rPr>
          <w:rFonts w:ascii="Times New Roman"/>
          <w:b w:val="false"/>
          <w:i w:val="false"/>
          <w:color w:val="000000"/>
          <w:sz w:val="28"/>
        </w:rPr>
        <w:t>
      582. В настоящей главе применяются следующие обозначения:</w:t>
      </w:r>
    </w:p>
    <w:bookmarkEnd w:id="2337"/>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ширина раскрытой части палубы, определяемая как расстояние между крайними по обоим бортам продольными кромками люковых вырезов,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люкового выреза,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w:t>
      </w:r>
      <w:r>
        <w:rPr>
          <w:rFonts w:ascii="Times New Roman"/>
          <w:b w:val="false"/>
          <w:i w:val="false"/>
          <w:color w:val="000000"/>
          <w:sz w:val="28"/>
        </w:rPr>
        <w:t xml:space="preserve"> — расстояние между центрами поперечных перемычек, ограничивающих вырез,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расстояние между поперечными кромками смежных вырезов,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общее число двадцатифутовых контейнеров, перевозимых судном.</w:t>
      </w:r>
    </w:p>
    <w:bookmarkStart w:name="z2345" w:id="2338"/>
    <w:p>
      <w:pPr>
        <w:spacing w:after="0"/>
        <w:ind w:left="0"/>
        <w:jc w:val="left"/>
      </w:pPr>
      <w:r>
        <w:rPr>
          <w:rFonts w:ascii="Times New Roman"/>
          <w:b/>
          <w:i w:val="false"/>
          <w:color w:val="000000"/>
        </w:rPr>
        <w:t xml:space="preserve"> Параграф 2. Конструкция</w:t>
      </w:r>
    </w:p>
    <w:bookmarkEnd w:id="2338"/>
    <w:bookmarkStart w:name="z2346" w:id="2339"/>
    <w:p>
      <w:pPr>
        <w:spacing w:after="0"/>
        <w:ind w:left="0"/>
        <w:jc w:val="both"/>
      </w:pPr>
      <w:r>
        <w:rPr>
          <w:rFonts w:ascii="Times New Roman"/>
          <w:b w:val="false"/>
          <w:i w:val="false"/>
          <w:color w:val="000000"/>
          <w:sz w:val="28"/>
        </w:rPr>
        <w:t>
      583. Для судов длиной 80 м и более предусматривается продольная система набора палубы и днища.</w:t>
      </w:r>
    </w:p>
    <w:bookmarkEnd w:id="2339"/>
    <w:bookmarkStart w:name="z2347" w:id="2340"/>
    <w:p>
      <w:pPr>
        <w:spacing w:after="0"/>
        <w:ind w:left="0"/>
        <w:jc w:val="both"/>
      </w:pPr>
      <w:r>
        <w:rPr>
          <w:rFonts w:ascii="Times New Roman"/>
          <w:b w:val="false"/>
          <w:i w:val="false"/>
          <w:color w:val="000000"/>
          <w:sz w:val="28"/>
        </w:rPr>
        <w:t>
      584. Продольные связи верхней палубы и бортов допускаются непрерывными в районе, указанном в пункте 579 настоящих Правил.</w:t>
      </w:r>
    </w:p>
    <w:bookmarkEnd w:id="2340"/>
    <w:bookmarkStart w:name="z2348" w:id="2341"/>
    <w:p>
      <w:pPr>
        <w:spacing w:after="0"/>
        <w:ind w:left="0"/>
        <w:jc w:val="both"/>
      </w:pPr>
      <w:r>
        <w:rPr>
          <w:rFonts w:ascii="Times New Roman"/>
          <w:b w:val="false"/>
          <w:i w:val="false"/>
          <w:color w:val="000000"/>
          <w:sz w:val="28"/>
        </w:rPr>
        <w:t>
      585. Оформление концов непрерывных продольных комингсов грузовых люков отвечает требованиям главы 14 и параграфа 1 главы 20 настоящих Правил. Не рекомендуется соединять непрерывные продольные комингсы с носовой переборкой кормовой надстройки и кормовой переборкой бака.</w:t>
      </w:r>
    </w:p>
    <w:bookmarkEnd w:id="2341"/>
    <w:bookmarkStart w:name="z2349" w:id="2342"/>
    <w:p>
      <w:pPr>
        <w:spacing w:after="0"/>
        <w:ind w:left="0"/>
        <w:jc w:val="both"/>
      </w:pPr>
      <w:r>
        <w:rPr>
          <w:rFonts w:ascii="Times New Roman"/>
          <w:b w:val="false"/>
          <w:i w:val="false"/>
          <w:color w:val="000000"/>
          <w:sz w:val="28"/>
        </w:rPr>
        <w:t>
      586. Как правило, не допускается резкое изменение по длине площади сечения или формы конструкций, указанных в пункте 584 настоящих Правил. При необходимости введения подобных изменений принимают меры к снижению концентрации напряжений и обращено особое внимание на обеспечение устойчивости конструкций.</w:t>
      </w:r>
    </w:p>
    <w:bookmarkEnd w:id="2342"/>
    <w:bookmarkStart w:name="z2350" w:id="2343"/>
    <w:p>
      <w:pPr>
        <w:spacing w:after="0"/>
        <w:ind w:left="0"/>
        <w:jc w:val="both"/>
      </w:pPr>
      <w:r>
        <w:rPr>
          <w:rFonts w:ascii="Times New Roman"/>
          <w:b w:val="false"/>
          <w:i w:val="false"/>
          <w:color w:val="000000"/>
          <w:sz w:val="28"/>
        </w:rPr>
        <w:t>
      587. Соединение носового конца продольной межлюковой перемычки с палубой при наличии одинарного выреза грузового трюма, расположенного в нос от места закрепления этой перемычки, является предметом специального рассмотрения Регистром судоходства.</w:t>
      </w:r>
    </w:p>
    <w:bookmarkEnd w:id="2343"/>
    <w:bookmarkStart w:name="z2351" w:id="2344"/>
    <w:p>
      <w:pPr>
        <w:spacing w:after="0"/>
        <w:ind w:left="0"/>
        <w:jc w:val="both"/>
      </w:pPr>
      <w:r>
        <w:rPr>
          <w:rFonts w:ascii="Times New Roman"/>
          <w:b w:val="false"/>
          <w:i w:val="false"/>
          <w:color w:val="000000"/>
          <w:sz w:val="28"/>
        </w:rPr>
        <w:t>
      588. Поперечные и продольные межлюковые перемычки рекомендуется выполнять с поперечным сечением коробчатой формы.</w:t>
      </w:r>
    </w:p>
    <w:bookmarkEnd w:id="2344"/>
    <w:bookmarkStart w:name="z2352" w:id="2345"/>
    <w:p>
      <w:pPr>
        <w:spacing w:after="0"/>
        <w:ind w:left="0"/>
        <w:jc w:val="both"/>
      </w:pPr>
      <w:r>
        <w:rPr>
          <w:rFonts w:ascii="Times New Roman"/>
          <w:b w:val="false"/>
          <w:i w:val="false"/>
          <w:color w:val="000000"/>
          <w:sz w:val="28"/>
        </w:rPr>
        <w:t>
      589. Поперечные межлюковые перемычки надежно соединяют с подпалубным набором и рамными шпангоутами, в плоскости которых они установлены. Если настил поперечных перемычек расположен в плоскости верхних поясков непрерывных продольных комингсов грузовых люков, конструкция их соединения с палубой и бортом является предметом специального рассмотрения Регистром судоходства.</w:t>
      </w:r>
    </w:p>
    <w:bookmarkEnd w:id="2345"/>
    <w:bookmarkStart w:name="z2353" w:id="2346"/>
    <w:p>
      <w:pPr>
        <w:spacing w:after="0"/>
        <w:ind w:left="0"/>
        <w:jc w:val="both"/>
      </w:pPr>
      <w:r>
        <w:rPr>
          <w:rFonts w:ascii="Times New Roman"/>
          <w:b w:val="false"/>
          <w:i w:val="false"/>
          <w:color w:val="000000"/>
          <w:sz w:val="28"/>
        </w:rPr>
        <w:t>
      590. В настиле палубы, расположенном внепосредственной близости от мест присоединения поперечных и продольных межлюковых перемычек, не допускаются вырезы.</w:t>
      </w:r>
    </w:p>
    <w:bookmarkEnd w:id="2346"/>
    <w:bookmarkStart w:name="z2354" w:id="2347"/>
    <w:p>
      <w:pPr>
        <w:spacing w:after="0"/>
        <w:ind w:left="0"/>
        <w:jc w:val="both"/>
      </w:pPr>
      <w:r>
        <w:rPr>
          <w:rFonts w:ascii="Times New Roman"/>
          <w:b w:val="false"/>
          <w:i w:val="false"/>
          <w:color w:val="000000"/>
          <w:sz w:val="28"/>
        </w:rPr>
        <w:t>
      591. Вырезы при большом раскрытии палуб:</w:t>
      </w:r>
    </w:p>
    <w:bookmarkEnd w:id="2347"/>
    <w:bookmarkStart w:name="z2355" w:id="2348"/>
    <w:p>
      <w:pPr>
        <w:spacing w:after="0"/>
        <w:ind w:left="0"/>
        <w:jc w:val="both"/>
      </w:pPr>
      <w:r>
        <w:rPr>
          <w:rFonts w:ascii="Times New Roman"/>
          <w:b w:val="false"/>
          <w:i w:val="false"/>
          <w:color w:val="000000"/>
          <w:sz w:val="28"/>
        </w:rPr>
        <w:t xml:space="preserve">
      1) радиус скругления </w:t>
      </w:r>
      <w:r>
        <w:rPr>
          <w:rFonts w:ascii="Times New Roman"/>
          <w:b w:val="false"/>
          <w:i/>
          <w:color w:val="000000"/>
          <w:sz w:val="28"/>
        </w:rPr>
        <w:t>r</w:t>
      </w:r>
      <w:r>
        <w:rPr>
          <w:rFonts w:ascii="Times New Roman"/>
          <w:b w:val="false"/>
          <w:i w:val="false"/>
          <w:color w:val="000000"/>
          <w:sz w:val="28"/>
        </w:rPr>
        <w:t>, м, (приложение 86 настоящих Правил) смежных углов последовательно расположенных вырезов грузовых люков на верхней палубе равен не менее определяемого по формуле:</w:t>
      </w:r>
    </w:p>
    <w:bookmarkEnd w:id="234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kb</w:t>
      </w:r>
      <w:r>
        <w:rPr>
          <w:rFonts w:ascii="Times New Roman"/>
          <w:b w:val="false"/>
          <w:i w:val="false"/>
          <w:color w:val="000000"/>
          <w:sz w:val="28"/>
        </w:rPr>
        <w:t>,                           (178)</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0,025 при </w:t>
      </w:r>
      <w:r>
        <w:rPr>
          <w:rFonts w:ascii="Times New Roman"/>
          <w:b w:val="false"/>
          <w:i/>
          <w:color w:val="000000"/>
          <w:sz w:val="28"/>
        </w:rPr>
        <w:t>c/b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0,04;</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0,050 при </w:t>
      </w:r>
      <w:r>
        <w:rPr>
          <w:rFonts w:ascii="Times New Roman"/>
          <w:b w:val="false"/>
          <w:i/>
          <w:color w:val="000000"/>
          <w:sz w:val="28"/>
        </w:rPr>
        <w:t>с/b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w:t>
      </w:r>
    </w:p>
    <w:bookmarkStart w:name="z2356" w:id="2349"/>
    <w:p>
      <w:pPr>
        <w:spacing w:after="0"/>
        <w:ind w:left="0"/>
        <w:jc w:val="both"/>
      </w:pPr>
      <w:r>
        <w:rPr>
          <w:rFonts w:ascii="Times New Roman"/>
          <w:b w:val="false"/>
          <w:i w:val="false"/>
          <w:color w:val="000000"/>
          <w:sz w:val="28"/>
        </w:rPr>
        <w:t xml:space="preserve">
      промежуточные значения </w:t>
      </w:r>
      <w:r>
        <w:rPr>
          <w:rFonts w:ascii="Times New Roman"/>
          <w:b w:val="false"/>
          <w:i/>
          <w:color w:val="000000"/>
          <w:sz w:val="28"/>
        </w:rPr>
        <w:t>k</w:t>
      </w:r>
      <w:r>
        <w:rPr>
          <w:rFonts w:ascii="Times New Roman"/>
          <w:b w:val="false"/>
          <w:i w:val="false"/>
          <w:color w:val="000000"/>
          <w:sz w:val="28"/>
        </w:rPr>
        <w:t xml:space="preserve"> определяются линейной интерполяцией.</w:t>
      </w:r>
    </w:p>
    <w:bookmarkEnd w:id="2349"/>
    <w:bookmarkStart w:name="z2357" w:id="2350"/>
    <w:p>
      <w:pPr>
        <w:spacing w:after="0"/>
        <w:ind w:left="0"/>
        <w:jc w:val="both"/>
      </w:pPr>
      <w:r>
        <w:rPr>
          <w:rFonts w:ascii="Times New Roman"/>
          <w:b w:val="false"/>
          <w:i w:val="false"/>
          <w:color w:val="000000"/>
          <w:sz w:val="28"/>
        </w:rPr>
        <w:t xml:space="preserve">
      Величину </w:t>
      </w:r>
      <w:r>
        <w:rPr>
          <w:rFonts w:ascii="Times New Roman"/>
          <w:b w:val="false"/>
          <w:i/>
          <w:color w:val="000000"/>
          <w:sz w:val="28"/>
        </w:rPr>
        <w:t>r</w:t>
      </w:r>
      <w:r>
        <w:rPr>
          <w:rFonts w:ascii="Times New Roman"/>
          <w:b w:val="false"/>
          <w:i w:val="false"/>
          <w:color w:val="000000"/>
          <w:sz w:val="28"/>
        </w:rPr>
        <w:t xml:space="preserve"> у продольных межлюковых перемычек возможно уменьшить на 40 %.</w:t>
      </w:r>
    </w:p>
    <w:bookmarkEnd w:id="2350"/>
    <w:bookmarkStart w:name="z2358" w:id="2351"/>
    <w:p>
      <w:pPr>
        <w:spacing w:after="0"/>
        <w:ind w:left="0"/>
        <w:jc w:val="both"/>
      </w:pPr>
      <w:r>
        <w:rPr>
          <w:rFonts w:ascii="Times New Roman"/>
          <w:b w:val="false"/>
          <w:i w:val="false"/>
          <w:color w:val="000000"/>
          <w:sz w:val="28"/>
        </w:rPr>
        <w:t>
      Ниже приведены минимальные радиусы скруглений углов вырезов:</w:t>
      </w:r>
    </w:p>
    <w:bookmarkEnd w:id="2351"/>
    <w:bookmarkStart w:name="z2359" w:id="2352"/>
    <w:p>
      <w:pPr>
        <w:spacing w:after="0"/>
        <w:ind w:left="0"/>
        <w:jc w:val="both"/>
      </w:pPr>
      <w:r>
        <w:rPr>
          <w:rFonts w:ascii="Times New Roman"/>
          <w:b w:val="false"/>
          <w:i w:val="false"/>
          <w:color w:val="000000"/>
          <w:sz w:val="28"/>
        </w:rPr>
        <w:t>
      у палубного стрингера r</w:t>
      </w:r>
      <w:r>
        <w:rPr>
          <w:rFonts w:ascii="Times New Roman"/>
          <w:b w:val="false"/>
          <w:i w:val="false"/>
          <w:color w:val="000000"/>
          <w:vertAlign w:val="subscript"/>
        </w:rPr>
        <w:t>min</w:t>
      </w:r>
      <w:r>
        <w:rPr>
          <w:rFonts w:ascii="Times New Roman"/>
          <w:b w:val="false"/>
          <w:i w:val="false"/>
          <w:color w:val="000000"/>
          <w:sz w:val="28"/>
        </w:rPr>
        <w:t xml:space="preserve"> = 300 мм;</w:t>
      </w:r>
    </w:p>
    <w:bookmarkEnd w:id="2352"/>
    <w:bookmarkStart w:name="z2360" w:id="2353"/>
    <w:p>
      <w:pPr>
        <w:spacing w:after="0"/>
        <w:ind w:left="0"/>
        <w:jc w:val="both"/>
      </w:pPr>
      <w:r>
        <w:rPr>
          <w:rFonts w:ascii="Times New Roman"/>
          <w:b w:val="false"/>
          <w:i w:val="false"/>
          <w:color w:val="000000"/>
          <w:sz w:val="28"/>
        </w:rPr>
        <w:t>
      у продольных межлюковых перемычек r</w:t>
      </w:r>
      <w:r>
        <w:rPr>
          <w:rFonts w:ascii="Times New Roman"/>
          <w:b w:val="false"/>
          <w:i w:val="false"/>
          <w:color w:val="000000"/>
          <w:vertAlign w:val="subscript"/>
        </w:rPr>
        <w:t>min</w:t>
      </w:r>
      <w:r>
        <w:rPr>
          <w:rFonts w:ascii="Times New Roman"/>
          <w:b w:val="false"/>
          <w:i w:val="false"/>
          <w:color w:val="000000"/>
          <w:sz w:val="28"/>
        </w:rPr>
        <w:t xml:space="preserve"> = 250 мм.</w:t>
      </w:r>
    </w:p>
    <w:bookmarkEnd w:id="2353"/>
    <w:bookmarkStart w:name="z2361" w:id="2354"/>
    <w:p>
      <w:pPr>
        <w:spacing w:after="0"/>
        <w:ind w:left="0"/>
        <w:jc w:val="both"/>
      </w:pPr>
      <w:r>
        <w:rPr>
          <w:rFonts w:ascii="Times New Roman"/>
          <w:b w:val="false"/>
          <w:i w:val="false"/>
          <w:color w:val="000000"/>
          <w:sz w:val="28"/>
        </w:rPr>
        <w:t>
      В углах вырезов предусматривают утолщенные вварные листы (приложение 86 настоящих Правил);</w:t>
      </w:r>
    </w:p>
    <w:bookmarkEnd w:id="2354"/>
    <w:bookmarkStart w:name="z2362" w:id="2355"/>
    <w:p>
      <w:pPr>
        <w:spacing w:after="0"/>
        <w:ind w:left="0"/>
        <w:jc w:val="both"/>
      </w:pPr>
      <w:r>
        <w:rPr>
          <w:rFonts w:ascii="Times New Roman"/>
          <w:b w:val="false"/>
          <w:i w:val="false"/>
          <w:color w:val="000000"/>
          <w:sz w:val="28"/>
        </w:rPr>
        <w:t>
      2) в районах сопряжений открытых и закрытых частей корпуса (у машинного отделения, в носу) радиус скругления углов вырезов грузовых люков равен не менее определяемого по формуле:</w:t>
      </w:r>
    </w:p>
    <w:bookmarkEnd w:id="235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0,07</w:t>
      </w:r>
      <w:r>
        <w:rPr>
          <w:rFonts w:ascii="Times New Roman"/>
          <w:b w:val="false"/>
          <w:i/>
          <w:color w:val="000000"/>
          <w:sz w:val="28"/>
        </w:rPr>
        <w:t>b</w:t>
      </w:r>
      <w:r>
        <w:rPr>
          <w:rFonts w:ascii="Times New Roman"/>
          <w:b w:val="false"/>
          <w:i w:val="false"/>
          <w:color w:val="000000"/>
          <w:sz w:val="28"/>
        </w:rPr>
        <w:t>;                        (179)</w:t>
      </w:r>
    </w:p>
    <w:bookmarkStart w:name="z2363" w:id="2356"/>
    <w:p>
      <w:pPr>
        <w:spacing w:after="0"/>
        <w:ind w:left="0"/>
        <w:jc w:val="both"/>
      </w:pPr>
      <w:r>
        <w:rPr>
          <w:rFonts w:ascii="Times New Roman"/>
          <w:b w:val="false"/>
          <w:i w:val="false"/>
          <w:color w:val="000000"/>
          <w:sz w:val="28"/>
        </w:rPr>
        <w:t>
      3) конструкции углов вырезов на участках изменения числа рядов вырезов грузовых люков являются предметом специального рассмотрения Регистром судоходства;</w:t>
      </w:r>
    </w:p>
    <w:bookmarkEnd w:id="2356"/>
    <w:bookmarkStart w:name="z2364" w:id="2357"/>
    <w:p>
      <w:pPr>
        <w:spacing w:after="0"/>
        <w:ind w:left="0"/>
        <w:jc w:val="both"/>
      </w:pPr>
      <w:r>
        <w:rPr>
          <w:rFonts w:ascii="Times New Roman"/>
          <w:b w:val="false"/>
          <w:i w:val="false"/>
          <w:color w:val="000000"/>
          <w:sz w:val="28"/>
        </w:rPr>
        <w:t>
      4) общие требования к конструкциям вырезов в палубах — предусмотрены в пункте 416 настоящих Правил.</w:t>
      </w:r>
    </w:p>
    <w:bookmarkEnd w:id="2357"/>
    <w:bookmarkStart w:name="z2365" w:id="2358"/>
    <w:p>
      <w:pPr>
        <w:spacing w:after="0"/>
        <w:ind w:left="0"/>
        <w:jc w:val="both"/>
      </w:pPr>
      <w:r>
        <w:rPr>
          <w:rFonts w:ascii="Times New Roman"/>
          <w:b w:val="false"/>
          <w:i w:val="false"/>
          <w:color w:val="000000"/>
          <w:sz w:val="28"/>
        </w:rPr>
        <w:t>
      592. Консольные бимсы устанавливаются в одной плоскости с рамными шпангоутами. Их соединение должно отвечать требованиям пунктов 272-275 настоящих Правил.</w:t>
      </w:r>
    </w:p>
    <w:bookmarkEnd w:id="2358"/>
    <w:bookmarkStart w:name="z2366" w:id="2359"/>
    <w:p>
      <w:pPr>
        <w:spacing w:after="0"/>
        <w:ind w:left="0"/>
        <w:jc w:val="both"/>
      </w:pPr>
      <w:r>
        <w:rPr>
          <w:rFonts w:ascii="Times New Roman"/>
          <w:b w:val="false"/>
          <w:i w:val="false"/>
          <w:color w:val="000000"/>
          <w:sz w:val="28"/>
        </w:rPr>
        <w:t>
      Минимальные подкрепления консольных бимсов ребрами жесткости соответствуют схеме приложения 87 настоящих Правил.</w:t>
      </w:r>
    </w:p>
    <w:bookmarkEnd w:id="2359"/>
    <w:bookmarkStart w:name="z2367" w:id="2360"/>
    <w:p>
      <w:pPr>
        <w:spacing w:after="0"/>
        <w:ind w:left="0"/>
        <w:jc w:val="both"/>
      </w:pPr>
      <w:r>
        <w:rPr>
          <w:rFonts w:ascii="Times New Roman"/>
          <w:b w:val="false"/>
          <w:i w:val="false"/>
          <w:color w:val="000000"/>
          <w:sz w:val="28"/>
        </w:rPr>
        <w:t>
      593. На контейнеровозах под вертикальными направляющими стойками или угловыми фитингами контейнеров в двойном дне предусматривают жесткие связи или установливают подкрепления: балки, кницы или бракеты. Настил второго дна в этих местах утолщают или в него вваривают гнезда под угловые фитинги.</w:t>
      </w:r>
    </w:p>
    <w:bookmarkEnd w:id="2360"/>
    <w:bookmarkStart w:name="z2368" w:id="2361"/>
    <w:p>
      <w:pPr>
        <w:spacing w:after="0"/>
        <w:ind w:left="0"/>
        <w:jc w:val="both"/>
      </w:pPr>
      <w:r>
        <w:rPr>
          <w:rFonts w:ascii="Times New Roman"/>
          <w:b w:val="false"/>
          <w:i w:val="false"/>
          <w:color w:val="000000"/>
          <w:sz w:val="28"/>
        </w:rPr>
        <w:t>
      Указанное также относится к подкреплениям под гнезда для крепления оттяжек.</w:t>
      </w:r>
    </w:p>
    <w:bookmarkEnd w:id="2361"/>
    <w:bookmarkStart w:name="z2369" w:id="2362"/>
    <w:p>
      <w:pPr>
        <w:spacing w:after="0"/>
        <w:ind w:left="0"/>
        <w:jc w:val="both"/>
      </w:pPr>
      <w:r>
        <w:rPr>
          <w:rFonts w:ascii="Times New Roman"/>
          <w:b w:val="false"/>
          <w:i w:val="false"/>
          <w:color w:val="000000"/>
          <w:sz w:val="28"/>
        </w:rPr>
        <w:t>
      Аналогичные утолщения настила и подкрепления под гнезда угловых фитингов и креплений оттяжек предусматривают в конструкции палубы.</w:t>
      </w:r>
    </w:p>
    <w:bookmarkEnd w:id="2362"/>
    <w:bookmarkStart w:name="z2370" w:id="2363"/>
    <w:p>
      <w:pPr>
        <w:spacing w:after="0"/>
        <w:ind w:left="0"/>
        <w:jc w:val="left"/>
      </w:pPr>
      <w:r>
        <w:rPr>
          <w:rFonts w:ascii="Times New Roman"/>
          <w:b/>
          <w:i w:val="false"/>
          <w:color w:val="000000"/>
        </w:rPr>
        <w:t xml:space="preserve"> Параграф 3. Расчетные нагрузки</w:t>
      </w:r>
    </w:p>
    <w:bookmarkEnd w:id="2363"/>
    <w:bookmarkStart w:name="z2371" w:id="2364"/>
    <w:p>
      <w:pPr>
        <w:spacing w:after="0"/>
        <w:ind w:left="0"/>
        <w:jc w:val="both"/>
      </w:pPr>
      <w:r>
        <w:rPr>
          <w:rFonts w:ascii="Times New Roman"/>
          <w:b w:val="false"/>
          <w:i w:val="false"/>
          <w:color w:val="000000"/>
          <w:sz w:val="28"/>
        </w:rPr>
        <w:t>
      594. Расчетный изгибающий момент на тихой воде определяется согласно параграфу 2 главы 11 настоящих Правил.</w:t>
      </w:r>
    </w:p>
    <w:bookmarkEnd w:id="2364"/>
    <w:bookmarkStart w:name="z2372" w:id="2365"/>
    <w:p>
      <w:pPr>
        <w:spacing w:after="0"/>
        <w:ind w:left="0"/>
        <w:jc w:val="both"/>
      </w:pPr>
      <w:r>
        <w:rPr>
          <w:rFonts w:ascii="Times New Roman"/>
          <w:b w:val="false"/>
          <w:i w:val="false"/>
          <w:color w:val="000000"/>
          <w:sz w:val="28"/>
        </w:rPr>
        <w:t>
      595. Волновой изгибающий момент, действующий в вертикальной плоскости, определяется согласно параграфу 3 главы 11 настоящих Правил.</w:t>
      </w:r>
    </w:p>
    <w:bookmarkEnd w:id="2365"/>
    <w:bookmarkStart w:name="z2373" w:id="2366"/>
    <w:p>
      <w:pPr>
        <w:spacing w:after="0"/>
        <w:ind w:left="0"/>
        <w:jc w:val="both"/>
      </w:pPr>
      <w:r>
        <w:rPr>
          <w:rFonts w:ascii="Times New Roman"/>
          <w:b w:val="false"/>
          <w:i w:val="false"/>
          <w:color w:val="000000"/>
          <w:sz w:val="28"/>
        </w:rPr>
        <w:t>
      596. Расчетный волновой изгибающий момент, действующий в горизонтальной плоскости M</w:t>
      </w:r>
      <w:r>
        <w:rPr>
          <w:rFonts w:ascii="Times New Roman"/>
          <w:b w:val="false"/>
          <w:i w:val="false"/>
          <w:color w:val="000000"/>
          <w:vertAlign w:val="subscript"/>
        </w:rPr>
        <w:t>h</w:t>
      </w:r>
      <w:r>
        <w:rPr>
          <w:rFonts w:ascii="Times New Roman"/>
          <w:b w:val="false"/>
          <w:i w:val="false"/>
          <w:color w:val="000000"/>
          <w:sz w:val="28"/>
        </w:rPr>
        <w:t>, кН•м, определяется по формуле:</w:t>
      </w:r>
    </w:p>
    <w:bookmarkEnd w:id="236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 250</w:t>
      </w:r>
      <w:r>
        <w:rPr>
          <w:rFonts w:ascii="Times New Roman"/>
          <w:b w:val="false"/>
          <w:i/>
          <w:color w:val="000000"/>
          <w:sz w:val="28"/>
        </w:rPr>
        <w:t>k</w:t>
      </w:r>
      <w:r>
        <w:rPr>
          <w:rFonts w:ascii="Times New Roman"/>
          <w:b w:val="false"/>
          <w:i w:val="false"/>
          <w:color w:val="000000"/>
          <w:vertAlign w:val="subscript"/>
        </w:rPr>
        <w:t>h</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b</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h</w:t>
      </w:r>
      <w:r>
        <w:rPr>
          <w:rFonts w:ascii="Times New Roman"/>
          <w:b w:val="false"/>
          <w:i w:val="false"/>
          <w:color w:val="000000"/>
          <w:sz w:val="28"/>
        </w:rPr>
        <w:t xml:space="preserve"> = </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d/b</w:t>
      </w:r>
      <w:r>
        <w:rPr>
          <w:rFonts w:ascii="Times New Roman"/>
          <w:b w:val="false"/>
          <w:i w:val="false"/>
          <w:color w:val="000000"/>
          <w:sz w:val="28"/>
        </w:rPr>
        <w:t xml:space="preserve"> + 0,3);</w:t>
      </w:r>
      <w:r>
        <w:br/>
      </w:r>
      <w:r>
        <w:rPr>
          <w:rFonts w:ascii="Times New Roman"/>
          <w:b w:val="false"/>
          <w:i w:val="false"/>
          <w:color w:val="000000"/>
          <w:sz w:val="28"/>
        </w:rPr>
        <w:t>
</w:t>
      </w:r>
      <w:r>
        <w:br/>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4</w:t>
      </w:r>
      <w:r>
        <w:rPr>
          <w:rFonts w:ascii="Times New Roman"/>
          <w:b w:val="false"/>
          <w:i/>
          <w:color w:val="000000"/>
          <w:sz w:val="28"/>
        </w:rPr>
        <w:t>d/L</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w</w:t>
      </w:r>
      <w:r>
        <w:rPr>
          <w:rFonts w:ascii="Times New Roman"/>
          <w:b w:val="false"/>
          <w:i w:val="false"/>
          <w:color w:val="000000"/>
          <w:sz w:val="28"/>
        </w:rPr>
        <w:t xml:space="preserve"> —пункт 174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 xml:space="preserve">  = 0,5 (1 – cos</w:t>
      </w:r>
    </w:p>
    <w:p>
      <w:pPr>
        <w:spacing w:after="0"/>
        <w:ind w:left="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79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отстояние рассматриваемого поперечного сечения от кормового перпендикуляра, м.</w:t>
      </w:r>
    </w:p>
    <w:bookmarkStart w:name="z2374" w:id="2367"/>
    <w:p>
      <w:pPr>
        <w:spacing w:after="0"/>
        <w:ind w:left="0"/>
        <w:jc w:val="both"/>
      </w:pPr>
      <w:r>
        <w:rPr>
          <w:rFonts w:ascii="Times New Roman"/>
          <w:b w:val="false"/>
          <w:i w:val="false"/>
          <w:color w:val="000000"/>
          <w:sz w:val="28"/>
        </w:rPr>
        <w:t>
      597. Расчетные составляющие волнового крутящего момента, кН•м, определяются по формулам:</w:t>
      </w:r>
    </w:p>
    <w:bookmarkEnd w:id="23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1727200" cy="381000"/>
                    </a:xfrm>
                    <a:prstGeom prst="rect">
                      <a:avLst/>
                    </a:prstGeom>
                  </pic:spPr>
                </pic:pic>
              </a:graphicData>
            </a:graphic>
          </wp:inline>
        </w:drawing>
      </w:r>
    </w:p>
    <w:p>
      <w:pPr>
        <w:spacing w:after="0"/>
        <w:ind w:left="0"/>
        <w:jc w:val="left"/>
      </w:pPr>
      <w:r>
        <w:rPr>
          <w:rFonts w:ascii="Times New Roman"/>
          <w:b w:val="false"/>
          <w:i w:val="false"/>
          <w:color w:val="000000"/>
          <w:sz w:val="28"/>
        </w:rPr>
        <w:t>;                    (181)</w:t>
      </w:r>
      <w:r>
        <w:br/>
      </w:r>
      <w:r>
        <w:rPr>
          <w:rFonts w:ascii="Times New Roman"/>
          <w:b w:val="false"/>
          <w:i w:val="false"/>
          <w:color w:val="000000"/>
          <w:sz w:val="28"/>
        </w:rPr>
        <w:t>
</w:t>
      </w:r>
      <w:r>
        <w:br/>
      </w:r>
    </w:p>
    <w:p>
      <w:pPr>
        <w:spacing w:after="0"/>
        <w:ind w:left="0"/>
        <w:jc w:val="both"/>
      </w:pPr>
      <w:r>
        <w:drawing>
          <wp:inline distT="0" distB="0" distL="0" distR="0">
            <wp:extent cx="190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1905000" cy="381000"/>
                    </a:xfrm>
                    <a:prstGeom prst="rect">
                      <a:avLst/>
                    </a:prstGeom>
                  </pic:spPr>
                </pic:pic>
              </a:graphicData>
            </a:graphic>
          </wp:inline>
        </w:drawing>
      </w:r>
    </w:p>
    <w:p>
      <w:pPr>
        <w:spacing w:after="0"/>
        <w:ind w:left="0"/>
        <w:jc w:val="left"/>
      </w:pPr>
      <w:r>
        <w:rPr>
          <w:rFonts w:ascii="Times New Roman"/>
          <w:b w:val="false"/>
          <w:i w:val="false"/>
          <w:color w:val="000000"/>
          <w:sz w:val="28"/>
        </w:rPr>
        <w:t>;                  (182)</w:t>
      </w:r>
      <w:r>
        <w:br/>
      </w:r>
      <w:r>
        <w:rPr>
          <w:rFonts w:ascii="Times New Roman"/>
          <w:b w:val="false"/>
          <w:i w:val="false"/>
          <w:color w:val="000000"/>
          <w:sz w:val="28"/>
        </w:rPr>
        <w:t>
</w:t>
      </w:r>
      <w:r>
        <w:br/>
      </w:r>
    </w:p>
    <w:p>
      <w:pPr>
        <w:spacing w:after="0"/>
        <w:ind w:left="0"/>
        <w:jc w:val="both"/>
      </w:pPr>
      <w:r>
        <w:drawing>
          <wp:inline distT="0" distB="0" distL="0" distR="0">
            <wp:extent cx="208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082800" cy="381000"/>
                    </a:xfrm>
                    <a:prstGeom prst="rect">
                      <a:avLst/>
                    </a:prstGeom>
                  </pic:spPr>
                </pic:pic>
              </a:graphicData>
            </a:graphic>
          </wp:inline>
        </w:drawing>
      </w:r>
    </w:p>
    <w:p>
      <w:pPr>
        <w:spacing w:after="0"/>
        <w:ind w:left="0"/>
        <w:jc w:val="left"/>
      </w:pPr>
      <w:r>
        <w:rPr>
          <w:rFonts w:ascii="Times New Roman"/>
          <w:b w:val="false"/>
          <w:i w:val="false"/>
          <w:color w:val="000000"/>
          <w:sz w:val="28"/>
        </w:rPr>
        <w:t>.                 (183)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2</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color w:val="000000"/>
          <w:sz w:val="28"/>
        </w:rPr>
        <w:t>X</w:t>
      </w:r>
      <w:r>
        <w:rPr>
          <w:rFonts w:ascii="Times New Roman"/>
          <w:b w:val="false"/>
          <w:i w:val="false"/>
          <w:color w:val="000000"/>
          <w:vertAlign w:val="subscript"/>
        </w:rPr>
        <w:t>0</w:t>
      </w:r>
      <w:r>
        <w:rPr>
          <w:rFonts w:ascii="Times New Roman"/>
          <w:b w:val="false"/>
          <w:i w:val="false"/>
          <w:color w:val="000000"/>
          <w:sz w:val="28"/>
        </w:rPr>
        <w:t>[1 + 3,6(C</w:t>
      </w:r>
      <w:r>
        <w:rPr>
          <w:rFonts w:ascii="Times New Roman"/>
          <w:b w:val="false"/>
          <w:i w:val="false"/>
          <w:color w:val="000000"/>
          <w:vertAlign w:val="subscript"/>
        </w:rPr>
        <w:t>WL</w:t>
      </w:r>
      <w:r>
        <w:rPr>
          <w:rFonts w:ascii="Times New Roman"/>
          <w:b w:val="false"/>
          <w:i w:val="false"/>
          <w:color w:val="000000"/>
          <w:sz w:val="28"/>
        </w:rPr>
        <w:t xml:space="preserve"> – 0,7)]</w:t>
      </w:r>
      <w:r>
        <w:rPr>
          <w:rFonts w:ascii="Times New Roman"/>
          <w:b w:val="false"/>
          <w:i/>
          <w:color w:val="000000"/>
          <w:sz w:val="28"/>
        </w:rPr>
        <w:t>В/L</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10</w:t>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br/>
      </w:r>
      <w:r>
        <w:rPr>
          <w:rFonts w:ascii="Times New Roman"/>
          <w:b w:val="false"/>
          <w:i w:val="false"/>
          <w:color w:val="000000"/>
          <w:sz w:val="28"/>
        </w:rPr>
        <w:t>
</w:t>
      </w:r>
      <w:r>
        <w:br/>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 – 8</w:t>
      </w:r>
      <w:r>
        <w:rPr>
          <w:rFonts w:ascii="Times New Roman"/>
          <w:b w:val="false"/>
          <w:i/>
          <w:color w:val="000000"/>
          <w:sz w:val="28"/>
        </w:rPr>
        <w:t>d/L</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0</w:t>
      </w:r>
      <w:r>
        <w:rPr>
          <w:rFonts w:ascii="Times New Roman"/>
          <w:b w:val="false"/>
          <w:i w:val="false"/>
          <w:color w:val="000000"/>
          <w:sz w:val="28"/>
        </w:rPr>
        <w:t xml:space="preserve"> = 1 – 4C</w:t>
      </w:r>
      <w:r>
        <w:rPr>
          <w:rFonts w:ascii="Times New Roman"/>
          <w:b w:val="false"/>
          <w:i w:val="false"/>
          <w:color w:val="000000"/>
          <w:vertAlign w:val="subscript"/>
        </w:rPr>
        <w:t>WL</w:t>
      </w:r>
      <w:r>
        <w:rPr>
          <w:rFonts w:ascii="Times New Roman"/>
          <w:b w:val="false"/>
          <w:i/>
          <w:color w:val="000000"/>
          <w:sz w:val="28"/>
        </w:rPr>
        <w:t>B/L</w:t>
      </w:r>
      <w:r>
        <w:rPr>
          <w:rFonts w:ascii="Times New Roman"/>
          <w:b w:val="false"/>
          <w:i w:val="false"/>
          <w:color w:val="000000"/>
          <w:sz w:val="28"/>
        </w:rPr>
        <w: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WL</w:t>
      </w:r>
      <w:r>
        <w:rPr>
          <w:rFonts w:ascii="Times New Roman"/>
          <w:b w:val="false"/>
          <w:i w:val="false"/>
          <w:color w:val="000000"/>
          <w:sz w:val="28"/>
        </w:rPr>
        <w:t xml:space="preserve"> — коэффициент полноты летней грузовой ватерлинии;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596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отстояние по вертикали от центра кручения до точки, лежащей на 0,6</w:t>
      </w:r>
      <w:r>
        <w:rPr>
          <w:rFonts w:ascii="Times New Roman"/>
          <w:b w:val="false"/>
          <w:i/>
          <w:color w:val="000000"/>
          <w:sz w:val="28"/>
        </w:rPr>
        <w:t>d</w:t>
      </w:r>
      <w:r>
        <w:rPr>
          <w:rFonts w:ascii="Times New Roman"/>
          <w:b w:val="false"/>
          <w:i w:val="false"/>
          <w:color w:val="000000"/>
          <w:sz w:val="28"/>
        </w:rPr>
        <w:t xml:space="preserve"> выше основной линии;</w:t>
      </w:r>
    </w:p>
    <w:p>
      <w:pPr>
        <w:spacing w:after="0"/>
        <w:ind w:left="0"/>
        <w:jc w:val="both"/>
      </w:pPr>
      <w:r>
        <w:rPr>
          <w:rFonts w:ascii="Times New Roman"/>
          <w:b w:val="false"/>
          <w:i w:val="false"/>
          <w:color w:val="000000"/>
          <w:sz w:val="28"/>
        </w:rPr>
        <w:t>
      положение центра кручения определяется по методике, одобренной Регистром судоходства;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13843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—пункт 596 настоящих Правил.</w:t>
      </w:r>
    </w:p>
    <w:bookmarkStart w:name="z2375" w:id="2368"/>
    <w:p>
      <w:pPr>
        <w:spacing w:after="0"/>
        <w:ind w:left="0"/>
        <w:jc w:val="both"/>
      </w:pPr>
      <w:r>
        <w:rPr>
          <w:rFonts w:ascii="Times New Roman"/>
          <w:b w:val="false"/>
          <w:i w:val="false"/>
          <w:color w:val="000000"/>
          <w:sz w:val="28"/>
        </w:rPr>
        <w:t>
      598. Для контейнерных судов расчетный статический крутящий момент M</w:t>
      </w:r>
      <w:r>
        <w:rPr>
          <w:rFonts w:ascii="Times New Roman"/>
          <w:b w:val="false"/>
          <w:i w:val="false"/>
          <w:color w:val="000000"/>
          <w:vertAlign w:val="subscript"/>
        </w:rPr>
        <w:t>ts</w:t>
      </w:r>
      <w:r>
        <w:rPr>
          <w:rFonts w:ascii="Times New Roman"/>
          <w:b w:val="false"/>
          <w:i w:val="false"/>
          <w:color w:val="000000"/>
          <w:sz w:val="28"/>
        </w:rPr>
        <w:t>, кН•м, определяется по формуле:</w:t>
      </w:r>
    </w:p>
    <w:bookmarkEnd w:id="2368"/>
    <w:p>
      <w:pPr>
        <w:spacing w:after="0"/>
        <w:ind w:left="0"/>
        <w:jc w:val="both"/>
      </w:pPr>
      <w:r>
        <w:rPr>
          <w:rFonts w:ascii="Times New Roman"/>
          <w:b w:val="false"/>
          <w:i w:val="false"/>
          <w:color w:val="000000"/>
          <w:sz w:val="28"/>
        </w:rPr>
        <w:t>
      M</w:t>
      </w:r>
      <w:r>
        <w:rPr>
          <w:rFonts w:ascii="Times New Roman"/>
          <w:b w:val="false"/>
          <w:i w:val="false"/>
          <w:color w:val="000000"/>
          <w:vertAlign w:val="subscript"/>
        </w:rPr>
        <w:t>ts</w:t>
      </w:r>
      <w:r>
        <w:rPr>
          <w:rFonts w:ascii="Times New Roman"/>
          <w:b w:val="false"/>
          <w:i w:val="false"/>
          <w:color w:val="000000"/>
          <w:sz w:val="28"/>
        </w:rPr>
        <w:t xml:space="preserve"> = 30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В,                       (184)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общее число двадцатифутовых контейнеров, перевозимых судном.</w:t>
      </w:r>
    </w:p>
    <w:bookmarkStart w:name="z2376" w:id="2369"/>
    <w:p>
      <w:pPr>
        <w:spacing w:after="0"/>
        <w:ind w:left="0"/>
        <w:jc w:val="both"/>
      </w:pPr>
      <w:r>
        <w:rPr>
          <w:rFonts w:ascii="Times New Roman"/>
          <w:b w:val="false"/>
          <w:i w:val="false"/>
          <w:color w:val="000000"/>
          <w:sz w:val="28"/>
        </w:rPr>
        <w:t xml:space="preserve">
      599. Для судов ограниченного района плавания волновой изгибающий момент, действующий в горизонтальной плоскости (пункт 596 настоящих Правил) и составляющие волнового крутящего момента (пункт 597 настоящих Правил) умножают на редукционный коэффициент </w:t>
      </w:r>
    </w:p>
    <w:bookmarkEnd w:id="2369"/>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определяемый согласно приложению 28 настоящих Правил.</w:t>
      </w:r>
      <w:r>
        <w:br/>
      </w:r>
      <w:r>
        <w:rPr>
          <w:rFonts w:ascii="Times New Roman"/>
          <w:b w:val="false"/>
          <w:i w:val="false"/>
          <w:color w:val="000000"/>
          <w:sz w:val="28"/>
        </w:rPr>
        <w:t>
</w:t>
      </w:r>
    </w:p>
    <w:bookmarkStart w:name="z2377" w:id="2370"/>
    <w:p>
      <w:pPr>
        <w:spacing w:after="0"/>
        <w:ind w:left="0"/>
        <w:jc w:val="both"/>
      </w:pPr>
      <w:r>
        <w:rPr>
          <w:rFonts w:ascii="Times New Roman"/>
          <w:b w:val="false"/>
          <w:i w:val="false"/>
          <w:color w:val="000000"/>
          <w:sz w:val="28"/>
        </w:rPr>
        <w:t>
      600. Расчетные нагрузки для консольных бимсов определяются согласно параграфу 2 главы 10 настоящих Правил.</w:t>
      </w:r>
    </w:p>
    <w:bookmarkEnd w:id="2370"/>
    <w:bookmarkStart w:name="z2378" w:id="2371"/>
    <w:p>
      <w:pPr>
        <w:spacing w:after="0"/>
        <w:ind w:left="0"/>
        <w:jc w:val="both"/>
      </w:pPr>
      <w:r>
        <w:rPr>
          <w:rFonts w:ascii="Times New Roman"/>
          <w:b w:val="false"/>
          <w:i w:val="false"/>
          <w:color w:val="000000"/>
          <w:sz w:val="28"/>
        </w:rPr>
        <w:t>
      601. Расчетные нагрузки, воздействующие на крепление контейнеров, определяются с учетом сил инерции за счет ускорений, возникающих при качке, согласно пункту 172 настоящих Правил. Расчетное значение массы контейнеров международного класса серии 1:</w:t>
      </w:r>
    </w:p>
    <w:bookmarkEnd w:id="2371"/>
    <w:p>
      <w:pPr>
        <w:spacing w:after="0"/>
        <w:ind w:left="0"/>
        <w:jc w:val="both"/>
      </w:pPr>
      <w:r>
        <w:rPr>
          <w:rFonts w:ascii="Times New Roman"/>
          <w:b w:val="false"/>
          <w:i w:val="false"/>
          <w:color w:val="000000"/>
          <w:sz w:val="28"/>
        </w:rPr>
        <w:t>
      24,0 — т для двадцатифутовых контейнеров,</w:t>
      </w:r>
    </w:p>
    <w:p>
      <w:pPr>
        <w:spacing w:after="0"/>
        <w:ind w:left="0"/>
        <w:jc w:val="both"/>
      </w:pPr>
      <w:r>
        <w:rPr>
          <w:rFonts w:ascii="Times New Roman"/>
          <w:b w:val="false"/>
          <w:i w:val="false"/>
          <w:color w:val="000000"/>
          <w:sz w:val="28"/>
        </w:rPr>
        <w:t>
      30,5 — т для сорокафутовых контейнеров.</w:t>
      </w:r>
    </w:p>
    <w:bookmarkStart w:name="z2379" w:id="2372"/>
    <w:p>
      <w:pPr>
        <w:spacing w:after="0"/>
        <w:ind w:left="0"/>
        <w:jc w:val="both"/>
      </w:pPr>
      <w:r>
        <w:rPr>
          <w:rFonts w:ascii="Times New Roman"/>
          <w:b w:val="false"/>
          <w:i w:val="false"/>
          <w:color w:val="000000"/>
          <w:sz w:val="28"/>
        </w:rPr>
        <w:t>
      При расчете прочности креплений контейнеров, располагаемых на открытой верхней палубе, учитываются нагрузки от давления ветра, направленного перпендикулярно диаметральной плоскости судна. Расчетное значение давления ветра:</w:t>
      </w:r>
    </w:p>
    <w:bookmarkEnd w:id="23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 кПа</w:t>
      </w:r>
    </w:p>
    <w:bookmarkStart w:name="z2380" w:id="2373"/>
    <w:p>
      <w:pPr>
        <w:spacing w:after="0"/>
        <w:ind w:left="0"/>
        <w:jc w:val="left"/>
      </w:pPr>
      <w:r>
        <w:rPr>
          <w:rFonts w:ascii="Times New Roman"/>
          <w:b/>
          <w:i w:val="false"/>
          <w:color w:val="000000"/>
        </w:rPr>
        <w:t xml:space="preserve"> Параграф 4. Размеры конструктивных элементов</w:t>
      </w:r>
    </w:p>
    <w:bookmarkEnd w:id="2373"/>
    <w:bookmarkStart w:name="z2381" w:id="2374"/>
    <w:p>
      <w:pPr>
        <w:spacing w:after="0"/>
        <w:ind w:left="0"/>
        <w:jc w:val="both"/>
      </w:pPr>
      <w:r>
        <w:rPr>
          <w:rFonts w:ascii="Times New Roman"/>
          <w:b w:val="false"/>
          <w:i w:val="false"/>
          <w:color w:val="000000"/>
          <w:sz w:val="28"/>
        </w:rPr>
        <w:t xml:space="preserve">
      602. Суммарные напряжения </w:t>
      </w:r>
    </w:p>
    <w:bookmarkEnd w:id="2374"/>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МПа, в продольных связях расчетной палубы, вычисленные по формуле (185) в любом сечении не превышают 190/</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sw</w:t>
      </w:r>
      <w:r>
        <w:rPr>
          <w:rFonts w:ascii="Times New Roman"/>
          <w:b w:val="false"/>
          <w:i w:val="false"/>
          <w:color w:val="000000"/>
          <w:sz w:val="28"/>
        </w:rPr>
        <w:t xml:space="preserve"> +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ts</w:t>
      </w: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             (185)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sw</w:t>
      </w:r>
      <w:r>
        <w:rPr>
          <w:rFonts w:ascii="Times New Roman"/>
          <w:b w:val="false"/>
          <w:i w:val="false"/>
          <w:color w:val="000000"/>
          <w:sz w:val="28"/>
        </w:rPr>
        <w:t xml:space="preserve"> — нормальные напряжения, МПа, в рассматриваемом сечении от действия изгибающего момента на тихой воде, определяемые по формуле:</w:t>
      </w:r>
      <w:r>
        <w:br/>
      </w:r>
      <w:r>
        <w:rPr>
          <w:rFonts w:ascii="Times New Roman"/>
          <w:b w:val="false"/>
          <w:i w:val="false"/>
          <w:color w:val="000000"/>
          <w:sz w:val="28"/>
        </w:rPr>
        <w:t>
</w:t>
      </w:r>
      <w:r>
        <w:br/>
      </w:r>
    </w:p>
    <w:p>
      <w:pPr>
        <w:spacing w:after="0"/>
        <w:ind w:left="0"/>
        <w:jc w:val="both"/>
      </w:pPr>
      <w:r>
        <w:drawing>
          <wp:inline distT="0" distB="0" distL="0" distR="0">
            <wp:extent cx="1193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1193800" cy="431800"/>
                    </a:xfrm>
                    <a:prstGeom prst="rect">
                      <a:avLst/>
                    </a:prstGeom>
                  </pic:spPr>
                </pic:pic>
              </a:graphicData>
            </a:graphic>
          </wp:inline>
        </w:drawing>
      </w:r>
    </w:p>
    <w:p>
      <w:pPr>
        <w:spacing w:after="0"/>
        <w:ind w:left="0"/>
        <w:jc w:val="left"/>
      </w:pPr>
      <w:r>
        <w:rPr>
          <w:rFonts w:ascii="Times New Roman"/>
          <w:b w:val="false"/>
          <w:i w:val="false"/>
          <w:color w:val="000000"/>
          <w:sz w:val="28"/>
        </w:rPr>
        <w:t>;                        (186)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w:t>
      </w:r>
      <w:r>
        <w:rPr>
          <w:rFonts w:ascii="Times New Roman"/>
          <w:b w:val="false"/>
          <w:i w:val="false"/>
          <w:color w:val="000000"/>
          <w:sz w:val="28"/>
        </w:rPr>
        <w:t xml:space="preserve"> —параграф 2 главы 11 настоящих Правил, кН•м;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317500" cy="2413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момент сопротивления корпуса для палубы согласно параграфу 7 главы 11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ts</w:t>
      </w:r>
      <w:r>
        <w:rPr>
          <w:rFonts w:ascii="Times New Roman"/>
          <w:b w:val="false"/>
          <w:i w:val="false"/>
          <w:color w:val="000000"/>
          <w:sz w:val="28"/>
        </w:rPr>
        <w:t xml:space="preserve"> — нормальные напряжения, МПа, в рассматриваемом сечении от действия статического крутящего момента М</w:t>
      </w:r>
      <w:r>
        <w:rPr>
          <w:rFonts w:ascii="Times New Roman"/>
          <w:b w:val="false"/>
          <w:i w:val="false"/>
          <w:color w:val="000000"/>
          <w:vertAlign w:val="subscript"/>
        </w:rPr>
        <w:t>ts</w:t>
      </w:r>
      <w:r>
        <w:rPr>
          <w:rFonts w:ascii="Times New Roman"/>
          <w:b w:val="false"/>
          <w:i w:val="false"/>
          <w:color w:val="000000"/>
          <w:sz w:val="28"/>
        </w:rPr>
        <w:t xml:space="preserve"> (пункт 598 настоящих Правил), определяемые по формуле:</w:t>
      </w:r>
      <w:r>
        <w:br/>
      </w:r>
      <w:r>
        <w:rPr>
          <w:rFonts w:ascii="Times New Roman"/>
          <w:b w:val="false"/>
          <w:i w:val="false"/>
          <w:color w:val="000000"/>
          <w:sz w:val="28"/>
        </w:rPr>
        <w:t>
</w:t>
      </w:r>
      <w:r>
        <w:br/>
      </w:r>
    </w:p>
    <w:p>
      <w:pPr>
        <w:spacing w:after="0"/>
        <w:ind w:left="0"/>
        <w:jc w:val="both"/>
      </w:pPr>
      <w:r>
        <w:drawing>
          <wp:inline distT="0" distB="0" distL="0" distR="0">
            <wp:extent cx="876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876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ts</w:t>
      </w:r>
      <w:r>
        <w:rPr>
          <w:rFonts w:ascii="Times New Roman"/>
          <w:b w:val="false"/>
          <w:i w:val="false"/>
          <w:color w:val="000000"/>
          <w:sz w:val="28"/>
        </w:rPr>
        <w:t xml:space="preserve"> — бимомент в рассматриваемом сечении по длине открытой части судна при действии статического крутящего момента M</w:t>
      </w:r>
      <w:r>
        <w:rPr>
          <w:rFonts w:ascii="Times New Roman"/>
          <w:b w:val="false"/>
          <w:i w:val="false"/>
          <w:color w:val="000000"/>
          <w:vertAlign w:val="subscript"/>
        </w:rPr>
        <w:t>ts</w:t>
      </w:r>
      <w:r>
        <w:rPr>
          <w:rFonts w:ascii="Times New Roman"/>
          <w:b w:val="false"/>
          <w:i w:val="false"/>
          <w:color w:val="000000"/>
          <w:sz w:val="28"/>
        </w:rPr>
        <w:t>, кН•м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190500" cy="152400"/>
                    </a:xfrm>
                    <a:prstGeom prst="rect">
                      <a:avLst/>
                    </a:prstGeom>
                  </pic:spPr>
                </pic:pic>
              </a:graphicData>
            </a:graphic>
          </wp:inline>
        </w:drawing>
      </w:r>
    </w:p>
    <w:p>
      <w:pPr>
        <w:spacing w:after="0"/>
        <w:ind w:left="0"/>
        <w:jc w:val="left"/>
      </w:pPr>
      <w:r>
        <w:rPr>
          <w:rFonts w:ascii="Times New Roman"/>
          <w:b w:val="false"/>
          <w:i w:val="false"/>
          <w:color w:val="000000"/>
          <w:sz w:val="28"/>
        </w:rPr>
        <w:t>— главная секториальная площадь в рассматриваемой точке сечения,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w</w:t>
      </w:r>
      <w:r>
        <w:rPr>
          <w:rFonts w:ascii="Times New Roman"/>
          <w:b w:val="false"/>
          <w:i w:val="false"/>
          <w:color w:val="000000"/>
          <w:sz w:val="28"/>
        </w:rPr>
        <w:t xml:space="preserve"> — главный секториальный момент инерции, м</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ts</w:t>
      </w:r>
      <w:r>
        <w:rPr>
          <w:rFonts w:ascii="Times New Roman"/>
          <w:b w:val="false"/>
          <w:i w:val="false"/>
          <w:color w:val="000000"/>
          <w:sz w:val="28"/>
        </w:rPr>
        <w:t xml:space="preserve">, </w:t>
      </w:r>
    </w:p>
    <w:p>
      <w:pPr>
        <w:spacing w:after="0"/>
        <w:ind w:left="0"/>
        <w:jc w:val="both"/>
      </w:pPr>
      <w:r>
        <w:drawing>
          <wp:inline distT="0" distB="0" distL="0" distR="0">
            <wp:extent cx="190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190500" cy="152400"/>
                    </a:xfrm>
                    <a:prstGeom prst="rect">
                      <a:avLst/>
                    </a:prstGeom>
                  </pic:spPr>
                </pic:pic>
              </a:graphicData>
            </a:graphic>
          </wp:inline>
        </w:drawing>
      </w:r>
    </w:p>
    <w:p>
      <w:pPr>
        <w:spacing w:after="0"/>
        <w:ind w:left="0"/>
        <w:jc w:val="left"/>
      </w:pPr>
      <w:r>
        <w:rPr>
          <w:rFonts w:ascii="Times New Roman"/>
          <w:b w:val="false"/>
          <w:i w:val="false"/>
          <w:color w:val="000000"/>
          <w:sz w:val="28"/>
        </w:rPr>
        <w:t>, I</w:t>
      </w:r>
      <w:r>
        <w:rPr>
          <w:rFonts w:ascii="Times New Roman"/>
          <w:b w:val="false"/>
          <w:i w:val="false"/>
          <w:color w:val="000000"/>
          <w:vertAlign w:val="subscript"/>
        </w:rPr>
        <w:t>w</w:t>
      </w:r>
      <w:r>
        <w:rPr>
          <w:rFonts w:ascii="Times New Roman"/>
          <w:b w:val="false"/>
          <w:i w:val="false"/>
          <w:color w:val="000000"/>
          <w:sz w:val="28"/>
        </w:rPr>
        <w:t xml:space="preserve"> определяются по методике, одобренной Регистром судоходства;</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w — нормальные напряжения, МПа, в рассматриваемом сечении от действия волнового изгибающего момента в вертикальной плоскости, определяемые по формуле:</w:t>
      </w:r>
      <w:r>
        <w:br/>
      </w:r>
      <w:r>
        <w:rPr>
          <w:rFonts w:ascii="Times New Roman"/>
          <w:b w:val="false"/>
          <w:i w:val="false"/>
          <w:color w:val="000000"/>
          <w:sz w:val="28"/>
        </w:rPr>
        <w:t>
</w:t>
      </w:r>
      <w:r>
        <w:br/>
      </w:r>
    </w:p>
    <w:p>
      <w:pPr>
        <w:spacing w:after="0"/>
        <w:ind w:left="0"/>
        <w:jc w:val="both"/>
      </w:pPr>
      <w:r>
        <w:drawing>
          <wp:inline distT="0" distB="0" distL="0" distR="0">
            <wp:extent cx="99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9906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w</w:t>
      </w:r>
      <w:r>
        <w:rPr>
          <w:rFonts w:ascii="Times New Roman"/>
          <w:b w:val="false"/>
          <w:i w:val="false"/>
          <w:color w:val="000000"/>
          <w:sz w:val="28"/>
        </w:rPr>
        <w:t xml:space="preserve"> —параграф 3 главы 11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увеличения напряжений от изгиба в вертикальной плоскости за счет учета изгиба в горизонтальной плоскости и кручения, определяемый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34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349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 xml:space="preserve"> — нормальные напряжения, МПа, в рассматриваемом сечении от действия расчетного волнового изгибающего момента в горизонтальной плоскости, определяемые по формуле:</w:t>
      </w:r>
      <w:r>
        <w:br/>
      </w:r>
      <w:r>
        <w:rPr>
          <w:rFonts w:ascii="Times New Roman"/>
          <w:b w:val="false"/>
          <w:i w:val="false"/>
          <w:color w:val="000000"/>
          <w:sz w:val="28"/>
        </w:rPr>
        <w:t>
</w:t>
      </w:r>
      <w:r>
        <w:br/>
      </w:r>
    </w:p>
    <w:p>
      <w:pPr>
        <w:spacing w:after="0"/>
        <w:ind w:left="0"/>
        <w:jc w:val="both"/>
      </w:pPr>
      <w:r>
        <w:drawing>
          <wp:inline distT="0" distB="0" distL="0" distR="0">
            <wp:extent cx="99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990600" cy="431800"/>
                    </a:xfrm>
                    <a:prstGeom prst="rect">
                      <a:avLst/>
                    </a:prstGeom>
                  </pic:spPr>
                </pic:pic>
              </a:graphicData>
            </a:graphic>
          </wp:inline>
        </w:drawing>
      </w:r>
    </w:p>
    <w:p>
      <w:pPr>
        <w:spacing w:after="0"/>
        <w:ind w:left="0"/>
        <w:jc w:val="left"/>
      </w:pPr>
      <w:r>
        <w:rPr>
          <w:rFonts w:ascii="Times New Roman"/>
          <w:b w:val="false"/>
          <w:i w:val="false"/>
          <w:color w:val="000000"/>
          <w:sz w:val="28"/>
        </w:rPr>
        <w:t>;                         (188)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h</w:t>
      </w:r>
      <w:r>
        <w:rPr>
          <w:rFonts w:ascii="Times New Roman"/>
          <w:b w:val="false"/>
          <w:i w:val="false"/>
          <w:color w:val="000000"/>
          <w:sz w:val="28"/>
        </w:rPr>
        <w:t xml:space="preserve"> —пункт 596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92100" cy="4318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момент сопротивления корпуса относительно вертикальной оси, проходящей через диаметральную плоскость, см</w:t>
      </w:r>
      <w:r>
        <w:rPr>
          <w:rFonts w:ascii="Times New Roman"/>
          <w:b w:val="false"/>
          <w:i w:val="false"/>
          <w:color w:val="000000"/>
          <w:vertAlign w:val="superscript"/>
        </w:rPr>
        <w:t>3</w:t>
      </w:r>
      <w:r>
        <w:rPr>
          <w:rFonts w:ascii="Times New Roman"/>
          <w:b w:val="false"/>
          <w:i w:val="false"/>
          <w:color w:val="000000"/>
          <w:sz w:val="28"/>
        </w:rPr>
        <w:t>,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101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1016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z</w:t>
      </w:r>
      <w:r>
        <w:rPr>
          <w:rFonts w:ascii="Times New Roman"/>
          <w:b w:val="false"/>
          <w:i w:val="false"/>
          <w:color w:val="000000"/>
          <w:sz w:val="28"/>
        </w:rPr>
        <w:t xml:space="preserve"> — фактический момент инерции корпуса относительно вертикальной оси, см</w:t>
      </w:r>
      <w:r>
        <w:rPr>
          <w:rFonts w:ascii="Times New Roman"/>
          <w:b w:val="false"/>
          <w:i w:val="false"/>
          <w:color w:val="000000"/>
          <w:vertAlign w:val="superscript"/>
        </w:rPr>
        <w:t>2</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у — половина ширины судна в рассматриваемом сечении,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92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xml:space="preserve"> — суммарные напряжения стесненного кручения, МПа, при действии крутящих моментов M</w:t>
      </w:r>
      <w:r>
        <w:rPr>
          <w:rFonts w:ascii="Times New Roman"/>
          <w:b w:val="false"/>
          <w:i w:val="false"/>
          <w:color w:val="000000"/>
          <w:vertAlign w:val="subscript"/>
        </w:rPr>
        <w:t>tw</w:t>
      </w:r>
      <w:r>
        <w:rPr>
          <w:rFonts w:ascii="Times New Roman"/>
          <w:b w:val="false"/>
          <w:i w:val="false"/>
          <w:color w:val="000000"/>
          <w:vertAlign w:val="subscript"/>
        </w:rPr>
        <w:t>1</w:t>
      </w:r>
      <w:r>
        <w:rPr>
          <w:rFonts w:ascii="Times New Roman"/>
          <w:b w:val="false"/>
          <w:i w:val="false"/>
          <w:color w:val="000000"/>
          <w:sz w:val="28"/>
        </w:rPr>
        <w:t>, M</w:t>
      </w:r>
      <w:r>
        <w:rPr>
          <w:rFonts w:ascii="Times New Roman"/>
          <w:b w:val="false"/>
          <w:i w:val="false"/>
          <w:color w:val="000000"/>
          <w:vertAlign w:val="subscript"/>
        </w:rPr>
        <w:t>tw</w:t>
      </w:r>
      <w:r>
        <w:rPr>
          <w:rFonts w:ascii="Times New Roman"/>
          <w:b w:val="false"/>
          <w:i w:val="false"/>
          <w:color w:val="000000"/>
          <w:vertAlign w:val="subscript"/>
        </w:rPr>
        <w:t>2</w:t>
      </w:r>
      <w:r>
        <w:rPr>
          <w:rFonts w:ascii="Times New Roman"/>
          <w:b w:val="false"/>
          <w:i w:val="false"/>
          <w:color w:val="000000"/>
          <w:sz w:val="28"/>
        </w:rPr>
        <w:t>, M</w:t>
      </w:r>
      <w:r>
        <w:rPr>
          <w:rFonts w:ascii="Times New Roman"/>
          <w:b w:val="false"/>
          <w:i w:val="false"/>
          <w:color w:val="000000"/>
          <w:vertAlign w:val="subscript"/>
        </w:rPr>
        <w:t>tw</w:t>
      </w:r>
      <w:r>
        <w:rPr>
          <w:rFonts w:ascii="Times New Roman"/>
          <w:b w:val="false"/>
          <w:i w:val="false"/>
          <w:color w:val="000000"/>
          <w:vertAlign w:val="subscript"/>
        </w:rPr>
        <w:t>3</w:t>
      </w:r>
      <w:r>
        <w:rPr>
          <w:rFonts w:ascii="Times New Roman"/>
          <w:b w:val="false"/>
          <w:i w:val="false"/>
          <w:color w:val="000000"/>
          <w:sz w:val="28"/>
        </w:rPr>
        <w:t>, определяемые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xml:space="preserve"> = </w:t>
      </w:r>
    </w:p>
    <w:p>
      <w:pPr>
        <w:spacing w:after="0"/>
        <w:ind w:left="0"/>
        <w:jc w:val="both"/>
      </w:pPr>
      <w:r>
        <w:drawing>
          <wp:inline distT="0" distB="0" distL="0" distR="0">
            <wp:extent cx="1435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1435100" cy="431800"/>
                    </a:xfrm>
                    <a:prstGeom prst="rect">
                      <a:avLst/>
                    </a:prstGeom>
                  </pic:spPr>
                </pic:pic>
              </a:graphicData>
            </a:graphic>
          </wp:inline>
        </w:drawing>
      </w:r>
    </w:p>
    <w:p>
      <w:pPr>
        <w:spacing w:after="0"/>
        <w:ind w:left="0"/>
        <w:jc w:val="left"/>
      </w:pPr>
      <w:r>
        <w:rPr>
          <w:rFonts w:ascii="Times New Roman"/>
          <w:b w:val="false"/>
          <w:i w:val="false"/>
          <w:color w:val="000000"/>
          <w:sz w:val="28"/>
        </w:rPr>
        <w:t>;                (189)</w:t>
      </w:r>
      <w:r>
        <w:br/>
      </w:r>
      <w:r>
        <w:rPr>
          <w:rFonts w:ascii="Times New Roman"/>
          <w:b w:val="false"/>
          <w:i w:val="false"/>
          <w:color w:val="000000"/>
          <w:sz w:val="28"/>
        </w:rPr>
        <w:t>
</w:t>
      </w:r>
      <w:r>
        <w:br/>
      </w:r>
    </w:p>
    <w:p>
      <w:pPr>
        <w:spacing w:after="0"/>
        <w:ind w:left="0"/>
        <w:jc w:val="both"/>
      </w:pPr>
      <w:r>
        <w:drawing>
          <wp:inline distT="0" distB="0" distL="0" distR="0">
            <wp:extent cx="381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381000" cy="431800"/>
                    </a:xfrm>
                    <a:prstGeom prst="rect">
                      <a:avLst/>
                    </a:prstGeom>
                  </pic:spPr>
                </pic:pic>
              </a:graphicData>
            </a:graphic>
          </wp:inline>
        </w:drawing>
      </w:r>
    </w:p>
    <w:p>
      <w:pPr>
        <w:spacing w:after="0"/>
        <w:ind w:left="0"/>
        <w:jc w:val="left"/>
      </w:pPr>
      <w:r>
        <w:rPr>
          <w:rFonts w:ascii="Times New Roman"/>
          <w:b w:val="false"/>
          <w:i w:val="false"/>
          <w:color w:val="000000"/>
          <w:sz w:val="28"/>
        </w:rPr>
        <w:t>— нормальные напряжения стесненного кручения, МПа, при действии крутящих моментов ,M</w:t>
      </w:r>
      <w:r>
        <w:rPr>
          <w:rFonts w:ascii="Times New Roman"/>
          <w:b w:val="false"/>
          <w:i w:val="false"/>
          <w:color w:val="000000"/>
          <w:vertAlign w:val="subscript"/>
        </w:rPr>
        <w:t>tw</w:t>
      </w:r>
      <w:r>
        <w:rPr>
          <w:rFonts w:ascii="Times New Roman"/>
          <w:b w:val="false"/>
          <w:i w:val="false"/>
          <w:color w:val="000000"/>
          <w:vertAlign w:val="subscript"/>
        </w:rPr>
        <w:t>1</w:t>
      </w:r>
      <w:r>
        <w:rPr>
          <w:rFonts w:ascii="Times New Roman"/>
          <w:b w:val="false"/>
          <w:i w:val="false"/>
          <w:color w:val="000000"/>
          <w:sz w:val="28"/>
        </w:rPr>
        <w:t xml:space="preserve"> M</w:t>
      </w:r>
      <w:r>
        <w:rPr>
          <w:rFonts w:ascii="Times New Roman"/>
          <w:b w:val="false"/>
          <w:i w:val="false"/>
          <w:color w:val="000000"/>
          <w:vertAlign w:val="subscript"/>
        </w:rPr>
        <w:t>tw</w:t>
      </w:r>
      <w:r>
        <w:rPr>
          <w:rFonts w:ascii="Times New Roman"/>
          <w:b w:val="false"/>
          <w:i w:val="false"/>
          <w:color w:val="000000"/>
          <w:vertAlign w:val="subscript"/>
        </w:rPr>
        <w:t>2</w:t>
      </w:r>
      <w:r>
        <w:rPr>
          <w:rFonts w:ascii="Times New Roman"/>
          <w:b w:val="false"/>
          <w:i w:val="false"/>
          <w:color w:val="000000"/>
          <w:sz w:val="28"/>
        </w:rPr>
        <w:t>, M</w:t>
      </w:r>
      <w:r>
        <w:rPr>
          <w:rFonts w:ascii="Times New Roman"/>
          <w:b w:val="false"/>
          <w:i w:val="false"/>
          <w:color w:val="000000"/>
          <w:vertAlign w:val="subscript"/>
        </w:rPr>
        <w:t>tw</w:t>
      </w:r>
      <w:r>
        <w:rPr>
          <w:rFonts w:ascii="Times New Roman"/>
          <w:b w:val="false"/>
          <w:i w:val="false"/>
          <w:color w:val="000000"/>
          <w:vertAlign w:val="subscript"/>
        </w:rPr>
        <w:t>3</w:t>
      </w:r>
      <w:r>
        <w:rPr>
          <w:rFonts w:ascii="Times New Roman"/>
          <w:b w:val="false"/>
          <w:i w:val="false"/>
          <w:color w:val="000000"/>
          <w:sz w:val="28"/>
        </w:rPr>
        <w:t xml:space="preserve"> (пункт 597 настоящих Правил), определяемые по формуле:</w:t>
      </w:r>
      <w:r>
        <w:br/>
      </w:r>
      <w:r>
        <w:rPr>
          <w:rFonts w:ascii="Times New Roman"/>
          <w:b w:val="false"/>
          <w:i w:val="false"/>
          <w:color w:val="000000"/>
          <w:sz w:val="28"/>
        </w:rPr>
        <w:t>
</w:t>
      </w:r>
      <w:r>
        <w:br/>
      </w:r>
    </w:p>
    <w:p>
      <w:pPr>
        <w:spacing w:after="0"/>
        <w:ind w:left="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927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i</w:t>
      </w:r>
      <w:r>
        <w:rPr>
          <w:rFonts w:ascii="Times New Roman"/>
          <w:b w:val="false"/>
          <w:i w:val="false"/>
          <w:color w:val="000000"/>
          <w:sz w:val="28"/>
        </w:rPr>
        <w:t xml:space="preserve"> — бимоменты в рассматриваемом сечении по длине открытой части судна при действии M</w:t>
      </w:r>
      <w:r>
        <w:rPr>
          <w:rFonts w:ascii="Times New Roman"/>
          <w:b w:val="false"/>
          <w:i w:val="false"/>
          <w:color w:val="000000"/>
          <w:vertAlign w:val="subscript"/>
        </w:rPr>
        <w:t>tw</w:t>
      </w:r>
      <w:r>
        <w:rPr>
          <w:rFonts w:ascii="Times New Roman"/>
          <w:b w:val="false"/>
          <w:i w:val="false"/>
          <w:color w:val="000000"/>
          <w:vertAlign w:val="subscript"/>
        </w:rPr>
        <w:t>1</w:t>
      </w:r>
      <w:r>
        <w:rPr>
          <w:rFonts w:ascii="Times New Roman"/>
          <w:b w:val="false"/>
          <w:i w:val="false"/>
          <w:color w:val="000000"/>
          <w:sz w:val="28"/>
        </w:rPr>
        <w:t>, M</w:t>
      </w:r>
      <w:r>
        <w:rPr>
          <w:rFonts w:ascii="Times New Roman"/>
          <w:b w:val="false"/>
          <w:i w:val="false"/>
          <w:color w:val="000000"/>
          <w:vertAlign w:val="subscript"/>
        </w:rPr>
        <w:t>tw</w:t>
      </w:r>
      <w:r>
        <w:rPr>
          <w:rFonts w:ascii="Times New Roman"/>
          <w:b w:val="false"/>
          <w:i w:val="false"/>
          <w:color w:val="000000"/>
          <w:vertAlign w:val="subscript"/>
        </w:rPr>
        <w:t>2</w:t>
      </w:r>
      <w:r>
        <w:rPr>
          <w:rFonts w:ascii="Times New Roman"/>
          <w:b w:val="false"/>
          <w:i w:val="false"/>
          <w:color w:val="000000"/>
          <w:sz w:val="28"/>
        </w:rPr>
        <w:t>, M</w:t>
      </w:r>
      <w:r>
        <w:rPr>
          <w:rFonts w:ascii="Times New Roman"/>
          <w:b w:val="false"/>
          <w:i w:val="false"/>
          <w:color w:val="000000"/>
          <w:vertAlign w:val="subscript"/>
        </w:rPr>
        <w:t>tw</w:t>
      </w:r>
      <w:r>
        <w:rPr>
          <w:rFonts w:ascii="Times New Roman"/>
          <w:b w:val="false"/>
          <w:i w:val="false"/>
          <w:color w:val="000000"/>
          <w:vertAlign w:val="subscript"/>
        </w:rPr>
        <w:t>3</w:t>
      </w:r>
      <w:r>
        <w:rPr>
          <w:rFonts w:ascii="Times New Roman"/>
          <w:b w:val="false"/>
          <w:i w:val="false"/>
          <w:color w:val="000000"/>
          <w:sz w:val="28"/>
        </w:rPr>
        <w:t>, соответственно, кН•м</w:t>
      </w:r>
      <w:r>
        <w:rPr>
          <w:rFonts w:ascii="Times New Roman"/>
          <w:b w:val="false"/>
          <w:i w:val="false"/>
          <w:color w:val="000000"/>
          <w:vertAlign w:val="superscript"/>
        </w:rPr>
        <w:t>2</w:t>
      </w:r>
      <w:r>
        <w:rPr>
          <w:rFonts w:ascii="Times New Roman"/>
          <w:b w:val="false"/>
          <w:i w:val="false"/>
          <w:color w:val="000000"/>
          <w:sz w:val="28"/>
        </w:rPr>
        <w:t>, определяемые по методике, одобренной Регистром судоходства.</w:t>
      </w:r>
    </w:p>
    <w:bookmarkStart w:name="z2382" w:id="2375"/>
    <w:p>
      <w:pPr>
        <w:spacing w:after="0"/>
        <w:ind w:left="0"/>
        <w:jc w:val="both"/>
      </w:pPr>
      <w:r>
        <w:rPr>
          <w:rFonts w:ascii="Times New Roman"/>
          <w:b w:val="false"/>
          <w:i w:val="false"/>
          <w:color w:val="000000"/>
          <w:sz w:val="28"/>
        </w:rPr>
        <w:t>
      603. Определяют кинематические параметры стесненного кручения.</w:t>
      </w:r>
    </w:p>
    <w:bookmarkEnd w:id="2375"/>
    <w:bookmarkStart w:name="z2383" w:id="2376"/>
    <w:p>
      <w:pPr>
        <w:spacing w:after="0"/>
        <w:ind w:left="0"/>
        <w:jc w:val="both"/>
      </w:pPr>
      <w:r>
        <w:rPr>
          <w:rFonts w:ascii="Times New Roman"/>
          <w:b w:val="false"/>
          <w:i w:val="false"/>
          <w:color w:val="000000"/>
          <w:sz w:val="28"/>
        </w:rPr>
        <w:t>
      Удлинение диагонали люкового выреза при скручивании корпуса не превышает 35 мм. Если по расчету удлинение диагонали люкового выреза превышает 35 мм, по специальному согласованию с Регистром судоходства принимают меры по подкреплению люковых вырезов. Расчет выполняется по методике, одобренной Регистром судоходства.</w:t>
      </w:r>
    </w:p>
    <w:bookmarkEnd w:id="2376"/>
    <w:bookmarkStart w:name="z2384" w:id="2377"/>
    <w:p>
      <w:pPr>
        <w:spacing w:after="0"/>
        <w:ind w:left="0"/>
        <w:jc w:val="both"/>
      </w:pPr>
      <w:r>
        <w:rPr>
          <w:rFonts w:ascii="Times New Roman"/>
          <w:b w:val="false"/>
          <w:i w:val="false"/>
          <w:color w:val="000000"/>
          <w:sz w:val="28"/>
        </w:rPr>
        <w:t>
      604. Обеспечивается устойчивость продольной межлюковой перемычки между опорами, а также ее элементов по отношению к сжимающим напряжениям от общего изгиба.</w:t>
      </w:r>
    </w:p>
    <w:bookmarkEnd w:id="2377"/>
    <w:bookmarkStart w:name="z2385" w:id="2378"/>
    <w:p>
      <w:pPr>
        <w:spacing w:after="0"/>
        <w:ind w:left="0"/>
        <w:jc w:val="both"/>
      </w:pPr>
      <w:r>
        <w:rPr>
          <w:rFonts w:ascii="Times New Roman"/>
          <w:b w:val="false"/>
          <w:i w:val="false"/>
          <w:color w:val="000000"/>
          <w:sz w:val="28"/>
        </w:rPr>
        <w:t>
      605. Если отношение длины люкового выреза к ширине участка палубы от борта до продольной кромки ближайшего люкового выреза больше 10, требуется выполнение по одобренной Регистром судоходства методике расчета деформации указанного участка палубы в горизонтальной плоскости и учета полученных результатов при оценке напряженного состояния палубы, проектировании люковых закрытий и бортового набора.</w:t>
      </w:r>
    </w:p>
    <w:bookmarkEnd w:id="2378"/>
    <w:bookmarkStart w:name="z2386" w:id="2379"/>
    <w:p>
      <w:pPr>
        <w:spacing w:after="0"/>
        <w:ind w:left="0"/>
        <w:jc w:val="both"/>
      </w:pPr>
      <w:r>
        <w:rPr>
          <w:rFonts w:ascii="Times New Roman"/>
          <w:b w:val="false"/>
          <w:i w:val="false"/>
          <w:color w:val="000000"/>
          <w:sz w:val="28"/>
        </w:rPr>
        <w:t>
      606. Необходимо чтобы размеры консольных бимсов и примыкающих к ним рамных шпангоутов отвечали следующим требованиям:</w:t>
      </w:r>
    </w:p>
    <w:bookmarkEnd w:id="2379"/>
    <w:bookmarkStart w:name="z2387" w:id="2380"/>
    <w:p>
      <w:pPr>
        <w:spacing w:after="0"/>
        <w:ind w:left="0"/>
        <w:jc w:val="both"/>
      </w:pPr>
      <w:r>
        <w:rPr>
          <w:rFonts w:ascii="Times New Roman"/>
          <w:b w:val="false"/>
          <w:i w:val="false"/>
          <w:color w:val="000000"/>
          <w:sz w:val="28"/>
        </w:rPr>
        <w:t>
      1) момент сопротивления консольного бимса, см3, в сечении у конца бимсовой кницы равен не менее определяемого по формуле:</w:t>
      </w:r>
    </w:p>
    <w:bookmarkEnd w:id="2380"/>
    <w:p>
      <w:pPr>
        <w:spacing w:after="0"/>
        <w:ind w:left="0"/>
        <w:jc w:val="both"/>
      </w:pPr>
      <w:r>
        <w:rPr>
          <w:rFonts w:ascii="Times New Roman"/>
          <w:b w:val="false"/>
          <w:i w:val="false"/>
          <w:color w:val="000000"/>
          <w:sz w:val="28"/>
        </w:rPr>
        <w:t>
      W = (</w:t>
      </w:r>
    </w:p>
    <w:p>
      <w:pPr>
        <w:spacing w:after="0"/>
        <w:ind w:left="0"/>
        <w:jc w:val="both"/>
      </w:pPr>
      <w:r>
        <w:drawing>
          <wp:inline distT="0" distB="0" distL="0" distR="0">
            <wp:extent cx="12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27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pal + </w:t>
      </w:r>
      <w:r>
        <w:rPr>
          <w:rFonts w:ascii="Times New Roman"/>
          <w:b w:val="false"/>
          <w:i/>
          <w:color w:val="000000"/>
          <w:sz w:val="28"/>
        </w:rPr>
        <w:t>Q</w:t>
      </w:r>
      <w:r>
        <w:rPr>
          <w:rFonts w:ascii="Times New Roman"/>
          <w:b w:val="false"/>
          <w:i w:val="false"/>
          <w:color w:val="000000"/>
          <w:sz w:val="28"/>
        </w:rPr>
        <w:t>)</w:t>
      </w:r>
    </w:p>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393700" cy="4318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              (191)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интенсивность расчетной нагрузки на настил палубы, поддерживаемой консольным бимсом, согласно пункта 599 настоящих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смежными консольными бимсами,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пролета консольного бимса, измеренная от сечения у конца бимсовой кницы до продольного комингса люка, примыкающего к этому бимсу, м;</w:t>
      </w:r>
    </w:p>
    <w:p>
      <w:pPr>
        <w:spacing w:after="0"/>
        <w:ind w:left="0"/>
        <w:jc w:val="both"/>
      </w:pPr>
      <w:r>
        <w:rPr>
          <w:rFonts w:ascii="Times New Roman"/>
          <w:b w:val="false"/>
          <w:i w:val="false"/>
          <w:color w:val="000000"/>
          <w:sz w:val="28"/>
        </w:rPr>
        <w:t>
      Q — расчетная нагрузка, передаваемая на консольный бимс крышкой люка, кН, определяемая по формуле:</w:t>
      </w:r>
    </w:p>
    <w:p>
      <w:pPr>
        <w:spacing w:after="0"/>
        <w:ind w:left="0"/>
        <w:jc w:val="both"/>
      </w:pPr>
      <w:r>
        <w:rPr>
          <w:rFonts w:ascii="Times New Roman"/>
          <w:b w:val="false"/>
          <w:i w:val="false"/>
          <w:color w:val="000000"/>
          <w:sz w:val="28"/>
        </w:rPr>
        <w:t xml:space="preserve">
      Q = </w:t>
      </w:r>
    </w:p>
    <w:p>
      <w:pPr>
        <w:spacing w:after="0"/>
        <w:ind w:left="0"/>
        <w:jc w:val="both"/>
      </w:pPr>
      <w:r>
        <w:drawing>
          <wp:inline distT="0" distB="0" distL="0" distR="0">
            <wp:extent cx="12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27000" cy="4318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ab</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интенсивность расчетной нагрузки на крышку люка, примыкающего к консольному бимсу, согласно пункту 600 настоящих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ширина выреза люка, примыкающего к консольному бимсу,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согласно пункту 141 настоящих Правил.</w:t>
      </w:r>
      <w:r>
        <w:br/>
      </w:r>
      <w:r>
        <w:rPr>
          <w:rFonts w:ascii="Times New Roman"/>
          <w:b w:val="false"/>
          <w:i w:val="false"/>
          <w:color w:val="000000"/>
          <w:sz w:val="28"/>
        </w:rPr>
        <w:t>
</w:t>
      </w:r>
    </w:p>
    <w:bookmarkStart w:name="z2388" w:id="2381"/>
    <w:p>
      <w:pPr>
        <w:spacing w:after="0"/>
        <w:ind w:left="0"/>
        <w:jc w:val="both"/>
      </w:pPr>
      <w:r>
        <w:rPr>
          <w:rFonts w:ascii="Times New Roman"/>
          <w:b w:val="false"/>
          <w:i w:val="false"/>
          <w:color w:val="000000"/>
          <w:sz w:val="28"/>
        </w:rPr>
        <w:t>
      Площадь сечения стенки консольного бимса равна не менее определяемой в пункте 248 настоящих Правил. При этом:</w:t>
      </w:r>
    </w:p>
    <w:bookmarkEnd w:id="23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mах</w:t>
      </w:r>
      <w:r>
        <w:rPr>
          <w:rFonts w:ascii="Times New Roman"/>
          <w:b w:val="false"/>
          <w:i w:val="false"/>
          <w:color w:val="000000"/>
          <w:sz w:val="28"/>
        </w:rPr>
        <w:t xml:space="preserve"> = </w:t>
      </w:r>
      <w:r>
        <w:rPr>
          <w:rFonts w:ascii="Times New Roman"/>
          <w:b w:val="false"/>
          <w:i/>
          <w:color w:val="000000"/>
          <w:sz w:val="28"/>
        </w:rPr>
        <w:t>pal</w:t>
      </w:r>
      <w:r>
        <w:rPr>
          <w:rFonts w:ascii="Times New Roman"/>
          <w:b w:val="false"/>
          <w:i w:val="false"/>
          <w:color w:val="000000"/>
          <w:sz w:val="28"/>
        </w:rPr>
        <w:t xml:space="preserve"> + Q для сечения у конца бимсовой кницы;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mах</w:t>
      </w:r>
      <w:r>
        <w:rPr>
          <w:rFonts w:ascii="Times New Roman"/>
          <w:b w:val="false"/>
          <w:i w:val="false"/>
          <w:color w:val="000000"/>
          <w:sz w:val="28"/>
        </w:rPr>
        <w:t xml:space="preserve"> = Q для сечения у продольного комингса люка, примыкающего к консольному бимсу;</w:t>
      </w:r>
    </w:p>
    <w:bookmarkStart w:name="z2389" w:id="2382"/>
    <w:p>
      <w:pPr>
        <w:spacing w:after="0"/>
        <w:ind w:left="0"/>
        <w:jc w:val="both"/>
      </w:pPr>
      <w:r>
        <w:rPr>
          <w:rFonts w:ascii="Times New Roman"/>
          <w:b w:val="false"/>
          <w:i w:val="false"/>
          <w:color w:val="000000"/>
          <w:sz w:val="28"/>
        </w:rPr>
        <w:t>
      2) момент сопротивления рамного шпангоута, соединенного с консольным бимсом верхней палубы, в сечении у конца бимсовой кницы равен не менее определяемого по формуле (191) настоящих Правил.</w:t>
      </w:r>
    </w:p>
    <w:bookmarkEnd w:id="2382"/>
    <w:bookmarkStart w:name="z2390" w:id="2383"/>
    <w:p>
      <w:pPr>
        <w:spacing w:after="0"/>
        <w:ind w:left="0"/>
        <w:jc w:val="both"/>
      </w:pPr>
      <w:r>
        <w:rPr>
          <w:rFonts w:ascii="Times New Roman"/>
          <w:b w:val="false"/>
          <w:i w:val="false"/>
          <w:color w:val="000000"/>
          <w:sz w:val="28"/>
        </w:rPr>
        <w:t>
      Момент сопротивления рамного шпангоута, соединенного с консольным бимсом нижней палубы и расположенного ниже этой палубы, в сечении у конца бимсовой кницы соответствует тому же требованию, но возможно уменьшение на величину момента сопротивления рамного шпангоута, расположенного выше этой палубы, в сечении у конца примыкающей к ней кницы.</w:t>
      </w:r>
    </w:p>
    <w:bookmarkEnd w:id="2383"/>
    <w:bookmarkStart w:name="z2391" w:id="2384"/>
    <w:p>
      <w:pPr>
        <w:spacing w:after="0"/>
        <w:ind w:left="0"/>
        <w:jc w:val="both"/>
      </w:pPr>
      <w:r>
        <w:rPr>
          <w:rFonts w:ascii="Times New Roman"/>
          <w:b w:val="false"/>
          <w:i w:val="false"/>
          <w:color w:val="000000"/>
          <w:sz w:val="28"/>
        </w:rPr>
        <w:t>
      607. Размеры конструкции крепления контейнеров определяют на основании расчетов прочности от действия расчетных нагрузок, отвечающих требованиям пункта 601 настоящих Правил, а возникающие при этом напряжения не превышают допускаемых, вычисленных по следующим коэффициентам допускаемых напряжений:</w:t>
      </w:r>
    </w:p>
    <w:bookmarkEnd w:id="23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0,75.</w:t>
      </w:r>
      <w:r>
        <w:br/>
      </w:r>
      <w:r>
        <w:rPr>
          <w:rFonts w:ascii="Times New Roman"/>
          <w:b w:val="false"/>
          <w:i w:val="false"/>
          <w:color w:val="000000"/>
          <w:sz w:val="28"/>
        </w:rPr>
        <w:t>
</w:t>
      </w:r>
    </w:p>
    <w:bookmarkStart w:name="z2392" w:id="2385"/>
    <w:p>
      <w:pPr>
        <w:spacing w:after="0"/>
        <w:ind w:left="0"/>
        <w:jc w:val="both"/>
      </w:pPr>
      <w:r>
        <w:rPr>
          <w:rFonts w:ascii="Times New Roman"/>
          <w:b w:val="false"/>
          <w:i w:val="false"/>
          <w:color w:val="000000"/>
          <w:sz w:val="28"/>
        </w:rPr>
        <w:t>
      Прочность конструкций корпуса, воспринимающих усилия от конструкций крепления контейнеров, проверяют расчетом на действие этих усилий, а возникающие при этом напряжения не превышают допускаемых, предусмотренных в подразделе 2 раздела 4 настоящих Правил, для соответствующих конструкций.</w:t>
      </w:r>
    </w:p>
    <w:bookmarkEnd w:id="2385"/>
    <w:bookmarkStart w:name="z2393" w:id="2386"/>
    <w:p>
      <w:pPr>
        <w:spacing w:after="0"/>
        <w:ind w:left="0"/>
        <w:jc w:val="left"/>
      </w:pPr>
      <w:r>
        <w:rPr>
          <w:rFonts w:ascii="Times New Roman"/>
          <w:b/>
          <w:i w:val="false"/>
          <w:color w:val="000000"/>
        </w:rPr>
        <w:t xml:space="preserve"> Глава 30. Накатные суда</w:t>
      </w:r>
    </w:p>
    <w:bookmarkEnd w:id="2386"/>
    <w:p>
      <w:pPr>
        <w:spacing w:after="0"/>
        <w:ind w:left="0"/>
        <w:jc w:val="both"/>
      </w:pPr>
      <w:r>
        <w:rPr>
          <w:rFonts w:ascii="Times New Roman"/>
          <w:b w:val="false"/>
          <w:i w:val="false"/>
          <w:color w:val="ff0000"/>
          <w:sz w:val="28"/>
        </w:rPr>
        <w:t xml:space="preserve">
      Сноска. Заголовок главы 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94" w:id="2387"/>
    <w:p>
      <w:pPr>
        <w:spacing w:after="0"/>
        <w:ind w:left="0"/>
        <w:jc w:val="left"/>
      </w:pPr>
      <w:r>
        <w:rPr>
          <w:rFonts w:ascii="Times New Roman"/>
          <w:b/>
          <w:i w:val="false"/>
          <w:color w:val="000000"/>
        </w:rPr>
        <w:t xml:space="preserve"> Параграф 1. Общие положения, конструкция</w:t>
      </w:r>
    </w:p>
    <w:bookmarkEnd w:id="2387"/>
    <w:bookmarkStart w:name="z2395" w:id="2388"/>
    <w:p>
      <w:pPr>
        <w:spacing w:after="0"/>
        <w:ind w:left="0"/>
        <w:jc w:val="both"/>
      </w:pPr>
      <w:r>
        <w:rPr>
          <w:rFonts w:ascii="Times New Roman"/>
          <w:b w:val="false"/>
          <w:i w:val="false"/>
          <w:color w:val="000000"/>
          <w:sz w:val="28"/>
        </w:rPr>
        <w:t>
      608. Требования настоящей главы распространяются на накатные суда, пассажирские накатные суда и являются дополнительными по отношению к подразделам 1 и 2 раздела 4 настоящих Правил.</w:t>
      </w:r>
    </w:p>
    <w:bookmarkEnd w:id="2388"/>
    <w:bookmarkStart w:name="z2396" w:id="2389"/>
    <w:p>
      <w:pPr>
        <w:spacing w:after="0"/>
        <w:ind w:left="0"/>
        <w:jc w:val="both"/>
      </w:pPr>
      <w:r>
        <w:rPr>
          <w:rFonts w:ascii="Times New Roman"/>
          <w:b w:val="false"/>
          <w:i w:val="false"/>
          <w:color w:val="000000"/>
          <w:sz w:val="28"/>
        </w:rPr>
        <w:t>
      Требования настоящей главы применяются также к палубам и двойному дну судов, имеющих колесные транспортные средства для погрузки и выгрузки.</w:t>
      </w:r>
    </w:p>
    <w:bookmarkEnd w:id="2389"/>
    <w:bookmarkStart w:name="z2397" w:id="2390"/>
    <w:p>
      <w:pPr>
        <w:spacing w:after="0"/>
        <w:ind w:left="0"/>
        <w:jc w:val="both"/>
      </w:pPr>
      <w:r>
        <w:rPr>
          <w:rFonts w:ascii="Times New Roman"/>
          <w:b w:val="false"/>
          <w:i w:val="false"/>
          <w:color w:val="000000"/>
          <w:sz w:val="28"/>
        </w:rPr>
        <w:t>
      609. В настоящей главе применяются следующие обозначения:</w:t>
      </w:r>
    </w:p>
    <w:bookmarkEnd w:id="2390"/>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статическая нагрузка на ось транспортного средства,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число колес на оси;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колес, образующих расчетное пятно нагрузки (для единичного колеса </w:t>
      </w:r>
      <w:r>
        <w:rPr>
          <w:rFonts w:ascii="Times New Roman"/>
          <w:b w:val="false"/>
          <w:i/>
          <w:color w:val="000000"/>
          <w:sz w:val="28"/>
        </w:rPr>
        <w:t>n</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размер отпечатка колеса, перпендикулярный к оси вращения,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размер отпечатка колеса, параллельный оси вращения,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ширина промежутка между отпечатками соседних колес,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a</w:t>
      </w:r>
      <w:r>
        <w:rPr>
          <w:rFonts w:ascii="Times New Roman"/>
          <w:b w:val="false"/>
          <w:i w:val="false"/>
          <w:color w:val="000000"/>
          <w:sz w:val="28"/>
        </w:rPr>
        <w:t xml:space="preserve"> — размер расчетного пятна нагрузки, расположенный параллельно меньшей стороне пластины (поперек балок набора),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 размер расчетного пятна нагрузки, расположенный параллельно большей стороне пластины (вдоль балок набора),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меньшая и большая стороны пластины соответственно,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пролета рассматриваемой балки (пункт 238 настоящих Правил), м.</w:t>
      </w:r>
    </w:p>
    <w:bookmarkStart w:name="z2398" w:id="2391"/>
    <w:p>
      <w:pPr>
        <w:spacing w:after="0"/>
        <w:ind w:left="0"/>
        <w:jc w:val="both"/>
      </w:pPr>
      <w:r>
        <w:rPr>
          <w:rFonts w:ascii="Times New Roman"/>
          <w:b w:val="false"/>
          <w:i w:val="false"/>
          <w:color w:val="000000"/>
          <w:sz w:val="28"/>
        </w:rPr>
        <w:t>
      610. Для грузовых палуб и двойного дна накатных судов и автомобильных паромов, как правило, предусматривается продольная система набора. Иные конструкции указанных перекрытий подлежат специальному рассмотрению Регистром судоходства.</w:t>
      </w:r>
    </w:p>
    <w:bookmarkEnd w:id="2391"/>
    <w:bookmarkStart w:name="z2399" w:id="2392"/>
    <w:p>
      <w:pPr>
        <w:spacing w:after="0"/>
        <w:ind w:left="0"/>
        <w:jc w:val="both"/>
      </w:pPr>
      <w:r>
        <w:rPr>
          <w:rFonts w:ascii="Times New Roman"/>
          <w:b w:val="false"/>
          <w:i w:val="false"/>
          <w:color w:val="000000"/>
          <w:sz w:val="28"/>
        </w:rPr>
        <w:t>
      611. Конструкция закрепления съемных палуб, устанавливаемых временно при перевозке автомобилей, исключают восприятие этими палубами продольных усилий при общем изгибе корпуса.</w:t>
      </w:r>
    </w:p>
    <w:bookmarkEnd w:id="2392"/>
    <w:bookmarkStart w:name="z2400" w:id="2393"/>
    <w:p>
      <w:pPr>
        <w:spacing w:after="0"/>
        <w:ind w:left="0"/>
        <w:jc w:val="both"/>
      </w:pPr>
      <w:r>
        <w:rPr>
          <w:rFonts w:ascii="Times New Roman"/>
          <w:b w:val="false"/>
          <w:i w:val="false"/>
          <w:color w:val="000000"/>
          <w:sz w:val="28"/>
        </w:rPr>
        <w:t>
      Правилами предусматривается конструкция съемных палуб, состоящая из листового настила с приваренным к нему набором, включающим балки рамного набора и продольные балки. Другие конструкции съемных палуб подлежат специальному рассмотрению Регистром судоходства.</w:t>
      </w:r>
    </w:p>
    <w:bookmarkEnd w:id="2393"/>
    <w:bookmarkStart w:name="z2401" w:id="2394"/>
    <w:p>
      <w:pPr>
        <w:spacing w:after="0"/>
        <w:ind w:left="0"/>
        <w:jc w:val="left"/>
      </w:pPr>
      <w:r>
        <w:rPr>
          <w:rFonts w:ascii="Times New Roman"/>
          <w:b/>
          <w:i w:val="false"/>
          <w:color w:val="000000"/>
        </w:rPr>
        <w:t xml:space="preserve"> Параграф 2. Нагрузки от колесных транспортныхсредств</w:t>
      </w:r>
    </w:p>
    <w:bookmarkEnd w:id="2394"/>
    <w:bookmarkStart w:name="z2402" w:id="2395"/>
    <w:p>
      <w:pPr>
        <w:spacing w:after="0"/>
        <w:ind w:left="0"/>
        <w:jc w:val="both"/>
      </w:pPr>
      <w:r>
        <w:rPr>
          <w:rFonts w:ascii="Times New Roman"/>
          <w:b w:val="false"/>
          <w:i w:val="false"/>
          <w:color w:val="000000"/>
          <w:sz w:val="28"/>
        </w:rPr>
        <w:t>
      612. Расчетные нагрузки определяются исходя из спецификационных характеристик транспортных средств, перевозимых на судне и применяемых при погрузке и выгрузке; при этом в документации проекта, представляемой на рассмотрение Регистру судоходства, указывается статическая нагрузка на ось транспортного средства, число колес на оси, ширина промежутка между соседними колесами, размеры отпечатка колес и тип шин.</w:t>
      </w:r>
    </w:p>
    <w:bookmarkEnd w:id="2395"/>
    <w:bookmarkStart w:name="z2403" w:id="2396"/>
    <w:p>
      <w:pPr>
        <w:spacing w:after="0"/>
        <w:ind w:left="0"/>
        <w:jc w:val="both"/>
      </w:pPr>
      <w:r>
        <w:rPr>
          <w:rFonts w:ascii="Times New Roman"/>
          <w:b w:val="false"/>
          <w:i w:val="false"/>
          <w:color w:val="000000"/>
          <w:sz w:val="28"/>
        </w:rPr>
        <w:t>
      Если конкретные характеристики отпечатков колес отсутствуют, следует руководствоваться пунктом 616 настоящих Правил.</w:t>
      </w:r>
    </w:p>
    <w:bookmarkEnd w:id="2396"/>
    <w:bookmarkStart w:name="z2404" w:id="2397"/>
    <w:p>
      <w:pPr>
        <w:spacing w:after="0"/>
        <w:ind w:left="0"/>
        <w:jc w:val="both"/>
      </w:pPr>
      <w:r>
        <w:rPr>
          <w:rFonts w:ascii="Times New Roman"/>
          <w:b w:val="false"/>
          <w:i w:val="false"/>
          <w:color w:val="000000"/>
          <w:sz w:val="28"/>
        </w:rPr>
        <w:t xml:space="preserve">
      613. Расчетные размеры пятна нагрузки </w:t>
      </w:r>
      <w:r>
        <w:rPr>
          <w:rFonts w:ascii="Times New Roman"/>
          <w:b w:val="false"/>
          <w:i/>
          <w:color w:val="000000"/>
          <w:sz w:val="28"/>
        </w:rPr>
        <w:t>l</w:t>
      </w:r>
      <w:r>
        <w:rPr>
          <w:rFonts w:ascii="Times New Roman"/>
          <w:b w:val="false"/>
          <w:i w:val="false"/>
          <w:color w:val="000000"/>
          <w:vertAlign w:val="subscript"/>
        </w:rPr>
        <w:t>a</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выбираются, как габаритные размеры отпечатка группы из наибольшего числа колес, при соответствии следующим условиям:</w:t>
      </w:r>
    </w:p>
    <w:bookmarkEnd w:id="2397"/>
    <w:bookmarkStart w:name="z2405" w:id="2398"/>
    <w:p>
      <w:pPr>
        <w:spacing w:after="0"/>
        <w:ind w:left="0"/>
        <w:jc w:val="both"/>
      </w:pPr>
      <w:r>
        <w:rPr>
          <w:rFonts w:ascii="Times New Roman"/>
          <w:b w:val="false"/>
          <w:i w:val="false"/>
          <w:color w:val="000000"/>
          <w:sz w:val="28"/>
        </w:rPr>
        <w:t xml:space="preserve">
      при расчете требуемой толщины настила отпечатки всех колес группы полностью вписываются в пределы пластины (то есть </w:t>
      </w:r>
      <w:r>
        <w:rPr>
          <w:rFonts w:ascii="Times New Roman"/>
          <w:b w:val="false"/>
          <w:i/>
          <w:color w:val="000000"/>
          <w:sz w:val="28"/>
        </w:rPr>
        <w:t>l</w:t>
      </w:r>
      <w:r>
        <w:rPr>
          <w:rFonts w:ascii="Times New Roman"/>
          <w:b w:val="false"/>
          <w:i w:val="false"/>
          <w:color w:val="000000"/>
          <w:vertAlign w:val="subscript"/>
        </w:rPr>
        <w:t>a</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 xml:space="preserve">b </w:t>
      </w:r>
      <w:r>
        <w:rPr>
          <w:rFonts w:ascii="Times New Roman"/>
          <w:b w:val="false"/>
          <w:i w:val="false"/>
          <w:color w:val="000000"/>
          <w:sz w:val="28"/>
          <w:u w:val="single"/>
        </w:rPr>
        <w:t xml:space="preserve">&lt; </w:t>
      </w:r>
      <w:r>
        <w:rPr>
          <w:rFonts w:ascii="Times New Roman"/>
          <w:b w:val="false"/>
          <w:i w:val="false"/>
          <w:color w:val="000000"/>
          <w:sz w:val="28"/>
        </w:rPr>
        <w:t>b — приложение 89 настоящих Правил);</w:t>
      </w:r>
    </w:p>
    <w:bookmarkEnd w:id="2398"/>
    <w:bookmarkStart w:name="z2406" w:id="2399"/>
    <w:p>
      <w:pPr>
        <w:spacing w:after="0"/>
        <w:ind w:left="0"/>
        <w:jc w:val="both"/>
      </w:pPr>
      <w:r>
        <w:rPr>
          <w:rFonts w:ascii="Times New Roman"/>
          <w:b w:val="false"/>
          <w:i w:val="false"/>
          <w:color w:val="000000"/>
          <w:sz w:val="28"/>
        </w:rPr>
        <w:t xml:space="preserve">
      при расчете момента сопротивления и площади поперечного сечения балки основного набора отпечатки всех колес группы полностью вписываются в пределы двух смежных с рассматриваемой балкой пластин (то есть </w:t>
      </w:r>
      <w:r>
        <w:rPr>
          <w:rFonts w:ascii="Times New Roman"/>
          <w:b w:val="false"/>
          <w:i/>
          <w:color w:val="000000"/>
          <w:sz w:val="28"/>
        </w:rPr>
        <w:t>l</w:t>
      </w:r>
      <w:r>
        <w:rPr>
          <w:rFonts w:ascii="Times New Roman"/>
          <w:b w:val="false"/>
          <w:i w:val="false"/>
          <w:color w:val="000000"/>
          <w:vertAlign w:val="subscript"/>
        </w:rPr>
        <w:t>а</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2а и </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приложение 88 настоящих Правил).</w:t>
      </w:r>
    </w:p>
    <w:bookmarkEnd w:id="2399"/>
    <w:bookmarkStart w:name="z2407" w:id="2400"/>
    <w:p>
      <w:pPr>
        <w:spacing w:after="0"/>
        <w:ind w:left="0"/>
        <w:jc w:val="both"/>
      </w:pPr>
      <w:r>
        <w:rPr>
          <w:rFonts w:ascii="Times New Roman"/>
          <w:b w:val="false"/>
          <w:i w:val="false"/>
          <w:color w:val="000000"/>
          <w:sz w:val="28"/>
        </w:rPr>
        <w:t>
      Объединение колес в группу возможно при любом расстоянии между отпечатками, при условии, что габаритные размеры группы соответствуют указанным ограничениям.</w:t>
      </w:r>
    </w:p>
    <w:bookmarkEnd w:id="2400"/>
    <w:bookmarkStart w:name="z2408" w:id="2401"/>
    <w:p>
      <w:pPr>
        <w:spacing w:after="0"/>
        <w:ind w:left="0"/>
        <w:jc w:val="both"/>
      </w:pPr>
      <w:r>
        <w:rPr>
          <w:rFonts w:ascii="Times New Roman"/>
          <w:b w:val="false"/>
          <w:i w:val="false"/>
          <w:color w:val="000000"/>
          <w:sz w:val="28"/>
        </w:rPr>
        <w:t xml:space="preserve">
      Если возможно положение расчетного пятна нагрузки (вдоль или поперек балок основного набора), то за расчетный принимается случай </w:t>
      </w:r>
      <w:r>
        <w:rPr>
          <w:rFonts w:ascii="Times New Roman"/>
          <w:b w:val="false"/>
          <w:i/>
          <w:color w:val="000000"/>
          <w:sz w:val="28"/>
        </w:rPr>
        <w:t>l</w:t>
      </w:r>
      <w:r>
        <w:rPr>
          <w:rFonts w:ascii="Times New Roman"/>
          <w:b w:val="false"/>
          <w:i w:val="false"/>
          <w:color w:val="000000"/>
          <w:vertAlign w:val="subscript"/>
        </w:rPr>
        <w:t xml:space="preserve">b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а</w:t>
      </w:r>
      <w:r>
        <w:rPr>
          <w:rFonts w:ascii="Times New Roman"/>
          <w:b w:val="false"/>
          <w:i w:val="false"/>
          <w:color w:val="000000"/>
          <w:sz w:val="28"/>
        </w:rPr>
        <w:t xml:space="preserve"> (то есть расположение пятна длинной стороной вдоль балок основного набора).</w:t>
      </w:r>
    </w:p>
    <w:bookmarkEnd w:id="2401"/>
    <w:bookmarkStart w:name="z2409" w:id="2402"/>
    <w:p>
      <w:pPr>
        <w:spacing w:after="0"/>
        <w:ind w:left="0"/>
        <w:jc w:val="both"/>
      </w:pPr>
      <w:r>
        <w:rPr>
          <w:rFonts w:ascii="Times New Roman"/>
          <w:b w:val="false"/>
          <w:i w:val="false"/>
          <w:color w:val="000000"/>
          <w:sz w:val="28"/>
        </w:rPr>
        <w:t>
      614. Рассматривают нагрузку при движении транспортных средств в процессе погрузки и выгрузки в порту и нагрузка от перевозимых транспортных средств при качке судна в море.</w:t>
      </w:r>
    </w:p>
    <w:bookmarkEnd w:id="2402"/>
    <w:bookmarkStart w:name="z2410" w:id="2403"/>
    <w:p>
      <w:pPr>
        <w:spacing w:after="0"/>
        <w:ind w:left="0"/>
        <w:jc w:val="both"/>
      </w:pPr>
      <w:r>
        <w:rPr>
          <w:rFonts w:ascii="Times New Roman"/>
          <w:b w:val="false"/>
          <w:i w:val="false"/>
          <w:color w:val="000000"/>
          <w:sz w:val="28"/>
        </w:rPr>
        <w:t xml:space="preserve">
      615. Расчетная нагрузка </w:t>
      </w:r>
      <w:r>
        <w:rPr>
          <w:rFonts w:ascii="Times New Roman"/>
          <w:b w:val="false"/>
          <w:i/>
          <w:color w:val="000000"/>
          <w:sz w:val="28"/>
        </w:rPr>
        <w:t>Q</w:t>
      </w:r>
      <w:r>
        <w:rPr>
          <w:rFonts w:ascii="Times New Roman"/>
          <w:b w:val="false"/>
          <w:i w:val="false"/>
          <w:color w:val="000000"/>
          <w:sz w:val="28"/>
        </w:rPr>
        <w:t>, кН, определяется по формуле:</w:t>
      </w:r>
    </w:p>
    <w:bookmarkEnd w:id="2403"/>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color w:val="000000"/>
          <w:sz w:val="28"/>
        </w:rPr>
        <w:t>Q</w:t>
      </w:r>
      <w:r>
        <w:rPr>
          <w:rFonts w:ascii="Times New Roman"/>
          <w:b w:val="false"/>
          <w:i w:val="false"/>
          <w:color w:val="000000"/>
          <w:vertAlign w:val="subscript"/>
        </w:rPr>
        <w:t>0</w:t>
      </w:r>
    </w:p>
    <w:p>
      <w:pPr>
        <w:spacing w:after="0"/>
        <w:ind w:left="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 динамичности при движении транспортных средств в процессе погрузки и выгрузки;</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коэффициент, равный: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и 1,05 — для транспортных средств (кроме вилочных погрузчиков), имеющих нагрузку на ось менее 50 кН, 50 кН и более соответственно;</w:t>
      </w:r>
    </w:p>
    <w:p>
      <w:pPr>
        <w:spacing w:after="0"/>
        <w:ind w:left="0"/>
        <w:jc w:val="both"/>
      </w:pPr>
      <w:r>
        <w:rPr>
          <w:rFonts w:ascii="Times New Roman"/>
          <w:b w:val="false"/>
          <w:i w:val="false"/>
          <w:color w:val="000000"/>
          <w:sz w:val="28"/>
        </w:rPr>
        <w:t>
      1,0 — для вилочных погрузчиков;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 равный: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и 1,15 — для пневматических и литых резиновых шин, соответственно;</w:t>
      </w:r>
    </w:p>
    <w:p>
      <w:pPr>
        <w:spacing w:after="0"/>
        <w:ind w:left="0"/>
        <w:jc w:val="both"/>
      </w:pPr>
      <w:r>
        <w:rPr>
          <w:rFonts w:ascii="Times New Roman"/>
          <w:b w:val="false"/>
          <w:i w:val="false"/>
          <w:color w:val="000000"/>
          <w:sz w:val="28"/>
        </w:rPr>
        <w:t>
      1,25 — для колес со стальным ободом;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1 +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 xml:space="preserve"> — коэффициент динамичности при качке судна;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 xml:space="preserve"> — ускорение в рассматриваемом сечении судна согласно пункту 172 настоящих Правил.</w:t>
      </w:r>
    </w:p>
    <w:bookmarkStart w:name="z2411" w:id="2404"/>
    <w:p>
      <w:pPr>
        <w:spacing w:after="0"/>
        <w:ind w:left="0"/>
        <w:jc w:val="both"/>
      </w:pPr>
      <w:r>
        <w:rPr>
          <w:rFonts w:ascii="Times New Roman"/>
          <w:b w:val="false"/>
          <w:i w:val="false"/>
          <w:color w:val="000000"/>
          <w:sz w:val="28"/>
        </w:rPr>
        <w:t>
      Если нагрузка между осями транспортного средства распределена неравномерно, в качестве расчетной принимается наибольшая нагрузка на ось (для вилочных погрузчиков нагрузка на переднюю ось).</w:t>
      </w:r>
    </w:p>
    <w:bookmarkEnd w:id="2404"/>
    <w:bookmarkStart w:name="z2412" w:id="2405"/>
    <w:p>
      <w:pPr>
        <w:spacing w:after="0"/>
        <w:ind w:left="0"/>
        <w:jc w:val="both"/>
      </w:pPr>
      <w:r>
        <w:rPr>
          <w:rFonts w:ascii="Times New Roman"/>
          <w:b w:val="false"/>
          <w:i w:val="false"/>
          <w:color w:val="000000"/>
          <w:sz w:val="28"/>
        </w:rPr>
        <w:t>
      616. При отсутствии спецификационных данных о размерах отпечатков колес транспортных средств размер отпечатка, перпендикулярный к оси вращения колеса и, м, определяется по формулам:</w:t>
      </w:r>
    </w:p>
    <w:bookmarkEnd w:id="2405"/>
    <w:p>
      <w:pPr>
        <w:spacing w:after="0"/>
        <w:ind w:left="0"/>
        <w:jc w:val="both"/>
      </w:pPr>
      <w:r>
        <w:rPr>
          <w:rFonts w:ascii="Times New Roman"/>
          <w:b w:val="false"/>
          <w:i w:val="false"/>
          <w:color w:val="000000"/>
          <w:sz w:val="28"/>
        </w:rPr>
        <w:t>
      для колес с литыми шинами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0,01</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при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 кН;</w:t>
      </w:r>
    </w:p>
    <w:p>
      <w:pPr>
        <w:spacing w:after="0"/>
        <w:ind w:left="0"/>
        <w:jc w:val="both"/>
      </w:pPr>
      <w:r>
        <w:rPr>
          <w:rFonts w:ascii="Times New Roman"/>
          <w:b w:val="false"/>
          <w:i w:val="false"/>
          <w:color w:val="000000"/>
          <w:sz w:val="28"/>
        </w:rPr>
        <w:t>
                                                                      (193)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0,15 + 0,001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15) при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&gt; 15 кН;</w:t>
      </w:r>
    </w:p>
    <w:p>
      <w:pPr>
        <w:spacing w:after="0"/>
        <w:ind w:left="0"/>
        <w:jc w:val="both"/>
      </w:pPr>
      <w:r>
        <w:rPr>
          <w:rFonts w:ascii="Times New Roman"/>
          <w:b w:val="false"/>
          <w:i w:val="false"/>
          <w:color w:val="000000"/>
          <w:sz w:val="28"/>
        </w:rPr>
        <w:t>
      для колес с пневматическими шинами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0,15 + 0,0025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при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100 кН;</w:t>
      </w:r>
    </w:p>
    <w:p>
      <w:pPr>
        <w:spacing w:after="0"/>
        <w:ind w:left="0"/>
        <w:jc w:val="both"/>
      </w:pPr>
      <w:r>
        <w:rPr>
          <w:rFonts w:ascii="Times New Roman"/>
          <w:b w:val="false"/>
          <w:i w:val="false"/>
          <w:color w:val="000000"/>
          <w:sz w:val="28"/>
        </w:rPr>
        <w:t>
                                                                      (194)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0,4 + 0,002(</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100) при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&gt; 100 кН.</w:t>
      </w:r>
    </w:p>
    <w:bookmarkStart w:name="z2413" w:id="2406"/>
    <w:p>
      <w:pPr>
        <w:spacing w:after="0"/>
        <w:ind w:left="0"/>
        <w:jc w:val="both"/>
      </w:pPr>
      <w:r>
        <w:rPr>
          <w:rFonts w:ascii="Times New Roman"/>
          <w:b w:val="false"/>
          <w:i w:val="false"/>
          <w:color w:val="000000"/>
          <w:sz w:val="28"/>
        </w:rPr>
        <w:t xml:space="preserve">
      Размер отпечатка колеса, параллельный оси вращения </w:t>
      </w:r>
    </w:p>
    <w:bookmarkEnd w:id="2406"/>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м,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495300" cy="609600"/>
                    </a:xfrm>
                    <a:prstGeom prst="rect">
                      <a:avLst/>
                    </a:prstGeom>
                  </pic:spPr>
                </pic:pic>
              </a:graphicData>
            </a:graphic>
          </wp:inline>
        </w:drawing>
      </w:r>
    </w:p>
    <w:p>
      <w:pPr>
        <w:spacing w:after="0"/>
        <w:ind w:left="0"/>
        <w:jc w:val="left"/>
      </w:pPr>
      <w:r>
        <w:rPr>
          <w:rFonts w:ascii="Times New Roman"/>
          <w:b w:val="false"/>
          <w:i w:val="false"/>
          <w:color w:val="000000"/>
          <w:sz w:val="28"/>
        </w:rPr>
        <w:t>,                         (195)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k</w:t>
      </w:r>
      <w:r>
        <w:rPr>
          <w:rFonts w:ascii="Times New Roman"/>
          <w:b w:val="false"/>
          <w:i w:val="false"/>
          <w:color w:val="000000"/>
          <w:sz w:val="28"/>
        </w:rPr>
        <w:t xml:space="preserve"> — статическое удельное давление, кПа, принимаемое по приложению 90 настоящих Правил.</w:t>
      </w:r>
    </w:p>
    <w:bookmarkStart w:name="z2414" w:id="2407"/>
    <w:p>
      <w:pPr>
        <w:spacing w:after="0"/>
        <w:ind w:left="0"/>
        <w:jc w:val="both"/>
      </w:pPr>
      <w:r>
        <w:rPr>
          <w:rFonts w:ascii="Times New Roman"/>
          <w:b w:val="false"/>
          <w:i w:val="false"/>
          <w:color w:val="000000"/>
          <w:sz w:val="28"/>
        </w:rPr>
        <w:t xml:space="preserve">
      617. Если размеры отпечатков колес принимаются согласно пункту 616 настоящих Правил, расчетная нагрузка </w:t>
      </w:r>
      <w:r>
        <w:rPr>
          <w:rFonts w:ascii="Times New Roman"/>
          <w:b w:val="false"/>
          <w:i/>
          <w:color w:val="000000"/>
          <w:sz w:val="28"/>
        </w:rPr>
        <w:t>Q</w:t>
      </w:r>
      <w:r>
        <w:rPr>
          <w:rFonts w:ascii="Times New Roman"/>
          <w:b w:val="false"/>
          <w:i w:val="false"/>
          <w:color w:val="000000"/>
          <w:sz w:val="28"/>
        </w:rPr>
        <w:t xml:space="preserve"> увеличивается на 15 %.</w:t>
      </w:r>
    </w:p>
    <w:bookmarkEnd w:id="2407"/>
    <w:bookmarkStart w:name="z2415" w:id="2408"/>
    <w:p>
      <w:pPr>
        <w:spacing w:after="0"/>
        <w:ind w:left="0"/>
        <w:jc w:val="both"/>
      </w:pPr>
      <w:r>
        <w:rPr>
          <w:rFonts w:ascii="Times New Roman"/>
          <w:b w:val="false"/>
          <w:i w:val="false"/>
          <w:color w:val="000000"/>
          <w:sz w:val="28"/>
        </w:rPr>
        <w:t xml:space="preserve">
      618. Расчетная нагрузка для железнодорожных рельсов </w:t>
      </w:r>
      <w:r>
        <w:rPr>
          <w:rFonts w:ascii="Times New Roman"/>
          <w:b w:val="false"/>
          <w:i/>
          <w:color w:val="000000"/>
          <w:sz w:val="28"/>
        </w:rPr>
        <w:t>Q</w:t>
      </w:r>
      <w:r>
        <w:rPr>
          <w:rFonts w:ascii="Times New Roman"/>
          <w:b w:val="false"/>
          <w:i w:val="false"/>
          <w:color w:val="000000"/>
          <w:sz w:val="28"/>
        </w:rPr>
        <w:t>, кН, определяется по формуле:</w:t>
      </w:r>
    </w:p>
    <w:bookmarkEnd w:id="2408"/>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0,5</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color w:val="000000"/>
          <w:sz w:val="28"/>
        </w:rPr>
        <w:t>Q</w:t>
      </w:r>
      <w:r>
        <w:rPr>
          <w:rFonts w:ascii="Times New Roman"/>
          <w:b w:val="false"/>
          <w:i w:val="false"/>
          <w:color w:val="000000"/>
          <w:vertAlign w:val="subscript"/>
        </w:rPr>
        <w:t>0</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(196)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1,1—при движении транспортного средства в процессе погрузки и выгрузки;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1 +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 xml:space="preserve"> — при качке судна;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 xml:space="preserve"> — ускорение в рассматриваемом сечении судна согласно пункту 172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число колес транспортного средства, расположенных в пределах расчетного пролета балки, поддерживающей железнодорожные рельсы.</w:t>
      </w:r>
    </w:p>
    <w:bookmarkStart w:name="z2416" w:id="2409"/>
    <w:p>
      <w:pPr>
        <w:spacing w:after="0"/>
        <w:ind w:left="0"/>
        <w:jc w:val="both"/>
      </w:pPr>
      <w:r>
        <w:rPr>
          <w:rFonts w:ascii="Times New Roman"/>
          <w:b w:val="false"/>
          <w:i w:val="false"/>
          <w:color w:val="000000"/>
          <w:sz w:val="28"/>
        </w:rPr>
        <w:t>
      619. Расчетные нагрузки для рамных балок бортов и стационарных палуб соответствуют наиболее неблагоприятному размещению всех видов перевозимого на палубах груза (включая штучный груз, контейнеры, колесные транспортные средства) и учитывают статические и инерционные силы, обусловленные качкой судна. Значения ускорений определяют согласно пункту 172 настоящих Правил.</w:t>
      </w:r>
    </w:p>
    <w:bookmarkEnd w:id="2409"/>
    <w:bookmarkStart w:name="z2417" w:id="2410"/>
    <w:p>
      <w:pPr>
        <w:spacing w:after="0"/>
        <w:ind w:left="0"/>
        <w:jc w:val="both"/>
      </w:pPr>
      <w:r>
        <w:rPr>
          <w:rFonts w:ascii="Times New Roman"/>
          <w:b w:val="false"/>
          <w:i w:val="false"/>
          <w:color w:val="000000"/>
          <w:sz w:val="28"/>
        </w:rPr>
        <w:t xml:space="preserve">
      620. Расчетная нагрузка </w:t>
      </w:r>
      <w:r>
        <w:rPr>
          <w:rFonts w:ascii="Times New Roman"/>
          <w:b w:val="false"/>
          <w:i/>
          <w:color w:val="000000"/>
          <w:sz w:val="28"/>
        </w:rPr>
        <w:t>Q</w:t>
      </w:r>
      <w:r>
        <w:rPr>
          <w:rFonts w:ascii="Times New Roman"/>
          <w:b w:val="false"/>
          <w:i w:val="false"/>
          <w:color w:val="000000"/>
          <w:sz w:val="28"/>
        </w:rPr>
        <w:t>, кН, для рамных балок съемных палуб определяется по формуле:</w:t>
      </w:r>
    </w:p>
    <w:bookmarkEnd w:id="2410"/>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(p</w:t>
      </w:r>
      <w:r>
        <w:rPr>
          <w:rFonts w:ascii="Times New Roman"/>
          <w:b w:val="false"/>
          <w:i w:val="false"/>
          <w:color w:val="000000"/>
          <w:vertAlign w:val="subscript"/>
        </w:rPr>
        <w:t>c</w:t>
      </w:r>
      <w:r>
        <w:rPr>
          <w:rFonts w:ascii="Times New Roman"/>
          <w:b w:val="false"/>
          <w:i w:val="false"/>
          <w:color w:val="000000"/>
          <w:sz w:val="28"/>
        </w:rPr>
        <w:t xml:space="preserve"> + p</w:t>
      </w:r>
      <w:r>
        <w:rPr>
          <w:rFonts w:ascii="Times New Roman"/>
          <w:b w:val="false"/>
          <w:i w:val="false"/>
          <w:color w:val="000000"/>
          <w:vertAlign w:val="subscript"/>
        </w:rPr>
        <w:t>d</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color w:val="000000"/>
          <w:sz w:val="28"/>
        </w:rPr>
        <w:t>l</w:t>
      </w:r>
      <w:r>
        <w:rPr>
          <w:rFonts w:ascii="Times New Roman"/>
          <w:b w:val="false"/>
          <w:i w:val="false"/>
          <w:color w:val="000000"/>
          <w:sz w:val="28"/>
        </w:rPr>
        <w:t>,                (197)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согласно пункту 615 настоящих Правил;</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статическая нагрузка на палубу от перевозимого груза, кПа;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d</w:t>
      </w:r>
      <w:r>
        <w:rPr>
          <w:rFonts w:ascii="Times New Roman"/>
          <w:b w:val="false"/>
          <w:i w:val="false"/>
          <w:color w:val="000000"/>
          <w:sz w:val="28"/>
        </w:rPr>
        <w:t xml:space="preserve"> — статическая нагрузка от собственной массы палубы,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среднее расстояние между рамными балками, м.</w:t>
      </w:r>
    </w:p>
    <w:bookmarkStart w:name="z2418" w:id="2411"/>
    <w:p>
      <w:pPr>
        <w:spacing w:after="0"/>
        <w:ind w:left="0"/>
        <w:jc w:val="both"/>
      </w:pPr>
      <w:r>
        <w:rPr>
          <w:rFonts w:ascii="Times New Roman"/>
          <w:b w:val="false"/>
          <w:i w:val="false"/>
          <w:color w:val="000000"/>
          <w:sz w:val="28"/>
        </w:rPr>
        <w:t>
      Величина (p</w:t>
      </w:r>
      <w:r>
        <w:rPr>
          <w:rFonts w:ascii="Times New Roman"/>
          <w:b w:val="false"/>
          <w:i w:val="false"/>
          <w:color w:val="000000"/>
          <w:vertAlign w:val="subscript"/>
        </w:rPr>
        <w:t>c</w:t>
      </w:r>
      <w:r>
        <w:rPr>
          <w:rFonts w:ascii="Times New Roman"/>
          <w:b w:val="false"/>
          <w:i w:val="false"/>
          <w:color w:val="000000"/>
          <w:sz w:val="28"/>
        </w:rPr>
        <w:t xml:space="preserve"> + р</w:t>
      </w:r>
      <w:r>
        <w:rPr>
          <w:rFonts w:ascii="Times New Roman"/>
          <w:b w:val="false"/>
          <w:i w:val="false"/>
          <w:color w:val="000000"/>
          <w:vertAlign w:val="subscript"/>
        </w:rPr>
        <w:t>d</w:t>
      </w:r>
      <w:r>
        <w:rPr>
          <w:rFonts w:ascii="Times New Roman"/>
          <w:b w:val="false"/>
          <w:i w:val="false"/>
          <w:color w:val="000000"/>
          <w:sz w:val="28"/>
        </w:rPr>
        <w:t>) не принимается менее 2,5 кПа.</w:t>
      </w:r>
    </w:p>
    <w:bookmarkEnd w:id="2411"/>
    <w:bookmarkStart w:name="z2419" w:id="2412"/>
    <w:p>
      <w:pPr>
        <w:spacing w:after="0"/>
        <w:ind w:left="0"/>
        <w:jc w:val="left"/>
      </w:pPr>
      <w:r>
        <w:rPr>
          <w:rFonts w:ascii="Times New Roman"/>
          <w:b/>
          <w:i w:val="false"/>
          <w:color w:val="000000"/>
        </w:rPr>
        <w:t xml:space="preserve"> Параграф 3. Размеры связей палуб и бортов</w:t>
      </w:r>
    </w:p>
    <w:bookmarkEnd w:id="2412"/>
    <w:bookmarkStart w:name="z2420" w:id="2413"/>
    <w:p>
      <w:pPr>
        <w:spacing w:after="0"/>
        <w:ind w:left="0"/>
        <w:jc w:val="both"/>
      </w:pPr>
      <w:r>
        <w:rPr>
          <w:rFonts w:ascii="Times New Roman"/>
          <w:b w:val="false"/>
          <w:i w:val="false"/>
          <w:color w:val="000000"/>
          <w:sz w:val="28"/>
        </w:rPr>
        <w:t xml:space="preserve">
      621. Толщина настила </w:t>
      </w:r>
      <w:r>
        <w:rPr>
          <w:rFonts w:ascii="Times New Roman"/>
          <w:b w:val="false"/>
          <w:i/>
          <w:color w:val="000000"/>
          <w:sz w:val="28"/>
        </w:rPr>
        <w:t>s</w:t>
      </w:r>
      <w:r>
        <w:rPr>
          <w:rFonts w:ascii="Times New Roman"/>
          <w:b w:val="false"/>
          <w:i w:val="false"/>
          <w:color w:val="000000"/>
          <w:sz w:val="28"/>
        </w:rPr>
        <w:t>, мм, равна не менее:</w:t>
      </w:r>
    </w:p>
    <w:bookmarkEnd w:id="241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498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1498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sz w:val="28"/>
        </w:rPr>
        <w:t xml:space="preserve"> — согласно параграфу 2 главы 29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коэффициент, учитывающий влияние общего изгиба корпуса судна: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27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1270000" cy="609600"/>
                    </a:xfrm>
                    <a:prstGeom prst="rect">
                      <a:avLst/>
                    </a:prstGeom>
                  </pic:spPr>
                </pic:pic>
              </a:graphicData>
            </a:graphic>
          </wp:inline>
        </w:drawing>
      </w:r>
    </w:p>
    <w:p>
      <w:pPr>
        <w:spacing w:after="0"/>
        <w:ind w:left="0"/>
        <w:jc w:val="left"/>
      </w:pPr>
      <w:r>
        <w:rPr>
          <w:rFonts w:ascii="Times New Roman"/>
          <w:b w:val="false"/>
          <w:i w:val="false"/>
          <w:color w:val="000000"/>
          <w:sz w:val="28"/>
        </w:rPr>
        <w:t>— для средней части верхней (расчетной) палубы при действии нагрузок в море;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1 — в остальных случаях;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0,83/</w:t>
      </w:r>
    </w:p>
    <w:p>
      <w:pPr>
        <w:spacing w:after="0"/>
        <w:ind w:left="0"/>
        <w:jc w:val="both"/>
      </w:pPr>
      <w:r>
        <w:drawing>
          <wp:inline distT="0" distB="0" distL="0" distR="0">
            <wp:extent cx="30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304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0,84/</w:t>
      </w:r>
    </w:p>
    <w:p>
      <w:pPr>
        <w:spacing w:after="0"/>
        <w:ind w:left="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79400" cy="381000"/>
                    </a:xfrm>
                    <a:prstGeom prst="rect">
                      <a:avLst/>
                    </a:prstGeom>
                  </pic:spPr>
                </pic:pic>
              </a:graphicData>
            </a:graphic>
          </wp:inline>
        </w:drawing>
      </w:r>
    </w:p>
    <w:p>
      <w:pPr>
        <w:spacing w:after="0"/>
        <w:ind w:left="0"/>
        <w:jc w:val="left"/>
      </w:pPr>
      <w:r>
        <w:rPr>
          <w:rFonts w:ascii="Times New Roman"/>
          <w:b w:val="false"/>
          <w:i w:val="false"/>
          <w:color w:val="000000"/>
          <w:sz w:val="28"/>
        </w:rPr>
        <w:t>– 0,185;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0,18/</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+ 0,38;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794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момент сопротивления корпуса для палубы согласно параграфу 7 главы 11 настоящих Правил.</w:t>
      </w:r>
      <w:r>
        <w:br/>
      </w:r>
      <w:r>
        <w:rPr>
          <w:rFonts w:ascii="Times New Roman"/>
          <w:b w:val="false"/>
          <w:i w:val="false"/>
          <w:color w:val="000000"/>
          <w:sz w:val="28"/>
        </w:rPr>
        <w:t>
</w:t>
      </w:r>
    </w:p>
    <w:bookmarkStart w:name="z2421" w:id="2414"/>
    <w:p>
      <w:pPr>
        <w:spacing w:after="0"/>
        <w:ind w:left="0"/>
        <w:jc w:val="both"/>
      </w:pPr>
      <w:r>
        <w:rPr>
          <w:rFonts w:ascii="Times New Roman"/>
          <w:b w:val="false"/>
          <w:i w:val="false"/>
          <w:color w:val="000000"/>
          <w:sz w:val="28"/>
        </w:rPr>
        <w:t>
      622. Момент сопротивления балок основного набора W, см</w:t>
      </w:r>
      <w:r>
        <w:rPr>
          <w:rFonts w:ascii="Times New Roman"/>
          <w:b w:val="false"/>
          <w:i w:val="false"/>
          <w:color w:val="000000"/>
          <w:vertAlign w:val="superscript"/>
        </w:rPr>
        <w:t>3</w:t>
      </w:r>
      <w:r>
        <w:rPr>
          <w:rFonts w:ascii="Times New Roman"/>
          <w:b w:val="false"/>
          <w:i w:val="false"/>
          <w:color w:val="000000"/>
          <w:sz w:val="28"/>
        </w:rPr>
        <w:t>, равен не менее определенного согласно пункту 246 настоящих Правил. При этом:</w:t>
      </w:r>
    </w:p>
    <w:bookmarkEnd w:id="2414"/>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согласно параграфу 2 главы 29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w:t>
      </w:r>
    </w:p>
    <w:p>
      <w:pPr>
        <w:spacing w:after="0"/>
        <w:ind w:left="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10668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 1 – 0,204(</w:t>
      </w:r>
      <w:r>
        <w:rPr>
          <w:rFonts w:ascii="Times New Roman"/>
          <w:b w:val="false"/>
          <w:i/>
          <w:color w:val="000000"/>
          <w:sz w:val="28"/>
        </w:rPr>
        <w:t>l</w:t>
      </w:r>
      <w:r>
        <w:rPr>
          <w:rFonts w:ascii="Times New Roman"/>
          <w:b w:val="false"/>
          <w:i w:val="false"/>
          <w:color w:val="000000"/>
          <w:vertAlign w:val="subscript"/>
        </w:rPr>
        <w:t>а</w:t>
      </w:r>
      <w:r>
        <w:rPr>
          <w:rFonts w:ascii="Times New Roman"/>
          <w:b w:val="false"/>
          <w:i w:val="false"/>
          <w:color w:val="000000"/>
          <w:sz w:val="28"/>
        </w:rPr>
        <w:t>/а)</w:t>
      </w:r>
      <w:r>
        <w:rPr>
          <w:rFonts w:ascii="Times New Roman"/>
          <w:b w:val="false"/>
          <w:i w:val="false"/>
          <w:color w:val="000000"/>
          <w:vertAlign w:val="superscript"/>
        </w:rPr>
        <w:t>2</w:t>
      </w:r>
      <w:r>
        <w:rPr>
          <w:rFonts w:ascii="Times New Roman"/>
          <w:b w:val="false"/>
          <w:i w:val="false"/>
          <w:color w:val="000000"/>
          <w:sz w:val="28"/>
        </w:rPr>
        <w:t xml:space="preserve"> + 0,045(</w:t>
      </w:r>
      <w:r>
        <w:rPr>
          <w:rFonts w:ascii="Times New Roman"/>
          <w:b w:val="false"/>
          <w:i/>
          <w:color w:val="000000"/>
          <w:sz w:val="28"/>
        </w:rPr>
        <w:t>l</w:t>
      </w:r>
      <w:r>
        <w:rPr>
          <w:rFonts w:ascii="Times New Roman"/>
          <w:b w:val="false"/>
          <w:i w:val="false"/>
          <w:color w:val="000000"/>
          <w:vertAlign w:val="superscript"/>
        </w:rPr>
        <w:t>а</w:t>
      </w:r>
      <w:r>
        <w:rPr>
          <w:rFonts w:ascii="Times New Roman"/>
          <w:b w:val="false"/>
          <w:i w:val="false"/>
          <w:color w:val="000000"/>
          <w:sz w:val="28"/>
        </w:rPr>
        <w:t>/а)</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при погрузке/выгрузке в порту;</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при действии нагрузок в море;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коэффициент, определенный в пункте 621 настоящих Правил.</w:t>
      </w:r>
    </w:p>
    <w:bookmarkStart w:name="z2422" w:id="2415"/>
    <w:p>
      <w:pPr>
        <w:spacing w:after="0"/>
        <w:ind w:left="0"/>
        <w:jc w:val="both"/>
      </w:pPr>
      <w:r>
        <w:rPr>
          <w:rFonts w:ascii="Times New Roman"/>
          <w:b w:val="false"/>
          <w:i w:val="false"/>
          <w:color w:val="000000"/>
          <w:sz w:val="28"/>
        </w:rPr>
        <w:t xml:space="preserve">
      623. Площадь поперечного сечения стенки балок основного набора </w:t>
      </w:r>
    </w:p>
    <w:bookmarkEnd w:id="2415"/>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равна не менее определенной согласно пункту 248 настоящих Правил. При этом: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Qk</w:t>
      </w:r>
      <w:r>
        <w:rPr>
          <w:rFonts w:ascii="Times New Roman"/>
          <w:b w:val="false"/>
          <w:i w:val="false"/>
          <w:color w:val="000000"/>
          <w:vertAlign w:val="subscript"/>
        </w:rPr>
        <w:t>a</w:t>
      </w:r>
      <w:r>
        <w:rPr>
          <w:rFonts w:ascii="Times New Roman"/>
          <w:b w:val="false"/>
          <w:i w:val="false"/>
          <w:color w:val="000000"/>
          <w:sz w:val="28"/>
        </w:rPr>
        <w:t>(1 – 0,47</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и        (199)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sz w:val="28"/>
        </w:rPr>
        <w:t xml:space="preserve"> — согласно параграфу 2 главы 30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коэффициенты, определенные в пункте 622 настоящих Правил.</w:t>
      </w:r>
      <w:r>
        <w:br/>
      </w:r>
      <w:r>
        <w:rPr>
          <w:rFonts w:ascii="Times New Roman"/>
          <w:b w:val="false"/>
          <w:i w:val="false"/>
          <w:color w:val="000000"/>
          <w:sz w:val="28"/>
        </w:rPr>
        <w:t>
</w:t>
      </w:r>
    </w:p>
    <w:bookmarkStart w:name="z2423" w:id="2416"/>
    <w:p>
      <w:pPr>
        <w:spacing w:after="0"/>
        <w:ind w:left="0"/>
        <w:jc w:val="both"/>
      </w:pPr>
      <w:r>
        <w:rPr>
          <w:rFonts w:ascii="Times New Roman"/>
          <w:b w:val="false"/>
          <w:i w:val="false"/>
          <w:color w:val="000000"/>
          <w:sz w:val="28"/>
        </w:rPr>
        <w:t>
      624. Толщина настила, момент сопротивления и площадь поперечного сечения стенки балок основного набора съемных палуб определяется согласно пунктам 621, 622 и 623 настоящих Правил, при этом, если балки основного набора являются свободно опертыми на рамные балки, коэффициент т определяется по формуле:</w:t>
      </w:r>
    </w:p>
    <w:bookmarkEnd w:id="241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w:t>
      </w:r>
    </w:p>
    <w:p>
      <w:pPr>
        <w:spacing w:after="0"/>
        <w:ind w:left="0"/>
        <w:jc w:val="both"/>
      </w:pPr>
      <w:r>
        <w:drawing>
          <wp:inline distT="0" distB="0" distL="0" distR="0">
            <wp:extent cx="92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927100" cy="546100"/>
                    </a:xfrm>
                    <a:prstGeom prst="rect">
                      <a:avLst/>
                    </a:prstGeom>
                  </pic:spPr>
                </pic:pic>
              </a:graphicData>
            </a:graphic>
          </wp:inline>
        </w:drawing>
      </w:r>
    </w:p>
    <w:p>
      <w:pPr>
        <w:spacing w:after="0"/>
        <w:ind w:left="0"/>
        <w:jc w:val="left"/>
      </w:pPr>
      <w:r>
        <w:rPr>
          <w:rFonts w:ascii="Times New Roman"/>
          <w:b w:val="false"/>
          <w:i w:val="false"/>
          <w:color w:val="000000"/>
          <w:sz w:val="28"/>
        </w:rPr>
        <w:t>,                      (200)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 коэффициент, определенный в пункте 622 настоящих Правил,</w:t>
      </w:r>
    </w:p>
    <w:bookmarkStart w:name="z2424" w:id="2417"/>
    <w:p>
      <w:pPr>
        <w:spacing w:after="0"/>
        <w:ind w:left="0"/>
        <w:jc w:val="both"/>
      </w:pPr>
      <w:r>
        <w:rPr>
          <w:rFonts w:ascii="Times New Roman"/>
          <w:b w:val="false"/>
          <w:i w:val="false"/>
          <w:color w:val="000000"/>
          <w:sz w:val="28"/>
        </w:rPr>
        <w:t xml:space="preserve">
      В противном случае коэффициент </w:t>
      </w:r>
      <w:r>
        <w:rPr>
          <w:rFonts w:ascii="Times New Roman"/>
          <w:b w:val="false"/>
          <w:i/>
          <w:color w:val="000000"/>
          <w:sz w:val="28"/>
        </w:rPr>
        <w:t>m</w:t>
      </w:r>
      <w:r>
        <w:rPr>
          <w:rFonts w:ascii="Times New Roman"/>
          <w:b w:val="false"/>
          <w:i w:val="false"/>
          <w:color w:val="000000"/>
          <w:sz w:val="28"/>
        </w:rPr>
        <w:t xml:space="preserve"> определяется так же, как для балок набора стационарных грузовых палуб согласно пункту 622 настоящих Правил.</w:t>
      </w:r>
    </w:p>
    <w:bookmarkEnd w:id="2417"/>
    <w:bookmarkStart w:name="z2425" w:id="2418"/>
    <w:p>
      <w:pPr>
        <w:spacing w:after="0"/>
        <w:ind w:left="0"/>
        <w:jc w:val="both"/>
      </w:pPr>
      <w:r>
        <w:rPr>
          <w:rFonts w:ascii="Times New Roman"/>
          <w:b w:val="false"/>
          <w:i w:val="false"/>
          <w:color w:val="000000"/>
          <w:sz w:val="28"/>
        </w:rPr>
        <w:t>
      625. Момент сопротивления продольных балок W, см</w:t>
      </w:r>
      <w:r>
        <w:rPr>
          <w:rFonts w:ascii="Times New Roman"/>
          <w:b w:val="false"/>
          <w:i w:val="false"/>
          <w:color w:val="000000"/>
          <w:vertAlign w:val="superscript"/>
        </w:rPr>
        <w:t>3</w:t>
      </w:r>
      <w:r>
        <w:rPr>
          <w:rFonts w:ascii="Times New Roman"/>
          <w:b w:val="false"/>
          <w:i w:val="false"/>
          <w:color w:val="000000"/>
          <w:sz w:val="28"/>
        </w:rPr>
        <w:t>, поддерживающих железнодорожные рельсы, равен не менее определенного согласно пункту 246 настоящих Правил. При этом:</w:t>
      </w:r>
    </w:p>
    <w:bookmarkEnd w:id="2418"/>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согласно 618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определяемом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w:t>
      </w:r>
    </w:p>
    <w:p>
      <w:pPr>
        <w:spacing w:after="0"/>
        <w:ind w:left="0"/>
        <w:jc w:val="both"/>
      </w:pPr>
      <w:r>
        <w:drawing>
          <wp:inline distT="0" distB="0" distL="0" distR="0">
            <wp:extent cx="863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863600" cy="584200"/>
                    </a:xfrm>
                    <a:prstGeom prst="rect">
                      <a:avLst/>
                    </a:prstGeom>
                  </pic:spPr>
                </pic:pic>
              </a:graphicData>
            </a:graphic>
          </wp:inline>
        </w:drawing>
      </w:r>
    </w:p>
    <w:p>
      <w:pPr>
        <w:spacing w:after="0"/>
        <w:ind w:left="0"/>
        <w:jc w:val="left"/>
      </w:pPr>
      <w:r>
        <w:rPr>
          <w:rFonts w:ascii="Times New Roman"/>
          <w:b w:val="false"/>
          <w:i w:val="false"/>
          <w:color w:val="000000"/>
          <w:sz w:val="28"/>
        </w:rPr>
        <w:t>,                      (201)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 0 — при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 0,5</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—при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—пункт 618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2</w:t>
      </w:r>
      <w:r>
        <w:rPr>
          <w:rFonts w:ascii="Times New Roman"/>
          <w:b w:val="false"/>
          <w:i w:val="false"/>
          <w:color w:val="000000"/>
          <w:sz w:val="28"/>
        </w:rPr>
        <w:t xml:space="preserve"> — среднее расстояние между центрами колес, расположенных в пределах расчетного пролета балки,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коэффициент, определенный в пункте 621 настоящих Правил.</w:t>
      </w:r>
    </w:p>
    <w:bookmarkStart w:name="z2426" w:id="2419"/>
    <w:p>
      <w:pPr>
        <w:spacing w:after="0"/>
        <w:ind w:left="0"/>
        <w:jc w:val="both"/>
      </w:pPr>
      <w:r>
        <w:rPr>
          <w:rFonts w:ascii="Times New Roman"/>
          <w:b w:val="false"/>
          <w:i w:val="false"/>
          <w:color w:val="000000"/>
          <w:sz w:val="28"/>
        </w:rPr>
        <w:t>
      626. Размеры рамных балок бортов и стационарных грузовых палуб, а также пиллерсов определяются прямым расчетом по методикам, одобренным Регистром судоходства.</w:t>
      </w:r>
    </w:p>
    <w:bookmarkEnd w:id="2419"/>
    <w:bookmarkStart w:name="z2427" w:id="2420"/>
    <w:p>
      <w:pPr>
        <w:spacing w:after="0"/>
        <w:ind w:left="0"/>
        <w:jc w:val="both"/>
      </w:pPr>
      <w:r>
        <w:rPr>
          <w:rFonts w:ascii="Times New Roman"/>
          <w:b w:val="false"/>
          <w:i w:val="false"/>
          <w:color w:val="000000"/>
          <w:sz w:val="28"/>
        </w:rPr>
        <w:t xml:space="preserve">
      627. Момент сопротивления рамных балок съемных палуб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равен не менее определенного согласно пункту 246 настоящих Правил. При этом:</w:t>
      </w:r>
    </w:p>
    <w:bookmarkEnd w:id="2420"/>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согласно пункту 630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 — для жестко заделанных рамных балок;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8 — для свободно опертых рамных балок;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2428" w:id="2421"/>
    <w:p>
      <w:pPr>
        <w:spacing w:after="0"/>
        <w:ind w:left="0"/>
        <w:jc w:val="left"/>
      </w:pPr>
      <w:r>
        <w:rPr>
          <w:rFonts w:ascii="Times New Roman"/>
          <w:b/>
          <w:i w:val="false"/>
          <w:color w:val="000000"/>
        </w:rPr>
        <w:t xml:space="preserve"> Параграф 4. Специальные требования</w:t>
      </w:r>
    </w:p>
    <w:bookmarkEnd w:id="2421"/>
    <w:bookmarkStart w:name="z2429" w:id="2422"/>
    <w:p>
      <w:pPr>
        <w:spacing w:after="0"/>
        <w:ind w:left="0"/>
        <w:jc w:val="both"/>
      </w:pPr>
      <w:r>
        <w:rPr>
          <w:rFonts w:ascii="Times New Roman"/>
          <w:b w:val="false"/>
          <w:i w:val="false"/>
          <w:color w:val="000000"/>
          <w:sz w:val="28"/>
        </w:rPr>
        <w:t>
      628. На уровне нижней грузовой палубы накатных судов, осуществляющих паромные переправы, устанавливается привальный брус, защищающий борт и оконечности судна отповреждений при швартовке.</w:t>
      </w:r>
    </w:p>
    <w:bookmarkEnd w:id="2422"/>
    <w:bookmarkStart w:name="z2430" w:id="2423"/>
    <w:p>
      <w:pPr>
        <w:spacing w:after="0"/>
        <w:ind w:left="0"/>
        <w:jc w:val="both"/>
      </w:pPr>
      <w:r>
        <w:rPr>
          <w:rFonts w:ascii="Times New Roman"/>
          <w:b w:val="false"/>
          <w:i w:val="false"/>
          <w:color w:val="000000"/>
          <w:sz w:val="28"/>
        </w:rPr>
        <w:t>
      629. На грузовых палубах железнодорожных паромов под каждым рельсом устанавливается продольная балка.</w:t>
      </w:r>
    </w:p>
    <w:bookmarkEnd w:id="2423"/>
    <w:bookmarkStart w:name="z2431" w:id="2424"/>
    <w:p>
      <w:pPr>
        <w:spacing w:after="0"/>
        <w:ind w:left="0"/>
        <w:jc w:val="both"/>
      </w:pPr>
      <w:r>
        <w:rPr>
          <w:rFonts w:ascii="Times New Roman"/>
          <w:b w:val="false"/>
          <w:i w:val="false"/>
          <w:color w:val="000000"/>
          <w:sz w:val="28"/>
        </w:rPr>
        <w:t>
      630. Если на судах, перевозящих железнодорожные вагоны, предусматривается конструкция грузовых палуб с утопленными в настил рельсами, фактический момент сопротивления и площадь стенки рамного бимса определяется для сечения, расположенного в углублении для рельса. При этом обеспечивается конструктивная непрерывность присоединенного пояска рамного бимса в месте его пересечения с рельсом. В любом случае конструкция узла пересечения утопленных в настил рельсов с рамными бимсами специально согласовывается с Регистром судоходства.</w:t>
      </w:r>
    </w:p>
    <w:bookmarkEnd w:id="2424"/>
    <w:bookmarkStart w:name="z2432" w:id="2425"/>
    <w:p>
      <w:pPr>
        <w:spacing w:after="0"/>
        <w:ind w:left="0"/>
        <w:jc w:val="both"/>
      </w:pPr>
      <w:r>
        <w:rPr>
          <w:rFonts w:ascii="Times New Roman"/>
          <w:b w:val="false"/>
          <w:i w:val="false"/>
          <w:color w:val="000000"/>
          <w:sz w:val="28"/>
        </w:rPr>
        <w:t>
      631. Если рельсы палуб для перевозки железнодорожных вагонов соединены с настилом палубы сваркой по всей длине, торцы рельсов свариваются с полным проваром.</w:t>
      </w:r>
    </w:p>
    <w:bookmarkEnd w:id="2425"/>
    <w:bookmarkStart w:name="z2433" w:id="2426"/>
    <w:p>
      <w:pPr>
        <w:spacing w:after="0"/>
        <w:ind w:left="0"/>
        <w:jc w:val="left"/>
      </w:pPr>
      <w:r>
        <w:rPr>
          <w:rFonts w:ascii="Times New Roman"/>
          <w:b/>
          <w:i w:val="false"/>
          <w:color w:val="000000"/>
        </w:rPr>
        <w:t xml:space="preserve"> Глава 31. Суда для навалочных грузов и нефтенавалочные суда</w:t>
      </w:r>
    </w:p>
    <w:bookmarkEnd w:id="2426"/>
    <w:p>
      <w:pPr>
        <w:spacing w:after="0"/>
        <w:ind w:left="0"/>
        <w:jc w:val="both"/>
      </w:pPr>
      <w:r>
        <w:rPr>
          <w:rFonts w:ascii="Times New Roman"/>
          <w:b w:val="false"/>
          <w:i w:val="false"/>
          <w:color w:val="ff0000"/>
          <w:sz w:val="28"/>
        </w:rPr>
        <w:t xml:space="preserve">
      Сноска. Заголовок главы 31 -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34" w:id="2427"/>
    <w:p>
      <w:pPr>
        <w:spacing w:after="0"/>
        <w:ind w:left="0"/>
        <w:jc w:val="left"/>
      </w:pPr>
      <w:r>
        <w:rPr>
          <w:rFonts w:ascii="Times New Roman"/>
          <w:b/>
          <w:i w:val="false"/>
          <w:color w:val="000000"/>
        </w:rPr>
        <w:t xml:space="preserve"> Параграф 1. Общие положения</w:t>
      </w:r>
    </w:p>
    <w:bookmarkEnd w:id="2427"/>
    <w:bookmarkStart w:name="z2435" w:id="2428"/>
    <w:p>
      <w:pPr>
        <w:spacing w:after="0"/>
        <w:ind w:left="0"/>
        <w:jc w:val="both"/>
      </w:pPr>
      <w:r>
        <w:rPr>
          <w:rFonts w:ascii="Times New Roman"/>
          <w:b w:val="false"/>
          <w:i w:val="false"/>
          <w:color w:val="000000"/>
          <w:sz w:val="28"/>
        </w:rPr>
        <w:t>
      632. Требования настоящей главы распространяются на навалочные суда и комбинированные суда для перевозки навалочных грузов и сырой нефти (нефтепродуктов) наливом длиной менее 90 м.</w:t>
      </w:r>
    </w:p>
    <w:bookmarkEnd w:id="2428"/>
    <w:bookmarkStart w:name="z2436" w:id="2429"/>
    <w:p>
      <w:pPr>
        <w:spacing w:after="0"/>
        <w:ind w:left="0"/>
        <w:jc w:val="both"/>
      </w:pPr>
      <w:r>
        <w:rPr>
          <w:rFonts w:ascii="Times New Roman"/>
          <w:b w:val="false"/>
          <w:i w:val="false"/>
          <w:color w:val="000000"/>
          <w:sz w:val="28"/>
        </w:rPr>
        <w:t>
      633. Определение размеров связей конструкций, ограничивающих грузовые трюмы, производится на основе соответствующих требований подразделов 1 и 2 раздела 4 настоящих Правил в предположении заполнения трюма навалочным или жидким грузом (балластом) с учетом назначения рассматриваемого трюма. За окончательное принимается наибольшее значение соответствующей характеристики прочности связи.</w:t>
      </w:r>
    </w:p>
    <w:bookmarkEnd w:id="2429"/>
    <w:bookmarkStart w:name="z2437" w:id="2430"/>
    <w:p>
      <w:pPr>
        <w:spacing w:after="0"/>
        <w:ind w:left="0"/>
        <w:jc w:val="both"/>
      </w:pPr>
      <w:r>
        <w:rPr>
          <w:rFonts w:ascii="Times New Roman"/>
          <w:b w:val="false"/>
          <w:i w:val="false"/>
          <w:color w:val="000000"/>
          <w:sz w:val="28"/>
        </w:rPr>
        <w:t>
      634. Требования к конструкциям, не упомянутым в настоящей главе, приведены в подразделах 1 и 2 раздела 4 настоящих Правил.</w:t>
      </w:r>
    </w:p>
    <w:bookmarkEnd w:id="2430"/>
    <w:bookmarkStart w:name="z2438" w:id="2431"/>
    <w:p>
      <w:pPr>
        <w:spacing w:after="0"/>
        <w:ind w:left="0"/>
        <w:jc w:val="both"/>
      </w:pPr>
      <w:r>
        <w:rPr>
          <w:rFonts w:ascii="Times New Roman"/>
          <w:b w:val="false"/>
          <w:i w:val="false"/>
          <w:color w:val="000000"/>
          <w:sz w:val="28"/>
        </w:rPr>
        <w:t>
      Во всех случаях требования к корпусу и его конструкциям не ниже предъявляемых подразделами 1 и 2 раздела 4 настоящих Правил.</w:t>
      </w:r>
    </w:p>
    <w:bookmarkEnd w:id="2431"/>
    <w:bookmarkStart w:name="z2439" w:id="2432"/>
    <w:p>
      <w:pPr>
        <w:spacing w:after="0"/>
        <w:ind w:left="0"/>
        <w:jc w:val="both"/>
      </w:pPr>
      <w:r>
        <w:rPr>
          <w:rFonts w:ascii="Times New Roman"/>
          <w:b w:val="false"/>
          <w:i w:val="false"/>
          <w:color w:val="000000"/>
          <w:sz w:val="28"/>
        </w:rPr>
        <w:t>
      635. В качестве основного конструктивного типа принимается однопалубное судно с кормовым расположением машинного отделения, с горизонтальным или близким к горизонтальному двойным дном в трюмах (уклон настила второго дна к диаметральной плоскости не более 3</w:t>
      </w:r>
      <w:r>
        <w:rPr>
          <w:rFonts w:ascii="Times New Roman"/>
          <w:b w:val="false"/>
          <w:i w:val="false"/>
          <w:color w:val="000000"/>
          <w:vertAlign w:val="superscript"/>
        </w:rPr>
        <w:t>о</w:t>
      </w:r>
      <w:r>
        <w:rPr>
          <w:rFonts w:ascii="Times New Roman"/>
          <w:b w:val="false"/>
          <w:i w:val="false"/>
          <w:color w:val="000000"/>
          <w:sz w:val="28"/>
        </w:rPr>
        <w:t>), с бортовыми подпалубными и скуловыми цистернами, с одинарными или двойными бортами, с междутрюмными переборками плоскими, гофрированными или коффердамного типа, предназначенное в основном для перевозки навалочных грузов.</w:t>
      </w:r>
    </w:p>
    <w:bookmarkEnd w:id="2432"/>
    <w:bookmarkStart w:name="z2440" w:id="2433"/>
    <w:p>
      <w:pPr>
        <w:spacing w:after="0"/>
        <w:ind w:left="0"/>
        <w:jc w:val="both"/>
      </w:pPr>
      <w:r>
        <w:rPr>
          <w:rFonts w:ascii="Times New Roman"/>
          <w:b w:val="false"/>
          <w:i w:val="false"/>
          <w:color w:val="000000"/>
          <w:sz w:val="28"/>
        </w:rPr>
        <w:t>
      636. На комбинированных судах длина трюмов не превышает 0,1</w:t>
      </w:r>
      <w:r>
        <w:rPr>
          <w:rFonts w:ascii="Times New Roman"/>
          <w:b w:val="false"/>
          <w:i/>
          <w:color w:val="000000"/>
          <w:sz w:val="28"/>
        </w:rPr>
        <w:t>L</w:t>
      </w:r>
      <w:r>
        <w:rPr>
          <w:rFonts w:ascii="Times New Roman"/>
          <w:b w:val="false"/>
          <w:i w:val="false"/>
          <w:color w:val="000000"/>
          <w:sz w:val="28"/>
        </w:rPr>
        <w:t>. Допустимость трюмов большей длины на этих судах является в каждом случае предметом специального рассмотрения Регистром судоходства.</w:t>
      </w:r>
    </w:p>
    <w:bookmarkEnd w:id="2433"/>
    <w:bookmarkStart w:name="z2441" w:id="2434"/>
    <w:p>
      <w:pPr>
        <w:spacing w:after="0"/>
        <w:ind w:left="0"/>
        <w:jc w:val="both"/>
      </w:pPr>
      <w:r>
        <w:rPr>
          <w:rFonts w:ascii="Times New Roman"/>
          <w:b w:val="false"/>
          <w:i w:val="false"/>
          <w:color w:val="000000"/>
          <w:sz w:val="28"/>
        </w:rPr>
        <w:t>
      637. Словесная характеристика и знак "(ESP)" присваиваются судам в следующих случаях:</w:t>
      </w:r>
    </w:p>
    <w:bookmarkEnd w:id="2434"/>
    <w:bookmarkStart w:name="z2442" w:id="2435"/>
    <w:p>
      <w:pPr>
        <w:spacing w:after="0"/>
        <w:ind w:left="0"/>
        <w:jc w:val="both"/>
      </w:pPr>
      <w:r>
        <w:rPr>
          <w:rFonts w:ascii="Times New Roman"/>
          <w:b w:val="false"/>
          <w:i w:val="false"/>
          <w:color w:val="000000"/>
          <w:sz w:val="28"/>
        </w:rPr>
        <w:t>
      1) словесная характеристика "Bulk carrier" и знак "(ESP)" присваивают морским самоходным однопалубным судам, предназначенным для перевозки сухих грузов навалом, с двойным дном, со скуловыми и подпалубными цистернами, с одинарными или двойными бортами. Типовые миделевые сечения приведены в приложении 91 настоящих Правил.</w:t>
      </w:r>
    </w:p>
    <w:bookmarkEnd w:id="2435"/>
    <w:bookmarkStart w:name="z2443" w:id="2436"/>
    <w:p>
      <w:pPr>
        <w:spacing w:after="0"/>
        <w:ind w:left="0"/>
        <w:jc w:val="both"/>
      </w:pPr>
      <w:r>
        <w:rPr>
          <w:rFonts w:ascii="Times New Roman"/>
          <w:b w:val="false"/>
          <w:i w:val="false"/>
          <w:color w:val="000000"/>
          <w:sz w:val="28"/>
        </w:rPr>
        <w:t>
      Навалочные суда с одинарными бортами — такие навалочные суда, у которых один или несколько грузовых трюмов ограничены по бортам только наружной обшивкой или двумя водонепроницаемыми обшивками, одна из которых является наружной, и расстояние между которыми:</w:t>
      </w:r>
    </w:p>
    <w:bookmarkEnd w:id="2436"/>
    <w:bookmarkStart w:name="z2444" w:id="2437"/>
    <w:p>
      <w:pPr>
        <w:spacing w:after="0"/>
        <w:ind w:left="0"/>
        <w:jc w:val="both"/>
      </w:pPr>
      <w:r>
        <w:rPr>
          <w:rFonts w:ascii="Times New Roman"/>
          <w:b w:val="false"/>
          <w:i w:val="false"/>
          <w:color w:val="000000"/>
          <w:sz w:val="28"/>
        </w:rPr>
        <w:t>
      меньше чем 760 мм — у навалочных судов, киль которых был заложен, или судно находилось в схожем состоянии;</w:t>
      </w:r>
    </w:p>
    <w:bookmarkEnd w:id="2437"/>
    <w:bookmarkStart w:name="z2445" w:id="2438"/>
    <w:p>
      <w:pPr>
        <w:spacing w:after="0"/>
        <w:ind w:left="0"/>
        <w:jc w:val="both"/>
      </w:pPr>
      <w:r>
        <w:rPr>
          <w:rFonts w:ascii="Times New Roman"/>
          <w:b w:val="false"/>
          <w:i w:val="false"/>
          <w:color w:val="000000"/>
          <w:sz w:val="28"/>
        </w:rPr>
        <w:t>
      меньше чем 1000 мм — у навалочных судов, киль которых был заложен, или судно находилось в схожем состоянии;</w:t>
      </w:r>
    </w:p>
    <w:bookmarkEnd w:id="2438"/>
    <w:bookmarkStart w:name="z2446" w:id="2439"/>
    <w:p>
      <w:pPr>
        <w:spacing w:after="0"/>
        <w:ind w:left="0"/>
        <w:jc w:val="both"/>
      </w:pPr>
      <w:r>
        <w:rPr>
          <w:rFonts w:ascii="Times New Roman"/>
          <w:b w:val="false"/>
          <w:i w:val="false"/>
          <w:color w:val="000000"/>
          <w:sz w:val="28"/>
        </w:rPr>
        <w:t>
      2) словесная характеристика "Ore/Bulk/Oil carrier" и знак "(ESP)" присвивают морским самоходным однопалубным судам, предназначенным для перевозки нефтяных грузов наливом или сухих грузов навалом, включая руду, с двойными бортами и с двойным дном, со скуловыми и подпалубными цистернами ниже верхней палубы. Типовое миделевое сечение приведено на рисунке б) приложения 91 настоящих Правил.</w:t>
      </w:r>
    </w:p>
    <w:bookmarkEnd w:id="2439"/>
    <w:bookmarkStart w:name="z2447" w:id="2440"/>
    <w:p>
      <w:pPr>
        <w:spacing w:after="0"/>
        <w:ind w:left="0"/>
        <w:jc w:val="left"/>
      </w:pPr>
      <w:r>
        <w:rPr>
          <w:rFonts w:ascii="Times New Roman"/>
          <w:b/>
          <w:i w:val="false"/>
          <w:color w:val="000000"/>
        </w:rPr>
        <w:t xml:space="preserve"> Параграф 2. Конструкция</w:t>
      </w:r>
    </w:p>
    <w:bookmarkEnd w:id="2440"/>
    <w:bookmarkStart w:name="z2448" w:id="2441"/>
    <w:p>
      <w:pPr>
        <w:spacing w:after="0"/>
        <w:ind w:left="0"/>
        <w:jc w:val="both"/>
      </w:pPr>
      <w:r>
        <w:rPr>
          <w:rFonts w:ascii="Times New Roman"/>
          <w:b w:val="false"/>
          <w:i w:val="false"/>
          <w:color w:val="000000"/>
          <w:sz w:val="28"/>
        </w:rPr>
        <w:t>
      638. Палуба, участки бортов в районе бортовых подпалубных цистерн и наклонные стенки подпалубных цистерн имеют продольную систему набора. Участки настила палубы между поперечными комингсами соседних грузовых люков дополнительно подкрепляют на каждом шпангоуте разрезными поперечными ребрами.</w:t>
      </w:r>
    </w:p>
    <w:bookmarkEnd w:id="2441"/>
    <w:bookmarkStart w:name="z2449" w:id="2442"/>
    <w:p>
      <w:pPr>
        <w:spacing w:after="0"/>
        <w:ind w:left="0"/>
        <w:jc w:val="both"/>
      </w:pPr>
      <w:r>
        <w:rPr>
          <w:rFonts w:ascii="Times New Roman"/>
          <w:b w:val="false"/>
          <w:i w:val="false"/>
          <w:color w:val="000000"/>
          <w:sz w:val="28"/>
        </w:rPr>
        <w:t>
      Двойное дно выполняется по продольной системе набора. Допускается применение стрингерной конструкции двойного дна с заменой всех продольных балок по днищу и второму дну стрингерами (подпункт 2) пункта 349 настоящих Правил).</w:t>
      </w:r>
    </w:p>
    <w:bookmarkEnd w:id="2442"/>
    <w:bookmarkStart w:name="z2450" w:id="2443"/>
    <w:p>
      <w:pPr>
        <w:spacing w:after="0"/>
        <w:ind w:left="0"/>
        <w:jc w:val="both"/>
      </w:pPr>
      <w:r>
        <w:rPr>
          <w:rFonts w:ascii="Times New Roman"/>
          <w:b w:val="false"/>
          <w:i w:val="false"/>
          <w:color w:val="000000"/>
          <w:sz w:val="28"/>
        </w:rPr>
        <w:t>
      Для одинарного борта между подпалубной и скуловой бортовыми цистернами предусматривается применение поперечной системы набора.</w:t>
      </w:r>
    </w:p>
    <w:bookmarkEnd w:id="2443"/>
    <w:bookmarkStart w:name="z2451" w:id="2444"/>
    <w:p>
      <w:pPr>
        <w:spacing w:after="0"/>
        <w:ind w:left="0"/>
        <w:jc w:val="both"/>
      </w:pPr>
      <w:r>
        <w:rPr>
          <w:rFonts w:ascii="Times New Roman"/>
          <w:b w:val="false"/>
          <w:i w:val="false"/>
          <w:color w:val="000000"/>
          <w:sz w:val="28"/>
        </w:rPr>
        <w:t>
      Для двойного борта и в бортовых скуловых цистернах применяют как продольную, так и поперечную систему набора.</w:t>
      </w:r>
    </w:p>
    <w:bookmarkEnd w:id="2444"/>
    <w:bookmarkStart w:name="z2452" w:id="2445"/>
    <w:p>
      <w:pPr>
        <w:spacing w:after="0"/>
        <w:ind w:left="0"/>
        <w:jc w:val="both"/>
      </w:pPr>
      <w:r>
        <w:rPr>
          <w:rFonts w:ascii="Times New Roman"/>
          <w:b w:val="false"/>
          <w:i w:val="false"/>
          <w:color w:val="000000"/>
          <w:sz w:val="28"/>
        </w:rPr>
        <w:t>
      Поперечные водонепроницаемые переборки бывают плоскими с вертикальными стойками, гофрированными с вертикальным расположением гофров или коффердамного типа.</w:t>
      </w:r>
    </w:p>
    <w:bookmarkEnd w:id="2445"/>
    <w:bookmarkStart w:name="z2453" w:id="2446"/>
    <w:p>
      <w:pPr>
        <w:spacing w:after="0"/>
        <w:ind w:left="0"/>
        <w:jc w:val="both"/>
      </w:pPr>
      <w:r>
        <w:rPr>
          <w:rFonts w:ascii="Times New Roman"/>
          <w:b w:val="false"/>
          <w:i w:val="false"/>
          <w:color w:val="000000"/>
          <w:sz w:val="28"/>
        </w:rPr>
        <w:t>
      639. По продольному комингсу люка устанавливают горизонтальные ребра жесткости. На каждом втором шпангоуте комингс подкрепляют вертикальными бракетами, установленными между пояском комингса и палубой.</w:t>
      </w:r>
    </w:p>
    <w:bookmarkEnd w:id="2446"/>
    <w:bookmarkStart w:name="z2454" w:id="2447"/>
    <w:p>
      <w:pPr>
        <w:spacing w:after="0"/>
        <w:ind w:left="0"/>
        <w:jc w:val="both"/>
      </w:pPr>
      <w:r>
        <w:rPr>
          <w:rFonts w:ascii="Times New Roman"/>
          <w:b w:val="false"/>
          <w:i w:val="false"/>
          <w:color w:val="000000"/>
          <w:sz w:val="28"/>
        </w:rPr>
        <w:t>
      640. Угол наклона стенок подпалубных цистерн к горизонту равен не менее 30</w:t>
      </w:r>
      <w:r>
        <w:rPr>
          <w:rFonts w:ascii="Times New Roman"/>
          <w:b w:val="false"/>
          <w:i w:val="false"/>
          <w:color w:val="000000"/>
          <w:vertAlign w:val="superscript"/>
        </w:rPr>
        <w:t>о</w:t>
      </w:r>
      <w:r>
        <w:rPr>
          <w:rFonts w:ascii="Times New Roman"/>
          <w:b w:val="false"/>
          <w:i w:val="false"/>
          <w:color w:val="000000"/>
          <w:sz w:val="28"/>
        </w:rPr>
        <w:t>.</w:t>
      </w:r>
    </w:p>
    <w:bookmarkEnd w:id="2447"/>
    <w:bookmarkStart w:name="z2455" w:id="2448"/>
    <w:p>
      <w:pPr>
        <w:spacing w:after="0"/>
        <w:ind w:left="0"/>
        <w:jc w:val="both"/>
      </w:pPr>
      <w:r>
        <w:rPr>
          <w:rFonts w:ascii="Times New Roman"/>
          <w:b w:val="false"/>
          <w:i w:val="false"/>
          <w:color w:val="000000"/>
          <w:sz w:val="28"/>
        </w:rPr>
        <w:t>
      Внутри бортовых подпалубных цистерн в плоскости трюмных поперечных переборок устанавливаются переборки, в обшивке которых допускаются, как правило, лишь отверстия минимально возможных размеров для перетока жидкости и доступа внутрь цистерн. Обшивка поперечных переборок в подпалубной цистерне должна подкрепляться стойками. Концы вертикальных стоек закрепляются кницами.</w:t>
      </w:r>
    </w:p>
    <w:bookmarkEnd w:id="2448"/>
    <w:bookmarkStart w:name="z2456" w:id="2449"/>
    <w:p>
      <w:pPr>
        <w:spacing w:after="0"/>
        <w:ind w:left="0"/>
        <w:jc w:val="both"/>
      </w:pPr>
      <w:r>
        <w:rPr>
          <w:rFonts w:ascii="Times New Roman"/>
          <w:b w:val="false"/>
          <w:i w:val="false"/>
          <w:color w:val="000000"/>
          <w:sz w:val="28"/>
        </w:rPr>
        <w:t>
      В плоскости рамных бимсов в подпалубной цистерне устанавливаются поперечные рамные связи.</w:t>
      </w:r>
    </w:p>
    <w:bookmarkEnd w:id="2449"/>
    <w:bookmarkStart w:name="z2457" w:id="2450"/>
    <w:p>
      <w:pPr>
        <w:spacing w:after="0"/>
        <w:ind w:left="0"/>
        <w:jc w:val="both"/>
      </w:pPr>
      <w:r>
        <w:rPr>
          <w:rFonts w:ascii="Times New Roman"/>
          <w:b w:val="false"/>
          <w:i w:val="false"/>
          <w:color w:val="000000"/>
          <w:sz w:val="28"/>
        </w:rPr>
        <w:t>
      В плоскости каждой бракеты, подкрепляющей продольный комингс грузового люка, внутри цистерны устанавливают бракеты, подкрепляющие листы вертикальной стенки цистерны, находящейся в плоскости продольного комингса. Эти бракеты доводят до ближайших к диаметральной плоскости продольных балок палубы и наклонной стенки цистерны.</w:t>
      </w:r>
    </w:p>
    <w:bookmarkEnd w:id="2450"/>
    <w:bookmarkStart w:name="z2458" w:id="2451"/>
    <w:p>
      <w:pPr>
        <w:spacing w:after="0"/>
        <w:ind w:left="0"/>
        <w:jc w:val="both"/>
      </w:pPr>
      <w:r>
        <w:rPr>
          <w:rFonts w:ascii="Times New Roman"/>
          <w:b w:val="false"/>
          <w:i w:val="false"/>
          <w:color w:val="000000"/>
          <w:sz w:val="28"/>
        </w:rPr>
        <w:t>
      Кроме того, на каждой шпации в нижнем углу цистерны устанавливают кницы, расположенные в плоскости книц, крепящих трюмный шпангоут к наклонной переборке цистерны. Эти кницы доводят до ближайших к нижнему углу цистерны продольных балок борта и наклонной стенки цистерны и привариваться к ним, а также перекрывать кницы шпангоутов.</w:t>
      </w:r>
    </w:p>
    <w:bookmarkEnd w:id="2451"/>
    <w:bookmarkStart w:name="z2459" w:id="2452"/>
    <w:p>
      <w:pPr>
        <w:spacing w:after="0"/>
        <w:ind w:left="0"/>
        <w:jc w:val="both"/>
      </w:pPr>
      <w:r>
        <w:rPr>
          <w:rFonts w:ascii="Times New Roman"/>
          <w:b w:val="false"/>
          <w:i w:val="false"/>
          <w:color w:val="000000"/>
          <w:sz w:val="28"/>
        </w:rPr>
        <w:t>
      641. Угол наклона стенок бортовых скуловых цистерн к горизонту в грузовых трюмах равен не менее 45</w:t>
      </w:r>
      <w:r>
        <w:rPr>
          <w:rFonts w:ascii="Times New Roman"/>
          <w:b w:val="false"/>
          <w:i w:val="false"/>
          <w:color w:val="000000"/>
          <w:vertAlign w:val="superscript"/>
        </w:rPr>
        <w:t>о</w:t>
      </w:r>
      <w:r>
        <w:rPr>
          <w:rFonts w:ascii="Times New Roman"/>
          <w:b w:val="false"/>
          <w:i w:val="false"/>
          <w:color w:val="000000"/>
          <w:sz w:val="28"/>
        </w:rPr>
        <w:t>. Как правило, протяженность цистерн по ширине судна на уровне второго дна не менее чем 0,125</w:t>
      </w:r>
      <w:r>
        <w:rPr>
          <w:rFonts w:ascii="Times New Roman"/>
          <w:b w:val="false"/>
          <w:i/>
          <w:color w:val="000000"/>
          <w:sz w:val="28"/>
        </w:rPr>
        <w:t>В</w:t>
      </w:r>
      <w:r>
        <w:rPr>
          <w:rFonts w:ascii="Times New Roman"/>
          <w:b w:val="false"/>
          <w:i w:val="false"/>
          <w:color w:val="000000"/>
          <w:sz w:val="28"/>
        </w:rPr>
        <w:t xml:space="preserve"> на один борт.</w:t>
      </w:r>
    </w:p>
    <w:bookmarkEnd w:id="2452"/>
    <w:bookmarkStart w:name="z2460" w:id="2453"/>
    <w:p>
      <w:pPr>
        <w:spacing w:after="0"/>
        <w:ind w:left="0"/>
        <w:jc w:val="both"/>
      </w:pPr>
      <w:r>
        <w:rPr>
          <w:rFonts w:ascii="Times New Roman"/>
          <w:b w:val="false"/>
          <w:i w:val="false"/>
          <w:color w:val="000000"/>
          <w:sz w:val="28"/>
        </w:rPr>
        <w:t>
      В плоскости поперечных переборок и каждого второго сплошного флора устанавливают поперечные диафрагмы. В диафрагмах допускаются отверстия для перетока жидкости и вырезы (лазы) для доступа внутрь цистерны. Суммарная высота вырезов в сечении диафрагмы в направлении по нормали к обшивке цистерны от линии, проведенной через центр выреза (лаза) перпендикулярно этой нормали, до обшивки нигде не превышает 0,5 высоты этого сечения. Кромки вырезов (лазов) подкрепляют поясками или ребрами жесткости. Обшивка диафрагмы подкрепляется ребрами жесткости, соответствующими требованиям к ребрам жесткости флоров согласно пункту 278 настоящих Правил.</w:t>
      </w:r>
    </w:p>
    <w:bookmarkEnd w:id="2453"/>
    <w:bookmarkStart w:name="z2461" w:id="2454"/>
    <w:p>
      <w:pPr>
        <w:spacing w:after="0"/>
        <w:ind w:left="0"/>
        <w:jc w:val="both"/>
      </w:pPr>
      <w:r>
        <w:rPr>
          <w:rFonts w:ascii="Times New Roman"/>
          <w:b w:val="false"/>
          <w:i w:val="false"/>
          <w:color w:val="000000"/>
          <w:sz w:val="28"/>
        </w:rPr>
        <w:t>
      Внутри цистерн, выполненных по продольной системе набора, в плоскости каждого шпангоута устанавливают бракеты, доведенные до продольных балок наклонной стенки и борта и приваренные к ним. Необходимо чтобы указанные бракеты перекрывали кницы шпангоутов.</w:t>
      </w:r>
    </w:p>
    <w:bookmarkEnd w:id="2454"/>
    <w:bookmarkStart w:name="z2462" w:id="2455"/>
    <w:p>
      <w:pPr>
        <w:spacing w:after="0"/>
        <w:ind w:left="0"/>
        <w:jc w:val="both"/>
      </w:pPr>
      <w:r>
        <w:rPr>
          <w:rFonts w:ascii="Times New Roman"/>
          <w:b w:val="false"/>
          <w:i w:val="false"/>
          <w:color w:val="000000"/>
          <w:sz w:val="28"/>
        </w:rPr>
        <w:t>
      У крайнего днищевого стрингера, являющегося стенкой скуловой цистерны с поперечной системой набора, в плоскости каждого шпангоута устанавливают бракеты, доведенные до ближайших продольных балок днища и второго дна и приваренные к ним.</w:t>
      </w:r>
    </w:p>
    <w:bookmarkEnd w:id="2455"/>
    <w:bookmarkStart w:name="z2463" w:id="2456"/>
    <w:p>
      <w:pPr>
        <w:spacing w:after="0"/>
        <w:ind w:left="0"/>
        <w:jc w:val="both"/>
      </w:pPr>
      <w:r>
        <w:rPr>
          <w:rFonts w:ascii="Times New Roman"/>
          <w:b w:val="false"/>
          <w:i w:val="false"/>
          <w:color w:val="000000"/>
          <w:sz w:val="28"/>
        </w:rPr>
        <w:t>
      642. Конструкция одинарного борта в пределах грузовой зоны отвечает следующим требованиям:</w:t>
      </w:r>
    </w:p>
    <w:bookmarkEnd w:id="2456"/>
    <w:bookmarkStart w:name="z2464" w:id="2457"/>
    <w:p>
      <w:pPr>
        <w:spacing w:after="0"/>
        <w:ind w:left="0"/>
        <w:jc w:val="both"/>
      </w:pPr>
      <w:r>
        <w:rPr>
          <w:rFonts w:ascii="Times New Roman"/>
          <w:b w:val="false"/>
          <w:i w:val="false"/>
          <w:color w:val="000000"/>
          <w:sz w:val="28"/>
        </w:rPr>
        <w:t>
      1) шпангоуты трюмов, примыкающих к таранной переборке, усиливают для предупреждения избыточных деформаций наружной обшивки. Как альтернатива, бортовая обшивка первого трюма подкрепляется рамными стрингерами, являющимися продолжением рамных стрингеров форпика;</w:t>
      </w:r>
    </w:p>
    <w:bookmarkEnd w:id="2457"/>
    <w:bookmarkStart w:name="z2465" w:id="2458"/>
    <w:p>
      <w:pPr>
        <w:spacing w:after="0"/>
        <w:ind w:left="0"/>
        <w:jc w:val="both"/>
      </w:pPr>
      <w:r>
        <w:rPr>
          <w:rFonts w:ascii="Times New Roman"/>
          <w:b w:val="false"/>
          <w:i w:val="false"/>
          <w:color w:val="000000"/>
          <w:sz w:val="28"/>
        </w:rPr>
        <w:t>
      2) крепление концов шпангоутов осуществляется кницами. Протяженность нижней и верхней книц по высоте, измеренная у наружной обшивки, равна не менее 0,125 длины пролета шпангоута. Ширина нижней и верхней книц на уровне притыкания шпангоута к скуловой и подпалубной цистерне равна не менее половины высоты стенки шпангоута;</w:t>
      </w:r>
    </w:p>
    <w:bookmarkEnd w:id="2458"/>
    <w:bookmarkStart w:name="z2466" w:id="2459"/>
    <w:p>
      <w:pPr>
        <w:spacing w:after="0"/>
        <w:ind w:left="0"/>
        <w:jc w:val="both"/>
      </w:pPr>
      <w:r>
        <w:rPr>
          <w:rFonts w:ascii="Times New Roman"/>
          <w:b w:val="false"/>
          <w:i w:val="false"/>
          <w:color w:val="000000"/>
          <w:sz w:val="28"/>
        </w:rPr>
        <w:t xml:space="preserve">
      3) шпангоуты изготавливаются из симметричного профиля. Стенка шпангоута переходит в стенку кницы, а свободные пояски шпангоутов продолжаются полным сечением по свободным кромкам книц. При этом уголки книц, примыкающие к подпалубной и скуловой цистернам притупляют, а свободные пояски в месте их окончания срезают "на ус". Переход стенки шпангоута в стенку кницы осуществляется по скруглению радиусом </w:t>
      </w:r>
      <w:r>
        <w:rPr>
          <w:rFonts w:ascii="Times New Roman"/>
          <w:b w:val="false"/>
          <w:i/>
          <w:color w:val="000000"/>
          <w:sz w:val="28"/>
        </w:rPr>
        <w:t>r</w:t>
      </w:r>
      <w:r>
        <w:rPr>
          <w:rFonts w:ascii="Times New Roman"/>
          <w:b w:val="false"/>
          <w:i w:val="false"/>
          <w:color w:val="000000"/>
          <w:sz w:val="28"/>
        </w:rPr>
        <w:t>, мм, не менее определяемого по формуле:</w:t>
      </w:r>
    </w:p>
    <w:bookmarkEnd w:id="2459"/>
    <w:p>
      <w:pPr>
        <w:spacing w:after="0"/>
        <w:ind w:left="0"/>
        <w:jc w:val="both"/>
      </w:pPr>
      <w:r>
        <w:rPr>
          <w:rFonts w:ascii="Times New Roman"/>
          <w:b w:val="false"/>
          <w:i w:val="false"/>
          <w:color w:val="000000"/>
          <w:sz w:val="28"/>
        </w:rPr>
        <w:t>
      r = 0,4</w:t>
      </w:r>
    </w:p>
    <w:p>
      <w:pPr>
        <w:spacing w:after="0"/>
        <w:ind w:left="0"/>
        <w:jc w:val="both"/>
      </w:pPr>
      <w:r>
        <w:drawing>
          <wp:inline distT="0" distB="0" distL="0" distR="0">
            <wp:extent cx="26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5715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кн</w:t>
      </w:r>
      <w:r>
        <w:rPr>
          <w:rFonts w:ascii="Times New Roman"/>
          <w:b w:val="false"/>
          <w:i w:val="false"/>
          <w:color w:val="000000"/>
          <w:sz w:val="28"/>
        </w:rPr>
        <w:t xml:space="preserve"> ,                   (202)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b</w:t>
      </w:r>
      <w:r>
        <w:rPr>
          <w:rFonts w:ascii="Times New Roman"/>
          <w:b w:val="false"/>
          <w:i w:val="false"/>
          <w:color w:val="000000"/>
          <w:vertAlign w:val="subscript"/>
        </w:rPr>
        <w:t>кн</w:t>
      </w:r>
      <w:r>
        <w:rPr>
          <w:rFonts w:ascii="Times New Roman"/>
          <w:b w:val="false"/>
          <w:i w:val="false"/>
          <w:color w:val="000000"/>
          <w:sz w:val="28"/>
        </w:rPr>
        <w:t xml:space="preserve"> — ширина свободного пояска,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кн</w:t>
      </w:r>
      <w:r>
        <w:rPr>
          <w:rFonts w:ascii="Times New Roman"/>
          <w:b w:val="false"/>
          <w:i w:val="false"/>
          <w:color w:val="000000"/>
          <w:sz w:val="28"/>
        </w:rPr>
        <w:t xml:space="preserve"> — толщина кницы, мм;</w:t>
      </w:r>
    </w:p>
    <w:bookmarkStart w:name="z2467" w:id="2460"/>
    <w:p>
      <w:pPr>
        <w:spacing w:after="0"/>
        <w:ind w:left="0"/>
        <w:jc w:val="both"/>
      </w:pPr>
      <w:r>
        <w:rPr>
          <w:rFonts w:ascii="Times New Roman"/>
          <w:b w:val="false"/>
          <w:i w:val="false"/>
          <w:color w:val="000000"/>
          <w:sz w:val="28"/>
        </w:rPr>
        <w:t>
      4) шпангоуты, изготовленные из стали нормальной прочности, могут выполняться из несимметричного профиля. В этом случае свободные пояски книц срезают "на ус", а уголки книц притуплены;</w:t>
      </w:r>
    </w:p>
    <w:bookmarkEnd w:id="2460"/>
    <w:bookmarkStart w:name="z2468" w:id="2461"/>
    <w:p>
      <w:pPr>
        <w:spacing w:after="0"/>
        <w:ind w:left="0"/>
        <w:jc w:val="both"/>
      </w:pPr>
      <w:r>
        <w:rPr>
          <w:rFonts w:ascii="Times New Roman"/>
          <w:b w:val="false"/>
          <w:i w:val="false"/>
          <w:color w:val="000000"/>
          <w:sz w:val="28"/>
        </w:rPr>
        <w:t>
      5) если в соединении шпангоута с подпалубной цистерной шпангоут или его кница перекрывают горизонтальный участок наклонной стенки, обеспечивают перекрой кницей места слома, а угол между плоскостью пояска шпангоута (кницы) и наклонной стенкой цистерны равен не менее 30</w:t>
      </w:r>
      <w:r>
        <w:rPr>
          <w:rFonts w:ascii="Times New Roman"/>
          <w:b w:val="false"/>
          <w:i w:val="false"/>
          <w:color w:val="000000"/>
          <w:vertAlign w:val="superscript"/>
        </w:rPr>
        <w:t>о</w:t>
      </w:r>
      <w:r>
        <w:rPr>
          <w:rFonts w:ascii="Times New Roman"/>
          <w:b w:val="false"/>
          <w:i w:val="false"/>
          <w:color w:val="000000"/>
          <w:sz w:val="28"/>
        </w:rPr>
        <w:t>;</w:t>
      </w:r>
    </w:p>
    <w:bookmarkEnd w:id="2461"/>
    <w:bookmarkStart w:name="z2469" w:id="2462"/>
    <w:p>
      <w:pPr>
        <w:spacing w:after="0"/>
        <w:ind w:left="0"/>
        <w:jc w:val="both"/>
      </w:pPr>
      <w:r>
        <w:rPr>
          <w:rFonts w:ascii="Times New Roman"/>
          <w:b w:val="false"/>
          <w:i w:val="false"/>
          <w:color w:val="000000"/>
          <w:sz w:val="28"/>
        </w:rPr>
        <w:t>
      6) отношение высоты стенки шпангоута к толщине стенки не должно превышать следующих величин:</w:t>
      </w:r>
    </w:p>
    <w:bookmarkEnd w:id="2462"/>
    <w:p>
      <w:pPr>
        <w:spacing w:after="0"/>
        <w:ind w:left="0"/>
        <w:jc w:val="both"/>
      </w:pPr>
      <w:r>
        <w:rPr>
          <w:rFonts w:ascii="Times New Roman"/>
          <w:b w:val="false"/>
          <w:i w:val="false"/>
          <w:color w:val="000000"/>
          <w:sz w:val="28"/>
        </w:rPr>
        <w:t>
      60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симметричных профилей;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несимметричных профилей;</w:t>
      </w:r>
      <w:r>
        <w:br/>
      </w:r>
      <w:r>
        <w:rPr>
          <w:rFonts w:ascii="Times New Roman"/>
          <w:b w:val="false"/>
          <w:i w:val="false"/>
          <w:color w:val="000000"/>
          <w:sz w:val="28"/>
        </w:rPr>
        <w:t>
</w:t>
      </w:r>
    </w:p>
    <w:bookmarkStart w:name="z2470" w:id="2463"/>
    <w:p>
      <w:pPr>
        <w:spacing w:after="0"/>
        <w:ind w:left="0"/>
        <w:jc w:val="both"/>
      </w:pPr>
      <w:r>
        <w:rPr>
          <w:rFonts w:ascii="Times New Roman"/>
          <w:b w:val="false"/>
          <w:i w:val="false"/>
          <w:color w:val="000000"/>
          <w:sz w:val="28"/>
        </w:rPr>
        <w:t>
      7) отношение ширины свободного пояска шпангоута (по одну сторону от стенки) к толщине свободного пояска не должно превышать 10</w:t>
      </w:r>
    </w:p>
    <w:bookmarkEnd w:id="2463"/>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471" w:id="2464"/>
    <w:p>
      <w:pPr>
        <w:spacing w:after="0"/>
        <w:ind w:left="0"/>
        <w:jc w:val="both"/>
      </w:pPr>
      <w:r>
        <w:rPr>
          <w:rFonts w:ascii="Times New Roman"/>
          <w:b w:val="false"/>
          <w:i w:val="false"/>
          <w:color w:val="000000"/>
          <w:sz w:val="28"/>
        </w:rPr>
        <w:t>
      8) в случае, если шпангоуты первого носового трюма, выполнены из несимметричного профиля, каждая пара шпангоутов взаимно подкрепляется бракетами, предотвращающими заваливание шпангоутов. Бракеты привариваются к наружной обшивке, стенкам и пояскам шпангоутов;</w:t>
      </w:r>
    </w:p>
    <w:bookmarkEnd w:id="2464"/>
    <w:bookmarkStart w:name="z2472" w:id="2465"/>
    <w:p>
      <w:pPr>
        <w:spacing w:after="0"/>
        <w:ind w:left="0"/>
        <w:jc w:val="both"/>
      </w:pPr>
      <w:r>
        <w:rPr>
          <w:rFonts w:ascii="Times New Roman"/>
          <w:b w:val="false"/>
          <w:i w:val="false"/>
          <w:color w:val="000000"/>
          <w:sz w:val="28"/>
        </w:rPr>
        <w:t xml:space="preserve">
      9) шпангоуты и закрепляющие их бракеты приваривают двусторонним непрерывным швом к наружной обшивке и обшивке подпалубных и скуловых цистерн. Свободные пояски шпангоутов и книц также приваривают к стенкам двусторонним непрерывным швом. При этом коэффициент прочности сварного шва </w:t>
      </w:r>
    </w:p>
    <w:bookmarkEnd w:id="2465"/>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(пункт 290 настоящих Правил) принимается равным:</w:t>
      </w:r>
      <w:r>
        <w:br/>
      </w:r>
      <w:r>
        <w:rPr>
          <w:rFonts w:ascii="Times New Roman"/>
          <w:b w:val="false"/>
          <w:i w:val="false"/>
          <w:color w:val="000000"/>
          <w:sz w:val="28"/>
        </w:rPr>
        <w:t>
</w:t>
      </w:r>
    </w:p>
    <w:bookmarkStart w:name="z2473" w:id="2466"/>
    <w:p>
      <w:pPr>
        <w:spacing w:after="0"/>
        <w:ind w:left="0"/>
        <w:jc w:val="both"/>
      </w:pPr>
      <w:r>
        <w:rPr>
          <w:rFonts w:ascii="Times New Roman"/>
          <w:b w:val="false"/>
          <w:i w:val="false"/>
          <w:color w:val="000000"/>
          <w:sz w:val="28"/>
        </w:rPr>
        <w:t>
      0,44 — для приварки стенок шпангоута к наружной обшивке на участках протяженностью 0,25 длины пролета шпангоута от верхнего и нижнего концов шпангоута, а также для приварки стенок книц к обшивке подпалубных и скуловых цистерн;</w:t>
      </w:r>
    </w:p>
    <w:bookmarkEnd w:id="2466"/>
    <w:bookmarkStart w:name="z2474" w:id="2467"/>
    <w:p>
      <w:pPr>
        <w:spacing w:after="0"/>
        <w:ind w:left="0"/>
        <w:jc w:val="both"/>
      </w:pPr>
      <w:r>
        <w:rPr>
          <w:rFonts w:ascii="Times New Roman"/>
          <w:b w:val="false"/>
          <w:i w:val="false"/>
          <w:color w:val="000000"/>
          <w:sz w:val="28"/>
        </w:rPr>
        <w:t>
      0,4 — для приварки стенок шпангоутов к наружной обшивке вне пределов указанных выше концевых участков.</w:t>
      </w:r>
    </w:p>
    <w:bookmarkEnd w:id="2467"/>
    <w:bookmarkStart w:name="z2475" w:id="2468"/>
    <w:p>
      <w:pPr>
        <w:spacing w:after="0"/>
        <w:ind w:left="0"/>
        <w:jc w:val="both"/>
      </w:pPr>
      <w:r>
        <w:rPr>
          <w:rFonts w:ascii="Times New Roman"/>
          <w:b w:val="false"/>
          <w:i w:val="false"/>
          <w:color w:val="000000"/>
          <w:sz w:val="28"/>
        </w:rPr>
        <w:t>
      В местах, где форма корпуса не позволяет выполнить эффективные угловые швы, требуется специальная подготовка кромок стенок шпангоутов и бракет с целью обеспечения равнопрочных соединений.</w:t>
      </w:r>
    </w:p>
    <w:bookmarkEnd w:id="2468"/>
    <w:bookmarkStart w:name="z2476" w:id="2469"/>
    <w:p>
      <w:pPr>
        <w:spacing w:after="0"/>
        <w:ind w:left="0"/>
        <w:jc w:val="both"/>
      </w:pPr>
      <w:r>
        <w:rPr>
          <w:rFonts w:ascii="Times New Roman"/>
          <w:b w:val="false"/>
          <w:i w:val="false"/>
          <w:color w:val="000000"/>
          <w:sz w:val="28"/>
        </w:rPr>
        <w:t>
      643. Концы стоек плоских переборок крепится к настилу второго дна и палубным конструкциям кницами.</w:t>
      </w:r>
    </w:p>
    <w:bookmarkEnd w:id="2469"/>
    <w:bookmarkStart w:name="z2477" w:id="2470"/>
    <w:p>
      <w:pPr>
        <w:spacing w:after="0"/>
        <w:ind w:left="0"/>
        <w:jc w:val="both"/>
      </w:pPr>
      <w:r>
        <w:rPr>
          <w:rFonts w:ascii="Times New Roman"/>
          <w:b w:val="false"/>
          <w:i w:val="false"/>
          <w:color w:val="000000"/>
          <w:sz w:val="28"/>
        </w:rPr>
        <w:t>
      644. Необходимо чтобы коффердамные переборки отвечали следующим требованиям:</w:t>
      </w:r>
    </w:p>
    <w:bookmarkEnd w:id="2470"/>
    <w:bookmarkStart w:name="z2478" w:id="2471"/>
    <w:p>
      <w:pPr>
        <w:spacing w:after="0"/>
        <w:ind w:left="0"/>
        <w:jc w:val="both"/>
      </w:pPr>
      <w:r>
        <w:rPr>
          <w:rFonts w:ascii="Times New Roman"/>
          <w:b w:val="false"/>
          <w:i w:val="false"/>
          <w:color w:val="000000"/>
          <w:sz w:val="28"/>
        </w:rPr>
        <w:t>
      1) в конструкции коффердамных переборок, согласно пункту 6 настоящих Правил, обязательно наличие двух непроницаемых обшивок, диафрагм и (или) платформ. Допускается установка стоек или горизонтальных балок для подкрепления обшивок;</w:t>
      </w:r>
    </w:p>
    <w:bookmarkEnd w:id="2471"/>
    <w:bookmarkStart w:name="z2479" w:id="2472"/>
    <w:p>
      <w:pPr>
        <w:spacing w:after="0"/>
        <w:ind w:left="0"/>
        <w:jc w:val="both"/>
      </w:pPr>
      <w:r>
        <w:rPr>
          <w:rFonts w:ascii="Times New Roman"/>
          <w:b w:val="false"/>
          <w:i w:val="false"/>
          <w:color w:val="000000"/>
          <w:sz w:val="28"/>
        </w:rPr>
        <w:t>
      2) стойки или горизонтальные балки, подкрепляющие обе обшивки, одинаковые, образовывают замкнутые рамы и проходят через платформы или, соответственно, диафрагмы, не разрезаясь. Стойки обеих обшивок располагаются в одной плоскости, параллельной диаметральной плоскости; горизонтальные балки обеих обшивок располагаются в одной плоскости, параллельной основной плоскости.</w:t>
      </w:r>
    </w:p>
    <w:bookmarkEnd w:id="2472"/>
    <w:bookmarkStart w:name="z2480" w:id="2473"/>
    <w:p>
      <w:pPr>
        <w:spacing w:after="0"/>
        <w:ind w:left="0"/>
        <w:jc w:val="both"/>
      </w:pPr>
      <w:r>
        <w:rPr>
          <w:rFonts w:ascii="Times New Roman"/>
          <w:b w:val="false"/>
          <w:i w:val="false"/>
          <w:color w:val="000000"/>
          <w:sz w:val="28"/>
        </w:rPr>
        <w:t>
      Между стойками или горизонтальными балками обеих обшивок допускается установка распорок, располагаемых посередине их пролета;</w:t>
      </w:r>
    </w:p>
    <w:bookmarkEnd w:id="2473"/>
    <w:bookmarkStart w:name="z2481" w:id="2474"/>
    <w:p>
      <w:pPr>
        <w:spacing w:after="0"/>
        <w:ind w:left="0"/>
        <w:jc w:val="both"/>
      </w:pPr>
      <w:r>
        <w:rPr>
          <w:rFonts w:ascii="Times New Roman"/>
          <w:b w:val="false"/>
          <w:i w:val="false"/>
          <w:color w:val="000000"/>
          <w:sz w:val="28"/>
        </w:rPr>
        <w:t>
      3) диафрагмы или платформы подкрепляют ребрами жесткости согласно пункту 278 настоящих Правил. При этом меньшая сторона панели подкрепляемой диафрагмы или платформы, мм, не превышает 100s</w:t>
      </w:r>
    </w:p>
    <w:bookmarkEnd w:id="2474"/>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где s — толщина диафрагмы или платформы, мм;</w:t>
      </w:r>
      <w:r>
        <w:br/>
      </w:r>
      <w:r>
        <w:rPr>
          <w:rFonts w:ascii="Times New Roman"/>
          <w:b w:val="false"/>
          <w:i w:val="false"/>
          <w:color w:val="000000"/>
          <w:sz w:val="28"/>
        </w:rPr>
        <w:t>
</w:t>
      </w:r>
    </w:p>
    <w:bookmarkStart w:name="z2482" w:id="2475"/>
    <w:p>
      <w:pPr>
        <w:spacing w:after="0"/>
        <w:ind w:left="0"/>
        <w:jc w:val="both"/>
      </w:pPr>
      <w:r>
        <w:rPr>
          <w:rFonts w:ascii="Times New Roman"/>
          <w:b w:val="false"/>
          <w:i w:val="false"/>
          <w:color w:val="000000"/>
          <w:sz w:val="28"/>
        </w:rPr>
        <w:t>
      4) для доступа ко всем частям коффердамной переборки диафрагмы и платформы имеют необходимое число вырезов (лазов). Суммарная ширина вырезов в одном сечении диафрагмы или платформы не превышает 0,6 толщины коффердамной переборки.</w:t>
      </w:r>
    </w:p>
    <w:bookmarkEnd w:id="2475"/>
    <w:bookmarkStart w:name="z2483" w:id="2476"/>
    <w:p>
      <w:pPr>
        <w:spacing w:after="0"/>
        <w:ind w:left="0"/>
        <w:jc w:val="both"/>
      </w:pPr>
      <w:r>
        <w:rPr>
          <w:rFonts w:ascii="Times New Roman"/>
          <w:b w:val="false"/>
          <w:i w:val="false"/>
          <w:color w:val="000000"/>
          <w:sz w:val="28"/>
        </w:rPr>
        <w:t>
      Вырезы, кроме шпигатов для перетока жидкости и газа, как правило, не допускаются:</w:t>
      </w:r>
    </w:p>
    <w:bookmarkEnd w:id="2476"/>
    <w:bookmarkStart w:name="z2484" w:id="2477"/>
    <w:p>
      <w:pPr>
        <w:spacing w:after="0"/>
        <w:ind w:left="0"/>
        <w:jc w:val="both"/>
      </w:pPr>
      <w:r>
        <w:rPr>
          <w:rFonts w:ascii="Times New Roman"/>
          <w:b w:val="false"/>
          <w:i w:val="false"/>
          <w:color w:val="000000"/>
          <w:sz w:val="28"/>
        </w:rPr>
        <w:t>
      в платформах — на участках длиной не менее 1,5 толщины коффердамной переборки от продольных переборок или борта, являющихся опорами платформы;</w:t>
      </w:r>
    </w:p>
    <w:bookmarkEnd w:id="2477"/>
    <w:bookmarkStart w:name="z2485" w:id="2478"/>
    <w:p>
      <w:pPr>
        <w:spacing w:after="0"/>
        <w:ind w:left="0"/>
        <w:jc w:val="both"/>
      </w:pPr>
      <w:r>
        <w:rPr>
          <w:rFonts w:ascii="Times New Roman"/>
          <w:b w:val="false"/>
          <w:i w:val="false"/>
          <w:color w:val="000000"/>
          <w:sz w:val="28"/>
        </w:rPr>
        <w:t>
      в диафрагмах — на участках такой же длины от настила второго дна или верхней точки нижней трапецеидальной опоры переборки, если таковая имеется, и настила верхней палубы или нижней точки поперечной подпалубной балки прямоугольного или трапецеидального сечения — верхней опоры переборки, если таковая имеется, которые являются опорами диафрагмы.</w:t>
      </w:r>
    </w:p>
    <w:bookmarkEnd w:id="2478"/>
    <w:bookmarkStart w:name="z2486" w:id="2479"/>
    <w:p>
      <w:pPr>
        <w:spacing w:after="0"/>
        <w:ind w:left="0"/>
        <w:jc w:val="both"/>
      </w:pPr>
      <w:r>
        <w:rPr>
          <w:rFonts w:ascii="Times New Roman"/>
          <w:b w:val="false"/>
          <w:i w:val="false"/>
          <w:color w:val="000000"/>
          <w:sz w:val="28"/>
        </w:rPr>
        <w:t xml:space="preserve">
      Кромки вырезов в диафрагмах и платформах, расположенных на участках в пределах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пролета от их опор, подкрепляют поясками или ребрами жесткости. Расстояние между кромками смежных вырезов равно не менее длины этих вырезов.</w:t>
      </w:r>
    </w:p>
    <w:bookmarkEnd w:id="2479"/>
    <w:bookmarkStart w:name="z2487" w:id="2480"/>
    <w:p>
      <w:pPr>
        <w:spacing w:after="0"/>
        <w:ind w:left="0"/>
        <w:jc w:val="both"/>
      </w:pPr>
      <w:r>
        <w:rPr>
          <w:rFonts w:ascii="Times New Roman"/>
          <w:b w:val="false"/>
          <w:i w:val="false"/>
          <w:color w:val="000000"/>
          <w:sz w:val="28"/>
        </w:rPr>
        <w:t>
      645. Поперечные переборки с вертикальными гофрами имеют у бортов плоские участки шириной не менее 0,08</w:t>
      </w:r>
      <w:r>
        <w:rPr>
          <w:rFonts w:ascii="Times New Roman"/>
          <w:b w:val="false"/>
          <w:i/>
          <w:color w:val="000000"/>
          <w:sz w:val="28"/>
        </w:rPr>
        <w:t>В</w:t>
      </w:r>
      <w:r>
        <w:rPr>
          <w:rFonts w:ascii="Times New Roman"/>
          <w:b w:val="false"/>
          <w:i w:val="false"/>
          <w:color w:val="000000"/>
          <w:sz w:val="28"/>
        </w:rPr>
        <w:t>. Верхние концы этих переборок крепятся к палубе поперечными балками прямоугольного или трапецеидального сечения, отвечающими требованиям пункта 648, нижние концы крепятся либо непосредственно к настилу второго дна, либо к устанавливаемым на втором дне опорам трапецеидального сечения, отвечающим требованиям пункта 647 настоящих Правил. Наличие трапецеидальных опор обязательно у переборок трюмов для тяжелого навалочного груза.</w:t>
      </w:r>
    </w:p>
    <w:bookmarkEnd w:id="2480"/>
    <w:bookmarkStart w:name="z2488" w:id="2481"/>
    <w:p>
      <w:pPr>
        <w:spacing w:after="0"/>
        <w:ind w:left="0"/>
        <w:jc w:val="both"/>
      </w:pPr>
      <w:r>
        <w:rPr>
          <w:rFonts w:ascii="Times New Roman"/>
          <w:b w:val="false"/>
          <w:i w:val="false"/>
          <w:color w:val="000000"/>
          <w:sz w:val="28"/>
        </w:rPr>
        <w:t>
      У нижнего основания гофров предусматривают вертикальные и наклонные листы, зашивающие впадины гофров с обеих сторон переборки. Высота зашивающих листов у нефтенавалочных судов - не менее 0,1 пролета гофра, а толщина — не менее толщины нижнего пояса гофра.</w:t>
      </w:r>
    </w:p>
    <w:bookmarkEnd w:id="2481"/>
    <w:bookmarkStart w:name="z2489" w:id="2482"/>
    <w:p>
      <w:pPr>
        <w:spacing w:after="0"/>
        <w:ind w:left="0"/>
        <w:jc w:val="both"/>
      </w:pPr>
      <w:r>
        <w:rPr>
          <w:rFonts w:ascii="Times New Roman"/>
          <w:b w:val="false"/>
          <w:i w:val="false"/>
          <w:color w:val="000000"/>
          <w:sz w:val="28"/>
        </w:rPr>
        <w:t>
      646. При креплении нижних концов вертикальных гофров непосредственно к настилу второго дна в плоскости прямых (ориентированных поперек судна) граней гофров устанавливают флоры толщиной не менее толщины нижнего пояса гофрированной переборки.</w:t>
      </w:r>
    </w:p>
    <w:bookmarkEnd w:id="2482"/>
    <w:bookmarkStart w:name="z2490" w:id="2483"/>
    <w:p>
      <w:pPr>
        <w:spacing w:after="0"/>
        <w:ind w:left="0"/>
        <w:jc w:val="both"/>
      </w:pPr>
      <w:r>
        <w:rPr>
          <w:rFonts w:ascii="Times New Roman"/>
          <w:b w:val="false"/>
          <w:i w:val="false"/>
          <w:color w:val="000000"/>
          <w:sz w:val="28"/>
        </w:rPr>
        <w:t>
      В этом случае боковые (ориентированные вдоль судна) грани прямоугольных гофров находятся в одной плоскости с продольными балками второго дна или стрингерами. Боковые грани трапецеидальных гофров располагаются так, чтобы в пересечении их с продольными связями второго дна было исключено появление жестких точек.</w:t>
      </w:r>
    </w:p>
    <w:bookmarkEnd w:id="2483"/>
    <w:bookmarkStart w:name="z2491" w:id="2484"/>
    <w:p>
      <w:pPr>
        <w:spacing w:after="0"/>
        <w:ind w:left="0"/>
        <w:jc w:val="both"/>
      </w:pPr>
      <w:r>
        <w:rPr>
          <w:rFonts w:ascii="Times New Roman"/>
          <w:b w:val="false"/>
          <w:i w:val="false"/>
          <w:color w:val="000000"/>
          <w:sz w:val="28"/>
        </w:rPr>
        <w:t>
      647. Необходимо чтобы конструкция нижней трапецеидальной опоры поперечной переборки отвечала следующим требованиям:</w:t>
      </w:r>
    </w:p>
    <w:bookmarkEnd w:id="2484"/>
    <w:bookmarkStart w:name="z2492" w:id="2485"/>
    <w:p>
      <w:pPr>
        <w:spacing w:after="0"/>
        <w:ind w:left="0"/>
        <w:jc w:val="both"/>
      </w:pPr>
      <w:r>
        <w:rPr>
          <w:rFonts w:ascii="Times New Roman"/>
          <w:b w:val="false"/>
          <w:i w:val="false"/>
          <w:color w:val="000000"/>
          <w:sz w:val="28"/>
        </w:rPr>
        <w:t>
      1) опора устанавливается на второе дно под переборкой поперек судна. Она имеет верхний горизонтальный лист, ширина которого не меньше высоты гофров переборки, и два наклонных листа, опирающихся на сплошные флоры. Высота опоры не превышает 0,15</w:t>
      </w:r>
      <w:r>
        <w:rPr>
          <w:rFonts w:ascii="Times New Roman"/>
          <w:b w:val="false"/>
          <w:i/>
          <w:color w:val="000000"/>
          <w:sz w:val="28"/>
        </w:rPr>
        <w:t>D</w:t>
      </w:r>
      <w:r>
        <w:rPr>
          <w:rFonts w:ascii="Times New Roman"/>
          <w:b w:val="false"/>
          <w:i w:val="false"/>
          <w:color w:val="000000"/>
          <w:sz w:val="28"/>
        </w:rPr>
        <w:t>. Установка опор большей высоты является предметом специального рассмотрения Регистром судоходства;</w:t>
      </w:r>
    </w:p>
    <w:bookmarkEnd w:id="2485"/>
    <w:bookmarkStart w:name="z2493" w:id="2486"/>
    <w:p>
      <w:pPr>
        <w:spacing w:after="0"/>
        <w:ind w:left="0"/>
        <w:jc w:val="both"/>
      </w:pPr>
      <w:r>
        <w:rPr>
          <w:rFonts w:ascii="Times New Roman"/>
          <w:b w:val="false"/>
          <w:i w:val="false"/>
          <w:color w:val="000000"/>
          <w:sz w:val="28"/>
        </w:rPr>
        <w:t>
      2) на флорах, служащих опорами наклонных листов трапецеидальных опор, продольные балки второго дна разрезаются и крепятся к ним кницами. Между флорами в плоскости продольных балок в двойном дне необходимо устанавливать бракеты, имеющие толщину не менее толщины флора, подкрепленные ребрами жесткости;</w:t>
      </w:r>
    </w:p>
    <w:bookmarkEnd w:id="2486"/>
    <w:bookmarkStart w:name="z2494" w:id="2487"/>
    <w:p>
      <w:pPr>
        <w:spacing w:after="0"/>
        <w:ind w:left="0"/>
        <w:jc w:val="both"/>
      </w:pPr>
      <w:r>
        <w:rPr>
          <w:rFonts w:ascii="Times New Roman"/>
          <w:b w:val="false"/>
          <w:i w:val="false"/>
          <w:color w:val="000000"/>
          <w:sz w:val="28"/>
        </w:rPr>
        <w:t>
      3) внутри опоры в плоскости вертикального киля и днищевых стрингеров устанавливаются диафрагмы. В диафрагмах допускаются отверстия для перетока жидкости и вырезы-лазы для доступа внутрь опоры. Необходимо чтобы размеры вырезов, их подкрепление, а также подкрепления диафрагм удовлетворяли аналогичным требованиям к диафрагмам скуловых цистерн согласно пункту 640 настоящих Правил;</w:t>
      </w:r>
    </w:p>
    <w:bookmarkEnd w:id="2487"/>
    <w:bookmarkStart w:name="z2495" w:id="2488"/>
    <w:p>
      <w:pPr>
        <w:spacing w:after="0"/>
        <w:ind w:left="0"/>
        <w:jc w:val="both"/>
      </w:pPr>
      <w:r>
        <w:rPr>
          <w:rFonts w:ascii="Times New Roman"/>
          <w:b w:val="false"/>
          <w:i w:val="false"/>
          <w:color w:val="000000"/>
          <w:sz w:val="28"/>
        </w:rPr>
        <w:t>
      4) внутри опоры в плоскости продольных балок второго дна горизонтальный и наклонный листы опоры подкрепляют ребрами жесткости, образующими замкнутую раму.</w:t>
      </w:r>
    </w:p>
    <w:bookmarkEnd w:id="2488"/>
    <w:bookmarkStart w:name="z2496" w:id="2489"/>
    <w:p>
      <w:pPr>
        <w:spacing w:after="0"/>
        <w:ind w:left="0"/>
        <w:jc w:val="both"/>
      </w:pPr>
      <w:r>
        <w:rPr>
          <w:rFonts w:ascii="Times New Roman"/>
          <w:b w:val="false"/>
          <w:i w:val="false"/>
          <w:color w:val="000000"/>
          <w:sz w:val="28"/>
        </w:rPr>
        <w:t>
      648. Необходимо чтобы конструкция верхней поперечной балки прямоугольного или трапецеидального сечения гофрированной переборки отвечала следующим требованиям:</w:t>
      </w:r>
    </w:p>
    <w:bookmarkEnd w:id="2489"/>
    <w:bookmarkStart w:name="z2497" w:id="2490"/>
    <w:p>
      <w:pPr>
        <w:spacing w:after="0"/>
        <w:ind w:left="0"/>
        <w:jc w:val="both"/>
      </w:pPr>
      <w:r>
        <w:rPr>
          <w:rFonts w:ascii="Times New Roman"/>
          <w:b w:val="false"/>
          <w:i w:val="false"/>
          <w:color w:val="000000"/>
          <w:sz w:val="28"/>
        </w:rPr>
        <w:t>
      1) балка устанавливается под палубой над переборкой поперек судна. Она имеет нижний горизонтальный лист, ширина которого не менее высоты гофров переборки, и два вертикальных или наклонных листа. Высота балки составляет примерно 0,1 расстояния между бортовыми подпалубными цистернами. Размеры балки обеспечивают доступ внутрь этой балки;</w:t>
      </w:r>
    </w:p>
    <w:bookmarkEnd w:id="2490"/>
    <w:bookmarkStart w:name="z2498" w:id="2491"/>
    <w:p>
      <w:pPr>
        <w:spacing w:after="0"/>
        <w:ind w:left="0"/>
        <w:jc w:val="both"/>
      </w:pPr>
      <w:r>
        <w:rPr>
          <w:rFonts w:ascii="Times New Roman"/>
          <w:b w:val="false"/>
          <w:i w:val="false"/>
          <w:color w:val="000000"/>
          <w:sz w:val="28"/>
        </w:rPr>
        <w:t>
      2) внутри балки горизонтальный и вертикальные (наклонные) листы должны подкрепляются ребрами жесткости.</w:t>
      </w:r>
    </w:p>
    <w:bookmarkEnd w:id="2491"/>
    <w:bookmarkStart w:name="z2499" w:id="2492"/>
    <w:p>
      <w:pPr>
        <w:spacing w:after="0"/>
        <w:ind w:left="0"/>
        <w:jc w:val="both"/>
      </w:pPr>
      <w:r>
        <w:rPr>
          <w:rFonts w:ascii="Times New Roman"/>
          <w:b w:val="false"/>
          <w:i w:val="false"/>
          <w:color w:val="000000"/>
          <w:sz w:val="28"/>
        </w:rPr>
        <w:t>
      Ребра жесткости устанавливаются в плоскости продольных балок палубы, образуя с ними замкнутые рамы.</w:t>
      </w:r>
    </w:p>
    <w:bookmarkEnd w:id="2492"/>
    <w:bookmarkStart w:name="z2500" w:id="2493"/>
    <w:p>
      <w:pPr>
        <w:spacing w:after="0"/>
        <w:ind w:left="0"/>
        <w:jc w:val="both"/>
      </w:pPr>
      <w:r>
        <w:rPr>
          <w:rFonts w:ascii="Times New Roman"/>
          <w:b w:val="false"/>
          <w:i w:val="false"/>
          <w:color w:val="000000"/>
          <w:sz w:val="28"/>
        </w:rPr>
        <w:t>
      Допускается установка горизонтальных ребер жесткости. В этом случае внутри балки предусматривают рамы, которые служили бы промежуточными опорами для этих ребер жесткости, а также бракеты, обеспечивающие эффективное закрепление верхних концов гофров;</w:t>
      </w:r>
    </w:p>
    <w:bookmarkEnd w:id="2493"/>
    <w:bookmarkStart w:name="z2501" w:id="2494"/>
    <w:p>
      <w:pPr>
        <w:spacing w:after="0"/>
        <w:ind w:left="0"/>
        <w:jc w:val="both"/>
      </w:pPr>
      <w:r>
        <w:rPr>
          <w:rFonts w:ascii="Times New Roman"/>
          <w:b w:val="false"/>
          <w:i w:val="false"/>
          <w:color w:val="000000"/>
          <w:sz w:val="28"/>
        </w:rPr>
        <w:t>
      3) если угол между наклонным листом балки и вертикальной плоскостью превышает 30</w:t>
      </w:r>
      <w:r>
        <w:rPr>
          <w:rFonts w:ascii="Times New Roman"/>
          <w:b w:val="false"/>
          <w:i w:val="false"/>
          <w:color w:val="000000"/>
          <w:vertAlign w:val="superscript"/>
        </w:rPr>
        <w:t>о</w:t>
      </w:r>
      <w:r>
        <w:rPr>
          <w:rFonts w:ascii="Times New Roman"/>
          <w:b w:val="false"/>
          <w:i w:val="false"/>
          <w:color w:val="000000"/>
          <w:sz w:val="28"/>
        </w:rPr>
        <w:t>, в плоскости прямых граней трапецеидальных гофров внутри балки устанавливаются бракеты, обеспечивающие эффективное закрепление верхних концов гофров.</w:t>
      </w:r>
    </w:p>
    <w:bookmarkEnd w:id="2494"/>
    <w:bookmarkStart w:name="z2502" w:id="2495"/>
    <w:p>
      <w:pPr>
        <w:spacing w:after="0"/>
        <w:ind w:left="0"/>
        <w:jc w:val="left"/>
      </w:pPr>
      <w:r>
        <w:rPr>
          <w:rFonts w:ascii="Times New Roman"/>
          <w:b/>
          <w:i w:val="false"/>
          <w:color w:val="000000"/>
        </w:rPr>
        <w:t xml:space="preserve"> Параграф 3. Расчетные нагрузки</w:t>
      </w:r>
    </w:p>
    <w:bookmarkEnd w:id="2495"/>
    <w:bookmarkStart w:name="z2503" w:id="2496"/>
    <w:p>
      <w:pPr>
        <w:spacing w:after="0"/>
        <w:ind w:left="0"/>
        <w:jc w:val="both"/>
      </w:pPr>
      <w:r>
        <w:rPr>
          <w:rFonts w:ascii="Times New Roman"/>
          <w:b w:val="false"/>
          <w:i w:val="false"/>
          <w:color w:val="000000"/>
          <w:sz w:val="28"/>
        </w:rPr>
        <w:t>
      649. Расчетные нагрузки для связей второго дна, бортов и поперечных переборок определяются соответственно согласно параграфов 3 главы 16, 2 главы 18, 2 главы 19 и 3 главы 21 настоящих Правил с учетом наиболее тяжелого из предполагаемых навалочных грузов, жидкого груза (балласта) или отсутствия груза в зависимости от того, что предусмотрено.</w:t>
      </w:r>
    </w:p>
    <w:bookmarkEnd w:id="2496"/>
    <w:bookmarkStart w:name="z2504" w:id="2497"/>
    <w:p>
      <w:pPr>
        <w:spacing w:after="0"/>
        <w:ind w:left="0"/>
        <w:jc w:val="both"/>
      </w:pPr>
      <w:r>
        <w:rPr>
          <w:rFonts w:ascii="Times New Roman"/>
          <w:b w:val="false"/>
          <w:i w:val="false"/>
          <w:color w:val="000000"/>
          <w:sz w:val="28"/>
        </w:rPr>
        <w:t>
      650. Расчетное давление на обшивку и набор наклонных листов скуловых цистерн и листов нижних трапецеидальных опор поперечных переборок определяется согласно пункту 178 для наиболее тяжелого из предусмотренных навалочных грузов, согласно пункту 175 для жидкого груза взависимости от того, что предусмотрено. В любом случае расчетное давление не меньше определяемого по формуле (21) настоящих Правил, а для трапецеидальных опор — также согласно пункту 442 настоящих Правил.</w:t>
      </w:r>
    </w:p>
    <w:bookmarkEnd w:id="2497"/>
    <w:bookmarkStart w:name="z2505" w:id="2498"/>
    <w:p>
      <w:pPr>
        <w:spacing w:after="0"/>
        <w:ind w:left="0"/>
        <w:jc w:val="both"/>
      </w:pPr>
      <w:r>
        <w:rPr>
          <w:rFonts w:ascii="Times New Roman"/>
          <w:b w:val="false"/>
          <w:i w:val="false"/>
          <w:color w:val="000000"/>
          <w:sz w:val="28"/>
        </w:rPr>
        <w:t>
      651. Расчетное давление на обшивку и набор продольных переборок подпалубных цистерн и листов верхних поперечных балок прямоугольного или трапецеидального сечения поперечных переборок определяется согласно пункту 175 настоящих Правил для трюмов, заполняемых жидким грузом (балластом). В любом случае расчетное давление не меньше определяемого по формуле (21) настоящих Правил, а для верхних поперечных балок — также согласно пункту 442 настоящих Правил.</w:t>
      </w:r>
    </w:p>
    <w:bookmarkEnd w:id="2498"/>
    <w:bookmarkStart w:name="z2506" w:id="2499"/>
    <w:p>
      <w:pPr>
        <w:spacing w:after="0"/>
        <w:ind w:left="0"/>
        <w:jc w:val="both"/>
      </w:pPr>
      <w:r>
        <w:rPr>
          <w:rFonts w:ascii="Times New Roman"/>
          <w:b w:val="false"/>
          <w:i w:val="false"/>
          <w:color w:val="000000"/>
          <w:sz w:val="28"/>
        </w:rPr>
        <w:t>
      652. Если скуловые и (или) подпалубные цистерны, нижние опоры и (или) верхние балки поперечных переборок, пространство внутри коффердамных переборок и (или) двойного борта используются в качестве цистерн, при определении расчетного давления учитывается давление изнутри согласно пункту 175 настоящих Правил.</w:t>
      </w:r>
    </w:p>
    <w:bookmarkEnd w:id="2499"/>
    <w:bookmarkStart w:name="z2507" w:id="2500"/>
    <w:p>
      <w:pPr>
        <w:spacing w:after="0"/>
        <w:ind w:left="0"/>
        <w:jc w:val="left"/>
      </w:pPr>
      <w:r>
        <w:rPr>
          <w:rFonts w:ascii="Times New Roman"/>
          <w:b/>
          <w:i w:val="false"/>
          <w:color w:val="000000"/>
        </w:rPr>
        <w:t xml:space="preserve"> Параграф 4. Размеры конструктивных элементов</w:t>
      </w:r>
    </w:p>
    <w:bookmarkEnd w:id="2500"/>
    <w:bookmarkStart w:name="z2508" w:id="2501"/>
    <w:p>
      <w:pPr>
        <w:spacing w:after="0"/>
        <w:ind w:left="0"/>
        <w:jc w:val="both"/>
      </w:pPr>
      <w:r>
        <w:rPr>
          <w:rFonts w:ascii="Times New Roman"/>
          <w:b w:val="false"/>
          <w:i w:val="false"/>
          <w:color w:val="000000"/>
          <w:sz w:val="28"/>
        </w:rPr>
        <w:t>
      653. Размеры конструктивных элементов двойного дна отвечают следующим требованиям:</w:t>
      </w:r>
    </w:p>
    <w:bookmarkEnd w:id="2501"/>
    <w:bookmarkStart w:name="z2509" w:id="2502"/>
    <w:p>
      <w:pPr>
        <w:spacing w:after="0"/>
        <w:ind w:left="0"/>
        <w:jc w:val="both"/>
      </w:pPr>
      <w:r>
        <w:rPr>
          <w:rFonts w:ascii="Times New Roman"/>
          <w:b w:val="false"/>
          <w:i w:val="false"/>
          <w:color w:val="000000"/>
          <w:sz w:val="28"/>
        </w:rPr>
        <w:t>
      1) размеры вертикального киля, стрингеров и флоров определяются на основании расчетов прочности днищевых перекрытий при расчетном давлении, указанном в параграфе 3 главы 31 настоящих Правил, и следующих коэффициентах допускаемых напряжений:</w:t>
      </w:r>
    </w:p>
    <w:bookmarkEnd w:id="2502"/>
    <w:bookmarkStart w:name="z2510" w:id="2503"/>
    <w:p>
      <w:pPr>
        <w:spacing w:after="0"/>
        <w:ind w:left="0"/>
        <w:jc w:val="both"/>
      </w:pPr>
      <w:r>
        <w:rPr>
          <w:rFonts w:ascii="Times New Roman"/>
          <w:b w:val="false"/>
          <w:i w:val="false"/>
          <w:color w:val="000000"/>
          <w:sz w:val="28"/>
        </w:rPr>
        <w:t>
      для вертикального киля и стрингеров:</w:t>
      </w:r>
    </w:p>
    <w:bookmarkEnd w:id="25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 — в средней части судна при определении напряжений в наружной обшивке;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0,35k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 — в средней части судна при определении напряжений в настиле второго 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 в оконечностях в пределах участка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флоров: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проверке прочности по касательным напряжениям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(86) настоящих Правил.</w:t>
      </w:r>
    </w:p>
    <w:bookmarkStart w:name="z2511" w:id="2504"/>
    <w:p>
      <w:pPr>
        <w:spacing w:after="0"/>
        <w:ind w:left="0"/>
        <w:jc w:val="both"/>
      </w:pPr>
      <w:r>
        <w:rPr>
          <w:rFonts w:ascii="Times New Roman"/>
          <w:b w:val="false"/>
          <w:i w:val="false"/>
          <w:color w:val="000000"/>
          <w:sz w:val="28"/>
        </w:rPr>
        <w:t>
      Если по условиям эксплуатации предусматривается чередование пустых и загруженных трюмов, это учитывают в расчете прочности днищевого перекрытия при определении коэффициентов податливости заделок вертикального киля и днищевых стрингеров на опорном контуре перекрытия. Допускается учет конечной податливости заделок концов флоров за счет жесткости на кручении скуловых цистерн. Перекрытие рассматривается как система перекрестных связей (стержневая идеализация).</w:t>
      </w:r>
    </w:p>
    <w:bookmarkEnd w:id="2504"/>
    <w:bookmarkStart w:name="z2512" w:id="2505"/>
    <w:p>
      <w:pPr>
        <w:spacing w:after="0"/>
        <w:ind w:left="0"/>
        <w:jc w:val="both"/>
      </w:pPr>
      <w:r>
        <w:rPr>
          <w:rFonts w:ascii="Times New Roman"/>
          <w:b w:val="false"/>
          <w:i w:val="false"/>
          <w:color w:val="000000"/>
          <w:sz w:val="28"/>
        </w:rPr>
        <w:t>
      2) момент сопротивления балок основного набора днища определяется согласно пункту 362 настоящих Правил при следующих коэффициентах допускаемых напряжений:</w:t>
      </w:r>
    </w:p>
    <w:bookmarkEnd w:id="2505"/>
    <w:bookmarkStart w:name="z2513" w:id="2506"/>
    <w:p>
      <w:pPr>
        <w:spacing w:after="0"/>
        <w:ind w:left="0"/>
        <w:jc w:val="both"/>
      </w:pPr>
      <w:r>
        <w:rPr>
          <w:rFonts w:ascii="Times New Roman"/>
          <w:b w:val="false"/>
          <w:i w:val="false"/>
          <w:color w:val="000000"/>
          <w:sz w:val="28"/>
        </w:rPr>
        <w:t>
      для продольных балок:</w:t>
      </w:r>
    </w:p>
    <w:bookmarkEnd w:id="25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0,4k</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0,65 —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 в оконечностях в пределах участка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bookmarkStart w:name="z2514" w:id="2507"/>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bookmarkEnd w:id="250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поперечных балок: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(86) настоящих Правил;</w:t>
      </w:r>
    </w:p>
    <w:bookmarkStart w:name="z2515" w:id="2508"/>
    <w:p>
      <w:pPr>
        <w:spacing w:after="0"/>
        <w:ind w:left="0"/>
        <w:jc w:val="both"/>
      </w:pPr>
      <w:r>
        <w:rPr>
          <w:rFonts w:ascii="Times New Roman"/>
          <w:b w:val="false"/>
          <w:i w:val="false"/>
          <w:color w:val="000000"/>
          <w:sz w:val="28"/>
        </w:rPr>
        <w:t>
      3) момент сопротивления балок основного набора второго дна определяется согласно пункту 362 настоящих Правил при расчетном давлении согласно параграфу 3 главы 31 настоящих Правил и следующих коэффициентах допускаемых напряжений:</w:t>
      </w:r>
    </w:p>
    <w:bookmarkEnd w:id="2508"/>
    <w:bookmarkStart w:name="z2516" w:id="2509"/>
    <w:p>
      <w:pPr>
        <w:spacing w:after="0"/>
        <w:ind w:left="0"/>
        <w:jc w:val="both"/>
      </w:pPr>
      <w:r>
        <w:rPr>
          <w:rFonts w:ascii="Times New Roman"/>
          <w:b w:val="false"/>
          <w:i w:val="false"/>
          <w:color w:val="000000"/>
          <w:sz w:val="28"/>
        </w:rPr>
        <w:t>
      для продольных балок:</w:t>
      </w:r>
    </w:p>
    <w:bookmarkEnd w:id="25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0,5k</w:t>
      </w:r>
      <w:r>
        <w:rPr>
          <w:rFonts w:ascii="Times New Roman"/>
          <w:b w:val="false"/>
          <w:i w:val="false"/>
          <w:color w:val="000000"/>
          <w:vertAlign w:val="subscript"/>
        </w:rPr>
        <w:t>В</w:t>
      </w:r>
      <w:r>
        <w:rPr>
          <w:rFonts w:ascii="Times New Roman"/>
          <w:b w:val="false"/>
          <w:i w:val="false"/>
          <w:color w:val="000000"/>
          <w:sz w:val="28"/>
        </w:rPr>
        <w:t xml:space="preserve">  0,75 — в средней части судна;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 в оконечностях в пределах участка 0,1</w:t>
      </w:r>
      <w:r>
        <w:rPr>
          <w:rFonts w:ascii="Times New Roman"/>
          <w:b w:val="false"/>
          <w:i/>
          <w:color w:val="000000"/>
          <w:sz w:val="28"/>
        </w:rPr>
        <w:t>L</w:t>
      </w:r>
      <w:r>
        <w:rPr>
          <w:rFonts w:ascii="Times New Roman"/>
          <w:b w:val="false"/>
          <w:i w:val="false"/>
          <w:color w:val="000000"/>
          <w:sz w:val="28"/>
        </w:rPr>
        <w:t xml:space="preserve"> от носового или кормового перпендикуляра.</w:t>
      </w:r>
      <w:r>
        <w:br/>
      </w:r>
      <w:r>
        <w:rPr>
          <w:rFonts w:ascii="Times New Roman"/>
          <w:b w:val="false"/>
          <w:i w:val="false"/>
          <w:color w:val="000000"/>
          <w:sz w:val="28"/>
        </w:rPr>
        <w:t>
</w:t>
      </w:r>
    </w:p>
    <w:bookmarkStart w:name="z2517" w:id="2510"/>
    <w:p>
      <w:pPr>
        <w:spacing w:after="0"/>
        <w:ind w:left="0"/>
        <w:jc w:val="both"/>
      </w:pPr>
      <w:r>
        <w:rPr>
          <w:rFonts w:ascii="Times New Roman"/>
          <w:b w:val="false"/>
          <w:i w:val="false"/>
          <w:color w:val="000000"/>
          <w:sz w:val="28"/>
        </w:rPr>
        <w:t xml:space="preserve">
      Для промежуточных районов между средней частью и указанными участками оконечностей </w:t>
      </w:r>
    </w:p>
    <w:bookmarkEnd w:id="2510"/>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линейной интерполяцией;</w:t>
      </w:r>
      <w:r>
        <w:br/>
      </w:r>
      <w:r>
        <w:rPr>
          <w:rFonts w:ascii="Times New Roman"/>
          <w:b w:val="false"/>
          <w:i w:val="false"/>
          <w:color w:val="000000"/>
          <w:sz w:val="28"/>
        </w:rPr>
        <w:t>
</w:t>
      </w:r>
    </w:p>
    <w:bookmarkStart w:name="z2518" w:id="2511"/>
    <w:p>
      <w:pPr>
        <w:spacing w:after="0"/>
        <w:ind w:left="0"/>
        <w:jc w:val="both"/>
      </w:pPr>
      <w:r>
        <w:rPr>
          <w:rFonts w:ascii="Times New Roman"/>
          <w:b w:val="false"/>
          <w:i w:val="false"/>
          <w:color w:val="000000"/>
          <w:sz w:val="28"/>
        </w:rPr>
        <w:t>
      для поперечных балок:</w:t>
      </w:r>
    </w:p>
    <w:bookmarkEnd w:id="25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В</w:t>
      </w:r>
      <w:r>
        <w:rPr>
          <w:rFonts w:ascii="Times New Roman"/>
          <w:b w:val="false"/>
          <w:i w:val="false"/>
          <w:color w:val="000000"/>
          <w:sz w:val="28"/>
        </w:rPr>
        <w:t xml:space="preserve"> определяется по формуле (86) настоящих Правил.</w:t>
      </w:r>
    </w:p>
    <w:bookmarkStart w:name="z2519" w:id="2512"/>
    <w:p>
      <w:pPr>
        <w:spacing w:after="0"/>
        <w:ind w:left="0"/>
        <w:jc w:val="both"/>
      </w:pPr>
      <w:r>
        <w:rPr>
          <w:rFonts w:ascii="Times New Roman"/>
          <w:b w:val="false"/>
          <w:i w:val="false"/>
          <w:color w:val="000000"/>
          <w:sz w:val="28"/>
        </w:rPr>
        <w:t>
      654. Необходимо чтобы размеры конструктивных элементов скуловых цистерн отвечали следующим требованиям:</w:t>
      </w:r>
    </w:p>
    <w:bookmarkEnd w:id="2512"/>
    <w:bookmarkStart w:name="z2520" w:id="2513"/>
    <w:p>
      <w:pPr>
        <w:spacing w:after="0"/>
        <w:ind w:left="0"/>
        <w:jc w:val="both"/>
      </w:pPr>
      <w:r>
        <w:rPr>
          <w:rFonts w:ascii="Times New Roman"/>
          <w:b w:val="false"/>
          <w:i w:val="false"/>
          <w:color w:val="000000"/>
          <w:sz w:val="28"/>
        </w:rPr>
        <w:t>
      1) толщина обшивки наклонной стенки равна не менее определяемой по формуле (57) настоящих Правил. При этом:</w:t>
      </w:r>
    </w:p>
    <w:bookmarkEnd w:id="251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главы 31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для обшивки продольных переборок наливных судов согласно пункта 444 настоящих Правил, но не более чем для настила второго дна согласно подпункту 1) пункта 361 настоящих Правил.</w:t>
      </w:r>
      <w:r>
        <w:br/>
      </w:r>
      <w:r>
        <w:rPr>
          <w:rFonts w:ascii="Times New Roman"/>
          <w:b w:val="false"/>
          <w:i w:val="false"/>
          <w:color w:val="000000"/>
          <w:sz w:val="28"/>
        </w:rPr>
        <w:t>
</w:t>
      </w:r>
    </w:p>
    <w:bookmarkStart w:name="z2521" w:id="2514"/>
    <w:p>
      <w:pPr>
        <w:spacing w:after="0"/>
        <w:ind w:left="0"/>
        <w:jc w:val="both"/>
      </w:pPr>
      <w:r>
        <w:rPr>
          <w:rFonts w:ascii="Times New Roman"/>
          <w:b w:val="false"/>
          <w:i w:val="false"/>
          <w:color w:val="000000"/>
          <w:sz w:val="28"/>
        </w:rPr>
        <w:t>
      Толщина нижнего листа обшивки равна не меньше толщины примыкающего к нему листа второго дна. Толщина остальных листов обшивки, мм, равна не менее определяемой по формуле:</w:t>
      </w:r>
    </w:p>
    <w:bookmarkEnd w:id="2514"/>
    <w:p>
      <w:pPr>
        <w:spacing w:after="0"/>
        <w:ind w:left="0"/>
        <w:jc w:val="both"/>
      </w:pPr>
      <w:r>
        <w:rPr>
          <w:rFonts w:ascii="Times New Roman"/>
          <w:b w:val="false"/>
          <w:i w:val="false"/>
          <w:color w:val="000000"/>
          <w:sz w:val="28"/>
        </w:rPr>
        <w:t>
      s = (7 + 0,035L)</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(203)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не более толщины нижнего листа,</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принимается по приложению 8 настоящих Правил.</w:t>
      </w:r>
      <w:r>
        <w:br/>
      </w:r>
      <w:r>
        <w:rPr>
          <w:rFonts w:ascii="Times New Roman"/>
          <w:b w:val="false"/>
          <w:i w:val="false"/>
          <w:color w:val="000000"/>
          <w:sz w:val="28"/>
        </w:rPr>
        <w:t>
</w:t>
      </w:r>
    </w:p>
    <w:bookmarkStart w:name="z2522" w:id="2515"/>
    <w:p>
      <w:pPr>
        <w:spacing w:after="0"/>
        <w:ind w:left="0"/>
        <w:jc w:val="both"/>
      </w:pPr>
      <w:r>
        <w:rPr>
          <w:rFonts w:ascii="Times New Roman"/>
          <w:b w:val="false"/>
          <w:i w:val="false"/>
          <w:color w:val="000000"/>
          <w:sz w:val="28"/>
        </w:rPr>
        <w:t>
      Если трюм и/или цистерна используется для перевозки нефти, нефтепродуктов или балласта, толщина равна не менее требуемой в параграфе 3 главы 33 настоящих Правил;</w:t>
      </w:r>
    </w:p>
    <w:bookmarkEnd w:id="2515"/>
    <w:bookmarkStart w:name="z2523" w:id="2516"/>
    <w:p>
      <w:pPr>
        <w:spacing w:after="0"/>
        <w:ind w:left="0"/>
        <w:jc w:val="both"/>
      </w:pPr>
      <w:r>
        <w:rPr>
          <w:rFonts w:ascii="Times New Roman"/>
          <w:b w:val="false"/>
          <w:i w:val="false"/>
          <w:color w:val="000000"/>
          <w:sz w:val="28"/>
        </w:rPr>
        <w:t>
      2) момент сопротивления основного набора наклонной стенки равен не менее определяемого в пунктах 246 и 247 настоящих Правил. При этом:</w:t>
      </w:r>
    </w:p>
    <w:bookmarkEnd w:id="251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главы 31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 — для поперечных балок;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 — для продольных балок;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для балок основного набора продольных переборок наливных судов согласно пункту 450 настоящих Правил, но не более, чем для балок основного набора второго дна согласно подпункта 3) пункта 653 настоящих Правил.</w:t>
      </w:r>
      <w:r>
        <w:br/>
      </w:r>
      <w:r>
        <w:rPr>
          <w:rFonts w:ascii="Times New Roman"/>
          <w:b w:val="false"/>
          <w:i w:val="false"/>
          <w:color w:val="000000"/>
          <w:sz w:val="28"/>
        </w:rPr>
        <w:t>
</w:t>
      </w:r>
    </w:p>
    <w:bookmarkStart w:name="z2524" w:id="2517"/>
    <w:p>
      <w:pPr>
        <w:spacing w:after="0"/>
        <w:ind w:left="0"/>
        <w:jc w:val="both"/>
      </w:pPr>
      <w:r>
        <w:rPr>
          <w:rFonts w:ascii="Times New Roman"/>
          <w:b w:val="false"/>
          <w:i w:val="false"/>
          <w:color w:val="000000"/>
          <w:sz w:val="28"/>
        </w:rPr>
        <w:t>
      Продольные балки отвечают требованиям устойчивости согласно пункту 253 настоящих Правил;</w:t>
      </w:r>
    </w:p>
    <w:bookmarkEnd w:id="2517"/>
    <w:bookmarkStart w:name="z2525" w:id="2518"/>
    <w:p>
      <w:pPr>
        <w:spacing w:after="0"/>
        <w:ind w:left="0"/>
        <w:jc w:val="both"/>
      </w:pPr>
      <w:r>
        <w:rPr>
          <w:rFonts w:ascii="Times New Roman"/>
          <w:b w:val="false"/>
          <w:i w:val="false"/>
          <w:color w:val="000000"/>
          <w:sz w:val="28"/>
        </w:rPr>
        <w:t>
      3) толщина обшивки диафрагм допускается не менее толщины примыкающих к ним сплошных флоров. Ребра жесткости, подкрепляющие диафрагмы с вырезами, отвечают требованиям к ребрам жесткости, подкрепляющим флоры, согласно пункту 277 настоящих Правил.</w:t>
      </w:r>
    </w:p>
    <w:bookmarkEnd w:id="2518"/>
    <w:bookmarkStart w:name="z2526" w:id="2519"/>
    <w:p>
      <w:pPr>
        <w:spacing w:after="0"/>
        <w:ind w:left="0"/>
        <w:jc w:val="both"/>
      </w:pPr>
      <w:r>
        <w:rPr>
          <w:rFonts w:ascii="Times New Roman"/>
          <w:b w:val="false"/>
          <w:i w:val="false"/>
          <w:color w:val="000000"/>
          <w:sz w:val="28"/>
        </w:rPr>
        <w:t>
      Толщина обшивки и размеры подкрепляющего набора водонепроницаемых диафрагм соответствуют требованиям к переборкам цистерн согласно пунктам 444 и 445 настоящих Правил.</w:t>
      </w:r>
    </w:p>
    <w:bookmarkEnd w:id="2519"/>
    <w:bookmarkStart w:name="z2527" w:id="2520"/>
    <w:p>
      <w:pPr>
        <w:spacing w:after="0"/>
        <w:ind w:left="0"/>
        <w:jc w:val="both"/>
      </w:pPr>
      <w:r>
        <w:rPr>
          <w:rFonts w:ascii="Times New Roman"/>
          <w:b w:val="false"/>
          <w:i w:val="false"/>
          <w:color w:val="000000"/>
          <w:sz w:val="28"/>
        </w:rPr>
        <w:t xml:space="preserve">
      655. Если крепление концов шпангоута осуществляется непосредственно к наклонным стенкам цистерн (без переходного горизонтального участка), момент сопротивления опорного сечения </w:t>
      </w:r>
      <w:r>
        <w:rPr>
          <w:rFonts w:ascii="Times New Roman"/>
          <w:b w:val="false"/>
          <w:i/>
          <w:color w:val="000000"/>
          <w:sz w:val="28"/>
        </w:rPr>
        <w:t>W</w:t>
      </w:r>
      <w:r>
        <w:rPr>
          <w:rFonts w:ascii="Times New Roman"/>
          <w:b w:val="false"/>
          <w:i w:val="false"/>
          <w:color w:val="000000"/>
          <w:vertAlign w:val="subscript"/>
        </w:rPr>
        <w:t>oп</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252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oп</w:t>
      </w:r>
      <w:r>
        <w:rPr>
          <w:rFonts w:ascii="Times New Roman"/>
          <w:b w:val="false"/>
          <w:i w:val="false"/>
          <w:color w:val="000000"/>
          <w:sz w:val="28"/>
        </w:rPr>
        <w:t xml:space="preserve"> = W</w:t>
      </w:r>
      <w:r>
        <w:rPr>
          <w:rFonts w:ascii="Times New Roman"/>
          <w:b w:val="false"/>
          <w:i w:val="false"/>
          <w:color w:val="000000"/>
          <w:vertAlign w:val="subscript"/>
        </w:rPr>
        <w:t>0</w:t>
      </w:r>
      <w:r>
        <w:rPr>
          <w:rFonts w:ascii="Times New Roman"/>
          <w:b w:val="false"/>
          <w:i w:val="false"/>
          <w:color w:val="000000"/>
          <w:sz w:val="28"/>
        </w:rPr>
        <w:t>/cos</w:t>
      </w:r>
      <w:r>
        <w:rPr>
          <w:rFonts w:ascii="Times New Roman"/>
          <w:b w:val="false"/>
          <w:i w:val="false"/>
          <w:color w:val="000000"/>
          <w:vertAlign w:val="superscript"/>
        </w:rPr>
        <w:t>2</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(204)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val="false"/>
          <w:color w:val="000000"/>
          <w:sz w:val="28"/>
        </w:rPr>
        <w:t xml:space="preserve"> — требуемый момент сопротивления опорного сечения шпангоута согласно пункту 392 настоящих Правил,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наклона стенки цистерны к основной плоскости, град.</w:t>
      </w:r>
      <w:r>
        <w:br/>
      </w:r>
      <w:r>
        <w:rPr>
          <w:rFonts w:ascii="Times New Roman"/>
          <w:b w:val="false"/>
          <w:i w:val="false"/>
          <w:color w:val="000000"/>
          <w:sz w:val="28"/>
        </w:rPr>
        <w:t>
</w:t>
      </w:r>
    </w:p>
    <w:bookmarkStart w:name="z2528" w:id="2521"/>
    <w:p>
      <w:pPr>
        <w:spacing w:after="0"/>
        <w:ind w:left="0"/>
        <w:jc w:val="both"/>
      </w:pPr>
      <w:r>
        <w:rPr>
          <w:rFonts w:ascii="Times New Roman"/>
          <w:b w:val="false"/>
          <w:i w:val="false"/>
          <w:color w:val="000000"/>
          <w:sz w:val="28"/>
        </w:rPr>
        <w:t>
      656. Размеры шпангоутов отвечают требованиям пункта 408 настоящих Правил, а также следующим требованиям:</w:t>
      </w:r>
    </w:p>
    <w:bookmarkEnd w:id="2521"/>
    <w:bookmarkStart w:name="z2529" w:id="2522"/>
    <w:p>
      <w:pPr>
        <w:spacing w:after="0"/>
        <w:ind w:left="0"/>
        <w:jc w:val="both"/>
      </w:pPr>
      <w:r>
        <w:rPr>
          <w:rFonts w:ascii="Times New Roman"/>
          <w:b w:val="false"/>
          <w:i w:val="false"/>
          <w:color w:val="000000"/>
          <w:sz w:val="28"/>
        </w:rPr>
        <w:t>
      1) толщина стенки шпангоута s</w:t>
      </w:r>
      <w:r>
        <w:rPr>
          <w:rFonts w:ascii="Times New Roman"/>
          <w:b w:val="false"/>
          <w:i w:val="false"/>
          <w:color w:val="000000"/>
          <w:vertAlign w:val="subscript"/>
        </w:rPr>
        <w:t>w</w:t>
      </w:r>
      <w:r>
        <w:rPr>
          <w:rFonts w:ascii="Times New Roman"/>
          <w:b w:val="false"/>
          <w:i w:val="false"/>
          <w:color w:val="000000"/>
          <w:sz w:val="28"/>
        </w:rPr>
        <w:t xml:space="preserve"> </w:t>
      </w:r>
      <w:r>
        <w:rPr>
          <w:rFonts w:ascii="Times New Roman"/>
          <w:b w:val="false"/>
          <w:i w:val="false"/>
          <w:color w:val="000000"/>
          <w:vertAlign w:val="subscript"/>
        </w:rPr>
        <w:t>min</w:t>
      </w:r>
      <w:r>
        <w:rPr>
          <w:rFonts w:ascii="Times New Roman"/>
          <w:b w:val="false"/>
          <w:i w:val="false"/>
          <w:color w:val="000000"/>
          <w:sz w:val="28"/>
        </w:rPr>
        <w:t>, мм, равна не менее определяемой по формуле:</w:t>
      </w:r>
    </w:p>
    <w:bookmarkEnd w:id="2522"/>
    <w:p>
      <w:pPr>
        <w:spacing w:after="0"/>
        <w:ind w:left="0"/>
        <w:jc w:val="both"/>
      </w:pPr>
      <w:r>
        <w:rPr>
          <w:rFonts w:ascii="Times New Roman"/>
          <w:b w:val="false"/>
          <w:i w:val="false"/>
          <w:color w:val="000000"/>
          <w:sz w:val="28"/>
        </w:rPr>
        <w:t>
                                    s</w:t>
      </w:r>
      <w:r>
        <w:rPr>
          <w:rFonts w:ascii="Times New Roman"/>
          <w:b w:val="false"/>
          <w:i w:val="false"/>
          <w:color w:val="000000"/>
          <w:vertAlign w:val="subscript"/>
        </w:rPr>
        <w:t>w min</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(7 + 0,03</w:t>
      </w:r>
      <w:r>
        <w:rPr>
          <w:rFonts w:ascii="Times New Roman"/>
          <w:b w:val="false"/>
          <w:i/>
          <w:color w:val="000000"/>
          <w:sz w:val="28"/>
        </w:rPr>
        <w:t>L</w:t>
      </w:r>
      <w:r>
        <w:rPr>
          <w:rFonts w:ascii="Times New Roman"/>
          <w:b w:val="false"/>
          <w:i w:val="false"/>
          <w:color w:val="000000"/>
          <w:sz w:val="28"/>
        </w:rPr>
        <w:t>),             (205)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1,15 — для шпангоутов первого носового трюма,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1,0 — для шпангоутов остальных трюмов;</w:t>
      </w:r>
    </w:p>
    <w:bookmarkStart w:name="z2530" w:id="2523"/>
    <w:p>
      <w:pPr>
        <w:spacing w:after="0"/>
        <w:ind w:left="0"/>
        <w:jc w:val="both"/>
      </w:pPr>
      <w:r>
        <w:rPr>
          <w:rFonts w:ascii="Times New Roman"/>
          <w:b w:val="false"/>
          <w:i w:val="false"/>
          <w:color w:val="000000"/>
          <w:sz w:val="28"/>
        </w:rPr>
        <w:t>
      2) толщина кницы, соединяющий нижний конец шпангоута со скуловой цистерной, принимают не менее толщины стенки шпангоута или s</w:t>
      </w:r>
      <w:r>
        <w:rPr>
          <w:rFonts w:ascii="Times New Roman"/>
          <w:b w:val="false"/>
          <w:i w:val="false"/>
          <w:color w:val="000000"/>
          <w:vertAlign w:val="subscript"/>
        </w:rPr>
        <w:t>w min</w:t>
      </w:r>
      <w:r>
        <w:rPr>
          <w:rFonts w:ascii="Times New Roman"/>
          <w:b w:val="false"/>
          <w:i w:val="false"/>
          <w:color w:val="000000"/>
          <w:sz w:val="28"/>
        </w:rPr>
        <w:t xml:space="preserve"> + 2, мм, в зависимости от того, что больше. Толщина кницы, соединяющий верхний конец шпангоута с подпалубной цистерной, равна не менее толщины стенки шпангоута;</w:t>
      </w:r>
    </w:p>
    <w:bookmarkEnd w:id="2523"/>
    <w:bookmarkStart w:name="z2531" w:id="2524"/>
    <w:p>
      <w:pPr>
        <w:spacing w:after="0"/>
        <w:ind w:left="0"/>
        <w:jc w:val="both"/>
      </w:pPr>
      <w:r>
        <w:rPr>
          <w:rFonts w:ascii="Times New Roman"/>
          <w:b w:val="false"/>
          <w:i w:val="false"/>
          <w:color w:val="000000"/>
          <w:sz w:val="28"/>
        </w:rPr>
        <w:t>
      3) фактический момент сопротивления шпангоута в опорном сечении с учетом попадающей в это сечение кницы и присоединенного пояска наружной обшивки принимают не менее, удвоенного требуемого момента сопротивления в пролете шпангоута.</w:t>
      </w:r>
    </w:p>
    <w:bookmarkEnd w:id="2524"/>
    <w:bookmarkStart w:name="z2532" w:id="2525"/>
    <w:p>
      <w:pPr>
        <w:spacing w:after="0"/>
        <w:ind w:left="0"/>
        <w:jc w:val="both"/>
      </w:pPr>
      <w:r>
        <w:rPr>
          <w:rFonts w:ascii="Times New Roman"/>
          <w:b w:val="false"/>
          <w:i w:val="false"/>
          <w:color w:val="000000"/>
          <w:sz w:val="28"/>
        </w:rPr>
        <w:t>
      657. Необходимо чтобы размеры конструктивных элементов подпалубных цистерн отвечали следующим требованиям:</w:t>
      </w:r>
    </w:p>
    <w:bookmarkEnd w:id="2525"/>
    <w:bookmarkStart w:name="z2533" w:id="2526"/>
    <w:p>
      <w:pPr>
        <w:spacing w:after="0"/>
        <w:ind w:left="0"/>
        <w:jc w:val="both"/>
      </w:pPr>
      <w:r>
        <w:rPr>
          <w:rFonts w:ascii="Times New Roman"/>
          <w:b w:val="false"/>
          <w:i w:val="false"/>
          <w:color w:val="000000"/>
          <w:sz w:val="28"/>
        </w:rPr>
        <w:t>
      1) толщина обшивки вертикальной и наклонной стенок равна не менее определяемой по формуле (57) настоящих Правил. При этом:</w:t>
      </w:r>
    </w:p>
    <w:bookmarkEnd w:id="252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для обшивки продольных переборок наливных судов согласно пункта 444 настоящих Правил.</w:t>
      </w:r>
      <w:r>
        <w:br/>
      </w:r>
      <w:r>
        <w:rPr>
          <w:rFonts w:ascii="Times New Roman"/>
          <w:b w:val="false"/>
          <w:i w:val="false"/>
          <w:color w:val="000000"/>
          <w:sz w:val="28"/>
        </w:rPr>
        <w:t>
</w:t>
      </w:r>
    </w:p>
    <w:bookmarkStart w:name="z2534" w:id="2527"/>
    <w:p>
      <w:pPr>
        <w:spacing w:after="0"/>
        <w:ind w:left="0"/>
        <w:jc w:val="both"/>
      </w:pPr>
      <w:r>
        <w:rPr>
          <w:rFonts w:ascii="Times New Roman"/>
          <w:b w:val="false"/>
          <w:i w:val="false"/>
          <w:color w:val="000000"/>
          <w:sz w:val="28"/>
        </w:rPr>
        <w:t>
      Толщина обшивки вертикальной стенки и примыкающего к ней листа наклонной стенки, мм, равна не менее определяемой по формуле:</w:t>
      </w:r>
    </w:p>
    <w:bookmarkEnd w:id="2527"/>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10 + 0,025</w:t>
      </w:r>
      <w:r>
        <w:rPr>
          <w:rFonts w:ascii="Times New Roman"/>
          <w:b w:val="false"/>
          <w:i/>
          <w:color w:val="000000"/>
          <w:sz w:val="28"/>
        </w:rPr>
        <w:t>L</w:t>
      </w:r>
      <w:r>
        <w:rPr>
          <w:rFonts w:ascii="Times New Roman"/>
          <w:b w:val="false"/>
          <w:i w:val="false"/>
          <w:color w:val="000000"/>
          <w:sz w:val="28"/>
        </w:rPr>
        <w:t>.                (206)</w:t>
      </w:r>
    </w:p>
    <w:bookmarkStart w:name="z2535" w:id="2528"/>
    <w:p>
      <w:pPr>
        <w:spacing w:after="0"/>
        <w:ind w:left="0"/>
        <w:jc w:val="both"/>
      </w:pPr>
      <w:r>
        <w:rPr>
          <w:rFonts w:ascii="Times New Roman"/>
          <w:b w:val="false"/>
          <w:i w:val="false"/>
          <w:color w:val="000000"/>
          <w:sz w:val="28"/>
        </w:rPr>
        <w:t>
      Для остальных листов обшивки наклонной стенки толщина равна не менее определяемой по формуле (130) настоящих Правил. Если трюм и (или) цистерна используется для перевозки нефти, нефтепродуктов или балласта, толщина допускается не менее требуемой в параграфе 3 главы 33 настоящих Правил;</w:t>
      </w:r>
    </w:p>
    <w:bookmarkEnd w:id="2528"/>
    <w:bookmarkStart w:name="z2536" w:id="2529"/>
    <w:p>
      <w:pPr>
        <w:spacing w:after="0"/>
        <w:ind w:left="0"/>
        <w:jc w:val="both"/>
      </w:pPr>
      <w:r>
        <w:rPr>
          <w:rFonts w:ascii="Times New Roman"/>
          <w:b w:val="false"/>
          <w:i w:val="false"/>
          <w:color w:val="000000"/>
          <w:sz w:val="28"/>
        </w:rPr>
        <w:t>
      2) момент сопротивления продольных балок вертикальной и наклонной стенок равен не менее определяемого в пунктах 246 и 247 настоящих Правил. При этом:</w:t>
      </w:r>
    </w:p>
    <w:bookmarkEnd w:id="252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 но не менее 25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как для горизонтальных балок продольных переборок наливных судов согласно пункта 450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Продольные балки вертикальной и наклонной стенок отвечают требованиям устойчивости согласно пункту 253 настоящих Правил;</w:t>
      </w:r>
    </w:p>
    <w:bookmarkStart w:name="z2537" w:id="2530"/>
    <w:p>
      <w:pPr>
        <w:spacing w:after="0"/>
        <w:ind w:left="0"/>
        <w:jc w:val="both"/>
      </w:pPr>
      <w:r>
        <w:rPr>
          <w:rFonts w:ascii="Times New Roman"/>
          <w:b w:val="false"/>
          <w:i w:val="false"/>
          <w:color w:val="000000"/>
          <w:sz w:val="28"/>
        </w:rPr>
        <w:t>
      3) момент сопротивления поперечной рамной балки наклонной стенки приниматеся не менее определяемого в пункте в пунктах 246 и 247, а площадь сечения ее стенки — не менее определяемой в пункте 248 настоящих Правил. При этом:</w:t>
      </w:r>
    </w:p>
    <w:bookmarkEnd w:id="253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расчетная нагрузка согласно параграфу 3 настоящей главы Правил, но не менее 25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0,75;</w:t>
      </w:r>
      <w:r>
        <w:br/>
      </w:r>
      <w:r>
        <w:rPr>
          <w:rFonts w:ascii="Times New Roman"/>
          <w:b w:val="false"/>
          <w:i w:val="false"/>
          <w:color w:val="000000"/>
          <w:sz w:val="28"/>
        </w:rPr>
        <w:t>
</w:t>
      </w:r>
    </w:p>
    <w:bookmarkStart w:name="z2538" w:id="2531"/>
    <w:p>
      <w:pPr>
        <w:spacing w:after="0"/>
        <w:ind w:left="0"/>
        <w:jc w:val="both"/>
      </w:pPr>
      <w:r>
        <w:rPr>
          <w:rFonts w:ascii="Times New Roman"/>
          <w:b w:val="false"/>
          <w:i w:val="false"/>
          <w:color w:val="000000"/>
          <w:sz w:val="28"/>
        </w:rPr>
        <w:t>
      4) момент сопротивления и площадь поперечного сечения стенки рамного бимса внутри цистерны отвечают требованиям пункта 412 настоящих Правил.</w:t>
      </w:r>
    </w:p>
    <w:bookmarkEnd w:id="2531"/>
    <w:bookmarkStart w:name="z2539" w:id="2532"/>
    <w:p>
      <w:pPr>
        <w:spacing w:after="0"/>
        <w:ind w:left="0"/>
        <w:jc w:val="both"/>
      </w:pPr>
      <w:r>
        <w:rPr>
          <w:rFonts w:ascii="Times New Roman"/>
          <w:b w:val="false"/>
          <w:i w:val="false"/>
          <w:color w:val="000000"/>
          <w:sz w:val="28"/>
        </w:rPr>
        <w:t xml:space="preserve">
      Необходимо чтобы момент сопротивления и площадь поперечного сечения стенки рамного шпангоута внутри цистерны соответствовали бы требованиям пункта 384 настоящих Правил при </w:t>
      </w:r>
      <w:r>
        <w:rPr>
          <w:rFonts w:ascii="Times New Roman"/>
          <w:b w:val="false"/>
          <w:i/>
          <w:color w:val="000000"/>
          <w:sz w:val="28"/>
        </w:rPr>
        <w:t>m</w:t>
      </w:r>
      <w:r>
        <w:rPr>
          <w:rFonts w:ascii="Times New Roman"/>
          <w:b w:val="false"/>
          <w:i w:val="false"/>
          <w:color w:val="000000"/>
          <w:sz w:val="28"/>
        </w:rPr>
        <w:t xml:space="preserve"> = 10.</w:t>
      </w:r>
    </w:p>
    <w:bookmarkEnd w:id="2532"/>
    <w:bookmarkStart w:name="z2540" w:id="2533"/>
    <w:p>
      <w:pPr>
        <w:spacing w:after="0"/>
        <w:ind w:left="0"/>
        <w:jc w:val="both"/>
      </w:pPr>
      <w:r>
        <w:rPr>
          <w:rFonts w:ascii="Times New Roman"/>
          <w:b w:val="false"/>
          <w:i w:val="false"/>
          <w:color w:val="000000"/>
          <w:sz w:val="28"/>
        </w:rPr>
        <w:t>
      Момент сопротивления и площадь поперечного сечения стенки рамной стойки вертикальной стенки цистерны вычисляются как средние значения указанных величин для рамного бимса и рамной балки наклонной стенки;</w:t>
      </w:r>
    </w:p>
    <w:bookmarkEnd w:id="2533"/>
    <w:bookmarkStart w:name="z2541" w:id="2534"/>
    <w:p>
      <w:pPr>
        <w:spacing w:after="0"/>
        <w:ind w:left="0"/>
        <w:jc w:val="both"/>
      </w:pPr>
      <w:r>
        <w:rPr>
          <w:rFonts w:ascii="Times New Roman"/>
          <w:b w:val="false"/>
          <w:i w:val="false"/>
          <w:color w:val="000000"/>
          <w:sz w:val="28"/>
        </w:rPr>
        <w:t>
      5) толщина обшивки переборок, устанавливаемых в цистернах в плоскости поперечных переборок трюмов, принимается не менее толщины листов этих переборок на том же отстоянии от настила второго дна. Ребра жесткости, подкрепляющие обшивку переборок, соответствуют требованиям к основному набору переборок цистерн согласно пункту 450 настоящих Правил;</w:t>
      </w:r>
    </w:p>
    <w:bookmarkEnd w:id="2534"/>
    <w:bookmarkStart w:name="z2542" w:id="2535"/>
    <w:p>
      <w:pPr>
        <w:spacing w:after="0"/>
        <w:ind w:left="0"/>
        <w:jc w:val="both"/>
      </w:pPr>
      <w:r>
        <w:rPr>
          <w:rFonts w:ascii="Times New Roman"/>
          <w:b w:val="false"/>
          <w:i w:val="false"/>
          <w:color w:val="000000"/>
          <w:sz w:val="28"/>
        </w:rPr>
        <w:t>
      6) толщина бракет, подкрепляющих вертикальную стенку цистерны, и книц, устанавливаемых в нижнем углу цистерны, равна не менее 10 мм.</w:t>
      </w:r>
    </w:p>
    <w:bookmarkEnd w:id="2535"/>
    <w:bookmarkStart w:name="z2543" w:id="2536"/>
    <w:p>
      <w:pPr>
        <w:spacing w:after="0"/>
        <w:ind w:left="0"/>
        <w:jc w:val="both"/>
      </w:pPr>
      <w:r>
        <w:rPr>
          <w:rFonts w:ascii="Times New Roman"/>
          <w:b w:val="false"/>
          <w:i w:val="false"/>
          <w:color w:val="000000"/>
          <w:sz w:val="28"/>
        </w:rPr>
        <w:t>
      658. В любом случае толщина обшивки трюмных переборок и их гофров равна не менее 10 мм.</w:t>
      </w:r>
    </w:p>
    <w:bookmarkEnd w:id="2536"/>
    <w:bookmarkStart w:name="z2544" w:id="2537"/>
    <w:p>
      <w:pPr>
        <w:spacing w:after="0"/>
        <w:ind w:left="0"/>
        <w:jc w:val="both"/>
      </w:pPr>
      <w:r>
        <w:rPr>
          <w:rFonts w:ascii="Times New Roman"/>
          <w:b w:val="false"/>
          <w:i w:val="false"/>
          <w:color w:val="000000"/>
          <w:sz w:val="28"/>
        </w:rPr>
        <w:t>
      В длину пролета вертикальных гофров трюмных переборок не включается высота верхней поперечной балки прямоугольного (трапецеидального) сечения, нижней трапецеидальной опоры и двойного дна.</w:t>
      </w:r>
    </w:p>
    <w:bookmarkEnd w:id="2537"/>
    <w:bookmarkStart w:name="z2545" w:id="2538"/>
    <w:p>
      <w:pPr>
        <w:spacing w:after="0"/>
        <w:ind w:left="0"/>
        <w:jc w:val="both"/>
      </w:pPr>
      <w:r>
        <w:rPr>
          <w:rFonts w:ascii="Times New Roman"/>
          <w:b w:val="false"/>
          <w:i w:val="false"/>
          <w:color w:val="000000"/>
          <w:sz w:val="28"/>
        </w:rPr>
        <w:t>
      659. Размеры конструктивных элементов нижней трапецеидальной опоры поперечной переборки отвечают следующим требованиям:</w:t>
      </w:r>
    </w:p>
    <w:bookmarkEnd w:id="2538"/>
    <w:bookmarkStart w:name="z2546" w:id="2539"/>
    <w:p>
      <w:pPr>
        <w:spacing w:after="0"/>
        <w:ind w:left="0"/>
        <w:jc w:val="both"/>
      </w:pPr>
      <w:r>
        <w:rPr>
          <w:rFonts w:ascii="Times New Roman"/>
          <w:b w:val="false"/>
          <w:i w:val="false"/>
          <w:color w:val="000000"/>
          <w:sz w:val="28"/>
        </w:rPr>
        <w:t>
      1) толщина горизонтального и наклонного листов допускается не менее определяемой по формуле (57) настоящих Правил. При этом:</w:t>
      </w:r>
    </w:p>
    <w:bookmarkEnd w:id="253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bookmarkStart w:name="z2547" w:id="2540"/>
    <w:p>
      <w:pPr>
        <w:spacing w:after="0"/>
        <w:ind w:left="0"/>
        <w:jc w:val="both"/>
      </w:pPr>
      <w:r>
        <w:rPr>
          <w:rFonts w:ascii="Times New Roman"/>
          <w:b w:val="false"/>
          <w:i w:val="false"/>
          <w:color w:val="000000"/>
          <w:sz w:val="28"/>
        </w:rPr>
        <w:t>
      Толщина горизонтального листа и верхнего пояса наклонного листа равна не менее толщины гофра, примыкающего к опоре. Толщина нижнего пояса наклонного листа допускается не менее толщины настила второго дна. Толщина остальных поясьев наклонного листа равна не менее, определяемой по формуле (203) настоящих Правил. Если трюм и/или опора используется для перевозки нефти, нефтепродуктов или балласта, толщина равна не менее требуемой в параграфе 3 главы 33 настоящих Правил;</w:t>
      </w:r>
    </w:p>
    <w:bookmarkEnd w:id="2540"/>
    <w:bookmarkStart w:name="z2548" w:id="2541"/>
    <w:p>
      <w:pPr>
        <w:spacing w:after="0"/>
        <w:ind w:left="0"/>
        <w:jc w:val="both"/>
      </w:pPr>
      <w:r>
        <w:rPr>
          <w:rFonts w:ascii="Times New Roman"/>
          <w:b w:val="false"/>
          <w:i w:val="false"/>
          <w:color w:val="000000"/>
          <w:sz w:val="28"/>
        </w:rPr>
        <w:t>
      2) момент сопротивления ребер жесткости наклонного листа принимают не менее определяемого в пунктах 246 и 247 настоящих Правил. При этом:</w:t>
      </w:r>
    </w:p>
    <w:bookmarkEnd w:id="254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2549" w:id="2542"/>
    <w:p>
      <w:pPr>
        <w:spacing w:after="0"/>
        <w:ind w:left="0"/>
        <w:jc w:val="both"/>
      </w:pPr>
      <w:r>
        <w:rPr>
          <w:rFonts w:ascii="Times New Roman"/>
          <w:b w:val="false"/>
          <w:i w:val="false"/>
          <w:color w:val="000000"/>
          <w:sz w:val="28"/>
        </w:rPr>
        <w:t>
      Момент сопротивления ребер жесткости горизонтального листа равен не меньше момента сопротивления ребер жесткости наклонного листа;</w:t>
      </w:r>
    </w:p>
    <w:bookmarkEnd w:id="2542"/>
    <w:bookmarkStart w:name="z2550" w:id="2543"/>
    <w:p>
      <w:pPr>
        <w:spacing w:after="0"/>
        <w:ind w:left="0"/>
        <w:jc w:val="both"/>
      </w:pPr>
      <w:r>
        <w:rPr>
          <w:rFonts w:ascii="Times New Roman"/>
          <w:b w:val="false"/>
          <w:i w:val="false"/>
          <w:color w:val="000000"/>
          <w:sz w:val="28"/>
        </w:rPr>
        <w:t>
      3) толщина диафрагм допускается не меньше толщины днищевых стрингеров. Размеры вырезов в диафрагмах и их подкрепления отвечают требованиям к вырезам и подкреплениям диафрагм скуловых цистерн согласно подпункту 3) пункта 654 настоящих Правил.</w:t>
      </w:r>
    </w:p>
    <w:bookmarkEnd w:id="2543"/>
    <w:bookmarkStart w:name="z2551" w:id="2544"/>
    <w:p>
      <w:pPr>
        <w:spacing w:after="0"/>
        <w:ind w:left="0"/>
        <w:jc w:val="both"/>
      </w:pPr>
      <w:r>
        <w:rPr>
          <w:rFonts w:ascii="Times New Roman"/>
          <w:b w:val="false"/>
          <w:i w:val="false"/>
          <w:color w:val="000000"/>
          <w:sz w:val="28"/>
        </w:rPr>
        <w:t>
      660. Необходимо чтобы размеры конструктивных элементов верхней поперечной балки прямоугольного или трапецеидального сечения поперечной переборки отвечали следующим требованиям:</w:t>
      </w:r>
    </w:p>
    <w:bookmarkEnd w:id="2544"/>
    <w:bookmarkStart w:name="z2552" w:id="2545"/>
    <w:p>
      <w:pPr>
        <w:spacing w:after="0"/>
        <w:ind w:left="0"/>
        <w:jc w:val="both"/>
      </w:pPr>
      <w:r>
        <w:rPr>
          <w:rFonts w:ascii="Times New Roman"/>
          <w:b w:val="false"/>
          <w:i w:val="false"/>
          <w:color w:val="000000"/>
          <w:sz w:val="28"/>
        </w:rPr>
        <w:t>
      1) толщина горизонтального и вертикального (или наклонного) листов равна не менее определяемой по формуле (57) настоящих Правил. При этом:</w:t>
      </w:r>
    </w:p>
    <w:bookmarkEnd w:id="254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bookmarkStart w:name="z2553" w:id="2546"/>
    <w:p>
      <w:pPr>
        <w:spacing w:after="0"/>
        <w:ind w:left="0"/>
        <w:jc w:val="both"/>
      </w:pPr>
      <w:r>
        <w:rPr>
          <w:rFonts w:ascii="Times New Roman"/>
          <w:b w:val="false"/>
          <w:i w:val="false"/>
          <w:color w:val="000000"/>
          <w:sz w:val="28"/>
        </w:rPr>
        <w:t>
      Толщина горизонтального листа и нижнего пояса вертикального (наклонного) листа принимается не менее толщины гофра, примыкающего к балке. Если вертикальный лист лежит в одной плоскости с поперечным комингсом люка, его толщина равна не менее толщины этого комингса согласно пункту 663 настоящих Правил. Такой же принимается толщина верхнего пояса наклонного листа, если его верхняя кромка отстоит от поперечного комингса люка меньше чем на 0,4 м. В любом случае толщина вертикального или наклонного листов равна не менее определяемой по формуле (130) настоящих Правил. Если трюм и (или) внутреннее пространство балки используется для перевозки нефти, нефтепродуктов или балласта, толщина равна не менее требуемой в параграфе 3 главы 33 настоящих Правил;</w:t>
      </w:r>
    </w:p>
    <w:bookmarkEnd w:id="2546"/>
    <w:bookmarkStart w:name="z2554" w:id="2547"/>
    <w:p>
      <w:pPr>
        <w:spacing w:after="0"/>
        <w:ind w:left="0"/>
        <w:jc w:val="both"/>
      </w:pPr>
      <w:r>
        <w:rPr>
          <w:rFonts w:ascii="Times New Roman"/>
          <w:b w:val="false"/>
          <w:i w:val="false"/>
          <w:color w:val="000000"/>
          <w:sz w:val="28"/>
        </w:rPr>
        <w:t>
      2) момент сопротивления ребер жесткости, подкрепляющих вертикальный или наклонный лист, равен не менее определяемого в пункте 246 и 247 настоящих Правил. При этом:</w:t>
      </w:r>
    </w:p>
    <w:bookmarkEnd w:id="254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 но не менее 25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 — для горизонтальных ребер жесткости;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 — для остальных ребер жесткости;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2555" w:id="2548"/>
    <w:p>
      <w:pPr>
        <w:spacing w:after="0"/>
        <w:ind w:left="0"/>
        <w:jc w:val="both"/>
      </w:pPr>
      <w:r>
        <w:rPr>
          <w:rFonts w:ascii="Times New Roman"/>
          <w:b w:val="false"/>
          <w:i w:val="false"/>
          <w:color w:val="000000"/>
          <w:sz w:val="28"/>
        </w:rPr>
        <w:t>
      Момент сопротивления ребер жесткости, подкрепляющих горизонтальный лист, допускается не меньше момента сопротивления ребер жесткости, подкрепляющих вертикальный или наклонный лист;</w:t>
      </w:r>
    </w:p>
    <w:bookmarkEnd w:id="2548"/>
    <w:bookmarkStart w:name="z2556" w:id="2549"/>
    <w:p>
      <w:pPr>
        <w:spacing w:after="0"/>
        <w:ind w:left="0"/>
        <w:jc w:val="both"/>
      </w:pPr>
      <w:r>
        <w:rPr>
          <w:rFonts w:ascii="Times New Roman"/>
          <w:b w:val="false"/>
          <w:i w:val="false"/>
          <w:color w:val="000000"/>
          <w:sz w:val="28"/>
        </w:rPr>
        <w:t>
      3) момент сопротивления рамной балки вертикального или наклонного листа, устанавливаемой в случае применения горизонтальных ребер жесткости согласно подпункту 2) пункта 648, равен не менее определяемого в пунктах 246 и 247 настоящих Правил, а площадь сечения ее стенки — не менее определяемой в пункте 248 настоящих Правил. При этом:</w:t>
      </w:r>
    </w:p>
    <w:bookmarkEnd w:id="254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расчетная нагрузка согласно параграфу 3 настоящей главы Правил, но не менее 25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0,75.</w:t>
      </w:r>
      <w:r>
        <w:br/>
      </w:r>
      <w:r>
        <w:rPr>
          <w:rFonts w:ascii="Times New Roman"/>
          <w:b w:val="false"/>
          <w:i w:val="false"/>
          <w:color w:val="000000"/>
          <w:sz w:val="28"/>
        </w:rPr>
        <w:t>
</w:t>
      </w:r>
    </w:p>
    <w:bookmarkStart w:name="z2557" w:id="2550"/>
    <w:p>
      <w:pPr>
        <w:spacing w:after="0"/>
        <w:ind w:left="0"/>
        <w:jc w:val="both"/>
      </w:pPr>
      <w:r>
        <w:rPr>
          <w:rFonts w:ascii="Times New Roman"/>
          <w:b w:val="false"/>
          <w:i w:val="false"/>
          <w:color w:val="000000"/>
          <w:sz w:val="28"/>
        </w:rPr>
        <w:t>
      Размеры сечения рамных балок, устанавливаемых на горизонтальный лист и под палубой, равны не меньше требуемых для рамной балки вертикального (наклонного) листа;</w:t>
      </w:r>
    </w:p>
    <w:bookmarkEnd w:id="2550"/>
    <w:bookmarkStart w:name="z2558" w:id="2551"/>
    <w:p>
      <w:pPr>
        <w:spacing w:after="0"/>
        <w:ind w:left="0"/>
        <w:jc w:val="both"/>
      </w:pPr>
      <w:r>
        <w:rPr>
          <w:rFonts w:ascii="Times New Roman"/>
          <w:b w:val="false"/>
          <w:i w:val="false"/>
          <w:color w:val="000000"/>
          <w:sz w:val="28"/>
        </w:rPr>
        <w:t>
      4) толщина бракет, устанавливаемых внутри балки для обеспечения эффективного закрепления верхних концов гофров, предусматривается не менее толщины этих гофров в верхней части переборки.</w:t>
      </w:r>
    </w:p>
    <w:bookmarkEnd w:id="2551"/>
    <w:bookmarkStart w:name="z2559" w:id="2552"/>
    <w:p>
      <w:pPr>
        <w:spacing w:after="0"/>
        <w:ind w:left="0"/>
        <w:jc w:val="both"/>
      </w:pPr>
      <w:r>
        <w:rPr>
          <w:rFonts w:ascii="Times New Roman"/>
          <w:b w:val="false"/>
          <w:i w:val="false"/>
          <w:color w:val="000000"/>
          <w:sz w:val="28"/>
        </w:rPr>
        <w:t>
      661. Размеры конструктивных элементов коффердамных переборок отвечают следующим требованиям:</w:t>
      </w:r>
    </w:p>
    <w:bookmarkEnd w:id="2552"/>
    <w:bookmarkStart w:name="z2560" w:id="2553"/>
    <w:p>
      <w:pPr>
        <w:spacing w:after="0"/>
        <w:ind w:left="0"/>
        <w:jc w:val="both"/>
      </w:pPr>
      <w:r>
        <w:rPr>
          <w:rFonts w:ascii="Times New Roman"/>
          <w:b w:val="false"/>
          <w:i w:val="false"/>
          <w:color w:val="000000"/>
          <w:sz w:val="28"/>
        </w:rPr>
        <w:t>
      1) толщина обшивки коффердамных переборок равна не менее определяемой по формуле (57) настоящих Правил. При этом:</w:t>
      </w:r>
    </w:p>
    <w:bookmarkEnd w:id="255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bookmarkStart w:name="z2561" w:id="2554"/>
    <w:p>
      <w:pPr>
        <w:spacing w:after="0"/>
        <w:ind w:left="0"/>
        <w:jc w:val="both"/>
      </w:pPr>
      <w:r>
        <w:rPr>
          <w:rFonts w:ascii="Times New Roman"/>
          <w:b w:val="false"/>
          <w:i w:val="false"/>
          <w:color w:val="000000"/>
          <w:sz w:val="28"/>
        </w:rPr>
        <w:t>
      Толщина обшивки равна не менее определяемой по формуле (130) настоящих Правил или согласно пункту 658 настоящих Правил в зависимости от того, что больше. Если трюм или пространство внутри коффердамной переборки используется для перевозки нефти, нефтепродуктов или балласта, толщина обшивки равна не менее требуемой в параграфе 3 главы 33 настоящих Правил;</w:t>
      </w:r>
    </w:p>
    <w:bookmarkEnd w:id="2554"/>
    <w:bookmarkStart w:name="z2562" w:id="2555"/>
    <w:p>
      <w:pPr>
        <w:spacing w:after="0"/>
        <w:ind w:left="0"/>
        <w:jc w:val="both"/>
      </w:pPr>
      <w:r>
        <w:rPr>
          <w:rFonts w:ascii="Times New Roman"/>
          <w:b w:val="false"/>
          <w:i w:val="false"/>
          <w:color w:val="000000"/>
          <w:sz w:val="28"/>
        </w:rPr>
        <w:t>
      2) момент сопротивления балок основного набора, подкрепляющих обшивку коффердамных переборок, равен не менее определяемого в пунктах 246 и 247 настоящих Правил. При этом:</w:t>
      </w:r>
    </w:p>
    <w:bookmarkEnd w:id="255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согласно параграфу 3 настоящей главы Правил, но не менее 25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2563" w:id="2556"/>
    <w:p>
      <w:pPr>
        <w:spacing w:after="0"/>
        <w:ind w:left="0"/>
        <w:jc w:val="both"/>
      </w:pPr>
      <w:r>
        <w:rPr>
          <w:rFonts w:ascii="Times New Roman"/>
          <w:b w:val="false"/>
          <w:i w:val="false"/>
          <w:color w:val="000000"/>
          <w:sz w:val="28"/>
        </w:rPr>
        <w:t>
      3) если в составе конструкции коффердамной переборки имеются только диафрагмы или только платформы, их момент сопротивления равен не менее определяемого в пункте 246 и 247 настоящих Правил, а площадь сечения — не менее определяемой в пункте 248 настоящих Правил. При этом:</w:t>
      </w:r>
    </w:p>
    <w:bookmarkEnd w:id="2556"/>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xml:space="preserve"> — для платформ;</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0,65</w:t>
      </w:r>
      <w:r>
        <w:rPr>
          <w:rFonts w:ascii="Times New Roman"/>
          <w:b w:val="false"/>
          <w:i/>
          <w:color w:val="000000"/>
          <w:sz w:val="28"/>
        </w:rPr>
        <w:t>pal</w:t>
      </w:r>
      <w:r>
        <w:rPr>
          <w:rFonts w:ascii="Times New Roman"/>
          <w:b w:val="false"/>
          <w:i w:val="false"/>
          <w:color w:val="000000"/>
          <w:sz w:val="28"/>
        </w:rPr>
        <w:t xml:space="preserve"> — для диафрагм;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расчетная нагрузка согласно параграфу 3 настоящей главы Правил, но не менее 25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пролета, м, равная:</w:t>
      </w:r>
    </w:p>
    <w:bookmarkStart w:name="z2564" w:id="2557"/>
    <w:p>
      <w:pPr>
        <w:spacing w:after="0"/>
        <w:ind w:left="0"/>
        <w:jc w:val="both"/>
      </w:pPr>
      <w:r>
        <w:rPr>
          <w:rFonts w:ascii="Times New Roman"/>
          <w:b w:val="false"/>
          <w:i w:val="false"/>
          <w:color w:val="000000"/>
          <w:sz w:val="28"/>
        </w:rPr>
        <w:t>
      для диафрагм — расстоянию между настилами палубы и второго дна в диаметральной плоскости;</w:t>
      </w:r>
    </w:p>
    <w:bookmarkEnd w:id="2557"/>
    <w:bookmarkStart w:name="z2565" w:id="2558"/>
    <w:p>
      <w:pPr>
        <w:spacing w:after="0"/>
        <w:ind w:left="0"/>
        <w:jc w:val="both"/>
      </w:pPr>
      <w:r>
        <w:rPr>
          <w:rFonts w:ascii="Times New Roman"/>
          <w:b w:val="false"/>
          <w:i w:val="false"/>
          <w:color w:val="000000"/>
          <w:sz w:val="28"/>
        </w:rPr>
        <w:t>
      для платформ — ширине судна в районе установки переборки для судов с одинарным бортом, расстоянию между обшивками внутренних бортов для судов с двойными бортами;</w:t>
      </w:r>
    </w:p>
    <w:bookmarkEnd w:id="255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0,75;</w:t>
      </w:r>
      <w:r>
        <w:br/>
      </w:r>
      <w:r>
        <w:rPr>
          <w:rFonts w:ascii="Times New Roman"/>
          <w:b w:val="false"/>
          <w:i w:val="false"/>
          <w:color w:val="000000"/>
          <w:sz w:val="28"/>
        </w:rPr>
        <w:t>
</w:t>
      </w:r>
    </w:p>
    <w:bookmarkStart w:name="z2566" w:id="2559"/>
    <w:p>
      <w:pPr>
        <w:spacing w:after="0"/>
        <w:ind w:left="0"/>
        <w:jc w:val="both"/>
      </w:pPr>
      <w:r>
        <w:rPr>
          <w:rFonts w:ascii="Times New Roman"/>
          <w:b w:val="false"/>
          <w:i w:val="false"/>
          <w:color w:val="000000"/>
          <w:sz w:val="28"/>
        </w:rPr>
        <w:t xml:space="preserve">
      4) если в составе конструкции коффердамной переборки имеются и диафрагмы, и платформы, их толщина определяется на основании расчета перекрытия как стержневой системы при действии расчетных нагрузок согласно параграфу 3 настоящей главы Правил, но не менее 25 кПа и при коэффициентах допускаемых напряжений </w:t>
      </w:r>
    </w:p>
    <w:bookmarkEnd w:id="2559"/>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0,75;</w:t>
      </w:r>
      <w:r>
        <w:br/>
      </w:r>
      <w:r>
        <w:rPr>
          <w:rFonts w:ascii="Times New Roman"/>
          <w:b w:val="false"/>
          <w:i w:val="false"/>
          <w:color w:val="000000"/>
          <w:sz w:val="28"/>
        </w:rPr>
        <w:t>
</w:t>
      </w:r>
    </w:p>
    <w:bookmarkStart w:name="z2567" w:id="2560"/>
    <w:p>
      <w:pPr>
        <w:spacing w:after="0"/>
        <w:ind w:left="0"/>
        <w:jc w:val="both"/>
      </w:pPr>
      <w:r>
        <w:rPr>
          <w:rFonts w:ascii="Times New Roman"/>
          <w:b w:val="false"/>
          <w:i w:val="false"/>
          <w:color w:val="000000"/>
          <w:sz w:val="28"/>
        </w:rPr>
        <w:t>
      5) в любом случае толщина диафрагм и платформ коффердамных переборок равна не менее требуемой по формуле (111) настоящих Правил. Если пространство внутри коффердамной переборки используется в качестве топливной или балластной цистерны, толщина диафрагм и платформ не менее требуемой в параграфе 3 главы 33 настоящих Правил;</w:t>
      </w:r>
    </w:p>
    <w:bookmarkEnd w:id="2560"/>
    <w:bookmarkStart w:name="z2568" w:id="2561"/>
    <w:p>
      <w:pPr>
        <w:spacing w:after="0"/>
        <w:ind w:left="0"/>
        <w:jc w:val="both"/>
      </w:pPr>
      <w:r>
        <w:rPr>
          <w:rFonts w:ascii="Times New Roman"/>
          <w:b w:val="false"/>
          <w:i w:val="false"/>
          <w:color w:val="000000"/>
          <w:sz w:val="28"/>
        </w:rPr>
        <w:t>
      6) необходимо чтобы ребра жесткости, подкрепляющие диафрагмы и платформы, отвечали требованиям пункта 280 настоящих Правил;</w:t>
      </w:r>
    </w:p>
    <w:bookmarkEnd w:id="2561"/>
    <w:bookmarkStart w:name="z2569" w:id="2562"/>
    <w:p>
      <w:pPr>
        <w:spacing w:after="0"/>
        <w:ind w:left="0"/>
        <w:jc w:val="both"/>
      </w:pPr>
      <w:r>
        <w:rPr>
          <w:rFonts w:ascii="Times New Roman"/>
          <w:b w:val="false"/>
          <w:i w:val="false"/>
          <w:color w:val="000000"/>
          <w:sz w:val="28"/>
        </w:rPr>
        <w:t>
      7) необходимо чтобы толщина непроницаемых участков диафрагм и платформ и подкрепляющие их ребра жесткости отвечали требованиям к переборкам цистерн согласно пунктам 444 и 450 настоящих Правил;</w:t>
      </w:r>
    </w:p>
    <w:bookmarkEnd w:id="2562"/>
    <w:bookmarkStart w:name="z2570" w:id="2563"/>
    <w:p>
      <w:pPr>
        <w:spacing w:after="0"/>
        <w:ind w:left="0"/>
        <w:jc w:val="both"/>
      </w:pPr>
      <w:r>
        <w:rPr>
          <w:rFonts w:ascii="Times New Roman"/>
          <w:b w:val="false"/>
          <w:i w:val="false"/>
          <w:color w:val="000000"/>
          <w:sz w:val="28"/>
        </w:rPr>
        <w:t>
      8) необходимо чтобы распорки между балками основного набора, подкрепляющими обшивки коффердамных переборок, отвечали требованиям к промежуточным стойкам двойного дна согласно подпункту 2) пункта 364 при расчетном давлении согласно параграфу 3 настоящей главы Правил, но не менее 25 кПа.</w:t>
      </w:r>
    </w:p>
    <w:bookmarkEnd w:id="2563"/>
    <w:bookmarkStart w:name="z2571" w:id="2564"/>
    <w:p>
      <w:pPr>
        <w:spacing w:after="0"/>
        <w:ind w:left="0"/>
        <w:jc w:val="both"/>
      </w:pPr>
      <w:r>
        <w:rPr>
          <w:rFonts w:ascii="Times New Roman"/>
          <w:b w:val="false"/>
          <w:i w:val="false"/>
          <w:color w:val="000000"/>
          <w:sz w:val="28"/>
        </w:rPr>
        <w:t>
      При установке распорок момент сопротивления балок основного набора согласно подпункту 2) пункта 661 настоящих Правил возможно уменьшить на 35 %.</w:t>
      </w:r>
    </w:p>
    <w:bookmarkEnd w:id="2564"/>
    <w:bookmarkStart w:name="z2572" w:id="2565"/>
    <w:p>
      <w:pPr>
        <w:spacing w:after="0"/>
        <w:ind w:left="0"/>
        <w:jc w:val="both"/>
      </w:pPr>
      <w:r>
        <w:rPr>
          <w:rFonts w:ascii="Times New Roman"/>
          <w:b w:val="false"/>
          <w:i w:val="false"/>
          <w:color w:val="000000"/>
          <w:sz w:val="28"/>
        </w:rPr>
        <w:t>
      662. Толщина комингсов грузовых люков не менее определяемой по формуле (205) настоящих Правил.</w:t>
      </w:r>
    </w:p>
    <w:bookmarkEnd w:id="2565"/>
    <w:bookmarkStart w:name="z2573" w:id="2566"/>
    <w:p>
      <w:pPr>
        <w:spacing w:after="0"/>
        <w:ind w:left="0"/>
        <w:jc w:val="both"/>
      </w:pPr>
      <w:r>
        <w:rPr>
          <w:rFonts w:ascii="Times New Roman"/>
          <w:b w:val="false"/>
          <w:i w:val="false"/>
          <w:color w:val="000000"/>
          <w:sz w:val="28"/>
        </w:rPr>
        <w:t>
      Толщина продольных комингсов люков, мм, не менее определяемой по формуле:</w:t>
      </w:r>
    </w:p>
    <w:bookmarkEnd w:id="2566"/>
    <w:p>
      <w:pPr>
        <w:spacing w:after="0"/>
        <w:ind w:left="0"/>
        <w:jc w:val="both"/>
      </w:pPr>
      <w:r>
        <w:rPr>
          <w:rFonts w:ascii="Times New Roman"/>
          <w:b w:val="false"/>
          <w:i w:val="false"/>
          <w:color w:val="000000"/>
          <w:sz w:val="28"/>
        </w:rPr>
        <w:t>
                                    s = 17а,                         (207)</w:t>
      </w:r>
    </w:p>
    <w:p>
      <w:pPr>
        <w:spacing w:after="0"/>
        <w:ind w:left="0"/>
        <w:jc w:val="both"/>
      </w:pPr>
      <w:r>
        <w:rPr>
          <w:rFonts w:ascii="Times New Roman"/>
          <w:b w:val="false"/>
          <w:i w:val="false"/>
          <w:color w:val="000000"/>
          <w:sz w:val="28"/>
        </w:rPr>
        <w:t>
      где а — расстояние по вертикали между горизонтальными ребрами жесткости по стенке комингса или между нижним ребром жесткости и настилом палубы, м.</w:t>
      </w:r>
    </w:p>
    <w:bookmarkStart w:name="z2574" w:id="2567"/>
    <w:p>
      <w:pPr>
        <w:spacing w:after="0"/>
        <w:ind w:left="0"/>
        <w:jc w:val="both"/>
      </w:pPr>
      <w:r>
        <w:rPr>
          <w:rFonts w:ascii="Times New Roman"/>
          <w:b w:val="false"/>
          <w:i w:val="false"/>
          <w:color w:val="000000"/>
          <w:sz w:val="28"/>
        </w:rPr>
        <w:t>
      Необходимо чтобы ребра жесткости, подкрепляющие стенки комингса, отвечали требованиям пункта 278 настоящих Правил. Толщина стенок ребер жесткости и бракет, подкрепляющих стенки комингса, равна не менее 10 мм.</w:t>
      </w:r>
    </w:p>
    <w:bookmarkEnd w:id="2567"/>
    <w:bookmarkStart w:name="z2575" w:id="2568"/>
    <w:p>
      <w:pPr>
        <w:spacing w:after="0"/>
        <w:ind w:left="0"/>
        <w:jc w:val="both"/>
      </w:pPr>
      <w:r>
        <w:rPr>
          <w:rFonts w:ascii="Times New Roman"/>
          <w:b w:val="false"/>
          <w:i w:val="false"/>
          <w:color w:val="000000"/>
          <w:sz w:val="28"/>
        </w:rPr>
        <w:t>
      Необходимо чтобы ширина свободного пояска комингса соответствовали требованиям пункта 277 настоящих Правил.</w:t>
      </w:r>
    </w:p>
    <w:bookmarkEnd w:id="2568"/>
    <w:bookmarkStart w:name="z2576" w:id="2569"/>
    <w:p>
      <w:pPr>
        <w:spacing w:after="0"/>
        <w:ind w:left="0"/>
        <w:jc w:val="both"/>
      </w:pPr>
      <w:r>
        <w:rPr>
          <w:rFonts w:ascii="Times New Roman"/>
          <w:b w:val="false"/>
          <w:i w:val="false"/>
          <w:color w:val="000000"/>
          <w:sz w:val="28"/>
        </w:rPr>
        <w:t>
      663. Толщина бортовой обшивки одинарного борта в районе между скуловыми и подпалубными цистернами s</w:t>
      </w:r>
      <w:r>
        <w:rPr>
          <w:rFonts w:ascii="Times New Roman"/>
          <w:b w:val="false"/>
          <w:i w:val="false"/>
          <w:color w:val="000000"/>
          <w:vertAlign w:val="subscript"/>
        </w:rPr>
        <w:t>min</w:t>
      </w:r>
      <w:r>
        <w:rPr>
          <w:rFonts w:ascii="Times New Roman"/>
          <w:b w:val="false"/>
          <w:i w:val="false"/>
          <w:color w:val="000000"/>
          <w:sz w:val="28"/>
        </w:rPr>
        <w:t>, мм, равна не менее определяемой по формуле:</w:t>
      </w:r>
    </w:p>
    <w:bookmarkEnd w:id="2569"/>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(208)</w:t>
      </w:r>
      <w:r>
        <w:br/>
      </w:r>
      <w:r>
        <w:rPr>
          <w:rFonts w:ascii="Times New Roman"/>
          <w:b w:val="false"/>
          <w:i w:val="false"/>
          <w:color w:val="000000"/>
          <w:sz w:val="28"/>
        </w:rPr>
        <w:t>
</w:t>
      </w:r>
    </w:p>
    <w:bookmarkStart w:name="z2577" w:id="2570"/>
    <w:p>
      <w:pPr>
        <w:spacing w:after="0"/>
        <w:ind w:left="0"/>
        <w:jc w:val="left"/>
      </w:pPr>
      <w:r>
        <w:rPr>
          <w:rFonts w:ascii="Times New Roman"/>
          <w:b/>
          <w:i w:val="false"/>
          <w:color w:val="000000"/>
        </w:rPr>
        <w:t xml:space="preserve"> Параграф 5. Специальные требования</w:t>
      </w:r>
    </w:p>
    <w:bookmarkEnd w:id="2570"/>
    <w:bookmarkStart w:name="z2578" w:id="2571"/>
    <w:p>
      <w:pPr>
        <w:spacing w:after="0"/>
        <w:ind w:left="0"/>
        <w:jc w:val="both"/>
      </w:pPr>
      <w:r>
        <w:rPr>
          <w:rFonts w:ascii="Times New Roman"/>
          <w:b w:val="false"/>
          <w:i w:val="false"/>
          <w:color w:val="000000"/>
          <w:sz w:val="28"/>
        </w:rPr>
        <w:t>
      664. Все внутренние поверхности грузовых трюмов (за исключением плоских участков настила второго дна и участков обшивки скуловых цистерн, расположенных на ~ 300 мм ниже окончания шпангоутных книц) и все внутренние и наружные поверхности комингсов грузовых люков и люковых закрытий имеют эффективное защитное покрытие (эпоксидное или аналогичное ему), предохраняющее эти конструкции от коррозии. При выборе типа покрытия принимают во внимание характер перевозимого груза и условия эксплуатации.</w:t>
      </w:r>
    </w:p>
    <w:bookmarkEnd w:id="2571"/>
    <w:bookmarkStart w:name="z2579" w:id="2572"/>
    <w:p>
      <w:pPr>
        <w:spacing w:after="0"/>
        <w:ind w:left="0"/>
        <w:jc w:val="both"/>
      </w:pPr>
      <w:r>
        <w:rPr>
          <w:rFonts w:ascii="Times New Roman"/>
          <w:b w:val="false"/>
          <w:i w:val="false"/>
          <w:color w:val="000000"/>
          <w:sz w:val="28"/>
        </w:rPr>
        <w:t>
      665. Необходимо чтобы все суда для навалочных грузов и комбинированные суда отвечали следующим требованиям:</w:t>
      </w:r>
    </w:p>
    <w:bookmarkEnd w:id="2572"/>
    <w:bookmarkStart w:name="z2580" w:id="2573"/>
    <w:p>
      <w:pPr>
        <w:spacing w:after="0"/>
        <w:ind w:left="0"/>
        <w:jc w:val="both"/>
      </w:pPr>
      <w:r>
        <w:rPr>
          <w:rFonts w:ascii="Times New Roman"/>
          <w:b w:val="false"/>
          <w:i w:val="false"/>
          <w:color w:val="000000"/>
          <w:sz w:val="28"/>
        </w:rPr>
        <w:t>
      1) суда имеют в носовой части бак, расположенный выше палубы надводного борта. В случае если вышеуказанное требование ограничивает грузовые операции, то кормовую переборку бака возможно сместить в нос от носовой переборки носового грузового трюма при условии, что длина бака составляет не менее 7 % длины судна в корму от носового перпендикуляра, где длина судна предусмотрена подпунктом 12) пункта 4 Правил о грузовой марке. Высота бака не менее стандартной высоты, определенной согласно Международной конвенции о грузовой марке 1966 года с учетом Протокола к данной конвенции 1988 года, с поправками, или на 0,5 м выше поперечного носового комингса люка носового трюма № 1 в зависимости от того, что больше. При этом расстояние между кормовой кромкой палубы бака и поперечным носовым комингсом люка носового трюма № 1 по всей ширине корпуса судна не превышает величину, м, определяемую по формуле:</w:t>
      </w:r>
    </w:p>
    <w:bookmarkEnd w:id="2573"/>
    <w:bookmarkStart w:name="z80" w:id="2574"/>
    <w:p>
      <w:pPr>
        <w:spacing w:after="0"/>
        <w:ind w:left="0"/>
        <w:jc w:val="both"/>
      </w:pPr>
      <w:r>
        <w:rPr>
          <w:rFonts w:ascii="Times New Roman"/>
          <w:b w:val="false"/>
          <w:i w:val="false"/>
          <w:color w:val="000000"/>
          <w:sz w:val="28"/>
        </w:rPr>
        <w:t xml:space="preserve">
      </w:t>
      </w:r>
    </w:p>
    <w:bookmarkEnd w:id="2574"/>
    <w:p>
      <w:pPr>
        <w:spacing w:after="0"/>
        <w:ind w:left="0"/>
        <w:jc w:val="both"/>
      </w:pPr>
      <w:r>
        <w:drawing>
          <wp:inline distT="0" distB="0" distL="0" distR="0">
            <wp:extent cx="3276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3276600" cy="1054100"/>
                    </a:xfrm>
                    <a:prstGeom prst="rect">
                      <a:avLst/>
                    </a:prstGeom>
                  </pic:spPr>
                </pic:pic>
              </a:graphicData>
            </a:graphic>
          </wp:inline>
        </w:drawing>
      </w:r>
    </w:p>
    <w:p>
      <w:pPr>
        <w:spacing w:after="0"/>
        <w:ind w:left="0"/>
        <w:jc w:val="left"/>
      </w:pPr>
      <w:r>
        <w:rPr>
          <w:rFonts w:ascii="Times New Roman"/>
          <w:b w:val="false"/>
          <w:i w:val="false"/>
          <w:color w:val="000000"/>
          <w:sz w:val="28"/>
        </w:rPr>
        <w:t>, (209)</w:t>
      </w:r>
      <w:r>
        <w:br/>
      </w:r>
      <w:r>
        <w:rPr>
          <w:rFonts w:ascii="Times New Roman"/>
          <w:b w:val="false"/>
          <w:i w:val="false"/>
          <w:color w:val="000000"/>
          <w:sz w:val="28"/>
        </w:rPr>
        <w:t>
</w:t>
      </w:r>
    </w:p>
    <w:bookmarkStart w:name="z81" w:id="2575"/>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F</w:t>
      </w:r>
      <w:r>
        <w:rPr>
          <w:rFonts w:ascii="Times New Roman"/>
          <w:b w:val="false"/>
          <w:i w:val="false"/>
          <w:color w:val="000000"/>
          <w:sz w:val="28"/>
        </w:rPr>
        <w:t xml:space="preserve"> – высота бака, м;</w:t>
      </w:r>
    </w:p>
    <w:bookmarkEnd w:id="2575"/>
    <w:bookmarkStart w:name="z82" w:id="2576"/>
    <w:p>
      <w:pPr>
        <w:spacing w:after="0"/>
        <w:ind w:left="0"/>
        <w:jc w:val="both"/>
      </w:pPr>
      <w:r>
        <w:rPr>
          <w:rFonts w:ascii="Times New Roman"/>
          <w:b w:val="false"/>
          <w:i w:val="false"/>
          <w:color w:val="000000"/>
          <w:sz w:val="28"/>
        </w:rPr>
        <w:t>
      НС – высота поперечного носового комингса люка носового трюма № 1, м.</w:t>
      </w:r>
    </w:p>
    <w:bookmarkEnd w:id="2576"/>
    <w:p>
      <w:pPr>
        <w:spacing w:after="0"/>
        <w:ind w:left="0"/>
        <w:jc w:val="both"/>
      </w:pPr>
      <w:r>
        <w:rPr>
          <w:rFonts w:ascii="Times New Roman"/>
          <w:b w:val="false"/>
          <w:i w:val="false"/>
          <w:color w:val="000000"/>
          <w:sz w:val="28"/>
        </w:rPr>
        <w:t>
      Установка волнореза на палубе бака для защиты поперечного носового комингса и люковых крышек носового трюма № 1 не допускается. При необходимости установки волнореза для иных целей, отстояние волнореза в диаметральной плоскости от кормовой кромки палубы бака не менее 2,75 его высоты;</w:t>
      </w:r>
    </w:p>
    <w:bookmarkStart w:name="z2582" w:id="2577"/>
    <w:p>
      <w:pPr>
        <w:spacing w:after="0"/>
        <w:ind w:left="0"/>
        <w:jc w:val="both"/>
      </w:pPr>
      <w:r>
        <w:rPr>
          <w:rFonts w:ascii="Times New Roman"/>
          <w:b w:val="false"/>
          <w:i w:val="false"/>
          <w:color w:val="000000"/>
          <w:sz w:val="28"/>
        </w:rPr>
        <w:t>
      2) толщина нетто (без надбавки на износ) комингсов люков равна не менее, определяемой по формуле:</w:t>
      </w:r>
    </w:p>
    <w:bookmarkEnd w:id="2577"/>
    <w:p>
      <w:pPr>
        <w:spacing w:after="0"/>
        <w:ind w:left="0"/>
        <w:jc w:val="both"/>
      </w:pPr>
      <w:r>
        <w:rPr>
          <w:rFonts w:ascii="Times New Roman"/>
          <w:b w:val="false"/>
          <w:i w:val="false"/>
          <w:color w:val="000000"/>
          <w:sz w:val="28"/>
        </w:rPr>
        <w:t>
      s</w:t>
      </w:r>
      <w:r>
        <w:rPr>
          <w:rFonts w:ascii="Times New Roman"/>
          <w:b w:val="false"/>
          <w:i w:val="false"/>
          <w:color w:val="000000"/>
          <w:vertAlign w:val="subscript"/>
        </w:rPr>
        <w:t>net</w:t>
      </w:r>
      <w:r>
        <w:rPr>
          <w:rFonts w:ascii="Times New Roman"/>
          <w:b w:val="false"/>
          <w:i w:val="false"/>
          <w:color w:val="000000"/>
          <w:sz w:val="28"/>
        </w:rPr>
        <w:t xml:space="preserve"> = 14,9a</w:t>
      </w:r>
    </w:p>
    <w:p>
      <w:pPr>
        <w:spacing w:after="0"/>
        <w:ind w:left="0"/>
        <w:jc w:val="both"/>
      </w:pPr>
      <w:r>
        <w:drawing>
          <wp:inline distT="0" distB="0" distL="0" distR="0">
            <wp:extent cx="167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1676400" cy="304800"/>
                    </a:xfrm>
                    <a:prstGeom prst="rect">
                      <a:avLst/>
                    </a:prstGeom>
                  </pic:spPr>
                </pic:pic>
              </a:graphicData>
            </a:graphic>
          </wp:inline>
        </w:drawing>
      </w:r>
    </w:p>
    <w:p>
      <w:pPr>
        <w:spacing w:after="0"/>
        <w:ind w:left="0"/>
        <w:jc w:val="left"/>
      </w:pPr>
      <w:r>
        <w:rPr>
          <w:rFonts w:ascii="Times New Roman"/>
          <w:b w:val="false"/>
          <w:i w:val="false"/>
          <w:color w:val="000000"/>
          <w:sz w:val="28"/>
        </w:rPr>
        <w:t>,         (210)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 — расстояние между ребрами жесткости, 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coam</w:t>
      </w:r>
      <w:r>
        <w:rPr>
          <w:rFonts w:ascii="Times New Roman"/>
          <w:b w:val="false"/>
          <w:i w:val="false"/>
          <w:color w:val="000000"/>
          <w:sz w:val="28"/>
        </w:rPr>
        <w:t xml:space="preserve"> — давление, равное 220 кПа. Если требования подпункта 1) пункта 665 настоящих Правил не выполняются, давление для поперечного носового комингса люка носового трюма № 1 принимают равным 290 кПа.</w:t>
      </w:r>
    </w:p>
    <w:bookmarkStart w:name="z2583" w:id="2578"/>
    <w:p>
      <w:pPr>
        <w:spacing w:after="0"/>
        <w:ind w:left="0"/>
        <w:jc w:val="both"/>
      </w:pPr>
      <w:r>
        <w:rPr>
          <w:rFonts w:ascii="Times New Roman"/>
          <w:b w:val="false"/>
          <w:i w:val="false"/>
          <w:color w:val="000000"/>
          <w:sz w:val="28"/>
        </w:rPr>
        <w:t>
      Толщина нетто, увеличенная на 1,5 мм, принимается в качестве минимальной строительной толщины.</w:t>
      </w:r>
    </w:p>
    <w:bookmarkEnd w:id="2578"/>
    <w:bookmarkStart w:name="z2584" w:id="2579"/>
    <w:p>
      <w:pPr>
        <w:spacing w:after="0"/>
        <w:ind w:left="0"/>
        <w:jc w:val="both"/>
      </w:pPr>
      <w:r>
        <w:rPr>
          <w:rFonts w:ascii="Times New Roman"/>
          <w:b w:val="false"/>
          <w:i w:val="false"/>
          <w:color w:val="000000"/>
          <w:sz w:val="28"/>
        </w:rPr>
        <w:t>
      В любом случае толщина комингса не меньше 11 мм;</w:t>
      </w:r>
    </w:p>
    <w:bookmarkEnd w:id="2579"/>
    <w:bookmarkStart w:name="z2585" w:id="2580"/>
    <w:p>
      <w:pPr>
        <w:spacing w:after="0"/>
        <w:ind w:left="0"/>
        <w:jc w:val="both"/>
      </w:pPr>
      <w:r>
        <w:rPr>
          <w:rFonts w:ascii="Times New Roman"/>
          <w:b w:val="false"/>
          <w:i w:val="false"/>
          <w:color w:val="000000"/>
          <w:sz w:val="28"/>
        </w:rPr>
        <w:t>
      3) момент сопротивления поперечного сечения продольных и поперечных ребер жесткости комингсов люков при толщине нетто всех элементов сечения, см</w:t>
      </w:r>
      <w:r>
        <w:rPr>
          <w:rFonts w:ascii="Times New Roman"/>
          <w:b w:val="false"/>
          <w:i w:val="false"/>
          <w:color w:val="000000"/>
          <w:vertAlign w:val="superscript"/>
        </w:rPr>
        <w:t>3</w:t>
      </w:r>
      <w:r>
        <w:rPr>
          <w:rFonts w:ascii="Times New Roman"/>
          <w:b w:val="false"/>
          <w:i w:val="false"/>
          <w:color w:val="000000"/>
          <w:sz w:val="28"/>
        </w:rPr>
        <w:t>, равен не менее определяемого по формуле:</w:t>
      </w:r>
    </w:p>
    <w:bookmarkEnd w:id="2580"/>
    <w:p>
      <w:pPr>
        <w:spacing w:after="0"/>
        <w:ind w:left="0"/>
        <w:jc w:val="both"/>
      </w:pPr>
      <w:r>
        <w:rPr>
          <w:rFonts w:ascii="Times New Roman"/>
          <w:b w:val="false"/>
          <w:i w:val="false"/>
          <w:color w:val="000000"/>
          <w:sz w:val="28"/>
        </w:rPr>
        <w:t>
      W</w:t>
      </w:r>
      <w:r>
        <w:rPr>
          <w:rFonts w:ascii="Times New Roman"/>
          <w:b w:val="false"/>
          <w:i w:val="false"/>
          <w:color w:val="000000"/>
          <w:vertAlign w:val="subscript"/>
        </w:rPr>
        <w:t>net</w:t>
      </w:r>
      <w:r>
        <w:rPr>
          <w:rFonts w:ascii="Times New Roman"/>
          <w:b w:val="false"/>
          <w:i w:val="false"/>
          <w:color w:val="000000"/>
          <w:sz w:val="28"/>
        </w:rPr>
        <w:t xml:space="preserve"> = </w:t>
      </w:r>
    </w:p>
    <w:p>
      <w:pPr>
        <w:spacing w:after="0"/>
        <w:ind w:left="0"/>
        <w:jc w:val="both"/>
      </w:pPr>
      <w:r>
        <w:drawing>
          <wp:inline distT="0" distB="0" distL="0" distR="0">
            <wp:extent cx="109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1092200" cy="457200"/>
                    </a:xfrm>
                    <a:prstGeom prst="rect">
                      <a:avLst/>
                    </a:prstGeom>
                  </pic:spPr>
                </pic:pic>
              </a:graphicData>
            </a:graphic>
          </wp:inline>
        </w:drawing>
      </w:r>
    </w:p>
    <w:p>
      <w:pPr>
        <w:spacing w:after="0"/>
        <w:ind w:left="0"/>
        <w:jc w:val="left"/>
      </w:pPr>
      <w:r>
        <w:rPr>
          <w:rFonts w:ascii="Times New Roman"/>
          <w:b w:val="false"/>
          <w:i w:val="false"/>
          <w:color w:val="000000"/>
          <w:sz w:val="28"/>
        </w:rPr>
        <w:t>,                  (211)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и р</w:t>
      </w:r>
      <w:r>
        <w:rPr>
          <w:rFonts w:ascii="Times New Roman"/>
          <w:b w:val="false"/>
          <w:i w:val="false"/>
          <w:color w:val="000000"/>
          <w:vertAlign w:val="subscript"/>
        </w:rPr>
        <w:t>соат</w:t>
      </w:r>
      <w:r>
        <w:rPr>
          <w:rFonts w:ascii="Times New Roman"/>
          <w:b w:val="false"/>
          <w:i w:val="false"/>
          <w:color w:val="000000"/>
          <w:sz w:val="28"/>
        </w:rPr>
        <w:t xml:space="preserve"> — подпункт 2) пункта 665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пролет ребра жесткости,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16 — для концевых пролетов ребер жесткости, срезанных "на ус",</w:t>
      </w:r>
    </w:p>
    <w:p>
      <w:pPr>
        <w:spacing w:after="0"/>
        <w:ind w:left="0"/>
        <w:jc w:val="both"/>
      </w:pPr>
      <w:r>
        <w:rPr>
          <w:rFonts w:ascii="Times New Roman"/>
          <w:b w:val="false"/>
          <w:i w:val="false"/>
          <w:color w:val="000000"/>
          <w:sz w:val="28"/>
        </w:rPr>
        <w:t>
      12 — в районе углов люков;</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отношение пластического к упругому моменту сопротивления поперечного сечения ребра жесткости с присоединенным пояском шириной, равной 40s</w:t>
      </w:r>
      <w:r>
        <w:rPr>
          <w:rFonts w:ascii="Times New Roman"/>
          <w:b w:val="false"/>
          <w:i w:val="false"/>
          <w:color w:val="000000"/>
          <w:vertAlign w:val="subscript"/>
        </w:rPr>
        <w:t>net</w:t>
      </w:r>
      <w:r>
        <w:rPr>
          <w:rFonts w:ascii="Times New Roman"/>
          <w:b w:val="false"/>
          <w:i w:val="false"/>
          <w:color w:val="000000"/>
          <w:sz w:val="28"/>
        </w:rPr>
        <w:t xml:space="preserve"> где s</w:t>
      </w:r>
      <w:r>
        <w:rPr>
          <w:rFonts w:ascii="Times New Roman"/>
          <w:b w:val="false"/>
          <w:i w:val="false"/>
          <w:color w:val="000000"/>
          <w:vertAlign w:val="subscript"/>
        </w:rPr>
        <w:t>net</w:t>
      </w:r>
      <w:r>
        <w:rPr>
          <w:rFonts w:ascii="Times New Roman"/>
          <w:b w:val="false"/>
          <w:i w:val="false"/>
          <w:color w:val="000000"/>
          <w:sz w:val="28"/>
        </w:rPr>
        <w:t xml:space="preserve"> — толщина нетто комингса. При отсутствии точных данных ср допускается принимать равным 1,16.</w:t>
      </w:r>
    </w:p>
    <w:bookmarkStart w:name="z2586" w:id="2581"/>
    <w:p>
      <w:pPr>
        <w:spacing w:after="0"/>
        <w:ind w:left="0"/>
        <w:jc w:val="both"/>
      </w:pPr>
      <w:r>
        <w:rPr>
          <w:rFonts w:ascii="Times New Roman"/>
          <w:b w:val="false"/>
          <w:i w:val="false"/>
          <w:color w:val="000000"/>
          <w:sz w:val="28"/>
        </w:rPr>
        <w:t>
      Толщина нетто всех элементов поперечного сечения, увеличенная на 1,5 мм, принимается в качестве минимальной строительной толщины;</w:t>
      </w:r>
    </w:p>
    <w:bookmarkEnd w:id="2581"/>
    <w:bookmarkStart w:name="z2587" w:id="2582"/>
    <w:p>
      <w:pPr>
        <w:spacing w:after="0"/>
        <w:ind w:left="0"/>
        <w:jc w:val="both"/>
      </w:pPr>
      <w:r>
        <w:rPr>
          <w:rFonts w:ascii="Times New Roman"/>
          <w:b w:val="false"/>
          <w:i w:val="false"/>
          <w:color w:val="000000"/>
          <w:sz w:val="28"/>
        </w:rPr>
        <w:t>
      4) стойки (бракеты) комингсов люков отвечают следующим требованиям:</w:t>
      </w:r>
    </w:p>
    <w:bookmarkEnd w:id="2582"/>
    <w:bookmarkStart w:name="z2588" w:id="2583"/>
    <w:p>
      <w:pPr>
        <w:spacing w:after="0"/>
        <w:ind w:left="0"/>
        <w:jc w:val="both"/>
      </w:pPr>
      <w:r>
        <w:rPr>
          <w:rFonts w:ascii="Times New Roman"/>
          <w:b w:val="false"/>
          <w:i w:val="false"/>
          <w:color w:val="000000"/>
          <w:sz w:val="28"/>
        </w:rPr>
        <w:t>
      момент сопротивления поперечного сечения стоек (бракет), установленных в плоскости бимсов, при толщине нетто всех элементов сечения равен не менее, определяемого по формуле:</w:t>
      </w:r>
    </w:p>
    <w:bookmarkEnd w:id="2583"/>
    <w:p>
      <w:pPr>
        <w:spacing w:after="0"/>
        <w:ind w:left="0"/>
        <w:jc w:val="both"/>
      </w:pPr>
      <w:r>
        <w:rPr>
          <w:rFonts w:ascii="Times New Roman"/>
          <w:b w:val="false"/>
          <w:i w:val="false"/>
          <w:color w:val="000000"/>
          <w:sz w:val="28"/>
        </w:rPr>
        <w:t>
      W</w:t>
      </w:r>
      <w:r>
        <w:rPr>
          <w:rFonts w:ascii="Times New Roman"/>
          <w:b w:val="false"/>
          <w:i w:val="false"/>
          <w:color w:val="000000"/>
          <w:vertAlign w:val="subscript"/>
        </w:rPr>
        <w:t>net</w:t>
      </w:r>
      <w:r>
        <w:rPr>
          <w:rFonts w:ascii="Times New Roman"/>
          <w:b w:val="false"/>
          <w:i w:val="false"/>
          <w:color w:val="000000"/>
          <w:sz w:val="28"/>
        </w:rPr>
        <w:t xml:space="preserve"> = </w:t>
      </w:r>
    </w:p>
    <w:p>
      <w:pPr>
        <w:spacing w:after="0"/>
        <w:ind w:left="0"/>
        <w:jc w:val="both"/>
      </w:pPr>
      <w:r>
        <w:drawing>
          <wp:inline distT="0" distB="0" distL="0" distR="0">
            <wp:extent cx="96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965200" cy="457200"/>
                    </a:xfrm>
                    <a:prstGeom prst="rect">
                      <a:avLst/>
                    </a:prstGeom>
                  </pic:spPr>
                </pic:pic>
              </a:graphicData>
            </a:graphic>
          </wp:inline>
        </w:drawing>
      </w:r>
    </w:p>
    <w:p>
      <w:pPr>
        <w:spacing w:after="0"/>
        <w:ind w:left="0"/>
        <w:jc w:val="left"/>
      </w:pPr>
      <w:r>
        <w:rPr>
          <w:rFonts w:ascii="Times New Roman"/>
          <w:b w:val="false"/>
          <w:i w:val="false"/>
          <w:color w:val="000000"/>
          <w:sz w:val="28"/>
        </w:rPr>
        <w:t>,                   (212)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расстояние между стоиками, м, установленными в плоскости бимсов;</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соат</w:t>
      </w:r>
      <w:r>
        <w:rPr>
          <w:rFonts w:ascii="Times New Roman"/>
          <w:b w:val="false"/>
          <w:i w:val="false"/>
          <w:color w:val="000000"/>
          <w:sz w:val="28"/>
        </w:rPr>
        <w:t xml:space="preserve"> — подпункт 2) пункта 665 настоящих Правил;</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xml:space="preserve"> — высота комингса люка, м.</w:t>
      </w:r>
    </w:p>
    <w:bookmarkStart w:name="z2589" w:id="2584"/>
    <w:p>
      <w:pPr>
        <w:spacing w:after="0"/>
        <w:ind w:left="0"/>
        <w:jc w:val="both"/>
      </w:pPr>
      <w:r>
        <w:rPr>
          <w:rFonts w:ascii="Times New Roman"/>
          <w:b w:val="false"/>
          <w:i w:val="false"/>
          <w:color w:val="000000"/>
          <w:sz w:val="28"/>
        </w:rPr>
        <w:t>
      При определении фактического момента сопротивления свободный поясок стойки комингса допускается учитывать только в случае, если он приварен к настилу палубы с полным проваром, и в его плоскости под настилом установлены ребра, кницы или бракеты соответствующих размеров.</w:t>
      </w:r>
    </w:p>
    <w:bookmarkEnd w:id="2584"/>
    <w:bookmarkStart w:name="z2590" w:id="2585"/>
    <w:p>
      <w:pPr>
        <w:spacing w:after="0"/>
        <w:ind w:left="0"/>
        <w:jc w:val="both"/>
      </w:pPr>
      <w:r>
        <w:rPr>
          <w:rFonts w:ascii="Times New Roman"/>
          <w:b w:val="false"/>
          <w:i w:val="false"/>
          <w:color w:val="000000"/>
          <w:sz w:val="28"/>
        </w:rPr>
        <w:t>
      Толщина нетто стенки стоек, установленных в плоскости бимсов, равна не менее определяемой по формуле:</w:t>
      </w:r>
    </w:p>
    <w:bookmarkEnd w:id="2585"/>
    <w:p>
      <w:pPr>
        <w:spacing w:after="0"/>
        <w:ind w:left="0"/>
        <w:jc w:val="both"/>
      </w:pPr>
      <w:r>
        <w:rPr>
          <w:rFonts w:ascii="Times New Roman"/>
          <w:b w:val="false"/>
          <w:i w:val="false"/>
          <w:color w:val="000000"/>
          <w:sz w:val="28"/>
        </w:rPr>
        <w:t>
      s</w:t>
      </w:r>
      <w:r>
        <w:rPr>
          <w:rFonts w:ascii="Times New Roman"/>
          <w:b w:val="false"/>
          <w:i w:val="false"/>
          <w:color w:val="000000"/>
          <w:vertAlign w:val="subscript"/>
        </w:rPr>
        <w:t>net</w:t>
      </w:r>
      <w:r>
        <w:rPr>
          <w:rFonts w:ascii="Times New Roman"/>
          <w:b w:val="false"/>
          <w:i w:val="false"/>
          <w:color w:val="000000"/>
          <w:sz w:val="28"/>
        </w:rPr>
        <w:t xml:space="preserve"> = </w:t>
      </w:r>
    </w:p>
    <w:p>
      <w:pPr>
        <w:spacing w:after="0"/>
        <w:ind w:left="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927100" cy="457200"/>
                    </a:xfrm>
                    <a:prstGeom prst="rect">
                      <a:avLst/>
                    </a:prstGeom>
                  </pic:spPr>
                </pic:pic>
              </a:graphicData>
            </a:graphic>
          </wp:inline>
        </w:drawing>
      </w:r>
    </w:p>
    <w:p>
      <w:pPr>
        <w:spacing w:after="0"/>
        <w:ind w:left="0"/>
        <w:jc w:val="left"/>
      </w:pPr>
      <w:r>
        <w:rPr>
          <w:rFonts w:ascii="Times New Roman"/>
          <w:b w:val="false"/>
          <w:i w:val="false"/>
          <w:color w:val="000000"/>
          <w:sz w:val="28"/>
        </w:rPr>
        <w:t>,                   (213)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высота стенки стойки, мм, в месте ее присоединения к настилу палубы;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Н</w:t>
      </w:r>
      <w:r>
        <w:rPr>
          <w:rFonts w:ascii="Times New Roman"/>
          <w:b w:val="false"/>
          <w:i w:val="false"/>
          <w:color w:val="000000"/>
          <w:vertAlign w:val="subscript"/>
        </w:rPr>
        <w:t>с</w:t>
      </w:r>
      <w:r>
        <w:rPr>
          <w:rFonts w:ascii="Times New Roman"/>
          <w:b w:val="false"/>
          <w:i w:val="false"/>
          <w:color w:val="000000"/>
          <w:sz w:val="28"/>
        </w:rPr>
        <w:t xml:space="preserve"> — формула (212) настоящих Правил;</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соат</w:t>
      </w:r>
      <w:r>
        <w:rPr>
          <w:rFonts w:ascii="Times New Roman"/>
          <w:b w:val="false"/>
          <w:i w:val="false"/>
          <w:color w:val="000000"/>
          <w:sz w:val="28"/>
        </w:rPr>
        <w:t xml:space="preserve"> — подпункт 2) пункта 665 настоящих Правил.</w:t>
      </w:r>
    </w:p>
    <w:bookmarkStart w:name="z2591" w:id="2586"/>
    <w:p>
      <w:pPr>
        <w:spacing w:after="0"/>
        <w:ind w:left="0"/>
        <w:jc w:val="both"/>
      </w:pPr>
      <w:r>
        <w:rPr>
          <w:rFonts w:ascii="Times New Roman"/>
          <w:b w:val="false"/>
          <w:i w:val="false"/>
          <w:color w:val="000000"/>
          <w:sz w:val="28"/>
        </w:rPr>
        <w:t>
      Толщина нетто всех элементов поперечного сечения, увеличенная на 1,5 мм, принимается в качестве минимальной строительной толщины.</w:t>
      </w:r>
    </w:p>
    <w:bookmarkEnd w:id="2586"/>
    <w:bookmarkStart w:name="z2592" w:id="2587"/>
    <w:p>
      <w:pPr>
        <w:spacing w:after="0"/>
        <w:ind w:left="0"/>
        <w:jc w:val="both"/>
      </w:pPr>
      <w:r>
        <w:rPr>
          <w:rFonts w:ascii="Times New Roman"/>
          <w:b w:val="false"/>
          <w:i w:val="false"/>
          <w:color w:val="000000"/>
          <w:sz w:val="28"/>
        </w:rPr>
        <w:t>
      Расчеты прочности для стоек, установленных не в плоскости бимсов, являются в каждом случае предметом специального рассмотрения Регистром судоходства. В этих расчетах допускаемые напряжения принимают равными 0,8 и 0,46 предела текучести стали соответственно для нормальных и касательных напряжений.</w:t>
      </w:r>
    </w:p>
    <w:bookmarkEnd w:id="2587"/>
    <w:bookmarkStart w:name="z2593" w:id="2588"/>
    <w:p>
      <w:pPr>
        <w:spacing w:after="0"/>
        <w:ind w:left="0"/>
        <w:jc w:val="both"/>
      </w:pPr>
      <w:r>
        <w:rPr>
          <w:rFonts w:ascii="Times New Roman"/>
          <w:b w:val="false"/>
          <w:i w:val="false"/>
          <w:color w:val="000000"/>
          <w:sz w:val="28"/>
        </w:rPr>
        <w:t>
      Стенка стойки соединяется с палубным настилом двусторонним непрерывным сварным швом с расчетной толщиной не менее 0,44s, где s — минимальная строительная толщина стенки стойки, мм. При этом часть сварного шва протяженностью не менее 15 % его длины, начиная от "свободного" торца стойки, выполняется с глубоким проваром (разделкой кромок с двух сторон).</w:t>
      </w:r>
    </w:p>
    <w:bookmarkEnd w:id="2588"/>
    <w:bookmarkStart w:name="z2594" w:id="2589"/>
    <w:p>
      <w:pPr>
        <w:spacing w:after="0"/>
        <w:ind w:left="0"/>
        <w:jc w:val="both"/>
      </w:pPr>
      <w:r>
        <w:rPr>
          <w:rFonts w:ascii="Times New Roman"/>
          <w:b w:val="false"/>
          <w:i w:val="false"/>
          <w:color w:val="000000"/>
          <w:sz w:val="28"/>
        </w:rPr>
        <w:t>
      Прочность подпалубных конструкций, воспринимающих усилия от стоек комингса, проверяется по допускаемым нормальным и касательным напряжениям, равным, соответственно, 0,95 и 0,5 предела текучести стали;</w:t>
      </w:r>
    </w:p>
    <w:bookmarkEnd w:id="2589"/>
    <w:bookmarkStart w:name="z2595" w:id="2590"/>
    <w:p>
      <w:pPr>
        <w:spacing w:after="0"/>
        <w:ind w:left="0"/>
        <w:jc w:val="both"/>
      </w:pPr>
      <w:r>
        <w:rPr>
          <w:rFonts w:ascii="Times New Roman"/>
          <w:b w:val="false"/>
          <w:i w:val="false"/>
          <w:color w:val="000000"/>
          <w:sz w:val="28"/>
        </w:rPr>
        <w:t>
      5) продольные и поперечные ребра жесткости, стойки и листовые элементы комингсов грузовых люков подлежат замене, если фактическая остаточная толщина элемента комингса будет меньше t</w:t>
      </w:r>
      <w:r>
        <w:rPr>
          <w:rFonts w:ascii="Times New Roman"/>
          <w:b w:val="false"/>
          <w:i w:val="false"/>
          <w:color w:val="000000"/>
          <w:vertAlign w:val="subscript"/>
        </w:rPr>
        <w:t>net</w:t>
      </w:r>
      <w:r>
        <w:rPr>
          <w:rFonts w:ascii="Times New Roman"/>
          <w:b w:val="false"/>
          <w:i w:val="false"/>
          <w:color w:val="000000"/>
          <w:sz w:val="28"/>
        </w:rPr>
        <w:t xml:space="preserve"> + 0,5 мм.</w:t>
      </w:r>
    </w:p>
    <w:bookmarkEnd w:id="2590"/>
    <w:bookmarkStart w:name="z2596" w:id="2591"/>
    <w:p>
      <w:pPr>
        <w:spacing w:after="0"/>
        <w:ind w:left="0"/>
        <w:jc w:val="both"/>
      </w:pPr>
      <w:r>
        <w:rPr>
          <w:rFonts w:ascii="Times New Roman"/>
          <w:b w:val="false"/>
          <w:i w:val="false"/>
          <w:color w:val="000000"/>
          <w:sz w:val="28"/>
        </w:rPr>
        <w:t>
      Если фактическая остаточная толщина будет больше t</w:t>
      </w:r>
      <w:r>
        <w:rPr>
          <w:rFonts w:ascii="Times New Roman"/>
          <w:b w:val="false"/>
          <w:i w:val="false"/>
          <w:color w:val="000000"/>
          <w:vertAlign w:val="subscript"/>
        </w:rPr>
        <w:t>net</w:t>
      </w:r>
      <w:r>
        <w:rPr>
          <w:rFonts w:ascii="Times New Roman"/>
          <w:b w:val="false"/>
          <w:i w:val="false"/>
          <w:color w:val="000000"/>
          <w:sz w:val="28"/>
        </w:rPr>
        <w:t xml:space="preserve"> + 0,5 мм, но меньше t</w:t>
      </w:r>
      <w:r>
        <w:rPr>
          <w:rFonts w:ascii="Times New Roman"/>
          <w:b w:val="false"/>
          <w:i w:val="false"/>
          <w:color w:val="000000"/>
          <w:vertAlign w:val="subscript"/>
        </w:rPr>
        <w:t>net</w:t>
      </w:r>
      <w:r>
        <w:rPr>
          <w:rFonts w:ascii="Times New Roman"/>
          <w:b w:val="false"/>
          <w:i w:val="false"/>
          <w:color w:val="000000"/>
          <w:sz w:val="28"/>
        </w:rPr>
        <w:t xml:space="preserve"> + 1,0 мм, то вместо замены допускается нанесение защитного покрытия в соответствии с технологией изготовителя или ежегодное выполнение замеров остаточной фактической толщины. В случае нанесения покрытия оно поддерживается в техническом состоянии "хорошее".</w:t>
      </w:r>
    </w:p>
    <w:bookmarkEnd w:id="2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665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7" w:id="2592"/>
    <w:p>
      <w:pPr>
        <w:spacing w:after="0"/>
        <w:ind w:left="0"/>
        <w:jc w:val="left"/>
      </w:pPr>
      <w:r>
        <w:rPr>
          <w:rFonts w:ascii="Times New Roman"/>
          <w:b/>
          <w:i w:val="false"/>
          <w:color w:val="000000"/>
        </w:rPr>
        <w:t xml:space="preserve"> Параграф 6. Контроль прочности при загрузке судна</w:t>
      </w:r>
    </w:p>
    <w:bookmarkEnd w:id="2592"/>
    <w:bookmarkStart w:name="z2598" w:id="2593"/>
    <w:p>
      <w:pPr>
        <w:spacing w:after="0"/>
        <w:ind w:left="0"/>
        <w:jc w:val="both"/>
      </w:pPr>
      <w:r>
        <w:rPr>
          <w:rFonts w:ascii="Times New Roman"/>
          <w:b w:val="false"/>
          <w:i w:val="false"/>
          <w:color w:val="000000"/>
          <w:sz w:val="28"/>
        </w:rPr>
        <w:t>
      666. Рудовозы, нефтенавалочные суда и нефтерудовозы длиной 150 м и более снабжаются одобренной Регистром судоходства Инструкцией по загрузке, представляющей собой одобренным Регистром судоходства прибором контроля загрузки.</w:t>
      </w:r>
    </w:p>
    <w:bookmarkEnd w:id="2593"/>
    <w:bookmarkStart w:name="z2599" w:id="2594"/>
    <w:p>
      <w:pPr>
        <w:spacing w:after="0"/>
        <w:ind w:left="0"/>
        <w:jc w:val="both"/>
      </w:pPr>
      <w:r>
        <w:rPr>
          <w:rFonts w:ascii="Times New Roman"/>
          <w:b w:val="false"/>
          <w:i w:val="false"/>
          <w:color w:val="000000"/>
          <w:sz w:val="28"/>
        </w:rPr>
        <w:t>
      667. Инструкция по загрузке представляет собой одобренный Регистром судоходства документ, содержащий:</w:t>
      </w:r>
    </w:p>
    <w:bookmarkEnd w:id="2594"/>
    <w:bookmarkStart w:name="z2600" w:id="2595"/>
    <w:p>
      <w:pPr>
        <w:spacing w:after="0"/>
        <w:ind w:left="0"/>
        <w:jc w:val="both"/>
      </w:pPr>
      <w:r>
        <w:rPr>
          <w:rFonts w:ascii="Times New Roman"/>
          <w:b w:val="false"/>
          <w:i w:val="false"/>
          <w:color w:val="000000"/>
          <w:sz w:val="28"/>
        </w:rPr>
        <w:t>
      1) варианты загрузки, принятые в качестве расчетных при определении размеров элементов набора корпуса судна, включая допускаемые величины изгибающих моментов и перерезывающих сил на тихой воде;</w:t>
      </w:r>
    </w:p>
    <w:bookmarkEnd w:id="2595"/>
    <w:bookmarkStart w:name="z2601" w:id="2596"/>
    <w:p>
      <w:pPr>
        <w:spacing w:after="0"/>
        <w:ind w:left="0"/>
        <w:jc w:val="both"/>
      </w:pPr>
      <w:r>
        <w:rPr>
          <w:rFonts w:ascii="Times New Roman"/>
          <w:b w:val="false"/>
          <w:i w:val="false"/>
          <w:color w:val="000000"/>
          <w:sz w:val="28"/>
        </w:rPr>
        <w:t>
      2) результаты расчета изгибающих моментов, перерезывающих сил на тихой воде и, если требуется, ограничений вследствие скручивающих нагрузок;</w:t>
      </w:r>
    </w:p>
    <w:bookmarkEnd w:id="2596"/>
    <w:bookmarkStart w:name="z2602" w:id="2597"/>
    <w:p>
      <w:pPr>
        <w:spacing w:after="0"/>
        <w:ind w:left="0"/>
        <w:jc w:val="both"/>
      </w:pPr>
      <w:r>
        <w:rPr>
          <w:rFonts w:ascii="Times New Roman"/>
          <w:b w:val="false"/>
          <w:i w:val="false"/>
          <w:color w:val="000000"/>
          <w:sz w:val="28"/>
        </w:rPr>
        <w:t>
      3) результаты расчетов и допускаемые значения изгибающих моментов и перерезывающих сил на тихой воде в состоянии затопления одного трюма согласно пункту 665 настоящих Правил;</w:t>
      </w:r>
    </w:p>
    <w:bookmarkEnd w:id="2597"/>
    <w:bookmarkStart w:name="z2603" w:id="2598"/>
    <w:p>
      <w:pPr>
        <w:spacing w:after="0"/>
        <w:ind w:left="0"/>
        <w:jc w:val="both"/>
      </w:pPr>
      <w:r>
        <w:rPr>
          <w:rFonts w:ascii="Times New Roman"/>
          <w:b w:val="false"/>
          <w:i w:val="false"/>
          <w:color w:val="000000"/>
          <w:sz w:val="28"/>
        </w:rPr>
        <w:t>
      4) перечень грузовых трюмов или сочетаний грузовых трюмов, которые остаются пустыми при наибольшей осадке. Если ни один из трюмов не остается пустым при наибольшей осадке, то об этом указывают в Инструкции по загрузке;</w:t>
      </w:r>
    </w:p>
    <w:bookmarkEnd w:id="2598"/>
    <w:bookmarkStart w:name="z2604" w:id="2599"/>
    <w:p>
      <w:pPr>
        <w:spacing w:after="0"/>
        <w:ind w:left="0"/>
        <w:jc w:val="both"/>
      </w:pPr>
      <w:r>
        <w:rPr>
          <w:rFonts w:ascii="Times New Roman"/>
          <w:b w:val="false"/>
          <w:i w:val="false"/>
          <w:color w:val="000000"/>
          <w:sz w:val="28"/>
        </w:rPr>
        <w:t>
      5) наибольшую допускаемую и наименьшую требуемую массу груза и содержимого двойного дна каждого трюма как функцию осадки на середине длины трюма;</w:t>
      </w:r>
    </w:p>
    <w:bookmarkEnd w:id="2599"/>
    <w:bookmarkStart w:name="z2605" w:id="2600"/>
    <w:p>
      <w:pPr>
        <w:spacing w:after="0"/>
        <w:ind w:left="0"/>
        <w:jc w:val="both"/>
      </w:pPr>
      <w:r>
        <w:rPr>
          <w:rFonts w:ascii="Times New Roman"/>
          <w:b w:val="false"/>
          <w:i w:val="false"/>
          <w:color w:val="000000"/>
          <w:sz w:val="28"/>
        </w:rPr>
        <w:t>
      6) наибольшую допускаемую и наименьшую требуемую массу груза и содержимого двойного дна каждой пары смежных трюмов как функцию средней осадки на их длине. Эта средняя осадка определяется как средняя величина осадок на серединах длины этих трюмов;</w:t>
      </w:r>
    </w:p>
    <w:bookmarkEnd w:id="2600"/>
    <w:bookmarkStart w:name="z2606" w:id="2601"/>
    <w:p>
      <w:pPr>
        <w:spacing w:after="0"/>
        <w:ind w:left="0"/>
        <w:jc w:val="both"/>
      </w:pPr>
      <w:r>
        <w:rPr>
          <w:rFonts w:ascii="Times New Roman"/>
          <w:b w:val="false"/>
          <w:i w:val="false"/>
          <w:color w:val="000000"/>
          <w:sz w:val="28"/>
        </w:rPr>
        <w:t>
      7) для грузов, иных, чем навалочные, наибольшую допустимую нагрузку на настил двойного дна совместно с характеристикой типа груза (плотностью или удельным погрузочным объемом);</w:t>
      </w:r>
    </w:p>
    <w:bookmarkEnd w:id="2601"/>
    <w:bookmarkStart w:name="z2607" w:id="2602"/>
    <w:p>
      <w:pPr>
        <w:spacing w:after="0"/>
        <w:ind w:left="0"/>
        <w:jc w:val="both"/>
      </w:pPr>
      <w:r>
        <w:rPr>
          <w:rFonts w:ascii="Times New Roman"/>
          <w:b w:val="false"/>
          <w:i w:val="false"/>
          <w:color w:val="000000"/>
          <w:sz w:val="28"/>
        </w:rPr>
        <w:t>
      8) наибольшую допустимую нагрузку на палубу и люковые закрытия. Если судно не одобрено для перевозки груза на палубе или люковых закрытиях, то об этом указывается в Инструкции по загрузке;</w:t>
      </w:r>
    </w:p>
    <w:bookmarkEnd w:id="2602"/>
    <w:bookmarkStart w:name="z2608" w:id="2603"/>
    <w:p>
      <w:pPr>
        <w:spacing w:after="0"/>
        <w:ind w:left="0"/>
        <w:jc w:val="both"/>
      </w:pPr>
      <w:r>
        <w:rPr>
          <w:rFonts w:ascii="Times New Roman"/>
          <w:b w:val="false"/>
          <w:i w:val="false"/>
          <w:color w:val="000000"/>
          <w:sz w:val="28"/>
        </w:rPr>
        <w:t>
      9) наибольшую скорость балластировки судна, согласованную со скоростью производства погрузоразгрузочных работ.</w:t>
      </w:r>
    </w:p>
    <w:bookmarkEnd w:id="2603"/>
    <w:bookmarkStart w:name="z2609" w:id="2604"/>
    <w:p>
      <w:pPr>
        <w:spacing w:after="0"/>
        <w:ind w:left="0"/>
        <w:jc w:val="both"/>
      </w:pPr>
      <w:r>
        <w:rPr>
          <w:rFonts w:ascii="Times New Roman"/>
          <w:b w:val="false"/>
          <w:i w:val="false"/>
          <w:color w:val="000000"/>
          <w:sz w:val="28"/>
        </w:rPr>
        <w:t>
      668. В дополнение к требованиям подпункта 1) пункта 185 настоящих Правил следующие варианты загрузки как в начале, так и в конце рейса включают в Инструкцию по загрузке:</w:t>
      </w:r>
    </w:p>
    <w:bookmarkEnd w:id="2604"/>
    <w:bookmarkStart w:name="z2610" w:id="2605"/>
    <w:p>
      <w:pPr>
        <w:spacing w:after="0"/>
        <w:ind w:left="0"/>
        <w:jc w:val="both"/>
      </w:pPr>
      <w:r>
        <w:rPr>
          <w:rFonts w:ascii="Times New Roman"/>
          <w:b w:val="false"/>
          <w:i w:val="false"/>
          <w:color w:val="000000"/>
          <w:sz w:val="28"/>
        </w:rPr>
        <w:t>
      1) чередующаяся загрузка легким и тяжелым грузом при наибольшей осадке, если применимо;</w:t>
      </w:r>
    </w:p>
    <w:bookmarkEnd w:id="2605"/>
    <w:bookmarkStart w:name="z2611" w:id="2606"/>
    <w:p>
      <w:pPr>
        <w:spacing w:after="0"/>
        <w:ind w:left="0"/>
        <w:jc w:val="both"/>
      </w:pPr>
      <w:r>
        <w:rPr>
          <w:rFonts w:ascii="Times New Roman"/>
          <w:b w:val="false"/>
          <w:i w:val="false"/>
          <w:color w:val="000000"/>
          <w:sz w:val="28"/>
        </w:rPr>
        <w:t>
      2) равномерная загрузка легким и тяжелым грузом при наибольшей осадке;</w:t>
      </w:r>
    </w:p>
    <w:bookmarkEnd w:id="2606"/>
    <w:bookmarkStart w:name="z2612" w:id="2607"/>
    <w:p>
      <w:pPr>
        <w:spacing w:after="0"/>
        <w:ind w:left="0"/>
        <w:jc w:val="both"/>
      </w:pPr>
      <w:r>
        <w:rPr>
          <w:rFonts w:ascii="Times New Roman"/>
          <w:b w:val="false"/>
          <w:i w:val="false"/>
          <w:color w:val="000000"/>
          <w:sz w:val="28"/>
        </w:rPr>
        <w:t>
      3) балластные состояния. Для судов, имеющих балластные трюмы, смежные с цистернами двойного дна, для повышения прочности, целесообразно, чтобы балластные трюмы были заполнены, когда цистерны двойного дна пусты;</w:t>
      </w:r>
    </w:p>
    <w:bookmarkEnd w:id="2607"/>
    <w:bookmarkStart w:name="z2613" w:id="2608"/>
    <w:p>
      <w:pPr>
        <w:spacing w:after="0"/>
        <w:ind w:left="0"/>
        <w:jc w:val="both"/>
      </w:pPr>
      <w:r>
        <w:rPr>
          <w:rFonts w:ascii="Times New Roman"/>
          <w:b w:val="false"/>
          <w:i w:val="false"/>
          <w:color w:val="000000"/>
          <w:sz w:val="28"/>
        </w:rPr>
        <w:t>
      4) варианты загрузки для коротких рейсов, когда судно загружается по максимальную осадку, но с ограниченным количеством запасов;</w:t>
      </w:r>
    </w:p>
    <w:bookmarkEnd w:id="2608"/>
    <w:bookmarkStart w:name="z2614" w:id="2609"/>
    <w:p>
      <w:pPr>
        <w:spacing w:after="0"/>
        <w:ind w:left="0"/>
        <w:jc w:val="both"/>
      </w:pPr>
      <w:r>
        <w:rPr>
          <w:rFonts w:ascii="Times New Roman"/>
          <w:b w:val="false"/>
          <w:i w:val="false"/>
          <w:color w:val="000000"/>
          <w:sz w:val="28"/>
        </w:rPr>
        <w:t>
      5) промежуточные варианты загрузки при погрузке/разгрузке в порту;</w:t>
      </w:r>
    </w:p>
    <w:bookmarkEnd w:id="2609"/>
    <w:bookmarkStart w:name="z2615" w:id="2610"/>
    <w:p>
      <w:pPr>
        <w:spacing w:after="0"/>
        <w:ind w:left="0"/>
        <w:jc w:val="both"/>
      </w:pPr>
      <w:r>
        <w:rPr>
          <w:rFonts w:ascii="Times New Roman"/>
          <w:b w:val="false"/>
          <w:i w:val="false"/>
          <w:color w:val="000000"/>
          <w:sz w:val="28"/>
        </w:rPr>
        <w:t>
      6) варианты загрузки палубным грузом, если применимо;</w:t>
      </w:r>
    </w:p>
    <w:bookmarkEnd w:id="2610"/>
    <w:bookmarkStart w:name="z2616" w:id="2611"/>
    <w:p>
      <w:pPr>
        <w:spacing w:after="0"/>
        <w:ind w:left="0"/>
        <w:jc w:val="both"/>
      </w:pPr>
      <w:r>
        <w:rPr>
          <w:rFonts w:ascii="Times New Roman"/>
          <w:b w:val="false"/>
          <w:i w:val="false"/>
          <w:color w:val="000000"/>
          <w:sz w:val="28"/>
        </w:rPr>
        <w:t>
      7) типовые последовательности загрузки от начала погрузки до полного дедвейта для загрузки однородным грузом, неполной загрузки и загрузки с чередующимся заполнением трюмов, если применимо. Типовые последовательности разгрузки для вышеупомянутых состояний также предусматривают. Типовые последовательности загрузки/разгрузки так разрабатывают, чтобы не превышать соответствующих ограничений по прочности. Типовые последовательности загрузки разрабатываются с учетом скоростей загрузки и откачки балласта;</w:t>
      </w:r>
    </w:p>
    <w:bookmarkEnd w:id="2611"/>
    <w:bookmarkStart w:name="z2617" w:id="2612"/>
    <w:p>
      <w:pPr>
        <w:spacing w:after="0"/>
        <w:ind w:left="0"/>
        <w:jc w:val="both"/>
      </w:pPr>
      <w:r>
        <w:rPr>
          <w:rFonts w:ascii="Times New Roman"/>
          <w:b w:val="false"/>
          <w:i w:val="false"/>
          <w:color w:val="000000"/>
          <w:sz w:val="28"/>
        </w:rPr>
        <w:t>
      8) типовые последовательности замены балласта в море, если требуется.</w:t>
      </w:r>
    </w:p>
    <w:bookmarkEnd w:id="2612"/>
    <w:bookmarkStart w:name="z2618" w:id="2613"/>
    <w:p>
      <w:pPr>
        <w:spacing w:after="0"/>
        <w:ind w:left="0"/>
        <w:jc w:val="both"/>
      </w:pPr>
      <w:r>
        <w:rPr>
          <w:rFonts w:ascii="Times New Roman"/>
          <w:b w:val="false"/>
          <w:i w:val="false"/>
          <w:color w:val="000000"/>
          <w:sz w:val="28"/>
        </w:rPr>
        <w:t>
      669. Прибор контроля загрузки представляет собой одобренное Регистром судоходства устройство цифрового типа, как определено в пункте 215 настоящих Правил, в дополнение к требованиям пункта 215 настоящих Правил, позволяющее устанавливать, что следующие параметры не превышают допускаемых величин:</w:t>
      </w:r>
    </w:p>
    <w:bookmarkEnd w:id="2613"/>
    <w:bookmarkStart w:name="z2619" w:id="2614"/>
    <w:p>
      <w:pPr>
        <w:spacing w:after="0"/>
        <w:ind w:left="0"/>
        <w:jc w:val="both"/>
      </w:pPr>
      <w:r>
        <w:rPr>
          <w:rFonts w:ascii="Times New Roman"/>
          <w:b w:val="false"/>
          <w:i w:val="false"/>
          <w:color w:val="000000"/>
          <w:sz w:val="28"/>
        </w:rPr>
        <w:t>
      1) масса груза и содержимое двойного дна на длине каждого трюма, как функция осадки на середине длины трюма;</w:t>
      </w:r>
    </w:p>
    <w:bookmarkEnd w:id="2614"/>
    <w:bookmarkStart w:name="z2620" w:id="2615"/>
    <w:p>
      <w:pPr>
        <w:spacing w:after="0"/>
        <w:ind w:left="0"/>
        <w:jc w:val="both"/>
      </w:pPr>
      <w:r>
        <w:rPr>
          <w:rFonts w:ascii="Times New Roman"/>
          <w:b w:val="false"/>
          <w:i w:val="false"/>
          <w:color w:val="000000"/>
          <w:sz w:val="28"/>
        </w:rPr>
        <w:t>
      2) масса груза и содержимого двойного дна любых двух смежных трюмов, как функция средней осадки на длине этих трюмов;</w:t>
      </w:r>
    </w:p>
    <w:bookmarkEnd w:id="2615"/>
    <w:bookmarkStart w:name="z2621" w:id="2616"/>
    <w:p>
      <w:pPr>
        <w:spacing w:after="0"/>
        <w:ind w:left="0"/>
        <w:jc w:val="both"/>
      </w:pPr>
      <w:r>
        <w:rPr>
          <w:rFonts w:ascii="Times New Roman"/>
          <w:b w:val="false"/>
          <w:i w:val="false"/>
          <w:color w:val="000000"/>
          <w:sz w:val="28"/>
        </w:rPr>
        <w:t>
      3) изгибающий момент и перерезывающие силы на тихой воде для случая аварийного затопления согласно пункту 665 настоящих Правил.</w:t>
      </w:r>
    </w:p>
    <w:bookmarkEnd w:id="2616"/>
    <w:bookmarkStart w:name="z2622" w:id="2617"/>
    <w:p>
      <w:pPr>
        <w:spacing w:after="0"/>
        <w:ind w:left="0"/>
        <w:jc w:val="both"/>
      </w:pPr>
      <w:r>
        <w:rPr>
          <w:rFonts w:ascii="Times New Roman"/>
          <w:b w:val="false"/>
          <w:i w:val="false"/>
          <w:color w:val="000000"/>
          <w:sz w:val="28"/>
        </w:rPr>
        <w:t>
      670. Условия одобрения прибора контроля загрузки, изложенные в пункте 215 настоящих Правил, дополняются следующими:</w:t>
      </w:r>
    </w:p>
    <w:bookmarkEnd w:id="2617"/>
    <w:bookmarkStart w:name="z2623" w:id="2618"/>
    <w:p>
      <w:pPr>
        <w:spacing w:after="0"/>
        <w:ind w:left="0"/>
        <w:jc w:val="both"/>
      </w:pPr>
      <w:r>
        <w:rPr>
          <w:rFonts w:ascii="Times New Roman"/>
          <w:b w:val="false"/>
          <w:i w:val="false"/>
          <w:color w:val="000000"/>
          <w:sz w:val="28"/>
        </w:rPr>
        <w:t>
      1) одобрением допускаемых значений изгибающих моментов, действующих на корпус судна, для всех проверяемых сечений;</w:t>
      </w:r>
    </w:p>
    <w:bookmarkEnd w:id="2618"/>
    <w:bookmarkStart w:name="z2624" w:id="2619"/>
    <w:p>
      <w:pPr>
        <w:spacing w:after="0"/>
        <w:ind w:left="0"/>
        <w:jc w:val="both"/>
      </w:pPr>
      <w:r>
        <w:rPr>
          <w:rFonts w:ascii="Times New Roman"/>
          <w:b w:val="false"/>
          <w:i w:val="false"/>
          <w:color w:val="000000"/>
          <w:sz w:val="28"/>
        </w:rPr>
        <w:t>
      2) одобрением допускаемых значений перерезывающих сил, действующих на корпус судна, для всех проверяемых сечений;</w:t>
      </w:r>
    </w:p>
    <w:bookmarkEnd w:id="2619"/>
    <w:bookmarkStart w:name="z2625" w:id="2620"/>
    <w:p>
      <w:pPr>
        <w:spacing w:after="0"/>
        <w:ind w:left="0"/>
        <w:jc w:val="both"/>
      </w:pPr>
      <w:r>
        <w:rPr>
          <w:rFonts w:ascii="Times New Roman"/>
          <w:b w:val="false"/>
          <w:i w:val="false"/>
          <w:color w:val="000000"/>
          <w:sz w:val="28"/>
        </w:rPr>
        <w:t>
      3) одобрением ограничений массы груза и содержимого двойного дна для каждого трюма, как функции от осадки;</w:t>
      </w:r>
    </w:p>
    <w:bookmarkEnd w:id="2620"/>
    <w:bookmarkStart w:name="z2626" w:id="2621"/>
    <w:p>
      <w:pPr>
        <w:spacing w:after="0"/>
        <w:ind w:left="0"/>
        <w:jc w:val="both"/>
      </w:pPr>
      <w:r>
        <w:rPr>
          <w:rFonts w:ascii="Times New Roman"/>
          <w:b w:val="false"/>
          <w:i w:val="false"/>
          <w:color w:val="000000"/>
          <w:sz w:val="28"/>
        </w:rPr>
        <w:t>
      4) одобрением ограничений массы груза и содержимого двойного дна для каждых двух смежных трюмов, как функции от осадки.</w:t>
      </w:r>
    </w:p>
    <w:bookmarkEnd w:id="2621"/>
    <w:bookmarkStart w:name="z2627" w:id="2622"/>
    <w:p>
      <w:pPr>
        <w:spacing w:after="0"/>
        <w:ind w:left="0"/>
        <w:jc w:val="left"/>
      </w:pPr>
      <w:r>
        <w:rPr>
          <w:rFonts w:ascii="Times New Roman"/>
          <w:b/>
          <w:i w:val="false"/>
          <w:color w:val="000000"/>
        </w:rPr>
        <w:t xml:space="preserve"> Глава 32. Рудовозы и нефтерудовозы</w:t>
      </w:r>
    </w:p>
    <w:bookmarkEnd w:id="2622"/>
    <w:p>
      <w:pPr>
        <w:spacing w:after="0"/>
        <w:ind w:left="0"/>
        <w:jc w:val="both"/>
      </w:pPr>
      <w:r>
        <w:rPr>
          <w:rFonts w:ascii="Times New Roman"/>
          <w:b w:val="false"/>
          <w:i w:val="false"/>
          <w:color w:val="ff0000"/>
          <w:sz w:val="28"/>
        </w:rPr>
        <w:t xml:space="preserve">
      Сноска. Заголовок главы 32 -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8" w:id="2623"/>
    <w:p>
      <w:pPr>
        <w:spacing w:after="0"/>
        <w:ind w:left="0"/>
        <w:jc w:val="left"/>
      </w:pPr>
      <w:r>
        <w:rPr>
          <w:rFonts w:ascii="Times New Roman"/>
          <w:b/>
          <w:i w:val="false"/>
          <w:color w:val="000000"/>
        </w:rPr>
        <w:t xml:space="preserve"> Параграф 1. Общие положения</w:t>
      </w:r>
    </w:p>
    <w:bookmarkEnd w:id="2623"/>
    <w:bookmarkStart w:name="z2629" w:id="2624"/>
    <w:p>
      <w:pPr>
        <w:spacing w:after="0"/>
        <w:ind w:left="0"/>
        <w:jc w:val="both"/>
      </w:pPr>
      <w:r>
        <w:rPr>
          <w:rFonts w:ascii="Times New Roman"/>
          <w:b w:val="false"/>
          <w:i w:val="false"/>
          <w:color w:val="000000"/>
          <w:sz w:val="28"/>
        </w:rPr>
        <w:t>
      671. Требования настоящей главы распространяются на суда для перевозки руды и других навалочных грузов, а также на комбинированные суда для перевозки руды и нефти (нефтепродуктов).</w:t>
      </w:r>
    </w:p>
    <w:bookmarkEnd w:id="2624"/>
    <w:bookmarkStart w:name="z2630" w:id="2625"/>
    <w:p>
      <w:pPr>
        <w:spacing w:after="0"/>
        <w:ind w:left="0"/>
        <w:jc w:val="both"/>
      </w:pPr>
      <w:r>
        <w:rPr>
          <w:rFonts w:ascii="Times New Roman"/>
          <w:b w:val="false"/>
          <w:i w:val="false"/>
          <w:color w:val="000000"/>
          <w:sz w:val="28"/>
        </w:rPr>
        <w:t>
      672. Требования к конструкциям, не упомянутым в настоящей главе, должны приниматься в соответствии с подразделами 1 и 2 раздела 4 настоящих Правил с учетом уточнений, содержащихся в главе 31 настоящих Правил в отношении конструкций, подверженных воздействию тяжелых навалочных и жидких грузов.</w:t>
      </w:r>
    </w:p>
    <w:bookmarkEnd w:id="2625"/>
    <w:bookmarkStart w:name="z2631" w:id="2626"/>
    <w:p>
      <w:pPr>
        <w:spacing w:after="0"/>
        <w:ind w:left="0"/>
        <w:jc w:val="both"/>
      </w:pPr>
      <w:r>
        <w:rPr>
          <w:rFonts w:ascii="Times New Roman"/>
          <w:b w:val="false"/>
          <w:i w:val="false"/>
          <w:color w:val="000000"/>
          <w:sz w:val="28"/>
        </w:rPr>
        <w:t>
      Во всех случаях требования к корпусу и его конструкциям не ниже предъявляемых подразделами 1 и 2 раздела 4 настоящих Правил.</w:t>
      </w:r>
    </w:p>
    <w:bookmarkEnd w:id="2626"/>
    <w:bookmarkStart w:name="z2632" w:id="2627"/>
    <w:p>
      <w:pPr>
        <w:spacing w:after="0"/>
        <w:ind w:left="0"/>
        <w:jc w:val="both"/>
      </w:pPr>
      <w:r>
        <w:rPr>
          <w:rFonts w:ascii="Times New Roman"/>
          <w:b w:val="false"/>
          <w:i w:val="false"/>
          <w:color w:val="000000"/>
          <w:sz w:val="28"/>
        </w:rPr>
        <w:t>
      673. В качестве основного конструктивного типа принято однопалубное судно с кормовым расположением машинного отделения, с продольными переборками, отделяющими центральный отсек для руды от бортовых отсеков, с двойным дном по всей ширине или только в центральной части между продольными переборками.</w:t>
      </w:r>
    </w:p>
    <w:bookmarkEnd w:id="2627"/>
    <w:bookmarkStart w:name="z2633" w:id="2628"/>
    <w:p>
      <w:pPr>
        <w:spacing w:after="0"/>
        <w:ind w:left="0"/>
        <w:jc w:val="both"/>
      </w:pPr>
      <w:r>
        <w:rPr>
          <w:rFonts w:ascii="Times New Roman"/>
          <w:b w:val="false"/>
          <w:i w:val="false"/>
          <w:color w:val="000000"/>
          <w:sz w:val="28"/>
        </w:rPr>
        <w:t>
      674. Словесная характеристика и знак "(ESP)" присваиваются судам в следующих случаях:</w:t>
      </w:r>
    </w:p>
    <w:bookmarkEnd w:id="2628"/>
    <w:bookmarkStart w:name="z2634" w:id="2629"/>
    <w:p>
      <w:pPr>
        <w:spacing w:after="0"/>
        <w:ind w:left="0"/>
        <w:jc w:val="both"/>
      </w:pPr>
      <w:r>
        <w:rPr>
          <w:rFonts w:ascii="Times New Roman"/>
          <w:b w:val="false"/>
          <w:i w:val="false"/>
          <w:color w:val="000000"/>
          <w:sz w:val="28"/>
        </w:rPr>
        <w:t>
      1) словесная характеристика "Ore carrier" и знак "(ESP)" присваивается морским самоходным однопалубным судам, имеющим две продольные переборки и двойное дно на протяжении грузовой части и предназначенным для перевозки рудных грузов только в центральных трюмах. Типовое миделевое сечение приведено в приложении 92 настоящих Правил;</w:t>
      </w:r>
    </w:p>
    <w:bookmarkEnd w:id="2629"/>
    <w:bookmarkStart w:name="z2635" w:id="2630"/>
    <w:p>
      <w:pPr>
        <w:spacing w:after="0"/>
        <w:ind w:left="0"/>
        <w:jc w:val="both"/>
      </w:pPr>
      <w:r>
        <w:rPr>
          <w:rFonts w:ascii="Times New Roman"/>
          <w:b w:val="false"/>
          <w:i w:val="false"/>
          <w:color w:val="000000"/>
          <w:sz w:val="28"/>
        </w:rPr>
        <w:t>
      2) словесная характеристика "Combination carrier" — общий термин, применяемый к судам, предназначенным для перевозки нефтяных грузов наливом и сухих грузов навалом; при этом вышеуказанные грузы неперевозятся одновременно, за исключением остатков нефти в отстойных танках;</w:t>
      </w:r>
    </w:p>
    <w:bookmarkEnd w:id="2630"/>
    <w:bookmarkStart w:name="z2636" w:id="2631"/>
    <w:p>
      <w:pPr>
        <w:spacing w:after="0"/>
        <w:ind w:left="0"/>
        <w:jc w:val="both"/>
      </w:pPr>
      <w:r>
        <w:rPr>
          <w:rFonts w:ascii="Times New Roman"/>
          <w:b w:val="false"/>
          <w:i w:val="false"/>
          <w:color w:val="000000"/>
          <w:sz w:val="28"/>
        </w:rPr>
        <w:t>
      3) словесная характеристика "Ore/oil carrier" и знак "(ESP)" присваивают морским самоходным однопалубным судам, имеющим две продольные переборки и двойное дно на протяжении грузовой части и предназначенным для перевозки рудных грузов в центральных трюмах или нефтяных грузов в центральных трюмах и бортовых танках. Типовые миделевые сечения приведены в приложении 93 настоящих Правил.</w:t>
      </w:r>
    </w:p>
    <w:bookmarkEnd w:id="2631"/>
    <w:bookmarkStart w:name="z2637" w:id="2632"/>
    <w:p>
      <w:pPr>
        <w:spacing w:after="0"/>
        <w:ind w:left="0"/>
        <w:jc w:val="left"/>
      </w:pPr>
      <w:r>
        <w:rPr>
          <w:rFonts w:ascii="Times New Roman"/>
          <w:b/>
          <w:i w:val="false"/>
          <w:color w:val="000000"/>
        </w:rPr>
        <w:t xml:space="preserve"> Параграф 2. Конструкция</w:t>
      </w:r>
    </w:p>
    <w:bookmarkEnd w:id="2632"/>
    <w:bookmarkStart w:name="z2638" w:id="2633"/>
    <w:p>
      <w:pPr>
        <w:spacing w:after="0"/>
        <w:ind w:left="0"/>
        <w:jc w:val="both"/>
      </w:pPr>
      <w:r>
        <w:rPr>
          <w:rFonts w:ascii="Times New Roman"/>
          <w:b w:val="false"/>
          <w:i w:val="false"/>
          <w:color w:val="000000"/>
          <w:sz w:val="28"/>
        </w:rPr>
        <w:t>
      675. Палуба и днище (двойное дно) имеют продольную систему набора. По бортам и продольным переборкам допускается применение как продольной, так и поперечной системы набора. Участки настила палубы между поперечными комингсами соседних грузовых люков подкрепляются в поперечном направлении согласно пункту 638 настоящих Правил.</w:t>
      </w:r>
    </w:p>
    <w:bookmarkEnd w:id="2633"/>
    <w:bookmarkStart w:name="z2639" w:id="2634"/>
    <w:p>
      <w:pPr>
        <w:spacing w:after="0"/>
        <w:ind w:left="0"/>
        <w:jc w:val="both"/>
      </w:pPr>
      <w:r>
        <w:rPr>
          <w:rFonts w:ascii="Times New Roman"/>
          <w:b w:val="false"/>
          <w:i w:val="false"/>
          <w:color w:val="000000"/>
          <w:sz w:val="28"/>
        </w:rPr>
        <w:t>
      Поперечные переборки бывают плоскими с вертикальными стойками, гофрированными с вертикальным расположением гофров или коффердамного типа.</w:t>
      </w:r>
    </w:p>
    <w:bookmarkEnd w:id="2634"/>
    <w:bookmarkStart w:name="z2640" w:id="2635"/>
    <w:p>
      <w:pPr>
        <w:spacing w:after="0"/>
        <w:ind w:left="0"/>
        <w:jc w:val="both"/>
      </w:pPr>
      <w:r>
        <w:rPr>
          <w:rFonts w:ascii="Times New Roman"/>
          <w:b w:val="false"/>
          <w:i w:val="false"/>
          <w:color w:val="000000"/>
          <w:sz w:val="28"/>
        </w:rPr>
        <w:t>
      676. Флоры в центральных и бортовых отсеках устанавливаются в одной поперечной плоскости и образовывают совместно с рамным набором бортов, продольных переборок и палубы единые рамные поперечные конструкции.</w:t>
      </w:r>
    </w:p>
    <w:bookmarkEnd w:id="2635"/>
    <w:bookmarkStart w:name="z2641" w:id="2636"/>
    <w:p>
      <w:pPr>
        <w:spacing w:after="0"/>
        <w:ind w:left="0"/>
        <w:jc w:val="both"/>
      </w:pPr>
      <w:r>
        <w:rPr>
          <w:rFonts w:ascii="Times New Roman"/>
          <w:b w:val="false"/>
          <w:i w:val="false"/>
          <w:color w:val="000000"/>
          <w:sz w:val="28"/>
        </w:rPr>
        <w:t>
      677. Если поперечные переборки бортовых отсеков не совпадают с поперечными переборками центральных отсеков, в плоскости последних в бортовых отсеках устанавливают усиленные кольцевые рамы.</w:t>
      </w:r>
    </w:p>
    <w:bookmarkEnd w:id="2636"/>
    <w:bookmarkStart w:name="z2642" w:id="2637"/>
    <w:p>
      <w:pPr>
        <w:spacing w:after="0"/>
        <w:ind w:left="0"/>
        <w:jc w:val="both"/>
      </w:pPr>
      <w:r>
        <w:rPr>
          <w:rFonts w:ascii="Times New Roman"/>
          <w:b w:val="false"/>
          <w:i w:val="false"/>
          <w:color w:val="000000"/>
          <w:sz w:val="28"/>
        </w:rPr>
        <w:t>
      В этом случае в бортовых отсеках обеспечивают сбеги наклонных стенок трапецеидальных опор, установленных под переборками в центральных отсеках.</w:t>
      </w:r>
    </w:p>
    <w:bookmarkEnd w:id="2637"/>
    <w:bookmarkStart w:name="z2643" w:id="2638"/>
    <w:p>
      <w:pPr>
        <w:spacing w:after="0"/>
        <w:ind w:left="0"/>
        <w:jc w:val="both"/>
      </w:pPr>
      <w:r>
        <w:rPr>
          <w:rFonts w:ascii="Times New Roman"/>
          <w:b w:val="false"/>
          <w:i w:val="false"/>
          <w:color w:val="000000"/>
          <w:sz w:val="28"/>
        </w:rPr>
        <w:t>
      678. Продольные переборки выполняются, как правило, плоскими с горизонтальными или вертикальными подкреплениями.</w:t>
      </w:r>
    </w:p>
    <w:bookmarkEnd w:id="2638"/>
    <w:bookmarkStart w:name="z2644" w:id="2639"/>
    <w:p>
      <w:pPr>
        <w:spacing w:after="0"/>
        <w:ind w:left="0"/>
        <w:jc w:val="both"/>
      </w:pPr>
      <w:r>
        <w:rPr>
          <w:rFonts w:ascii="Times New Roman"/>
          <w:b w:val="false"/>
          <w:i w:val="false"/>
          <w:color w:val="000000"/>
          <w:sz w:val="28"/>
        </w:rPr>
        <w:t>
      Допускается установка продольных переборок с небольшим наклоном к вертикали или со сломом.</w:t>
      </w:r>
    </w:p>
    <w:bookmarkEnd w:id="2639"/>
    <w:bookmarkStart w:name="z2645" w:id="2640"/>
    <w:p>
      <w:pPr>
        <w:spacing w:after="0"/>
        <w:ind w:left="0"/>
        <w:jc w:val="both"/>
      </w:pPr>
      <w:r>
        <w:rPr>
          <w:rFonts w:ascii="Times New Roman"/>
          <w:b w:val="false"/>
          <w:i w:val="false"/>
          <w:color w:val="000000"/>
          <w:sz w:val="28"/>
        </w:rPr>
        <w:t>
      679. Если второе дно в бортовых отсеках отсутствует, в плоскости настила второго дна центрального отсека в бортовых отсеках по флорам устанавливают кницы или бракеты достаточной протяженности.</w:t>
      </w:r>
    </w:p>
    <w:bookmarkEnd w:id="2640"/>
    <w:bookmarkStart w:name="z2646" w:id="2641"/>
    <w:p>
      <w:pPr>
        <w:spacing w:after="0"/>
        <w:ind w:left="0"/>
        <w:jc w:val="both"/>
      </w:pPr>
      <w:r>
        <w:rPr>
          <w:rFonts w:ascii="Times New Roman"/>
          <w:b w:val="false"/>
          <w:i w:val="false"/>
          <w:color w:val="000000"/>
          <w:sz w:val="28"/>
        </w:rPr>
        <w:t>
      680. В плоскости продольных переборок внутри нижних трапецеидальных опор и верхних поперечных балок прямоугольного или трапецеидального сечения поперечных переборок устанавливаются диафрагмы. Необходимо чтобы диафрагмы нижних трапецеидальных опор отвечали требованиям подпункта 3) пункта 647 настоящих Правил; диафрагмы верхних поперечных балок — требованиям к переборкам подпалубных цистерн согласно пункту 640 настоящих Правил.</w:t>
      </w:r>
    </w:p>
    <w:bookmarkEnd w:id="2641"/>
    <w:bookmarkStart w:name="z2647" w:id="2642"/>
    <w:p>
      <w:pPr>
        <w:spacing w:after="0"/>
        <w:ind w:left="0"/>
        <w:jc w:val="left"/>
      </w:pPr>
      <w:r>
        <w:rPr>
          <w:rFonts w:ascii="Times New Roman"/>
          <w:b/>
          <w:i w:val="false"/>
          <w:color w:val="000000"/>
        </w:rPr>
        <w:t xml:space="preserve"> Параграф 3. Расчетные нагрузки, размеры конструктивных элементов и специальные требования</w:t>
      </w:r>
    </w:p>
    <w:bookmarkEnd w:id="2642"/>
    <w:bookmarkStart w:name="z2648" w:id="2643"/>
    <w:p>
      <w:pPr>
        <w:spacing w:after="0"/>
        <w:ind w:left="0"/>
        <w:jc w:val="both"/>
      </w:pPr>
      <w:r>
        <w:rPr>
          <w:rFonts w:ascii="Times New Roman"/>
          <w:b w:val="false"/>
          <w:i w:val="false"/>
          <w:color w:val="000000"/>
          <w:sz w:val="28"/>
        </w:rPr>
        <w:t>
      681. Расчетное давление на конструкции, ограничивающие центральный трюм, определяются согласно пункту 178 настоящих Правил из условия загрузки его рудой или другим тяжелым навалочным грузом.</w:t>
      </w:r>
    </w:p>
    <w:bookmarkEnd w:id="2643"/>
    <w:bookmarkStart w:name="z2649" w:id="2644"/>
    <w:p>
      <w:pPr>
        <w:spacing w:after="0"/>
        <w:ind w:left="0"/>
        <w:jc w:val="both"/>
      </w:pPr>
      <w:r>
        <w:rPr>
          <w:rFonts w:ascii="Times New Roman"/>
          <w:b w:val="false"/>
          <w:i w:val="false"/>
          <w:color w:val="000000"/>
          <w:sz w:val="28"/>
        </w:rPr>
        <w:t>
      682. Конструкции, которые в процессе эксплуатации испытывают одностороннее давление жидкого груза (балласта), проверяют на расчетное давление жидкого груза согласно пункту 175 настоящих Правил.</w:t>
      </w:r>
    </w:p>
    <w:bookmarkEnd w:id="2644"/>
    <w:bookmarkStart w:name="z2650" w:id="2645"/>
    <w:p>
      <w:pPr>
        <w:spacing w:after="0"/>
        <w:ind w:left="0"/>
        <w:jc w:val="both"/>
      </w:pPr>
      <w:r>
        <w:rPr>
          <w:rFonts w:ascii="Times New Roman"/>
          <w:b w:val="false"/>
          <w:i w:val="false"/>
          <w:color w:val="000000"/>
          <w:sz w:val="28"/>
        </w:rPr>
        <w:t>
      683. Размеры конструктивных элементов грузовых помещений, предназначенных только для перевозки навалочных грузов или навалочных грузов и нефти, нефтепродуктов или балласта, отвечают требованиям подраздела 2 раздела 4 и параграфа 4 главы 31 настоящих Правил.</w:t>
      </w:r>
    </w:p>
    <w:bookmarkEnd w:id="2645"/>
    <w:bookmarkStart w:name="z2651" w:id="2646"/>
    <w:p>
      <w:pPr>
        <w:spacing w:after="0"/>
        <w:ind w:left="0"/>
        <w:jc w:val="both"/>
      </w:pPr>
      <w:r>
        <w:rPr>
          <w:rFonts w:ascii="Times New Roman"/>
          <w:b w:val="false"/>
          <w:i w:val="false"/>
          <w:color w:val="000000"/>
          <w:sz w:val="28"/>
        </w:rPr>
        <w:t>
      Размеры конструктивных элементов грузовых помещений, предназначенных только для перевозки нефти, нефтепродуктов или балласта, отвечают требованиям подраздела 2 раздела 4 и параграфа 4 главы 33 настоящих Правил.</w:t>
      </w:r>
    </w:p>
    <w:bookmarkEnd w:id="2646"/>
    <w:bookmarkStart w:name="z2652" w:id="2647"/>
    <w:p>
      <w:pPr>
        <w:spacing w:after="0"/>
        <w:ind w:left="0"/>
        <w:jc w:val="both"/>
      </w:pPr>
      <w:r>
        <w:rPr>
          <w:rFonts w:ascii="Times New Roman"/>
          <w:b w:val="false"/>
          <w:i w:val="false"/>
          <w:color w:val="000000"/>
          <w:sz w:val="28"/>
        </w:rPr>
        <w:t>
      684. Необходимо чтобы размеры конструктивных элементов продольных переборок отвечали требованиям параграфа 4 главы 21 настоящих Правил при расчетном давлении согласно параграфу 3 настоящей главы Правил.</w:t>
      </w:r>
    </w:p>
    <w:bookmarkEnd w:id="2647"/>
    <w:bookmarkStart w:name="z2653" w:id="2648"/>
    <w:p>
      <w:pPr>
        <w:spacing w:after="0"/>
        <w:ind w:left="0"/>
        <w:jc w:val="both"/>
      </w:pPr>
      <w:r>
        <w:rPr>
          <w:rFonts w:ascii="Times New Roman"/>
          <w:b w:val="false"/>
          <w:i w:val="false"/>
          <w:color w:val="000000"/>
          <w:sz w:val="28"/>
        </w:rPr>
        <w:t>
      В любом случае толщина обшивки продольной переборки не менее требуемой формулой (206) или, если в любом отсеке, ограниченном этой переборкой, перевозится нефть, нефтепродукты или балласт, не менее требуемой в параграфе 3 главы 33 настоящих Правил в зависимости от того, что больше.</w:t>
      </w:r>
    </w:p>
    <w:bookmarkEnd w:id="2648"/>
    <w:bookmarkStart w:name="z2654" w:id="2649"/>
    <w:p>
      <w:pPr>
        <w:spacing w:after="0"/>
        <w:ind w:left="0"/>
        <w:jc w:val="both"/>
      </w:pPr>
      <w:r>
        <w:rPr>
          <w:rFonts w:ascii="Times New Roman"/>
          <w:b w:val="false"/>
          <w:i w:val="false"/>
          <w:color w:val="000000"/>
          <w:sz w:val="28"/>
        </w:rPr>
        <w:t>
      685. Размеры конструктивных элементов диафрагм нижних трапецеидальных опор поперечных переборок, устанавливаемых в плоскости продольных переборок, отвечают требованиям подпункта 3) пункта 659 настоящих Правил.</w:t>
      </w:r>
    </w:p>
    <w:bookmarkEnd w:id="2649"/>
    <w:bookmarkStart w:name="z2655" w:id="2650"/>
    <w:p>
      <w:pPr>
        <w:spacing w:after="0"/>
        <w:ind w:left="0"/>
        <w:jc w:val="both"/>
      </w:pPr>
      <w:r>
        <w:rPr>
          <w:rFonts w:ascii="Times New Roman"/>
          <w:b w:val="false"/>
          <w:i w:val="false"/>
          <w:color w:val="000000"/>
          <w:sz w:val="28"/>
        </w:rPr>
        <w:t>
      686. Размеры конструктивных элементов диафрагм верхних поперечных балок поперечных переборок, устанавливаемых в плоскости продольных переборок, отвечают требованиям к поперечным переборкам внутри подпалубных цистерн согласно подпункту 5) пункта 656 настоящих Правил.</w:t>
      </w:r>
    </w:p>
    <w:bookmarkEnd w:id="2650"/>
    <w:bookmarkStart w:name="z2656" w:id="2651"/>
    <w:p>
      <w:pPr>
        <w:spacing w:after="0"/>
        <w:ind w:left="0"/>
        <w:jc w:val="both"/>
      </w:pPr>
      <w:r>
        <w:rPr>
          <w:rFonts w:ascii="Times New Roman"/>
          <w:b w:val="false"/>
          <w:i w:val="false"/>
          <w:color w:val="000000"/>
          <w:sz w:val="28"/>
        </w:rPr>
        <w:t>
      687. Необходимо чтобы все рудовозы имеют в носовой части бак, расположенный выше палубы надводного борта. Расположение и размеры бака, а также толщина и размеры ребер жесткости, стоек и листовых элементов комингсов грузовых люков отвечали требованиям настоящих Правил.</w:t>
      </w:r>
    </w:p>
    <w:bookmarkEnd w:id="2651"/>
    <w:bookmarkStart w:name="z2657" w:id="2652"/>
    <w:p>
      <w:pPr>
        <w:spacing w:after="0"/>
        <w:ind w:left="0"/>
        <w:jc w:val="left"/>
      </w:pPr>
      <w:r>
        <w:rPr>
          <w:rFonts w:ascii="Times New Roman"/>
          <w:b/>
          <w:i w:val="false"/>
          <w:color w:val="000000"/>
        </w:rPr>
        <w:t xml:space="preserve"> Глава 33. Наливные суда</w:t>
      </w:r>
    </w:p>
    <w:bookmarkEnd w:id="2652"/>
    <w:p>
      <w:pPr>
        <w:spacing w:after="0"/>
        <w:ind w:left="0"/>
        <w:jc w:val="both"/>
      </w:pPr>
      <w:r>
        <w:rPr>
          <w:rFonts w:ascii="Times New Roman"/>
          <w:b w:val="false"/>
          <w:i w:val="false"/>
          <w:color w:val="ff0000"/>
          <w:sz w:val="28"/>
        </w:rPr>
        <w:t xml:space="preserve">
      Сноска. Заголовок главы 33 -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58" w:id="2653"/>
    <w:p>
      <w:pPr>
        <w:spacing w:after="0"/>
        <w:ind w:left="0"/>
        <w:jc w:val="left"/>
      </w:pPr>
      <w:r>
        <w:rPr>
          <w:rFonts w:ascii="Times New Roman"/>
          <w:b/>
          <w:i w:val="false"/>
          <w:color w:val="000000"/>
        </w:rPr>
        <w:t xml:space="preserve"> Параграф 1. Общие положения</w:t>
      </w:r>
    </w:p>
    <w:bookmarkEnd w:id="2653"/>
    <w:bookmarkStart w:name="z2659" w:id="2654"/>
    <w:p>
      <w:pPr>
        <w:spacing w:after="0"/>
        <w:ind w:left="0"/>
        <w:jc w:val="both"/>
      </w:pPr>
      <w:r>
        <w:rPr>
          <w:rFonts w:ascii="Times New Roman"/>
          <w:b w:val="false"/>
          <w:i w:val="false"/>
          <w:color w:val="000000"/>
          <w:sz w:val="28"/>
        </w:rPr>
        <w:t>
      688. Требования настоящей главы распространяются на наливные суда, химовозы, а также нефтесборные и газовозы, насколько это применимо, однопалубные суда с кормовым расположением машинного отделения, с одинарным или двойным дном;</w:t>
      </w:r>
    </w:p>
    <w:bookmarkEnd w:id="2654"/>
    <w:bookmarkStart w:name="z2660" w:id="2655"/>
    <w:p>
      <w:pPr>
        <w:spacing w:after="0"/>
        <w:ind w:left="0"/>
        <w:jc w:val="both"/>
      </w:pPr>
      <w:r>
        <w:rPr>
          <w:rFonts w:ascii="Times New Roman"/>
          <w:b w:val="false"/>
          <w:i w:val="false"/>
          <w:color w:val="000000"/>
          <w:sz w:val="28"/>
        </w:rPr>
        <w:t>
      с одной, двумя или тремя продольными переборками. На конструктивные элементы корпусов наливных судов, не упомянутые в настоящей главе, распространяются требования подразделов 1 и 2 раздела 4 настоящих Правил.</w:t>
      </w:r>
    </w:p>
    <w:bookmarkEnd w:id="2655"/>
    <w:bookmarkStart w:name="z2661" w:id="2656"/>
    <w:p>
      <w:pPr>
        <w:spacing w:after="0"/>
        <w:ind w:left="0"/>
        <w:jc w:val="both"/>
      </w:pPr>
      <w:r>
        <w:rPr>
          <w:rFonts w:ascii="Times New Roman"/>
          <w:b w:val="false"/>
          <w:i w:val="false"/>
          <w:color w:val="000000"/>
          <w:sz w:val="28"/>
        </w:rPr>
        <w:t>
      689. Словесная характеристика и знак "(ESP)" присваиваются судам в следующих случаях:</w:t>
      </w:r>
    </w:p>
    <w:bookmarkEnd w:id="2656"/>
    <w:bookmarkStart w:name="z2662" w:id="2657"/>
    <w:p>
      <w:pPr>
        <w:spacing w:after="0"/>
        <w:ind w:left="0"/>
        <w:jc w:val="both"/>
      </w:pPr>
      <w:r>
        <w:rPr>
          <w:rFonts w:ascii="Times New Roman"/>
          <w:b w:val="false"/>
          <w:i w:val="false"/>
          <w:color w:val="000000"/>
          <w:sz w:val="28"/>
        </w:rPr>
        <w:t>
      1) словесная характеристика "Oil tanker" и знак "(ESP)" присваивается морским самоходным судам, имеющим встроенные танки и предназначенным для перевозки нефтяных грузов наливом. Вышеуказанные словесная характеристика и знак присваиваются нефтеналивным судам одинарными или двойными бортами, с одинарным или двойным дном, а также нефтеналивным судам альтернативного конструктивного типа, например, с нижней промежуточной палубой. Типовые миделевые сечения приведены в приложении 94 настоящих Правил;</w:t>
      </w:r>
    </w:p>
    <w:bookmarkEnd w:id="2657"/>
    <w:bookmarkStart w:name="z2663" w:id="2658"/>
    <w:p>
      <w:pPr>
        <w:spacing w:after="0"/>
        <w:ind w:left="0"/>
        <w:jc w:val="both"/>
      </w:pPr>
      <w:r>
        <w:rPr>
          <w:rFonts w:ascii="Times New Roman"/>
          <w:b w:val="false"/>
          <w:i w:val="false"/>
          <w:color w:val="000000"/>
          <w:sz w:val="28"/>
        </w:rPr>
        <w:t>
      2) словесная характеристика "Chemical tanker" и знак "(ESP)" присвивают морским самоходным однопалубным судам, имеющим встроенные танки, предназначенные для перевозки химических грузов наливом. Эти словесные характеристики присваивают нефтеналивным судам с одинарными или двойными бортами, с одинарным или двойным дном, а также нефтеналивным судам альтернативного конструктивного типа. Типовые миделевые сечения приведены в приложении 95 настоящих Правил.</w:t>
      </w:r>
    </w:p>
    <w:bookmarkEnd w:id="2658"/>
    <w:bookmarkStart w:name="z2664" w:id="2659"/>
    <w:p>
      <w:pPr>
        <w:spacing w:after="0"/>
        <w:ind w:left="0"/>
        <w:jc w:val="left"/>
      </w:pPr>
      <w:r>
        <w:rPr>
          <w:rFonts w:ascii="Times New Roman"/>
          <w:b/>
          <w:i w:val="false"/>
          <w:color w:val="000000"/>
        </w:rPr>
        <w:t xml:space="preserve"> Параграф 2. Конструкция, расчетные нагрузки</w:t>
      </w:r>
    </w:p>
    <w:bookmarkEnd w:id="2659"/>
    <w:bookmarkStart w:name="z2665" w:id="2660"/>
    <w:p>
      <w:pPr>
        <w:spacing w:after="0"/>
        <w:ind w:left="0"/>
        <w:jc w:val="both"/>
      </w:pPr>
      <w:r>
        <w:rPr>
          <w:rFonts w:ascii="Times New Roman"/>
          <w:b w:val="false"/>
          <w:i w:val="false"/>
          <w:color w:val="000000"/>
          <w:sz w:val="28"/>
        </w:rPr>
        <w:t>
      690. Размеры коффердамов определяются согласно пункту 459 настоящих Правил</w:t>
      </w:r>
    </w:p>
    <w:bookmarkEnd w:id="2660"/>
    <w:bookmarkStart w:name="z2666" w:id="2661"/>
    <w:p>
      <w:pPr>
        <w:spacing w:after="0"/>
        <w:ind w:left="0"/>
        <w:jc w:val="both"/>
      </w:pPr>
      <w:r>
        <w:rPr>
          <w:rFonts w:ascii="Times New Roman"/>
          <w:b w:val="false"/>
          <w:i w:val="false"/>
          <w:color w:val="000000"/>
          <w:sz w:val="28"/>
        </w:rPr>
        <w:t>
      691. Гофрированные продольные переборки допускаются на судах длиной менее 180 м.</w:t>
      </w:r>
    </w:p>
    <w:bookmarkEnd w:id="2661"/>
    <w:bookmarkStart w:name="z2667" w:id="2662"/>
    <w:p>
      <w:pPr>
        <w:spacing w:after="0"/>
        <w:ind w:left="0"/>
        <w:jc w:val="both"/>
      </w:pPr>
      <w:r>
        <w:rPr>
          <w:rFonts w:ascii="Times New Roman"/>
          <w:b w:val="false"/>
          <w:i w:val="false"/>
          <w:color w:val="000000"/>
          <w:sz w:val="28"/>
        </w:rPr>
        <w:t>
      Продольные гофрированные переборки должны иметь горизонтальное расположение гофров, а их верхние и нижние поясья на расстоянии 0,1</w:t>
      </w:r>
      <w:r>
        <w:rPr>
          <w:rFonts w:ascii="Times New Roman"/>
          <w:b w:val="false"/>
          <w:i/>
          <w:color w:val="000000"/>
          <w:sz w:val="28"/>
        </w:rPr>
        <w:t>D</w:t>
      </w:r>
      <w:r>
        <w:rPr>
          <w:rFonts w:ascii="Times New Roman"/>
          <w:b w:val="false"/>
          <w:i w:val="false"/>
          <w:color w:val="000000"/>
          <w:sz w:val="28"/>
        </w:rPr>
        <w:t xml:space="preserve"> от палубы и днища выполняются плоскими.</w:t>
      </w:r>
    </w:p>
    <w:bookmarkEnd w:id="2662"/>
    <w:bookmarkStart w:name="z2668" w:id="2663"/>
    <w:p>
      <w:pPr>
        <w:spacing w:after="0"/>
        <w:ind w:left="0"/>
        <w:jc w:val="both"/>
      </w:pPr>
      <w:r>
        <w:rPr>
          <w:rFonts w:ascii="Times New Roman"/>
          <w:b w:val="false"/>
          <w:i w:val="false"/>
          <w:color w:val="000000"/>
          <w:sz w:val="28"/>
        </w:rPr>
        <w:t>
      В соединениях между продольными и поперечными переборками верхние и нижние поясья обшивки продольных переборок выполняют непрерывными.</w:t>
      </w:r>
    </w:p>
    <w:bookmarkEnd w:id="2663"/>
    <w:bookmarkStart w:name="z2669" w:id="2664"/>
    <w:p>
      <w:pPr>
        <w:spacing w:after="0"/>
        <w:ind w:left="0"/>
        <w:jc w:val="both"/>
      </w:pPr>
      <w:r>
        <w:rPr>
          <w:rFonts w:ascii="Times New Roman"/>
          <w:b w:val="false"/>
          <w:i w:val="false"/>
          <w:color w:val="000000"/>
          <w:sz w:val="28"/>
        </w:rPr>
        <w:t>
      692. Палуба и днище в районе грузовых танков имеют продольную систему набора, а борта и продольные переборки — продольную или поперечную. На судах длиной менее 80 м допускается поперечная система набора палубы и днища. На судах длиной более 180 м рекомендуется продольная система набора бортов и продольных переборок. При продольной системе набора расстояние между балками рамного поперечного набора соответствует расстоянию между флорами (пункты 331 и 350 настоящих Правил).</w:t>
      </w:r>
    </w:p>
    <w:bookmarkEnd w:id="2664"/>
    <w:bookmarkStart w:name="z2670" w:id="2665"/>
    <w:p>
      <w:pPr>
        <w:spacing w:after="0"/>
        <w:ind w:left="0"/>
        <w:jc w:val="both"/>
      </w:pPr>
      <w:r>
        <w:rPr>
          <w:rFonts w:ascii="Times New Roman"/>
          <w:b w:val="false"/>
          <w:i w:val="false"/>
          <w:color w:val="000000"/>
          <w:sz w:val="28"/>
        </w:rPr>
        <w:t>
      693. Размеры продольных балок по палубе, днищу, бортам и продольным переборкам в средней части судна неизменны. Обеспечивается конструктивная непрерывность продольных балок по палубе, днищу, а также бортам и продольным переборкам на расстоянии 0,1</w:t>
      </w:r>
      <w:r>
        <w:rPr>
          <w:rFonts w:ascii="Times New Roman"/>
          <w:b w:val="false"/>
          <w:i/>
          <w:color w:val="000000"/>
          <w:sz w:val="28"/>
        </w:rPr>
        <w:t>D</w:t>
      </w:r>
      <w:r>
        <w:rPr>
          <w:rFonts w:ascii="Times New Roman"/>
          <w:b w:val="false"/>
          <w:i w:val="false"/>
          <w:color w:val="000000"/>
          <w:sz w:val="28"/>
        </w:rPr>
        <w:t xml:space="preserve"> от палубы и днища соответственно.</w:t>
      </w:r>
    </w:p>
    <w:bookmarkEnd w:id="2665"/>
    <w:bookmarkStart w:name="z2671" w:id="2666"/>
    <w:p>
      <w:pPr>
        <w:spacing w:after="0"/>
        <w:ind w:left="0"/>
        <w:jc w:val="both"/>
      </w:pPr>
      <w:r>
        <w:rPr>
          <w:rFonts w:ascii="Times New Roman"/>
          <w:b w:val="false"/>
          <w:i w:val="false"/>
          <w:color w:val="000000"/>
          <w:sz w:val="28"/>
        </w:rPr>
        <w:t>
      На судах длиной 150 м и более указанные продольные балки проходят через поперечные переборки, не разрезаясь.</w:t>
      </w:r>
    </w:p>
    <w:bookmarkEnd w:id="2666"/>
    <w:bookmarkStart w:name="z2672" w:id="2667"/>
    <w:p>
      <w:pPr>
        <w:spacing w:after="0"/>
        <w:ind w:left="0"/>
        <w:jc w:val="both"/>
      </w:pPr>
      <w:r>
        <w:rPr>
          <w:rFonts w:ascii="Times New Roman"/>
          <w:b w:val="false"/>
          <w:i w:val="false"/>
          <w:color w:val="000000"/>
          <w:sz w:val="28"/>
        </w:rPr>
        <w:t>
      694. Рамные балки набора (вертикальный киль, днищевые стрингеры, рамные стойки переборок, отбойный лист, усиленные подпалубные балки, рамные шпангоуты, флоры, бортовые стрингеры и горизонтальные рамы переборок) в районе грузовых танков по возможности образовывают замкнутые рамы.</w:t>
      </w:r>
    </w:p>
    <w:bookmarkEnd w:id="2667"/>
    <w:bookmarkStart w:name="z2673" w:id="2668"/>
    <w:p>
      <w:pPr>
        <w:spacing w:after="0"/>
        <w:ind w:left="0"/>
        <w:jc w:val="both"/>
      </w:pPr>
      <w:r>
        <w:rPr>
          <w:rFonts w:ascii="Times New Roman"/>
          <w:b w:val="false"/>
          <w:i w:val="false"/>
          <w:color w:val="000000"/>
          <w:sz w:val="28"/>
        </w:rPr>
        <w:t>
      695. Соединение элементов основного и рамного набора выполняется согласно параграфу 2 главы 14 настоящих Правил. Стенки рамных балок подкрепляют ребрами жесткости согласно пункту 278 настоящих Правил. Момент инерции ребер жесткости определяется согласно пункту 257 настоящих Правил.</w:t>
      </w:r>
    </w:p>
    <w:bookmarkEnd w:id="2668"/>
    <w:bookmarkStart w:name="z2674" w:id="2669"/>
    <w:p>
      <w:pPr>
        <w:spacing w:after="0"/>
        <w:ind w:left="0"/>
        <w:jc w:val="both"/>
      </w:pPr>
      <w:r>
        <w:rPr>
          <w:rFonts w:ascii="Times New Roman"/>
          <w:b w:val="false"/>
          <w:i w:val="false"/>
          <w:color w:val="000000"/>
          <w:sz w:val="28"/>
        </w:rPr>
        <w:t>
      696. Расчетные нагрузки на конструкции корпуса наливных судов, если нет специальных указаний в настоящей главе, принимаются согласно главы 10 и соответствующим главам подраздела 2 раздела 4 настоящих Правил.</w:t>
      </w:r>
    </w:p>
    <w:bookmarkEnd w:id="2669"/>
    <w:bookmarkStart w:name="z2675" w:id="2670"/>
    <w:p>
      <w:pPr>
        <w:spacing w:after="0"/>
        <w:ind w:left="0"/>
        <w:jc w:val="left"/>
      </w:pPr>
      <w:r>
        <w:rPr>
          <w:rFonts w:ascii="Times New Roman"/>
          <w:b/>
          <w:i w:val="false"/>
          <w:color w:val="000000"/>
        </w:rPr>
        <w:t xml:space="preserve"> Параграф 3. Размеры конструктивных элементов,</w:t>
      </w:r>
      <w:r>
        <w:br/>
      </w:r>
      <w:r>
        <w:rPr>
          <w:rFonts w:ascii="Times New Roman"/>
          <w:b/>
          <w:i w:val="false"/>
          <w:color w:val="000000"/>
        </w:rPr>
        <w:t>специальные требования</w:t>
      </w:r>
    </w:p>
    <w:bookmarkEnd w:id="2670"/>
    <w:bookmarkStart w:name="z2676" w:id="2671"/>
    <w:p>
      <w:pPr>
        <w:spacing w:after="0"/>
        <w:ind w:left="0"/>
        <w:jc w:val="both"/>
      </w:pPr>
      <w:r>
        <w:rPr>
          <w:rFonts w:ascii="Times New Roman"/>
          <w:b w:val="false"/>
          <w:i w:val="false"/>
          <w:color w:val="000000"/>
          <w:sz w:val="28"/>
        </w:rPr>
        <w:t>
      697. Размеры конструктивных элементов наливных судов определяются согласно подразделу 2 раздела 4 настоящих Правил с учетом указаний настоящей главы.</w:t>
      </w:r>
    </w:p>
    <w:bookmarkEnd w:id="2671"/>
    <w:bookmarkStart w:name="z2677" w:id="2672"/>
    <w:p>
      <w:pPr>
        <w:spacing w:after="0"/>
        <w:ind w:left="0"/>
        <w:jc w:val="both"/>
      </w:pPr>
      <w:r>
        <w:rPr>
          <w:rFonts w:ascii="Times New Roman"/>
          <w:b w:val="false"/>
          <w:i w:val="false"/>
          <w:color w:val="000000"/>
          <w:sz w:val="28"/>
        </w:rPr>
        <w:t>
      Толщина s</w:t>
      </w:r>
      <w:r>
        <w:rPr>
          <w:rFonts w:ascii="Times New Roman"/>
          <w:b w:val="false"/>
          <w:i w:val="false"/>
          <w:color w:val="000000"/>
          <w:vertAlign w:val="subscript"/>
        </w:rPr>
        <w:t>min</w:t>
      </w:r>
      <w:r>
        <w:rPr>
          <w:rFonts w:ascii="Times New Roman"/>
          <w:b w:val="false"/>
          <w:i w:val="false"/>
          <w:color w:val="000000"/>
          <w:sz w:val="28"/>
        </w:rPr>
        <w:t>, мм, элементов конструкций, ограничивающих грузовые и балластные танки, а также элементов, находящихся внутри этих танков, не менее определяемой по формулам:</w:t>
      </w:r>
    </w:p>
    <w:bookmarkEnd w:id="2672"/>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5,5 + 0,035L при L &lt; 80 м;</w:t>
      </w:r>
    </w:p>
    <w:p>
      <w:pPr>
        <w:spacing w:after="0"/>
        <w:ind w:left="0"/>
        <w:jc w:val="both"/>
      </w:pPr>
      <w:r>
        <w:rPr>
          <w:rFonts w:ascii="Times New Roman"/>
          <w:b w:val="false"/>
          <w:i w:val="false"/>
          <w:color w:val="000000"/>
          <w:sz w:val="28"/>
        </w:rPr>
        <w:t>
                                                                      (214)</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6,7 + 0,02L при L </w:t>
      </w:r>
      <w:r>
        <w:rPr>
          <w:rFonts w:ascii="Times New Roman"/>
          <w:b w:val="false"/>
          <w:i w:val="false"/>
          <w:color w:val="000000"/>
          <w:sz w:val="28"/>
          <w:u w:val="single"/>
        </w:rPr>
        <w:t>&gt;</w:t>
      </w:r>
      <w:r>
        <w:rPr>
          <w:rFonts w:ascii="Times New Roman"/>
          <w:b w:val="false"/>
          <w:i w:val="false"/>
          <w:color w:val="000000"/>
          <w:sz w:val="28"/>
        </w:rPr>
        <w:t xml:space="preserve"> 80 м.</w:t>
      </w:r>
    </w:p>
    <w:bookmarkStart w:name="z2678" w:id="2673"/>
    <w:p>
      <w:pPr>
        <w:spacing w:after="0"/>
        <w:ind w:left="0"/>
        <w:jc w:val="both"/>
      </w:pPr>
      <w:r>
        <w:rPr>
          <w:rFonts w:ascii="Times New Roman"/>
          <w:b w:val="false"/>
          <w:i w:val="false"/>
          <w:color w:val="000000"/>
          <w:sz w:val="28"/>
        </w:rPr>
        <w:t>
      При L &gt; 290 м принимается L = 290 м. При этом минимальная толщина балок основного набора не требуется более 11,5 мм.</w:t>
      </w:r>
    </w:p>
    <w:bookmarkEnd w:id="2673"/>
    <w:bookmarkStart w:name="z2679" w:id="2674"/>
    <w:p>
      <w:pPr>
        <w:spacing w:after="0"/>
        <w:ind w:left="0"/>
        <w:jc w:val="both"/>
      </w:pPr>
      <w:r>
        <w:rPr>
          <w:rFonts w:ascii="Times New Roman"/>
          <w:b w:val="false"/>
          <w:i w:val="false"/>
          <w:color w:val="000000"/>
          <w:sz w:val="28"/>
        </w:rPr>
        <w:t>
      698. Число вырезов для доступа в коффердамы, насосные отделения, грузовые и балластные танки должно быть минимально необходимым. Они располагаются на возможно большем расстоянии от концевых переборок надстроек. Не допускается располагать люки в бортовых танках в одном поперечном сечении с люком в центральном танке.</w:t>
      </w:r>
    </w:p>
    <w:bookmarkEnd w:id="2674"/>
    <w:bookmarkStart w:name="z2680" w:id="2675"/>
    <w:p>
      <w:pPr>
        <w:spacing w:after="0"/>
        <w:ind w:left="0"/>
        <w:jc w:val="both"/>
      </w:pPr>
      <w:r>
        <w:rPr>
          <w:rFonts w:ascii="Times New Roman"/>
          <w:b w:val="false"/>
          <w:i w:val="false"/>
          <w:color w:val="000000"/>
          <w:sz w:val="28"/>
        </w:rPr>
        <w:t>
      Вырезы под люки имеют либо форму окружности, либо эллипса с большей осью, ориентированной вдоль судна. Сохраняется непрерывность подпалубных балок основного и рамного набора. Толщина комингса грузовых люков при его высоте менее 750 мм равна 10 мм, а при 750 мм и более — 12 мм. Комингсы высотой более 750 мм, если они имеют длину более 1,25 м, подкрепляются ребрами жесткости.</w:t>
      </w:r>
    </w:p>
    <w:bookmarkEnd w:id="2675"/>
    <w:bookmarkStart w:name="z2681" w:id="2676"/>
    <w:p>
      <w:pPr>
        <w:spacing w:after="0"/>
        <w:ind w:left="0"/>
        <w:jc w:val="both"/>
      </w:pPr>
      <w:r>
        <w:rPr>
          <w:rFonts w:ascii="Times New Roman"/>
          <w:b w:val="false"/>
          <w:i w:val="false"/>
          <w:color w:val="000000"/>
          <w:sz w:val="28"/>
        </w:rPr>
        <w:t>
      699. Леерное ограждение, фальшборт, переходный мостик или устройство, его заменяющее, устанавливаются согласно главы 85 настоящих Правил.</w:t>
      </w:r>
    </w:p>
    <w:bookmarkEnd w:id="2676"/>
    <w:bookmarkStart w:name="z2682" w:id="2677"/>
    <w:p>
      <w:pPr>
        <w:spacing w:after="0"/>
        <w:ind w:left="0"/>
        <w:jc w:val="both"/>
      </w:pPr>
      <w:r>
        <w:rPr>
          <w:rFonts w:ascii="Times New Roman"/>
          <w:b w:val="false"/>
          <w:i w:val="false"/>
          <w:color w:val="000000"/>
          <w:sz w:val="28"/>
        </w:rPr>
        <w:t>
      Переходный мостик, если он устанавливается, имеет конструкцию, исключающую его участие в общем изгибе корпуса.</w:t>
      </w:r>
    </w:p>
    <w:bookmarkEnd w:id="2677"/>
    <w:bookmarkStart w:name="z2683" w:id="2678"/>
    <w:p>
      <w:pPr>
        <w:spacing w:after="0"/>
        <w:ind w:left="0"/>
        <w:jc w:val="left"/>
      </w:pPr>
      <w:r>
        <w:rPr>
          <w:rFonts w:ascii="Times New Roman"/>
          <w:b/>
          <w:i w:val="false"/>
          <w:color w:val="000000"/>
        </w:rPr>
        <w:t xml:space="preserve"> Глава 34. Суда технического флота</w:t>
      </w:r>
    </w:p>
    <w:bookmarkEnd w:id="2678"/>
    <w:p>
      <w:pPr>
        <w:spacing w:after="0"/>
        <w:ind w:left="0"/>
        <w:jc w:val="both"/>
      </w:pPr>
      <w:r>
        <w:rPr>
          <w:rFonts w:ascii="Times New Roman"/>
          <w:b w:val="false"/>
          <w:i w:val="false"/>
          <w:color w:val="ff0000"/>
          <w:sz w:val="28"/>
        </w:rPr>
        <w:t xml:space="preserve">
      Сноска. Заголовок главы 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4" w:id="2679"/>
    <w:p>
      <w:pPr>
        <w:spacing w:after="0"/>
        <w:ind w:left="0"/>
        <w:jc w:val="left"/>
      </w:pPr>
      <w:r>
        <w:rPr>
          <w:rFonts w:ascii="Times New Roman"/>
          <w:b/>
          <w:i w:val="false"/>
          <w:color w:val="000000"/>
        </w:rPr>
        <w:t xml:space="preserve"> Параграф 1. Общие положения</w:t>
      </w:r>
    </w:p>
    <w:bookmarkEnd w:id="2679"/>
    <w:bookmarkStart w:name="z2685" w:id="2680"/>
    <w:p>
      <w:pPr>
        <w:spacing w:after="0"/>
        <w:ind w:left="0"/>
        <w:jc w:val="both"/>
      </w:pPr>
      <w:r>
        <w:rPr>
          <w:rFonts w:ascii="Times New Roman"/>
          <w:b w:val="false"/>
          <w:i w:val="false"/>
          <w:color w:val="000000"/>
          <w:sz w:val="28"/>
        </w:rPr>
        <w:t>
      700. Требования настоящей главы распространяются на суда технического флота, выполняющие дноуглубительные работы, и плавучие краны. Районы, где производятся указанные работыи/или транспортировка грунта, называются районами эксплуатации. Перемещение судна между районами эксплуатации называется морским переходом.</w:t>
      </w:r>
    </w:p>
    <w:bookmarkEnd w:id="2680"/>
    <w:bookmarkStart w:name="z2686" w:id="2681"/>
    <w:p>
      <w:pPr>
        <w:spacing w:after="0"/>
        <w:ind w:left="0"/>
        <w:jc w:val="both"/>
      </w:pPr>
      <w:r>
        <w:rPr>
          <w:rFonts w:ascii="Times New Roman"/>
          <w:b w:val="false"/>
          <w:i w:val="false"/>
          <w:color w:val="000000"/>
          <w:sz w:val="28"/>
        </w:rPr>
        <w:t>
      701. К судам технического флота относятся:</w:t>
      </w:r>
    </w:p>
    <w:bookmarkEnd w:id="2681"/>
    <w:bookmarkStart w:name="z2687" w:id="2682"/>
    <w:p>
      <w:pPr>
        <w:spacing w:after="0"/>
        <w:ind w:left="0"/>
        <w:jc w:val="both"/>
      </w:pPr>
      <w:r>
        <w:rPr>
          <w:rFonts w:ascii="Times New Roman"/>
          <w:b w:val="false"/>
          <w:i w:val="false"/>
          <w:color w:val="000000"/>
          <w:sz w:val="28"/>
        </w:rPr>
        <w:t>
      1) земснаряды — самоходные или несамоходные суда, извлекающие грунт (ил, песок, гравий, глину или подобные им материалы) специальными устройствами (черпаками, всасывающими устройствами, грейферами) и не имеющие трюмов для размещения грунта и его транспортировки;</w:t>
      </w:r>
    </w:p>
    <w:bookmarkEnd w:id="2682"/>
    <w:bookmarkStart w:name="z2688" w:id="2683"/>
    <w:p>
      <w:pPr>
        <w:spacing w:after="0"/>
        <w:ind w:left="0"/>
        <w:jc w:val="both"/>
      </w:pPr>
      <w:r>
        <w:rPr>
          <w:rFonts w:ascii="Times New Roman"/>
          <w:b w:val="false"/>
          <w:i w:val="false"/>
          <w:color w:val="000000"/>
          <w:sz w:val="28"/>
        </w:rPr>
        <w:t>
      2) трюмные земснаряды — самоходные суда, имеющие специальные устройства для извлечения грунта и один или два трюма специальной конструкции для размещения или транспортировки грунта;</w:t>
      </w:r>
    </w:p>
    <w:bookmarkEnd w:id="2683"/>
    <w:bookmarkStart w:name="z2689" w:id="2684"/>
    <w:p>
      <w:pPr>
        <w:spacing w:after="0"/>
        <w:ind w:left="0"/>
        <w:jc w:val="both"/>
      </w:pPr>
      <w:r>
        <w:rPr>
          <w:rFonts w:ascii="Times New Roman"/>
          <w:b w:val="false"/>
          <w:i w:val="false"/>
          <w:color w:val="000000"/>
          <w:sz w:val="28"/>
        </w:rPr>
        <w:t>
      3) шаланды — самоходные и несамоходные суда, предназначенные для транспортировки грунта и не имеющие устройств для его извлечения. Бывают однокорпусными и раскрывающимися двухкорпусными;</w:t>
      </w:r>
    </w:p>
    <w:bookmarkEnd w:id="2684"/>
    <w:bookmarkStart w:name="z2690" w:id="2685"/>
    <w:p>
      <w:pPr>
        <w:spacing w:after="0"/>
        <w:ind w:left="0"/>
        <w:jc w:val="both"/>
      </w:pPr>
      <w:r>
        <w:rPr>
          <w:rFonts w:ascii="Times New Roman"/>
          <w:b w:val="false"/>
          <w:i w:val="false"/>
          <w:color w:val="000000"/>
          <w:sz w:val="28"/>
        </w:rPr>
        <w:t>
      4) плавучие краны и крановые суда —определения предусмотрены в пункте 6 настоящих Правил.</w:t>
      </w:r>
    </w:p>
    <w:bookmarkEnd w:id="2685"/>
    <w:bookmarkStart w:name="z2691" w:id="2686"/>
    <w:p>
      <w:pPr>
        <w:spacing w:after="0"/>
        <w:ind w:left="0"/>
        <w:jc w:val="both"/>
      </w:pPr>
      <w:r>
        <w:rPr>
          <w:rFonts w:ascii="Times New Roman"/>
          <w:b w:val="false"/>
          <w:i w:val="false"/>
          <w:color w:val="000000"/>
          <w:sz w:val="28"/>
        </w:rPr>
        <w:t>
      702. В качестве основного конструктивного типа судов дноуглубительного флота, рассматриваемого в настоящей главе, принято однопалубное судно с корпусом судовых обводов или понтонной формы, имеющее прорезь или технологические вырезы в корпусе.</w:t>
      </w:r>
    </w:p>
    <w:bookmarkEnd w:id="2686"/>
    <w:bookmarkStart w:name="z2692" w:id="2687"/>
    <w:p>
      <w:pPr>
        <w:spacing w:after="0"/>
        <w:ind w:left="0"/>
        <w:jc w:val="both"/>
      </w:pPr>
      <w:r>
        <w:rPr>
          <w:rFonts w:ascii="Times New Roman"/>
          <w:b w:val="false"/>
          <w:i w:val="false"/>
          <w:color w:val="000000"/>
          <w:sz w:val="28"/>
        </w:rPr>
        <w:t>
      Понтонная форма корпуса применяется только на судах ограниченных районов плавания R2, R2-RSN, R3-RSN и R3.</w:t>
      </w:r>
    </w:p>
    <w:bookmarkEnd w:id="2687"/>
    <w:bookmarkStart w:name="z2693" w:id="2688"/>
    <w:p>
      <w:pPr>
        <w:spacing w:after="0"/>
        <w:ind w:left="0"/>
        <w:jc w:val="both"/>
      </w:pPr>
      <w:r>
        <w:rPr>
          <w:rFonts w:ascii="Times New Roman"/>
          <w:b w:val="false"/>
          <w:i w:val="false"/>
          <w:color w:val="000000"/>
          <w:sz w:val="28"/>
        </w:rPr>
        <w:t>
      Использование понтонной формы для судов ограниченного района плавания R1 и для судов неограниченного района плавания является предметом специального рассмотрения Регистром судоходства.</w:t>
      </w:r>
    </w:p>
    <w:bookmarkEnd w:id="2688"/>
    <w:bookmarkStart w:name="z2694" w:id="2689"/>
    <w:p>
      <w:pPr>
        <w:spacing w:after="0"/>
        <w:ind w:left="0"/>
        <w:jc w:val="both"/>
      </w:pPr>
      <w:r>
        <w:rPr>
          <w:rFonts w:ascii="Times New Roman"/>
          <w:b w:val="false"/>
          <w:i w:val="false"/>
          <w:color w:val="000000"/>
          <w:sz w:val="28"/>
        </w:rPr>
        <w:t>
      703. Требования настоящей главы распространяются на земснаряды, однокорпусные и раскрывающиеся двухкорпусные трюмные земснаряды и шаланды, плавучие краны и крановые суда.</w:t>
      </w:r>
    </w:p>
    <w:bookmarkEnd w:id="2689"/>
    <w:bookmarkStart w:name="z2695" w:id="2690"/>
    <w:p>
      <w:pPr>
        <w:spacing w:after="0"/>
        <w:ind w:left="0"/>
        <w:jc w:val="both"/>
      </w:pPr>
      <w:r>
        <w:rPr>
          <w:rFonts w:ascii="Times New Roman"/>
          <w:b w:val="false"/>
          <w:i w:val="false"/>
          <w:color w:val="000000"/>
          <w:sz w:val="28"/>
        </w:rPr>
        <w:t>
      704. Для раскрывающихся трюмных земснарядов и шаланд техническому наблюдению Регистра судоходства подлежат конструкции палубных и рубочных шарниров, гидропрессов и их крепленияк корпусу, а также продольные и поперечные конструкции между корпусами и рубками.</w:t>
      </w:r>
    </w:p>
    <w:bookmarkEnd w:id="2690"/>
    <w:bookmarkStart w:name="z2696" w:id="2691"/>
    <w:p>
      <w:pPr>
        <w:spacing w:after="0"/>
        <w:ind w:left="0"/>
        <w:jc w:val="both"/>
      </w:pPr>
      <w:r>
        <w:rPr>
          <w:rFonts w:ascii="Times New Roman"/>
          <w:b w:val="false"/>
          <w:i w:val="false"/>
          <w:color w:val="000000"/>
          <w:sz w:val="28"/>
        </w:rPr>
        <w:t>
      705. В настоящей главе предусмотрены следующие обозначения:</w:t>
      </w:r>
    </w:p>
    <w:bookmarkEnd w:id="269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наибольшая осадка, допускаемая при дноуглублении в районах эксплуатации,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 осадка на морском переходе,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при осадке d</w:t>
      </w:r>
      <w:r>
        <w:rPr>
          <w:rFonts w:ascii="Times New Roman"/>
          <w:b w:val="false"/>
          <w:i w:val="false"/>
          <w:color w:val="000000"/>
          <w:vertAlign w:val="subscript"/>
        </w:rPr>
        <w:t>1</w:t>
      </w:r>
      <w:r>
        <w:rPr>
          <w:rFonts w:ascii="Times New Roman"/>
          <w:b w:val="false"/>
          <w:i w:val="false"/>
          <w:color w:val="000000"/>
          <w:sz w:val="28"/>
        </w:rPr>
        <w:t xml:space="preserve"> или d</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п — водоизмещение порожнем без грунтовой смеси, м;</w:t>
      </w:r>
      <w:r>
        <w:br/>
      </w:r>
      <w:r>
        <w:rPr>
          <w:rFonts w:ascii="Times New Roman"/>
          <w:b w:val="false"/>
          <w:i w:val="false"/>
          <w:color w:val="000000"/>
          <w:sz w:val="28"/>
        </w:rPr>
        <w:t>
</w:t>
      </w: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мидель-шпангоута, соответствующая осадке d</w:t>
      </w:r>
      <w:r>
        <w:rPr>
          <w:rFonts w:ascii="Times New Roman"/>
          <w:b w:val="false"/>
          <w:i w:val="false"/>
          <w:color w:val="000000"/>
          <w:vertAlign w:val="subscript"/>
        </w:rPr>
        <w:t>1</w:t>
      </w:r>
      <w:r>
        <w:rPr>
          <w:rFonts w:ascii="Times New Roman"/>
          <w:b w:val="false"/>
          <w:i w:val="false"/>
          <w:color w:val="000000"/>
          <w:sz w:val="28"/>
        </w:rPr>
        <w:t xml:space="preserve"> или d</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 xml:space="preserve"> — полная длина грунтового трюма,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т.ф</w:t>
      </w:r>
      <w:r>
        <w:rPr>
          <w:rFonts w:ascii="Times New Roman"/>
          <w:b w:val="false"/>
          <w:i w:val="false"/>
          <w:color w:val="000000"/>
          <w:sz w:val="28"/>
        </w:rPr>
        <w:t xml:space="preserve"> — высота трюмного флора,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т.ф</w:t>
      </w:r>
      <w:r>
        <w:rPr>
          <w:rFonts w:ascii="Times New Roman"/>
          <w:b w:val="false"/>
          <w:i w:val="false"/>
          <w:color w:val="000000"/>
          <w:sz w:val="28"/>
        </w:rPr>
        <w:t xml:space="preserve"> — пролет трюмного флора, измеренный посередине его высоты между продольными переборками грунтового трюма, м;</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1</w:t>
      </w:r>
      <w:r>
        <w:rPr>
          <w:rFonts w:ascii="Times New Roman"/>
          <w:b w:val="false"/>
          <w:i w:val="false"/>
          <w:color w:val="000000"/>
          <w:sz w:val="28"/>
        </w:rPr>
        <w:t xml:space="preserve"> — расстояние от середины высоты трюмного флора до палубы у борта, м;</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 xml:space="preserve"> — отстояние от основной плоскости до верхней кромки комингса,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к</w:t>
      </w:r>
      <w:r>
        <w:rPr>
          <w:rFonts w:ascii="Times New Roman"/>
          <w:b w:val="false"/>
          <w:i w:val="false"/>
          <w:color w:val="000000"/>
          <w:sz w:val="28"/>
        </w:rPr>
        <w:t xml:space="preserve"> — высота комингса над линией палубы у борта, м;</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2</w:t>
      </w:r>
      <w:r>
        <w:rPr>
          <w:rFonts w:ascii="Times New Roman"/>
          <w:b w:val="false"/>
          <w:i w:val="false"/>
          <w:color w:val="000000"/>
          <w:sz w:val="28"/>
        </w:rPr>
        <w:t xml:space="preserve"> — расстояние между бортом и продольной переборкой на уровне полувысоты трюмного флора,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3</w:t>
      </w:r>
      <w:r>
        <w:rPr>
          <w:rFonts w:ascii="Times New Roman"/>
          <w:b w:val="false"/>
          <w:i w:val="false"/>
          <w:color w:val="000000"/>
          <w:sz w:val="28"/>
        </w:rPr>
        <w:t>— расстояние между бортом и продольной переборкой на уровне палубы, м;</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rp</w:t>
      </w:r>
      <w:r>
        <w:rPr>
          <w:rFonts w:ascii="Times New Roman"/>
          <w:b w:val="false"/>
          <w:i w:val="false"/>
          <w:color w:val="000000"/>
          <w:sz w:val="28"/>
        </w:rPr>
        <w:t xml:space="preserve"> — максимальная масса грунтовой смеси, содержащейся в грунтовом трюме, </w:t>
      </w:r>
      <w:r>
        <w:rPr>
          <w:rFonts w:ascii="Times New Roman"/>
          <w:b w:val="false"/>
          <w:i/>
          <w:color w:val="000000"/>
          <w:sz w:val="28"/>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гр</w:t>
      </w:r>
      <w:r>
        <w:rPr>
          <w:rFonts w:ascii="Times New Roman"/>
          <w:b w:val="false"/>
          <w:i w:val="false"/>
          <w:color w:val="000000"/>
          <w:sz w:val="28"/>
        </w:rPr>
        <w:t xml:space="preserve"> — плотность грунтовой смеси, определяемая как отношение массы грунта в трюме при максимальной осадке судна d</w:t>
      </w:r>
      <w:r>
        <w:rPr>
          <w:rFonts w:ascii="Times New Roman"/>
          <w:b w:val="false"/>
          <w:i w:val="false"/>
          <w:color w:val="000000"/>
          <w:vertAlign w:val="subscript"/>
        </w:rPr>
        <w:t>1</w:t>
      </w:r>
      <w:r>
        <w:rPr>
          <w:rFonts w:ascii="Times New Roman"/>
          <w:b w:val="false"/>
          <w:i w:val="false"/>
          <w:color w:val="000000"/>
          <w:sz w:val="28"/>
        </w:rPr>
        <w:t xml:space="preserve"> к объему трюма по верхний уровень перелива или по верхнюю кромку комингса трюма, если перелив отсутствует, т/м</w:t>
      </w:r>
      <w:r>
        <w:rPr>
          <w:rFonts w:ascii="Times New Roman"/>
          <w:b w:val="false"/>
          <w:i w:val="false"/>
          <w:color w:val="000000"/>
          <w:vertAlign w:val="superscript"/>
        </w:rPr>
        <w:t>3</w:t>
      </w:r>
      <w:r>
        <w:rPr>
          <w:rFonts w:ascii="Times New Roman"/>
          <w:b w:val="false"/>
          <w:i w:val="false"/>
          <w:color w:val="000000"/>
          <w:sz w:val="28"/>
        </w:rPr>
        <w:t>; принимается не более 1,8;</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к.б</w:t>
      </w:r>
      <w:r>
        <w:rPr>
          <w:rFonts w:ascii="Times New Roman"/>
          <w:b w:val="false"/>
          <w:i w:val="false"/>
          <w:color w:val="000000"/>
          <w:sz w:val="28"/>
        </w:rPr>
        <w:t>, А</w:t>
      </w:r>
      <w:r>
        <w:rPr>
          <w:rFonts w:ascii="Times New Roman"/>
          <w:b w:val="false"/>
          <w:i w:val="false"/>
          <w:color w:val="000000"/>
          <w:vertAlign w:val="subscript"/>
        </w:rPr>
        <w:t>т.ф</w:t>
      </w:r>
      <w:r>
        <w:rPr>
          <w:rFonts w:ascii="Times New Roman"/>
          <w:b w:val="false"/>
          <w:i w:val="false"/>
          <w:color w:val="000000"/>
          <w:sz w:val="28"/>
        </w:rPr>
        <w:t>. — площадь, заключенная в контуре поперечного сечения килевой балки, трюмного флора соответственно, м</w:t>
      </w:r>
      <w:r>
        <w:rPr>
          <w:rFonts w:ascii="Times New Roman"/>
          <w:b w:val="false"/>
          <w:i w:val="false"/>
          <w:color w:val="000000"/>
          <w:vertAlign w:val="superscript"/>
        </w:rPr>
        <w:t>2</w:t>
      </w:r>
      <w:r>
        <w:rPr>
          <w:rFonts w:ascii="Times New Roman"/>
          <w:b w:val="false"/>
          <w:i w:val="false"/>
          <w:color w:val="000000"/>
          <w:sz w:val="28"/>
        </w:rPr>
        <w:t>; если килевая балка и/или трюмный флор представляют собой обычную балку (стенка с пояском), принимается А</w:t>
      </w:r>
      <w:r>
        <w:rPr>
          <w:rFonts w:ascii="Times New Roman"/>
          <w:b w:val="false"/>
          <w:i w:val="false"/>
          <w:color w:val="000000"/>
          <w:vertAlign w:val="subscript"/>
        </w:rPr>
        <w:t>к.б</w:t>
      </w:r>
      <w:r>
        <w:rPr>
          <w:rFonts w:ascii="Times New Roman"/>
          <w:b w:val="false"/>
          <w:i w:val="false"/>
          <w:color w:val="000000"/>
          <w:sz w:val="28"/>
        </w:rPr>
        <w:t xml:space="preserve"> = А</w:t>
      </w:r>
      <w:r>
        <w:rPr>
          <w:rFonts w:ascii="Times New Roman"/>
          <w:b w:val="false"/>
          <w:i w:val="false"/>
          <w:color w:val="000000"/>
          <w:vertAlign w:val="subscript"/>
        </w:rPr>
        <w:t>т.ф</w:t>
      </w:r>
      <w:r>
        <w:rPr>
          <w:rFonts w:ascii="Times New Roman"/>
          <w:b w:val="false"/>
          <w:i w:val="false"/>
          <w:color w:val="000000"/>
          <w:sz w:val="28"/>
        </w:rPr>
        <w:t>. = 0;</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к.б</w:t>
      </w:r>
      <w:r>
        <w:rPr>
          <w:rFonts w:ascii="Times New Roman"/>
          <w:b w:val="false"/>
          <w:i w:val="false"/>
          <w:color w:val="000000"/>
          <w:sz w:val="28"/>
        </w:rPr>
        <w:t xml:space="preserve"> — ширина килевой балки на нижнем участке,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дн</w:t>
      </w:r>
      <w:r>
        <w:rPr>
          <w:rFonts w:ascii="Times New Roman"/>
          <w:b w:val="false"/>
          <w:i w:val="false"/>
          <w:color w:val="000000"/>
          <w:sz w:val="28"/>
        </w:rPr>
        <w:t xml:space="preserve"> — ширина днища от борта (от продолжения линии борта) до точки пересечения продольной переборки грунтового трюма с днищем,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пл</w:t>
      </w:r>
      <w:r>
        <w:rPr>
          <w:rFonts w:ascii="Times New Roman"/>
          <w:b w:val="false"/>
          <w:i w:val="false"/>
          <w:color w:val="000000"/>
          <w:sz w:val="28"/>
        </w:rPr>
        <w:t xml:space="preserve"> — ширина верхнего пояска комингса,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шпангоутами, стойками переборок, между продольными балками при продольной системе набора,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расстояние между поперечными рамами,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длина верхнего и нижнего поясков трюмного флора, измеренная от продольной переборки грунтового трюма до килевой балки,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w:t>
      </w:r>
      <w:r>
        <w:rPr>
          <w:rFonts w:ascii="Times New Roman"/>
          <w:b w:val="false"/>
          <w:i w:val="false"/>
          <w:color w:val="000000"/>
          <w:sz w:val="28"/>
        </w:rPr>
        <w:t>, R</w:t>
      </w:r>
      <w:r>
        <w:rPr>
          <w:rFonts w:ascii="Times New Roman"/>
          <w:b w:val="false"/>
          <w:i w:val="false"/>
          <w:color w:val="000000"/>
          <w:vertAlign w:val="subscript"/>
        </w:rPr>
        <w:t>т.ф</w:t>
      </w:r>
      <w:r>
        <w:rPr>
          <w:rFonts w:ascii="Times New Roman"/>
          <w:b w:val="false"/>
          <w:i w:val="false"/>
          <w:color w:val="000000"/>
          <w:sz w:val="28"/>
        </w:rPr>
        <w:t>. — осевая сила, действующая на трюмный бимс и флор, соответственно,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расчетная осевая сила, кН;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добавка к толщине листа на износ, мм (пункт 139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К — коэффициент, учитывающий поправку на износ к моменту сопротивления балок (пункт 141 настоящих Правил).</w:t>
      </w:r>
      <w:r>
        <w:br/>
      </w:r>
      <w:r>
        <w:rPr>
          <w:rFonts w:ascii="Times New Roman"/>
          <w:b w:val="false"/>
          <w:i w:val="false"/>
          <w:color w:val="000000"/>
          <w:sz w:val="28"/>
        </w:rPr>
        <w:t>
</w:t>
      </w:r>
    </w:p>
    <w:bookmarkStart w:name="z2697" w:id="2692"/>
    <w:p>
      <w:pPr>
        <w:spacing w:after="0"/>
        <w:ind w:left="0"/>
        <w:jc w:val="both"/>
      </w:pPr>
      <w:r>
        <w:rPr>
          <w:rFonts w:ascii="Times New Roman"/>
          <w:b w:val="false"/>
          <w:i w:val="false"/>
          <w:color w:val="000000"/>
          <w:sz w:val="28"/>
        </w:rPr>
        <w:t>
      Схема некоторых обозначений приведена в приложении 96 настоящих Правил.</w:t>
      </w:r>
    </w:p>
    <w:bookmarkEnd w:id="2692"/>
    <w:bookmarkStart w:name="z2698" w:id="2693"/>
    <w:p>
      <w:pPr>
        <w:spacing w:after="0"/>
        <w:ind w:left="0"/>
        <w:jc w:val="left"/>
      </w:pPr>
      <w:r>
        <w:rPr>
          <w:rFonts w:ascii="Times New Roman"/>
          <w:b/>
          <w:i w:val="false"/>
          <w:color w:val="000000"/>
        </w:rPr>
        <w:t xml:space="preserve"> Параграф 2. Конструкция</w:t>
      </w:r>
    </w:p>
    <w:bookmarkEnd w:id="2693"/>
    <w:bookmarkStart w:name="z2699" w:id="2694"/>
    <w:p>
      <w:pPr>
        <w:spacing w:after="0"/>
        <w:ind w:left="0"/>
        <w:jc w:val="both"/>
      </w:pPr>
      <w:r>
        <w:rPr>
          <w:rFonts w:ascii="Times New Roman"/>
          <w:b w:val="false"/>
          <w:i w:val="false"/>
          <w:color w:val="000000"/>
          <w:sz w:val="28"/>
        </w:rPr>
        <w:t>
      706. Конструкция основного корпуса отвечает требованиям подраздела 2 раздела 4 настоящих Правил с учетом приведенных в настоящей главе указаний и дополнений.</w:t>
      </w:r>
    </w:p>
    <w:bookmarkEnd w:id="2694"/>
    <w:bookmarkStart w:name="z2700" w:id="2695"/>
    <w:p>
      <w:pPr>
        <w:spacing w:after="0"/>
        <w:ind w:left="0"/>
        <w:jc w:val="both"/>
      </w:pPr>
      <w:r>
        <w:rPr>
          <w:rFonts w:ascii="Times New Roman"/>
          <w:b w:val="false"/>
          <w:i w:val="false"/>
          <w:color w:val="000000"/>
          <w:sz w:val="28"/>
        </w:rPr>
        <w:t>
      К специфическим конструкциям судов дноуглубительного флота относятся:</w:t>
      </w:r>
    </w:p>
    <w:bookmarkEnd w:id="2695"/>
    <w:bookmarkStart w:name="z2701" w:id="2696"/>
    <w:p>
      <w:pPr>
        <w:spacing w:after="0"/>
        <w:ind w:left="0"/>
        <w:jc w:val="both"/>
      </w:pPr>
      <w:r>
        <w:rPr>
          <w:rFonts w:ascii="Times New Roman"/>
          <w:b w:val="false"/>
          <w:i w:val="false"/>
          <w:color w:val="000000"/>
          <w:sz w:val="28"/>
        </w:rPr>
        <w:t>
      1) продольные и поперечные переборки грунтового трюма;</w:t>
      </w:r>
    </w:p>
    <w:bookmarkEnd w:id="2696"/>
    <w:bookmarkStart w:name="z2702" w:id="2697"/>
    <w:p>
      <w:pPr>
        <w:spacing w:after="0"/>
        <w:ind w:left="0"/>
        <w:jc w:val="both"/>
      </w:pPr>
      <w:r>
        <w:rPr>
          <w:rFonts w:ascii="Times New Roman"/>
          <w:b w:val="false"/>
          <w:i w:val="false"/>
          <w:color w:val="000000"/>
          <w:sz w:val="28"/>
        </w:rPr>
        <w:t>
      2) трюмные флоры и бимсы;</w:t>
      </w:r>
    </w:p>
    <w:bookmarkEnd w:id="2697"/>
    <w:bookmarkStart w:name="z2703" w:id="2698"/>
    <w:p>
      <w:pPr>
        <w:spacing w:after="0"/>
        <w:ind w:left="0"/>
        <w:jc w:val="both"/>
      </w:pPr>
      <w:r>
        <w:rPr>
          <w:rFonts w:ascii="Times New Roman"/>
          <w:b w:val="false"/>
          <w:i w:val="false"/>
          <w:color w:val="000000"/>
          <w:sz w:val="28"/>
        </w:rPr>
        <w:t>
      3) килевые балки, комингсы грунтового трюма;</w:t>
      </w:r>
    </w:p>
    <w:bookmarkEnd w:id="2698"/>
    <w:bookmarkStart w:name="z2704" w:id="2699"/>
    <w:p>
      <w:pPr>
        <w:spacing w:after="0"/>
        <w:ind w:left="0"/>
        <w:jc w:val="both"/>
      </w:pPr>
      <w:r>
        <w:rPr>
          <w:rFonts w:ascii="Times New Roman"/>
          <w:b w:val="false"/>
          <w:i w:val="false"/>
          <w:color w:val="000000"/>
          <w:sz w:val="28"/>
        </w:rPr>
        <w:t>
      4) диафрагмы или кольцевые рамы в бортовых отсеках (пункт 716 настоящих Правил).</w:t>
      </w:r>
    </w:p>
    <w:bookmarkEnd w:id="2699"/>
    <w:bookmarkStart w:name="z2705" w:id="2700"/>
    <w:p>
      <w:pPr>
        <w:spacing w:after="0"/>
        <w:ind w:left="0"/>
        <w:jc w:val="both"/>
      </w:pPr>
      <w:r>
        <w:rPr>
          <w:rFonts w:ascii="Times New Roman"/>
          <w:b w:val="false"/>
          <w:i w:val="false"/>
          <w:color w:val="000000"/>
          <w:sz w:val="28"/>
        </w:rPr>
        <w:t>
      Для плавучих кранов предусматривается подкрепление под неподвижную опорную колонну верхнего строения в виде барабана, крестовины и опорного контура (приложение 97 настоящих Правил). Иная конструкция подкреплений является предметом специального рассмотрения Регистром судоходства.</w:t>
      </w:r>
    </w:p>
    <w:bookmarkEnd w:id="2700"/>
    <w:bookmarkStart w:name="z2706" w:id="2701"/>
    <w:p>
      <w:pPr>
        <w:spacing w:after="0"/>
        <w:ind w:left="0"/>
        <w:jc w:val="both"/>
      </w:pPr>
      <w:r>
        <w:rPr>
          <w:rFonts w:ascii="Times New Roman"/>
          <w:b w:val="false"/>
          <w:i w:val="false"/>
          <w:color w:val="000000"/>
          <w:sz w:val="28"/>
        </w:rPr>
        <w:t>
      707. Наружная обшивка отвечает следующим требованиям:</w:t>
      </w:r>
    </w:p>
    <w:bookmarkEnd w:id="2701"/>
    <w:bookmarkStart w:name="z2707" w:id="2702"/>
    <w:p>
      <w:pPr>
        <w:spacing w:after="0"/>
        <w:ind w:left="0"/>
        <w:jc w:val="both"/>
      </w:pPr>
      <w:r>
        <w:rPr>
          <w:rFonts w:ascii="Times New Roman"/>
          <w:b w:val="false"/>
          <w:i w:val="false"/>
          <w:color w:val="000000"/>
          <w:sz w:val="28"/>
        </w:rPr>
        <w:t>
      1) углы вырезов в днищевой обшивке для грунтовых трюмов и прорези скругляют. В углах вырезов устанавливают утолщенные листы, размеры которых согласовываются с Регистром судоходства;</w:t>
      </w:r>
    </w:p>
    <w:bookmarkEnd w:id="2702"/>
    <w:bookmarkStart w:name="z2708" w:id="2703"/>
    <w:p>
      <w:pPr>
        <w:spacing w:after="0"/>
        <w:ind w:left="0"/>
        <w:jc w:val="both"/>
      </w:pPr>
      <w:r>
        <w:rPr>
          <w:rFonts w:ascii="Times New Roman"/>
          <w:b w:val="false"/>
          <w:i w:val="false"/>
          <w:color w:val="000000"/>
          <w:sz w:val="28"/>
        </w:rPr>
        <w:t>
      2) как правило, не допускается выполнять сливные отверстия в ширстреке в районе грунтового трюма. При необходимости устройства этих отверстий их верхняя кромка должна располагаться не ближе 800 мм от линии палубы у борта. Радиус закругления в углах вырезов не менее 150 мм;</w:t>
      </w:r>
    </w:p>
    <w:bookmarkEnd w:id="2703"/>
    <w:bookmarkStart w:name="z2709" w:id="2704"/>
    <w:p>
      <w:pPr>
        <w:spacing w:after="0"/>
        <w:ind w:left="0"/>
        <w:jc w:val="both"/>
      </w:pPr>
      <w:r>
        <w:rPr>
          <w:rFonts w:ascii="Times New Roman"/>
          <w:b w:val="false"/>
          <w:i w:val="false"/>
          <w:color w:val="000000"/>
          <w:sz w:val="28"/>
        </w:rPr>
        <w:t>
      3) соединение в угол обшивки борта или продольной переборки прорези с днищевой обшивкой должно выполняться через элемент из профильной стали (пруток, брусок).</w:t>
      </w:r>
    </w:p>
    <w:bookmarkEnd w:id="2704"/>
    <w:bookmarkStart w:name="z2710" w:id="2705"/>
    <w:p>
      <w:pPr>
        <w:spacing w:after="0"/>
        <w:ind w:left="0"/>
        <w:jc w:val="both"/>
      </w:pPr>
      <w:r>
        <w:rPr>
          <w:rFonts w:ascii="Times New Roman"/>
          <w:b w:val="false"/>
          <w:i w:val="false"/>
          <w:color w:val="000000"/>
          <w:sz w:val="28"/>
        </w:rPr>
        <w:t>
      708. Одинарное дно отвечает следующим требованиям:</w:t>
      </w:r>
    </w:p>
    <w:bookmarkEnd w:id="2705"/>
    <w:bookmarkStart w:name="z2711" w:id="2706"/>
    <w:p>
      <w:pPr>
        <w:spacing w:after="0"/>
        <w:ind w:left="0"/>
        <w:jc w:val="both"/>
      </w:pPr>
      <w:r>
        <w:rPr>
          <w:rFonts w:ascii="Times New Roman"/>
          <w:b w:val="false"/>
          <w:i w:val="false"/>
          <w:color w:val="000000"/>
          <w:sz w:val="28"/>
        </w:rPr>
        <w:t>
      1) вертикальный киль в районе грунтового трюма и в районе прорези земснарядов неустанавливается;</w:t>
      </w:r>
    </w:p>
    <w:bookmarkEnd w:id="2706"/>
    <w:bookmarkStart w:name="z2712" w:id="2707"/>
    <w:p>
      <w:pPr>
        <w:spacing w:after="0"/>
        <w:ind w:left="0"/>
        <w:jc w:val="both"/>
      </w:pPr>
      <w:r>
        <w:rPr>
          <w:rFonts w:ascii="Times New Roman"/>
          <w:b w:val="false"/>
          <w:i w:val="false"/>
          <w:color w:val="000000"/>
          <w:sz w:val="28"/>
        </w:rPr>
        <w:t xml:space="preserve">
      2) высота флоров в бортовых отсеках трюмных земснарядов и шаланд при поперечной системе набора и в районе прорези земснарядов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18 </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w:t>
      </w:r>
    </w:p>
    <w:bookmarkEnd w:id="2707"/>
    <w:bookmarkStart w:name="z2713" w:id="2708"/>
    <w:p>
      <w:pPr>
        <w:spacing w:after="0"/>
        <w:ind w:left="0"/>
        <w:jc w:val="both"/>
      </w:pPr>
      <w:r>
        <w:rPr>
          <w:rFonts w:ascii="Times New Roman"/>
          <w:b w:val="false"/>
          <w:i w:val="false"/>
          <w:color w:val="000000"/>
          <w:sz w:val="28"/>
        </w:rPr>
        <w:t>
      Ширина отсека В</w:t>
      </w:r>
      <w:r>
        <w:rPr>
          <w:rFonts w:ascii="Times New Roman"/>
          <w:b w:val="false"/>
          <w:i w:val="false"/>
          <w:color w:val="000000"/>
          <w:vertAlign w:val="subscript"/>
        </w:rPr>
        <w:t>1</w:t>
      </w:r>
      <w:r>
        <w:rPr>
          <w:rFonts w:ascii="Times New Roman"/>
          <w:b w:val="false"/>
          <w:i w:val="false"/>
          <w:color w:val="000000"/>
          <w:sz w:val="28"/>
        </w:rPr>
        <w:t xml:space="preserve"> принимается равной:</w:t>
      </w:r>
    </w:p>
    <w:bookmarkEnd w:id="2708"/>
    <w:bookmarkStart w:name="z2714" w:id="2709"/>
    <w:p>
      <w:pPr>
        <w:spacing w:after="0"/>
        <w:ind w:left="0"/>
        <w:jc w:val="both"/>
      </w:pPr>
      <w:r>
        <w:rPr>
          <w:rFonts w:ascii="Times New Roman"/>
          <w:b w:val="false"/>
          <w:i w:val="false"/>
          <w:color w:val="000000"/>
          <w:sz w:val="28"/>
        </w:rPr>
        <w:t>
      в районе грунтового трюма — ширине судна за вычетом ширины грунтового трюма у днища, но не менее 0,6</w:t>
      </w:r>
      <w:r>
        <w:rPr>
          <w:rFonts w:ascii="Times New Roman"/>
          <w:b w:val="false"/>
          <w:i/>
          <w:color w:val="000000"/>
          <w:sz w:val="28"/>
        </w:rPr>
        <w:t>В</w:t>
      </w:r>
      <w:r>
        <w:rPr>
          <w:rFonts w:ascii="Times New Roman"/>
          <w:b w:val="false"/>
          <w:i w:val="false"/>
          <w:color w:val="000000"/>
          <w:sz w:val="28"/>
        </w:rPr>
        <w:t>;</w:t>
      </w:r>
    </w:p>
    <w:bookmarkEnd w:id="2709"/>
    <w:bookmarkStart w:name="z2715" w:id="2710"/>
    <w:p>
      <w:pPr>
        <w:spacing w:after="0"/>
        <w:ind w:left="0"/>
        <w:jc w:val="both"/>
      </w:pPr>
      <w:r>
        <w:rPr>
          <w:rFonts w:ascii="Times New Roman"/>
          <w:b w:val="false"/>
          <w:i w:val="false"/>
          <w:color w:val="000000"/>
          <w:sz w:val="28"/>
        </w:rPr>
        <w:t>
      в районе прорези — ширине судна за вычетом ширины прорези;</w:t>
      </w:r>
    </w:p>
    <w:bookmarkEnd w:id="2710"/>
    <w:bookmarkStart w:name="z2716" w:id="2711"/>
    <w:p>
      <w:pPr>
        <w:spacing w:after="0"/>
        <w:ind w:left="0"/>
        <w:jc w:val="both"/>
      </w:pPr>
      <w:r>
        <w:rPr>
          <w:rFonts w:ascii="Times New Roman"/>
          <w:b w:val="false"/>
          <w:i w:val="false"/>
          <w:color w:val="000000"/>
          <w:sz w:val="28"/>
        </w:rPr>
        <w:t>
      3) в бортовых отсеках трюмных земснарядов и шаланд должны быть установлены днищевые стрингеры, если ширина отсека между бортом и продольной переборкой превышает 3,5 м при поперечной системе набора и 4 м — при продольной.</w:t>
      </w:r>
    </w:p>
    <w:bookmarkEnd w:id="2711"/>
    <w:bookmarkStart w:name="z2717" w:id="2712"/>
    <w:p>
      <w:pPr>
        <w:spacing w:after="0"/>
        <w:ind w:left="0"/>
        <w:jc w:val="both"/>
      </w:pPr>
      <w:r>
        <w:rPr>
          <w:rFonts w:ascii="Times New Roman"/>
          <w:b w:val="false"/>
          <w:i w:val="false"/>
          <w:color w:val="000000"/>
          <w:sz w:val="28"/>
        </w:rPr>
        <w:t>
      У раскрывающихся шаланд днищевые стрингеры при продольной системе набора могут не устанавливаться;</w:t>
      </w:r>
    </w:p>
    <w:bookmarkEnd w:id="2712"/>
    <w:bookmarkStart w:name="z2718" w:id="2713"/>
    <w:p>
      <w:pPr>
        <w:spacing w:after="0"/>
        <w:ind w:left="0"/>
        <w:jc w:val="both"/>
      </w:pPr>
      <w:r>
        <w:rPr>
          <w:rFonts w:ascii="Times New Roman"/>
          <w:b w:val="false"/>
          <w:i w:val="false"/>
          <w:color w:val="000000"/>
          <w:sz w:val="28"/>
        </w:rPr>
        <w:t>
      4) днищевой набор в насосных отделениях трюмных земснарядов должен быть таким же, как и в машинном отделении.</w:t>
      </w:r>
    </w:p>
    <w:bookmarkEnd w:id="2713"/>
    <w:bookmarkStart w:name="z2719" w:id="2714"/>
    <w:p>
      <w:pPr>
        <w:spacing w:after="0"/>
        <w:ind w:left="0"/>
        <w:jc w:val="both"/>
      </w:pPr>
      <w:r>
        <w:rPr>
          <w:rFonts w:ascii="Times New Roman"/>
          <w:b w:val="false"/>
          <w:i w:val="false"/>
          <w:color w:val="000000"/>
          <w:sz w:val="28"/>
        </w:rPr>
        <w:t>
      В районе размещения грунтовых насосов высота флоров и стрингеров возможно уменьшить при сохранении требуемого момента сопротивления и площади стенки, или Регистру судоходства представляют расчет, подтверждающий достаточную прочность днищевого перекрытия в данном районе;</w:t>
      </w:r>
    </w:p>
    <w:bookmarkEnd w:id="2714"/>
    <w:bookmarkStart w:name="z2720" w:id="2715"/>
    <w:p>
      <w:pPr>
        <w:spacing w:after="0"/>
        <w:ind w:left="0"/>
        <w:jc w:val="both"/>
      </w:pPr>
      <w:r>
        <w:rPr>
          <w:rFonts w:ascii="Times New Roman"/>
          <w:b w:val="false"/>
          <w:i w:val="false"/>
          <w:color w:val="000000"/>
          <w:sz w:val="28"/>
        </w:rPr>
        <w:t>
      5) для плавкранов в районе 0,2</w:t>
      </w:r>
      <w:r>
        <w:rPr>
          <w:rFonts w:ascii="Times New Roman"/>
          <w:b w:val="false"/>
          <w:i/>
          <w:color w:val="000000"/>
          <w:sz w:val="28"/>
        </w:rPr>
        <w:t>L</w:t>
      </w:r>
      <w:r>
        <w:rPr>
          <w:rFonts w:ascii="Times New Roman"/>
          <w:b w:val="false"/>
          <w:i w:val="false"/>
          <w:color w:val="000000"/>
          <w:sz w:val="28"/>
        </w:rPr>
        <w:t xml:space="preserve"> от носового перпендикуляра по всей ширине корпуса сплошные флоры устанавливаются на каждом шпангоуте и устанавливают дополнительные днищевые поперечные или продольные балки на расстоянии не более 0,35 м друг от друга.</w:t>
      </w:r>
    </w:p>
    <w:bookmarkEnd w:id="2715"/>
    <w:bookmarkStart w:name="z2721" w:id="2716"/>
    <w:p>
      <w:pPr>
        <w:spacing w:after="0"/>
        <w:ind w:left="0"/>
        <w:jc w:val="both"/>
      </w:pPr>
      <w:r>
        <w:rPr>
          <w:rFonts w:ascii="Times New Roman"/>
          <w:b w:val="false"/>
          <w:i w:val="false"/>
          <w:color w:val="000000"/>
          <w:sz w:val="28"/>
        </w:rPr>
        <w:t>
      709. Двойное дно должно отвечать следующим требованиям:</w:t>
      </w:r>
    </w:p>
    <w:bookmarkEnd w:id="2716"/>
    <w:bookmarkStart w:name="z2722" w:id="2717"/>
    <w:p>
      <w:pPr>
        <w:spacing w:after="0"/>
        <w:ind w:left="0"/>
        <w:jc w:val="both"/>
      </w:pPr>
      <w:r>
        <w:rPr>
          <w:rFonts w:ascii="Times New Roman"/>
          <w:b w:val="false"/>
          <w:i w:val="false"/>
          <w:color w:val="000000"/>
          <w:sz w:val="28"/>
        </w:rPr>
        <w:t>
      1) вертикальный киль заменяют двумя днищевыми стрингерами, расположенными симметрично относительно диаметральной плоскости на расстоянии друг от друга, не превышающем 1 м, и постепенно переходящими в стенки килевой балки или продольные переборки прорези (приложение 98 настоящих Правил);</w:t>
      </w:r>
    </w:p>
    <w:bookmarkEnd w:id="2717"/>
    <w:bookmarkStart w:name="z2723" w:id="2718"/>
    <w:p>
      <w:pPr>
        <w:spacing w:after="0"/>
        <w:ind w:left="0"/>
        <w:jc w:val="both"/>
      </w:pPr>
      <w:r>
        <w:rPr>
          <w:rFonts w:ascii="Times New Roman"/>
          <w:b w:val="false"/>
          <w:i w:val="false"/>
          <w:color w:val="000000"/>
          <w:sz w:val="28"/>
        </w:rPr>
        <w:t>
      2) в двойном дне под нижними кницами продольных переборок грунтового трюма или прорези и кницами килевой балки устанавливают дополнительные стрингеры, продленные от конца кницы не менее чем на три шпации.</w:t>
      </w:r>
    </w:p>
    <w:bookmarkEnd w:id="2718"/>
    <w:bookmarkStart w:name="z2724" w:id="2719"/>
    <w:p>
      <w:pPr>
        <w:spacing w:after="0"/>
        <w:ind w:left="0"/>
        <w:jc w:val="both"/>
      </w:pPr>
      <w:r>
        <w:rPr>
          <w:rFonts w:ascii="Times New Roman"/>
          <w:b w:val="false"/>
          <w:i w:val="false"/>
          <w:color w:val="000000"/>
          <w:sz w:val="28"/>
        </w:rPr>
        <w:t>
      710. Бортовой набор отвечает следующим требованиям:</w:t>
      </w:r>
    </w:p>
    <w:bookmarkEnd w:id="2719"/>
    <w:bookmarkStart w:name="z2725" w:id="2720"/>
    <w:p>
      <w:pPr>
        <w:spacing w:after="0"/>
        <w:ind w:left="0"/>
        <w:jc w:val="both"/>
      </w:pPr>
      <w:r>
        <w:rPr>
          <w:rFonts w:ascii="Times New Roman"/>
          <w:b w:val="false"/>
          <w:i w:val="false"/>
          <w:color w:val="000000"/>
          <w:sz w:val="28"/>
        </w:rPr>
        <w:t>
      1) на плавкранах, земснарядах, работающих с шаландами, и на шаландах предусматривают следующие подкрепления бортового набора:</w:t>
      </w:r>
    </w:p>
    <w:bookmarkEnd w:id="2720"/>
    <w:bookmarkStart w:name="z2726" w:id="2721"/>
    <w:p>
      <w:pPr>
        <w:spacing w:after="0"/>
        <w:ind w:left="0"/>
        <w:jc w:val="both"/>
      </w:pPr>
      <w:r>
        <w:rPr>
          <w:rFonts w:ascii="Times New Roman"/>
          <w:b w:val="false"/>
          <w:i w:val="false"/>
          <w:color w:val="000000"/>
          <w:sz w:val="28"/>
        </w:rPr>
        <w:t>
      два ряда прочных привальных брусьев — один на уровне палубы или ниже ее на 200 мм, а другой на 200 — 300 мм выше самой нижней ватерлинии на миделе;</w:t>
      </w:r>
    </w:p>
    <w:bookmarkEnd w:id="2721"/>
    <w:bookmarkStart w:name="z2727" w:id="2722"/>
    <w:p>
      <w:pPr>
        <w:spacing w:after="0"/>
        <w:ind w:left="0"/>
        <w:jc w:val="both"/>
      </w:pPr>
      <w:r>
        <w:rPr>
          <w:rFonts w:ascii="Times New Roman"/>
          <w:b w:val="false"/>
          <w:i w:val="false"/>
          <w:color w:val="000000"/>
          <w:sz w:val="28"/>
        </w:rPr>
        <w:t>
      верхний и нижний привальные брусья на земснарядах соединяют вертикальными привальными брусьями, установленными в плоскостях шпангоутов;</w:t>
      </w:r>
    </w:p>
    <w:bookmarkEnd w:id="2722"/>
    <w:bookmarkStart w:name="z2728" w:id="2723"/>
    <w:p>
      <w:pPr>
        <w:spacing w:after="0"/>
        <w:ind w:left="0"/>
        <w:jc w:val="both"/>
      </w:pPr>
      <w:r>
        <w:rPr>
          <w:rFonts w:ascii="Times New Roman"/>
          <w:b w:val="false"/>
          <w:i w:val="false"/>
          <w:color w:val="000000"/>
          <w:sz w:val="28"/>
        </w:rPr>
        <w:t>
      на уровне нижнего привального бруса рекомендуется устанавливать бортовой стрингер согласно пункту 383 настоящих Правил, который учитывается при определении размеров шпангоутов, или интеркостельный бортовой стрингер;</w:t>
      </w:r>
    </w:p>
    <w:bookmarkEnd w:id="2723"/>
    <w:bookmarkStart w:name="z2729" w:id="2724"/>
    <w:p>
      <w:pPr>
        <w:spacing w:after="0"/>
        <w:ind w:left="0"/>
        <w:jc w:val="both"/>
      </w:pPr>
      <w:r>
        <w:rPr>
          <w:rFonts w:ascii="Times New Roman"/>
          <w:b w:val="false"/>
          <w:i w:val="false"/>
          <w:color w:val="000000"/>
          <w:sz w:val="28"/>
        </w:rPr>
        <w:t>
      2) подкрепления бортового набора плавкранов в районе 0,2</w:t>
      </w:r>
      <w:r>
        <w:rPr>
          <w:rFonts w:ascii="Times New Roman"/>
          <w:b w:val="false"/>
          <w:i/>
          <w:color w:val="000000"/>
          <w:sz w:val="28"/>
        </w:rPr>
        <w:t>L</w:t>
      </w:r>
      <w:r>
        <w:rPr>
          <w:rFonts w:ascii="Times New Roman"/>
          <w:b w:val="false"/>
          <w:i w:val="false"/>
          <w:color w:val="000000"/>
          <w:sz w:val="28"/>
        </w:rPr>
        <w:t xml:space="preserve"> от носового перпендикуляра выполняются согласно пункту 713 настоящих Правил. Рамные шпангоуты устанавливаются на расстояниях, непревышающих четырех шпаций;</w:t>
      </w:r>
    </w:p>
    <w:bookmarkEnd w:id="2724"/>
    <w:bookmarkStart w:name="z2730" w:id="2725"/>
    <w:p>
      <w:pPr>
        <w:spacing w:after="0"/>
        <w:ind w:left="0"/>
        <w:jc w:val="both"/>
      </w:pPr>
      <w:r>
        <w:rPr>
          <w:rFonts w:ascii="Times New Roman"/>
          <w:b w:val="false"/>
          <w:i w:val="false"/>
          <w:color w:val="000000"/>
          <w:sz w:val="28"/>
        </w:rPr>
        <w:t>
      3) промежуточные шпангоуты того же профиля, что и основные, устанавливают в форпике плавкранов и на участках протяженностью от кормового транца в нос на 0,1</w:t>
      </w:r>
      <w:r>
        <w:rPr>
          <w:rFonts w:ascii="Times New Roman"/>
          <w:b w:val="false"/>
          <w:i/>
          <w:color w:val="000000"/>
          <w:sz w:val="28"/>
        </w:rPr>
        <w:t>L</w:t>
      </w:r>
      <w:r>
        <w:rPr>
          <w:rFonts w:ascii="Times New Roman"/>
          <w:b w:val="false"/>
          <w:i w:val="false"/>
          <w:color w:val="000000"/>
          <w:sz w:val="28"/>
        </w:rPr>
        <w:t xml:space="preserve"> и к диаметральной плоскости на 0,1В по всей высоте борта. Протяженность и крепление концов промежуточных шпангоутов отвечает требованиям главы 38 настоящих Правил.</w:t>
      </w:r>
    </w:p>
    <w:bookmarkEnd w:id="2725"/>
    <w:bookmarkStart w:name="z2731" w:id="2726"/>
    <w:p>
      <w:pPr>
        <w:spacing w:after="0"/>
        <w:ind w:left="0"/>
        <w:jc w:val="both"/>
      </w:pPr>
      <w:r>
        <w:rPr>
          <w:rFonts w:ascii="Times New Roman"/>
          <w:b w:val="false"/>
          <w:i w:val="false"/>
          <w:color w:val="000000"/>
          <w:sz w:val="28"/>
        </w:rPr>
        <w:t>
      711. Палубы и платформы отвечают следующим требованиям:</w:t>
      </w:r>
    </w:p>
    <w:bookmarkEnd w:id="2726"/>
    <w:bookmarkStart w:name="z2732" w:id="2727"/>
    <w:p>
      <w:pPr>
        <w:spacing w:after="0"/>
        <w:ind w:left="0"/>
        <w:jc w:val="both"/>
      </w:pPr>
      <w:r>
        <w:rPr>
          <w:rFonts w:ascii="Times New Roman"/>
          <w:b w:val="false"/>
          <w:i w:val="false"/>
          <w:color w:val="000000"/>
          <w:sz w:val="28"/>
        </w:rPr>
        <w:t>
      1) углы вырезов в настиле палубы в районе грунтового трюма и прорези скругляют. В углах вырезов устанавливаются утолщенные листы, размеры которых являются предметом специального рассмотрения Регистром судоходства;</w:t>
      </w:r>
    </w:p>
    <w:bookmarkEnd w:id="2727"/>
    <w:bookmarkStart w:name="z2733" w:id="2728"/>
    <w:p>
      <w:pPr>
        <w:spacing w:after="0"/>
        <w:ind w:left="0"/>
        <w:jc w:val="both"/>
      </w:pPr>
      <w:r>
        <w:rPr>
          <w:rFonts w:ascii="Times New Roman"/>
          <w:b w:val="false"/>
          <w:i w:val="false"/>
          <w:color w:val="000000"/>
          <w:sz w:val="28"/>
        </w:rPr>
        <w:t>
      2) трюмные бимсы в бортовых стенках грунтового трюма устанавливают в плоскости рамных шпангоутов, если в этих местах не установлены полу переборки.</w:t>
      </w:r>
    </w:p>
    <w:bookmarkEnd w:id="2728"/>
    <w:bookmarkStart w:name="z2734" w:id="2729"/>
    <w:p>
      <w:pPr>
        <w:spacing w:after="0"/>
        <w:ind w:left="0"/>
        <w:jc w:val="both"/>
      </w:pPr>
      <w:r>
        <w:rPr>
          <w:rFonts w:ascii="Times New Roman"/>
          <w:b w:val="false"/>
          <w:i w:val="false"/>
          <w:color w:val="000000"/>
          <w:sz w:val="28"/>
        </w:rPr>
        <w:t>
      712. Водонепроницаемые переборки отвечают следующим требованиям:</w:t>
      </w:r>
    </w:p>
    <w:bookmarkEnd w:id="2729"/>
    <w:bookmarkStart w:name="z2735" w:id="2730"/>
    <w:p>
      <w:pPr>
        <w:spacing w:after="0"/>
        <w:ind w:left="0"/>
        <w:jc w:val="both"/>
      </w:pPr>
      <w:r>
        <w:rPr>
          <w:rFonts w:ascii="Times New Roman"/>
          <w:b w:val="false"/>
          <w:i w:val="false"/>
          <w:color w:val="000000"/>
          <w:sz w:val="28"/>
        </w:rPr>
        <w:t>
      1) поперечные переборки, установленные по концам трюма, простираются от борта до борта;</w:t>
      </w:r>
    </w:p>
    <w:bookmarkEnd w:id="2730"/>
    <w:bookmarkStart w:name="z2736" w:id="2731"/>
    <w:p>
      <w:pPr>
        <w:spacing w:after="0"/>
        <w:ind w:left="0"/>
        <w:jc w:val="both"/>
      </w:pPr>
      <w:r>
        <w:rPr>
          <w:rFonts w:ascii="Times New Roman"/>
          <w:b w:val="false"/>
          <w:i w:val="false"/>
          <w:color w:val="000000"/>
          <w:sz w:val="28"/>
        </w:rPr>
        <w:t>
      2) на многочерпаковых земснарядах параллельно продольным переборкам прорези нарасстоянии не менее 600 мм от них устанавливают защитные переборки.</w:t>
      </w:r>
    </w:p>
    <w:bookmarkEnd w:id="2731"/>
    <w:bookmarkStart w:name="z2737" w:id="2732"/>
    <w:p>
      <w:pPr>
        <w:spacing w:after="0"/>
        <w:ind w:left="0"/>
        <w:jc w:val="both"/>
      </w:pPr>
      <w:r>
        <w:rPr>
          <w:rFonts w:ascii="Times New Roman"/>
          <w:b w:val="false"/>
          <w:i w:val="false"/>
          <w:color w:val="000000"/>
          <w:sz w:val="28"/>
        </w:rPr>
        <w:t>
      Необходимо чтобы протяженность защитных переборок была достаточной для предотвращения затопления судна при повреждении обшивки прорези предметами, захваченными черпаками.</w:t>
      </w:r>
    </w:p>
    <w:bookmarkEnd w:id="2732"/>
    <w:bookmarkStart w:name="z2738" w:id="2733"/>
    <w:p>
      <w:pPr>
        <w:spacing w:after="0"/>
        <w:ind w:left="0"/>
        <w:jc w:val="both"/>
      </w:pPr>
      <w:r>
        <w:rPr>
          <w:rFonts w:ascii="Times New Roman"/>
          <w:b w:val="false"/>
          <w:i w:val="false"/>
          <w:color w:val="000000"/>
          <w:sz w:val="28"/>
        </w:rPr>
        <w:t>
      Защитная переборка предусматривается и у поперечной переборки, которой заканчивается прорезь. Размеры набора и толщина обшивки защитных переборок определяются как для прочных водонепроницаемых переборок сухогрузных судов. Внутри коффердама, образованного продольной переборкой прорези и защитной переборкой, набор состоит из бракет с вырезами. Коффердамы доступны для осмотра;</w:t>
      </w:r>
    </w:p>
    <w:bookmarkEnd w:id="2733"/>
    <w:bookmarkStart w:name="z2739" w:id="2734"/>
    <w:p>
      <w:pPr>
        <w:spacing w:after="0"/>
        <w:ind w:left="0"/>
        <w:jc w:val="both"/>
      </w:pPr>
      <w:r>
        <w:rPr>
          <w:rFonts w:ascii="Times New Roman"/>
          <w:b w:val="false"/>
          <w:i w:val="false"/>
          <w:color w:val="000000"/>
          <w:sz w:val="28"/>
        </w:rPr>
        <w:t>
      3) продольные переборки прорези земснарядов в районе перемещения рамы защищают от возможного повреждения рамой;</w:t>
      </w:r>
    </w:p>
    <w:bookmarkEnd w:id="2734"/>
    <w:bookmarkStart w:name="z2740" w:id="2735"/>
    <w:p>
      <w:pPr>
        <w:spacing w:after="0"/>
        <w:ind w:left="0"/>
        <w:jc w:val="both"/>
      </w:pPr>
      <w:r>
        <w:rPr>
          <w:rFonts w:ascii="Times New Roman"/>
          <w:b w:val="false"/>
          <w:i w:val="false"/>
          <w:color w:val="000000"/>
          <w:sz w:val="28"/>
        </w:rPr>
        <w:t>
      4) продольные переборки грунтового трюма и прорези продлевают кницами в местах их окончания по палубе и днищу. Длина и высота книц не менее 0,25</w:t>
      </w:r>
      <w:r>
        <w:rPr>
          <w:rFonts w:ascii="Times New Roman"/>
          <w:b w:val="false"/>
          <w:i/>
          <w:color w:val="000000"/>
          <w:sz w:val="28"/>
        </w:rPr>
        <w:t>D</w:t>
      </w:r>
      <w:r>
        <w:rPr>
          <w:rFonts w:ascii="Times New Roman"/>
          <w:b w:val="false"/>
          <w:i w:val="false"/>
          <w:color w:val="000000"/>
          <w:sz w:val="28"/>
        </w:rPr>
        <w:t xml:space="preserve"> а толщина не менее толщины обшивки продольной переборки. Кницы подкрепляют ребрами жесткости и имеют поясок по свободной кромке. Верхнюю кницу продолжают карлингсом, а нижнюю — стрингером не менее чем на три шпации за пределами конца кницы;</w:t>
      </w:r>
    </w:p>
    <w:bookmarkEnd w:id="2735"/>
    <w:bookmarkStart w:name="z2741" w:id="2736"/>
    <w:p>
      <w:pPr>
        <w:spacing w:after="0"/>
        <w:ind w:left="0"/>
        <w:jc w:val="both"/>
      </w:pPr>
      <w:r>
        <w:rPr>
          <w:rFonts w:ascii="Times New Roman"/>
          <w:b w:val="false"/>
          <w:i w:val="false"/>
          <w:color w:val="000000"/>
          <w:sz w:val="28"/>
        </w:rPr>
        <w:t>
      5) переборки крестовины плавкранов жестко связывают с переборками опорного контура, которые доводятся до ближайших поперечных и продольных переборок (бортов, транцев).</w:t>
      </w:r>
    </w:p>
    <w:bookmarkEnd w:id="2736"/>
    <w:bookmarkStart w:name="z2742" w:id="2737"/>
    <w:p>
      <w:pPr>
        <w:spacing w:after="0"/>
        <w:ind w:left="0"/>
        <w:jc w:val="both"/>
      </w:pPr>
      <w:r>
        <w:rPr>
          <w:rFonts w:ascii="Times New Roman"/>
          <w:b w:val="false"/>
          <w:i w:val="false"/>
          <w:color w:val="000000"/>
          <w:sz w:val="28"/>
        </w:rPr>
        <w:t>
      713. На судах с понтонной формой обводов носовой и кормовой оконечностей регламентируются следующие требования к конструкции:</w:t>
      </w:r>
    </w:p>
    <w:bookmarkEnd w:id="2737"/>
    <w:bookmarkStart w:name="z2743" w:id="2738"/>
    <w:p>
      <w:pPr>
        <w:spacing w:after="0"/>
        <w:ind w:left="0"/>
        <w:jc w:val="both"/>
      </w:pPr>
      <w:r>
        <w:rPr>
          <w:rFonts w:ascii="Times New Roman"/>
          <w:b w:val="false"/>
          <w:i w:val="false"/>
          <w:color w:val="000000"/>
          <w:sz w:val="28"/>
        </w:rPr>
        <w:t>
      1) форпиковая и ахтерпиковая переборки устанавливают на расстоянии 0,1</w:t>
      </w:r>
      <w:r>
        <w:rPr>
          <w:rFonts w:ascii="Times New Roman"/>
          <w:b w:val="false"/>
          <w:i/>
          <w:color w:val="000000"/>
          <w:sz w:val="28"/>
        </w:rPr>
        <w:t>L</w:t>
      </w:r>
      <w:r>
        <w:rPr>
          <w:rFonts w:ascii="Times New Roman"/>
          <w:b w:val="false"/>
          <w:i w:val="false"/>
          <w:color w:val="000000"/>
          <w:sz w:val="28"/>
        </w:rPr>
        <w:t xml:space="preserve"> от носового и кормового транцев, но не менее чем на одну шпацию от линии соединения наклонной и плоской частей днища;</w:t>
      </w:r>
    </w:p>
    <w:bookmarkEnd w:id="2738"/>
    <w:bookmarkStart w:name="z2744" w:id="2739"/>
    <w:p>
      <w:pPr>
        <w:spacing w:after="0"/>
        <w:ind w:left="0"/>
        <w:jc w:val="both"/>
      </w:pPr>
      <w:r>
        <w:rPr>
          <w:rFonts w:ascii="Times New Roman"/>
          <w:b w:val="false"/>
          <w:i w:val="false"/>
          <w:color w:val="000000"/>
          <w:sz w:val="28"/>
        </w:rPr>
        <w:t>
      2) шпангоутное расстояние в пиках не более 550 мм;</w:t>
      </w:r>
    </w:p>
    <w:bookmarkEnd w:id="2739"/>
    <w:bookmarkStart w:name="z2745" w:id="2740"/>
    <w:p>
      <w:pPr>
        <w:spacing w:after="0"/>
        <w:ind w:left="0"/>
        <w:jc w:val="both"/>
      </w:pPr>
      <w:r>
        <w:rPr>
          <w:rFonts w:ascii="Times New Roman"/>
          <w:b w:val="false"/>
          <w:i w:val="false"/>
          <w:color w:val="000000"/>
          <w:sz w:val="28"/>
        </w:rPr>
        <w:t>
      3) днищевой набор на протяжении 0,15</w:t>
      </w:r>
      <w:r>
        <w:rPr>
          <w:rFonts w:ascii="Times New Roman"/>
          <w:b w:val="false"/>
          <w:i/>
          <w:color w:val="000000"/>
          <w:sz w:val="28"/>
        </w:rPr>
        <w:t>L</w:t>
      </w:r>
      <w:r>
        <w:rPr>
          <w:rFonts w:ascii="Times New Roman"/>
          <w:b w:val="false"/>
          <w:i w:val="false"/>
          <w:color w:val="000000"/>
          <w:sz w:val="28"/>
        </w:rPr>
        <w:t xml:space="preserve"> от носового и кормового перпендикуляров состоит из сплошных флоров, поставленных на каждом шпангоуте, при расстоянии между стрингерами не более 1 м;</w:t>
      </w:r>
    </w:p>
    <w:bookmarkEnd w:id="2740"/>
    <w:bookmarkStart w:name="z2746" w:id="2741"/>
    <w:p>
      <w:pPr>
        <w:spacing w:after="0"/>
        <w:ind w:left="0"/>
        <w:jc w:val="both"/>
      </w:pPr>
      <w:r>
        <w:rPr>
          <w:rFonts w:ascii="Times New Roman"/>
          <w:b w:val="false"/>
          <w:i w:val="false"/>
          <w:color w:val="000000"/>
          <w:sz w:val="28"/>
        </w:rPr>
        <w:t>
      Размеры флоров и стрингеров определяются как для средней части судна;</w:t>
      </w:r>
    </w:p>
    <w:bookmarkEnd w:id="2741"/>
    <w:bookmarkStart w:name="z2747" w:id="2742"/>
    <w:p>
      <w:pPr>
        <w:spacing w:after="0"/>
        <w:ind w:left="0"/>
        <w:jc w:val="both"/>
      </w:pPr>
      <w:r>
        <w:rPr>
          <w:rFonts w:ascii="Times New Roman"/>
          <w:b w:val="false"/>
          <w:i w:val="false"/>
          <w:color w:val="000000"/>
          <w:sz w:val="28"/>
        </w:rPr>
        <w:t>
      4) на протяжении 0,2</w:t>
      </w:r>
      <w:r>
        <w:rPr>
          <w:rFonts w:ascii="Times New Roman"/>
          <w:b w:val="false"/>
          <w:i/>
          <w:color w:val="000000"/>
          <w:sz w:val="28"/>
        </w:rPr>
        <w:t>L</w:t>
      </w:r>
      <w:r>
        <w:rPr>
          <w:rFonts w:ascii="Times New Roman"/>
          <w:b w:val="false"/>
          <w:i w:val="false"/>
          <w:color w:val="000000"/>
          <w:sz w:val="28"/>
        </w:rPr>
        <w:t xml:space="preserve"> от носового и кормового перпендикуляров борт усиливают рамными шпангоутами и бортовыми стрингерами.</w:t>
      </w:r>
    </w:p>
    <w:bookmarkEnd w:id="2742"/>
    <w:bookmarkStart w:name="z2748" w:id="2743"/>
    <w:p>
      <w:pPr>
        <w:spacing w:after="0"/>
        <w:ind w:left="0"/>
        <w:jc w:val="both"/>
      </w:pPr>
      <w:r>
        <w:rPr>
          <w:rFonts w:ascii="Times New Roman"/>
          <w:b w:val="false"/>
          <w:i w:val="false"/>
          <w:color w:val="000000"/>
          <w:sz w:val="28"/>
        </w:rPr>
        <w:t>
      Рамные шпангоуты устанавливаются через 3 — 4 шпации.</w:t>
      </w:r>
    </w:p>
    <w:bookmarkEnd w:id="2743"/>
    <w:bookmarkStart w:name="z2749" w:id="2744"/>
    <w:p>
      <w:pPr>
        <w:spacing w:after="0"/>
        <w:ind w:left="0"/>
        <w:jc w:val="both"/>
      </w:pPr>
      <w:r>
        <w:rPr>
          <w:rFonts w:ascii="Times New Roman"/>
          <w:b w:val="false"/>
          <w:i w:val="false"/>
          <w:color w:val="000000"/>
          <w:sz w:val="28"/>
        </w:rPr>
        <w:t>
      Бортовые стрингеры устанавливают так, чтобы расстояние между стрингерами, измеренное по борту у флора, ближайшего к форпиковой переборке, расстояние от стрингера до верхней кромки флора, а также от стрингера до палубы не превышало 2 м.</w:t>
      </w:r>
    </w:p>
    <w:bookmarkEnd w:id="2744"/>
    <w:bookmarkStart w:name="z2750" w:id="2745"/>
    <w:p>
      <w:pPr>
        <w:spacing w:after="0"/>
        <w:ind w:left="0"/>
        <w:jc w:val="both"/>
      </w:pPr>
      <w:r>
        <w:rPr>
          <w:rFonts w:ascii="Times New Roman"/>
          <w:b w:val="false"/>
          <w:i w:val="false"/>
          <w:color w:val="000000"/>
          <w:sz w:val="28"/>
        </w:rPr>
        <w:t>
      Основные шпангоуты, устанавливаемые между рамными, определяются по пункту 738 настоящих Правил как для средней части судна при отсутствии стрингеров.</w:t>
      </w:r>
    </w:p>
    <w:bookmarkEnd w:id="2745"/>
    <w:bookmarkStart w:name="z2751" w:id="2746"/>
    <w:p>
      <w:pPr>
        <w:spacing w:after="0"/>
        <w:ind w:left="0"/>
        <w:jc w:val="both"/>
      </w:pPr>
      <w:r>
        <w:rPr>
          <w:rFonts w:ascii="Times New Roman"/>
          <w:b w:val="false"/>
          <w:i w:val="false"/>
          <w:color w:val="000000"/>
          <w:sz w:val="28"/>
        </w:rPr>
        <w:t>
      Бортовые стрингеры предусматривают того же профиля, что и рамные шпангоуты и заканчиваются на переборке или рамном шпангоуте (подпункт 2) пункт 386 настоящих Правил).</w:t>
      </w:r>
    </w:p>
    <w:bookmarkEnd w:id="2746"/>
    <w:bookmarkStart w:name="z2752" w:id="2747"/>
    <w:p>
      <w:pPr>
        <w:spacing w:after="0"/>
        <w:ind w:left="0"/>
        <w:jc w:val="both"/>
      </w:pPr>
      <w:r>
        <w:rPr>
          <w:rFonts w:ascii="Times New Roman"/>
          <w:b w:val="false"/>
          <w:i w:val="false"/>
          <w:color w:val="000000"/>
          <w:sz w:val="28"/>
        </w:rPr>
        <w:t>
      Конструкция и крепление концов рамных шпангоутов принимаются согласно параграфу 4 главы 19 настоящих Правил;</w:t>
      </w:r>
    </w:p>
    <w:bookmarkEnd w:id="2747"/>
    <w:bookmarkStart w:name="z2753" w:id="2748"/>
    <w:p>
      <w:pPr>
        <w:spacing w:after="0"/>
        <w:ind w:left="0"/>
        <w:jc w:val="both"/>
      </w:pPr>
      <w:r>
        <w:rPr>
          <w:rFonts w:ascii="Times New Roman"/>
          <w:b w:val="false"/>
          <w:i w:val="false"/>
          <w:color w:val="000000"/>
          <w:sz w:val="28"/>
        </w:rPr>
        <w:t>
      5) транцевые переборки подкрепляются вертикальными стойками, установленными на расстоянии не более 0,5 м, и горизонтальными рамами, расположенными на уровне бортовых стрингеров.</w:t>
      </w:r>
    </w:p>
    <w:bookmarkEnd w:id="2748"/>
    <w:bookmarkStart w:name="z2754" w:id="2749"/>
    <w:p>
      <w:pPr>
        <w:spacing w:after="0"/>
        <w:ind w:left="0"/>
        <w:jc w:val="both"/>
      </w:pPr>
      <w:r>
        <w:rPr>
          <w:rFonts w:ascii="Times New Roman"/>
          <w:b w:val="false"/>
          <w:i w:val="false"/>
          <w:color w:val="000000"/>
          <w:sz w:val="28"/>
        </w:rPr>
        <w:t>
      В плоскости днищевых стрингеров устанавливаются рамные стойки. Размеры рамных стоек и горизонтальных рам должны быть одинаковыми с размерами рамных шпангоутов и бортовых стрингеров в форпике. Вертикальные стойки принимаются такими же, как и шпангоуты. Крепление концов стоек кницами должно соответствовать требованиям параграфа 2 главы 21 настоящих Правил для водонепроницаемых переборок.</w:t>
      </w:r>
    </w:p>
    <w:bookmarkEnd w:id="2749"/>
    <w:bookmarkStart w:name="z2755" w:id="2750"/>
    <w:p>
      <w:pPr>
        <w:spacing w:after="0"/>
        <w:ind w:left="0"/>
        <w:jc w:val="both"/>
      </w:pPr>
      <w:r>
        <w:rPr>
          <w:rFonts w:ascii="Times New Roman"/>
          <w:b w:val="false"/>
          <w:i w:val="false"/>
          <w:color w:val="000000"/>
          <w:sz w:val="28"/>
        </w:rPr>
        <w:t>
      714. Конструктивные требования к отдельным связям корпуса раскрывающихся судов предусматривают следующее:</w:t>
      </w:r>
    </w:p>
    <w:bookmarkEnd w:id="2750"/>
    <w:bookmarkStart w:name="z2756" w:id="2751"/>
    <w:p>
      <w:pPr>
        <w:spacing w:after="0"/>
        <w:ind w:left="0"/>
        <w:jc w:val="both"/>
      </w:pPr>
      <w:r>
        <w:rPr>
          <w:rFonts w:ascii="Times New Roman"/>
          <w:b w:val="false"/>
          <w:i w:val="false"/>
          <w:color w:val="000000"/>
          <w:sz w:val="28"/>
        </w:rPr>
        <w:t>
      1) раскрывающиеся суда состоят из двух отдельных полукорпусов с несимметричными обводами, соединенных друг с другом шарнирами, расположенными над палубой у концов грунтового трюма. При разгрузке полукорпуса поворачиваются вокруг общей горизонтальной продольной оси, лежащей в диаметральной плоскости судна, гидравлическими устройствами.</w:t>
      </w:r>
    </w:p>
    <w:bookmarkEnd w:id="2751"/>
    <w:bookmarkStart w:name="z2757" w:id="2752"/>
    <w:p>
      <w:pPr>
        <w:spacing w:after="0"/>
        <w:ind w:left="0"/>
        <w:jc w:val="both"/>
      </w:pPr>
      <w:r>
        <w:rPr>
          <w:rFonts w:ascii="Times New Roman"/>
          <w:b w:val="false"/>
          <w:i w:val="false"/>
          <w:color w:val="000000"/>
          <w:sz w:val="28"/>
        </w:rPr>
        <w:t>
      Конструкция каждого полукорпуса отвечает требованиям подраздела 2 раздела 4 настоящих Правил с учетом параграфа 2 главы 34 настоящих Правил и выполняют по поперечной, продольной или смешанной системе набора. В районе грунтового трюма в бортовых отсеках устанавливаются поперечные рамы с максимальным расстоянием между ними согласно подпункту 1) пункта 716 настоящих Правил;</w:t>
      </w:r>
    </w:p>
    <w:bookmarkEnd w:id="2752"/>
    <w:bookmarkStart w:name="z2758" w:id="2753"/>
    <w:p>
      <w:pPr>
        <w:spacing w:after="0"/>
        <w:ind w:left="0"/>
        <w:jc w:val="both"/>
      </w:pPr>
      <w:r>
        <w:rPr>
          <w:rFonts w:ascii="Times New Roman"/>
          <w:b w:val="false"/>
          <w:i w:val="false"/>
          <w:color w:val="000000"/>
          <w:sz w:val="28"/>
        </w:rPr>
        <w:t>
      2) в местах установки шарниров раскрывающихся трюмных земснарядов и шаланд предусматривают подкрепления настила и набора палубы. Проушины шарниров рекомендуется пропускать через палубы;</w:t>
      </w:r>
    </w:p>
    <w:bookmarkEnd w:id="2753"/>
    <w:bookmarkStart w:name="z2759" w:id="2754"/>
    <w:p>
      <w:pPr>
        <w:spacing w:after="0"/>
        <w:ind w:left="0"/>
        <w:jc w:val="both"/>
      </w:pPr>
      <w:r>
        <w:rPr>
          <w:rFonts w:ascii="Times New Roman"/>
          <w:b w:val="false"/>
          <w:i w:val="false"/>
          <w:color w:val="000000"/>
          <w:sz w:val="28"/>
        </w:rPr>
        <w:t>
      3) конструкция раскрывающихся судов содержит упоры, устанавливаемые между полукорпусами в нос и в корму от грунтового трюма. Упоры устанавливаются на уровне днища и палубы и предотвращают продольное смещение корпусов относительно друг друга;</w:t>
      </w:r>
    </w:p>
    <w:bookmarkEnd w:id="2754"/>
    <w:bookmarkStart w:name="z2760" w:id="2755"/>
    <w:p>
      <w:pPr>
        <w:spacing w:after="0"/>
        <w:ind w:left="0"/>
        <w:jc w:val="both"/>
      </w:pPr>
      <w:r>
        <w:rPr>
          <w:rFonts w:ascii="Times New Roman"/>
          <w:b w:val="false"/>
          <w:i w:val="false"/>
          <w:color w:val="000000"/>
          <w:sz w:val="28"/>
        </w:rPr>
        <w:t>
      4) размеры книц, соединяющих балки набора в каждом из полукорпусов, принимаютсогласно подпункту 3) пункта 716 настоящих Правил;</w:t>
      </w:r>
    </w:p>
    <w:bookmarkEnd w:id="2755"/>
    <w:bookmarkStart w:name="z2761" w:id="2756"/>
    <w:p>
      <w:pPr>
        <w:spacing w:after="0"/>
        <w:ind w:left="0"/>
        <w:jc w:val="both"/>
      </w:pPr>
      <w:r>
        <w:rPr>
          <w:rFonts w:ascii="Times New Roman"/>
          <w:b w:val="false"/>
          <w:i w:val="false"/>
          <w:color w:val="000000"/>
          <w:sz w:val="28"/>
        </w:rPr>
        <w:t>
      5) продольные переборки и комингсы грунтового трюма продлеваются кницами согласно подпункту 4) пункта 712 и подпункту 7) пункта 716 настоящих Правил.</w:t>
      </w:r>
    </w:p>
    <w:bookmarkEnd w:id="2756"/>
    <w:bookmarkStart w:name="z2762" w:id="2757"/>
    <w:p>
      <w:pPr>
        <w:spacing w:after="0"/>
        <w:ind w:left="0"/>
        <w:jc w:val="both"/>
      </w:pPr>
      <w:r>
        <w:rPr>
          <w:rFonts w:ascii="Times New Roman"/>
          <w:b w:val="false"/>
          <w:i w:val="false"/>
          <w:color w:val="000000"/>
          <w:sz w:val="28"/>
        </w:rPr>
        <w:t>
      715. Крепление дноуглубительных устройств предусматривают следующее:</w:t>
      </w:r>
    </w:p>
    <w:bookmarkEnd w:id="2757"/>
    <w:bookmarkStart w:name="z2763" w:id="2758"/>
    <w:p>
      <w:pPr>
        <w:spacing w:after="0"/>
        <w:ind w:left="0"/>
        <w:jc w:val="both"/>
      </w:pPr>
      <w:r>
        <w:rPr>
          <w:rFonts w:ascii="Times New Roman"/>
          <w:b w:val="false"/>
          <w:i w:val="false"/>
          <w:color w:val="000000"/>
          <w:sz w:val="28"/>
        </w:rPr>
        <w:t>
      1) в районе расположения черпаковой и рамоподъемной башен набор основного корпуса усиливают.</w:t>
      </w:r>
    </w:p>
    <w:bookmarkEnd w:id="2758"/>
    <w:bookmarkStart w:name="z2764" w:id="2759"/>
    <w:p>
      <w:pPr>
        <w:spacing w:after="0"/>
        <w:ind w:left="0"/>
        <w:jc w:val="both"/>
      </w:pPr>
      <w:r>
        <w:rPr>
          <w:rFonts w:ascii="Times New Roman"/>
          <w:b w:val="false"/>
          <w:i w:val="false"/>
          <w:color w:val="000000"/>
          <w:sz w:val="28"/>
        </w:rPr>
        <w:t>
      Опоры рамоподъемной башни оканчиваются у палубы. В этом случае под ними предусматривают пиллерсы, рамные стойки или установлены</w:t>
      </w:r>
    </w:p>
    <w:bookmarkEnd w:id="2759"/>
    <w:bookmarkStart w:name="z2765" w:id="2760"/>
    <w:p>
      <w:pPr>
        <w:spacing w:after="0"/>
        <w:ind w:left="0"/>
        <w:jc w:val="both"/>
      </w:pPr>
      <w:r>
        <w:rPr>
          <w:rFonts w:ascii="Times New Roman"/>
          <w:b w:val="false"/>
          <w:i w:val="false"/>
          <w:color w:val="000000"/>
          <w:sz w:val="28"/>
        </w:rPr>
        <w:t>
      Опоры черпаковой башни продолжают до днища и надежно соединяют с продольным и поперечным набором или под опорами устанавливают поперечные переборки;</w:t>
      </w:r>
    </w:p>
    <w:bookmarkEnd w:id="2760"/>
    <w:bookmarkStart w:name="z2766" w:id="2761"/>
    <w:p>
      <w:pPr>
        <w:spacing w:after="0"/>
        <w:ind w:left="0"/>
        <w:jc w:val="both"/>
      </w:pPr>
      <w:r>
        <w:rPr>
          <w:rFonts w:ascii="Times New Roman"/>
          <w:b w:val="false"/>
          <w:i w:val="false"/>
          <w:color w:val="000000"/>
          <w:sz w:val="28"/>
        </w:rPr>
        <w:t>
      2) предусматривают необходимые подкрепления в местах установки рабочих устройств на грейферных, штанговых и других земснарядах.</w:t>
      </w:r>
    </w:p>
    <w:bookmarkEnd w:id="2761"/>
    <w:bookmarkStart w:name="z2767" w:id="2762"/>
    <w:p>
      <w:pPr>
        <w:spacing w:after="0"/>
        <w:ind w:left="0"/>
        <w:jc w:val="both"/>
      </w:pPr>
      <w:r>
        <w:rPr>
          <w:rFonts w:ascii="Times New Roman"/>
          <w:b w:val="false"/>
          <w:i w:val="false"/>
          <w:color w:val="000000"/>
          <w:sz w:val="28"/>
        </w:rPr>
        <w:t>
      716. Специфические конструкции предусматривают следующее:</w:t>
      </w:r>
    </w:p>
    <w:bookmarkEnd w:id="2762"/>
    <w:bookmarkStart w:name="z2768" w:id="2763"/>
    <w:p>
      <w:pPr>
        <w:spacing w:after="0"/>
        <w:ind w:left="0"/>
        <w:jc w:val="both"/>
      </w:pPr>
      <w:r>
        <w:rPr>
          <w:rFonts w:ascii="Times New Roman"/>
          <w:b w:val="false"/>
          <w:i w:val="false"/>
          <w:color w:val="000000"/>
          <w:sz w:val="28"/>
        </w:rPr>
        <w:t>
      1) при любой системе набора корпуса однокорпусных трюмных земснарядов и шаланд в районе грунтового трюма предусматривается установка поперечных рам, состоящих из следующих элементов:</w:t>
      </w:r>
    </w:p>
    <w:bookmarkEnd w:id="2763"/>
    <w:bookmarkStart w:name="z2769" w:id="2764"/>
    <w:p>
      <w:pPr>
        <w:spacing w:after="0"/>
        <w:ind w:left="0"/>
        <w:jc w:val="both"/>
      </w:pPr>
      <w:r>
        <w:rPr>
          <w:rFonts w:ascii="Times New Roman"/>
          <w:b w:val="false"/>
          <w:i w:val="false"/>
          <w:color w:val="000000"/>
          <w:sz w:val="28"/>
        </w:rPr>
        <w:t>
      сплошных платформ или кольцевых рам в бортовых отсеках и коробчатой килевой балке;</w:t>
      </w:r>
    </w:p>
    <w:bookmarkEnd w:id="2764"/>
    <w:bookmarkStart w:name="z2770" w:id="2765"/>
    <w:p>
      <w:pPr>
        <w:spacing w:after="0"/>
        <w:ind w:left="0"/>
        <w:jc w:val="both"/>
      </w:pPr>
      <w:r>
        <w:rPr>
          <w:rFonts w:ascii="Times New Roman"/>
          <w:b w:val="false"/>
          <w:i w:val="false"/>
          <w:color w:val="000000"/>
          <w:sz w:val="28"/>
        </w:rPr>
        <w:t>
      трюмного флора в нижней части грунтового трюма, соединяющего килевую балку с продольными переборками грунтового трюма;</w:t>
      </w:r>
    </w:p>
    <w:bookmarkEnd w:id="2765"/>
    <w:bookmarkStart w:name="z2771" w:id="2766"/>
    <w:p>
      <w:pPr>
        <w:spacing w:after="0"/>
        <w:ind w:left="0"/>
        <w:jc w:val="both"/>
      </w:pPr>
      <w:r>
        <w:rPr>
          <w:rFonts w:ascii="Times New Roman"/>
          <w:b w:val="false"/>
          <w:i w:val="false"/>
          <w:color w:val="000000"/>
          <w:sz w:val="28"/>
        </w:rPr>
        <w:t>
      трюмного бимса внутри грунтового трюма на уровне главной палубы и верха комингса при его высоте более 0,2 м (трюмные бимсы не устанавливаются, если выполнены требования подпункта 10) пункта 742 настоящих Правил);</w:t>
      </w:r>
    </w:p>
    <w:bookmarkEnd w:id="2766"/>
    <w:bookmarkStart w:name="z2772" w:id="2767"/>
    <w:p>
      <w:pPr>
        <w:spacing w:after="0"/>
        <w:ind w:left="0"/>
        <w:jc w:val="both"/>
      </w:pPr>
      <w:r>
        <w:rPr>
          <w:rFonts w:ascii="Times New Roman"/>
          <w:b w:val="false"/>
          <w:i w:val="false"/>
          <w:color w:val="000000"/>
          <w:sz w:val="28"/>
        </w:rPr>
        <w:t>
      рамной стойки по комингсу грунтового трюма.</w:t>
      </w:r>
    </w:p>
    <w:bookmarkEnd w:id="2767"/>
    <w:bookmarkStart w:name="z2773" w:id="2768"/>
    <w:p>
      <w:pPr>
        <w:spacing w:after="0"/>
        <w:ind w:left="0"/>
        <w:jc w:val="both"/>
      </w:pPr>
      <w:r>
        <w:rPr>
          <w:rFonts w:ascii="Times New Roman"/>
          <w:b w:val="false"/>
          <w:i w:val="false"/>
          <w:color w:val="000000"/>
          <w:sz w:val="28"/>
        </w:rPr>
        <w:t>
      Максимальное расстояние между рамами не более b = (0,012</w:t>
      </w:r>
      <w:r>
        <w:rPr>
          <w:rFonts w:ascii="Times New Roman"/>
          <w:b w:val="false"/>
          <w:i/>
          <w:color w:val="000000"/>
          <w:sz w:val="28"/>
        </w:rPr>
        <w:t>L</w:t>
      </w:r>
      <w:r>
        <w:rPr>
          <w:rFonts w:ascii="Times New Roman"/>
          <w:b w:val="false"/>
          <w:i w:val="false"/>
          <w:color w:val="000000"/>
          <w:sz w:val="28"/>
        </w:rPr>
        <w:t>+2,9) м;</w:t>
      </w:r>
    </w:p>
    <w:bookmarkEnd w:id="2768"/>
    <w:bookmarkStart w:name="z2774" w:id="2769"/>
    <w:p>
      <w:pPr>
        <w:spacing w:after="0"/>
        <w:ind w:left="0"/>
        <w:jc w:val="both"/>
      </w:pPr>
      <w:r>
        <w:rPr>
          <w:rFonts w:ascii="Times New Roman"/>
          <w:b w:val="false"/>
          <w:i w:val="false"/>
          <w:color w:val="000000"/>
          <w:sz w:val="28"/>
        </w:rPr>
        <w:t>
      2) конструкция диафрагм отвечают требованиям пункта 376 настоящих Правил. Диафрагмы при их ширине более 1 м подкреплены вертикальными или горизонтальными ребрами жесткости. При продольной системе набора устанавливаются горизонтальные ребра в плоскости продольных балок борта и переборки. Диафрагмы заменены водонепроницаемыми (проницаемыми) переборками, конструкция которых отвечает требованиям параграфа 2 главы 21 настоящих Правил;</w:t>
      </w:r>
    </w:p>
    <w:bookmarkEnd w:id="2769"/>
    <w:bookmarkStart w:name="z2775" w:id="2770"/>
    <w:p>
      <w:pPr>
        <w:spacing w:after="0"/>
        <w:ind w:left="0"/>
        <w:jc w:val="both"/>
      </w:pPr>
      <w:r>
        <w:rPr>
          <w:rFonts w:ascii="Times New Roman"/>
          <w:b w:val="false"/>
          <w:i w:val="false"/>
          <w:color w:val="000000"/>
          <w:sz w:val="28"/>
        </w:rPr>
        <w:t>
      3) кольцевая рама в бортовом отсеке, устанавливаемая вместо диафрагмы, состит из рамного шпангоута и рамной стойки, флора и рамного бимса. Рамные стойка и шпангоут соединяют горизонтальными распорками, расположенными таким образом, чтобы расстояние между ними, между распоркой и флором или рамным бимсом не превышало 3 м. Вместо распорок применяют раскосы, соединяющие рамную стойку со скуловой и бимсовой кницей. Распорки и раскосы отсутствуют, если в бортовом отсеке устанавливаются платформы на тех же расстояниях, что и распорки.</w:t>
      </w:r>
    </w:p>
    <w:bookmarkEnd w:id="2770"/>
    <w:bookmarkStart w:name="z2776" w:id="2771"/>
    <w:p>
      <w:pPr>
        <w:spacing w:after="0"/>
        <w:ind w:left="0"/>
        <w:jc w:val="both"/>
      </w:pPr>
      <w:r>
        <w:rPr>
          <w:rFonts w:ascii="Times New Roman"/>
          <w:b w:val="false"/>
          <w:i w:val="false"/>
          <w:color w:val="000000"/>
          <w:sz w:val="28"/>
        </w:rPr>
        <w:t xml:space="preserve">
      Кницы, соединяющие элементы кольцевой рамы в бортовом отсеке, имеют длину сторон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12</w:t>
      </w:r>
      <w:r>
        <w:rPr>
          <w:rFonts w:ascii="Times New Roman"/>
          <w:b w:val="false"/>
          <w:i w:val="false"/>
          <w:color w:val="000000"/>
          <w:sz w:val="28"/>
        </w:rPr>
        <w:t xml:space="preserve"> большего пролета соединяемых балок. По свободной кромке кница имеет поясок шириной, равной ширине пояска большей из соединяемых балок. Толщина кницы равна толщине стенки большей из соединяемых балок;</w:t>
      </w:r>
    </w:p>
    <w:bookmarkEnd w:id="2771"/>
    <w:bookmarkStart w:name="z2777" w:id="2772"/>
    <w:p>
      <w:pPr>
        <w:spacing w:after="0"/>
        <w:ind w:left="0"/>
        <w:jc w:val="both"/>
      </w:pPr>
      <w:r>
        <w:rPr>
          <w:rFonts w:ascii="Times New Roman"/>
          <w:b w:val="false"/>
          <w:i w:val="false"/>
          <w:color w:val="000000"/>
          <w:sz w:val="28"/>
        </w:rPr>
        <w:t>
      4) трюмные флоры состоят из стенки с вырезами и поясками по верхней и нижней кромкам или быть объемной коробчатой конструкции треугольного сечения.</w:t>
      </w:r>
    </w:p>
    <w:bookmarkEnd w:id="2772"/>
    <w:bookmarkStart w:name="z2778" w:id="2773"/>
    <w:p>
      <w:pPr>
        <w:spacing w:after="0"/>
        <w:ind w:left="0"/>
        <w:jc w:val="both"/>
      </w:pPr>
      <w:r>
        <w:rPr>
          <w:rFonts w:ascii="Times New Roman"/>
          <w:b w:val="false"/>
          <w:i w:val="false"/>
          <w:color w:val="000000"/>
          <w:sz w:val="28"/>
        </w:rPr>
        <w:t>
      Толщина стенки трюмного флора принимается равной толщине обшивке продольных переборок грунтового трюма на соответствующей высоте.</w:t>
      </w:r>
    </w:p>
    <w:bookmarkEnd w:id="2773"/>
    <w:bookmarkStart w:name="z2779" w:id="2774"/>
    <w:p>
      <w:pPr>
        <w:spacing w:after="0"/>
        <w:ind w:left="0"/>
        <w:jc w:val="both"/>
      </w:pPr>
      <w:r>
        <w:rPr>
          <w:rFonts w:ascii="Times New Roman"/>
          <w:b w:val="false"/>
          <w:i w:val="false"/>
          <w:color w:val="000000"/>
          <w:sz w:val="28"/>
        </w:rPr>
        <w:t>
      Стенка трюмного флора между вырезами подкрепляются ребрами жесткости, устанавливаемыми через 900 мм.</w:t>
      </w:r>
    </w:p>
    <w:bookmarkEnd w:id="2774"/>
    <w:bookmarkStart w:name="z2780" w:id="2775"/>
    <w:p>
      <w:pPr>
        <w:spacing w:after="0"/>
        <w:ind w:left="0"/>
        <w:jc w:val="both"/>
      </w:pPr>
      <w:r>
        <w:rPr>
          <w:rFonts w:ascii="Times New Roman"/>
          <w:b w:val="false"/>
          <w:i w:val="false"/>
          <w:color w:val="000000"/>
          <w:sz w:val="28"/>
        </w:rPr>
        <w:t>
      Верхний поясок трюмного флора выполняется из трубы, прутка, профиля или полосы, нижний поясок — из полосы толщиной не менее толщины днищевой обшивки.</w:t>
      </w:r>
    </w:p>
    <w:bookmarkEnd w:id="2775"/>
    <w:bookmarkStart w:name="z2781" w:id="2776"/>
    <w:p>
      <w:pPr>
        <w:spacing w:after="0"/>
        <w:ind w:left="0"/>
        <w:jc w:val="both"/>
      </w:pPr>
      <w:r>
        <w:rPr>
          <w:rFonts w:ascii="Times New Roman"/>
          <w:b w:val="false"/>
          <w:i w:val="false"/>
          <w:color w:val="000000"/>
          <w:sz w:val="28"/>
        </w:rPr>
        <w:t xml:space="preserve">
      Трюмные флоры соединяются с продольной переборкой грунтового трюма и килевой балкой кницами, ширина и высота которых равна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длины верхнего пояска флора. Толщина книц принимается равной толщине вертикального листа флора. При равной высоте флора и килевой балки, кницы у килевой балки не устанавливаются. Конструкция трюмных флоров коробчатой конструкции аналогична конструкции килевой балки. При коробчатой конструкции флоров нижний и верхний пояски флоров привариваются к обшивке бортовых отсеков и килевой балки;</w:t>
      </w:r>
    </w:p>
    <w:bookmarkEnd w:id="2776"/>
    <w:bookmarkStart w:name="z2782" w:id="2777"/>
    <w:p>
      <w:pPr>
        <w:spacing w:after="0"/>
        <w:ind w:left="0"/>
        <w:jc w:val="both"/>
      </w:pPr>
      <w:r>
        <w:rPr>
          <w:rFonts w:ascii="Times New Roman"/>
          <w:b w:val="false"/>
          <w:i w:val="false"/>
          <w:color w:val="000000"/>
          <w:sz w:val="28"/>
        </w:rPr>
        <w:t>
      5) килевая балка в грунтовом трюме, как правило, выполняется замкнутой коробчатой конструкции. Толщина обшивки боковых стенок равна толщине продольных переборок грунтового трюма на соответствующей высоте, но не менее 8 мм для судов длиной 60 м и менее, и 10 мм — для судов длиной более 60 м. Толщина нижнего листа килевой балки не менее толщины горизонтального киля. При поперечной системе набора стойки в верхней части килевой балки соединяются кницами, толщина которых не менее толщины флора, высота— не менее 2,5 высоты профиля стойки.</w:t>
      </w:r>
    </w:p>
    <w:bookmarkEnd w:id="2777"/>
    <w:bookmarkStart w:name="z2783" w:id="2778"/>
    <w:p>
      <w:pPr>
        <w:spacing w:after="0"/>
        <w:ind w:left="0"/>
        <w:jc w:val="both"/>
      </w:pPr>
      <w:r>
        <w:rPr>
          <w:rFonts w:ascii="Times New Roman"/>
          <w:b w:val="false"/>
          <w:i w:val="false"/>
          <w:color w:val="000000"/>
          <w:sz w:val="28"/>
        </w:rPr>
        <w:t>
      Если ширина килевой балки у днища превышает 1 м, но не более 2 м, по днищу килевой балки устанавливается продольная балка высотой, равной половине высоты флора. При ширине килевой балки свыше 2 м вместо указанной балки между флорами устанавливается интеркостельный стрингер, имеющий размеры флора. Флоры в килевой балке принимаются такими же как и в бортовых отсеках при соответствующей системе набора.</w:t>
      </w:r>
    </w:p>
    <w:bookmarkEnd w:id="2778"/>
    <w:bookmarkStart w:name="z2784" w:id="2779"/>
    <w:p>
      <w:pPr>
        <w:spacing w:after="0"/>
        <w:ind w:left="0"/>
        <w:jc w:val="both"/>
      </w:pPr>
      <w:r>
        <w:rPr>
          <w:rFonts w:ascii="Times New Roman"/>
          <w:b w:val="false"/>
          <w:i w:val="false"/>
          <w:color w:val="000000"/>
          <w:sz w:val="28"/>
        </w:rPr>
        <w:t>
      Килевая балка заканчивается сверху бруском, угольником или накладкой из листа толщиной, равной толщине боковой обшивки килевой балки.</w:t>
      </w:r>
    </w:p>
    <w:bookmarkEnd w:id="2779"/>
    <w:bookmarkStart w:name="z2785" w:id="2780"/>
    <w:p>
      <w:pPr>
        <w:spacing w:after="0"/>
        <w:ind w:left="0"/>
        <w:jc w:val="both"/>
      </w:pPr>
      <w:r>
        <w:rPr>
          <w:rFonts w:ascii="Times New Roman"/>
          <w:b w:val="false"/>
          <w:i w:val="false"/>
          <w:color w:val="000000"/>
          <w:sz w:val="28"/>
        </w:rPr>
        <w:t>
      Стенки коробчатой килевой балки продлевают за поперечные переборки трюма кницами, длина и высота которых равна высоте килевой балки, а толщина равна толщине стенки килевой балки;</w:t>
      </w:r>
    </w:p>
    <w:bookmarkEnd w:id="2780"/>
    <w:bookmarkStart w:name="z2786" w:id="2781"/>
    <w:p>
      <w:pPr>
        <w:spacing w:after="0"/>
        <w:ind w:left="0"/>
        <w:jc w:val="both"/>
      </w:pPr>
      <w:r>
        <w:rPr>
          <w:rFonts w:ascii="Times New Roman"/>
          <w:b w:val="false"/>
          <w:i w:val="false"/>
          <w:color w:val="000000"/>
          <w:sz w:val="28"/>
        </w:rPr>
        <w:t>
      6) трюмные бимсы состоят из стенки с вырезами и поясками по верхней и нижней кромкам и выполняться коробчатой конструкции треугольной или иной формы.</w:t>
      </w:r>
    </w:p>
    <w:bookmarkEnd w:id="2781"/>
    <w:bookmarkStart w:name="z2787" w:id="2782"/>
    <w:p>
      <w:pPr>
        <w:spacing w:after="0"/>
        <w:ind w:left="0"/>
        <w:jc w:val="both"/>
      </w:pPr>
      <w:r>
        <w:rPr>
          <w:rFonts w:ascii="Times New Roman"/>
          <w:b w:val="false"/>
          <w:i w:val="false"/>
          <w:color w:val="000000"/>
          <w:sz w:val="28"/>
        </w:rPr>
        <w:t>
      Трюмные бимсы рекомендуется крепить к продольной переборке грунтового трюма кницами, высота и ширина которых равна высоте трюмного бимса, а толщина равна толщине его стенки.</w:t>
      </w:r>
    </w:p>
    <w:bookmarkEnd w:id="2782"/>
    <w:bookmarkStart w:name="z2788" w:id="2783"/>
    <w:p>
      <w:pPr>
        <w:spacing w:after="0"/>
        <w:ind w:left="0"/>
        <w:jc w:val="both"/>
      </w:pPr>
      <w:r>
        <w:rPr>
          <w:rFonts w:ascii="Times New Roman"/>
          <w:b w:val="false"/>
          <w:i w:val="false"/>
          <w:color w:val="000000"/>
          <w:sz w:val="28"/>
        </w:rPr>
        <w:t>
      Трюмные бимсы подкрепляются пиллерсами, опирающимися на коробчатый киль, если он установлен;</w:t>
      </w:r>
    </w:p>
    <w:bookmarkEnd w:id="2783"/>
    <w:bookmarkStart w:name="z2789" w:id="2784"/>
    <w:p>
      <w:pPr>
        <w:spacing w:after="0"/>
        <w:ind w:left="0"/>
        <w:jc w:val="both"/>
      </w:pPr>
      <w:r>
        <w:rPr>
          <w:rFonts w:ascii="Times New Roman"/>
          <w:b w:val="false"/>
          <w:i w:val="false"/>
          <w:color w:val="000000"/>
          <w:sz w:val="28"/>
        </w:rPr>
        <w:t xml:space="preserve">
      7) комингс грунтового трюма выполняют по поперечной или продольной системе набора. По верхней кромке комингса устанавливают поясок шириной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высоты комингса и толщиной не менее толщины комингса.</w:t>
      </w:r>
    </w:p>
    <w:bookmarkEnd w:id="2784"/>
    <w:bookmarkStart w:name="z2790" w:id="2785"/>
    <w:p>
      <w:pPr>
        <w:spacing w:after="0"/>
        <w:ind w:left="0"/>
        <w:jc w:val="both"/>
      </w:pPr>
      <w:r>
        <w:rPr>
          <w:rFonts w:ascii="Times New Roman"/>
          <w:b w:val="false"/>
          <w:i w:val="false"/>
          <w:color w:val="000000"/>
          <w:sz w:val="28"/>
        </w:rPr>
        <w:t>
      При продольной системе набора комингс подкрепляется продольными балками, устанавливаемыми не более чем через 900 мм.</w:t>
      </w:r>
    </w:p>
    <w:bookmarkEnd w:id="2785"/>
    <w:bookmarkStart w:name="z2791" w:id="2786"/>
    <w:p>
      <w:pPr>
        <w:spacing w:after="0"/>
        <w:ind w:left="0"/>
        <w:jc w:val="both"/>
      </w:pPr>
      <w:r>
        <w:rPr>
          <w:rFonts w:ascii="Times New Roman"/>
          <w:b w:val="false"/>
          <w:i w:val="false"/>
          <w:color w:val="000000"/>
          <w:sz w:val="28"/>
        </w:rPr>
        <w:t>
      При поперечной системе набора между рамными стойками устанавливаются вертикальные стойки на каждом шпангоуте.</w:t>
      </w:r>
    </w:p>
    <w:bookmarkEnd w:id="2786"/>
    <w:bookmarkStart w:name="z2792" w:id="2787"/>
    <w:p>
      <w:pPr>
        <w:spacing w:after="0"/>
        <w:ind w:left="0"/>
        <w:jc w:val="both"/>
      </w:pPr>
      <w:r>
        <w:rPr>
          <w:rFonts w:ascii="Times New Roman"/>
          <w:b w:val="false"/>
          <w:i w:val="false"/>
          <w:color w:val="000000"/>
          <w:sz w:val="28"/>
        </w:rPr>
        <w:t>
      Продольные комингсы грунтового трюма продлевают за концы трюма кницами длиной не менее 1,5 высоты комингса; под кницами устанавливают карлингсы, протянутые не менее чем на три шпации от конца кницы;</w:t>
      </w:r>
    </w:p>
    <w:bookmarkEnd w:id="2787"/>
    <w:bookmarkStart w:name="z2793" w:id="2788"/>
    <w:p>
      <w:pPr>
        <w:spacing w:after="0"/>
        <w:ind w:left="0"/>
        <w:jc w:val="both"/>
      </w:pPr>
      <w:r>
        <w:rPr>
          <w:rFonts w:ascii="Times New Roman"/>
          <w:b w:val="false"/>
          <w:i w:val="false"/>
          <w:color w:val="000000"/>
          <w:sz w:val="28"/>
        </w:rPr>
        <w:t>
      8) барабан плавкрана проходит через верхнюю палубу непрерывно. Горизонтальные сварные швы на участке протяженностью 0,2</w:t>
      </w:r>
      <w:r>
        <w:rPr>
          <w:rFonts w:ascii="Times New Roman"/>
          <w:b w:val="false"/>
          <w:i/>
          <w:color w:val="000000"/>
          <w:sz w:val="28"/>
        </w:rPr>
        <w:t>h</w:t>
      </w:r>
      <w:r>
        <w:rPr>
          <w:rFonts w:ascii="Times New Roman"/>
          <w:b w:val="false"/>
          <w:i w:val="false"/>
          <w:color w:val="000000"/>
          <w:sz w:val="28"/>
        </w:rPr>
        <w:t xml:space="preserve"> вверхи вниз от верхней палубы (где </w:t>
      </w:r>
      <w:r>
        <w:rPr>
          <w:rFonts w:ascii="Times New Roman"/>
          <w:b w:val="false"/>
          <w:i/>
          <w:color w:val="000000"/>
          <w:sz w:val="28"/>
        </w:rPr>
        <w:t>h</w:t>
      </w:r>
      <w:r>
        <w:rPr>
          <w:rFonts w:ascii="Times New Roman"/>
          <w:b w:val="false"/>
          <w:i w:val="false"/>
          <w:color w:val="000000"/>
          <w:sz w:val="28"/>
        </w:rPr>
        <w:t xml:space="preserve"> — расстояние между днищем и верхней палубой в месте установки барабана) не допускаются;</w:t>
      </w:r>
    </w:p>
    <w:bookmarkEnd w:id="2788"/>
    <w:bookmarkStart w:name="z2794" w:id="2789"/>
    <w:p>
      <w:pPr>
        <w:spacing w:after="0"/>
        <w:ind w:left="0"/>
        <w:jc w:val="both"/>
      </w:pPr>
      <w:r>
        <w:rPr>
          <w:rFonts w:ascii="Times New Roman"/>
          <w:b w:val="false"/>
          <w:i w:val="false"/>
          <w:color w:val="000000"/>
          <w:sz w:val="28"/>
        </w:rPr>
        <w:t>
      9) внутри барабана, в плоскости верхней палубы и платформы, устанавливаются диафрагмы;</w:t>
      </w:r>
    </w:p>
    <w:bookmarkEnd w:id="2789"/>
    <w:bookmarkStart w:name="z2795" w:id="2790"/>
    <w:p>
      <w:pPr>
        <w:spacing w:after="0"/>
        <w:ind w:left="0"/>
        <w:jc w:val="both"/>
      </w:pPr>
      <w:r>
        <w:rPr>
          <w:rFonts w:ascii="Times New Roman"/>
          <w:b w:val="false"/>
          <w:i w:val="false"/>
          <w:color w:val="000000"/>
          <w:sz w:val="28"/>
        </w:rPr>
        <w:t xml:space="preserve">
      10) для листовых элементов наружной обшивки специфических конструкций в районе грунтового трюма толщиной 20 мм и более применяется сталь не ниже категории </w:t>
      </w:r>
      <w:r>
        <w:rPr>
          <w:rFonts w:ascii="Times New Roman"/>
          <w:b w:val="false"/>
          <w:i/>
          <w:color w:val="000000"/>
          <w:sz w:val="28"/>
        </w:rPr>
        <w:t>D</w:t>
      </w:r>
      <w:r>
        <w:rPr>
          <w:rFonts w:ascii="Times New Roman"/>
          <w:b w:val="false"/>
          <w:i w:val="false"/>
          <w:color w:val="000000"/>
          <w:sz w:val="28"/>
        </w:rPr>
        <w:t>. Использование листов толщиной 50 мм и более является предметом специального рассмотрения Регистром судоходства.</w:t>
      </w:r>
    </w:p>
    <w:bookmarkEnd w:id="2790"/>
    <w:bookmarkStart w:name="z2796" w:id="2791"/>
    <w:p>
      <w:pPr>
        <w:spacing w:after="0"/>
        <w:ind w:left="0"/>
        <w:jc w:val="left"/>
      </w:pPr>
      <w:r>
        <w:rPr>
          <w:rFonts w:ascii="Times New Roman"/>
          <w:b/>
          <w:i w:val="false"/>
          <w:color w:val="000000"/>
        </w:rPr>
        <w:t xml:space="preserve"> Параграф 3. Расчетные нагрузки</w:t>
      </w:r>
    </w:p>
    <w:bookmarkEnd w:id="2791"/>
    <w:bookmarkStart w:name="z2797" w:id="2792"/>
    <w:p>
      <w:pPr>
        <w:spacing w:after="0"/>
        <w:ind w:left="0"/>
        <w:jc w:val="both"/>
      </w:pPr>
      <w:r>
        <w:rPr>
          <w:rFonts w:ascii="Times New Roman"/>
          <w:b w:val="false"/>
          <w:i w:val="false"/>
          <w:color w:val="000000"/>
          <w:sz w:val="28"/>
        </w:rPr>
        <w:t>
      717. Необходимо чтобы расчетные нагрузки соответствовали следующим требованиям:</w:t>
      </w:r>
    </w:p>
    <w:bookmarkEnd w:id="2792"/>
    <w:bookmarkStart w:name="z2798" w:id="2793"/>
    <w:p>
      <w:pPr>
        <w:spacing w:after="0"/>
        <w:ind w:left="0"/>
        <w:jc w:val="both"/>
      </w:pPr>
      <w:r>
        <w:rPr>
          <w:rFonts w:ascii="Times New Roman"/>
          <w:b w:val="false"/>
          <w:i w:val="false"/>
          <w:color w:val="000000"/>
          <w:sz w:val="28"/>
        </w:rPr>
        <w:t>
      1) расчетные нагрузки на конструкции основного корпуса определяются подразделами 1 и 2 раздела 4 настоящих Правил при осадках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xml:space="preserve"> и волновом коэффициенте c</w:t>
      </w:r>
      <w:r>
        <w:rPr>
          <w:rFonts w:ascii="Times New Roman"/>
          <w:b w:val="false"/>
          <w:i w:val="false"/>
          <w:color w:val="000000"/>
          <w:vertAlign w:val="subscript"/>
        </w:rPr>
        <w:t>w</w:t>
      </w:r>
      <w:r>
        <w:rPr>
          <w:rFonts w:ascii="Times New Roman"/>
          <w:b w:val="false"/>
          <w:i w:val="false"/>
          <w:color w:val="000000"/>
          <w:sz w:val="28"/>
        </w:rPr>
        <w:t xml:space="preserve"> в районах эксплуатации и морского перехода. При этом для случая эксплуатации волновой коэффициент cw принимается не более 2(D + h</w:t>
      </w:r>
      <w:r>
        <w:rPr>
          <w:rFonts w:ascii="Times New Roman"/>
          <w:b w:val="false"/>
          <w:i w:val="false"/>
          <w:color w:val="000000"/>
          <w:vertAlign w:val="subscript"/>
        </w:rPr>
        <w:t>к</w:t>
      </w:r>
      <w:r>
        <w:rPr>
          <w:rFonts w:ascii="Times New Roman"/>
          <w:b w:val="false"/>
          <w:i w:val="false"/>
          <w:color w:val="000000"/>
          <w:sz w:val="28"/>
        </w:rPr>
        <w:t xml:space="preserve"> – d</w:t>
      </w:r>
      <w:r>
        <w:rPr>
          <w:rFonts w:ascii="Times New Roman"/>
          <w:b w:val="false"/>
          <w:i w:val="false"/>
          <w:color w:val="000000"/>
          <w:vertAlign w:val="subscript"/>
        </w:rPr>
        <w:t>1</w:t>
      </w:r>
      <w:r>
        <w:rPr>
          <w:rFonts w:ascii="Times New Roman"/>
          <w:b w:val="false"/>
          <w:i w:val="false"/>
          <w:color w:val="000000"/>
          <w:sz w:val="28"/>
        </w:rPr>
        <w:t>);</w:t>
      </w:r>
    </w:p>
    <w:bookmarkEnd w:id="2793"/>
    <w:bookmarkStart w:name="z2799" w:id="2794"/>
    <w:p>
      <w:pPr>
        <w:spacing w:after="0"/>
        <w:ind w:left="0"/>
        <w:jc w:val="both"/>
      </w:pPr>
      <w:r>
        <w:rPr>
          <w:rFonts w:ascii="Times New Roman"/>
          <w:b w:val="false"/>
          <w:i w:val="false"/>
          <w:color w:val="000000"/>
          <w:sz w:val="28"/>
        </w:rPr>
        <w:t>
      2). экстремальное значение расчетной нагрузки для оконечностей в условиях морского перехода определяется по параграфу 2 главы 22 настоящих Правил при осадке в сечении 0,1</w:t>
      </w:r>
      <w:r>
        <w:rPr>
          <w:rFonts w:ascii="Times New Roman"/>
          <w:b w:val="false"/>
          <w:i/>
          <w:color w:val="000000"/>
          <w:sz w:val="28"/>
        </w:rPr>
        <w:t>L</w:t>
      </w:r>
      <w:r>
        <w:rPr>
          <w:rFonts w:ascii="Times New Roman"/>
          <w:b w:val="false"/>
          <w:i w:val="false"/>
          <w:color w:val="000000"/>
          <w:sz w:val="28"/>
        </w:rPr>
        <w:t xml:space="preserve"> от носового перпендикуляра. Для транцевой переборки принимаются углы </w:t>
      </w:r>
    </w:p>
    <w:bookmarkEnd w:id="279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0 и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90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p>
    <w:bookmarkStart w:name="z2800" w:id="2795"/>
    <w:p>
      <w:pPr>
        <w:spacing w:after="0"/>
        <w:ind w:left="0"/>
        <w:jc w:val="both"/>
      </w:pPr>
      <w:r>
        <w:rPr>
          <w:rFonts w:ascii="Times New Roman"/>
          <w:b w:val="false"/>
          <w:i w:val="false"/>
          <w:color w:val="000000"/>
          <w:sz w:val="28"/>
        </w:rPr>
        <w:t>
      3). расчетные изгибающие моменты и перерезывающие силы у судов технического флота длиной 60 м и более определяются для случаев морского перехода и эксплуатации.</w:t>
      </w:r>
    </w:p>
    <w:bookmarkEnd w:id="2795"/>
    <w:bookmarkStart w:name="z2801" w:id="2796"/>
    <w:p>
      <w:pPr>
        <w:spacing w:after="0"/>
        <w:ind w:left="0"/>
        <w:jc w:val="both"/>
      </w:pPr>
      <w:r>
        <w:rPr>
          <w:rFonts w:ascii="Times New Roman"/>
          <w:b w:val="false"/>
          <w:i w:val="false"/>
          <w:color w:val="000000"/>
          <w:sz w:val="28"/>
        </w:rPr>
        <w:t>
      Для случая морского перехода грунтовой трюм принимается заполненным водой по действующую ватерлинию (или пустым, если такой случай возможен), запасы и снабжение приняты полностью, все устройства — в походном положении.</w:t>
      </w:r>
    </w:p>
    <w:bookmarkEnd w:id="2796"/>
    <w:bookmarkStart w:name="z2802" w:id="2797"/>
    <w:p>
      <w:pPr>
        <w:spacing w:after="0"/>
        <w:ind w:left="0"/>
        <w:jc w:val="both"/>
      </w:pPr>
      <w:r>
        <w:rPr>
          <w:rFonts w:ascii="Times New Roman"/>
          <w:b w:val="false"/>
          <w:i w:val="false"/>
          <w:color w:val="000000"/>
          <w:sz w:val="28"/>
        </w:rPr>
        <w:t>
      Для случая эксплуатации грунтовой трюм принимается заполненным однородным грунтом по верхний уровень перелива (комингса), запасы отсутствуют, осадка равна d</w:t>
      </w:r>
      <w:r>
        <w:rPr>
          <w:rFonts w:ascii="Times New Roman"/>
          <w:b w:val="false"/>
          <w:i w:val="false"/>
          <w:color w:val="000000"/>
          <w:vertAlign w:val="subscript"/>
        </w:rPr>
        <w:t>1</w:t>
      </w:r>
      <w:r>
        <w:rPr>
          <w:rFonts w:ascii="Times New Roman"/>
          <w:b w:val="false"/>
          <w:i w:val="false"/>
          <w:color w:val="000000"/>
          <w:sz w:val="28"/>
        </w:rPr>
        <w:t>, устройства — в походном состоянии.</w:t>
      </w:r>
    </w:p>
    <w:bookmarkEnd w:id="2797"/>
    <w:bookmarkStart w:name="z2803" w:id="2798"/>
    <w:p>
      <w:pPr>
        <w:spacing w:after="0"/>
        <w:ind w:left="0"/>
        <w:jc w:val="both"/>
      </w:pPr>
      <w:r>
        <w:rPr>
          <w:rFonts w:ascii="Times New Roman"/>
          <w:b w:val="false"/>
          <w:i w:val="false"/>
          <w:color w:val="000000"/>
          <w:sz w:val="28"/>
        </w:rPr>
        <w:t>
      Волновые изгибающие моменты и перерезывающие силы определяются согласно параграфу 3 главы 11 настоящих Правил.</w:t>
      </w:r>
    </w:p>
    <w:bookmarkEnd w:id="2798"/>
    <w:bookmarkStart w:name="z2804" w:id="2799"/>
    <w:p>
      <w:pPr>
        <w:spacing w:after="0"/>
        <w:ind w:left="0"/>
        <w:jc w:val="both"/>
      </w:pPr>
      <w:r>
        <w:rPr>
          <w:rFonts w:ascii="Times New Roman"/>
          <w:b w:val="false"/>
          <w:i w:val="false"/>
          <w:color w:val="000000"/>
          <w:sz w:val="28"/>
        </w:rPr>
        <w:t>
      718. Раскрывающиеся суда должны соответствовать следующим требованиям:</w:t>
      </w:r>
    </w:p>
    <w:bookmarkEnd w:id="2799"/>
    <w:bookmarkStart w:name="z2805" w:id="2800"/>
    <w:p>
      <w:pPr>
        <w:spacing w:after="0"/>
        <w:ind w:left="0"/>
        <w:jc w:val="both"/>
      </w:pPr>
      <w:r>
        <w:rPr>
          <w:rFonts w:ascii="Times New Roman"/>
          <w:b w:val="false"/>
          <w:i w:val="false"/>
          <w:color w:val="000000"/>
          <w:sz w:val="28"/>
        </w:rPr>
        <w:t xml:space="preserve">
      1) у раскрывающегося судна общий изгибающий момент на тихой воде и на волнении создается как вертикальными, так и горизонтальными силами. Изгибающие моменты рассчитываются вначале в системе координат </w:t>
      </w:r>
    </w:p>
    <w:bookmarkEnd w:id="2800"/>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Gu, а затем пересчитываются для главных осей инерции </w:t>
      </w:r>
      <w:r>
        <w:rPr>
          <w:rFonts w:ascii="Times New Roman"/>
          <w:b w:val="false"/>
          <w:i/>
          <w:color w:val="000000"/>
          <w:sz w:val="28"/>
        </w:rPr>
        <w:t>х</w:t>
      </w:r>
      <w:r>
        <w:rPr>
          <w:rFonts w:ascii="Times New Roman"/>
          <w:b w:val="false"/>
          <w:i w:val="false"/>
          <w:color w:val="000000"/>
          <w:sz w:val="28"/>
        </w:rPr>
        <w:t xml:space="preserve"> и </w:t>
      </w:r>
      <w:r>
        <w:rPr>
          <w:rFonts w:ascii="Times New Roman"/>
          <w:b w:val="false"/>
          <w:i/>
          <w:color w:val="000000"/>
          <w:sz w:val="28"/>
        </w:rPr>
        <w:t>у</w:t>
      </w:r>
      <w:r>
        <w:rPr>
          <w:rFonts w:ascii="Times New Roman"/>
          <w:b w:val="false"/>
          <w:i w:val="false"/>
          <w:color w:val="000000"/>
          <w:sz w:val="28"/>
        </w:rPr>
        <w:t xml:space="preserve"> каждого полукорпуса (приложение 99 настоящих Правил). Расчетным является случай полной загрузки грунтового трюма при наибольшей осадке судна. Рассматривается изгиб грунтового трюма каждого полукорпуса в отдельности. Палубные шарниры и гидроцилиндры предполагаются опорами, расположенными у концов грунтового трюма.</w:t>
      </w:r>
      <w:r>
        <w:br/>
      </w:r>
      <w:r>
        <w:rPr>
          <w:rFonts w:ascii="Times New Roman"/>
          <w:b w:val="false"/>
          <w:i w:val="false"/>
          <w:color w:val="000000"/>
          <w:sz w:val="28"/>
        </w:rPr>
        <w:t>
</w:t>
      </w:r>
    </w:p>
    <w:bookmarkStart w:name="z2806" w:id="2801"/>
    <w:p>
      <w:pPr>
        <w:spacing w:after="0"/>
        <w:ind w:left="0"/>
        <w:jc w:val="both"/>
      </w:pPr>
      <w:r>
        <w:rPr>
          <w:rFonts w:ascii="Times New Roman"/>
          <w:b w:val="false"/>
          <w:i w:val="false"/>
          <w:color w:val="000000"/>
          <w:sz w:val="28"/>
        </w:rPr>
        <w:t>
      Кроме того, рассматриваются следующие случаи:</w:t>
      </w:r>
    </w:p>
    <w:bookmarkEnd w:id="2801"/>
    <w:bookmarkStart w:name="z2807" w:id="2802"/>
    <w:p>
      <w:pPr>
        <w:spacing w:after="0"/>
        <w:ind w:left="0"/>
        <w:jc w:val="both"/>
      </w:pPr>
      <w:r>
        <w:rPr>
          <w:rFonts w:ascii="Times New Roman"/>
          <w:b w:val="false"/>
          <w:i w:val="false"/>
          <w:color w:val="000000"/>
          <w:sz w:val="28"/>
        </w:rPr>
        <w:t>
      плавание в районе эксплуатации с грунтом в трюме, устройства в походном состоянии;</w:t>
      </w:r>
    </w:p>
    <w:bookmarkEnd w:id="2802"/>
    <w:bookmarkStart w:name="z2808" w:id="2803"/>
    <w:p>
      <w:pPr>
        <w:spacing w:after="0"/>
        <w:ind w:left="0"/>
        <w:jc w:val="both"/>
      </w:pPr>
      <w:r>
        <w:rPr>
          <w:rFonts w:ascii="Times New Roman"/>
          <w:b w:val="false"/>
          <w:i w:val="false"/>
          <w:color w:val="000000"/>
          <w:sz w:val="28"/>
        </w:rPr>
        <w:t>
      морской переход с водой в трюме или в балласте (трюм порожний, если это технически возможно); запасы и снабжение приняты полностью, все устройства в походном состоянии;</w:t>
      </w:r>
    </w:p>
    <w:bookmarkEnd w:id="2803"/>
    <w:bookmarkStart w:name="z2809" w:id="2804"/>
    <w:p>
      <w:pPr>
        <w:spacing w:after="0"/>
        <w:ind w:left="0"/>
        <w:jc w:val="both"/>
      </w:pPr>
      <w:r>
        <w:rPr>
          <w:rFonts w:ascii="Times New Roman"/>
          <w:b w:val="false"/>
          <w:i w:val="false"/>
          <w:color w:val="000000"/>
          <w:sz w:val="28"/>
        </w:rPr>
        <w:t>
      2) вид опорных конструкций и зазор между двумя полукорпусами в носовой и кормовой оконечностях трюма определяют условия расчета горизонтальных моментов.</w:t>
      </w:r>
    </w:p>
    <w:bookmarkEnd w:id="2804"/>
    <w:bookmarkStart w:name="z2810" w:id="2805"/>
    <w:p>
      <w:pPr>
        <w:spacing w:after="0"/>
        <w:ind w:left="0"/>
        <w:jc w:val="both"/>
      </w:pPr>
      <w:r>
        <w:rPr>
          <w:rFonts w:ascii="Times New Roman"/>
          <w:b w:val="false"/>
          <w:i w:val="false"/>
          <w:color w:val="000000"/>
          <w:sz w:val="28"/>
        </w:rPr>
        <w:t>
      Если опорные конструкции, установленные на уровне палубы или днища в нос и в корму от грунтового трюма, обеспечивают отсутствие зазора между полукорпусами, а длина опорных конструкций создает достаточную заделку при действии поперек грунтового трюма горизонтальных сил, то расчет горизонтальных сил выполняется при условии, что у каждой оконечности грунтового трюма полукорпус жестко защемлен.</w:t>
      </w:r>
    </w:p>
    <w:bookmarkEnd w:id="2805"/>
    <w:bookmarkStart w:name="z2811" w:id="2806"/>
    <w:p>
      <w:pPr>
        <w:spacing w:after="0"/>
        <w:ind w:left="0"/>
        <w:jc w:val="both"/>
      </w:pPr>
      <w:r>
        <w:rPr>
          <w:rFonts w:ascii="Times New Roman"/>
          <w:b w:val="false"/>
          <w:i w:val="false"/>
          <w:color w:val="000000"/>
          <w:sz w:val="28"/>
        </w:rPr>
        <w:t>
      В противном случае считается, что полукорпус свободно оперт;</w:t>
      </w:r>
    </w:p>
    <w:bookmarkEnd w:id="2806"/>
    <w:bookmarkStart w:name="z2812" w:id="2807"/>
    <w:p>
      <w:pPr>
        <w:spacing w:after="0"/>
        <w:ind w:left="0"/>
        <w:jc w:val="both"/>
      </w:pPr>
      <w:r>
        <w:rPr>
          <w:rFonts w:ascii="Times New Roman"/>
          <w:b w:val="false"/>
          <w:i w:val="false"/>
          <w:color w:val="000000"/>
          <w:sz w:val="28"/>
        </w:rPr>
        <w:t>
      3) вертикальный изгибающий момент в любом сечении M</w:t>
      </w:r>
    </w:p>
    <w:bookmarkEnd w:id="2807"/>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кН•м, действующий на каждый полукорпус, определяется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0,5(M</w:t>
      </w:r>
      <w:r>
        <w:rPr>
          <w:rFonts w:ascii="Times New Roman"/>
          <w:b w:val="false"/>
          <w:i w:val="false"/>
          <w:color w:val="000000"/>
          <w:vertAlign w:val="subscript"/>
        </w:rPr>
        <w:t>swx</w:t>
      </w:r>
      <w:r>
        <w:rPr>
          <w:rFonts w:ascii="Times New Roman"/>
          <w:b w:val="false"/>
          <w:i w:val="false"/>
          <w:color w:val="000000"/>
          <w:sz w:val="28"/>
        </w:rPr>
        <w:t xml:space="preserve"> + М</w:t>
      </w:r>
      <w:r>
        <w:rPr>
          <w:rFonts w:ascii="Times New Roman"/>
          <w:b w:val="false"/>
          <w:i w:val="false"/>
          <w:color w:val="000000"/>
          <w:vertAlign w:val="subscript"/>
        </w:rPr>
        <w:t>wx</w:t>
      </w:r>
      <w:r>
        <w:rPr>
          <w:rFonts w:ascii="Times New Roman"/>
          <w:b w:val="false"/>
          <w:i w:val="false"/>
          <w:color w:val="000000"/>
          <w:sz w:val="28"/>
        </w:rPr>
        <w:t>),              (215)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swx</w:t>
      </w:r>
      <w:r>
        <w:rPr>
          <w:rFonts w:ascii="Times New Roman"/>
          <w:b w:val="false"/>
          <w:i w:val="false"/>
          <w:color w:val="000000"/>
          <w:sz w:val="28"/>
        </w:rPr>
        <w:t xml:space="preserve"> — изгибающий момент на тихой воде, определяемый интегрированием нагрузки судна с соединенными корпусами для случаев загрузки, указанных в подпункте 1) пункта 717 настоящих Правил, кН•м;</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wx</w:t>
      </w:r>
      <w:r>
        <w:rPr>
          <w:rFonts w:ascii="Times New Roman"/>
          <w:b w:val="false"/>
          <w:i w:val="false"/>
          <w:color w:val="000000"/>
          <w:sz w:val="28"/>
        </w:rPr>
        <w:t xml:space="preserve"> — волновой изгибающий момент для судна с соединенными корпусами, определенный по параграфу 3 главы 11 настоящих Правил, кН•м.</w:t>
      </w:r>
    </w:p>
    <w:bookmarkStart w:name="z2813" w:id="2808"/>
    <w:p>
      <w:pPr>
        <w:spacing w:after="0"/>
        <w:ind w:left="0"/>
        <w:jc w:val="both"/>
      </w:pPr>
      <w:r>
        <w:rPr>
          <w:rFonts w:ascii="Times New Roman"/>
          <w:b w:val="false"/>
          <w:i w:val="false"/>
          <w:color w:val="000000"/>
          <w:sz w:val="28"/>
        </w:rPr>
        <w:t>
      Вертикальные моменты считаются положительными при перегибе и отрицательными — при прогибе;</w:t>
      </w:r>
    </w:p>
    <w:bookmarkEnd w:id="2808"/>
    <w:bookmarkStart w:name="z2814" w:id="2809"/>
    <w:p>
      <w:pPr>
        <w:spacing w:after="0"/>
        <w:ind w:left="0"/>
        <w:jc w:val="both"/>
      </w:pPr>
      <w:r>
        <w:rPr>
          <w:rFonts w:ascii="Times New Roman"/>
          <w:b w:val="false"/>
          <w:i w:val="false"/>
          <w:color w:val="000000"/>
          <w:sz w:val="28"/>
        </w:rPr>
        <w:t>
      4) горизонтальный изгибающий момент М</w:t>
      </w:r>
      <w:r>
        <w:rPr>
          <w:rFonts w:ascii="Times New Roman"/>
          <w:b w:val="false"/>
          <w:i w:val="false"/>
          <w:color w:val="000000"/>
          <w:vertAlign w:val="subscript"/>
        </w:rPr>
        <w:t>hi</w:t>
      </w:r>
      <w:r>
        <w:rPr>
          <w:rFonts w:ascii="Times New Roman"/>
          <w:b w:val="false"/>
          <w:i w:val="false"/>
          <w:color w:val="000000"/>
          <w:sz w:val="28"/>
        </w:rPr>
        <w:t>, кН•м, действующий на каждый полукорпус, в сечениях посередине и у концов грунтового трюма определяется по формуле:</w:t>
      </w:r>
    </w:p>
    <w:bookmarkEnd w:id="280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hi</w:t>
      </w:r>
      <w:r>
        <w:rPr>
          <w:rFonts w:ascii="Times New Roman"/>
          <w:b w:val="false"/>
          <w:i w:val="false"/>
          <w:color w:val="000000"/>
          <w:sz w:val="28"/>
        </w:rPr>
        <w:t xml:space="preserve"> = </w:t>
      </w:r>
    </w:p>
    <w:p>
      <w:pPr>
        <w:spacing w:after="0"/>
        <w:ind w:left="0"/>
        <w:jc w:val="both"/>
      </w:pPr>
      <w:r>
        <w:drawing>
          <wp:inline distT="0" distB="0" distL="0" distR="0">
            <wp:extent cx="46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469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(216)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46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469900" cy="406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горизонтальные изгибающие моменты в рассматриваемом сечении на тихой воде и волнении соответственно, кН•м.</w:t>
      </w:r>
      <w:r>
        <w:br/>
      </w:r>
      <w:r>
        <w:rPr>
          <w:rFonts w:ascii="Times New Roman"/>
          <w:b w:val="false"/>
          <w:i w:val="false"/>
          <w:color w:val="000000"/>
          <w:sz w:val="28"/>
        </w:rPr>
        <w:t>
</w:t>
      </w:r>
    </w:p>
    <w:bookmarkStart w:name="z2815" w:id="2810"/>
    <w:p>
      <w:pPr>
        <w:spacing w:after="0"/>
        <w:ind w:left="0"/>
        <w:jc w:val="both"/>
      </w:pPr>
      <w:r>
        <w:rPr>
          <w:rFonts w:ascii="Times New Roman"/>
          <w:b w:val="false"/>
          <w:i w:val="false"/>
          <w:color w:val="000000"/>
          <w:sz w:val="28"/>
        </w:rPr>
        <w:t>
      Горизонтальные моменты считаются положительными, если внешний борт одного полукорпуса подвергается растягивающим напряжениям.</w:t>
      </w:r>
    </w:p>
    <w:bookmarkEnd w:id="2810"/>
    <w:bookmarkStart w:name="z2816" w:id="2811"/>
    <w:p>
      <w:pPr>
        <w:spacing w:after="0"/>
        <w:ind w:left="0"/>
        <w:jc w:val="both"/>
      </w:pPr>
      <w:r>
        <w:rPr>
          <w:rFonts w:ascii="Times New Roman"/>
          <w:b w:val="false"/>
          <w:i w:val="false"/>
          <w:color w:val="000000"/>
          <w:sz w:val="28"/>
        </w:rPr>
        <w:t>
      Горизонтальный момент, действующий на полукорпус, зависит от принятой заделки у концов трюма.</w:t>
      </w:r>
    </w:p>
    <w:bookmarkEnd w:id="2811"/>
    <w:bookmarkStart w:name="z2817" w:id="2812"/>
    <w:p>
      <w:pPr>
        <w:spacing w:after="0"/>
        <w:ind w:left="0"/>
        <w:jc w:val="both"/>
      </w:pPr>
      <w:r>
        <w:rPr>
          <w:rFonts w:ascii="Times New Roman"/>
          <w:b w:val="false"/>
          <w:i w:val="false"/>
          <w:color w:val="000000"/>
          <w:sz w:val="28"/>
        </w:rPr>
        <w:t>
      Если полукорпус у концов грунтового трюма считается жестко защемленным, горизонтальный момент определяется по следующим формулам:</w:t>
      </w:r>
    </w:p>
    <w:bookmarkEnd w:id="2812"/>
    <w:bookmarkStart w:name="z2818" w:id="2813"/>
    <w:p>
      <w:pPr>
        <w:spacing w:after="0"/>
        <w:ind w:left="0"/>
        <w:jc w:val="both"/>
      </w:pPr>
      <w:r>
        <w:rPr>
          <w:rFonts w:ascii="Times New Roman"/>
          <w:b w:val="false"/>
          <w:i w:val="false"/>
          <w:color w:val="000000"/>
          <w:sz w:val="28"/>
        </w:rPr>
        <w:t>
      на тихой воде:</w:t>
      </w:r>
    </w:p>
    <w:bookmarkEnd w:id="2813"/>
    <w:bookmarkStart w:name="z2819" w:id="2814"/>
    <w:p>
      <w:pPr>
        <w:spacing w:after="0"/>
        <w:ind w:left="0"/>
        <w:jc w:val="both"/>
      </w:pPr>
      <w:r>
        <w:rPr>
          <w:rFonts w:ascii="Times New Roman"/>
          <w:b w:val="false"/>
          <w:i w:val="false"/>
          <w:color w:val="000000"/>
          <w:sz w:val="28"/>
        </w:rPr>
        <w:t>
      в сечении посередине трюма</w:t>
      </w:r>
    </w:p>
    <w:bookmarkEnd w:id="2814"/>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swh</w:t>
      </w:r>
      <w:r>
        <w:rPr>
          <w:rFonts w:ascii="Times New Roman"/>
          <w:b w:val="false"/>
          <w:i w:val="false"/>
          <w:color w:val="000000"/>
          <w:sz w:val="28"/>
        </w:rPr>
        <w:t xml:space="preserve"> = 0,10</w:t>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(217)</w:t>
      </w:r>
      <w:r>
        <w:br/>
      </w:r>
      <w:r>
        <w:rPr>
          <w:rFonts w:ascii="Times New Roman"/>
          <w:b w:val="false"/>
          <w:i w:val="false"/>
          <w:color w:val="000000"/>
          <w:sz w:val="28"/>
        </w:rPr>
        <w:t>
</w:t>
      </w:r>
    </w:p>
    <w:bookmarkStart w:name="z2820" w:id="2815"/>
    <w:p>
      <w:pPr>
        <w:spacing w:after="0"/>
        <w:ind w:left="0"/>
        <w:jc w:val="both"/>
      </w:pPr>
      <w:r>
        <w:rPr>
          <w:rFonts w:ascii="Times New Roman"/>
          <w:b w:val="false"/>
          <w:i w:val="false"/>
          <w:color w:val="000000"/>
          <w:sz w:val="28"/>
        </w:rPr>
        <w:t>
      в сечениях у концов грунтового трюма</w:t>
      </w:r>
    </w:p>
    <w:bookmarkEnd w:id="2815"/>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swh</w:t>
      </w:r>
      <w:r>
        <w:rPr>
          <w:rFonts w:ascii="Times New Roman"/>
          <w:b w:val="false"/>
          <w:i w:val="false"/>
          <w:color w:val="000000"/>
          <w:sz w:val="28"/>
        </w:rPr>
        <w:t xml:space="preserve"> = -0,10pl</w:t>
      </w:r>
      <w:r>
        <w:rPr>
          <w:rFonts w:ascii="Times New Roman"/>
          <w:b w:val="false"/>
          <w:i w:val="false"/>
          <w:color w:val="000000"/>
          <w:vertAlign w:val="superscript"/>
        </w:rPr>
        <w:t>2</w:t>
      </w:r>
      <w:r>
        <w:rPr>
          <w:rFonts w:ascii="Times New Roman"/>
          <w:b w:val="false"/>
          <w:i w:val="false"/>
          <w:color w:val="000000"/>
          <w:sz w:val="28"/>
        </w:rPr>
        <w:t>,                  (218)</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0,5</w:t>
      </w:r>
      <w:r>
        <w:rPr>
          <w:rFonts w:ascii="Times New Roman"/>
          <w:b w:val="false"/>
          <w:i/>
          <w:color w:val="000000"/>
          <w:sz w:val="28"/>
        </w:rPr>
        <w:t>g</w:t>
      </w:r>
      <w:r>
        <w:rPr>
          <w:rFonts w:ascii="Times New Roman"/>
          <w:b w:val="false"/>
          <w:i w:val="false"/>
          <w:color w:val="000000"/>
          <w:sz w:val="28"/>
        </w:rPr>
        <w:t>(</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гp</w:t>
      </w:r>
      <w:r>
        <w:rPr>
          <w:rFonts w:ascii="Times New Roman"/>
          <w:b w:val="false"/>
          <w:i/>
          <w:color w:val="000000"/>
          <w:sz w:val="28"/>
        </w:rPr>
        <w:t>H</w:t>
      </w:r>
    </w:p>
    <w:p>
      <w:pPr>
        <w:spacing w:after="0"/>
        <w:ind w:left="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139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sz w:val="28"/>
        </w:rPr>
        <w:t>d</w:t>
      </w:r>
    </w:p>
    <w:p>
      <w:pPr>
        <w:spacing w:after="0"/>
        <w:ind w:left="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139700" cy="342900"/>
                    </a:xfrm>
                    <a:prstGeom prst="rect">
                      <a:avLst/>
                    </a:prstGeom>
                  </pic:spPr>
                </pic:pic>
              </a:graphicData>
            </a:graphic>
          </wp:inline>
        </w:drawing>
      </w:r>
    </w:p>
    <w:p>
      <w:pPr>
        <w:spacing w:after="0"/>
        <w:ind w:left="0"/>
        <w:jc w:val="left"/>
      </w:pPr>
      <w:r>
        <w:rPr>
          <w:rFonts w:ascii="Times New Roman"/>
          <w:b w:val="false"/>
          <w:i w:val="false"/>
          <w:color w:val="000000"/>
          <w:sz w:val="28"/>
        </w:rPr>
        <w:t>) (здесь р — в кН/м);</w:t>
      </w:r>
      <w:r>
        <w:br/>
      </w:r>
      <w:r>
        <w:rPr>
          <w:rFonts w:ascii="Times New Roman"/>
          <w:b w:val="false"/>
          <w:i w:val="false"/>
          <w:color w:val="000000"/>
          <w:sz w:val="28"/>
        </w:rPr>
        <w:t>
</w:t>
      </w:r>
    </w:p>
    <w:bookmarkStart w:name="z2821" w:id="2816"/>
    <w:p>
      <w:pPr>
        <w:spacing w:after="0"/>
        <w:ind w:left="0"/>
        <w:jc w:val="both"/>
      </w:pPr>
      <w:r>
        <w:rPr>
          <w:rFonts w:ascii="Times New Roman"/>
          <w:b w:val="false"/>
          <w:i w:val="false"/>
          <w:color w:val="000000"/>
          <w:sz w:val="28"/>
        </w:rPr>
        <w:t>
      на волнении:</w:t>
      </w:r>
    </w:p>
    <w:bookmarkEnd w:id="2816"/>
    <w:bookmarkStart w:name="z2822" w:id="2817"/>
    <w:p>
      <w:pPr>
        <w:spacing w:after="0"/>
        <w:ind w:left="0"/>
        <w:jc w:val="both"/>
      </w:pPr>
      <w:r>
        <w:rPr>
          <w:rFonts w:ascii="Times New Roman"/>
          <w:b w:val="false"/>
          <w:i w:val="false"/>
          <w:color w:val="000000"/>
          <w:sz w:val="28"/>
        </w:rPr>
        <w:t>
      в сечении посередине трюма</w:t>
      </w:r>
    </w:p>
    <w:bookmarkEnd w:id="2817"/>
    <w:p>
      <w:pPr>
        <w:spacing w:after="0"/>
        <w:ind w:left="0"/>
        <w:jc w:val="both"/>
      </w:pPr>
      <w:r>
        <w:rPr>
          <w:rFonts w:ascii="Times New Roman"/>
          <w:b w:val="false"/>
          <w:i w:val="false"/>
          <w:color w:val="000000"/>
          <w:sz w:val="28"/>
        </w:rPr>
        <w:t>
      M</w:t>
      </w:r>
      <w:r>
        <w:rPr>
          <w:rFonts w:ascii="Times New Roman"/>
          <w:b w:val="false"/>
          <w:i w:val="false"/>
          <w:color w:val="000000"/>
          <w:vertAlign w:val="subscript"/>
        </w:rPr>
        <w:t>wh</w:t>
      </w:r>
      <w:r>
        <w:rPr>
          <w:rFonts w:ascii="Times New Roman"/>
          <w:b w:val="false"/>
          <w:i w:val="false"/>
          <w:color w:val="000000"/>
          <w:sz w:val="28"/>
        </w:rPr>
        <w:t xml:space="preserve"> = M</w:t>
      </w:r>
      <w:r>
        <w:rPr>
          <w:rFonts w:ascii="Times New Roman"/>
          <w:b w:val="false"/>
          <w:i w:val="false"/>
          <w:color w:val="000000"/>
          <w:vertAlign w:val="subscript"/>
        </w:rPr>
        <w:t xml:space="preserve">wx </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393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p>
    <w:p>
      <w:pPr>
        <w:spacing w:after="0"/>
        <w:ind w:left="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419100"/>
                    </a:xfrm>
                    <a:prstGeom prst="rect">
                      <a:avLst/>
                    </a:prstGeom>
                  </pic:spPr>
                </pic:pic>
              </a:graphicData>
            </a:graphic>
          </wp:inline>
        </w:drawing>
      </w:r>
    </w:p>
    <w:p>
      <w:pPr>
        <w:spacing w:after="0"/>
        <w:ind w:left="0"/>
        <w:jc w:val="left"/>
      </w:pPr>
      <w:r>
        <w:rPr>
          <w:rFonts w:ascii="Times New Roman"/>
          <w:b w:val="false"/>
          <w:i w:val="false"/>
          <w:color w:val="000000"/>
          <w:sz w:val="28"/>
        </w:rPr>
        <w:t>);          (219)</w:t>
      </w:r>
      <w:r>
        <w:br/>
      </w:r>
      <w:r>
        <w:rPr>
          <w:rFonts w:ascii="Times New Roman"/>
          <w:b w:val="false"/>
          <w:i w:val="false"/>
          <w:color w:val="000000"/>
          <w:sz w:val="28"/>
        </w:rPr>
        <w:t>
</w:t>
      </w:r>
    </w:p>
    <w:bookmarkStart w:name="z2823" w:id="2818"/>
    <w:p>
      <w:pPr>
        <w:spacing w:after="0"/>
        <w:ind w:left="0"/>
        <w:jc w:val="both"/>
      </w:pPr>
      <w:r>
        <w:rPr>
          <w:rFonts w:ascii="Times New Roman"/>
          <w:b w:val="false"/>
          <w:i w:val="false"/>
          <w:color w:val="000000"/>
          <w:sz w:val="28"/>
        </w:rPr>
        <w:t>
      в сечениях у концов грунтового трюма</w:t>
      </w:r>
    </w:p>
    <w:bookmarkEnd w:id="2818"/>
    <w:p>
      <w:pPr>
        <w:spacing w:after="0"/>
        <w:ind w:left="0"/>
        <w:jc w:val="both"/>
      </w:pPr>
      <w:r>
        <w:rPr>
          <w:rFonts w:ascii="Times New Roman"/>
          <w:b w:val="false"/>
          <w:i w:val="false"/>
          <w:color w:val="000000"/>
          <w:sz w:val="28"/>
        </w:rPr>
        <w:t>
      M</w:t>
      </w:r>
      <w:r>
        <w:rPr>
          <w:rFonts w:ascii="Times New Roman"/>
          <w:b w:val="false"/>
          <w:i w:val="false"/>
          <w:color w:val="000000"/>
          <w:vertAlign w:val="subscript"/>
        </w:rPr>
        <w:t>wh</w:t>
      </w:r>
      <w:r>
        <w:rPr>
          <w:rFonts w:ascii="Times New Roman"/>
          <w:b w:val="false"/>
          <w:i w:val="false"/>
          <w:color w:val="000000"/>
          <w:sz w:val="28"/>
        </w:rPr>
        <w:t xml:space="preserve"> = – M</w:t>
      </w:r>
      <w:r>
        <w:rPr>
          <w:rFonts w:ascii="Times New Roman"/>
          <w:b w:val="false"/>
          <w:i w:val="false"/>
          <w:color w:val="000000"/>
          <w:vertAlign w:val="subscript"/>
        </w:rPr>
        <w:t xml:space="preserve">wx </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393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p>
    <w:p>
      <w:pPr>
        <w:spacing w:after="0"/>
        <w:ind w:left="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419100"/>
                    </a:xfrm>
                    <a:prstGeom prst="rect">
                      <a:avLst/>
                    </a:prstGeom>
                  </pic:spPr>
                </pic:pic>
              </a:graphicData>
            </a:graphic>
          </wp:inline>
        </w:drawing>
      </w:r>
    </w:p>
    <w:p>
      <w:pPr>
        <w:spacing w:after="0"/>
        <w:ind w:left="0"/>
        <w:jc w:val="left"/>
      </w:pPr>
      <w:r>
        <w:rPr>
          <w:rFonts w:ascii="Times New Roman"/>
          <w:b w:val="false"/>
          <w:i w:val="false"/>
          <w:color w:val="000000"/>
          <w:sz w:val="28"/>
        </w:rPr>
        <w:t>);        (220)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0,6</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0,103;</w:t>
      </w:r>
      <w:r>
        <w:br/>
      </w: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0,50</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0,100;</w:t>
      </w:r>
      <w:r>
        <w:br/>
      </w: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0,85</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0,112;</w:t>
      </w:r>
      <w:r>
        <w:br/>
      </w: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 0,37</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0,050;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w:t>
      </w:r>
      <w:r>
        <w:rPr>
          <w:rFonts w:ascii="Times New Roman"/>
          <w:b w:val="false"/>
          <w:i/>
          <w:color w:val="000000"/>
          <w:sz w:val="28"/>
        </w:rPr>
        <w:t>u</w:t>
      </w:r>
      <w:r>
        <w:rPr>
          <w:rFonts w:ascii="Times New Roman"/>
          <w:b w:val="false"/>
          <w:i w:val="false"/>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879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1879600" cy="584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1,35</w:t>
      </w:r>
      <w:r>
        <w:rPr>
          <w:rFonts w:ascii="Times New Roman"/>
          <w:b w:val="false"/>
          <w:i/>
          <w:color w:val="000000"/>
          <w:sz w:val="28"/>
        </w:rPr>
        <w:t>L</w:t>
      </w:r>
      <w:r>
        <w:rPr>
          <w:rFonts w:ascii="Times New Roman"/>
          <w:b w:val="false"/>
          <w:i w:val="false"/>
          <w:color w:val="000000"/>
          <w:sz w:val="28"/>
        </w:rPr>
        <w:t>/100 — 0,215.</w:t>
      </w:r>
    </w:p>
    <w:bookmarkStart w:name="z2824" w:id="2819"/>
    <w:p>
      <w:pPr>
        <w:spacing w:after="0"/>
        <w:ind w:left="0"/>
        <w:jc w:val="both"/>
      </w:pPr>
      <w:r>
        <w:rPr>
          <w:rFonts w:ascii="Times New Roman"/>
          <w:b w:val="false"/>
          <w:i w:val="false"/>
          <w:color w:val="000000"/>
          <w:sz w:val="28"/>
        </w:rPr>
        <w:t>
      В случае, если заделка полукорпуса у концов грунтового трюма отсутствует, горизонтальный момент в сечении посередине трюма определяется по формулам:</w:t>
      </w:r>
    </w:p>
    <w:bookmarkEnd w:id="2819"/>
    <w:bookmarkStart w:name="z2825" w:id="2820"/>
    <w:p>
      <w:pPr>
        <w:spacing w:after="0"/>
        <w:ind w:left="0"/>
        <w:jc w:val="both"/>
      </w:pPr>
      <w:r>
        <w:rPr>
          <w:rFonts w:ascii="Times New Roman"/>
          <w:b w:val="false"/>
          <w:i w:val="false"/>
          <w:color w:val="000000"/>
          <w:sz w:val="28"/>
        </w:rPr>
        <w:t>
      на тихой воде:</w:t>
      </w:r>
    </w:p>
    <w:bookmarkEnd w:id="2820"/>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w:t>
      </w:r>
      <w:r>
        <w:rPr>
          <w:rFonts w:ascii="Times New Roman"/>
          <w:b w:val="false"/>
          <w:i w:val="false"/>
          <w:color w:val="000000"/>
          <w:sz w:val="28"/>
        </w:rPr>
        <w:t xml:space="preserve"> = 0,15</w:t>
      </w:r>
    </w:p>
    <w:p>
      <w:pPr>
        <w:spacing w:after="0"/>
        <w:ind w:left="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342900" cy="317500"/>
                    </a:xfrm>
                    <a:prstGeom prst="rect">
                      <a:avLst/>
                    </a:prstGeom>
                  </pic:spPr>
                </pic:pic>
              </a:graphicData>
            </a:graphic>
          </wp:inline>
        </w:drawing>
      </w:r>
    </w:p>
    <w:p>
      <w:pPr>
        <w:spacing w:after="0"/>
        <w:ind w:left="0"/>
        <w:jc w:val="left"/>
      </w:pPr>
      <w:r>
        <w:rPr>
          <w:rFonts w:ascii="Times New Roman"/>
          <w:b w:val="false"/>
          <w:i w:val="false"/>
          <w:color w:val="000000"/>
          <w:sz w:val="28"/>
        </w:rPr>
        <w:t>;                     (221)</w:t>
      </w:r>
      <w:r>
        <w:br/>
      </w:r>
      <w:r>
        <w:rPr>
          <w:rFonts w:ascii="Times New Roman"/>
          <w:b w:val="false"/>
          <w:i w:val="false"/>
          <w:color w:val="000000"/>
          <w:sz w:val="28"/>
        </w:rPr>
        <w:t>
</w:t>
      </w:r>
    </w:p>
    <w:bookmarkStart w:name="z2826" w:id="2821"/>
    <w:p>
      <w:pPr>
        <w:spacing w:after="0"/>
        <w:ind w:left="0"/>
        <w:jc w:val="both"/>
      </w:pPr>
      <w:r>
        <w:rPr>
          <w:rFonts w:ascii="Times New Roman"/>
          <w:b w:val="false"/>
          <w:i w:val="false"/>
          <w:color w:val="000000"/>
          <w:sz w:val="28"/>
        </w:rPr>
        <w:t>
      на волнении:</w:t>
      </w:r>
    </w:p>
    <w:bookmarkEnd w:id="282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wh</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wx</w:t>
      </w:r>
      <w:r>
        <w:rPr>
          <w:rFonts w:ascii="Times New Roman"/>
          <w:b w:val="false"/>
          <w:i w:val="false"/>
          <w:color w:val="000000"/>
          <w:sz w:val="28"/>
        </w:rPr>
        <w:t xml:space="preserve"> </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5</w:t>
      </w:r>
    </w:p>
    <w:p>
      <w:pPr>
        <w:spacing w:after="0"/>
        <w:ind w:left="0"/>
        <w:jc w:val="both"/>
      </w:pPr>
      <w:r>
        <w:drawing>
          <wp:inline distT="0" distB="0" distL="0" distR="0">
            <wp:extent cx="228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419100"/>
                    </a:xfrm>
                    <a:prstGeom prst="rect">
                      <a:avLst/>
                    </a:prstGeom>
                  </pic:spPr>
                </pic:pic>
              </a:graphicData>
            </a:graphic>
          </wp:inline>
        </w:drawing>
      </w:r>
    </w:p>
    <w:p>
      <w:pPr>
        <w:spacing w:after="0"/>
        <w:ind w:left="0"/>
        <w:jc w:val="left"/>
      </w:pPr>
      <w:r>
        <w:rPr>
          <w:rFonts w:ascii="Times New Roman"/>
          <w:b w:val="false"/>
          <w:i w:val="false"/>
          <w:color w:val="000000"/>
          <w:sz w:val="28"/>
        </w:rPr>
        <w:t>);           (222)</w:t>
      </w:r>
      <w:r>
        <w:br/>
      </w:r>
      <w:r>
        <w:rPr>
          <w:rFonts w:ascii="Times New Roman"/>
          <w:b w:val="false"/>
          <w:i w:val="false"/>
          <w:color w:val="000000"/>
          <w:sz w:val="28"/>
        </w:rPr>
        <w:t>
</w:t>
      </w:r>
    </w:p>
    <w:bookmarkStart w:name="z2827" w:id="2822"/>
    <w:p>
      <w:pPr>
        <w:spacing w:after="0"/>
        <w:ind w:left="0"/>
        <w:jc w:val="both"/>
      </w:pPr>
      <w:r>
        <w:rPr>
          <w:rFonts w:ascii="Times New Roman"/>
          <w:b w:val="false"/>
          <w:i w:val="false"/>
          <w:color w:val="000000"/>
          <w:sz w:val="28"/>
        </w:rPr>
        <w:t>
      В сечениях у концов грунтового трюма горизонтальные изгибающие моменты на тихой воде и на волнении равны нулю.</w:t>
      </w:r>
    </w:p>
    <w:bookmarkEnd w:id="2822"/>
    <w:bookmarkStart w:name="z2828" w:id="2823"/>
    <w:p>
      <w:pPr>
        <w:spacing w:after="0"/>
        <w:ind w:left="0"/>
        <w:jc w:val="both"/>
      </w:pPr>
      <w:r>
        <w:rPr>
          <w:rFonts w:ascii="Times New Roman"/>
          <w:b w:val="false"/>
          <w:i w:val="false"/>
          <w:color w:val="000000"/>
          <w:sz w:val="28"/>
        </w:rPr>
        <w:t>
      Для определения знака M</w:t>
      </w:r>
      <w:r>
        <w:rPr>
          <w:rFonts w:ascii="Times New Roman"/>
          <w:b w:val="false"/>
          <w:i w:val="false"/>
          <w:color w:val="000000"/>
          <w:vertAlign w:val="subscript"/>
        </w:rPr>
        <w:t>wh</w:t>
      </w:r>
      <w:r>
        <w:rPr>
          <w:rFonts w:ascii="Times New Roman"/>
          <w:b w:val="false"/>
          <w:i w:val="false"/>
          <w:color w:val="000000"/>
          <w:sz w:val="28"/>
        </w:rPr>
        <w:t xml:space="preserve"> и M'</w:t>
      </w:r>
      <w:r>
        <w:rPr>
          <w:rFonts w:ascii="Times New Roman"/>
          <w:b w:val="false"/>
          <w:i w:val="false"/>
          <w:color w:val="000000"/>
          <w:vertAlign w:val="subscript"/>
        </w:rPr>
        <w:t>wh</w:t>
      </w:r>
      <w:r>
        <w:rPr>
          <w:rFonts w:ascii="Times New Roman"/>
          <w:b w:val="false"/>
          <w:i w:val="false"/>
          <w:color w:val="000000"/>
          <w:sz w:val="28"/>
        </w:rPr>
        <w:t xml:space="preserve"> следует учитывать знак M</w:t>
      </w:r>
      <w:r>
        <w:rPr>
          <w:rFonts w:ascii="Times New Roman"/>
          <w:b w:val="false"/>
          <w:i w:val="false"/>
          <w:color w:val="000000"/>
          <w:vertAlign w:val="subscript"/>
        </w:rPr>
        <w:t>wx</w:t>
      </w:r>
      <w:r>
        <w:rPr>
          <w:rFonts w:ascii="Times New Roman"/>
          <w:b w:val="false"/>
          <w:i w:val="false"/>
          <w:color w:val="000000"/>
          <w:sz w:val="28"/>
        </w:rPr>
        <w:t>.</w:t>
      </w:r>
    </w:p>
    <w:bookmarkEnd w:id="2823"/>
    <w:bookmarkStart w:name="z2829" w:id="2824"/>
    <w:p>
      <w:pPr>
        <w:spacing w:after="0"/>
        <w:ind w:left="0"/>
        <w:jc w:val="both"/>
      </w:pPr>
      <w:r>
        <w:rPr>
          <w:rFonts w:ascii="Times New Roman"/>
          <w:b w:val="false"/>
          <w:i w:val="false"/>
          <w:color w:val="000000"/>
          <w:sz w:val="28"/>
        </w:rPr>
        <w:t>
      Принимается, что на морском переходе M</w:t>
      </w:r>
      <w:r>
        <w:rPr>
          <w:rFonts w:ascii="Times New Roman"/>
          <w:b w:val="false"/>
          <w:i w:val="false"/>
          <w:color w:val="000000"/>
          <w:vertAlign w:val="subscript"/>
        </w:rPr>
        <w:t>swh</w:t>
      </w:r>
      <w:r>
        <w:rPr>
          <w:rFonts w:ascii="Times New Roman"/>
          <w:b w:val="false"/>
          <w:i w:val="false"/>
          <w:color w:val="000000"/>
          <w:sz w:val="28"/>
        </w:rPr>
        <w:t>, и M'</w:t>
      </w:r>
      <w:r>
        <w:rPr>
          <w:rFonts w:ascii="Times New Roman"/>
          <w:b w:val="false"/>
          <w:i w:val="false"/>
          <w:color w:val="000000"/>
          <w:vertAlign w:val="subscript"/>
        </w:rPr>
        <w:t>swh</w:t>
      </w:r>
      <w:r>
        <w:rPr>
          <w:rFonts w:ascii="Times New Roman"/>
          <w:b w:val="false"/>
          <w:i w:val="false"/>
          <w:color w:val="000000"/>
          <w:sz w:val="28"/>
        </w:rPr>
        <w:t xml:space="preserve"> равны нулю независимо от условий заделки.</w:t>
      </w:r>
    </w:p>
    <w:bookmarkEnd w:id="2824"/>
    <w:bookmarkStart w:name="z2830" w:id="2825"/>
    <w:p>
      <w:pPr>
        <w:spacing w:after="0"/>
        <w:ind w:left="0"/>
        <w:jc w:val="both"/>
      </w:pPr>
      <w:r>
        <w:rPr>
          <w:rFonts w:ascii="Times New Roman"/>
          <w:b w:val="false"/>
          <w:i w:val="false"/>
          <w:color w:val="000000"/>
          <w:sz w:val="28"/>
        </w:rPr>
        <w:t>
      719. Изгибающие моменты, действующие на корпус плавучего крана, определяются для случаев работы в районе эксплуатации и морского перехода.</w:t>
      </w:r>
    </w:p>
    <w:bookmarkEnd w:id="2825"/>
    <w:bookmarkStart w:name="z2831" w:id="2826"/>
    <w:p>
      <w:pPr>
        <w:spacing w:after="0"/>
        <w:ind w:left="0"/>
        <w:jc w:val="both"/>
      </w:pPr>
      <w:r>
        <w:rPr>
          <w:rFonts w:ascii="Times New Roman"/>
          <w:b w:val="false"/>
          <w:i w:val="false"/>
          <w:color w:val="000000"/>
          <w:sz w:val="28"/>
        </w:rPr>
        <w:t>
      Для случая работы в районе эксплуатации расчетный вертикальный изгибающий момент М</w:t>
      </w:r>
      <w:r>
        <w:rPr>
          <w:rFonts w:ascii="Times New Roman"/>
          <w:b w:val="false"/>
          <w:i w:val="false"/>
          <w:color w:val="000000"/>
          <w:vertAlign w:val="subscript"/>
        </w:rPr>
        <w:t>экспл</w:t>
      </w:r>
      <w:r>
        <w:rPr>
          <w:rFonts w:ascii="Times New Roman"/>
          <w:b w:val="false"/>
          <w:i w:val="false"/>
          <w:color w:val="000000"/>
          <w:sz w:val="28"/>
        </w:rPr>
        <w:t>, кН•м, определяется по формуле:</w:t>
      </w:r>
    </w:p>
    <w:bookmarkEnd w:id="282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экспл</w:t>
      </w:r>
      <w:r>
        <w:rPr>
          <w:rFonts w:ascii="Times New Roman"/>
          <w:b w:val="false"/>
          <w:i w:val="false"/>
          <w:color w:val="000000"/>
          <w:sz w:val="28"/>
        </w:rPr>
        <w:t xml:space="preserve"> = M</w:t>
      </w:r>
      <w:r>
        <w:rPr>
          <w:rFonts w:ascii="Times New Roman"/>
          <w:b w:val="false"/>
          <w:i w:val="false"/>
          <w:color w:val="000000"/>
          <w:vertAlign w:val="subscript"/>
        </w:rPr>
        <w:t>sw</w:t>
      </w:r>
      <w:r>
        <w:rPr>
          <w:rFonts w:ascii="Times New Roman"/>
          <w:b w:val="false"/>
          <w:i w:val="false"/>
          <w:color w:val="000000"/>
          <w:sz w:val="28"/>
        </w:rPr>
        <w:t xml:space="preserve"> + M</w:t>
      </w:r>
      <w:r>
        <w:rPr>
          <w:rFonts w:ascii="Times New Roman"/>
          <w:b w:val="false"/>
          <w:i w:val="false"/>
          <w:color w:val="000000"/>
          <w:vertAlign w:val="subscript"/>
        </w:rPr>
        <w:t>g</w:t>
      </w:r>
      <w:r>
        <w:rPr>
          <w:rFonts w:ascii="Times New Roman"/>
          <w:b w:val="false"/>
          <w:i w:val="false"/>
          <w:color w:val="000000"/>
          <w:sz w:val="28"/>
        </w:rPr>
        <w:t xml:space="preserve"> + M</w:t>
      </w:r>
      <w:r>
        <w:rPr>
          <w:rFonts w:ascii="Times New Roman"/>
          <w:b w:val="false"/>
          <w:i w:val="false"/>
          <w:color w:val="000000"/>
          <w:vertAlign w:val="subscript"/>
        </w:rPr>
        <w:t>w</w:t>
      </w:r>
      <w:r>
        <w:rPr>
          <w:rFonts w:ascii="Times New Roman"/>
          <w:b w:val="false"/>
          <w:i w:val="false"/>
          <w:color w:val="000000"/>
          <w:sz w:val="28"/>
        </w:rPr>
        <w:t>,             (223)</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sw</w:t>
      </w:r>
      <w:r>
        <w:rPr>
          <w:rFonts w:ascii="Times New Roman"/>
          <w:b w:val="false"/>
          <w:i w:val="false"/>
          <w:color w:val="000000"/>
          <w:sz w:val="28"/>
        </w:rPr>
        <w:t xml:space="preserve"> — изгибающий момент на тихой воде согласно параграфу 2 главы 11 настоящих Правил, кН•м;</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g</w:t>
      </w:r>
      <w:r>
        <w:rPr>
          <w:rFonts w:ascii="Times New Roman"/>
          <w:b w:val="false"/>
          <w:i w:val="false"/>
          <w:color w:val="000000"/>
          <w:sz w:val="28"/>
        </w:rPr>
        <w:t xml:space="preserve"> — изгибающий момент от массы груза, подвешенного на гаке плавкрана, кН•м. В условиях морского перехода M</w:t>
      </w:r>
      <w:r>
        <w:rPr>
          <w:rFonts w:ascii="Times New Roman"/>
          <w:b w:val="false"/>
          <w:i w:val="false"/>
          <w:color w:val="000000"/>
          <w:vertAlign w:val="subscript"/>
        </w:rPr>
        <w:t>g</w:t>
      </w:r>
      <w:r>
        <w:rPr>
          <w:rFonts w:ascii="Times New Roman"/>
          <w:b w:val="false"/>
          <w:i w:val="false"/>
          <w:color w:val="000000"/>
          <w:sz w:val="28"/>
        </w:rPr>
        <w:t xml:space="preserve"> принимается равным нулю;</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w:t>
      </w:r>
      <w:r>
        <w:rPr>
          <w:rFonts w:ascii="Times New Roman"/>
          <w:b w:val="false"/>
          <w:i w:val="false"/>
          <w:color w:val="000000"/>
          <w:sz w:val="28"/>
        </w:rPr>
        <w:t xml:space="preserve"> — изгибающий момент на волнении для районов эксплуатации и морского перехода, определяемый по согласованной с Регистром судоходства методике для установленных длины и высоты волны.</w:t>
      </w:r>
    </w:p>
    <w:bookmarkStart w:name="z2832" w:id="2827"/>
    <w:p>
      <w:pPr>
        <w:spacing w:after="0"/>
        <w:ind w:left="0"/>
        <w:jc w:val="both"/>
      </w:pPr>
      <w:r>
        <w:rPr>
          <w:rFonts w:ascii="Times New Roman"/>
          <w:b w:val="false"/>
          <w:i w:val="false"/>
          <w:color w:val="000000"/>
          <w:sz w:val="28"/>
        </w:rPr>
        <w:t xml:space="preserve">
      720. Расчетное давление </w:t>
      </w:r>
    </w:p>
    <w:bookmarkEnd w:id="2827"/>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val="false"/>
          <w:color w:val="000000"/>
          <w:sz w:val="28"/>
        </w:rPr>
        <w:t>, кПа, на переборки, ограничивающие грунтовой трюм, на конструкции закрытой водонепроницаемой килевой балки определяется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гр</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val="false"/>
          <w:color w:val="000000"/>
          <w:sz w:val="28"/>
        </w:rPr>
        <w:t>gz</w:t>
      </w:r>
      <w:r>
        <w:rPr>
          <w:rFonts w:ascii="Times New Roman"/>
          <w:b w:val="false"/>
          <w:i w:val="false"/>
          <w:color w:val="000000"/>
          <w:vertAlign w:val="subscript"/>
        </w:rPr>
        <w:t>i</w:t>
      </w:r>
      <w:r>
        <w:rPr>
          <w:rFonts w:ascii="Times New Roman"/>
          <w:b w:val="false"/>
          <w:i w:val="false"/>
          <w:color w:val="000000"/>
          <w:sz w:val="28"/>
        </w:rPr>
        <w:t>,                      (224)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i</w:t>
      </w:r>
      <w:r>
        <w:rPr>
          <w:rFonts w:ascii="Times New Roman"/>
          <w:b w:val="false"/>
          <w:i w:val="false"/>
          <w:color w:val="000000"/>
          <w:sz w:val="28"/>
        </w:rPr>
        <w:t xml:space="preserve"> — отстояние точки приложения нагрузки от верхнего уровня перелива (верхней кромки комингса), м.</w:t>
      </w:r>
    </w:p>
    <w:bookmarkStart w:name="z2833" w:id="2828"/>
    <w:p>
      <w:pPr>
        <w:spacing w:after="0"/>
        <w:ind w:left="0"/>
        <w:jc w:val="both"/>
      </w:pPr>
      <w:r>
        <w:rPr>
          <w:rFonts w:ascii="Times New Roman"/>
          <w:b w:val="false"/>
          <w:i w:val="false"/>
          <w:color w:val="000000"/>
          <w:sz w:val="28"/>
        </w:rPr>
        <w:t xml:space="preserve">
      721. Расчетная нагрузка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кПа, на полупереборку (диафрагму) или кольцевую раму бортового отсека на уровне полувысоты трюмного флота от давления грунта с учетом внешнего противодавления определяется по формуле:</w:t>
      </w:r>
    </w:p>
    <w:bookmarkEnd w:id="282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sz w:val="28"/>
        </w:rPr>
        <w:t>(0,8P</w:t>
      </w:r>
      <w:r>
        <w:rPr>
          <w:rFonts w:ascii="Times New Roman"/>
          <w:b w:val="false"/>
          <w:i w:val="false"/>
          <w:color w:val="000000"/>
          <w:vertAlign w:val="subscript"/>
        </w:rPr>
        <w:t>гр</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 1,5</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0,1</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color w:val="000000"/>
          <w:sz w:val="28"/>
        </w:rPr>
        <w:t>Н</w:t>
      </w:r>
      <w:r>
        <w:rPr>
          <w:rFonts w:ascii="Times New Roman"/>
          <w:b w:val="false"/>
          <w:i w:val="false"/>
          <w:color w:val="000000"/>
          <w:vertAlign w:val="subscript"/>
        </w:rPr>
        <w:t>1</w:t>
      </w:r>
    </w:p>
    <w:p>
      <w:pPr>
        <w:spacing w:after="0"/>
        <w:ind w:left="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114300" cy="152400"/>
                    </a:xfrm>
                    <a:prstGeom prst="rect">
                      <a:avLst/>
                    </a:prstGeom>
                  </pic:spPr>
                </pic:pic>
              </a:graphicData>
            </a:graphic>
          </wp:inline>
        </w:drawing>
      </w:r>
    </w:p>
    <w:p>
      <w:pPr>
        <w:spacing w:after="0"/>
        <w:ind w:left="0"/>
        <w:jc w:val="left"/>
      </w:pPr>
      <w:r>
        <w:rPr>
          <w:rFonts w:ascii="Times New Roman"/>
          <w:b w:val="false"/>
          <w:i w:val="false"/>
          <w:color w:val="000000"/>
          <w:sz w:val="28"/>
        </w:rPr>
        <w:t>),     (2257)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1143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при D </w:t>
      </w:r>
      <w:r>
        <w:rPr>
          <w:rFonts w:ascii="Times New Roman"/>
          <w:b w:val="false"/>
          <w:i w:val="false"/>
          <w:color w:val="000000"/>
          <w:sz w:val="28"/>
          <w:u w:val="single"/>
        </w:rPr>
        <w:t>&lt;</w:t>
      </w:r>
      <w:r>
        <w:rPr>
          <w:rFonts w:ascii="Times New Roman"/>
          <w:b w:val="false"/>
          <w:i w:val="false"/>
          <w:color w:val="000000"/>
          <w:sz w:val="28"/>
        </w:rPr>
        <w:t xml:space="preserve"> 4 м;</w:t>
      </w:r>
      <w:r>
        <w:br/>
      </w:r>
      <w:r>
        <w:rPr>
          <w:rFonts w:ascii="Times New Roman"/>
          <w:b w:val="false"/>
          <w:i w:val="false"/>
          <w:color w:val="000000"/>
          <w:sz w:val="28"/>
        </w:rPr>
        <w:t>
</w:t>
      </w:r>
      <w:r>
        <w:br/>
      </w:r>
    </w:p>
    <w:p>
      <w:pPr>
        <w:spacing w:after="0"/>
        <w:ind w:left="0"/>
        <w:jc w:val="both"/>
      </w:pPr>
      <w:r>
        <w:drawing>
          <wp:inline distT="0" distB="0" distL="0" distR="0">
            <wp:extent cx="247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476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4" w:id="2829"/>
    <w:p>
      <w:pPr>
        <w:spacing w:after="0"/>
        <w:ind w:left="0"/>
        <w:jc w:val="both"/>
      </w:pPr>
      <w:r>
        <w:rPr>
          <w:rFonts w:ascii="Times New Roman"/>
          <w:b w:val="false"/>
          <w:i w:val="false"/>
          <w:color w:val="000000"/>
          <w:sz w:val="28"/>
        </w:rPr>
        <w:t xml:space="preserve">
      722. Расчетная нагрузка </w:t>
      </w:r>
      <w:r>
        <w:rPr>
          <w:rFonts w:ascii="Times New Roman"/>
          <w:b w:val="false"/>
          <w:i/>
          <w:color w:val="000000"/>
          <w:sz w:val="28"/>
        </w:rPr>
        <w:t>р</w:t>
      </w:r>
      <w:r>
        <w:rPr>
          <w:rFonts w:ascii="Times New Roman"/>
          <w:b w:val="false"/>
          <w:i w:val="false"/>
          <w:color w:val="000000"/>
          <w:vertAlign w:val="superscript"/>
        </w:rPr>
        <w:t>2</w:t>
      </w:r>
      <w:r>
        <w:rPr>
          <w:rFonts w:ascii="Times New Roman"/>
          <w:b w:val="false"/>
          <w:i w:val="false"/>
          <w:color w:val="000000"/>
          <w:sz w:val="28"/>
        </w:rPr>
        <w:t>, кПа, действующая в вертикальной плоскости от давления грунта с учетом противодавления воды на трюмный флор, определяется по формуле:</w:t>
      </w:r>
    </w:p>
    <w:bookmarkEnd w:id="28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4089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(226)</w:t>
      </w:r>
      <w:r>
        <w:br/>
      </w:r>
      <w:r>
        <w:rPr>
          <w:rFonts w:ascii="Times New Roman"/>
          <w:b w:val="false"/>
          <w:i w:val="false"/>
          <w:color w:val="000000"/>
          <w:sz w:val="28"/>
        </w:rPr>
        <w:t>
</w:t>
      </w:r>
    </w:p>
    <w:bookmarkStart w:name="z2835" w:id="2830"/>
    <w:p>
      <w:pPr>
        <w:spacing w:after="0"/>
        <w:ind w:left="0"/>
        <w:jc w:val="both"/>
      </w:pPr>
      <w:r>
        <w:rPr>
          <w:rFonts w:ascii="Times New Roman"/>
          <w:b w:val="false"/>
          <w:i w:val="false"/>
          <w:color w:val="000000"/>
          <w:sz w:val="28"/>
        </w:rPr>
        <w:t>
      723. Расчетная нагрузка р</w:t>
      </w:r>
      <w:r>
        <w:rPr>
          <w:rFonts w:ascii="Times New Roman"/>
          <w:b w:val="false"/>
          <w:i w:val="false"/>
          <w:color w:val="000000"/>
          <w:vertAlign w:val="subscript"/>
        </w:rPr>
        <w:t>3</w:t>
      </w:r>
      <w:r>
        <w:rPr>
          <w:rFonts w:ascii="Times New Roman"/>
          <w:b w:val="false"/>
          <w:i w:val="false"/>
          <w:color w:val="000000"/>
          <w:sz w:val="28"/>
        </w:rPr>
        <w:t>, кПа, действующая в горизонтальной плоскости от давления грунта на пояски трюмного флора, определяется по формулам:</w:t>
      </w:r>
    </w:p>
    <w:bookmarkEnd w:id="2830"/>
    <w:p>
      <w:pPr>
        <w:spacing w:after="0"/>
        <w:ind w:left="0"/>
        <w:jc w:val="both"/>
      </w:pPr>
      <w:r>
        <w:rPr>
          <w:rFonts w:ascii="Times New Roman"/>
          <w:b w:val="false"/>
          <w:i w:val="false"/>
          <w:color w:val="000000"/>
          <w:sz w:val="28"/>
        </w:rPr>
        <w:t>
      для верхнего пояска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15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152400" cy="368300"/>
                    </a:xfrm>
                    <a:prstGeom prst="rect">
                      <a:avLst/>
                    </a:prstGeom>
                  </pic:spPr>
                </pic:pic>
              </a:graphicData>
            </a:graphic>
          </wp:inline>
        </w:drawing>
      </w:r>
    </w:p>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т.ф.</w:t>
      </w:r>
      <w:r>
        <w:rPr>
          <w:rFonts w:ascii="Times New Roman"/>
          <w:b w:val="false"/>
          <w:i w:val="false"/>
          <w:color w:val="000000"/>
          <w:sz w:val="28"/>
        </w:rPr>
        <w:t>;                  (227)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нижнего пояска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165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165100" cy="546100"/>
                    </a:xfrm>
                    <a:prstGeom prst="rect">
                      <a:avLst/>
                    </a:prstGeom>
                  </pic:spPr>
                </pic:pic>
              </a:graphicData>
            </a:graphic>
          </wp:inline>
        </w:drawing>
      </w:r>
    </w:p>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т.ф.</w:t>
      </w:r>
      <w:r>
        <w:rPr>
          <w:rFonts w:ascii="Times New Roman"/>
          <w:b w:val="false"/>
          <w:i w:val="false"/>
          <w:color w:val="000000"/>
          <w:sz w:val="28"/>
        </w:rPr>
        <w:t>;                  (228)</w:t>
      </w:r>
      <w:r>
        <w:br/>
      </w:r>
      <w:r>
        <w:rPr>
          <w:rFonts w:ascii="Times New Roman"/>
          <w:b w:val="false"/>
          <w:i w:val="false"/>
          <w:color w:val="000000"/>
          <w:sz w:val="28"/>
        </w:rPr>
        <w:t>
</w:t>
      </w:r>
    </w:p>
    <w:bookmarkStart w:name="z2836" w:id="2831"/>
    <w:p>
      <w:pPr>
        <w:spacing w:after="0"/>
        <w:ind w:left="0"/>
        <w:jc w:val="both"/>
      </w:pPr>
      <w:r>
        <w:rPr>
          <w:rFonts w:ascii="Times New Roman"/>
          <w:b w:val="false"/>
          <w:i w:val="false"/>
          <w:color w:val="000000"/>
          <w:sz w:val="28"/>
        </w:rPr>
        <w:t>
      724. Расчетная нагрузка р</w:t>
      </w:r>
      <w:r>
        <w:rPr>
          <w:rFonts w:ascii="Times New Roman"/>
          <w:b w:val="false"/>
          <w:i w:val="false"/>
          <w:color w:val="000000"/>
          <w:vertAlign w:val="subscript"/>
        </w:rPr>
        <w:t>4</w:t>
      </w:r>
      <w:r>
        <w:rPr>
          <w:rFonts w:ascii="Times New Roman"/>
          <w:b w:val="false"/>
          <w:i w:val="false"/>
          <w:color w:val="000000"/>
          <w:sz w:val="28"/>
        </w:rPr>
        <w:t>, кПа, на элементы набора и обшивку комингса грунтового трюма определяется по формуле:</w:t>
      </w:r>
    </w:p>
    <w:bookmarkEnd w:id="283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4</w:t>
      </w:r>
      <w:r>
        <w:rPr>
          <w:rFonts w:ascii="Times New Roman"/>
          <w:b w:val="false"/>
          <w:i w:val="false"/>
          <w:color w:val="000000"/>
          <w:sz w:val="28"/>
        </w:rPr>
        <w:t xml:space="preserve"> = </w:t>
      </w:r>
    </w:p>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 xml:space="preserve">k </w:t>
      </w:r>
      <w:r>
        <w:rPr>
          <w:rFonts w:ascii="Times New Roman"/>
          <w:b w:val="false"/>
          <w:i w:val="false"/>
          <w:color w:val="000000"/>
          <w:sz w:val="28"/>
        </w:rPr>
        <w:t>,                      (229)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 не менее 15 кПа.</w:t>
      </w:r>
    </w:p>
    <w:bookmarkStart w:name="z2837" w:id="2832"/>
    <w:p>
      <w:pPr>
        <w:spacing w:after="0"/>
        <w:ind w:left="0"/>
        <w:jc w:val="both"/>
      </w:pPr>
      <w:r>
        <w:rPr>
          <w:rFonts w:ascii="Times New Roman"/>
          <w:b w:val="false"/>
          <w:i w:val="false"/>
          <w:color w:val="000000"/>
          <w:sz w:val="28"/>
        </w:rPr>
        <w:t xml:space="preserve">
      725. Расчетная осевая сила </w:t>
      </w:r>
      <w:r>
        <w:rPr>
          <w:rFonts w:ascii="Times New Roman"/>
          <w:b w:val="false"/>
          <w:i/>
          <w:color w:val="000000"/>
          <w:sz w:val="28"/>
        </w:rPr>
        <w:t>N</w:t>
      </w:r>
      <w:r>
        <w:rPr>
          <w:rFonts w:ascii="Times New Roman"/>
          <w:b w:val="false"/>
          <w:i w:val="false"/>
          <w:color w:val="000000"/>
          <w:sz w:val="28"/>
        </w:rPr>
        <w:t>, кН, действующая на уровне полувысоты трюмного флора на диафрагму или поперечную раму бортового отсека, определяется по формуле:</w:t>
      </w:r>
    </w:p>
    <w:bookmarkEnd w:id="283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gbH</w:t>
      </w:r>
      <w:r>
        <w:rPr>
          <w:rFonts w:ascii="Times New Roman"/>
          <w:b w:val="false"/>
          <w:i w:val="false"/>
          <w:color w:val="000000"/>
          <w:vertAlign w:val="subscript"/>
        </w:rPr>
        <w:t>1</w:t>
      </w:r>
      <w:r>
        <w:rPr>
          <w:rFonts w:ascii="Times New Roman"/>
          <w:b w:val="false"/>
          <w:i w:val="false"/>
          <w:color w:val="000000"/>
          <w:sz w:val="28"/>
        </w:rPr>
        <w:t>[0,40</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+ 0,63</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0,03</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1</w:t>
      </w:r>
      <w:r>
        <w:rPr>
          <w:rFonts w:ascii="Times New Roman"/>
          <w:b w:val="false"/>
          <w:i/>
          <w:color w:val="000000"/>
          <w:sz w:val="28"/>
        </w:rPr>
        <w:t>m</w:t>
      </w:r>
      <w:r>
        <w:rPr>
          <w:rFonts w:ascii="Times New Roman"/>
          <w:b w:val="false"/>
          <w:i w:val="false"/>
          <w:color w:val="000000"/>
          <w:sz w:val="28"/>
        </w:rPr>
        <w:t>],      (230)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0 при D </w:t>
      </w:r>
      <w:r>
        <w:rPr>
          <w:rFonts w:ascii="Times New Roman"/>
          <w:b w:val="false"/>
          <w:i/>
          <w:color w:val="000000"/>
          <w:sz w:val="28"/>
        </w:rPr>
        <w:t>&lt;</w:t>
      </w:r>
      <w:r>
        <w:rPr>
          <w:rFonts w:ascii="Times New Roman"/>
          <w:b w:val="false"/>
          <w:i w:val="false"/>
          <w:color w:val="000000"/>
          <w:sz w:val="28"/>
        </w:rPr>
        <w:t xml:space="preserve"> 3,5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 при D &gt; 3,5 м,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/D </w:t>
      </w:r>
      <w:r>
        <w:rPr>
          <w:rFonts w:ascii="Times New Roman"/>
          <w:b w:val="false"/>
          <w:i/>
          <w:color w:val="000000"/>
          <w:sz w:val="28"/>
        </w:rPr>
        <w:t>&lt;</w:t>
      </w:r>
      <w:r>
        <w:rPr>
          <w:rFonts w:ascii="Times New Roman"/>
          <w:b w:val="false"/>
          <w:i w:val="false"/>
          <w:color w:val="000000"/>
          <w:sz w:val="28"/>
        </w:rPr>
        <w:t xml:space="preserve"> 0,75;</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(9</w:t>
      </w:r>
      <w:r>
        <w:rPr>
          <w:rFonts w:ascii="Times New Roman"/>
          <w:b w:val="false"/>
          <w:i/>
          <w:color w:val="000000"/>
          <w:sz w:val="28"/>
        </w:rPr>
        <w:t>D</w:t>
      </w:r>
      <w:r>
        <w:rPr>
          <w:rFonts w:ascii="Times New Roman"/>
          <w:b w:val="false"/>
          <w:i w:val="false"/>
          <w:color w:val="000000"/>
          <w:sz w:val="28"/>
        </w:rPr>
        <w:t xml:space="preserve"> — 31,5)(</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 0,75) при </w:t>
      </w:r>
      <w:r>
        <w:rPr>
          <w:rFonts w:ascii="Times New Roman"/>
          <w:b w:val="false"/>
          <w:i/>
          <w:color w:val="000000"/>
          <w:sz w:val="28"/>
        </w:rPr>
        <w:t>D</w:t>
      </w:r>
      <w:r>
        <w:rPr>
          <w:rFonts w:ascii="Times New Roman"/>
          <w:b w:val="false"/>
          <w:i w:val="false"/>
          <w:color w:val="000000"/>
          <w:sz w:val="28"/>
        </w:rPr>
        <w:t xml:space="preserve"> &gt; 3,5 м,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bscript"/>
        </w:rPr>
        <w:t>D</w:t>
      </w:r>
      <w:r>
        <w:rPr>
          <w:rFonts w:ascii="Times New Roman"/>
          <w:b w:val="false"/>
          <w:i w:val="false"/>
          <w:color w:val="000000"/>
          <w:sz w:val="28"/>
        </w:rPr>
        <w:t xml:space="preserve"> &gt; 0,75;</w:t>
      </w:r>
    </w:p>
    <w:bookmarkStart w:name="z2838" w:id="2833"/>
    <w:p>
      <w:pPr>
        <w:spacing w:after="0"/>
        <w:ind w:left="0"/>
        <w:jc w:val="both"/>
      </w:pPr>
      <w:r>
        <w:rPr>
          <w:rFonts w:ascii="Times New Roman"/>
          <w:b w:val="false"/>
          <w:i w:val="false"/>
          <w:color w:val="000000"/>
          <w:sz w:val="28"/>
        </w:rPr>
        <w:t xml:space="preserve">
      726. Расчетная осевая сила </w:t>
      </w:r>
      <w:r>
        <w:rPr>
          <w:rFonts w:ascii="Times New Roman"/>
          <w:b w:val="false"/>
          <w:i/>
          <w:color w:val="000000"/>
          <w:sz w:val="28"/>
        </w:rPr>
        <w:t>R</w:t>
      </w:r>
      <w:r>
        <w:rPr>
          <w:rFonts w:ascii="Times New Roman"/>
          <w:b w:val="false"/>
          <w:i w:val="false"/>
          <w:color w:val="000000"/>
          <w:vertAlign w:val="subscript"/>
        </w:rPr>
        <w:t>т.ф.</w:t>
      </w:r>
      <w:r>
        <w:rPr>
          <w:rFonts w:ascii="Times New Roman"/>
          <w:b w:val="false"/>
          <w:i w:val="false"/>
          <w:color w:val="000000"/>
          <w:sz w:val="28"/>
        </w:rPr>
        <w:t>, кН, действующая на трюмный флор, определяется по формуле:</w:t>
      </w:r>
    </w:p>
    <w:bookmarkEnd w:id="283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т.ф.</w:t>
      </w:r>
      <w:r>
        <w:rPr>
          <w:rFonts w:ascii="Times New Roman"/>
          <w:b w:val="false"/>
          <w:i w:val="false"/>
          <w:color w:val="000000"/>
          <w:sz w:val="28"/>
        </w:rPr>
        <w:t xml:space="preserve"> = 0,163g</w:t>
      </w:r>
    </w:p>
    <w:p>
      <w:pPr>
        <w:spacing w:after="0"/>
        <w:ind w:left="0"/>
        <w:jc w:val="both"/>
      </w:pPr>
      <w:r>
        <w:drawing>
          <wp:inline distT="0" distB="0" distL="0" distR="0">
            <wp:extent cx="241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41300" cy="419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p>
    <w:p>
      <w:pPr>
        <w:spacing w:after="0"/>
        <w:ind w:left="0"/>
        <w:jc w:val="both"/>
      </w:pP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54000" cy="368300"/>
                    </a:xfrm>
                    <a:prstGeom prst="rect">
                      <a:avLst/>
                    </a:prstGeom>
                  </pic:spPr>
                </pic:pic>
              </a:graphicData>
            </a:graphic>
          </wp:inline>
        </w:drawing>
      </w:r>
    </w:p>
    <w:p>
      <w:pPr>
        <w:spacing w:after="0"/>
        <w:ind w:left="0"/>
        <w:jc w:val="left"/>
      </w:pPr>
      <w:r>
        <w:rPr>
          <w:rFonts w:ascii="Times New Roman"/>
          <w:b w:val="false"/>
          <w:i w:val="false"/>
          <w:color w:val="000000"/>
          <w:sz w:val="28"/>
        </w:rPr>
        <w:t>(3</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Н</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0,5c</w:t>
      </w:r>
      <w:r>
        <w:rPr>
          <w:rFonts w:ascii="Times New Roman"/>
          <w:b w:val="false"/>
          <w:i w:val="false"/>
          <w:color w:val="000000"/>
          <w:vertAlign w:val="subscript"/>
        </w:rPr>
        <w:t>w</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(3D –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+ 0,5c</w:t>
      </w:r>
      <w:r>
        <w:rPr>
          <w:rFonts w:ascii="Times New Roman"/>
          <w:b w:val="false"/>
          <w:i w:val="false"/>
          <w:color w:val="000000"/>
          <w:vertAlign w:val="subscript"/>
        </w:rPr>
        <w:t>w</w:t>
      </w:r>
      <w:r>
        <w:rPr>
          <w:rFonts w:ascii="Times New Roman"/>
          <w:b w:val="false"/>
          <w:i w:val="false"/>
          <w:color w:val="000000"/>
          <w:sz w:val="28"/>
        </w:rPr>
        <w:t>].(231)</w:t>
      </w:r>
      <w:r>
        <w:br/>
      </w:r>
      <w:r>
        <w:rPr>
          <w:rFonts w:ascii="Times New Roman"/>
          <w:b w:val="false"/>
          <w:i w:val="false"/>
          <w:color w:val="000000"/>
          <w:sz w:val="28"/>
        </w:rPr>
        <w:t>
</w:t>
      </w:r>
    </w:p>
    <w:bookmarkStart w:name="z2839" w:id="2834"/>
    <w:p>
      <w:pPr>
        <w:spacing w:after="0"/>
        <w:ind w:left="0"/>
        <w:jc w:val="both"/>
      </w:pPr>
      <w:r>
        <w:rPr>
          <w:rFonts w:ascii="Times New Roman"/>
          <w:b w:val="false"/>
          <w:i w:val="false"/>
          <w:color w:val="000000"/>
          <w:sz w:val="28"/>
        </w:rPr>
        <w:t>
      727. Расчетная осевая сила, действующая на трюмные бимсы R</w:t>
      </w:r>
      <w:r>
        <w:rPr>
          <w:rFonts w:ascii="Times New Roman"/>
          <w:b w:val="false"/>
          <w:i w:val="false"/>
          <w:color w:val="000000"/>
          <w:vertAlign w:val="subscript"/>
        </w:rPr>
        <w:t>б</w:t>
      </w:r>
      <w:r>
        <w:rPr>
          <w:rFonts w:ascii="Times New Roman"/>
          <w:b w:val="false"/>
          <w:i w:val="false"/>
          <w:color w:val="000000"/>
          <w:sz w:val="28"/>
        </w:rPr>
        <w:t>, кН, определяется по следующим формулам:</w:t>
      </w:r>
    </w:p>
    <w:bookmarkEnd w:id="2834"/>
    <w:bookmarkStart w:name="z2840" w:id="2835"/>
    <w:p>
      <w:pPr>
        <w:spacing w:after="0"/>
        <w:ind w:left="0"/>
        <w:jc w:val="both"/>
      </w:pPr>
      <w:r>
        <w:rPr>
          <w:rFonts w:ascii="Times New Roman"/>
          <w:b w:val="false"/>
          <w:i w:val="false"/>
          <w:color w:val="000000"/>
          <w:sz w:val="28"/>
        </w:rPr>
        <w:t>
      1) для бимса, установленного на уровне палубы</w:t>
      </w:r>
    </w:p>
    <w:bookmarkEnd w:id="283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w:t>
      </w:r>
      <w:r>
        <w:rPr>
          <w:rFonts w:ascii="Times New Roman"/>
          <w:b w:val="false"/>
          <w:i w:val="false"/>
          <w:color w:val="000000"/>
          <w:sz w:val="28"/>
        </w:rPr>
        <w:t xml:space="preserve"> = 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R</w:t>
      </w:r>
      <w:r>
        <w:rPr>
          <w:rFonts w:ascii="Times New Roman"/>
          <w:b w:val="false"/>
          <w:i w:val="false"/>
          <w:color w:val="000000"/>
          <w:vertAlign w:val="subscript"/>
        </w:rPr>
        <w:t>3</w:t>
      </w:r>
      <w:r>
        <w:rPr>
          <w:rFonts w:ascii="Times New Roman"/>
          <w:b w:val="false"/>
          <w:i w:val="false"/>
          <w:color w:val="000000"/>
          <w:sz w:val="28"/>
        </w:rPr>
        <w:t xml:space="preserve"> — R</w:t>
      </w:r>
      <w:r>
        <w:rPr>
          <w:rFonts w:ascii="Times New Roman"/>
          <w:b w:val="false"/>
          <w:i w:val="false"/>
          <w:color w:val="000000"/>
          <w:vertAlign w:val="subscript"/>
        </w:rPr>
        <w:t>4</w:t>
      </w:r>
      <w:r>
        <w:rPr>
          <w:rFonts w:ascii="Times New Roman"/>
          <w:b w:val="false"/>
          <w:i w:val="false"/>
          <w:color w:val="000000"/>
          <w:sz w:val="28"/>
        </w:rPr>
        <w:t>,                  (232)</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1</w:t>
      </w:r>
      <w:r>
        <w:rPr>
          <w:rFonts w:ascii="Times New Roman"/>
          <w:b w:val="false"/>
          <w:i w:val="false"/>
          <w:color w:val="000000"/>
          <w:sz w:val="28"/>
        </w:rPr>
        <w:t xml:space="preserve"> — сила давления грунта на бимс,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476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сила внешнего гидростатического давления на бимс,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3479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3</w:t>
      </w:r>
      <w:r>
        <w:rPr>
          <w:rFonts w:ascii="Times New Roman"/>
          <w:b w:val="false"/>
          <w:i w:val="false"/>
          <w:color w:val="000000"/>
          <w:sz w:val="28"/>
        </w:rPr>
        <w:t xml:space="preserve"> — реакция от опорного изгибающего момента в месте соединения диафрагмы с трюмным флором,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1028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4</w:t>
      </w:r>
      <w:r>
        <w:rPr>
          <w:rFonts w:ascii="Times New Roman"/>
          <w:b w:val="false"/>
          <w:i w:val="false"/>
          <w:color w:val="000000"/>
          <w:sz w:val="28"/>
        </w:rPr>
        <w:t xml:space="preserve"> — сила от опорных реакций трюмного флора, определяемая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451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1" w:id="2836"/>
    <w:p>
      <w:pPr>
        <w:spacing w:after="0"/>
        <w:ind w:left="0"/>
        <w:jc w:val="both"/>
      </w:pPr>
      <w:r>
        <w:rPr>
          <w:rFonts w:ascii="Times New Roman"/>
          <w:b w:val="false"/>
          <w:i w:val="false"/>
          <w:color w:val="000000"/>
          <w:sz w:val="28"/>
        </w:rPr>
        <w:t>
      2) для бимса, установленного у верхнего пояска комингса</w:t>
      </w:r>
    </w:p>
    <w:bookmarkEnd w:id="283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w:t>
      </w:r>
      <w:r>
        <w:rPr>
          <w:rFonts w:ascii="Times New Roman"/>
          <w:b w:val="false"/>
          <w:i w:val="false"/>
          <w:color w:val="000000"/>
          <w:sz w:val="28"/>
        </w:rPr>
        <w:t xml:space="preserve"> = </w:t>
      </w:r>
    </w:p>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p>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(233)</w:t>
      </w:r>
      <w:r>
        <w:br/>
      </w:r>
      <w:r>
        <w:rPr>
          <w:rFonts w:ascii="Times New Roman"/>
          <w:b w:val="false"/>
          <w:i w:val="false"/>
          <w:color w:val="000000"/>
          <w:sz w:val="28"/>
        </w:rPr>
        <w:t>
</w:t>
      </w:r>
    </w:p>
    <w:bookmarkStart w:name="z2842" w:id="2837"/>
    <w:p>
      <w:pPr>
        <w:spacing w:after="0"/>
        <w:ind w:left="0"/>
        <w:jc w:val="both"/>
      </w:pPr>
      <w:r>
        <w:rPr>
          <w:rFonts w:ascii="Times New Roman"/>
          <w:b w:val="false"/>
          <w:i w:val="false"/>
          <w:color w:val="000000"/>
          <w:sz w:val="28"/>
        </w:rPr>
        <w:t>
      728. Расчетная нагрузка на палубу равна не менее 20 кПа.</w:t>
      </w:r>
    </w:p>
    <w:bookmarkEnd w:id="2837"/>
    <w:bookmarkStart w:name="z2843" w:id="2838"/>
    <w:p>
      <w:pPr>
        <w:spacing w:after="0"/>
        <w:ind w:left="0"/>
        <w:jc w:val="both"/>
      </w:pPr>
      <w:r>
        <w:rPr>
          <w:rFonts w:ascii="Times New Roman"/>
          <w:b w:val="false"/>
          <w:i w:val="false"/>
          <w:color w:val="000000"/>
          <w:sz w:val="28"/>
        </w:rPr>
        <w:t>
      729. Расчетные нагрузки на конструкции каждого полукорпуса для раскрывающихся судов определяются согласно пунктам 717 – 728 настоящих Правил.</w:t>
      </w:r>
    </w:p>
    <w:bookmarkEnd w:id="2838"/>
    <w:bookmarkStart w:name="z2844" w:id="2839"/>
    <w:p>
      <w:pPr>
        <w:spacing w:after="0"/>
        <w:ind w:left="0"/>
        <w:jc w:val="both"/>
      </w:pPr>
      <w:r>
        <w:rPr>
          <w:rFonts w:ascii="Times New Roman"/>
          <w:b w:val="false"/>
          <w:i w:val="false"/>
          <w:color w:val="000000"/>
          <w:sz w:val="28"/>
        </w:rPr>
        <w:t>
      730. На раскрывающихся трюмных земснарядах и шаландах горизонтальная статическая сила F</w:t>
      </w:r>
      <w:r>
        <w:rPr>
          <w:rFonts w:ascii="Times New Roman"/>
          <w:b w:val="false"/>
          <w:i w:val="false"/>
          <w:color w:val="000000"/>
          <w:vertAlign w:val="subscript"/>
        </w:rPr>
        <w:t>г</w:t>
      </w:r>
      <w:r>
        <w:rPr>
          <w:rFonts w:ascii="Times New Roman"/>
          <w:b w:val="false"/>
          <w:i w:val="false"/>
          <w:color w:val="000000"/>
          <w:sz w:val="28"/>
        </w:rPr>
        <w:t>, кН, в каждом гидропрессе, необходимая для удержания корпуса в закрытом состоянии, определяется по формуле (приложение 100 настоящих Правил):</w:t>
      </w:r>
    </w:p>
    <w:bookmarkEnd w:id="2839"/>
    <w:p>
      <w:pPr>
        <w:spacing w:after="0"/>
        <w:ind w:left="0"/>
        <w:jc w:val="both"/>
      </w:pPr>
      <w:r>
        <w:rPr>
          <w:rFonts w:ascii="Times New Roman"/>
          <w:b w:val="false"/>
          <w:i w:val="false"/>
          <w:color w:val="000000"/>
          <w:sz w:val="28"/>
        </w:rPr>
        <w:t>
      F</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34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342900" cy="431800"/>
                    </a:xfrm>
                    <a:prstGeom prst="rect">
                      <a:avLst/>
                    </a:prstGeom>
                  </pic:spPr>
                </pic:pic>
              </a:graphicData>
            </a:graphic>
          </wp:inline>
        </w:drawing>
      </w:r>
    </w:p>
    <w:p>
      <w:pPr>
        <w:spacing w:after="0"/>
        <w:ind w:left="0"/>
        <w:jc w:val="left"/>
      </w:pPr>
      <w:r>
        <w:rPr>
          <w:rFonts w:ascii="Times New Roman"/>
          <w:b w:val="false"/>
          <w:i w:val="false"/>
          <w:color w:val="000000"/>
          <w:sz w:val="28"/>
        </w:rPr>
        <w:t>[– F</w:t>
      </w:r>
      <w:r>
        <w:rPr>
          <w:rFonts w:ascii="Times New Roman"/>
          <w:b w:val="false"/>
          <w:i w:val="false"/>
          <w:color w:val="000000"/>
          <w:vertAlign w:val="subscript"/>
        </w:rPr>
        <w:t>h</w:t>
      </w:r>
      <w:r>
        <w:rPr>
          <w:rFonts w:ascii="Times New Roman"/>
          <w:b w:val="false"/>
          <w:i w:val="false"/>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 F</w:t>
      </w:r>
      <w:r>
        <w:rPr>
          <w:rFonts w:ascii="Times New Roman"/>
          <w:b w:val="false"/>
          <w:i w:val="false"/>
          <w:color w:val="000000"/>
          <w:vertAlign w:val="subscript"/>
        </w:rPr>
        <w:t>a</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12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1270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gQ</w:t>
      </w:r>
      <w:r>
        <w:rPr>
          <w:rFonts w:ascii="Times New Roman"/>
          <w:b w:val="false"/>
          <w:i w:val="false"/>
          <w:color w:val="000000"/>
          <w:vertAlign w:val="subscript"/>
        </w:rPr>
        <w:t>гр</w:t>
      </w:r>
      <w:r>
        <w:rPr>
          <w:rFonts w:ascii="Times New Roman"/>
          <w:b w:val="false"/>
          <w:i/>
          <w:color w:val="000000"/>
          <w:sz w:val="28"/>
        </w:rPr>
        <w:t>b</w:t>
      </w:r>
      <w:r>
        <w:rPr>
          <w:rFonts w:ascii="Times New Roman"/>
          <w:b w:val="false"/>
          <w:i w:val="false"/>
          <w:color w:val="000000"/>
          <w:vertAlign w:val="subscript"/>
        </w:rPr>
        <w:t>3</w:t>
      </w:r>
      <w:r>
        <w:rPr>
          <w:rFonts w:ascii="Times New Roman"/>
          <w:b w:val="false"/>
          <w:i w:val="false"/>
          <w:color w:val="000000"/>
          <w:sz w:val="28"/>
        </w:rPr>
        <w:t>)],         (234)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1</w:t>
      </w:r>
      <w:r>
        <w:rPr>
          <w:rFonts w:ascii="Times New Roman"/>
          <w:b w:val="false"/>
          <w:i w:val="false"/>
          <w:color w:val="000000"/>
          <w:sz w:val="28"/>
        </w:rPr>
        <w:t xml:space="preserve"> — число гидропрессов;</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h</w:t>
      </w:r>
      <w:r>
        <w:rPr>
          <w:rFonts w:ascii="Times New Roman"/>
          <w:b w:val="false"/>
          <w:i w:val="false"/>
          <w:color w:val="000000"/>
          <w:sz w:val="28"/>
        </w:rPr>
        <w:t xml:space="preserve"> — горизонтальная сила давления воды на корпус, определяемая по формуле F</w:t>
      </w:r>
      <w:r>
        <w:rPr>
          <w:rFonts w:ascii="Times New Roman"/>
          <w:b w:val="false"/>
          <w:i w:val="false"/>
          <w:color w:val="000000"/>
          <w:vertAlign w:val="subscript"/>
        </w:rPr>
        <w:t>h</w:t>
      </w:r>
      <w:r>
        <w:rPr>
          <w:rFonts w:ascii="Times New Roman"/>
          <w:b w:val="false"/>
          <w:i w:val="false"/>
          <w:color w:val="000000"/>
          <w:sz w:val="28"/>
        </w:rPr>
        <w:t>= 0,5</w:t>
      </w:r>
    </w:p>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0,5</w:t>
      </w:r>
      <w:r>
        <w:rPr>
          <w:rFonts w:ascii="Times New Roman"/>
          <w:b w:val="false"/>
          <w:i/>
          <w:color w:val="000000"/>
          <w:sz w:val="28"/>
        </w:rPr>
        <w:t>c</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d</w:t>
      </w:r>
      <w:r>
        <w:rPr>
          <w:rFonts w:ascii="Times New Roman"/>
          <w:b w:val="false"/>
          <w:i w:val="false"/>
          <w:color w:val="000000"/>
          <w:sz w:val="28"/>
        </w:rPr>
        <w:t xml:space="preserve"> — горизонтальная сила давления грунта на корпус, определяемая по формуле F</w:t>
      </w:r>
      <w:r>
        <w:rPr>
          <w:rFonts w:ascii="Times New Roman"/>
          <w:b w:val="false"/>
          <w:i w:val="false"/>
          <w:color w:val="000000"/>
          <w:vertAlign w:val="subscript"/>
        </w:rPr>
        <w:t>d</w:t>
      </w:r>
      <w:r>
        <w:rPr>
          <w:rFonts w:ascii="Times New Roman"/>
          <w:b w:val="false"/>
          <w:i w:val="false"/>
          <w:color w:val="000000"/>
          <w:sz w:val="28"/>
        </w:rPr>
        <w:t xml:space="preserve"> = 0,5</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гр</w:t>
      </w:r>
      <w:r>
        <w:rPr>
          <w:rFonts w:ascii="Times New Roman"/>
          <w:b w:val="false"/>
          <w:i/>
          <w:color w:val="000000"/>
          <w:sz w:val="28"/>
        </w:rPr>
        <w:t>gl</w:t>
      </w:r>
      <w:r>
        <w:rPr>
          <w:rFonts w:ascii="Times New Roman"/>
          <w:b w:val="false"/>
          <w:i w:val="false"/>
          <w:color w:val="000000"/>
          <w:vertAlign w:val="subscript"/>
        </w:rPr>
        <w:t>т</w:t>
      </w:r>
      <w:r>
        <w:rPr>
          <w:rFonts w:ascii="Times New Roman"/>
          <w:b w:val="false"/>
          <w:i w:val="false"/>
          <w:color w:val="000000"/>
          <w:sz w:val="28"/>
        </w:rPr>
        <w:t>(Н</w:t>
      </w:r>
      <w:r>
        <w:rPr>
          <w:rFonts w:ascii="Times New Roman"/>
          <w:b w:val="false"/>
          <w:i w:val="false"/>
          <w:color w:val="000000"/>
          <w:vertAlign w:val="subscript"/>
        </w:rPr>
        <w:t>2</w:t>
      </w:r>
      <w:r>
        <w:rPr>
          <w:rFonts w:ascii="Times New Roman"/>
          <w:b w:val="false"/>
          <w:i w:val="false"/>
          <w:color w:val="000000"/>
          <w:sz w:val="28"/>
        </w:rPr>
        <w:t xml:space="preserve"> – c)</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приложение 99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3</w:t>
      </w:r>
      <w:r>
        <w:rPr>
          <w:rFonts w:ascii="Times New Roman"/>
          <w:b w:val="false"/>
          <w:i w:val="false"/>
          <w:color w:val="000000"/>
          <w:sz w:val="28"/>
        </w:rPr>
        <w:t xml:space="preserve"> — плечи сил, м (приложение 100 настоящих Правил).</w:t>
      </w:r>
    </w:p>
    <w:p>
      <w:pPr>
        <w:spacing w:after="0"/>
        <w:ind w:left="0"/>
        <w:jc w:val="both"/>
      </w:pPr>
      <w:r>
        <w:rPr>
          <w:rFonts w:ascii="Times New Roman"/>
          <w:b w:val="false"/>
          <w:i w:val="false"/>
          <w:color w:val="000000"/>
          <w:sz w:val="28"/>
        </w:rPr>
        <w:t>
      В качестве расчетной силы F</w:t>
      </w:r>
      <w:r>
        <w:rPr>
          <w:rFonts w:ascii="Times New Roman"/>
          <w:b w:val="false"/>
          <w:i w:val="false"/>
          <w:color w:val="000000"/>
          <w:vertAlign w:val="subscript"/>
        </w:rPr>
        <w:t>p</w:t>
      </w:r>
      <w:r>
        <w:rPr>
          <w:rFonts w:ascii="Times New Roman"/>
          <w:b w:val="false"/>
          <w:i w:val="false"/>
          <w:color w:val="000000"/>
          <w:sz w:val="28"/>
        </w:rPr>
        <w:t xml:space="preserve"> принимается максимальное давление, создаваемое гидропрессом, при F</w:t>
      </w:r>
      <w:r>
        <w:rPr>
          <w:rFonts w:ascii="Times New Roman"/>
          <w:b w:val="false"/>
          <w:i w:val="false"/>
          <w:color w:val="000000"/>
          <w:vertAlign w:val="subscript"/>
        </w:rPr>
        <w:t>р</w:t>
      </w:r>
      <w:r>
        <w:rPr>
          <w:rFonts w:ascii="Times New Roman"/>
          <w:b w:val="false"/>
          <w:i w:val="false"/>
          <w:color w:val="000000"/>
          <w:sz w:val="28"/>
        </w:rPr>
        <w:t xml:space="preserve"> &gt; F</w:t>
      </w:r>
      <w:r>
        <w:rPr>
          <w:rFonts w:ascii="Times New Roman"/>
          <w:b w:val="false"/>
          <w:i w:val="false"/>
          <w:color w:val="000000"/>
          <w:vertAlign w:val="subscript"/>
        </w:rPr>
        <w:t>г</w:t>
      </w:r>
      <w:r>
        <w:rPr>
          <w:rFonts w:ascii="Times New Roman"/>
          <w:b w:val="false"/>
          <w:i w:val="false"/>
          <w:color w:val="000000"/>
          <w:sz w:val="28"/>
        </w:rPr>
        <w:t>.</w:t>
      </w:r>
    </w:p>
    <w:bookmarkStart w:name="z2845" w:id="2840"/>
    <w:p>
      <w:pPr>
        <w:spacing w:after="0"/>
        <w:ind w:left="0"/>
        <w:jc w:val="both"/>
      </w:pPr>
      <w:r>
        <w:rPr>
          <w:rFonts w:ascii="Times New Roman"/>
          <w:b w:val="false"/>
          <w:i w:val="false"/>
          <w:color w:val="000000"/>
          <w:sz w:val="28"/>
        </w:rPr>
        <w:t>
      Горизонтальная статическая сила в каждом шарнире F</w:t>
      </w:r>
      <w:r>
        <w:rPr>
          <w:rFonts w:ascii="Times New Roman"/>
          <w:b w:val="false"/>
          <w:i w:val="false"/>
          <w:color w:val="000000"/>
          <w:vertAlign w:val="subscript"/>
        </w:rPr>
        <w:t>ш</w:t>
      </w:r>
      <w:r>
        <w:rPr>
          <w:rFonts w:ascii="Times New Roman"/>
          <w:b w:val="false"/>
          <w:i w:val="false"/>
          <w:color w:val="000000"/>
          <w:sz w:val="28"/>
        </w:rPr>
        <w:t>, кН, определяется по формуле:</w:t>
      </w:r>
    </w:p>
    <w:bookmarkEnd w:id="2840"/>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12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1270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d</w:t>
      </w:r>
      <w:r>
        <w:rPr>
          <w:rFonts w:ascii="Times New Roman"/>
          <w:b w:val="false"/>
          <w:i w:val="false"/>
          <w:color w:val="000000"/>
          <w:sz w:val="28"/>
        </w:rPr>
        <w:t xml:space="preserve"> – </w:t>
      </w:r>
    </w:p>
    <w:p>
      <w:pPr>
        <w:spacing w:after="0"/>
        <w:ind w:left="0"/>
        <w:jc w:val="both"/>
      </w:pPr>
      <w:r>
        <w:drawing>
          <wp:inline distT="0" distB="0" distL="0" distR="0">
            <wp:extent cx="31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317500" cy="558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р</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(235)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4</w:t>
      </w:r>
      <w:r>
        <w:rPr>
          <w:rFonts w:ascii="Times New Roman"/>
          <w:b w:val="false"/>
          <w:i w:val="false"/>
          <w:color w:val="000000"/>
          <w:sz w:val="28"/>
        </w:rPr>
        <w:t xml:space="preserve"> — плечо силы, м, действующей на упор.</w:t>
      </w:r>
    </w:p>
    <w:bookmarkStart w:name="z2846" w:id="2841"/>
    <w:p>
      <w:pPr>
        <w:spacing w:after="0"/>
        <w:ind w:left="0"/>
        <w:jc w:val="both"/>
      </w:pPr>
      <w:r>
        <w:rPr>
          <w:rFonts w:ascii="Times New Roman"/>
          <w:b w:val="false"/>
          <w:i w:val="false"/>
          <w:color w:val="000000"/>
          <w:sz w:val="28"/>
        </w:rPr>
        <w:t>
      Горизонтальная статическая сила, действующая на каждый упор, определяется по формуле:</w:t>
      </w:r>
    </w:p>
    <w:bookmarkEnd w:id="284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уп</w:t>
      </w:r>
      <w:r>
        <w:rPr>
          <w:rFonts w:ascii="Times New Roman"/>
          <w:b w:val="false"/>
          <w:i w:val="false"/>
          <w:color w:val="000000"/>
          <w:sz w:val="28"/>
        </w:rPr>
        <w:t xml:space="preserve"> = </w:t>
      </w:r>
    </w:p>
    <w:p>
      <w:pPr>
        <w:spacing w:after="0"/>
        <w:ind w:left="0"/>
        <w:jc w:val="both"/>
      </w:pPr>
      <w:r>
        <w:drawing>
          <wp:inline distT="0" distB="0" distL="0" distR="0">
            <wp:extent cx="393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393700" cy="558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(236)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 число упоров.</w:t>
      </w:r>
    </w:p>
    <w:bookmarkStart w:name="z2847" w:id="2842"/>
    <w:p>
      <w:pPr>
        <w:spacing w:after="0"/>
        <w:ind w:left="0"/>
        <w:jc w:val="both"/>
      </w:pPr>
      <w:r>
        <w:rPr>
          <w:rFonts w:ascii="Times New Roman"/>
          <w:b w:val="false"/>
          <w:i w:val="false"/>
          <w:color w:val="000000"/>
          <w:sz w:val="28"/>
        </w:rPr>
        <w:t>
      Вертикальные составляющие статических сил в шарнирах принимаются равными нулю.</w:t>
      </w:r>
    </w:p>
    <w:bookmarkEnd w:id="2842"/>
    <w:bookmarkStart w:name="z2848" w:id="2843"/>
    <w:p>
      <w:pPr>
        <w:spacing w:after="0"/>
        <w:ind w:left="0"/>
        <w:jc w:val="both"/>
      </w:pPr>
      <w:r>
        <w:rPr>
          <w:rFonts w:ascii="Times New Roman"/>
          <w:b w:val="false"/>
          <w:i w:val="false"/>
          <w:color w:val="000000"/>
          <w:sz w:val="28"/>
        </w:rPr>
        <w:t>
      731. Динамические силы, действующие на гидроцилиндры и палубные шарниры, определяются расчетом качки судна на волнении, при различных курсовых углах, порожнем и в грузу. На основании этих расчетов определяются максимальные вертикальные и горизонтальные силы, действующие на шарниры, и максимальные горизонтальные силы, действующие на гидропрессы. Расчет выполняется по методике, согласованной с Регистром судоходства.</w:t>
      </w:r>
    </w:p>
    <w:bookmarkEnd w:id="2843"/>
    <w:bookmarkStart w:name="z2849" w:id="2844"/>
    <w:p>
      <w:pPr>
        <w:spacing w:after="0"/>
        <w:ind w:left="0"/>
        <w:jc w:val="left"/>
      </w:pPr>
      <w:r>
        <w:rPr>
          <w:rFonts w:ascii="Times New Roman"/>
          <w:b/>
          <w:i w:val="false"/>
          <w:color w:val="000000"/>
        </w:rPr>
        <w:t xml:space="preserve"> Параграф 4. Размеры конструктивных элементов</w:t>
      </w:r>
    </w:p>
    <w:bookmarkEnd w:id="2844"/>
    <w:bookmarkStart w:name="z2850" w:id="2845"/>
    <w:p>
      <w:pPr>
        <w:spacing w:after="0"/>
        <w:ind w:left="0"/>
        <w:jc w:val="both"/>
      </w:pPr>
      <w:r>
        <w:rPr>
          <w:rFonts w:ascii="Times New Roman"/>
          <w:b w:val="false"/>
          <w:i w:val="false"/>
          <w:color w:val="000000"/>
          <w:sz w:val="28"/>
        </w:rPr>
        <w:t>
      732. Размеры элементов корпуса определятюся согласно подразделов 1 и 2 раздела 4 настоящих Правил с учетом указаний, приведенных в настоящей главе.</w:t>
      </w:r>
    </w:p>
    <w:bookmarkEnd w:id="2845"/>
    <w:bookmarkStart w:name="z2851" w:id="2846"/>
    <w:p>
      <w:pPr>
        <w:spacing w:after="0"/>
        <w:ind w:left="0"/>
        <w:jc w:val="both"/>
      </w:pPr>
      <w:r>
        <w:rPr>
          <w:rFonts w:ascii="Times New Roman"/>
          <w:b w:val="false"/>
          <w:i w:val="false"/>
          <w:color w:val="000000"/>
          <w:sz w:val="28"/>
        </w:rPr>
        <w:t>
      733. Требуемый момент сопротивления поперечного сечения корпуса однокорпусного судна длиной 60 м и более определяется в параграфе 5 главы 11 настоящих Правил для палубы, днища и верхней кромки комингса грунтового трюма с учетом установленных районов эксплуатации и морского перехода. Принимается большая из величин, полученная для района эксплуатации или для морского перехода (подпункт 3) пункта 717 и пункт 718 настоящих Правил).</w:t>
      </w:r>
    </w:p>
    <w:bookmarkEnd w:id="2846"/>
    <w:bookmarkStart w:name="z2852" w:id="2847"/>
    <w:p>
      <w:pPr>
        <w:spacing w:after="0"/>
        <w:ind w:left="0"/>
        <w:jc w:val="both"/>
      </w:pPr>
      <w:r>
        <w:rPr>
          <w:rFonts w:ascii="Times New Roman"/>
          <w:b w:val="false"/>
          <w:i w:val="false"/>
          <w:color w:val="000000"/>
          <w:sz w:val="28"/>
        </w:rPr>
        <w:t>
      Для раскрывающихся трюмных земснарядов и шаланд требуемый момент сопротивления определяется в условиях, когда оба полукорпуса соединены (пункт 718 настоящих Правил).</w:t>
      </w:r>
    </w:p>
    <w:bookmarkEnd w:id="2847"/>
    <w:bookmarkStart w:name="z2853" w:id="2848"/>
    <w:p>
      <w:pPr>
        <w:spacing w:after="0"/>
        <w:ind w:left="0"/>
        <w:jc w:val="both"/>
      </w:pPr>
      <w:r>
        <w:rPr>
          <w:rFonts w:ascii="Times New Roman"/>
          <w:b w:val="false"/>
          <w:i w:val="false"/>
          <w:color w:val="000000"/>
          <w:sz w:val="28"/>
        </w:rPr>
        <w:t>
      734. При расчете фактического момента сопротивления поперечного сечения корпуса в районе фунтового трюма в соответствии с параграфом 7 главы 11 настоящих Правил учитываются все непрерывные продольные связи, продольные переборки и комингсы фунтового трюма с продольным набором, 85 % общей площади продольных связей килевой балки при условии их надлежащей перевязки с продольным набором за пределами фунтового трюма и наличии поперечных связей, регламентируемых Правилами, внутри трюма.</w:t>
      </w:r>
    </w:p>
    <w:bookmarkEnd w:id="2848"/>
    <w:bookmarkStart w:name="z2854" w:id="2849"/>
    <w:p>
      <w:pPr>
        <w:spacing w:after="0"/>
        <w:ind w:left="0"/>
        <w:jc w:val="both"/>
      </w:pPr>
      <w:r>
        <w:rPr>
          <w:rFonts w:ascii="Times New Roman"/>
          <w:b w:val="false"/>
          <w:i w:val="false"/>
          <w:color w:val="000000"/>
          <w:sz w:val="28"/>
        </w:rPr>
        <w:t>
      По одобренной Регистром судоходства методике засчитывается в фактический момент сопротивления непрерывный палубный настил с продольным набором над грунтовым трюмом и отбойная переборка в трюме.</w:t>
      </w:r>
    </w:p>
    <w:bookmarkEnd w:id="2849"/>
    <w:bookmarkStart w:name="z2855" w:id="2850"/>
    <w:p>
      <w:pPr>
        <w:spacing w:after="0"/>
        <w:ind w:left="0"/>
        <w:jc w:val="both"/>
      </w:pPr>
      <w:r>
        <w:rPr>
          <w:rFonts w:ascii="Times New Roman"/>
          <w:b w:val="false"/>
          <w:i w:val="false"/>
          <w:color w:val="000000"/>
          <w:sz w:val="28"/>
        </w:rPr>
        <w:t>
      735. Продольная прочность каждого полукорпуса раскрывающихся трюмных земснарядов и шаланд проверяется на действие изгибающих моментов в вертикальной и горизонтальной плоскостях при косом изгибе (приложение 99 настоящих Правил):</w:t>
      </w:r>
    </w:p>
    <w:bookmarkEnd w:id="2850"/>
    <w:bookmarkStart w:name="z2856" w:id="2851"/>
    <w:p>
      <w:pPr>
        <w:spacing w:after="0"/>
        <w:ind w:left="0"/>
        <w:jc w:val="both"/>
      </w:pPr>
      <w:r>
        <w:rPr>
          <w:rFonts w:ascii="Times New Roman"/>
          <w:b w:val="false"/>
          <w:i w:val="false"/>
          <w:color w:val="000000"/>
          <w:sz w:val="28"/>
        </w:rPr>
        <w:t>
      1) нормальные напряжения, возникающие в точках поперечного сечения корпуса при косом изгибе, определяются в миделевом сечении и по сечению у концевых переборок грунтового трюма (со стороны трюма), если корпуса в этом месте можно считать жестко защемленными.</w:t>
      </w:r>
    </w:p>
    <w:bookmarkEnd w:id="2851"/>
    <w:bookmarkStart w:name="z2857" w:id="2852"/>
    <w:p>
      <w:pPr>
        <w:spacing w:after="0"/>
        <w:ind w:left="0"/>
        <w:jc w:val="both"/>
      </w:pPr>
      <w:r>
        <w:rPr>
          <w:rFonts w:ascii="Times New Roman"/>
          <w:b w:val="false"/>
          <w:i w:val="false"/>
          <w:color w:val="000000"/>
          <w:sz w:val="28"/>
        </w:rPr>
        <w:t>
      Напряжения и, МПа, определяются по формуле:</w:t>
      </w:r>
    </w:p>
    <w:bookmarkEnd w:id="28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х</w:t>
      </w:r>
    </w:p>
    <w:p>
      <w:pPr>
        <w:spacing w:after="0"/>
        <w:ind w:left="0"/>
        <w:jc w:val="both"/>
      </w:pPr>
      <w:r>
        <w:drawing>
          <wp:inline distT="0" distB="0" distL="0" distR="0">
            <wp:extent cx="25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540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у</w:t>
      </w:r>
    </w:p>
    <w:p>
      <w:pPr>
        <w:spacing w:after="0"/>
        <w:ind w:left="0"/>
        <w:jc w:val="both"/>
      </w:pPr>
      <w:r>
        <w:drawing>
          <wp:inline distT="0" distB="0" distL="0" distR="0">
            <wp:extent cx="228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5334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(237)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M</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cos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sin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M</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sin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cos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 подпункты 3) и 4) пункта 718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поворота главных осей инерции (положительное значение угла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поворот оси </w:t>
      </w:r>
      <w:r>
        <w:rPr>
          <w:rFonts w:ascii="Times New Roman"/>
          <w:b w:val="false"/>
          <w:i/>
          <w:color w:val="000000"/>
          <w:sz w:val="28"/>
        </w:rPr>
        <w:t>Gu</w:t>
      </w:r>
      <w:r>
        <w:rPr>
          <w:rFonts w:ascii="Times New Roman"/>
          <w:b w:val="false"/>
          <w:i w:val="false"/>
          <w:color w:val="000000"/>
          <w:sz w:val="28"/>
        </w:rPr>
        <w:t xml:space="preserve"> против часовой стрелки), определяется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tg2</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990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990600" cy="254000"/>
                    </a:xfrm>
                    <a:prstGeom prst="rect">
                      <a:avLst/>
                    </a:prstGeom>
                  </pic:spPr>
                </pic:pic>
              </a:graphicData>
            </a:graphic>
          </wp:inline>
        </w:drawing>
      </w:r>
    </w:p>
    <w:p>
      <w:pPr>
        <w:spacing w:after="0"/>
        <w:ind w:left="0"/>
        <w:jc w:val="left"/>
      </w:pPr>
      <w:r>
        <w:rPr>
          <w:rFonts w:ascii="Times New Roman"/>
          <w:b w:val="false"/>
          <w:i w:val="false"/>
          <w:color w:val="000000"/>
          <w:sz w:val="28"/>
        </w:rPr>
        <w:t>;                        (238)</w:t>
      </w:r>
      <w:r>
        <w:br/>
      </w: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u</w:t>
      </w:r>
      <w:r>
        <w:rPr>
          <w:rFonts w:ascii="Times New Roman"/>
          <w:b w:val="false"/>
          <w:i w:val="false"/>
          <w:color w:val="000000"/>
          <w:vertAlign w:val="subscript"/>
        </w:rPr>
        <w:t>i</w:t>
      </w:r>
      <w:r>
        <w:rPr>
          <w:rFonts w:ascii="Times New Roman"/>
          <w:b w:val="false"/>
          <w:i w:val="false"/>
          <w:color w:val="000000"/>
          <w:sz w:val="28"/>
        </w:rPr>
        <w:t xml:space="preserve">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центробежный момент инерции относительно осей </w:t>
      </w:r>
      <w:r>
        <w:rPr>
          <w:rFonts w:ascii="Times New Roman"/>
          <w:b w:val="false"/>
          <w:i/>
          <w:color w:val="000000"/>
          <w:sz w:val="28"/>
        </w:rPr>
        <w:t>Gu</w:t>
      </w:r>
      <w:r>
        <w:rPr>
          <w:rFonts w:ascii="Times New Roman"/>
          <w:b w:val="false"/>
          <w:i w:val="false"/>
          <w:color w:val="000000"/>
          <w:sz w:val="28"/>
        </w:rPr>
        <w:t xml:space="preserve">, </w:t>
      </w:r>
      <w:r>
        <w:rPr>
          <w:rFonts w:ascii="Times New Roman"/>
          <w:b w:val="false"/>
          <w:i/>
          <w:color w:val="000000"/>
          <w:sz w:val="28"/>
        </w:rPr>
        <w:t>G</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4</w:t>
      </w:r>
      <w:r>
        <w:rPr>
          <w:rFonts w:ascii="Times New Roman"/>
          <w:b w:val="false"/>
          <w:i w:val="false"/>
          <w:color w:val="000000"/>
          <w:sz w:val="28"/>
        </w:rPr>
        <w:t>, без учета запаса на износ связей;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i</w:t>
      </w:r>
      <w:r>
        <w:rPr>
          <w:rFonts w:ascii="Times New Roman"/>
          <w:b w:val="false"/>
          <w:i w:val="false"/>
          <w:color w:val="000000"/>
          <w:sz w:val="28"/>
        </w:rPr>
        <w:t xml:space="preserve">,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координаты центра тяжести площади </w:t>
      </w:r>
      <w:r>
        <w:rPr>
          <w:rFonts w:ascii="Times New Roman"/>
          <w:b w:val="false"/>
          <w:i/>
          <w:color w:val="000000"/>
          <w:sz w:val="28"/>
        </w:rPr>
        <w:t>i</w:t>
      </w:r>
      <w:r>
        <w:rPr>
          <w:rFonts w:ascii="Times New Roman"/>
          <w:b w:val="false"/>
          <w:i w:val="false"/>
          <w:color w:val="000000"/>
          <w:sz w:val="28"/>
        </w:rPr>
        <w:t xml:space="preserve">-й связи по осям </w:t>
      </w:r>
      <w:r>
        <w:rPr>
          <w:rFonts w:ascii="Times New Roman"/>
          <w:b w:val="false"/>
          <w:i/>
          <w:color w:val="000000"/>
          <w:sz w:val="28"/>
        </w:rPr>
        <w:t>Gu</w:t>
      </w:r>
      <w:r>
        <w:rPr>
          <w:rFonts w:ascii="Times New Roman"/>
          <w:b w:val="false"/>
          <w:i w:val="false"/>
          <w:color w:val="000000"/>
          <w:sz w:val="28"/>
        </w:rPr>
        <w:t xml:space="preserve">, </w:t>
      </w:r>
      <w:r>
        <w:rPr>
          <w:rFonts w:ascii="Times New Roman"/>
          <w:b w:val="false"/>
          <w:i/>
          <w:color w:val="000000"/>
          <w:sz w:val="28"/>
        </w:rPr>
        <w:t>G</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dS</w:t>
      </w:r>
      <w:r>
        <w:rPr>
          <w:rFonts w:ascii="Times New Roman"/>
          <w:b w:val="false"/>
          <w:i w:val="false"/>
          <w:color w:val="000000"/>
          <w:vertAlign w:val="subscript"/>
        </w:rPr>
        <w:t>i</w:t>
      </w:r>
      <w:r>
        <w:rPr>
          <w:rFonts w:ascii="Times New Roman"/>
          <w:b w:val="false"/>
          <w:i w:val="false"/>
          <w:color w:val="000000"/>
          <w:sz w:val="28"/>
        </w:rPr>
        <w:t xml:space="preserve"> — площадь </w:t>
      </w:r>
      <w:r>
        <w:rPr>
          <w:rFonts w:ascii="Times New Roman"/>
          <w:b w:val="false"/>
          <w:i/>
          <w:color w:val="000000"/>
          <w:sz w:val="28"/>
        </w:rPr>
        <w:t>i</w:t>
      </w:r>
      <w:r>
        <w:rPr>
          <w:rFonts w:ascii="Times New Roman"/>
          <w:b w:val="false"/>
          <w:i w:val="false"/>
          <w:color w:val="000000"/>
          <w:sz w:val="28"/>
        </w:rPr>
        <w:t>-й связи,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u</w:t>
      </w:r>
      <w:r>
        <w:rPr>
          <w:rFonts w:ascii="Times New Roman"/>
          <w:b w:val="false"/>
          <w:i w:val="false"/>
          <w:color w:val="000000"/>
          <w:sz w:val="28"/>
        </w:rPr>
        <w:t xml:space="preserve">, </w:t>
      </w:r>
      <w:r>
        <w:rPr>
          <w:rFonts w:ascii="Times New Roman"/>
          <w:b w:val="false"/>
          <w:i/>
          <w:color w:val="000000"/>
          <w:sz w:val="28"/>
        </w:rPr>
        <w:t>I</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моменты инерции поперечного сечения полукорпуса относительно осей </w:t>
      </w:r>
      <w:r>
        <w:rPr>
          <w:rFonts w:ascii="Times New Roman"/>
          <w:b w:val="false"/>
          <w:i/>
          <w:color w:val="000000"/>
          <w:sz w:val="28"/>
        </w:rPr>
        <w:t>Gu</w:t>
      </w:r>
      <w:r>
        <w:rPr>
          <w:rFonts w:ascii="Times New Roman"/>
          <w:b w:val="false"/>
          <w:i w:val="false"/>
          <w:color w:val="000000"/>
          <w:sz w:val="28"/>
        </w:rPr>
        <w:t xml:space="preserve">, </w:t>
      </w:r>
      <w:r>
        <w:rPr>
          <w:rFonts w:ascii="Times New Roman"/>
          <w:b w:val="false"/>
          <w:i/>
          <w:color w:val="000000"/>
          <w:sz w:val="28"/>
        </w:rPr>
        <w:t>G</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4</w:t>
      </w:r>
      <w:r>
        <w:rPr>
          <w:rFonts w:ascii="Times New Roman"/>
          <w:b w:val="false"/>
          <w:i w:val="false"/>
          <w:color w:val="000000"/>
          <w:sz w:val="28"/>
        </w:rPr>
        <w:t>, без учета запаса на износ связей;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координаты рассматриваемой точки сечения относительно главных осей </w:t>
      </w:r>
      <w:r>
        <w:rPr>
          <w:rFonts w:ascii="Times New Roman"/>
          <w:b w:val="false"/>
          <w:i/>
          <w:color w:val="000000"/>
          <w:sz w:val="28"/>
        </w:rPr>
        <w:t>G</w:t>
      </w:r>
      <w:r>
        <w:rPr>
          <w:rFonts w:ascii="Times New Roman"/>
          <w:b w:val="false"/>
          <w:i w:val="false"/>
          <w:color w:val="000000"/>
          <w:vertAlign w:val="subscript"/>
        </w:rPr>
        <w:t>x</w:t>
      </w: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y</w:t>
      </w:r>
      <w:r>
        <w:rPr>
          <w:rFonts w:ascii="Times New Roman"/>
          <w:b w:val="false"/>
          <w:i w:val="false"/>
          <w:color w:val="000000"/>
          <w:sz w:val="28"/>
        </w:rPr>
        <w:t xml:space="preserve"> (приложение 99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у</w:t>
      </w:r>
      <w:r>
        <w:rPr>
          <w:rFonts w:ascii="Times New Roman"/>
          <w:b w:val="false"/>
          <w:i w:val="false"/>
          <w:color w:val="000000"/>
          <w:sz w:val="28"/>
        </w:rPr>
        <w:t xml:space="preserve"> — моменты инерции поперечного сечения полукорпуса относительно главных осей без учета запаса на износ связей, м</w:t>
      </w:r>
      <w:r>
        <w:rPr>
          <w:rFonts w:ascii="Times New Roman"/>
          <w:b w:val="false"/>
          <w:i w:val="false"/>
          <w:color w:val="000000"/>
          <w:vertAlign w:val="superscript"/>
        </w:rPr>
        <w:t>4</w:t>
      </w:r>
      <w:r>
        <w:rPr>
          <w:rFonts w:ascii="Times New Roman"/>
          <w:b w:val="false"/>
          <w:i w:val="false"/>
          <w:color w:val="000000"/>
          <w:sz w:val="28"/>
        </w:rPr>
        <w:t>;</w:t>
      </w:r>
    </w:p>
    <w:bookmarkStart w:name="z2858" w:id="2853"/>
    <w:p>
      <w:pPr>
        <w:spacing w:after="0"/>
        <w:ind w:left="0"/>
        <w:jc w:val="both"/>
      </w:pPr>
      <w:r>
        <w:rPr>
          <w:rFonts w:ascii="Times New Roman"/>
          <w:b w:val="false"/>
          <w:i w:val="false"/>
          <w:color w:val="000000"/>
          <w:sz w:val="28"/>
        </w:rPr>
        <w:t>
      2) действующие в поперечном сечении полукорпуса нормальные напряжения (для судостроительной стали нормальной прочности) не превышать:</w:t>
      </w:r>
    </w:p>
    <w:bookmarkEnd w:id="2853"/>
    <w:bookmarkStart w:name="z2859" w:id="2854"/>
    <w:p>
      <w:pPr>
        <w:spacing w:after="0"/>
        <w:ind w:left="0"/>
        <w:jc w:val="both"/>
      </w:pPr>
      <w:r>
        <w:rPr>
          <w:rFonts w:ascii="Times New Roman"/>
          <w:b w:val="false"/>
          <w:i w:val="false"/>
          <w:color w:val="000000"/>
          <w:sz w:val="28"/>
        </w:rPr>
        <w:t>
      для нижней кромки палубного стрингера — 150 МПа;</w:t>
      </w:r>
    </w:p>
    <w:bookmarkEnd w:id="2854"/>
    <w:bookmarkStart w:name="z2860" w:id="2855"/>
    <w:p>
      <w:pPr>
        <w:spacing w:after="0"/>
        <w:ind w:left="0"/>
        <w:jc w:val="both"/>
      </w:pPr>
      <w:r>
        <w:rPr>
          <w:rFonts w:ascii="Times New Roman"/>
          <w:b w:val="false"/>
          <w:i w:val="false"/>
          <w:color w:val="000000"/>
          <w:sz w:val="28"/>
        </w:rPr>
        <w:t>
      для верхней кромки горизонтального киля — 145 МПа;</w:t>
      </w:r>
    </w:p>
    <w:bookmarkEnd w:id="2855"/>
    <w:p>
      <w:pPr>
        <w:spacing w:after="0"/>
        <w:ind w:left="0"/>
        <w:jc w:val="both"/>
      </w:pPr>
      <w:r>
        <w:rPr>
          <w:rFonts w:ascii="Times New Roman"/>
          <w:b w:val="false"/>
          <w:i w:val="false"/>
          <w:color w:val="000000"/>
          <w:sz w:val="28"/>
        </w:rPr>
        <w:t>
      в пояске комингса — 165 МПа;</w:t>
      </w:r>
    </w:p>
    <w:bookmarkStart w:name="z2861" w:id="2856"/>
    <w:p>
      <w:pPr>
        <w:spacing w:after="0"/>
        <w:ind w:left="0"/>
        <w:jc w:val="both"/>
      </w:pPr>
      <w:r>
        <w:rPr>
          <w:rFonts w:ascii="Times New Roman"/>
          <w:b w:val="false"/>
          <w:i w:val="false"/>
          <w:color w:val="000000"/>
          <w:sz w:val="28"/>
        </w:rPr>
        <w:t xml:space="preserve">
      3) допускаемые касательные напряжения для элементов из судостроительной стали нормальной прочности, участвующих в продольном изгибе, принимаются 115 МПа. При этом приведенные напряжения </w:t>
      </w:r>
    </w:p>
    <w:bookmarkEnd w:id="2856"/>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eq</w:t>
      </w:r>
      <w:r>
        <w:rPr>
          <w:rFonts w:ascii="Times New Roman"/>
          <w:b w:val="false"/>
          <w:i w:val="false"/>
          <w:color w:val="000000"/>
          <w:sz w:val="28"/>
        </w:rPr>
        <w:t xml:space="preserve"> =</w:t>
      </w:r>
    </w:p>
    <w:p>
      <w:pPr>
        <w:spacing w:after="0"/>
        <w:ind w:left="0"/>
        <w:jc w:val="both"/>
      </w:pP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685800" cy="266700"/>
                    </a:xfrm>
                    <a:prstGeom prst="rect">
                      <a:avLst/>
                    </a:prstGeom>
                  </pic:spPr>
                </pic:pic>
              </a:graphicData>
            </a:graphic>
          </wp:inline>
        </w:drawing>
      </w:r>
    </w:p>
    <w:p>
      <w:pPr>
        <w:spacing w:after="0"/>
        <w:ind w:left="0"/>
        <w:jc w:val="left"/>
      </w:pPr>
      <w:r>
        <w:rPr>
          <w:rFonts w:ascii="Times New Roman"/>
          <w:b w:val="false"/>
          <w:i w:val="false"/>
          <w:color w:val="000000"/>
          <w:sz w:val="28"/>
        </w:rPr>
        <w:t>в сечениях, где действуют значительные нормальные у и касательные ф напряжения (у концов грунтового трюма), не более 170 МПа;</w:t>
      </w:r>
      <w:r>
        <w:br/>
      </w:r>
      <w:r>
        <w:rPr>
          <w:rFonts w:ascii="Times New Roman"/>
          <w:b w:val="false"/>
          <w:i w:val="false"/>
          <w:color w:val="000000"/>
          <w:sz w:val="28"/>
        </w:rPr>
        <w:t>
</w:t>
      </w:r>
    </w:p>
    <w:bookmarkStart w:name="z2862" w:id="2857"/>
    <w:p>
      <w:pPr>
        <w:spacing w:after="0"/>
        <w:ind w:left="0"/>
        <w:jc w:val="both"/>
      </w:pPr>
      <w:r>
        <w:rPr>
          <w:rFonts w:ascii="Times New Roman"/>
          <w:b w:val="false"/>
          <w:i w:val="false"/>
          <w:color w:val="000000"/>
          <w:sz w:val="28"/>
        </w:rPr>
        <w:t>
      4) обеспечивается устойчивость сжатых связей согласно параграфу 4 главы 13 настоящих Правил.</w:t>
      </w:r>
    </w:p>
    <w:bookmarkEnd w:id="2857"/>
    <w:bookmarkStart w:name="z2863" w:id="2858"/>
    <w:p>
      <w:pPr>
        <w:spacing w:after="0"/>
        <w:ind w:left="0"/>
        <w:jc w:val="both"/>
      </w:pPr>
      <w:r>
        <w:rPr>
          <w:rFonts w:ascii="Times New Roman"/>
          <w:b w:val="false"/>
          <w:i w:val="false"/>
          <w:color w:val="000000"/>
          <w:sz w:val="28"/>
        </w:rPr>
        <w:t>
      736. Днищевой набор отвечает следующим требованиям:</w:t>
      </w:r>
    </w:p>
    <w:bookmarkEnd w:id="2858"/>
    <w:bookmarkStart w:name="z2864" w:id="2859"/>
    <w:p>
      <w:pPr>
        <w:spacing w:after="0"/>
        <w:ind w:left="0"/>
        <w:jc w:val="both"/>
      </w:pPr>
      <w:r>
        <w:rPr>
          <w:rFonts w:ascii="Times New Roman"/>
          <w:b w:val="false"/>
          <w:i w:val="false"/>
          <w:color w:val="000000"/>
          <w:sz w:val="28"/>
        </w:rPr>
        <w:t xml:space="preserve">
      1) при поперечной системе набора днища в бортовых отсеках момент сопротивления и размеры флоров определяются согласно подпункту 1) пункта 339 настоящих Правил; при этом в качестве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принимается удвоенная ширина бортового отсека по днищу;</w:t>
      </w:r>
    </w:p>
    <w:bookmarkEnd w:id="2859"/>
    <w:bookmarkStart w:name="z2865" w:id="2860"/>
    <w:p>
      <w:pPr>
        <w:spacing w:after="0"/>
        <w:ind w:left="0"/>
        <w:jc w:val="both"/>
      </w:pPr>
      <w:r>
        <w:rPr>
          <w:rFonts w:ascii="Times New Roman"/>
          <w:b w:val="false"/>
          <w:i w:val="false"/>
          <w:color w:val="000000"/>
          <w:sz w:val="28"/>
        </w:rPr>
        <w:t xml:space="preserve">
      2) при продольной системе набора одинарного дна в бортовых отсеках продольные днищевые балки имеют момент сопротивления не менее определенного согласно подпункту 1) пункта 340 настоящих Правил. Флоры устанавливаются в плоскости поперечных рам, их момент сопротивления и площадь поперечного сечения не менее определенных согласно подпунктов 3) и 4) пункта 340 настоящих Правил. Момент сопротивления и высота стрингера не менее требуемых для флора. Высота стенки флора не менее 0,13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(подпункт 1) пункта 736 настоящих Правил);</w:t>
      </w:r>
    </w:p>
    <w:bookmarkEnd w:id="2860"/>
    <w:bookmarkStart w:name="z2866" w:id="2861"/>
    <w:p>
      <w:pPr>
        <w:spacing w:after="0"/>
        <w:ind w:left="0"/>
        <w:jc w:val="both"/>
      </w:pPr>
      <w:r>
        <w:rPr>
          <w:rFonts w:ascii="Times New Roman"/>
          <w:b w:val="false"/>
          <w:i w:val="false"/>
          <w:color w:val="000000"/>
          <w:sz w:val="28"/>
        </w:rPr>
        <w:t xml:space="preserve">
      3) размеры элементов днищевого набора в каждом полукорпусе раскрывающихся судов определяются согласно пункту 340 настоящих Правил; при этом за ширину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принимается ширина одного полукорпуса в данном месте. Вертикальный киль на раскрывающихся судах отсутствует;</w:t>
      </w:r>
    </w:p>
    <w:bookmarkEnd w:id="2861"/>
    <w:bookmarkStart w:name="z2867" w:id="2862"/>
    <w:p>
      <w:pPr>
        <w:spacing w:after="0"/>
        <w:ind w:left="0"/>
        <w:jc w:val="both"/>
      </w:pPr>
      <w:r>
        <w:rPr>
          <w:rFonts w:ascii="Times New Roman"/>
          <w:b w:val="false"/>
          <w:i w:val="false"/>
          <w:color w:val="000000"/>
          <w:sz w:val="28"/>
        </w:rPr>
        <w:t>
      4) элементы двойного дна в районе грунтового трюма определяются как для сухогрузных судов с двойным бортом согласно главы 18 настоящих Правил с учетом пункта 710 настоящих Правил, вне района грунтового трюма — как для сухогрузных судов с одним бортом по требованиям этих же пунктов.</w:t>
      </w:r>
    </w:p>
    <w:bookmarkEnd w:id="2862"/>
    <w:bookmarkStart w:name="z2868" w:id="2863"/>
    <w:p>
      <w:pPr>
        <w:spacing w:after="0"/>
        <w:ind w:left="0"/>
        <w:jc w:val="both"/>
      </w:pPr>
      <w:r>
        <w:rPr>
          <w:rFonts w:ascii="Times New Roman"/>
          <w:b w:val="false"/>
          <w:i w:val="false"/>
          <w:color w:val="000000"/>
          <w:sz w:val="28"/>
        </w:rPr>
        <w:t>
      Расстояние между сплошными флорами не превышает максимального расстояния между рамами, указанного в подпункте 1) пункта 716 настоящих Правил;</w:t>
      </w:r>
    </w:p>
    <w:bookmarkEnd w:id="2863"/>
    <w:bookmarkStart w:name="z2869" w:id="2864"/>
    <w:p>
      <w:pPr>
        <w:spacing w:after="0"/>
        <w:ind w:left="0"/>
        <w:jc w:val="both"/>
      </w:pPr>
      <w:r>
        <w:rPr>
          <w:rFonts w:ascii="Times New Roman"/>
          <w:b w:val="false"/>
          <w:i w:val="false"/>
          <w:color w:val="000000"/>
          <w:sz w:val="28"/>
        </w:rPr>
        <w:t>
      5) для плавкранов днищевые поперечные балки имеют момент сопротивления согласно главы 17 настоящих Правил, а дополнительные днищевые продольные балки — такой же момент сопротивления, как основные продольные балки;</w:t>
      </w:r>
    </w:p>
    <w:bookmarkEnd w:id="2864"/>
    <w:bookmarkStart w:name="z2870" w:id="2865"/>
    <w:p>
      <w:pPr>
        <w:spacing w:after="0"/>
        <w:ind w:left="0"/>
        <w:jc w:val="both"/>
      </w:pPr>
      <w:r>
        <w:rPr>
          <w:rFonts w:ascii="Times New Roman"/>
          <w:b w:val="false"/>
          <w:i w:val="false"/>
          <w:color w:val="000000"/>
          <w:sz w:val="28"/>
        </w:rPr>
        <w:t xml:space="preserve">
      6) при определении момента сопротивления и высоты флоров плавкранов согласно главы 17 настоящих Правил за величину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принимается пролет флоров между бортом и продольной переборкой либо между продольными переборками, но не менее 0,4 полной ширины судна;</w:t>
      </w:r>
    </w:p>
    <w:bookmarkEnd w:id="2865"/>
    <w:bookmarkStart w:name="z2871" w:id="2866"/>
    <w:p>
      <w:pPr>
        <w:spacing w:after="0"/>
        <w:ind w:left="0"/>
        <w:jc w:val="both"/>
      </w:pPr>
      <w:r>
        <w:rPr>
          <w:rFonts w:ascii="Times New Roman"/>
          <w:b w:val="false"/>
          <w:i w:val="false"/>
          <w:color w:val="000000"/>
          <w:sz w:val="28"/>
        </w:rPr>
        <w:t>
      7) при продольной системе набора днища размеры флоров и днищевых продольных балок плавкранов вне района двойного дна определяются согласно пункту 340 настоящих Правил.</w:t>
      </w:r>
    </w:p>
    <w:bookmarkEnd w:id="2866"/>
    <w:bookmarkStart w:name="z2872" w:id="2867"/>
    <w:p>
      <w:pPr>
        <w:spacing w:after="0"/>
        <w:ind w:left="0"/>
        <w:jc w:val="both"/>
      </w:pPr>
      <w:r>
        <w:rPr>
          <w:rFonts w:ascii="Times New Roman"/>
          <w:b w:val="false"/>
          <w:i w:val="false"/>
          <w:color w:val="000000"/>
          <w:sz w:val="28"/>
        </w:rPr>
        <w:t>
      737. Наружная обшивка соответствует следующему:</w:t>
      </w:r>
    </w:p>
    <w:bookmarkEnd w:id="2867"/>
    <w:bookmarkStart w:name="z2873" w:id="2868"/>
    <w:p>
      <w:pPr>
        <w:spacing w:after="0"/>
        <w:ind w:left="0"/>
        <w:jc w:val="both"/>
      </w:pPr>
      <w:r>
        <w:rPr>
          <w:rFonts w:ascii="Times New Roman"/>
          <w:b w:val="false"/>
          <w:i w:val="false"/>
          <w:color w:val="000000"/>
          <w:sz w:val="28"/>
        </w:rPr>
        <w:t>
      1) размеры листовых элементов определяются согласно параграфу 3 главы 16 настоящих Правил.</w:t>
      </w:r>
    </w:p>
    <w:bookmarkEnd w:id="2868"/>
    <w:bookmarkStart w:name="z2874" w:id="2869"/>
    <w:p>
      <w:pPr>
        <w:spacing w:after="0"/>
        <w:ind w:left="0"/>
        <w:jc w:val="both"/>
      </w:pPr>
      <w:r>
        <w:rPr>
          <w:rFonts w:ascii="Times New Roman"/>
          <w:b w:val="false"/>
          <w:i w:val="false"/>
          <w:color w:val="000000"/>
          <w:sz w:val="28"/>
        </w:rPr>
        <w:t>
      Толщина днищевых поясьев, с которыми соединены продольные переборки грунтового трюма или прорези, увеличивается на 15 % по сравнению с толщиной днищевой обшивки. При отсутствии килевой балки толщина днищевых поясьев, примыкающих к продольной переборке грунтового трюма, увеличивают на 50 %;</w:t>
      </w:r>
    </w:p>
    <w:bookmarkEnd w:id="2869"/>
    <w:bookmarkStart w:name="z2875" w:id="2870"/>
    <w:p>
      <w:pPr>
        <w:spacing w:after="0"/>
        <w:ind w:left="0"/>
        <w:jc w:val="both"/>
      </w:pPr>
      <w:r>
        <w:rPr>
          <w:rFonts w:ascii="Times New Roman"/>
          <w:b w:val="false"/>
          <w:i w:val="false"/>
          <w:color w:val="000000"/>
          <w:sz w:val="28"/>
        </w:rPr>
        <w:t>
      2) толщина бортовой обшивки у концов фунтового трюма не менее требуемой параграфом 6 главы 11 настоящих Правил;</w:t>
      </w:r>
    </w:p>
    <w:bookmarkEnd w:id="2870"/>
    <w:bookmarkStart w:name="z2876" w:id="2871"/>
    <w:p>
      <w:pPr>
        <w:spacing w:after="0"/>
        <w:ind w:left="0"/>
        <w:jc w:val="both"/>
      </w:pPr>
      <w:r>
        <w:rPr>
          <w:rFonts w:ascii="Times New Roman"/>
          <w:b w:val="false"/>
          <w:i w:val="false"/>
          <w:color w:val="000000"/>
          <w:sz w:val="28"/>
        </w:rPr>
        <w:t>
      3) толщина днищевой и бортовой обшивкина протяжении 0,15</w:t>
      </w:r>
      <w:r>
        <w:rPr>
          <w:rFonts w:ascii="Times New Roman"/>
          <w:b w:val="false"/>
          <w:i/>
          <w:color w:val="000000"/>
          <w:sz w:val="28"/>
        </w:rPr>
        <w:t>L</w:t>
      </w:r>
      <w:r>
        <w:rPr>
          <w:rFonts w:ascii="Times New Roman"/>
          <w:b w:val="false"/>
          <w:i w:val="false"/>
          <w:color w:val="000000"/>
          <w:sz w:val="28"/>
        </w:rPr>
        <w:t xml:space="preserve"> от носового и кормового перпендикуляров на судах с понтонной формой корпуса не менее толщины обшивки в средней части;</w:t>
      </w:r>
    </w:p>
    <w:bookmarkEnd w:id="2871"/>
    <w:bookmarkStart w:name="z2877" w:id="2872"/>
    <w:p>
      <w:pPr>
        <w:spacing w:after="0"/>
        <w:ind w:left="0"/>
        <w:jc w:val="both"/>
      </w:pPr>
      <w:r>
        <w:rPr>
          <w:rFonts w:ascii="Times New Roman"/>
          <w:b w:val="false"/>
          <w:i w:val="false"/>
          <w:color w:val="000000"/>
          <w:sz w:val="28"/>
        </w:rPr>
        <w:t>
      4) толщина обшивки продольной переборки прорези равной толщине бортовой обшивки в данном райне, но не менее 8 мм;</w:t>
      </w:r>
    </w:p>
    <w:bookmarkEnd w:id="2872"/>
    <w:bookmarkStart w:name="z2878" w:id="2873"/>
    <w:p>
      <w:pPr>
        <w:spacing w:after="0"/>
        <w:ind w:left="0"/>
        <w:jc w:val="both"/>
      </w:pPr>
      <w:r>
        <w:rPr>
          <w:rFonts w:ascii="Times New Roman"/>
          <w:b w:val="false"/>
          <w:i w:val="false"/>
          <w:color w:val="000000"/>
          <w:sz w:val="28"/>
        </w:rPr>
        <w:t>
      5) для раскрывающихся судов толщина наружной обшивки определяется с учетом пункта 735 настоящих Правил.</w:t>
      </w:r>
    </w:p>
    <w:bookmarkEnd w:id="2873"/>
    <w:bookmarkStart w:name="z2879" w:id="2874"/>
    <w:p>
      <w:pPr>
        <w:spacing w:after="0"/>
        <w:ind w:left="0"/>
        <w:jc w:val="both"/>
      </w:pPr>
      <w:r>
        <w:rPr>
          <w:rFonts w:ascii="Times New Roman"/>
          <w:b w:val="false"/>
          <w:i w:val="false"/>
          <w:color w:val="000000"/>
          <w:sz w:val="28"/>
        </w:rPr>
        <w:t>
      Увеличение толщины днищевых поясьев у продольной переборки грунтового трюма не требуется;</w:t>
      </w:r>
    </w:p>
    <w:bookmarkEnd w:id="2874"/>
    <w:bookmarkStart w:name="z2880" w:id="2875"/>
    <w:p>
      <w:pPr>
        <w:spacing w:after="0"/>
        <w:ind w:left="0"/>
        <w:jc w:val="both"/>
      </w:pPr>
      <w:r>
        <w:rPr>
          <w:rFonts w:ascii="Times New Roman"/>
          <w:b w:val="false"/>
          <w:i w:val="false"/>
          <w:color w:val="000000"/>
          <w:sz w:val="28"/>
        </w:rPr>
        <w:t>
      6) для плавкранов толщина днищевой обшивки на протяжении 0,2</w:t>
      </w:r>
      <w:r>
        <w:rPr>
          <w:rFonts w:ascii="Times New Roman"/>
          <w:b w:val="false"/>
          <w:i/>
          <w:color w:val="000000"/>
          <w:sz w:val="28"/>
        </w:rPr>
        <w:t>L</w:t>
      </w:r>
      <w:r>
        <w:rPr>
          <w:rFonts w:ascii="Times New Roman"/>
          <w:b w:val="false"/>
          <w:i w:val="false"/>
          <w:color w:val="000000"/>
          <w:sz w:val="28"/>
        </w:rPr>
        <w:t xml:space="preserve"> от носового перпендикуляра по всей ширине корпуса увеличивается на 30 % по сравнению с минимальной согласно пункту 321 настоящих Правил.</w:t>
      </w:r>
    </w:p>
    <w:bookmarkEnd w:id="2875"/>
    <w:bookmarkStart w:name="z2881" w:id="2876"/>
    <w:p>
      <w:pPr>
        <w:spacing w:after="0"/>
        <w:ind w:left="0"/>
        <w:jc w:val="both"/>
      </w:pPr>
      <w:r>
        <w:rPr>
          <w:rFonts w:ascii="Times New Roman"/>
          <w:b w:val="false"/>
          <w:i w:val="false"/>
          <w:color w:val="000000"/>
          <w:sz w:val="28"/>
        </w:rPr>
        <w:t>
      В форпике и на участках протяженностью от углов кормового транца в нос на 0,1</w:t>
      </w:r>
      <w:r>
        <w:rPr>
          <w:rFonts w:ascii="Times New Roman"/>
          <w:b w:val="false"/>
          <w:i/>
          <w:color w:val="000000"/>
          <w:sz w:val="28"/>
        </w:rPr>
        <w:t>L</w:t>
      </w:r>
      <w:r>
        <w:rPr>
          <w:rFonts w:ascii="Times New Roman"/>
          <w:b w:val="false"/>
          <w:i w:val="false"/>
          <w:color w:val="000000"/>
          <w:sz w:val="28"/>
        </w:rPr>
        <w:t xml:space="preserve"> и к диаметральной плоскости на 0,1</w:t>
      </w:r>
      <w:r>
        <w:rPr>
          <w:rFonts w:ascii="Times New Roman"/>
          <w:b w:val="false"/>
          <w:i/>
          <w:color w:val="000000"/>
          <w:sz w:val="28"/>
        </w:rPr>
        <w:t>В</w:t>
      </w:r>
      <w:r>
        <w:rPr>
          <w:rFonts w:ascii="Times New Roman"/>
          <w:b w:val="false"/>
          <w:i w:val="false"/>
          <w:color w:val="000000"/>
          <w:sz w:val="28"/>
        </w:rPr>
        <w:t xml:space="preserve"> по всей высоте борта предусматривают увеличение толщины бортовой обшивки до величины на 30 % более минимальной согласно пункту 321 (подпункт 2) пункта 710 настоящих Правил).</w:t>
      </w:r>
    </w:p>
    <w:bookmarkEnd w:id="2876"/>
    <w:bookmarkStart w:name="z2882" w:id="2877"/>
    <w:p>
      <w:pPr>
        <w:spacing w:after="0"/>
        <w:ind w:left="0"/>
        <w:jc w:val="both"/>
      </w:pPr>
      <w:r>
        <w:rPr>
          <w:rFonts w:ascii="Times New Roman"/>
          <w:b w:val="false"/>
          <w:i w:val="false"/>
          <w:color w:val="000000"/>
          <w:sz w:val="28"/>
        </w:rPr>
        <w:t>
      В других районах по длине корпуса минимальная толщина наружной обшивки увеличивается на 10 % по сравнению с предписываемой пунктом 321 настоящих Правил;</w:t>
      </w:r>
    </w:p>
    <w:bookmarkEnd w:id="2877"/>
    <w:bookmarkStart w:name="z2883" w:id="2878"/>
    <w:p>
      <w:pPr>
        <w:spacing w:after="0"/>
        <w:ind w:left="0"/>
        <w:jc w:val="both"/>
      </w:pPr>
      <w:r>
        <w:rPr>
          <w:rFonts w:ascii="Times New Roman"/>
          <w:b w:val="false"/>
          <w:i w:val="false"/>
          <w:color w:val="000000"/>
          <w:sz w:val="28"/>
        </w:rPr>
        <w:t>
      7) толщина обшивки носового и кормового транцев плавкранов не менее требуемой согласно подпункту 3) настоящего пункта Правил.</w:t>
      </w:r>
    </w:p>
    <w:bookmarkEnd w:id="2878"/>
    <w:bookmarkStart w:name="z2884" w:id="2879"/>
    <w:p>
      <w:pPr>
        <w:spacing w:after="0"/>
        <w:ind w:left="0"/>
        <w:jc w:val="both"/>
      </w:pPr>
      <w:r>
        <w:rPr>
          <w:rFonts w:ascii="Times New Roman"/>
          <w:b w:val="false"/>
          <w:i w:val="false"/>
          <w:color w:val="000000"/>
          <w:sz w:val="28"/>
        </w:rPr>
        <w:t>
      738. Размеры элементов бортового набора определяются согласно главы 19 настоящих Правил с учетом пунктов 710 и 716 настоящих Правил, а также следующих требований:</w:t>
      </w:r>
    </w:p>
    <w:bookmarkEnd w:id="2879"/>
    <w:bookmarkStart w:name="z2885" w:id="2880"/>
    <w:p>
      <w:pPr>
        <w:spacing w:after="0"/>
        <w:ind w:left="0"/>
        <w:jc w:val="both"/>
      </w:pPr>
      <w:r>
        <w:rPr>
          <w:rFonts w:ascii="Times New Roman"/>
          <w:b w:val="false"/>
          <w:i w:val="false"/>
          <w:color w:val="000000"/>
          <w:sz w:val="28"/>
        </w:rPr>
        <w:t>
      1) момент сопротивления шпангоутов в бортовых отсеках при поперечной системе набора определяется согласно пункту 380 настоящих Правил как для сухогрузных судов.</w:t>
      </w:r>
    </w:p>
    <w:bookmarkEnd w:id="2880"/>
    <w:bookmarkStart w:name="z2886" w:id="2881"/>
    <w:p>
      <w:pPr>
        <w:spacing w:after="0"/>
        <w:ind w:left="0"/>
        <w:jc w:val="both"/>
      </w:pPr>
      <w:r>
        <w:rPr>
          <w:rFonts w:ascii="Times New Roman"/>
          <w:b w:val="false"/>
          <w:i w:val="false"/>
          <w:color w:val="000000"/>
          <w:sz w:val="28"/>
        </w:rPr>
        <w:t>
      Допускается при наличии бортового стрингера на уровне привального бруса определять пролеты основных шпангоутов согласно пункту 374 как для шпангоутов наливных судов при условии, что конструкция стрингера отвечает требованиям подпункта 2) пункта 738 настоящих Правил. При отсутствии поперечных рам допускается установка раскосов в плоскости горизонтальных рам продольных переборок;</w:t>
      </w:r>
    </w:p>
    <w:bookmarkEnd w:id="2881"/>
    <w:bookmarkStart w:name="z2887" w:id="2882"/>
    <w:p>
      <w:pPr>
        <w:spacing w:after="0"/>
        <w:ind w:left="0"/>
        <w:jc w:val="both"/>
      </w:pPr>
      <w:r>
        <w:rPr>
          <w:rFonts w:ascii="Times New Roman"/>
          <w:b w:val="false"/>
          <w:i w:val="false"/>
          <w:color w:val="000000"/>
          <w:sz w:val="28"/>
        </w:rPr>
        <w:t>
      2) размеры бортовых стрингеров определяются согласно пункту 383 настоящих Правил, как при установке рамных шпангоутов. Высота стенки стрингера не менее 0,08</w:t>
      </w:r>
      <w:r>
        <w:rPr>
          <w:rFonts w:ascii="Times New Roman"/>
          <w:b w:val="false"/>
          <w:i/>
          <w:color w:val="000000"/>
          <w:sz w:val="28"/>
        </w:rPr>
        <w:t>l</w:t>
      </w: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пролет стрингера, измеренный между рамными шпангоутами или между ними и непроницаемыми поперечными переборками) или 2,5 высоты профиля шпангоута в зависимости от того, что больше. Бортовые стрингеры устанавливаются в плоскости распорок поперечных рам;</w:t>
      </w:r>
    </w:p>
    <w:bookmarkEnd w:id="2882"/>
    <w:bookmarkStart w:name="z2888" w:id="2883"/>
    <w:p>
      <w:pPr>
        <w:spacing w:after="0"/>
        <w:ind w:left="0"/>
        <w:jc w:val="both"/>
      </w:pPr>
      <w:r>
        <w:rPr>
          <w:rFonts w:ascii="Times New Roman"/>
          <w:b w:val="false"/>
          <w:i w:val="false"/>
          <w:color w:val="000000"/>
          <w:sz w:val="28"/>
        </w:rPr>
        <w:t xml:space="preserve">
      3) момент сопротивления продольных бортовых балок определяется согласно пункту 382 настоящих Правил при значениях </w:t>
      </w:r>
    </w:p>
    <w:bookmarkEnd w:id="288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сухогрузных судов;</w:t>
      </w:r>
      <w:r>
        <w:br/>
      </w:r>
      <w:r>
        <w:rPr>
          <w:rFonts w:ascii="Times New Roman"/>
          <w:b w:val="false"/>
          <w:i w:val="false"/>
          <w:color w:val="000000"/>
          <w:sz w:val="28"/>
        </w:rPr>
        <w:t>
</w:t>
      </w:r>
    </w:p>
    <w:bookmarkStart w:name="z2889" w:id="2884"/>
    <w:p>
      <w:pPr>
        <w:spacing w:after="0"/>
        <w:ind w:left="0"/>
        <w:jc w:val="both"/>
      </w:pPr>
      <w:r>
        <w:rPr>
          <w:rFonts w:ascii="Times New Roman"/>
          <w:b w:val="false"/>
          <w:i w:val="false"/>
          <w:color w:val="000000"/>
          <w:sz w:val="28"/>
        </w:rPr>
        <w:t>
      4) рамные шпангоуты, являющиеся частью поперечной рамы, имеют момент сопротивления и площадь поперечного сечения не менее требуемых в пункте 384 настоящих Правил для наливных судов.</w:t>
      </w:r>
    </w:p>
    <w:bookmarkEnd w:id="2884"/>
    <w:bookmarkStart w:name="z2890" w:id="2885"/>
    <w:p>
      <w:pPr>
        <w:spacing w:after="0"/>
        <w:ind w:left="0"/>
        <w:jc w:val="both"/>
      </w:pPr>
      <w:r>
        <w:rPr>
          <w:rFonts w:ascii="Times New Roman"/>
          <w:b w:val="false"/>
          <w:i w:val="false"/>
          <w:color w:val="000000"/>
          <w:sz w:val="28"/>
        </w:rPr>
        <w:t>
      Пролет рамного шпангоута измеряется между внутренними кромками флора и внутренней кромкой бимса палубы.</w:t>
      </w:r>
    </w:p>
    <w:bookmarkEnd w:id="2885"/>
    <w:bookmarkStart w:name="z2891" w:id="2886"/>
    <w:p>
      <w:pPr>
        <w:spacing w:after="0"/>
        <w:ind w:left="0"/>
        <w:jc w:val="both"/>
      </w:pPr>
      <w:r>
        <w:rPr>
          <w:rFonts w:ascii="Times New Roman"/>
          <w:b w:val="false"/>
          <w:i w:val="false"/>
          <w:color w:val="000000"/>
          <w:sz w:val="28"/>
        </w:rPr>
        <w:t>
      Высота стенки рамного шпангоута не менее 0,1</w:t>
      </w:r>
      <w:r>
        <w:rPr>
          <w:rFonts w:ascii="Times New Roman"/>
          <w:b w:val="false"/>
          <w:i/>
          <w:color w:val="000000"/>
          <w:sz w:val="28"/>
        </w:rPr>
        <w:t>l</w:t>
      </w:r>
      <w:r>
        <w:rPr>
          <w:rFonts w:ascii="Times New Roman"/>
          <w:b w:val="false"/>
          <w:i w:val="false"/>
          <w:color w:val="000000"/>
          <w:sz w:val="28"/>
        </w:rPr>
        <w:t xml:space="preserve"> или 2,5 высоты профиля продольных балок (в зависимости от того, что больше) и принимают переменной с уменьшением у верхнего конца и увеличением у нижнего на 10 % по сравнению со средним значением;</w:t>
      </w:r>
    </w:p>
    <w:bookmarkEnd w:id="2886"/>
    <w:bookmarkStart w:name="z2892" w:id="2887"/>
    <w:p>
      <w:pPr>
        <w:spacing w:after="0"/>
        <w:ind w:left="0"/>
        <w:jc w:val="both"/>
      </w:pPr>
      <w:r>
        <w:rPr>
          <w:rFonts w:ascii="Times New Roman"/>
          <w:b w:val="false"/>
          <w:i w:val="false"/>
          <w:color w:val="000000"/>
          <w:sz w:val="28"/>
        </w:rPr>
        <w:t>
      5) момент сопротивления стоек продольной переборки прорези не менее требуемого для шпангоутов борта;</w:t>
      </w:r>
    </w:p>
    <w:bookmarkEnd w:id="2887"/>
    <w:bookmarkStart w:name="z2893" w:id="2888"/>
    <w:p>
      <w:pPr>
        <w:spacing w:after="0"/>
        <w:ind w:left="0"/>
        <w:jc w:val="both"/>
      </w:pPr>
      <w:r>
        <w:rPr>
          <w:rFonts w:ascii="Times New Roman"/>
          <w:b w:val="false"/>
          <w:i w:val="false"/>
          <w:color w:val="000000"/>
          <w:sz w:val="28"/>
        </w:rPr>
        <w:t>
      6) момент сопротивления основных и промежуточных шпангоутов плавкранов в форпике увеличивают на 20 % по сравнению с требуемым в подпункте 2) пункта 487 настоящих Правил;</w:t>
      </w:r>
    </w:p>
    <w:bookmarkEnd w:id="2888"/>
    <w:bookmarkStart w:name="z2894" w:id="2889"/>
    <w:p>
      <w:pPr>
        <w:spacing w:after="0"/>
        <w:ind w:left="0"/>
        <w:jc w:val="both"/>
      </w:pPr>
      <w:r>
        <w:rPr>
          <w:rFonts w:ascii="Times New Roman"/>
          <w:b w:val="false"/>
          <w:i w:val="false"/>
          <w:color w:val="000000"/>
          <w:sz w:val="28"/>
        </w:rPr>
        <w:t xml:space="preserve">
      7) момент сопротивления рамного шпангоута плавкрана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в районе, указанном в подпункте 3) пункта 710 настоящих Правил, не менее:</w:t>
      </w:r>
    </w:p>
    <w:bookmarkEnd w:id="288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0,95(300 + </w:t>
      </w:r>
    </w:p>
    <w:p>
      <w:pPr>
        <w:spacing w:after="0"/>
        <w:ind w:left="0"/>
        <w:jc w:val="both"/>
      </w:pPr>
      <w:r>
        <w:drawing>
          <wp:inline distT="0" distB="0" distL="0" distR="0">
            <wp:extent cx="33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330200" cy="495300"/>
                    </a:xfrm>
                    <a:prstGeom prst="rect">
                      <a:avLst/>
                    </a:prstGeom>
                  </pic:spPr>
                </pic:pic>
              </a:graphicData>
            </a:graphic>
          </wp:inline>
        </w:drawing>
      </w:r>
    </w:p>
    <w:p>
      <w:pPr>
        <w:spacing w:after="0"/>
        <w:ind w:left="0"/>
        <w:jc w:val="left"/>
      </w:pPr>
      <w:r>
        <w:rPr>
          <w:rFonts w:ascii="Times New Roman"/>
          <w:b w:val="false"/>
          <w:i/>
          <w:color w:val="000000"/>
          <w:sz w:val="28"/>
        </w:rPr>
        <w:t>bpl</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к,              (239)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пролет рамного шпангоута, измеренный между палубой и верхней кромкой флора,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параграфу 3 настоящей главы Правил, но не менее 0,5</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color w:val="000000"/>
          <w:sz w:val="28"/>
        </w:rPr>
        <w:t>gl</w:t>
      </w:r>
      <w:r>
        <w:rPr>
          <w:rFonts w:ascii="Times New Roman"/>
          <w:b w:val="false"/>
          <w:i w:val="false"/>
          <w:color w:val="000000"/>
          <w:sz w:val="28"/>
        </w:rPr>
        <w:t>, кПа;</w:t>
      </w:r>
      <w:r>
        <w:br/>
      </w:r>
      <w:r>
        <w:rPr>
          <w:rFonts w:ascii="Times New Roman"/>
          <w:b w:val="false"/>
          <w:i w:val="false"/>
          <w:color w:val="000000"/>
          <w:sz w:val="28"/>
        </w:rPr>
        <w:t>
</w:t>
      </w:r>
    </w:p>
    <w:bookmarkStart w:name="z2895" w:id="2890"/>
    <w:p>
      <w:pPr>
        <w:spacing w:after="0"/>
        <w:ind w:left="0"/>
        <w:jc w:val="both"/>
      </w:pPr>
      <w:r>
        <w:rPr>
          <w:rFonts w:ascii="Times New Roman"/>
          <w:b w:val="false"/>
          <w:i w:val="false"/>
          <w:color w:val="000000"/>
          <w:sz w:val="28"/>
        </w:rPr>
        <w:t>
      8) размеры элементов набора носового и кормового транцев плавкранов не менее требуемых согласно подпунктов 2) – 4) и 6) пункта 738 настоящих Правил.</w:t>
      </w:r>
    </w:p>
    <w:bookmarkEnd w:id="2890"/>
    <w:bookmarkStart w:name="z2896" w:id="2891"/>
    <w:p>
      <w:pPr>
        <w:spacing w:after="0"/>
        <w:ind w:left="0"/>
        <w:jc w:val="both"/>
      </w:pPr>
      <w:r>
        <w:rPr>
          <w:rFonts w:ascii="Times New Roman"/>
          <w:b w:val="false"/>
          <w:i w:val="false"/>
          <w:color w:val="000000"/>
          <w:sz w:val="28"/>
        </w:rPr>
        <w:t>
      739. Палубы отвечают следующим требованиям:</w:t>
      </w:r>
    </w:p>
    <w:bookmarkEnd w:id="2891"/>
    <w:bookmarkStart w:name="z2897" w:id="2892"/>
    <w:p>
      <w:pPr>
        <w:spacing w:after="0"/>
        <w:ind w:left="0"/>
        <w:jc w:val="both"/>
      </w:pPr>
      <w:r>
        <w:rPr>
          <w:rFonts w:ascii="Times New Roman"/>
          <w:b w:val="false"/>
          <w:i w:val="false"/>
          <w:color w:val="000000"/>
          <w:sz w:val="28"/>
        </w:rPr>
        <w:t>
      1) толщина настила расчетной палубы в средней части принимается не менее толщины ширстрека. Минимальная толщина палубного настила дноуглубительных судов определяется согласно пункту 408 настоящих Правил, как для расчетной палубы. Для плавкранов минимальная толщина верхней палубы увеличивается на 10 % по сравнению с предписываемой пунктом 408 настоящих Правил, как для расчетной палубы;</w:t>
      </w:r>
    </w:p>
    <w:bookmarkEnd w:id="2892"/>
    <w:bookmarkStart w:name="z2898" w:id="2893"/>
    <w:p>
      <w:pPr>
        <w:spacing w:after="0"/>
        <w:ind w:left="0"/>
        <w:jc w:val="both"/>
      </w:pPr>
      <w:r>
        <w:rPr>
          <w:rFonts w:ascii="Times New Roman"/>
          <w:b w:val="false"/>
          <w:i w:val="false"/>
          <w:color w:val="000000"/>
          <w:sz w:val="28"/>
        </w:rPr>
        <w:t xml:space="preserve">
      2) сжимающие напряжения в палубе </w:t>
      </w:r>
    </w:p>
    <w:bookmarkEnd w:id="2893"/>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определяются при действии составляющих изгибающего момента согласно параграфу 3 настоящей главы Правил. Должны быть выполнены требования параграфа 4 главы 13 настоящих Правил к устойчивости;</w:t>
      </w:r>
      <w:r>
        <w:br/>
      </w:r>
      <w:r>
        <w:rPr>
          <w:rFonts w:ascii="Times New Roman"/>
          <w:b w:val="false"/>
          <w:i w:val="false"/>
          <w:color w:val="000000"/>
          <w:sz w:val="28"/>
        </w:rPr>
        <w:t>
</w:t>
      </w:r>
    </w:p>
    <w:bookmarkStart w:name="z2899" w:id="2894"/>
    <w:p>
      <w:pPr>
        <w:spacing w:after="0"/>
        <w:ind w:left="0"/>
        <w:jc w:val="both"/>
      </w:pPr>
      <w:r>
        <w:rPr>
          <w:rFonts w:ascii="Times New Roman"/>
          <w:b w:val="false"/>
          <w:i w:val="false"/>
          <w:color w:val="000000"/>
          <w:sz w:val="28"/>
        </w:rPr>
        <w:t xml:space="preserve">
      3) рамные бимсы в бортовых отсеках, являющиеся частью поперечной рамы, имеют высоту, равную </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высоты флора, а толщину и поясок, равные толщине и пояску рамной стойки. При этом высота рамного бимса не менее 2,5 высот продольной подпалубной балки;</w:t>
      </w:r>
    </w:p>
    <w:bookmarkEnd w:id="2894"/>
    <w:bookmarkStart w:name="z2900" w:id="2895"/>
    <w:p>
      <w:pPr>
        <w:spacing w:after="0"/>
        <w:ind w:left="0"/>
        <w:jc w:val="both"/>
      </w:pPr>
      <w:r>
        <w:rPr>
          <w:rFonts w:ascii="Times New Roman"/>
          <w:b w:val="false"/>
          <w:i w:val="false"/>
          <w:color w:val="000000"/>
          <w:sz w:val="28"/>
        </w:rPr>
        <w:t xml:space="preserve">
      4) для плавучих кранов момент сопротивления карлингсов определяется согласно пункту 246 настоящих Правил при </w:t>
      </w:r>
    </w:p>
    <w:bookmarkEnd w:id="2895"/>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 и </w:t>
      </w:r>
      <w:r>
        <w:rPr>
          <w:rFonts w:ascii="Times New Roman"/>
          <w:b w:val="false"/>
          <w:i/>
          <w:color w:val="000000"/>
          <w:sz w:val="28"/>
        </w:rPr>
        <w:t>m</w:t>
      </w:r>
      <w:r>
        <w:rPr>
          <w:rFonts w:ascii="Times New Roman"/>
          <w:b w:val="false"/>
          <w:i w:val="false"/>
          <w:color w:val="000000"/>
          <w:sz w:val="28"/>
        </w:rPr>
        <w:t xml:space="preserve"> = 12;</w:t>
      </w:r>
      <w:r>
        <w:br/>
      </w:r>
      <w:r>
        <w:rPr>
          <w:rFonts w:ascii="Times New Roman"/>
          <w:b w:val="false"/>
          <w:i w:val="false"/>
          <w:color w:val="000000"/>
          <w:sz w:val="28"/>
        </w:rPr>
        <w:t>
</w:t>
      </w:r>
    </w:p>
    <w:bookmarkStart w:name="z2901" w:id="2896"/>
    <w:p>
      <w:pPr>
        <w:spacing w:after="0"/>
        <w:ind w:left="0"/>
        <w:jc w:val="both"/>
      </w:pPr>
      <w:r>
        <w:rPr>
          <w:rFonts w:ascii="Times New Roman"/>
          <w:b w:val="false"/>
          <w:i w:val="false"/>
          <w:color w:val="000000"/>
          <w:sz w:val="28"/>
        </w:rPr>
        <w:t>
      5) толщина палубного настила под фундаментами специальных устройств, установленных на палубе (кран-балок сосунов, перегрузочных устройств, грейферных кранов), и в местах прохода через палубу специальных металлоконструкций (черпаковых и рамоподъемных башен) увеличивается на 25 %.</w:t>
      </w:r>
    </w:p>
    <w:bookmarkEnd w:id="2896"/>
    <w:bookmarkStart w:name="z2902" w:id="2897"/>
    <w:p>
      <w:pPr>
        <w:spacing w:after="0"/>
        <w:ind w:left="0"/>
        <w:jc w:val="both"/>
      </w:pPr>
      <w:r>
        <w:rPr>
          <w:rFonts w:ascii="Times New Roman"/>
          <w:b w:val="false"/>
          <w:i w:val="false"/>
          <w:color w:val="000000"/>
          <w:sz w:val="28"/>
        </w:rPr>
        <w:t>
      740. Размеры элементов набора бортов и палуб, толщина настила палуб, набора и обшивки переборок и комингсов раскрывающихся судов определяются с учетом пункта 735 настоящих Правил.</w:t>
      </w:r>
    </w:p>
    <w:bookmarkEnd w:id="2897"/>
    <w:bookmarkStart w:name="z2903" w:id="2898"/>
    <w:p>
      <w:pPr>
        <w:spacing w:after="0"/>
        <w:ind w:left="0"/>
        <w:jc w:val="both"/>
      </w:pPr>
      <w:r>
        <w:rPr>
          <w:rFonts w:ascii="Times New Roman"/>
          <w:b w:val="false"/>
          <w:i w:val="false"/>
          <w:color w:val="000000"/>
          <w:sz w:val="28"/>
        </w:rPr>
        <w:t>
      Если рамные стойки и шпангоуты соединены раскосами или распорками, размеры стоек, шпангоутов и раскосов определяют расчетом и представляют на рассмотрение Регистру судоходства.</w:t>
      </w:r>
    </w:p>
    <w:bookmarkEnd w:id="2898"/>
    <w:bookmarkStart w:name="z2904" w:id="2899"/>
    <w:p>
      <w:pPr>
        <w:spacing w:after="0"/>
        <w:ind w:left="0"/>
        <w:jc w:val="both"/>
      </w:pPr>
      <w:r>
        <w:rPr>
          <w:rFonts w:ascii="Times New Roman"/>
          <w:b w:val="false"/>
          <w:i w:val="false"/>
          <w:color w:val="000000"/>
          <w:sz w:val="28"/>
        </w:rPr>
        <w:t>
      741. На судах с понтонной формой корпуса размеры бортовых стрингеров в носовой оконечности назначаются согласно пункта 495 настоящих Правил, высота и толщина стенки рамных стоек и шпангоутов принимаются равными ширине и толщине стрингера.</w:t>
      </w:r>
    </w:p>
    <w:bookmarkEnd w:id="2899"/>
    <w:bookmarkStart w:name="z2905" w:id="2900"/>
    <w:p>
      <w:pPr>
        <w:spacing w:after="0"/>
        <w:ind w:left="0"/>
        <w:jc w:val="both"/>
      </w:pPr>
      <w:r>
        <w:rPr>
          <w:rFonts w:ascii="Times New Roman"/>
          <w:b w:val="false"/>
          <w:i w:val="false"/>
          <w:color w:val="000000"/>
          <w:sz w:val="28"/>
        </w:rPr>
        <w:t>
      742. Специальные конструкции судов дноуглубительного флота:</w:t>
      </w:r>
    </w:p>
    <w:bookmarkEnd w:id="2900"/>
    <w:bookmarkStart w:name="z2906" w:id="2901"/>
    <w:p>
      <w:pPr>
        <w:spacing w:after="0"/>
        <w:ind w:left="0"/>
        <w:jc w:val="both"/>
      </w:pPr>
      <w:r>
        <w:rPr>
          <w:rFonts w:ascii="Times New Roman"/>
          <w:b w:val="false"/>
          <w:i w:val="false"/>
          <w:color w:val="000000"/>
          <w:sz w:val="28"/>
        </w:rPr>
        <w:t xml:space="preserve">
      1) момент сопротивления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диафрагмы бортового отсека, за вычетом вырезов или суммарный момент сопротивления рамных стойки и шпангоута поперечной рамы в сечении на уровне полувысоты трюмного флора не менее определяемого по формуле:</w:t>
      </w:r>
    </w:p>
    <w:bookmarkEnd w:id="29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282700" cy="495300"/>
                    </a:xfrm>
                    <a:prstGeom prst="rect">
                      <a:avLst/>
                    </a:prstGeom>
                  </pic:spPr>
                </pic:pic>
              </a:graphicData>
            </a:graphic>
          </wp:inline>
        </w:drawing>
      </w:r>
    </w:p>
    <w:p>
      <w:pPr>
        <w:spacing w:after="0"/>
        <w:ind w:left="0"/>
        <w:jc w:val="left"/>
      </w:pPr>
      <w:r>
        <w:rPr>
          <w:rFonts w:ascii="Times New Roman"/>
          <w:b w:val="false"/>
          <w:i w:val="false"/>
          <w:color w:val="000000"/>
          <w:sz w:val="28"/>
        </w:rPr>
        <w:t>,                       (240)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 приложение 96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—пункт 721 настоящих Правил;</w:t>
      </w:r>
    </w:p>
    <w:bookmarkStart w:name="z2907" w:id="2902"/>
    <w:p>
      <w:pPr>
        <w:spacing w:after="0"/>
        <w:ind w:left="0"/>
        <w:jc w:val="both"/>
      </w:pPr>
      <w:r>
        <w:rPr>
          <w:rFonts w:ascii="Times New Roman"/>
          <w:b w:val="false"/>
          <w:i w:val="false"/>
          <w:color w:val="000000"/>
          <w:sz w:val="28"/>
        </w:rPr>
        <w:t xml:space="preserve">
      2) площадь поперечного сечения </w:t>
      </w:r>
    </w:p>
    <w:bookmarkEnd w:id="2902"/>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диафрагмы или суммарная площадь поперечного сечения стенок рамных стойки и шпангоута поперечной рамы на уровне полувысоты трюмного флора не менее: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92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927100" cy="508000"/>
                    </a:xfrm>
                    <a:prstGeom prst="rect">
                      <a:avLst/>
                    </a:prstGeom>
                  </pic:spPr>
                </pic:pic>
              </a:graphicData>
            </a:graphic>
          </wp:inline>
        </w:drawing>
      </w:r>
    </w:p>
    <w:p>
      <w:pPr>
        <w:spacing w:after="0"/>
        <w:ind w:left="0"/>
        <w:jc w:val="left"/>
      </w:pPr>
      <w:r>
        <w:rPr>
          <w:rFonts w:ascii="Times New Roman"/>
          <w:b w:val="false"/>
          <w:i w:val="false"/>
          <w:color w:val="000000"/>
          <w:sz w:val="28"/>
        </w:rPr>
        <w:t>,                       (241)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согласно пункту 725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sb</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характерный размер связи (полуширина палубы, высота стенки продольного элемента набора), см.</w:t>
      </w:r>
    </w:p>
    <w:bookmarkStart w:name="z2908" w:id="2903"/>
    <w:p>
      <w:pPr>
        <w:spacing w:after="0"/>
        <w:ind w:left="0"/>
        <w:jc w:val="both"/>
      </w:pPr>
      <w:r>
        <w:rPr>
          <w:rFonts w:ascii="Times New Roman"/>
          <w:b w:val="false"/>
          <w:i w:val="false"/>
          <w:color w:val="000000"/>
          <w:sz w:val="28"/>
        </w:rPr>
        <w:t>
      Отдельные элементы поперечной рамы (флор, рамные стойка, шпангоут и бимс) имеют размеры не менее требуемых в соответствующих пунктах настоящей главы для этих связей;</w:t>
      </w:r>
    </w:p>
    <w:bookmarkEnd w:id="2903"/>
    <w:bookmarkStart w:name="z2909" w:id="2904"/>
    <w:p>
      <w:pPr>
        <w:spacing w:after="0"/>
        <w:ind w:left="0"/>
        <w:jc w:val="both"/>
      </w:pPr>
      <w:r>
        <w:rPr>
          <w:rFonts w:ascii="Times New Roman"/>
          <w:b w:val="false"/>
          <w:i w:val="false"/>
          <w:color w:val="000000"/>
          <w:sz w:val="28"/>
        </w:rPr>
        <w:t xml:space="preserve">
      3) момент сопротивления W, см3, площадь сечения стенки трюмного флора </w:t>
      </w:r>
    </w:p>
    <w:bookmarkEnd w:id="290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за вычетом вырезов, площадь поперечного сечения флора с поясками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определяемых по формулам:</w:t>
      </w:r>
      <w:r>
        <w:br/>
      </w:r>
      <w:r>
        <w:rPr>
          <w:rFonts w:ascii="Times New Roman"/>
          <w:b w:val="false"/>
          <w:i w:val="false"/>
          <w:color w:val="000000"/>
          <w:sz w:val="28"/>
        </w:rPr>
        <w:t>
</w:t>
      </w:r>
      <w:r>
        <w:br/>
      </w:r>
    </w:p>
    <w:p>
      <w:pPr>
        <w:spacing w:after="0"/>
        <w:ind w:left="0"/>
        <w:jc w:val="both"/>
      </w:pPr>
      <w:r>
        <w:drawing>
          <wp:inline distT="0" distB="0" distL="0" distR="0">
            <wp:extent cx="914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914400" cy="5842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(242)</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w:t>
      </w:r>
    </w:p>
    <w:p>
      <w:pPr>
        <w:spacing w:after="0"/>
        <w:ind w:left="0"/>
        <w:jc w:val="both"/>
      </w:pPr>
      <w:r>
        <w:drawing>
          <wp:inline distT="0" distB="0" distL="0" distR="0">
            <wp:extent cx="1485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1485900" cy="596900"/>
                    </a:xfrm>
                    <a:prstGeom prst="rect">
                      <a:avLst/>
                    </a:prstGeom>
                  </pic:spPr>
                </pic:pic>
              </a:graphicData>
            </a:graphic>
          </wp:inline>
        </w:drawing>
      </w:r>
    </w:p>
    <w:p>
      <w:pPr>
        <w:spacing w:after="0"/>
        <w:ind w:left="0"/>
        <w:jc w:val="left"/>
      </w:pPr>
      <w:r>
        <w:rPr>
          <w:rFonts w:ascii="Times New Roman"/>
          <w:b w:val="false"/>
          <w:i w:val="false"/>
          <w:color w:val="000000"/>
          <w:sz w:val="28"/>
        </w:rPr>
        <w:t>А</w:t>
      </w:r>
      <w:r>
        <w:rPr>
          <w:rFonts w:ascii="Times New Roman"/>
          <w:b w:val="false"/>
          <w:i w:val="false"/>
          <w:color w:val="000000"/>
          <w:vertAlign w:val="subscript"/>
        </w:rPr>
        <w:t>к.б</w:t>
      </w:r>
      <w:r>
        <w:rPr>
          <w:rFonts w:ascii="Times New Roman"/>
          <w:b w:val="false"/>
          <w:i w:val="false"/>
          <w:color w:val="000000"/>
          <w:sz w:val="28"/>
        </w:rPr>
        <w:t>) + 0,1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(243)</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533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533400" cy="546100"/>
                    </a:xfrm>
                    <a:prstGeom prst="rect">
                      <a:avLst/>
                    </a:prstGeom>
                  </pic:spPr>
                </pic:pic>
              </a:graphicData>
            </a:graphic>
          </wp:inline>
        </w:drawing>
      </w:r>
    </w:p>
    <w:p>
      <w:pPr>
        <w:spacing w:after="0"/>
        <w:ind w:left="0"/>
        <w:jc w:val="left"/>
      </w:pPr>
      <w:r>
        <w:rPr>
          <w:rFonts w:ascii="Times New Roman"/>
          <w:b w:val="false"/>
          <w:i w:val="false"/>
          <w:color w:val="000000"/>
          <w:sz w:val="28"/>
        </w:rPr>
        <w:t>+ 0,1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br/>
      </w: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=0,2;</w:t>
      </w:r>
      <w:r>
        <w:br/>
      </w: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—пункт 722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т.ф</w:t>
      </w:r>
      <w:r>
        <w:rPr>
          <w:rFonts w:ascii="Times New Roman"/>
          <w:b w:val="false"/>
          <w:i w:val="false"/>
          <w:color w:val="000000"/>
          <w:sz w:val="28"/>
        </w:rPr>
        <w:t xml:space="preserve"> —пункт 726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—подпункт 2) пункта 742 настоящих Правил;</w:t>
      </w:r>
      <w:r>
        <w:br/>
      </w:r>
      <w:r>
        <w:rPr>
          <w:rFonts w:ascii="Times New Roman"/>
          <w:b w:val="false"/>
          <w:i w:val="false"/>
          <w:color w:val="000000"/>
          <w:sz w:val="28"/>
        </w:rPr>
        <w:t>
</w:t>
      </w:r>
    </w:p>
    <w:bookmarkStart w:name="z2910" w:id="2905"/>
    <w:p>
      <w:pPr>
        <w:spacing w:after="0"/>
        <w:ind w:left="0"/>
        <w:jc w:val="both"/>
      </w:pPr>
      <w:r>
        <w:rPr>
          <w:rFonts w:ascii="Times New Roman"/>
          <w:b w:val="false"/>
          <w:i w:val="false"/>
          <w:color w:val="000000"/>
          <w:sz w:val="28"/>
        </w:rPr>
        <w:t xml:space="preserve">
      4) момент сопротивления поясков трюмного флора в горизонтальной плоскости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и площадь их сечения </w:t>
      </w:r>
    </w:p>
    <w:bookmarkEnd w:id="2905"/>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определяемых по формулам: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верхнего пояска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552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w:t>
      </w:r>
    </w:p>
    <w:p>
      <w:pPr>
        <w:spacing w:after="0"/>
        <w:ind w:left="0"/>
        <w:jc w:val="both"/>
      </w:pPr>
      <w:r>
        <w:drawing>
          <wp:inline distT="0" distB="0" distL="0" distR="0">
            <wp:extent cx="1054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054100" cy="5334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xml:space="preserve"> + 0,1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нижнего пояска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1066800" cy="533400"/>
                    </a:xfrm>
                    <a:prstGeom prst="rect">
                      <a:avLst/>
                    </a:prstGeom>
                  </pic:spPr>
                </pic:pic>
              </a:graphicData>
            </a:graphic>
          </wp:inline>
        </w:drawing>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03200" cy="3175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к;                     (247)</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w:t>
      </w:r>
    </w:p>
    <w:p>
      <w:pPr>
        <w:spacing w:after="0"/>
        <w:ind w:left="0"/>
        <w:jc w:val="both"/>
      </w:pP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698500" cy="520700"/>
                    </a:xfrm>
                    <a:prstGeom prst="rect">
                      <a:avLst/>
                    </a:prstGeom>
                  </pic:spPr>
                </pic:pic>
              </a:graphicData>
            </a:graphic>
          </wp:inline>
        </w:drawing>
      </w:r>
    </w:p>
    <w:p>
      <w:pPr>
        <w:spacing w:after="0"/>
        <w:ind w:left="0"/>
        <w:jc w:val="left"/>
      </w:pPr>
      <w:r>
        <w:rPr>
          <w:rFonts w:ascii="Times New Roman"/>
          <w:b w:val="false"/>
          <w:i w:val="false"/>
          <w:color w:val="000000"/>
          <w:sz w:val="28"/>
        </w:rPr>
        <w:t>+ 0,1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приложение 96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1</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r>
        <w:br/>
      </w:r>
    </w:p>
    <w:p>
      <w:pPr>
        <w:spacing w:after="0"/>
        <w:ind w:left="0"/>
        <w:jc w:val="both"/>
      </w:pPr>
      <w:r>
        <w:drawing>
          <wp:inline distT="0" distB="0" distL="0" distR="0">
            <wp:extent cx="292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92100" cy="241300"/>
                    </a:xfrm>
                    <a:prstGeom prst="rect">
                      <a:avLst/>
                    </a:prstGeom>
                  </pic:spPr>
                </pic:pic>
              </a:graphicData>
            </a:graphic>
          </wp:inline>
        </w:drawing>
      </w:r>
    </w:p>
    <w:p>
      <w:pPr>
        <w:spacing w:after="0"/>
        <w:ind w:left="0"/>
        <w:jc w:val="left"/>
      </w:pPr>
      <w:r>
        <w:rPr>
          <w:rFonts w:ascii="Times New Roman"/>
          <w:b w:val="false"/>
          <w:i w:val="false"/>
          <w:color w:val="000000"/>
          <w:sz w:val="28"/>
        </w:rPr>
        <w:t>= 0,45;</w:t>
      </w:r>
      <w:r>
        <w:br/>
      </w:r>
      <w:r>
        <w:rPr>
          <w:rFonts w:ascii="Times New Roman"/>
          <w:b w:val="false"/>
          <w:i w:val="false"/>
          <w:color w:val="000000"/>
          <w:sz w:val="28"/>
        </w:rPr>
        <w:t>
</w:t>
      </w:r>
      <w:r>
        <w:br/>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—пункт 723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подпункт 2) пункта 742 настоящих Правил;</w:t>
      </w:r>
      <w:r>
        <w:br/>
      </w:r>
      <w:r>
        <w:rPr>
          <w:rFonts w:ascii="Times New Roman"/>
          <w:b w:val="false"/>
          <w:i w:val="false"/>
          <w:color w:val="000000"/>
          <w:sz w:val="28"/>
        </w:rPr>
        <w:t>
</w:t>
      </w:r>
    </w:p>
    <w:bookmarkStart w:name="z2911" w:id="2906"/>
    <w:p>
      <w:pPr>
        <w:spacing w:after="0"/>
        <w:ind w:left="0"/>
        <w:jc w:val="both"/>
      </w:pPr>
      <w:r>
        <w:rPr>
          <w:rFonts w:ascii="Times New Roman"/>
          <w:b w:val="false"/>
          <w:i w:val="false"/>
          <w:color w:val="000000"/>
          <w:sz w:val="28"/>
        </w:rPr>
        <w:t xml:space="preserve">
      5) момент сопротивления поперечного сечения рамных стоек, горизонтальных рам и балок основного набора продольных переборок грунтового трюма определяется как для бортового набора согласно пункту 738 настоящих Правил с заменой </w:t>
      </w:r>
      <w:r>
        <w:rPr>
          <w:rFonts w:ascii="Times New Roman"/>
          <w:b w:val="false"/>
          <w:i/>
          <w:color w:val="000000"/>
          <w:sz w:val="28"/>
        </w:rPr>
        <w:t>р</w:t>
      </w:r>
      <w:r>
        <w:rPr>
          <w:rFonts w:ascii="Times New Roman"/>
          <w:b w:val="false"/>
          <w:i w:val="false"/>
          <w:color w:val="000000"/>
          <w:sz w:val="28"/>
        </w:rPr>
        <w:t xml:space="preserve"> согласно параграфу 2 главы 19 настоящих Правил на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по пункту 720 настоящих Правил. При этом для стоек продольной переборки </w:t>
      </w:r>
      <w:r>
        <w:rPr>
          <w:rFonts w:ascii="Times New Roman"/>
          <w:b w:val="false"/>
          <w:i/>
          <w:color w:val="000000"/>
          <w:sz w:val="28"/>
        </w:rPr>
        <w:t>m</w:t>
      </w:r>
      <w:r>
        <w:rPr>
          <w:rFonts w:ascii="Times New Roman"/>
          <w:b w:val="false"/>
          <w:i w:val="false"/>
          <w:color w:val="000000"/>
          <w:sz w:val="28"/>
        </w:rPr>
        <w:t xml:space="preserve"> = 11 и </w:t>
      </w:r>
    </w:p>
    <w:bookmarkEnd w:id="2906"/>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0,75.</w:t>
      </w:r>
      <w:r>
        <w:br/>
      </w:r>
      <w:r>
        <w:rPr>
          <w:rFonts w:ascii="Times New Roman"/>
          <w:b w:val="false"/>
          <w:i w:val="false"/>
          <w:color w:val="000000"/>
          <w:sz w:val="28"/>
        </w:rPr>
        <w:t>
</w:t>
      </w:r>
    </w:p>
    <w:bookmarkStart w:name="z2912" w:id="2907"/>
    <w:p>
      <w:pPr>
        <w:spacing w:after="0"/>
        <w:ind w:left="0"/>
        <w:jc w:val="both"/>
      </w:pPr>
      <w:r>
        <w:rPr>
          <w:rFonts w:ascii="Times New Roman"/>
          <w:b w:val="false"/>
          <w:i w:val="false"/>
          <w:color w:val="000000"/>
          <w:sz w:val="28"/>
        </w:rPr>
        <w:t>
      Высота стенки рамной стойки не менее 0,12</w:t>
      </w:r>
      <w:r>
        <w:rPr>
          <w:rFonts w:ascii="Times New Roman"/>
          <w:b w:val="false"/>
          <w:i/>
          <w:color w:val="000000"/>
          <w:sz w:val="28"/>
        </w:rPr>
        <w:t>l</w:t>
      </w:r>
      <w:r>
        <w:rPr>
          <w:rFonts w:ascii="Times New Roman"/>
          <w:b w:val="false"/>
          <w:i w:val="false"/>
          <w:color w:val="000000"/>
          <w:sz w:val="28"/>
        </w:rPr>
        <w:t xml:space="preserve"> и принимают переменной с уменьшением у верхнего конца и увеличением у нижнего на 10 % по сравнению со средним значением.</w:t>
      </w:r>
    </w:p>
    <w:bookmarkEnd w:id="2907"/>
    <w:bookmarkStart w:name="z2913" w:id="2908"/>
    <w:p>
      <w:pPr>
        <w:spacing w:after="0"/>
        <w:ind w:left="0"/>
        <w:jc w:val="both"/>
      </w:pPr>
      <w:r>
        <w:rPr>
          <w:rFonts w:ascii="Times New Roman"/>
          <w:b w:val="false"/>
          <w:i w:val="false"/>
          <w:color w:val="000000"/>
          <w:sz w:val="28"/>
        </w:rPr>
        <w:t>
      Две верхние продольные балки принимаются такими же, как и третья от палубы балка.</w:t>
      </w:r>
    </w:p>
    <w:bookmarkEnd w:id="2908"/>
    <w:bookmarkStart w:name="z2914" w:id="2909"/>
    <w:p>
      <w:pPr>
        <w:spacing w:after="0"/>
        <w:ind w:left="0"/>
        <w:jc w:val="both"/>
      </w:pPr>
      <w:r>
        <w:rPr>
          <w:rFonts w:ascii="Times New Roman"/>
          <w:b w:val="false"/>
          <w:i w:val="false"/>
          <w:color w:val="000000"/>
          <w:sz w:val="28"/>
        </w:rPr>
        <w:t>
      Кроме того, три верхние и три нижние продольные балки проверяют согласно пункту 255 настоящих Правил.</w:t>
      </w:r>
    </w:p>
    <w:bookmarkEnd w:id="2909"/>
    <w:bookmarkStart w:name="z2915" w:id="2910"/>
    <w:p>
      <w:pPr>
        <w:spacing w:after="0"/>
        <w:ind w:left="0"/>
        <w:jc w:val="both"/>
      </w:pPr>
      <w:r>
        <w:rPr>
          <w:rFonts w:ascii="Times New Roman"/>
          <w:b w:val="false"/>
          <w:i w:val="false"/>
          <w:color w:val="000000"/>
          <w:sz w:val="28"/>
        </w:rPr>
        <w:t>
      Высота горизонтальной рамы равна высоте рамной стойки;</w:t>
      </w:r>
    </w:p>
    <w:bookmarkEnd w:id="2910"/>
    <w:bookmarkStart w:name="z2916" w:id="2911"/>
    <w:p>
      <w:pPr>
        <w:spacing w:after="0"/>
        <w:ind w:left="0"/>
        <w:jc w:val="both"/>
      </w:pPr>
      <w:r>
        <w:rPr>
          <w:rFonts w:ascii="Times New Roman"/>
          <w:b w:val="false"/>
          <w:i w:val="false"/>
          <w:color w:val="000000"/>
          <w:sz w:val="28"/>
        </w:rPr>
        <w:t xml:space="preserve">
      6) толщина листов обшивки продольных и поперечных переборок грунтового трюма определяется согласно пункту 280 при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 пункт 719 настоящих Правил), </w:t>
      </w:r>
    </w:p>
    <w:bookmarkEnd w:id="291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 </w:t>
      </w:r>
      <w:r>
        <w:rPr>
          <w:rFonts w:ascii="Times New Roman"/>
          <w:b w:val="false"/>
          <w:i/>
          <w:color w:val="000000"/>
          <w:sz w:val="28"/>
        </w:rPr>
        <w:t>m</w:t>
      </w:r>
      <w:r>
        <w:rPr>
          <w:rFonts w:ascii="Times New Roman"/>
          <w:b w:val="false"/>
          <w:i w:val="false"/>
          <w:color w:val="000000"/>
          <w:sz w:val="28"/>
        </w:rPr>
        <w:t xml:space="preserve"> = 15,8.</w:t>
      </w:r>
      <w:r>
        <w:br/>
      </w:r>
      <w:r>
        <w:rPr>
          <w:rFonts w:ascii="Times New Roman"/>
          <w:b w:val="false"/>
          <w:i w:val="false"/>
          <w:color w:val="000000"/>
          <w:sz w:val="28"/>
        </w:rPr>
        <w:t>
</w:t>
      </w:r>
    </w:p>
    <w:bookmarkStart w:name="z2917" w:id="2912"/>
    <w:p>
      <w:pPr>
        <w:spacing w:after="0"/>
        <w:ind w:left="0"/>
        <w:jc w:val="both"/>
      </w:pPr>
      <w:r>
        <w:rPr>
          <w:rFonts w:ascii="Times New Roman"/>
          <w:b w:val="false"/>
          <w:i w:val="false"/>
          <w:color w:val="000000"/>
          <w:sz w:val="28"/>
        </w:rPr>
        <w:t>
      Толщина верхнего пояса продольной переборки фунтового трюма на 0,1</w:t>
      </w:r>
      <w:r>
        <w:rPr>
          <w:rFonts w:ascii="Times New Roman"/>
          <w:b w:val="false"/>
          <w:i/>
          <w:color w:val="000000"/>
          <w:sz w:val="28"/>
        </w:rPr>
        <w:t>D</w:t>
      </w:r>
      <w:r>
        <w:rPr>
          <w:rFonts w:ascii="Times New Roman"/>
          <w:b w:val="false"/>
          <w:i w:val="false"/>
          <w:color w:val="000000"/>
          <w:sz w:val="28"/>
        </w:rPr>
        <w:t xml:space="preserve"> ниже палубы не менее толщины ширстрека. Толщина нижнего пояса продольной переборки на 0,1</w:t>
      </w:r>
      <w:r>
        <w:rPr>
          <w:rFonts w:ascii="Times New Roman"/>
          <w:b w:val="false"/>
          <w:i/>
          <w:color w:val="000000"/>
          <w:sz w:val="28"/>
        </w:rPr>
        <w:t>D</w:t>
      </w:r>
      <w:r>
        <w:rPr>
          <w:rFonts w:ascii="Times New Roman"/>
          <w:b w:val="false"/>
          <w:i w:val="false"/>
          <w:color w:val="000000"/>
          <w:sz w:val="28"/>
        </w:rPr>
        <w:t xml:space="preserve"> от основной линии не менее толщины днищевой обшивки;</w:t>
      </w:r>
    </w:p>
    <w:bookmarkEnd w:id="2912"/>
    <w:bookmarkStart w:name="z2918" w:id="2913"/>
    <w:p>
      <w:pPr>
        <w:spacing w:after="0"/>
        <w:ind w:left="0"/>
        <w:jc w:val="both"/>
      </w:pPr>
      <w:r>
        <w:rPr>
          <w:rFonts w:ascii="Times New Roman"/>
          <w:b w:val="false"/>
          <w:i w:val="false"/>
          <w:color w:val="000000"/>
          <w:sz w:val="28"/>
        </w:rPr>
        <w:t xml:space="preserve">
      7) минимальная толщина обшивки переборок грунтового трюма равна: 8 мм — для судов длиной менее 60 м и 10 мм — для судов длиной 80 м и более. Для промежуточных значений </w:t>
      </w:r>
      <w:r>
        <w:rPr>
          <w:rFonts w:ascii="Times New Roman"/>
          <w:b w:val="false"/>
          <w:i/>
          <w:color w:val="000000"/>
          <w:sz w:val="28"/>
        </w:rPr>
        <w:t>L</w:t>
      </w:r>
      <w:r>
        <w:rPr>
          <w:rFonts w:ascii="Times New Roman"/>
          <w:b w:val="false"/>
          <w:i w:val="false"/>
          <w:color w:val="000000"/>
          <w:sz w:val="28"/>
        </w:rPr>
        <w:t xml:space="preserve"> минимальная толщина определяется линейной интерполяцией;</w:t>
      </w:r>
    </w:p>
    <w:bookmarkEnd w:id="2913"/>
    <w:bookmarkStart w:name="z2919" w:id="2914"/>
    <w:p>
      <w:pPr>
        <w:spacing w:after="0"/>
        <w:ind w:left="0"/>
        <w:jc w:val="both"/>
      </w:pPr>
      <w:r>
        <w:rPr>
          <w:rFonts w:ascii="Times New Roman"/>
          <w:b w:val="false"/>
          <w:i w:val="false"/>
          <w:color w:val="000000"/>
          <w:sz w:val="28"/>
        </w:rPr>
        <w:t xml:space="preserve">
      8) момент сопротивления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вертикальных стоек (основных и рамных) комингса грунтового трюма не менее определяемого по формуле</w:t>
      </w:r>
      <w:r>
        <w:rPr>
          <w:rFonts w:ascii="Times New Roman"/>
          <w:b w:val="false"/>
          <w:i w:val="false"/>
          <w:color w:val="000000"/>
          <w:vertAlign w:val="superscript"/>
        </w:rPr>
        <w:t>1</w:t>
      </w:r>
    </w:p>
    <w:bookmarkEnd w:id="29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Для рамных стоек </w:t>
      </w:r>
      <w:r>
        <w:rPr>
          <w:rFonts w:ascii="Times New Roman"/>
          <w:b w:val="false"/>
          <w:i/>
          <w:color w:val="000000"/>
          <w:sz w:val="28"/>
        </w:rPr>
        <w:t>а</w:t>
      </w:r>
      <w:r>
        <w:rPr>
          <w:rFonts w:ascii="Times New Roman"/>
          <w:b w:val="false"/>
          <w:i w:val="false"/>
          <w:color w:val="000000"/>
          <w:sz w:val="28"/>
        </w:rPr>
        <w:t xml:space="preserve"> заменяется на </w:t>
      </w:r>
      <w:r>
        <w:rPr>
          <w:rFonts w:ascii="Times New Roman"/>
          <w:b w:val="false"/>
          <w:i/>
          <w:color w:val="000000"/>
          <w:sz w:val="28"/>
        </w:rPr>
        <w:t>b</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30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130300" cy="6223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4</w:t>
      </w:r>
      <w:r>
        <w:rPr>
          <w:rFonts w:ascii="Times New Roman"/>
          <w:b w:val="false"/>
          <w:i w:val="false"/>
          <w:color w:val="000000"/>
          <w:sz w:val="28"/>
        </w:rPr>
        <w:t xml:space="preserve"> —пункт 724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 — для рамных стоек при установке бимсов в плоскости поперечных рам у верха комингса;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6 — для рамных стоек при отсутствии бимсов у верха комингса;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15,6 — для основных стоек при поперечной системе набора;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0,6.</w:t>
      </w:r>
      <w:r>
        <w:br/>
      </w:r>
      <w:r>
        <w:rPr>
          <w:rFonts w:ascii="Times New Roman"/>
          <w:b w:val="false"/>
          <w:i w:val="false"/>
          <w:color w:val="000000"/>
          <w:sz w:val="28"/>
        </w:rPr>
        <w:t>
</w:t>
      </w:r>
    </w:p>
    <w:bookmarkStart w:name="z2920" w:id="2915"/>
    <w:p>
      <w:pPr>
        <w:spacing w:after="0"/>
        <w:ind w:left="0"/>
        <w:jc w:val="both"/>
      </w:pPr>
      <w:r>
        <w:rPr>
          <w:rFonts w:ascii="Times New Roman"/>
          <w:b w:val="false"/>
          <w:i w:val="false"/>
          <w:color w:val="000000"/>
          <w:sz w:val="28"/>
        </w:rPr>
        <w:t xml:space="preserve">
      Момент сопротивления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продольных балок и пояска комингса не менее определяемого по формуле:</w:t>
      </w:r>
    </w:p>
    <w:bookmarkEnd w:id="29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1193800" cy="5080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отстояние от верха комингса до балки, но не менее полувысоты комингса,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0,2.</w:t>
      </w:r>
      <w:r>
        <w:br/>
      </w:r>
      <w:r>
        <w:rPr>
          <w:rFonts w:ascii="Times New Roman"/>
          <w:b w:val="false"/>
          <w:i w:val="false"/>
          <w:color w:val="000000"/>
          <w:sz w:val="28"/>
        </w:rPr>
        <w:t>
</w:t>
      </w:r>
    </w:p>
    <w:bookmarkStart w:name="z2921" w:id="2916"/>
    <w:p>
      <w:pPr>
        <w:spacing w:after="0"/>
        <w:ind w:left="0"/>
        <w:jc w:val="both"/>
      </w:pPr>
      <w:r>
        <w:rPr>
          <w:rFonts w:ascii="Times New Roman"/>
          <w:b w:val="false"/>
          <w:i w:val="false"/>
          <w:color w:val="000000"/>
          <w:sz w:val="28"/>
        </w:rPr>
        <w:t xml:space="preserve">
      Площадь сечения </w:t>
      </w:r>
    </w:p>
    <w:bookmarkEnd w:id="2916"/>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стенки рамной стойки комингса у палубы не менее определяемой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(251)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0,45;</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подпункт 2) пункта 742 настоящих Правил.</w:t>
      </w:r>
      <w:r>
        <w:br/>
      </w:r>
      <w:r>
        <w:rPr>
          <w:rFonts w:ascii="Times New Roman"/>
          <w:b w:val="false"/>
          <w:i w:val="false"/>
          <w:color w:val="000000"/>
          <w:sz w:val="28"/>
        </w:rPr>
        <w:t>
</w:t>
      </w:r>
    </w:p>
    <w:bookmarkStart w:name="z2922" w:id="2917"/>
    <w:p>
      <w:pPr>
        <w:spacing w:after="0"/>
        <w:ind w:left="0"/>
        <w:jc w:val="both"/>
      </w:pPr>
      <w:r>
        <w:rPr>
          <w:rFonts w:ascii="Times New Roman"/>
          <w:b w:val="false"/>
          <w:i w:val="false"/>
          <w:color w:val="000000"/>
          <w:sz w:val="28"/>
        </w:rPr>
        <w:t xml:space="preserve">
      Толщина обшивки продольного (поперечного) комингса определяется как для продольной (поперечной) переборки грунтового трюма при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согласно пункту 720 настоящих Правил, измеренном на уровне палубы, но принимается не менее толщины верхнего пояса продольной переборки.</w:t>
      </w:r>
    </w:p>
    <w:bookmarkEnd w:id="2917"/>
    <w:bookmarkStart w:name="z2923" w:id="2918"/>
    <w:p>
      <w:pPr>
        <w:spacing w:after="0"/>
        <w:ind w:left="0"/>
        <w:jc w:val="both"/>
      </w:pPr>
      <w:r>
        <w:rPr>
          <w:rFonts w:ascii="Times New Roman"/>
          <w:b w:val="false"/>
          <w:i w:val="false"/>
          <w:color w:val="000000"/>
          <w:sz w:val="28"/>
        </w:rPr>
        <w:t xml:space="preserve">
      Высота стенки рамной стойки у палубы не менее 0,12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а толщина — не менее толщины комингса.</w:t>
      </w:r>
    </w:p>
    <w:bookmarkEnd w:id="2918"/>
    <w:bookmarkStart w:name="z2924" w:id="2919"/>
    <w:p>
      <w:pPr>
        <w:spacing w:after="0"/>
        <w:ind w:left="0"/>
        <w:jc w:val="both"/>
      </w:pPr>
      <w:r>
        <w:rPr>
          <w:rFonts w:ascii="Times New Roman"/>
          <w:b w:val="false"/>
          <w:i w:val="false"/>
          <w:color w:val="000000"/>
          <w:sz w:val="28"/>
        </w:rPr>
        <w:t>
      Принятая толщина обшивки комингса и момент инерции продольных балок и пояска комингса отвечает требованиям устойчивости согласно параграфу 4 главы 13 настоящих Правил;</w:t>
      </w:r>
    </w:p>
    <w:bookmarkEnd w:id="2919"/>
    <w:bookmarkStart w:name="z2925" w:id="2920"/>
    <w:p>
      <w:pPr>
        <w:spacing w:after="0"/>
        <w:ind w:left="0"/>
        <w:jc w:val="both"/>
      </w:pPr>
      <w:r>
        <w:rPr>
          <w:rFonts w:ascii="Times New Roman"/>
          <w:b w:val="false"/>
          <w:i w:val="false"/>
          <w:color w:val="000000"/>
          <w:sz w:val="28"/>
        </w:rPr>
        <w:t xml:space="preserve">
      9) площадь поперечного сечения трюмных бимсов, установленных в трюме на уровне палубы и/или комингса </w:t>
      </w:r>
    </w:p>
    <w:bookmarkEnd w:id="2920"/>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определяемой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0,085R</w:t>
      </w:r>
      <w:r>
        <w:rPr>
          <w:rFonts w:ascii="Times New Roman"/>
          <w:b w:val="false"/>
          <w:i w:val="false"/>
          <w:color w:val="000000"/>
          <w:vertAlign w:val="subscript"/>
        </w:rPr>
        <w:t>б</w:t>
      </w:r>
      <w:r>
        <w:rPr>
          <w:rFonts w:ascii="Times New Roman"/>
          <w:b w:val="false"/>
          <w:i w:val="false"/>
          <w:color w:val="000000"/>
          <w:sz w:val="28"/>
        </w:rPr>
        <w:t xml:space="preserve"> + 0,1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подпункт 2) пункта 742 настоящих Правил.</w:t>
      </w:r>
      <w:r>
        <w:br/>
      </w:r>
      <w:r>
        <w:rPr>
          <w:rFonts w:ascii="Times New Roman"/>
          <w:b w:val="false"/>
          <w:i w:val="false"/>
          <w:color w:val="000000"/>
          <w:sz w:val="28"/>
        </w:rPr>
        <w:t>
</w:t>
      </w:r>
    </w:p>
    <w:bookmarkStart w:name="z2926" w:id="2921"/>
    <w:p>
      <w:pPr>
        <w:spacing w:after="0"/>
        <w:ind w:left="0"/>
        <w:jc w:val="both"/>
      </w:pPr>
      <w:r>
        <w:rPr>
          <w:rFonts w:ascii="Times New Roman"/>
          <w:b w:val="false"/>
          <w:i w:val="false"/>
          <w:color w:val="000000"/>
          <w:sz w:val="28"/>
        </w:rPr>
        <w:t>
      Если к бимсам приложена нагрузка от устройства днищевых закрытий, прочность их проверяют по приведенным напряжениям согласно формуле:</w:t>
      </w:r>
    </w:p>
    <w:bookmarkEnd w:id="29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eq</w:t>
      </w:r>
      <w:r>
        <w:rPr>
          <w:rFonts w:ascii="Times New Roman"/>
          <w:b w:val="false"/>
          <w:i w:val="false"/>
          <w:color w:val="000000"/>
          <w:sz w:val="28"/>
        </w:rPr>
        <w:t xml:space="preserve"> = </w:t>
      </w:r>
    </w:p>
    <w:p>
      <w:pPr>
        <w:spacing w:after="0"/>
        <w:ind w:left="0"/>
        <w:jc w:val="both"/>
      </w:pPr>
      <w:r>
        <w:drawing>
          <wp:inline distT="0" distB="0" distL="0" distR="0">
            <wp:extent cx="914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914400" cy="419100"/>
                    </a:xfrm>
                    <a:prstGeom prst="rect">
                      <a:avLst/>
                    </a:prstGeom>
                  </pic:spPr>
                </pic:pic>
              </a:graphicData>
            </a:graphic>
          </wp:inline>
        </w:drawing>
      </w:r>
    </w:p>
    <w:p>
      <w:pPr>
        <w:spacing w:after="0"/>
        <w:ind w:left="0"/>
        <w:jc w:val="left"/>
      </w:pPr>
      <w:r>
        <w:rPr>
          <w:rFonts w:ascii="Times New Roman"/>
          <w:b w:val="false"/>
          <w:i w:val="false"/>
          <w:color w:val="000000"/>
          <w:sz w:val="28"/>
          <w:u w:val="single"/>
        </w:rPr>
        <w:t>&lt;</w:t>
      </w:r>
      <w:r>
        <w:rPr>
          <w:rFonts w:ascii="Times New Roman"/>
          <w:b w:val="false"/>
          <w:i w:val="false"/>
          <w:color w:val="000000"/>
          <w:sz w:val="28"/>
        </w:rPr>
        <w:t xml:space="preserve"> 0,75</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(253)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mах</w:t>
      </w:r>
      <w:r>
        <w:rPr>
          <w:rFonts w:ascii="Times New Roman"/>
          <w:b w:val="false"/>
          <w:i w:val="false"/>
          <w:color w:val="000000"/>
          <w:sz w:val="28"/>
        </w:rPr>
        <w:t xml:space="preserve"> = 10</w:t>
      </w:r>
      <w:r>
        <w:rPr>
          <w:rFonts w:ascii="Times New Roman"/>
          <w:b w:val="false"/>
          <w:i/>
          <w:color w:val="000000"/>
          <w:sz w:val="28"/>
        </w:rPr>
        <w:t>R</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изг</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 xml:space="preserve"> = 10</w:t>
      </w:r>
      <w:r>
        <w:rPr>
          <w:rFonts w:ascii="Times New Roman"/>
          <w:b w:val="false"/>
          <w:i/>
          <w:color w:val="000000"/>
          <w:sz w:val="28"/>
        </w:rPr>
        <w:t>N</w:t>
      </w:r>
      <w:r>
        <w:rPr>
          <w:rFonts w:ascii="Times New Roman"/>
          <w:b w:val="false"/>
          <w:i w:val="false"/>
          <w:color w:val="000000"/>
          <w:vertAlign w:val="subscript"/>
        </w:rPr>
        <w:t>пep</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изг</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пep</w:t>
      </w:r>
      <w:r>
        <w:rPr>
          <w:rFonts w:ascii="Times New Roman"/>
          <w:b w:val="false"/>
          <w:i w:val="false"/>
          <w:color w:val="000000"/>
          <w:sz w:val="28"/>
        </w:rPr>
        <w:t xml:space="preserve"> — максимальный изгибающий момент, кН•м, и перерезывающая сила, кН, от поперечной нагрузки;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фактический момент сопротивления бимса,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площадь полного сечения бимса и сечения его стенок соответственно,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927" w:id="2922"/>
    <w:p>
      <w:pPr>
        <w:spacing w:after="0"/>
        <w:ind w:left="0"/>
        <w:jc w:val="both"/>
      </w:pPr>
      <w:r>
        <w:rPr>
          <w:rFonts w:ascii="Times New Roman"/>
          <w:b w:val="false"/>
          <w:i w:val="false"/>
          <w:color w:val="000000"/>
          <w:sz w:val="28"/>
        </w:rPr>
        <w:t>
      10) при отсутствии бимсов на уровне палубы в плоскости поперечных рам часть конструкции комингса с верхним участком бортового отсека, расположенного на 0,1</w:t>
      </w:r>
      <w:r>
        <w:rPr>
          <w:rFonts w:ascii="Times New Roman"/>
          <w:b w:val="false"/>
          <w:i/>
          <w:color w:val="000000"/>
          <w:sz w:val="28"/>
        </w:rPr>
        <w:t>D</w:t>
      </w:r>
      <w:r>
        <w:rPr>
          <w:rFonts w:ascii="Times New Roman"/>
          <w:b w:val="false"/>
          <w:i w:val="false"/>
          <w:color w:val="000000"/>
          <w:sz w:val="28"/>
        </w:rPr>
        <w:t xml:space="preserve"> ниже палубной линии (приложение 101 настоящих Правил) имеет момент сопротивления в горизонтальной плоскости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не менее определяемого по формуле:</w:t>
      </w:r>
    </w:p>
    <w:bookmarkEnd w:id="29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1460500" cy="5207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(254)</w:t>
      </w:r>
      <w:r>
        <w:br/>
      </w:r>
      <w:r>
        <w:rPr>
          <w:rFonts w:ascii="Times New Roman"/>
          <w:b w:val="false"/>
          <w:i w:val="false"/>
          <w:color w:val="000000"/>
          <w:sz w:val="28"/>
        </w:rPr>
        <w:t>
</w:t>
      </w:r>
    </w:p>
    <w:bookmarkStart w:name="z2928" w:id="2923"/>
    <w:p>
      <w:pPr>
        <w:spacing w:after="0"/>
        <w:ind w:left="0"/>
        <w:jc w:val="both"/>
      </w:pPr>
      <w:r>
        <w:rPr>
          <w:rFonts w:ascii="Times New Roman"/>
          <w:b w:val="false"/>
          <w:i w:val="false"/>
          <w:color w:val="000000"/>
          <w:sz w:val="28"/>
        </w:rPr>
        <w:t>
      Толщина палубного настила s, мм, не менее определяемой по формуле:</w:t>
      </w:r>
    </w:p>
    <w:bookmarkEnd w:id="292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927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(255)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В</w:t>
      </w:r>
      <w:r>
        <w:rPr>
          <w:rFonts w:ascii="Times New Roman"/>
          <w:b w:val="false"/>
          <w:i w:val="false"/>
          <w:color w:val="000000"/>
          <w:vertAlign w:val="subscript"/>
        </w:rPr>
        <w:t>3</w:t>
      </w:r>
      <w:r>
        <w:rPr>
          <w:rFonts w:ascii="Times New Roman"/>
          <w:b w:val="false"/>
          <w:i w:val="false"/>
          <w:color w:val="000000"/>
          <w:sz w:val="28"/>
        </w:rPr>
        <w:t xml:space="preserve"> — приложение 101 настоящих Правил;</w:t>
      </w:r>
    </w:p>
    <w:bookmarkStart w:name="z2929" w:id="2924"/>
    <w:p>
      <w:pPr>
        <w:spacing w:after="0"/>
        <w:ind w:left="0"/>
        <w:jc w:val="both"/>
      </w:pPr>
      <w:r>
        <w:rPr>
          <w:rFonts w:ascii="Times New Roman"/>
          <w:b w:val="false"/>
          <w:i w:val="false"/>
          <w:color w:val="000000"/>
          <w:sz w:val="28"/>
        </w:rPr>
        <w:t>
      11) размеры элементов конструкций корпуса в местах установки шарниров и гидропрессов раскрывающихся судов определяется прямым расчетом на действие статических и динамических сил в соответствии с пунктом 730 настоящих Правил.</w:t>
      </w:r>
    </w:p>
    <w:bookmarkEnd w:id="2924"/>
    <w:bookmarkStart w:name="z2930" w:id="2925"/>
    <w:p>
      <w:pPr>
        <w:spacing w:after="0"/>
        <w:ind w:left="0"/>
        <w:jc w:val="both"/>
      </w:pPr>
      <w:r>
        <w:rPr>
          <w:rFonts w:ascii="Times New Roman"/>
          <w:b w:val="false"/>
          <w:i w:val="false"/>
          <w:color w:val="000000"/>
          <w:sz w:val="28"/>
        </w:rPr>
        <w:t>
      Расчеты подлежат рассмотрению Регистром судоходства;</w:t>
      </w:r>
    </w:p>
    <w:bookmarkEnd w:id="2925"/>
    <w:bookmarkStart w:name="z2931" w:id="2926"/>
    <w:p>
      <w:pPr>
        <w:spacing w:after="0"/>
        <w:ind w:left="0"/>
        <w:jc w:val="both"/>
      </w:pPr>
      <w:r>
        <w:rPr>
          <w:rFonts w:ascii="Times New Roman"/>
          <w:b w:val="false"/>
          <w:i w:val="false"/>
          <w:color w:val="000000"/>
          <w:sz w:val="28"/>
        </w:rPr>
        <w:t>
      12) гидравлические прессы располагаются в специальных отсеках у концов трюма. Расчет прочности фундаментов и креплений гидравлических прессов производится на действие сил, определяемых согласно подпункту 11) настоящего пункта Правил, и подлежит рассмотрению Регистром судоходства.</w:t>
      </w:r>
    </w:p>
    <w:bookmarkEnd w:id="2926"/>
    <w:bookmarkStart w:name="z2932" w:id="2927"/>
    <w:p>
      <w:pPr>
        <w:spacing w:after="0"/>
        <w:ind w:left="0"/>
        <w:jc w:val="both"/>
      </w:pPr>
      <w:r>
        <w:rPr>
          <w:rFonts w:ascii="Times New Roman"/>
          <w:b w:val="false"/>
          <w:i w:val="false"/>
          <w:color w:val="000000"/>
          <w:sz w:val="28"/>
        </w:rPr>
        <w:t>
      743. Специфические конструкции плавучих кранов:</w:t>
      </w:r>
    </w:p>
    <w:bookmarkEnd w:id="2927"/>
    <w:bookmarkStart w:name="z2933" w:id="2928"/>
    <w:p>
      <w:pPr>
        <w:spacing w:after="0"/>
        <w:ind w:left="0"/>
        <w:jc w:val="both"/>
      </w:pPr>
      <w:r>
        <w:rPr>
          <w:rFonts w:ascii="Times New Roman"/>
          <w:b w:val="false"/>
          <w:i w:val="false"/>
          <w:color w:val="000000"/>
          <w:sz w:val="28"/>
        </w:rPr>
        <w:t xml:space="preserve">
      1) диаметр барабана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м, под неподвижной опорной колонной верхнего строения в сечении у верхней палубы не менее определяемого по формуле:</w:t>
      </w:r>
    </w:p>
    <w:bookmarkEnd w:id="292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0,37</w:t>
      </w:r>
      <w:r>
        <w:rPr>
          <w:rFonts w:ascii="Times New Roman"/>
          <w:b w:val="false"/>
          <w:i/>
          <w:color w:val="000000"/>
          <w:sz w:val="28"/>
        </w:rPr>
        <w:t>М</w:t>
      </w:r>
      <w:r>
        <w:rPr>
          <w:rFonts w:ascii="Times New Roman"/>
          <w:b w:val="false"/>
          <w:i w:val="false"/>
          <w:color w:val="000000"/>
          <w:sz w:val="28"/>
        </w:rPr>
        <w:t>/</w:t>
      </w:r>
      <w:r>
        <w:rPr>
          <w:rFonts w:ascii="Times New Roman"/>
          <w:b w:val="false"/>
          <w:i/>
          <w:color w:val="000000"/>
          <w:sz w:val="28"/>
        </w:rPr>
        <w:t>Р</w:t>
      </w:r>
      <w:r>
        <w:rPr>
          <w:rFonts w:ascii="Times New Roman"/>
          <w:b w:val="false"/>
          <w:i w:val="false"/>
          <w:color w:val="000000"/>
          <w:sz w:val="28"/>
        </w:rPr>
        <w:t>,                      (256)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sz w:val="28"/>
        </w:rPr>
        <w:t xml:space="preserve"> — суммарный изгибающий момент от груза и массы подвижной части верхнего строения, приложенный к опорной колонне,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суммарное вертикальное усилие от груза и массы подвижной части верхнего строения, приложенное к опорной колонне, кН;</w:t>
      </w:r>
    </w:p>
    <w:bookmarkStart w:name="z2934" w:id="2929"/>
    <w:p>
      <w:pPr>
        <w:spacing w:after="0"/>
        <w:ind w:left="0"/>
        <w:jc w:val="both"/>
      </w:pPr>
      <w:r>
        <w:rPr>
          <w:rFonts w:ascii="Times New Roman"/>
          <w:b w:val="false"/>
          <w:i w:val="false"/>
          <w:color w:val="000000"/>
          <w:sz w:val="28"/>
        </w:rPr>
        <w:t>
      2) толщина обшивки барабана в сечении у верхней палубы определяется расчетом при воздействии суммарного изгибающего момента согласно подпункту 1) пункта 743 настоящих Правил и горизонтальной составляющей от нагрузки в случае использования расчетной грузоподъемности крана при высоте подъема от уровня воды на максимальном вылете.</w:t>
      </w:r>
    </w:p>
    <w:bookmarkEnd w:id="2929"/>
    <w:bookmarkStart w:name="z2935" w:id="2930"/>
    <w:p>
      <w:pPr>
        <w:spacing w:after="0"/>
        <w:ind w:left="0"/>
        <w:jc w:val="both"/>
      </w:pPr>
      <w:r>
        <w:rPr>
          <w:rFonts w:ascii="Times New Roman"/>
          <w:b w:val="false"/>
          <w:i w:val="false"/>
          <w:color w:val="000000"/>
          <w:sz w:val="28"/>
        </w:rPr>
        <w:t xml:space="preserve">
      Допускаемые напряжения для стали нормальной прочности не превышают величин: </w:t>
      </w:r>
    </w:p>
    <w:bookmarkEnd w:id="2930"/>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140 МПа и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80 МПа.</w:t>
      </w:r>
      <w:r>
        <w:br/>
      </w:r>
      <w:r>
        <w:rPr>
          <w:rFonts w:ascii="Times New Roman"/>
          <w:b w:val="false"/>
          <w:i w:val="false"/>
          <w:color w:val="000000"/>
          <w:sz w:val="28"/>
        </w:rPr>
        <w:t>
</w:t>
      </w:r>
    </w:p>
    <w:bookmarkStart w:name="z2936" w:id="2931"/>
    <w:p>
      <w:pPr>
        <w:spacing w:after="0"/>
        <w:ind w:left="0"/>
        <w:jc w:val="both"/>
      </w:pPr>
      <w:r>
        <w:rPr>
          <w:rFonts w:ascii="Times New Roman"/>
          <w:b w:val="false"/>
          <w:i w:val="false"/>
          <w:color w:val="000000"/>
          <w:sz w:val="28"/>
        </w:rPr>
        <w:t xml:space="preserve">
      Устойчивость обшивки барабана по всей его высоте обеспечивают до величины </w:t>
      </w:r>
    </w:p>
    <w:bookmarkEnd w:id="2931"/>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2,5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Расчеты представляются на рассмотрение Регистру судоходства;</w:t>
      </w:r>
      <w:r>
        <w:br/>
      </w:r>
      <w:r>
        <w:rPr>
          <w:rFonts w:ascii="Times New Roman"/>
          <w:b w:val="false"/>
          <w:i w:val="false"/>
          <w:color w:val="000000"/>
          <w:sz w:val="28"/>
        </w:rPr>
        <w:t>
</w:t>
      </w:r>
    </w:p>
    <w:bookmarkStart w:name="z2937" w:id="2932"/>
    <w:p>
      <w:pPr>
        <w:spacing w:after="0"/>
        <w:ind w:left="0"/>
        <w:jc w:val="both"/>
      </w:pPr>
      <w:r>
        <w:rPr>
          <w:rFonts w:ascii="Times New Roman"/>
          <w:b w:val="false"/>
          <w:i w:val="false"/>
          <w:color w:val="000000"/>
          <w:sz w:val="28"/>
        </w:rPr>
        <w:t xml:space="preserve">
      3) момент инерции поперечного сечения </w:t>
      </w:r>
      <w:r>
        <w:rPr>
          <w:rFonts w:ascii="Times New Roman"/>
          <w:b w:val="false"/>
          <w:i/>
          <w:color w:val="000000"/>
          <w:sz w:val="28"/>
        </w:rPr>
        <w:t>I</w:t>
      </w:r>
      <w:r>
        <w:rPr>
          <w:rFonts w:ascii="Times New Roman"/>
          <w:b w:val="false"/>
          <w:i w:val="false"/>
          <w:color w:val="000000"/>
          <w:vertAlign w:val="subscript"/>
        </w:rPr>
        <w:t>min</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вертикальной стойки барабана (если стойки устанавливаются) не менее определяемого по формуле:</w:t>
      </w:r>
    </w:p>
    <w:bookmarkEnd w:id="2932"/>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min</w:t>
      </w:r>
      <w:r>
        <w:rPr>
          <w:rFonts w:ascii="Times New Roman"/>
          <w:b w:val="false"/>
          <w:i w:val="false"/>
          <w:color w:val="000000"/>
          <w:sz w:val="28"/>
        </w:rPr>
        <w:t xml:space="preserve"> = (1,03</w:t>
      </w:r>
      <w:r>
        <w:rPr>
          <w:rFonts w:ascii="Times New Roman"/>
          <w:b w:val="false"/>
          <w:i/>
          <w:color w:val="000000"/>
          <w:sz w:val="28"/>
        </w:rPr>
        <w:t>l</w:t>
      </w:r>
      <w:r>
        <w:rPr>
          <w:rFonts w:ascii="Times New Roman"/>
          <w:b w:val="false"/>
          <w:i w:val="false"/>
          <w:color w:val="000000"/>
          <w:sz w:val="28"/>
        </w:rPr>
        <w:t xml:space="preserve"> – 1,80</w:t>
      </w:r>
      <w:r>
        <w:rPr>
          <w:rFonts w:ascii="Times New Roman"/>
          <w:b w:val="false"/>
          <w:i/>
          <w:color w:val="000000"/>
          <w:sz w:val="28"/>
        </w:rPr>
        <w:t>y</w:t>
      </w:r>
      <w:r>
        <w:rPr>
          <w:rFonts w:ascii="Times New Roman"/>
          <w:b w:val="false"/>
          <w:i w:val="false"/>
          <w:color w:val="000000"/>
          <w:sz w:val="28"/>
        </w:rPr>
        <w:t>)s</w:t>
      </w:r>
      <w:r>
        <w:rPr>
          <w:rFonts w:ascii="Times New Roman"/>
          <w:b w:val="false"/>
          <w:i w:val="false"/>
          <w:color w:val="000000"/>
          <w:vertAlign w:val="superscript"/>
        </w:rPr>
        <w:t>3</w:t>
      </w:r>
      <w:r>
        <w:rPr>
          <w:rFonts w:ascii="Times New Roman"/>
          <w:b w:val="false"/>
          <w:i w:val="false"/>
          <w:color w:val="000000"/>
          <w:sz w:val="28"/>
        </w:rPr>
        <w:t>,          (257)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пролет стойки, измеренный между днищем и платформой или платформой и палубой в зависимости от того, что больше, м. При отсутствии платформы измеряется расстояние между днищем и палубой;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расстояние между стойками, измеренное по хорде, м;</w:t>
      </w:r>
    </w:p>
    <w:p>
      <w:pPr>
        <w:spacing w:after="0"/>
        <w:ind w:left="0"/>
        <w:jc w:val="both"/>
      </w:pPr>
      <w:r>
        <w:rPr>
          <w:rFonts w:ascii="Times New Roman"/>
          <w:b w:val="false"/>
          <w:i w:val="false"/>
          <w:color w:val="000000"/>
          <w:sz w:val="28"/>
        </w:rPr>
        <w:t>
      s — толщина обшивки барабана в сечении посередине пролета стойки, мм;</w:t>
      </w:r>
    </w:p>
    <w:bookmarkStart w:name="z2938" w:id="2933"/>
    <w:p>
      <w:pPr>
        <w:spacing w:after="0"/>
        <w:ind w:left="0"/>
        <w:jc w:val="both"/>
      </w:pPr>
      <w:r>
        <w:rPr>
          <w:rFonts w:ascii="Times New Roman"/>
          <w:b w:val="false"/>
          <w:i w:val="false"/>
          <w:color w:val="000000"/>
          <w:sz w:val="28"/>
        </w:rPr>
        <w:t xml:space="preserve">
      4) толщина листов переборок крестовины и опорного контура не менее определенной согласно пункту 444 настоящих Правил, при </w:t>
      </w:r>
    </w:p>
    <w:bookmarkEnd w:id="293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0,70;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s </w:t>
      </w:r>
      <w:r>
        <w:rPr>
          <w:rFonts w:ascii="Times New Roman"/>
          <w:b w:val="false"/>
          <w:i w:val="false"/>
          <w:color w:val="000000"/>
          <w:sz w:val="28"/>
          <w:u w:val="single"/>
        </w:rPr>
        <w:t>&gt;</w:t>
      </w:r>
      <w:r>
        <w:rPr>
          <w:rFonts w:ascii="Times New Roman"/>
          <w:b w:val="false"/>
          <w:i w:val="false"/>
          <w:color w:val="000000"/>
          <w:sz w:val="28"/>
        </w:rPr>
        <w:t xml:space="preserve"> 4 мм для переборок крестовин и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s </w:t>
      </w:r>
      <w:r>
        <w:rPr>
          <w:rFonts w:ascii="Times New Roman"/>
          <w:b w:val="false"/>
          <w:i w:val="false"/>
          <w:color w:val="000000"/>
          <w:sz w:val="28"/>
          <w:u w:val="single"/>
        </w:rPr>
        <w:t>&gt;</w:t>
      </w:r>
      <w:r>
        <w:rPr>
          <w:rFonts w:ascii="Times New Roman"/>
          <w:b w:val="false"/>
          <w:i w:val="false"/>
          <w:color w:val="000000"/>
          <w:sz w:val="28"/>
        </w:rPr>
        <w:t xml:space="preserve"> 2 мм для переборок опорного контура.</w:t>
      </w:r>
      <w:r>
        <w:br/>
      </w:r>
      <w:r>
        <w:rPr>
          <w:rFonts w:ascii="Times New Roman"/>
          <w:b w:val="false"/>
          <w:i w:val="false"/>
          <w:color w:val="000000"/>
          <w:sz w:val="28"/>
        </w:rPr>
        <w:t>
</w:t>
      </w:r>
    </w:p>
    <w:bookmarkStart w:name="z2939" w:id="2934"/>
    <w:p>
      <w:pPr>
        <w:spacing w:after="0"/>
        <w:ind w:left="0"/>
        <w:jc w:val="both"/>
      </w:pPr>
      <w:r>
        <w:rPr>
          <w:rFonts w:ascii="Times New Roman"/>
          <w:b w:val="false"/>
          <w:i w:val="false"/>
          <w:color w:val="000000"/>
          <w:sz w:val="28"/>
        </w:rPr>
        <w:t>
      Для кранов грузоподъемностью более 100 т напряженное состояние элементов набора и обшивки переборок крестовины и опорного контура при нагрузках, передаваемых от опорной колонны в случае использования расчетной грузоподъемности крана на максимальном вылете проверяется по методике, согласованной с Регистром судоходства;</w:t>
      </w:r>
    </w:p>
    <w:bookmarkEnd w:id="2934"/>
    <w:bookmarkStart w:name="z2940" w:id="2935"/>
    <w:p>
      <w:pPr>
        <w:spacing w:after="0"/>
        <w:ind w:left="0"/>
        <w:jc w:val="both"/>
      </w:pPr>
      <w:r>
        <w:rPr>
          <w:rFonts w:ascii="Times New Roman"/>
          <w:b w:val="false"/>
          <w:i w:val="false"/>
          <w:color w:val="000000"/>
          <w:sz w:val="28"/>
        </w:rPr>
        <w:t xml:space="preserve">
      5) толщина листов настила верхней палубы и днища </w:t>
      </w:r>
      <w:r>
        <w:rPr>
          <w:rFonts w:ascii="Times New Roman"/>
          <w:b w:val="false"/>
          <w:i/>
          <w:color w:val="000000"/>
          <w:sz w:val="28"/>
        </w:rPr>
        <w:t>s</w:t>
      </w:r>
      <w:r>
        <w:rPr>
          <w:rFonts w:ascii="Times New Roman"/>
          <w:b w:val="false"/>
          <w:i w:val="false"/>
          <w:color w:val="000000"/>
          <w:sz w:val="28"/>
        </w:rPr>
        <w:t>', мм, у барабана не менее определяемого по формуле:</w:t>
      </w:r>
    </w:p>
    <w:bookmarkEnd w:id="2935"/>
    <w:p>
      <w:pPr>
        <w:spacing w:after="0"/>
        <w:ind w:left="0"/>
        <w:jc w:val="both"/>
      </w:pPr>
      <w:r>
        <w:rPr>
          <w:rFonts w:ascii="Times New Roman"/>
          <w:b w:val="false"/>
          <w:i w:val="false"/>
          <w:color w:val="000000"/>
          <w:sz w:val="28"/>
        </w:rPr>
        <w:t xml:space="preserve">
      s'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s,                          (258)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подпункт 2) пункта 743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и 0,4 — для листов настила верхней палубы и днища, соответственно.</w:t>
      </w:r>
      <w:r>
        <w:br/>
      </w:r>
      <w:r>
        <w:rPr>
          <w:rFonts w:ascii="Times New Roman"/>
          <w:b w:val="false"/>
          <w:i w:val="false"/>
          <w:color w:val="000000"/>
          <w:sz w:val="28"/>
        </w:rPr>
        <w:t>
</w:t>
      </w:r>
    </w:p>
    <w:bookmarkStart w:name="z2941" w:id="2936"/>
    <w:p>
      <w:pPr>
        <w:spacing w:after="0"/>
        <w:ind w:left="0"/>
        <w:jc w:val="both"/>
      </w:pPr>
      <w:r>
        <w:rPr>
          <w:rFonts w:ascii="Times New Roman"/>
          <w:b w:val="false"/>
          <w:i w:val="false"/>
          <w:color w:val="000000"/>
          <w:sz w:val="28"/>
        </w:rPr>
        <w:t>
      Размеры утолщенного листа принимаются в соответствии с приложением 102 настоящих Правил.</w:t>
      </w:r>
    </w:p>
    <w:bookmarkEnd w:id="2936"/>
    <w:bookmarkStart w:name="z2942" w:id="2937"/>
    <w:p>
      <w:pPr>
        <w:spacing w:after="0"/>
        <w:ind w:left="0"/>
        <w:jc w:val="left"/>
      </w:pPr>
      <w:r>
        <w:rPr>
          <w:rFonts w:ascii="Times New Roman"/>
          <w:b/>
          <w:i w:val="false"/>
          <w:color w:val="000000"/>
        </w:rPr>
        <w:t xml:space="preserve"> Параграф 5. Специальные требования</w:t>
      </w:r>
    </w:p>
    <w:bookmarkEnd w:id="2937"/>
    <w:bookmarkStart w:name="z2943" w:id="2938"/>
    <w:p>
      <w:pPr>
        <w:spacing w:after="0"/>
        <w:ind w:left="0"/>
        <w:jc w:val="both"/>
      </w:pPr>
      <w:r>
        <w:rPr>
          <w:rFonts w:ascii="Times New Roman"/>
          <w:b w:val="false"/>
          <w:i w:val="false"/>
          <w:color w:val="000000"/>
          <w:sz w:val="28"/>
        </w:rPr>
        <w:t>
      744. Если в процессе нормальной эксплуатации судов технического флота предусматривается посадка на грунт, днище такого судна имеет следующие специальные подкрепления:</w:t>
      </w:r>
    </w:p>
    <w:bookmarkEnd w:id="2938"/>
    <w:bookmarkStart w:name="z2944" w:id="2939"/>
    <w:p>
      <w:pPr>
        <w:spacing w:after="0"/>
        <w:ind w:left="0"/>
        <w:jc w:val="both"/>
      </w:pPr>
      <w:r>
        <w:rPr>
          <w:rFonts w:ascii="Times New Roman"/>
          <w:b w:val="false"/>
          <w:i w:val="false"/>
          <w:color w:val="000000"/>
          <w:sz w:val="28"/>
        </w:rPr>
        <w:t>
      1) толщина днищевой обшивки плоской части днища увеличена на 20 % по сравнению с требуемой;</w:t>
      </w:r>
    </w:p>
    <w:bookmarkEnd w:id="2939"/>
    <w:bookmarkStart w:name="z2945" w:id="2940"/>
    <w:p>
      <w:pPr>
        <w:spacing w:after="0"/>
        <w:ind w:left="0"/>
        <w:jc w:val="both"/>
      </w:pPr>
      <w:r>
        <w:rPr>
          <w:rFonts w:ascii="Times New Roman"/>
          <w:b w:val="false"/>
          <w:i w:val="false"/>
          <w:color w:val="000000"/>
          <w:sz w:val="28"/>
        </w:rPr>
        <w:t>
      2) днищевая обшивка при отсутствии второго дна и при поперечной системе набора между днищевыми стрингерами подкреплена продольными ребрами жесткости.</w:t>
      </w:r>
    </w:p>
    <w:bookmarkEnd w:id="2940"/>
    <w:bookmarkStart w:name="z2946" w:id="2941"/>
    <w:p>
      <w:pPr>
        <w:spacing w:after="0"/>
        <w:ind w:left="0"/>
        <w:jc w:val="both"/>
      </w:pPr>
      <w:r>
        <w:rPr>
          <w:rFonts w:ascii="Times New Roman"/>
          <w:b w:val="false"/>
          <w:i w:val="false"/>
          <w:color w:val="000000"/>
          <w:sz w:val="28"/>
        </w:rPr>
        <w:t>
      В плоскости продольных ребер по флорам устанавливаются вертикальные ребра жесткости. Продольные ребра жесткости проходят через вырезы во флорах и привариваются к ним;</w:t>
      </w:r>
    </w:p>
    <w:bookmarkEnd w:id="2941"/>
    <w:bookmarkStart w:name="z2947" w:id="2942"/>
    <w:p>
      <w:pPr>
        <w:spacing w:after="0"/>
        <w:ind w:left="0"/>
        <w:jc w:val="both"/>
      </w:pPr>
      <w:r>
        <w:rPr>
          <w:rFonts w:ascii="Times New Roman"/>
          <w:b w:val="false"/>
          <w:i w:val="false"/>
          <w:color w:val="000000"/>
          <w:sz w:val="28"/>
        </w:rPr>
        <w:t>
      3) днищевая обшивка при отсутствии второго дна и при продольной системе набора подкреплена между флорами дополнительными флорами высотой не менее 2,5 высот днищевой продольной балки и толщиной, равной толщине основных флоров. Основные флоры подкреплены вертикальными ребрами жесткости, установленными в плоскостях днищевых продольных балок. Расстояние между днищевыми стрингерами не более 2,2 м. Продольные балки по скуле имеют размеры не менее требуемых для днища;</w:t>
      </w:r>
    </w:p>
    <w:bookmarkEnd w:id="2942"/>
    <w:bookmarkStart w:name="z2948" w:id="2943"/>
    <w:p>
      <w:pPr>
        <w:spacing w:after="0"/>
        <w:ind w:left="0"/>
        <w:jc w:val="both"/>
      </w:pPr>
      <w:r>
        <w:rPr>
          <w:rFonts w:ascii="Times New Roman"/>
          <w:b w:val="false"/>
          <w:i w:val="false"/>
          <w:color w:val="000000"/>
          <w:sz w:val="28"/>
        </w:rPr>
        <w:t>
      4) в двойном дне при поперечной системе набора сплошные флоры устанавливаются на каждом шпангоуте, днищевые стрингеры устанавливаются друг от друга, от борта или продольных переборок на расстоянии, не более 2,5 м. Между днищевыми стрингерами днищевая обшивка подкрепляется продольными ребрами жесткости. В плоскости этих продольных ребер по флорам устанавливаются вертикальные ребра жесткости. Продольные ребра жесткости проходят через вырезы во флорах и привариваются к ним.</w:t>
      </w:r>
    </w:p>
    <w:bookmarkEnd w:id="2943"/>
    <w:bookmarkStart w:name="z2949" w:id="2944"/>
    <w:p>
      <w:pPr>
        <w:spacing w:after="0"/>
        <w:ind w:left="0"/>
        <w:jc w:val="both"/>
      </w:pPr>
      <w:r>
        <w:rPr>
          <w:rFonts w:ascii="Times New Roman"/>
          <w:b w:val="false"/>
          <w:i w:val="false"/>
          <w:color w:val="000000"/>
          <w:sz w:val="28"/>
        </w:rPr>
        <w:t>
      В двойном дне при продольной системе набора флоры устанавливаются на каждом втором шпангоуте, а стрингеры — через 2,5 м;</w:t>
      </w:r>
    </w:p>
    <w:bookmarkEnd w:id="2944"/>
    <w:bookmarkStart w:name="z2950" w:id="2945"/>
    <w:p>
      <w:pPr>
        <w:spacing w:after="0"/>
        <w:ind w:left="0"/>
        <w:jc w:val="both"/>
      </w:pPr>
      <w:r>
        <w:rPr>
          <w:rFonts w:ascii="Times New Roman"/>
          <w:b w:val="false"/>
          <w:i w:val="false"/>
          <w:color w:val="000000"/>
          <w:sz w:val="28"/>
        </w:rPr>
        <w:t>
      5) в местах расположения ниши для вертикальных направляющих бортового сосуна предусматривают следующие подкрепления корпуса:</w:t>
      </w:r>
    </w:p>
    <w:bookmarkEnd w:id="2945"/>
    <w:bookmarkStart w:name="z2951" w:id="2946"/>
    <w:p>
      <w:pPr>
        <w:spacing w:after="0"/>
        <w:ind w:left="0"/>
        <w:jc w:val="both"/>
      </w:pPr>
      <w:r>
        <w:rPr>
          <w:rFonts w:ascii="Times New Roman"/>
          <w:b w:val="false"/>
          <w:i w:val="false"/>
          <w:color w:val="000000"/>
          <w:sz w:val="28"/>
        </w:rPr>
        <w:t>
      бортовой набор подкрепляют не менее чем тремя рамными шпангоутами размерами, требуемыми для машинного отделения, и не менее чем тремя интеркостельными стрингерами, продленными на три шпации от крайних рамных шпангоутов, которые устанавливаются не ближе 50 мм от края нити;</w:t>
      </w:r>
    </w:p>
    <w:bookmarkEnd w:id="2946"/>
    <w:bookmarkStart w:name="z2952" w:id="2947"/>
    <w:p>
      <w:pPr>
        <w:spacing w:after="0"/>
        <w:ind w:left="0"/>
        <w:jc w:val="both"/>
      </w:pPr>
      <w:r>
        <w:rPr>
          <w:rFonts w:ascii="Times New Roman"/>
          <w:b w:val="false"/>
          <w:i w:val="false"/>
          <w:color w:val="000000"/>
          <w:sz w:val="28"/>
        </w:rPr>
        <w:t>
      бортовая обшивка в районе ниши выполнена из согнутого вварного листа, вертикальный стыковой шов вварного листа располагается не ближе 100 мм от края ниши;</w:t>
      </w:r>
    </w:p>
    <w:bookmarkEnd w:id="2947"/>
    <w:bookmarkStart w:name="z2953" w:id="2948"/>
    <w:p>
      <w:pPr>
        <w:spacing w:after="0"/>
        <w:ind w:left="0"/>
        <w:jc w:val="both"/>
      </w:pPr>
      <w:r>
        <w:rPr>
          <w:rFonts w:ascii="Times New Roman"/>
          <w:b w:val="false"/>
          <w:i w:val="false"/>
          <w:color w:val="000000"/>
          <w:sz w:val="28"/>
        </w:rPr>
        <w:t>
      палубный стрингер в районе ниши утолщен на 60 % на длине одной шпации в нос и корму от рамных шпангоутов.</w:t>
      </w:r>
    </w:p>
    <w:bookmarkEnd w:id="2948"/>
    <w:bookmarkStart w:name="z2954" w:id="2949"/>
    <w:p>
      <w:pPr>
        <w:spacing w:after="0"/>
        <w:ind w:left="0"/>
        <w:jc w:val="both"/>
      </w:pPr>
      <w:r>
        <w:rPr>
          <w:rFonts w:ascii="Times New Roman"/>
          <w:b w:val="false"/>
          <w:i w:val="false"/>
          <w:color w:val="000000"/>
          <w:sz w:val="28"/>
        </w:rPr>
        <w:t>
      745. На плавкраны, в спецификации которых указанные районы эксплуатации являются глубоководными и посадка на грунт при любых возможных кренах и дифферентах плавкрана исключается, требования пункта 743 настоящих Правил не распространяются.</w:t>
      </w:r>
    </w:p>
    <w:bookmarkEnd w:id="2949"/>
    <w:bookmarkStart w:name="z2955" w:id="2950"/>
    <w:p>
      <w:pPr>
        <w:spacing w:after="0"/>
        <w:ind w:left="0"/>
        <w:jc w:val="both"/>
      </w:pPr>
      <w:r>
        <w:rPr>
          <w:rFonts w:ascii="Times New Roman"/>
          <w:b w:val="false"/>
          <w:i w:val="false"/>
          <w:color w:val="000000"/>
          <w:sz w:val="28"/>
        </w:rPr>
        <w:t>
      746. Толщина основных конструктивных элементов, которые особенно подвержены абразивному износу от воздействия смеси грунта и воды (в частности, при применении специальных методов загрузки и выгрузки), увеличивается. По согласованию с Регистром судоходства эти элементы изготавливают из специальных износоустойчивых материалов.</w:t>
      </w:r>
    </w:p>
    <w:bookmarkEnd w:id="2950"/>
    <w:bookmarkStart w:name="z2956" w:id="2951"/>
    <w:p>
      <w:pPr>
        <w:spacing w:after="0"/>
        <w:ind w:left="0"/>
        <w:jc w:val="both"/>
      </w:pPr>
      <w:r>
        <w:rPr>
          <w:rFonts w:ascii="Times New Roman"/>
          <w:b w:val="false"/>
          <w:i w:val="false"/>
          <w:color w:val="000000"/>
          <w:sz w:val="28"/>
        </w:rPr>
        <w:t>
      747. Грунтовые насосы располагаются в отдельных отсеках, ограниченных водонепроницаемыми переборками.</w:t>
      </w:r>
    </w:p>
    <w:bookmarkEnd w:id="2951"/>
    <w:bookmarkStart w:name="z2957" w:id="2952"/>
    <w:p>
      <w:pPr>
        <w:spacing w:after="0"/>
        <w:ind w:left="0"/>
        <w:jc w:val="both"/>
      </w:pPr>
      <w:r>
        <w:rPr>
          <w:rFonts w:ascii="Times New Roman"/>
          <w:b w:val="false"/>
          <w:i w:val="false"/>
          <w:color w:val="000000"/>
          <w:sz w:val="28"/>
        </w:rPr>
        <w:t>
      748. На участках палубы, где располагается тяжелое дноуглубительное (грузоподъемное) оборудование, а также при транспортировке на палубе плавкранов и земснарядов негабаритных тяжелых грузов, размеры элементов палубного набора определяются расчетом при следующих условиях:</w:t>
      </w:r>
    </w:p>
    <w:bookmarkEnd w:id="2952"/>
    <w:bookmarkStart w:name="z2958" w:id="2953"/>
    <w:p>
      <w:pPr>
        <w:spacing w:after="0"/>
        <w:ind w:left="0"/>
        <w:jc w:val="both"/>
      </w:pPr>
      <w:r>
        <w:rPr>
          <w:rFonts w:ascii="Times New Roman"/>
          <w:b w:val="false"/>
          <w:i w:val="false"/>
          <w:color w:val="000000"/>
          <w:sz w:val="28"/>
        </w:rPr>
        <w:t>
      бимсы считаются жестко заделанными на опоре;</w:t>
      </w:r>
    </w:p>
    <w:bookmarkEnd w:id="2953"/>
    <w:bookmarkStart w:name="z2959" w:id="2954"/>
    <w:p>
      <w:pPr>
        <w:spacing w:after="0"/>
        <w:ind w:left="0"/>
        <w:jc w:val="both"/>
      </w:pPr>
      <w:r>
        <w:rPr>
          <w:rFonts w:ascii="Times New Roman"/>
          <w:b w:val="false"/>
          <w:i w:val="false"/>
          <w:color w:val="000000"/>
          <w:sz w:val="28"/>
        </w:rPr>
        <w:t>
      учитывается вид нагрузки (сосредоточенная, частично распределенная);</w:t>
      </w:r>
    </w:p>
    <w:bookmarkEnd w:id="2954"/>
    <w:bookmarkStart w:name="z2960" w:id="2955"/>
    <w:p>
      <w:pPr>
        <w:spacing w:after="0"/>
        <w:ind w:left="0"/>
        <w:jc w:val="both"/>
      </w:pPr>
      <w:r>
        <w:rPr>
          <w:rFonts w:ascii="Times New Roman"/>
          <w:b w:val="false"/>
          <w:i w:val="false"/>
          <w:color w:val="000000"/>
          <w:sz w:val="28"/>
        </w:rPr>
        <w:t xml:space="preserve">
      приведенные напряжения для элементов из обычной стали </w:t>
      </w:r>
    </w:p>
    <w:bookmarkEnd w:id="2955"/>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еq</w:t>
      </w:r>
      <w:r>
        <w:rPr>
          <w:rFonts w:ascii="Times New Roman"/>
          <w:b w:val="false"/>
          <w:i w:val="false"/>
          <w:color w:val="000000"/>
          <w:sz w:val="28"/>
        </w:rPr>
        <w:t>, МПа, должны удовлетворять условию:</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еq</w:t>
      </w:r>
      <w:r>
        <w:rPr>
          <w:rFonts w:ascii="Times New Roman"/>
          <w:b w:val="false"/>
          <w:i w:val="false"/>
          <w:color w:val="000000"/>
          <w:sz w:val="28"/>
        </w:rPr>
        <w:t xml:space="preserve"> = </w:t>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1219200" cy="368300"/>
                    </a:xfrm>
                    <a:prstGeom prst="rect">
                      <a:avLst/>
                    </a:prstGeom>
                  </pic:spPr>
                </pic:pic>
              </a:graphicData>
            </a:graphic>
          </wp:inline>
        </w:drawing>
      </w:r>
    </w:p>
    <w:p>
      <w:pPr>
        <w:spacing w:after="0"/>
        <w:ind w:left="0"/>
        <w:jc w:val="left"/>
      </w:pPr>
      <w:r>
        <w:rPr>
          <w:rFonts w:ascii="Times New Roman"/>
          <w:b w:val="false"/>
          <w:i w:val="false"/>
          <w:color w:val="000000"/>
          <w:vertAlign w:val="subscript"/>
        </w:rPr>
        <w:t>,</w:t>
      </w:r>
      <w:r>
        <w:rPr>
          <w:rFonts w:ascii="Times New Roman"/>
          <w:b w:val="false"/>
          <w:i w:val="false"/>
          <w:color w:val="000000"/>
          <w:sz w:val="28"/>
        </w:rPr>
        <w:t xml:space="preserve">                  (259)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нормальные и касательные расчетные напряжения в рассматриваемом сечении, соответственно.</w:t>
      </w:r>
      <w:r>
        <w:br/>
      </w:r>
      <w:r>
        <w:rPr>
          <w:rFonts w:ascii="Times New Roman"/>
          <w:b w:val="false"/>
          <w:i w:val="false"/>
          <w:color w:val="000000"/>
          <w:sz w:val="28"/>
        </w:rPr>
        <w:t>
</w:t>
      </w:r>
    </w:p>
    <w:bookmarkStart w:name="z2961" w:id="2956"/>
    <w:p>
      <w:pPr>
        <w:spacing w:after="0"/>
        <w:ind w:left="0"/>
        <w:jc w:val="both"/>
      </w:pPr>
      <w:r>
        <w:rPr>
          <w:rFonts w:ascii="Times New Roman"/>
          <w:b w:val="false"/>
          <w:i w:val="false"/>
          <w:color w:val="000000"/>
          <w:sz w:val="28"/>
        </w:rPr>
        <w:t>
      Результаты расчетов являются предметом специального рассмотрения Регистром судоходства.</w:t>
      </w:r>
    </w:p>
    <w:bookmarkEnd w:id="2956"/>
    <w:bookmarkStart w:name="z2962" w:id="2957"/>
    <w:p>
      <w:pPr>
        <w:spacing w:after="0"/>
        <w:ind w:left="0"/>
        <w:jc w:val="left"/>
      </w:pPr>
      <w:r>
        <w:rPr>
          <w:rFonts w:ascii="Times New Roman"/>
          <w:b/>
          <w:i w:val="false"/>
          <w:color w:val="000000"/>
        </w:rPr>
        <w:t xml:space="preserve"> Глава 35. Рыболовные суда и суда специального назначения, используемые для переработки живых ресурсов моря</w:t>
      </w:r>
    </w:p>
    <w:bookmarkEnd w:id="2957"/>
    <w:p>
      <w:pPr>
        <w:spacing w:after="0"/>
        <w:ind w:left="0"/>
        <w:jc w:val="both"/>
      </w:pPr>
      <w:r>
        <w:rPr>
          <w:rFonts w:ascii="Times New Roman"/>
          <w:b w:val="false"/>
          <w:i w:val="false"/>
          <w:color w:val="ff0000"/>
          <w:sz w:val="28"/>
        </w:rPr>
        <w:t xml:space="preserve">
      Сноска. Заголовок главы 35 -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63" w:id="2958"/>
    <w:p>
      <w:pPr>
        <w:spacing w:after="0"/>
        <w:ind w:left="0"/>
        <w:jc w:val="left"/>
      </w:pPr>
      <w:r>
        <w:rPr>
          <w:rFonts w:ascii="Times New Roman"/>
          <w:b/>
          <w:i w:val="false"/>
          <w:color w:val="000000"/>
        </w:rPr>
        <w:t xml:space="preserve"> Параграф 1. Общие положения и обозначения</w:t>
      </w:r>
    </w:p>
    <w:bookmarkEnd w:id="2958"/>
    <w:bookmarkStart w:name="z2964" w:id="2959"/>
    <w:p>
      <w:pPr>
        <w:spacing w:after="0"/>
        <w:ind w:left="0"/>
        <w:jc w:val="both"/>
      </w:pPr>
      <w:r>
        <w:rPr>
          <w:rFonts w:ascii="Times New Roman"/>
          <w:b w:val="false"/>
          <w:i w:val="false"/>
          <w:color w:val="000000"/>
          <w:sz w:val="28"/>
        </w:rPr>
        <w:t>
      749. Требования настоящей главы распространяются на рыболовные суда, имеющие средства кормового или бортового траления, и суда специального назначения, предназначенные для переработки, хранения и/или транспортировки продуктов промысла.</w:t>
      </w:r>
    </w:p>
    <w:bookmarkEnd w:id="2959"/>
    <w:bookmarkStart w:name="z2965" w:id="2960"/>
    <w:p>
      <w:pPr>
        <w:spacing w:after="0"/>
        <w:ind w:left="0"/>
        <w:jc w:val="both"/>
      </w:pPr>
      <w:r>
        <w:rPr>
          <w:rFonts w:ascii="Times New Roman"/>
          <w:b w:val="false"/>
          <w:i w:val="false"/>
          <w:color w:val="000000"/>
          <w:sz w:val="28"/>
        </w:rPr>
        <w:t>
      750. Требования к конструкциям корпуса, неупомянутым в настоящей главе, приведены в подразделах 1 и 2 раздела 4 настоящих Правил. Во всех случаях требования к конструкциям корпуса не должны быть ниже указанных в подразделах 1 и 2 раздела 4 настоящих Правил.</w:t>
      </w:r>
    </w:p>
    <w:bookmarkEnd w:id="2960"/>
    <w:bookmarkStart w:name="z2966" w:id="2961"/>
    <w:p>
      <w:pPr>
        <w:spacing w:after="0"/>
        <w:ind w:left="0"/>
        <w:jc w:val="both"/>
      </w:pPr>
      <w:r>
        <w:rPr>
          <w:rFonts w:ascii="Times New Roman"/>
          <w:b w:val="false"/>
          <w:i w:val="false"/>
          <w:color w:val="000000"/>
          <w:sz w:val="28"/>
        </w:rPr>
        <w:t>
      751. В настоящей главе приняты следующие обозначения:</w:t>
      </w:r>
    </w:p>
    <w:bookmarkEnd w:id="296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xml:space="preserve"> — ширина слипа,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1</w:t>
      </w:r>
      <w:r>
        <w:rPr>
          <w:rFonts w:ascii="Times New Roman"/>
          <w:b w:val="false"/>
          <w:i w:val="false"/>
          <w:color w:val="000000"/>
          <w:sz w:val="28"/>
        </w:rPr>
        <w:t xml:space="preserve"> — наибольшая спецификационная масса улова, которую может поднять специальное колесное или иное транспортное устройство,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2</w:t>
      </w:r>
      <w:r>
        <w:rPr>
          <w:rFonts w:ascii="Times New Roman"/>
          <w:b w:val="false"/>
          <w:i w:val="false"/>
          <w:color w:val="000000"/>
          <w:sz w:val="28"/>
        </w:rPr>
        <w:t xml:space="preserve"> — масса подвижной части специального колесного или иного транспортного устройства для подъема улова,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масса технологического оборудования,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n</w:t>
      </w:r>
      <w:r>
        <w:rPr>
          <w:rFonts w:ascii="Times New Roman"/>
          <w:b w:val="false"/>
          <w:i w:val="false"/>
          <w:color w:val="000000"/>
          <w:sz w:val="28"/>
        </w:rPr>
        <w:t xml:space="preserve"> — площадь палубы, на которой расположено технологическое оборудование,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а — расстояние между рассматриваемыми балками основного или рамного набора,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пролета рассматриваемой балки, (пункт 238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высота распределения расчетной нагрузки вдоль балки набора;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добавка к толщине листа на коррозию и износ, мм (пункт 139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коэффициент, учитывающий поправку на износ к моменту сопротивления балки (пункт 141 настоящих Правил).</w:t>
      </w:r>
      <w:r>
        <w:br/>
      </w:r>
      <w:r>
        <w:rPr>
          <w:rFonts w:ascii="Times New Roman"/>
          <w:b w:val="false"/>
          <w:i w:val="false"/>
          <w:color w:val="000000"/>
          <w:sz w:val="28"/>
        </w:rPr>
        <w:t>
</w:t>
      </w:r>
    </w:p>
    <w:bookmarkStart w:name="z2967" w:id="2962"/>
    <w:p>
      <w:pPr>
        <w:spacing w:after="0"/>
        <w:ind w:left="0"/>
        <w:jc w:val="both"/>
      </w:pPr>
      <w:r>
        <w:rPr>
          <w:rFonts w:ascii="Times New Roman"/>
          <w:b w:val="false"/>
          <w:i w:val="false"/>
          <w:color w:val="000000"/>
          <w:sz w:val="28"/>
        </w:rPr>
        <w:t>
      752. Требования к судам, швартующимся в море, предусматривают применение амортизационной защиты корпуса, обеспечиваемой пневматическими кранцами, а также иными амортизационными средствами, эквивалентными по энергоемкости и удельным контактным усилиям. Эти требования предусматривают швартовку судов при волнении неболее 6 баллов.</w:t>
      </w:r>
    </w:p>
    <w:bookmarkEnd w:id="2962"/>
    <w:bookmarkStart w:name="z2968" w:id="2963"/>
    <w:p>
      <w:pPr>
        <w:spacing w:after="0"/>
        <w:ind w:left="0"/>
        <w:jc w:val="both"/>
      </w:pPr>
      <w:r>
        <w:rPr>
          <w:rFonts w:ascii="Times New Roman"/>
          <w:b w:val="false"/>
          <w:i w:val="false"/>
          <w:color w:val="000000"/>
          <w:sz w:val="28"/>
        </w:rPr>
        <w:t>
      Для швартовок судов на волнении менее 4 баллов с применением указанной амортизационной защиты усиления бортов и надстроек не требуются.</w:t>
      </w:r>
    </w:p>
    <w:bookmarkEnd w:id="2963"/>
    <w:bookmarkStart w:name="z2969" w:id="2964"/>
    <w:p>
      <w:pPr>
        <w:spacing w:after="0"/>
        <w:ind w:left="0"/>
        <w:jc w:val="both"/>
      </w:pPr>
      <w:r>
        <w:rPr>
          <w:rFonts w:ascii="Times New Roman"/>
          <w:b w:val="false"/>
          <w:i w:val="false"/>
          <w:color w:val="000000"/>
          <w:sz w:val="28"/>
        </w:rPr>
        <w:t>
      753. Расположение районов ледовых усилений для рыболовных судов и судов специального назначения, швартующихся в море определяется следующим образом:</w:t>
      </w:r>
    </w:p>
    <w:bookmarkEnd w:id="2964"/>
    <w:bookmarkStart w:name="z2970" w:id="2965"/>
    <w:p>
      <w:pPr>
        <w:spacing w:after="0"/>
        <w:ind w:left="0"/>
        <w:jc w:val="both"/>
      </w:pPr>
      <w:r>
        <w:rPr>
          <w:rFonts w:ascii="Times New Roman"/>
          <w:b w:val="false"/>
          <w:i w:val="false"/>
          <w:color w:val="000000"/>
          <w:sz w:val="28"/>
        </w:rPr>
        <w:t>
      1) по высоте корпуса судна:</w:t>
      </w:r>
    </w:p>
    <w:bookmarkEnd w:id="2965"/>
    <w:p>
      <w:pPr>
        <w:spacing w:after="0"/>
        <w:ind w:left="0"/>
        <w:jc w:val="both"/>
      </w:pPr>
      <w:r>
        <w:rPr>
          <w:rFonts w:ascii="Times New Roman"/>
          <w:b w:val="false"/>
          <w:i w:val="false"/>
          <w:color w:val="000000"/>
          <w:sz w:val="28"/>
        </w:rPr>
        <w:t xml:space="preserve">
      район </w:t>
      </w:r>
      <w:r>
        <w:rPr>
          <w:rFonts w:ascii="Times New Roman"/>
          <w:b w:val="false"/>
          <w:i/>
          <w:color w:val="000000"/>
          <w:sz w:val="28"/>
        </w:rPr>
        <w:t>А</w:t>
      </w:r>
      <w:r>
        <w:rPr>
          <w:rFonts w:ascii="Times New Roman"/>
          <w:b w:val="false"/>
          <w:i w:val="false"/>
          <w:color w:val="000000"/>
          <w:sz w:val="28"/>
        </w:rPr>
        <w:t xml:space="preserve"> от линии, расположенной ниже балластной ватерлинии на величину </w:t>
      </w:r>
      <w:r>
        <w:rPr>
          <w:rFonts w:ascii="Times New Roman"/>
          <w:b w:val="false"/>
          <w:i/>
          <w:color w:val="000000"/>
          <w:sz w:val="28"/>
        </w:rPr>
        <w:t>h</w:t>
      </w:r>
      <w:r>
        <w:rPr>
          <w:rFonts w:ascii="Times New Roman"/>
          <w:b w:val="false"/>
          <w:i w:val="false"/>
          <w:color w:val="000000"/>
          <w:sz w:val="28"/>
        </w:rPr>
        <w:t xml:space="preserve"> до линии выше летней грузовой ватерлинии на величину </w:t>
      </w:r>
      <w:r>
        <w:rPr>
          <w:rFonts w:ascii="Times New Roman"/>
          <w:b w:val="false"/>
          <w:i/>
          <w:color w:val="000000"/>
          <w:sz w:val="28"/>
        </w:rPr>
        <w:t>h</w:t>
      </w:r>
      <w:r>
        <w:rPr>
          <w:rFonts w:ascii="Times New Roman"/>
          <w:b w:val="false"/>
          <w:i w:val="false"/>
          <w:color w:val="000000"/>
          <w:sz w:val="28"/>
        </w:rPr>
        <w:t xml:space="preserve">. Величина </w:t>
      </w:r>
      <w:r>
        <w:rPr>
          <w:rFonts w:ascii="Times New Roman"/>
          <w:b w:val="false"/>
          <w:i/>
          <w:color w:val="000000"/>
          <w:sz w:val="28"/>
        </w:rPr>
        <w:t>h</w:t>
      </w:r>
      <w:r>
        <w:rPr>
          <w:rFonts w:ascii="Times New Roman"/>
          <w:b w:val="false"/>
          <w:i w:val="false"/>
          <w:color w:val="000000"/>
          <w:sz w:val="28"/>
        </w:rPr>
        <w:t xml:space="preserve"> определяется по приложению 103 настоящих Правил;</w:t>
      </w:r>
    </w:p>
    <w:p>
      <w:pPr>
        <w:spacing w:after="0"/>
        <w:ind w:left="0"/>
        <w:jc w:val="both"/>
      </w:pPr>
      <w:r>
        <w:rPr>
          <w:rFonts w:ascii="Times New Roman"/>
          <w:b w:val="false"/>
          <w:i w:val="false"/>
          <w:color w:val="000000"/>
          <w:sz w:val="28"/>
        </w:rPr>
        <w:t>
      район В от верхней границы района А до верхней палубы;</w:t>
      </w:r>
    </w:p>
    <w:p>
      <w:pPr>
        <w:spacing w:after="0"/>
        <w:ind w:left="0"/>
        <w:jc w:val="both"/>
      </w:pPr>
      <w:r>
        <w:rPr>
          <w:rFonts w:ascii="Times New Roman"/>
          <w:b w:val="false"/>
          <w:i w:val="false"/>
          <w:color w:val="000000"/>
          <w:sz w:val="28"/>
        </w:rPr>
        <w:t>
      район С от верхней палубы до палубы надстройки 1 яруса, включая бак и ют;</w:t>
      </w:r>
    </w:p>
    <w:bookmarkStart w:name="z2971" w:id="2966"/>
    <w:p>
      <w:pPr>
        <w:spacing w:after="0"/>
        <w:ind w:left="0"/>
        <w:jc w:val="both"/>
      </w:pPr>
      <w:r>
        <w:rPr>
          <w:rFonts w:ascii="Times New Roman"/>
          <w:b w:val="false"/>
          <w:i w:val="false"/>
          <w:color w:val="000000"/>
          <w:sz w:val="28"/>
        </w:rPr>
        <w:t>
      2) по длине судна район А располагается между сечениями, в которых ширина судна на уровне летней грузовой ватерлинии равна (В — 3 м).</w:t>
      </w:r>
    </w:p>
    <w:bookmarkEnd w:id="2966"/>
    <w:bookmarkStart w:name="z2972" w:id="2967"/>
    <w:p>
      <w:pPr>
        <w:spacing w:after="0"/>
        <w:ind w:left="0"/>
        <w:jc w:val="both"/>
      </w:pPr>
      <w:r>
        <w:rPr>
          <w:rFonts w:ascii="Times New Roman"/>
          <w:b w:val="false"/>
          <w:i w:val="false"/>
          <w:color w:val="000000"/>
          <w:sz w:val="28"/>
        </w:rPr>
        <w:t>
      Протяженность района А судов специального назначения должна быть не менее 0,36</w:t>
      </w:r>
      <w:r>
        <w:rPr>
          <w:rFonts w:ascii="Times New Roman"/>
          <w:b w:val="false"/>
          <w:i/>
          <w:color w:val="000000"/>
          <w:sz w:val="28"/>
        </w:rPr>
        <w:t>L</w:t>
      </w:r>
      <w:r>
        <w:rPr>
          <w:rFonts w:ascii="Times New Roman"/>
          <w:b w:val="false"/>
          <w:i w:val="false"/>
          <w:color w:val="000000"/>
          <w:sz w:val="28"/>
        </w:rPr>
        <w:t xml:space="preserve"> в нос и в корму от миделя;</w:t>
      </w:r>
    </w:p>
    <w:bookmarkEnd w:id="2967"/>
    <w:bookmarkStart w:name="z2973" w:id="2968"/>
    <w:p>
      <w:pPr>
        <w:spacing w:after="0"/>
        <w:ind w:left="0"/>
        <w:jc w:val="both"/>
      </w:pPr>
      <w:r>
        <w:rPr>
          <w:rFonts w:ascii="Times New Roman"/>
          <w:b w:val="false"/>
          <w:i w:val="false"/>
          <w:color w:val="000000"/>
          <w:sz w:val="28"/>
        </w:rPr>
        <w:t>
      3) для судов специального назначения по длине судна дополнительно выделяется один или несколько причальных участков, размеры которых определяются сечениями в нос и в корму на 0,05</w:t>
      </w:r>
      <w:r>
        <w:rPr>
          <w:rFonts w:ascii="Times New Roman"/>
          <w:b w:val="false"/>
          <w:i/>
          <w:color w:val="000000"/>
          <w:sz w:val="28"/>
        </w:rPr>
        <w:t>L</w:t>
      </w:r>
      <w:r>
        <w:rPr>
          <w:rFonts w:ascii="Times New Roman"/>
          <w:b w:val="false"/>
          <w:i w:val="false"/>
          <w:color w:val="000000"/>
          <w:sz w:val="28"/>
        </w:rPr>
        <w:t xml:space="preserve"> от, соответственно, носовой и кормовой кромок группы плавучих кранцев, обеспечивающих стоянку одного отшвартованного судна для всех заданных вариантов швартовки. Границы причальных участков определяют при крайних положениях кранцев для всех заданных вариантов швартовки.</w:t>
      </w:r>
    </w:p>
    <w:bookmarkEnd w:id="2968"/>
    <w:bookmarkStart w:name="z2974" w:id="2969"/>
    <w:p>
      <w:pPr>
        <w:spacing w:after="0"/>
        <w:ind w:left="0"/>
        <w:jc w:val="both"/>
      </w:pPr>
      <w:r>
        <w:rPr>
          <w:rFonts w:ascii="Times New Roman"/>
          <w:b w:val="false"/>
          <w:i w:val="false"/>
          <w:color w:val="000000"/>
          <w:sz w:val="28"/>
        </w:rPr>
        <w:t>
      754. Рыболовные суда, предназначенные для систематического промысла в ледовых условиях, имеют следующие категории ледовых усилений:</w:t>
      </w:r>
    </w:p>
    <w:bookmarkEnd w:id="2969"/>
    <w:bookmarkStart w:name="z2975" w:id="2970"/>
    <w:p>
      <w:pPr>
        <w:spacing w:after="0"/>
        <w:ind w:left="0"/>
        <w:jc w:val="both"/>
      </w:pPr>
      <w:r>
        <w:rPr>
          <w:rFonts w:ascii="Times New Roman"/>
          <w:b w:val="false"/>
          <w:i w:val="false"/>
          <w:color w:val="000000"/>
          <w:sz w:val="28"/>
        </w:rPr>
        <w:t>
      1) рыболовные суда, предназначенные для систематического промысла в ледовых условиях, имеют категорию ледовых усилений не ниже Iсе3 в соответствии с требованиями главы 38 настоящих Правил;</w:t>
      </w:r>
    </w:p>
    <w:bookmarkEnd w:id="2970"/>
    <w:bookmarkStart w:name="z2976" w:id="2971"/>
    <w:p>
      <w:pPr>
        <w:spacing w:after="0"/>
        <w:ind w:left="0"/>
        <w:jc w:val="both"/>
      </w:pPr>
      <w:r>
        <w:rPr>
          <w:rFonts w:ascii="Times New Roman"/>
          <w:b w:val="false"/>
          <w:i w:val="false"/>
          <w:color w:val="000000"/>
          <w:sz w:val="28"/>
        </w:rPr>
        <w:t>
      2) рыболовные суда, предназначенные для систематического промысла в ледовых условиях, имеющие ледовые усиления категории Iсе3, отвечают требованиям главы 38 настоящих Правил, а также дополнительным требованиям, изложенным в подпункте 4) пункта 754, пунктах 760, 764 и 769 настоящих Правил;</w:t>
      </w:r>
    </w:p>
    <w:bookmarkEnd w:id="2971"/>
    <w:bookmarkStart w:name="z2977" w:id="2972"/>
    <w:p>
      <w:pPr>
        <w:spacing w:after="0"/>
        <w:ind w:left="0"/>
        <w:jc w:val="both"/>
      </w:pPr>
      <w:r>
        <w:rPr>
          <w:rFonts w:ascii="Times New Roman"/>
          <w:b w:val="false"/>
          <w:i w:val="false"/>
          <w:color w:val="000000"/>
          <w:sz w:val="28"/>
        </w:rPr>
        <w:t>
      3) к рыболовным судам с ледовыми усилениями категории Аrс4 и выше дополнительных требований не предъявляется;</w:t>
      </w:r>
    </w:p>
    <w:bookmarkEnd w:id="2972"/>
    <w:bookmarkStart w:name="z2978" w:id="2973"/>
    <w:p>
      <w:pPr>
        <w:spacing w:after="0"/>
        <w:ind w:left="0"/>
        <w:jc w:val="both"/>
      </w:pPr>
      <w:r>
        <w:rPr>
          <w:rFonts w:ascii="Times New Roman"/>
          <w:b w:val="false"/>
          <w:i w:val="false"/>
          <w:color w:val="000000"/>
          <w:sz w:val="28"/>
        </w:rPr>
        <w:t>
      4) если у рыболовного судна с ледовыми усилениями категории Iсе3 длина носового заострения грузовой ватерлинии превышает 0,25L, допускается выделение промежуточного района ледовых усилений, границы которого определяются как для судна с ледовыми усилениями категории Аrс4.</w:t>
      </w:r>
    </w:p>
    <w:bookmarkEnd w:id="2973"/>
    <w:bookmarkStart w:name="z2979" w:id="2974"/>
    <w:p>
      <w:pPr>
        <w:spacing w:after="0"/>
        <w:ind w:left="0"/>
        <w:jc w:val="left"/>
      </w:pPr>
      <w:r>
        <w:rPr>
          <w:rFonts w:ascii="Times New Roman"/>
          <w:b/>
          <w:i w:val="false"/>
          <w:color w:val="000000"/>
        </w:rPr>
        <w:t xml:space="preserve"> Параграф 2. Конструкция</w:t>
      </w:r>
    </w:p>
    <w:bookmarkEnd w:id="2974"/>
    <w:bookmarkStart w:name="z2980" w:id="2975"/>
    <w:p>
      <w:pPr>
        <w:spacing w:after="0"/>
        <w:ind w:left="0"/>
        <w:jc w:val="both"/>
      </w:pPr>
      <w:r>
        <w:rPr>
          <w:rFonts w:ascii="Times New Roman"/>
          <w:b w:val="false"/>
          <w:i w:val="false"/>
          <w:color w:val="000000"/>
          <w:sz w:val="28"/>
        </w:rPr>
        <w:t>
      755. Конструкция слипа предусматривает следующее:</w:t>
      </w:r>
    </w:p>
    <w:bookmarkEnd w:id="2975"/>
    <w:bookmarkStart w:name="z2981" w:id="2976"/>
    <w:p>
      <w:pPr>
        <w:spacing w:after="0"/>
        <w:ind w:left="0"/>
        <w:jc w:val="both"/>
      </w:pPr>
      <w:r>
        <w:rPr>
          <w:rFonts w:ascii="Times New Roman"/>
          <w:b w:val="false"/>
          <w:i w:val="false"/>
          <w:color w:val="000000"/>
          <w:sz w:val="28"/>
        </w:rPr>
        <w:t>
      1) кормовая оконечность судов, имеющих кормовой слип и/или устройства для кормового траления, усиливается дополнительными продольными и поперечными связями (рамными балками, распорками, переборками и полупереборками).</w:t>
      </w:r>
    </w:p>
    <w:bookmarkEnd w:id="2976"/>
    <w:bookmarkStart w:name="z2982" w:id="2977"/>
    <w:p>
      <w:pPr>
        <w:spacing w:after="0"/>
        <w:ind w:left="0"/>
        <w:jc w:val="both"/>
      </w:pPr>
      <w:r>
        <w:rPr>
          <w:rFonts w:ascii="Times New Roman"/>
          <w:b w:val="false"/>
          <w:i w:val="false"/>
          <w:color w:val="000000"/>
          <w:sz w:val="28"/>
        </w:rPr>
        <w:t>
      При устройстве слипа рекомендуется избегать плоской формы днищевой части кормового подзора.</w:t>
      </w:r>
    </w:p>
    <w:bookmarkEnd w:id="2977"/>
    <w:bookmarkStart w:name="z2983" w:id="2978"/>
    <w:p>
      <w:pPr>
        <w:spacing w:after="0"/>
        <w:ind w:left="0"/>
        <w:jc w:val="both"/>
      </w:pPr>
      <w:r>
        <w:rPr>
          <w:rFonts w:ascii="Times New Roman"/>
          <w:b w:val="false"/>
          <w:i w:val="false"/>
          <w:color w:val="000000"/>
          <w:sz w:val="28"/>
        </w:rPr>
        <w:t>
      Соединения стенок слипа с обшивкой транца и палубы слипа с днищевой обшивкой имеет радиус скругления не менее 200 мм. Допускается выполнять указанное соединение прутком диаметром не менее 70 мм;</w:t>
      </w:r>
    </w:p>
    <w:bookmarkEnd w:id="2978"/>
    <w:bookmarkStart w:name="z2984" w:id="2979"/>
    <w:p>
      <w:pPr>
        <w:spacing w:after="0"/>
        <w:ind w:left="0"/>
        <w:jc w:val="both"/>
      </w:pPr>
      <w:r>
        <w:rPr>
          <w:rFonts w:ascii="Times New Roman"/>
          <w:b w:val="false"/>
          <w:i w:val="false"/>
          <w:color w:val="000000"/>
          <w:sz w:val="28"/>
        </w:rPr>
        <w:t>
      2) боковые стенки слипа протягивают вниз, как правило, до наружной обшивки, а в нос — до ахтерпиковой переборки с плавным переходом в продольные рамные связи палуб;</w:t>
      </w:r>
    </w:p>
    <w:bookmarkEnd w:id="2979"/>
    <w:bookmarkStart w:name="z2985" w:id="2980"/>
    <w:p>
      <w:pPr>
        <w:spacing w:after="0"/>
        <w:ind w:left="0"/>
        <w:jc w:val="both"/>
      </w:pPr>
      <w:r>
        <w:rPr>
          <w:rFonts w:ascii="Times New Roman"/>
          <w:b w:val="false"/>
          <w:i w:val="false"/>
          <w:color w:val="000000"/>
          <w:sz w:val="28"/>
        </w:rPr>
        <w:t>
      3) если предусматривается подъем улова волоком, для палубы слипа рекомендуется применение продольной системы набора с установкой рамных бимсов на расстоянии, не превышающем 4 шпаций. Расстояние между продольными балками настила слипа не более 600 мм.</w:t>
      </w:r>
    </w:p>
    <w:bookmarkEnd w:id="2980"/>
    <w:bookmarkStart w:name="z2986" w:id="2981"/>
    <w:p>
      <w:pPr>
        <w:spacing w:after="0"/>
        <w:ind w:left="0"/>
        <w:jc w:val="both"/>
      </w:pPr>
      <w:r>
        <w:rPr>
          <w:rFonts w:ascii="Times New Roman"/>
          <w:b w:val="false"/>
          <w:i w:val="false"/>
          <w:color w:val="000000"/>
          <w:sz w:val="28"/>
        </w:rPr>
        <w:t>
      На судах, где предусмотрен подъем улова на специальном транспортном устройстве, для палубы слипа предусматривается поперечная система набора.</w:t>
      </w:r>
    </w:p>
    <w:bookmarkEnd w:id="2981"/>
    <w:bookmarkStart w:name="z2987" w:id="2982"/>
    <w:p>
      <w:pPr>
        <w:spacing w:after="0"/>
        <w:ind w:left="0"/>
        <w:jc w:val="both"/>
      </w:pPr>
      <w:r>
        <w:rPr>
          <w:rFonts w:ascii="Times New Roman"/>
          <w:b w:val="false"/>
          <w:i w:val="false"/>
          <w:color w:val="000000"/>
          <w:sz w:val="28"/>
        </w:rPr>
        <w:t>
      756. Конструкции судов, имеющих устройства для бортового траления должна предусматривать следующее:</w:t>
      </w:r>
    </w:p>
    <w:bookmarkEnd w:id="2982"/>
    <w:bookmarkStart w:name="z2988" w:id="2983"/>
    <w:p>
      <w:pPr>
        <w:spacing w:after="0"/>
        <w:ind w:left="0"/>
        <w:jc w:val="both"/>
      </w:pPr>
      <w:r>
        <w:rPr>
          <w:rFonts w:ascii="Times New Roman"/>
          <w:b w:val="false"/>
          <w:i w:val="false"/>
          <w:color w:val="000000"/>
          <w:sz w:val="28"/>
        </w:rPr>
        <w:t>
      1) на судах длиной более 30 м рекомендуется устройство бака;</w:t>
      </w:r>
    </w:p>
    <w:bookmarkEnd w:id="2983"/>
    <w:bookmarkStart w:name="z2989" w:id="2984"/>
    <w:p>
      <w:pPr>
        <w:spacing w:after="0"/>
        <w:ind w:left="0"/>
        <w:jc w:val="both"/>
      </w:pPr>
      <w:r>
        <w:rPr>
          <w:rFonts w:ascii="Times New Roman"/>
          <w:b w:val="false"/>
          <w:i w:val="false"/>
          <w:color w:val="000000"/>
          <w:sz w:val="28"/>
        </w:rPr>
        <w:t>
      2) в районе установки каждой траловой дуги, определяемом как расстояние между сечениями, расположенными на три шпации в нос и в корму от концов дуги, предусматривают следующие ледовые усиления:</w:t>
      </w:r>
    </w:p>
    <w:bookmarkEnd w:id="2984"/>
    <w:bookmarkStart w:name="z2990" w:id="2985"/>
    <w:p>
      <w:pPr>
        <w:spacing w:after="0"/>
        <w:ind w:left="0"/>
        <w:jc w:val="both"/>
      </w:pPr>
      <w:r>
        <w:rPr>
          <w:rFonts w:ascii="Times New Roman"/>
          <w:b w:val="false"/>
          <w:i w:val="false"/>
          <w:color w:val="000000"/>
          <w:sz w:val="28"/>
        </w:rPr>
        <w:t>
      установка промежуточных шпангоутов от верхней палубы до уровня не менее чем на 0,5 м ниже уровня балластной ватерлинии с моментом сопротивления сечения не менее 75 % требуемого в пункте 409 настоящих Правил для шпангоутов в данном междупалубном помещении;</w:t>
      </w:r>
    </w:p>
    <w:bookmarkEnd w:id="2985"/>
    <w:bookmarkStart w:name="z2991" w:id="2986"/>
    <w:p>
      <w:pPr>
        <w:spacing w:after="0"/>
        <w:ind w:left="0"/>
        <w:jc w:val="both"/>
      </w:pPr>
      <w:r>
        <w:rPr>
          <w:rFonts w:ascii="Times New Roman"/>
          <w:b w:val="false"/>
          <w:i w:val="false"/>
          <w:color w:val="000000"/>
          <w:sz w:val="28"/>
        </w:rPr>
        <w:t>
      верхние и нижние концы промежуточных шпангоутов крепятся к палубам, платформам или продольным интеркостельным связям, устанавливаемым между основными шпангоутами; продольные интеркостельные связи имеют тот же профиль, что и промежуточные шпангоуты и располагаются на одной линии; верхняя продольная интеркостельная связь отстоит от верхней палубы не далее чем на 350 мм;</w:t>
      </w:r>
    </w:p>
    <w:bookmarkEnd w:id="2986"/>
    <w:bookmarkStart w:name="z2992" w:id="2987"/>
    <w:p>
      <w:pPr>
        <w:spacing w:after="0"/>
        <w:ind w:left="0"/>
        <w:jc w:val="both"/>
      </w:pPr>
      <w:r>
        <w:rPr>
          <w:rFonts w:ascii="Times New Roman"/>
          <w:b w:val="false"/>
          <w:i w:val="false"/>
          <w:color w:val="000000"/>
          <w:sz w:val="28"/>
        </w:rPr>
        <w:t>
      стойки фальшборта устанавливаются на каждом шпангоуте.</w:t>
      </w:r>
    </w:p>
    <w:bookmarkEnd w:id="2987"/>
    <w:bookmarkStart w:name="z2993" w:id="2988"/>
    <w:p>
      <w:pPr>
        <w:spacing w:after="0"/>
        <w:ind w:left="0"/>
        <w:jc w:val="both"/>
      </w:pPr>
      <w:r>
        <w:rPr>
          <w:rFonts w:ascii="Times New Roman"/>
          <w:b w:val="false"/>
          <w:i w:val="false"/>
          <w:color w:val="000000"/>
          <w:sz w:val="28"/>
        </w:rPr>
        <w:t>
      757. Конструкции в производственных помещениях соответствуют следующему:</w:t>
      </w:r>
    </w:p>
    <w:bookmarkEnd w:id="2988"/>
    <w:bookmarkStart w:name="z2994" w:id="2989"/>
    <w:p>
      <w:pPr>
        <w:spacing w:after="0"/>
        <w:ind w:left="0"/>
        <w:jc w:val="both"/>
      </w:pPr>
      <w:r>
        <w:rPr>
          <w:rFonts w:ascii="Times New Roman"/>
          <w:b w:val="false"/>
          <w:i w:val="false"/>
          <w:color w:val="000000"/>
          <w:sz w:val="28"/>
        </w:rPr>
        <w:t>
      1) если в производственном помещении, расположенном выше палубы переборок, число переборок меньше, чем требуется в пункте 432 настоящих Правил, а расстояние между переборками, ограничивающими это помещение, превышает 30 м, то на палубе переборок в местах установки переборок подпалубой с каждого борта предусматривают полупереборки шириной не менее 0,5 высоты междупалубного пространства и толщиной не менее толщины верхнего листа соответствующих водонепроницаемых переборок под палубой, на которой расположено рассматриваемое производственное помещение.</w:t>
      </w:r>
    </w:p>
    <w:bookmarkEnd w:id="2989"/>
    <w:bookmarkStart w:name="z2995" w:id="2990"/>
    <w:p>
      <w:pPr>
        <w:spacing w:after="0"/>
        <w:ind w:left="0"/>
        <w:jc w:val="both"/>
      </w:pPr>
      <w:r>
        <w:rPr>
          <w:rFonts w:ascii="Times New Roman"/>
          <w:b w:val="false"/>
          <w:i w:val="false"/>
          <w:color w:val="000000"/>
          <w:sz w:val="28"/>
        </w:rPr>
        <w:t>
      Полупереборки подкрепляют горизонтальными ребрами жесткости согласно пункту 278 настоящих Правил. Допускается подкрепление полупереборок вертикальными стойками с установкой между бортом и ближайшей стойкой горизонтальных ребер согласно подпункту 4) пункта 759 настоящих Правил.</w:t>
      </w:r>
    </w:p>
    <w:bookmarkEnd w:id="2990"/>
    <w:bookmarkStart w:name="z2996" w:id="2991"/>
    <w:p>
      <w:pPr>
        <w:spacing w:after="0"/>
        <w:ind w:left="0"/>
        <w:jc w:val="both"/>
      </w:pPr>
      <w:r>
        <w:rPr>
          <w:rFonts w:ascii="Times New Roman"/>
          <w:b w:val="false"/>
          <w:i w:val="false"/>
          <w:color w:val="000000"/>
          <w:sz w:val="28"/>
        </w:rPr>
        <w:t>
      Полупереборки соединяются рамными бимсами, поддерживаемыми необходимым числом пиллерсов. Возможно принятие других конструктивных решений, признанные Регистром судоходства эквивалентными;</w:t>
      </w:r>
    </w:p>
    <w:bookmarkEnd w:id="2991"/>
    <w:bookmarkStart w:name="z2997" w:id="2992"/>
    <w:p>
      <w:pPr>
        <w:spacing w:after="0"/>
        <w:ind w:left="0"/>
        <w:jc w:val="both"/>
      </w:pPr>
      <w:r>
        <w:rPr>
          <w:rFonts w:ascii="Times New Roman"/>
          <w:b w:val="false"/>
          <w:i w:val="false"/>
          <w:color w:val="000000"/>
          <w:sz w:val="28"/>
        </w:rPr>
        <w:t>
      2) при расположении над производственными помещениями многоярусных рубок выполняют требования пункта 553 настоящих Правил, по установке в этих помещениях жестких связей (переборок, полупереборок).</w:t>
      </w:r>
    </w:p>
    <w:bookmarkEnd w:id="2992"/>
    <w:bookmarkStart w:name="z2998" w:id="2993"/>
    <w:p>
      <w:pPr>
        <w:spacing w:after="0"/>
        <w:ind w:left="0"/>
        <w:jc w:val="both"/>
      </w:pPr>
      <w:r>
        <w:rPr>
          <w:rFonts w:ascii="Times New Roman"/>
          <w:b w:val="false"/>
          <w:i w:val="false"/>
          <w:color w:val="000000"/>
          <w:sz w:val="28"/>
        </w:rPr>
        <w:t>
      758. Стойки фальшборта на рыболовных судах устанавливаются не более чем через две шпации.</w:t>
      </w:r>
    </w:p>
    <w:bookmarkEnd w:id="2993"/>
    <w:bookmarkStart w:name="z2999" w:id="2994"/>
    <w:p>
      <w:pPr>
        <w:spacing w:after="0"/>
        <w:ind w:left="0"/>
        <w:jc w:val="both"/>
      </w:pPr>
      <w:r>
        <w:rPr>
          <w:rFonts w:ascii="Times New Roman"/>
          <w:b w:val="false"/>
          <w:i w:val="false"/>
          <w:color w:val="000000"/>
          <w:sz w:val="28"/>
        </w:rPr>
        <w:t>
      759. Конструкция ледовых усилений судов, швартующихся в море, соответствует следующему:</w:t>
      </w:r>
    </w:p>
    <w:bookmarkEnd w:id="2994"/>
    <w:bookmarkStart w:name="z3000" w:id="2995"/>
    <w:p>
      <w:pPr>
        <w:spacing w:after="0"/>
        <w:ind w:left="0"/>
        <w:jc w:val="both"/>
      </w:pPr>
      <w:r>
        <w:rPr>
          <w:rFonts w:ascii="Times New Roman"/>
          <w:b w:val="false"/>
          <w:i w:val="false"/>
          <w:color w:val="000000"/>
          <w:sz w:val="28"/>
        </w:rPr>
        <w:t>
      1) в районах ледовых усилений судов, швартующихся в море, должна быть применена поперечная система набора бортов. На однопалубных судах в указанных районах система набора палубы и днища также поперечная. На многопалубных судах следует предусматривать поперечную систему набора для палубы, находящейся на уровне расположения амортизационной защиты. Применение продольной системы набора бортов допускается только в верхнем междупалубном помещении. При этом расстояние между рамными шпангоутами не превышает трех шпаций или 2,4 м, в зависимости от того, что меньше;</w:t>
      </w:r>
    </w:p>
    <w:bookmarkEnd w:id="2995"/>
    <w:bookmarkStart w:name="z3001" w:id="2996"/>
    <w:p>
      <w:pPr>
        <w:spacing w:after="0"/>
        <w:ind w:left="0"/>
        <w:jc w:val="both"/>
      </w:pPr>
      <w:r>
        <w:rPr>
          <w:rFonts w:ascii="Times New Roman"/>
          <w:b w:val="false"/>
          <w:i w:val="false"/>
          <w:color w:val="000000"/>
          <w:sz w:val="28"/>
        </w:rPr>
        <w:t>
      2) в районе А по всей его длине для рыболовных судов и в пределах причальных участков для судов специального назначения рекомендуется устанавливать промежуточные шпангоуты;</w:t>
      </w:r>
    </w:p>
    <w:bookmarkEnd w:id="2996"/>
    <w:bookmarkStart w:name="z3002" w:id="2997"/>
    <w:p>
      <w:pPr>
        <w:spacing w:after="0"/>
        <w:ind w:left="0"/>
        <w:jc w:val="both"/>
      </w:pPr>
      <w:r>
        <w:rPr>
          <w:rFonts w:ascii="Times New Roman"/>
          <w:b w:val="false"/>
          <w:i w:val="false"/>
          <w:color w:val="000000"/>
          <w:sz w:val="28"/>
        </w:rPr>
        <w:t>
      3) во всех случаях рекомендуется применять симметричные профили и обеспечивать минимально возможную высоту профиля при требуемом моменте сопротивления;</w:t>
      </w:r>
    </w:p>
    <w:bookmarkEnd w:id="2997"/>
    <w:bookmarkStart w:name="z3003" w:id="2998"/>
    <w:p>
      <w:pPr>
        <w:spacing w:after="0"/>
        <w:ind w:left="0"/>
        <w:jc w:val="both"/>
      </w:pPr>
      <w:r>
        <w:rPr>
          <w:rFonts w:ascii="Times New Roman"/>
          <w:b w:val="false"/>
          <w:i w:val="false"/>
          <w:color w:val="000000"/>
          <w:sz w:val="28"/>
        </w:rPr>
        <w:t xml:space="preserve">
      4) поперечные переборки на участке между бортом и ближайшей к нему стойкой переборки имеют горизонтальные ребра высотой не менее 75 % высоты стойки. Расстояние между ребрами при длине судна </w:t>
      </w:r>
      <w:r>
        <w:rPr>
          <w:rFonts w:ascii="Times New Roman"/>
          <w:b w:val="false"/>
          <w:i/>
          <w:color w:val="000000"/>
          <w:sz w:val="28"/>
        </w:rPr>
        <w:t xml:space="preserve">L </w:t>
      </w:r>
      <w:r>
        <w:rPr>
          <w:rFonts w:ascii="Times New Roman"/>
          <w:b w:val="false"/>
          <w:i w:val="false"/>
          <w:color w:val="000000"/>
          <w:sz w:val="28"/>
          <w:u w:val="single"/>
        </w:rPr>
        <w:t>&lt;</w:t>
      </w:r>
      <w:r>
        <w:rPr>
          <w:rFonts w:ascii="Times New Roman"/>
          <w:b w:val="false"/>
          <w:i w:val="false"/>
          <w:color w:val="000000"/>
          <w:sz w:val="28"/>
        </w:rPr>
        <w:t xml:space="preserve"> 80 м не более 600 мм, а при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150 м — не более 800 мм. Для судов промежуточной длины указанное расстояние определяется линейной интерполяцией. Концы ребер приваривают к стойке, а у борта срезаны "на ус";</w:t>
      </w:r>
    </w:p>
    <w:bookmarkEnd w:id="2998"/>
    <w:bookmarkStart w:name="z3004" w:id="2999"/>
    <w:p>
      <w:pPr>
        <w:spacing w:after="0"/>
        <w:ind w:left="0"/>
        <w:jc w:val="both"/>
      </w:pPr>
      <w:r>
        <w:rPr>
          <w:rFonts w:ascii="Times New Roman"/>
          <w:b w:val="false"/>
          <w:i w:val="false"/>
          <w:color w:val="000000"/>
          <w:sz w:val="28"/>
        </w:rPr>
        <w:t xml:space="preserve">
      5) фальшборт имеет наклон к диаметральной плоскости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или отстоять от борта не менее чем на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своей высоты.</w:t>
      </w:r>
    </w:p>
    <w:bookmarkEnd w:id="2999"/>
    <w:bookmarkStart w:name="z3005" w:id="3000"/>
    <w:p>
      <w:pPr>
        <w:spacing w:after="0"/>
        <w:ind w:left="0"/>
        <w:jc w:val="both"/>
      </w:pPr>
      <w:r>
        <w:rPr>
          <w:rFonts w:ascii="Times New Roman"/>
          <w:b w:val="false"/>
          <w:i w:val="false"/>
          <w:color w:val="000000"/>
          <w:sz w:val="28"/>
        </w:rPr>
        <w:t>
      6) расположение скуловых килей на обшивке по возможности такое, чтобы касательная к обводу шпангоута, проходящая через крайнюю свободную кромку скулового киля, составляла с вертикалью угол не менее 15</w:t>
      </w:r>
      <w:r>
        <w:rPr>
          <w:rFonts w:ascii="Times New Roman"/>
          <w:b w:val="false"/>
          <w:i w:val="false"/>
          <w:color w:val="000000"/>
          <w:vertAlign w:val="superscript"/>
        </w:rPr>
        <w:t>o</w:t>
      </w:r>
      <w:r>
        <w:rPr>
          <w:rFonts w:ascii="Times New Roman"/>
          <w:b w:val="false"/>
          <w:i w:val="false"/>
          <w:color w:val="000000"/>
          <w:sz w:val="28"/>
        </w:rPr>
        <w:t xml:space="preserve"> для судовдлиной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80 м. Для судов длиной L </w:t>
      </w:r>
      <w:r>
        <w:rPr>
          <w:rFonts w:ascii="Times New Roman"/>
          <w:b w:val="false"/>
          <w:i w:val="false"/>
          <w:color w:val="000000"/>
          <w:sz w:val="28"/>
          <w:u w:val="single"/>
        </w:rPr>
        <w:t>&gt;</w:t>
      </w:r>
      <w:r>
        <w:rPr>
          <w:rFonts w:ascii="Times New Roman"/>
          <w:b w:val="false"/>
          <w:i w:val="false"/>
          <w:color w:val="000000"/>
          <w:sz w:val="28"/>
        </w:rPr>
        <w:t xml:space="preserve"> 150 м этот угол - 0</w:t>
      </w:r>
      <w:r>
        <w:rPr>
          <w:rFonts w:ascii="Times New Roman"/>
          <w:b w:val="false"/>
          <w:i w:val="false"/>
          <w:color w:val="000000"/>
          <w:vertAlign w:val="superscript"/>
        </w:rPr>
        <w:t>o</w:t>
      </w:r>
      <w:r>
        <w:rPr>
          <w:rFonts w:ascii="Times New Roman"/>
          <w:b w:val="false"/>
          <w:i w:val="false"/>
          <w:color w:val="000000"/>
          <w:sz w:val="28"/>
        </w:rPr>
        <w:t>. Для судов промежуточной длины величина указанного угла определяется линейной интерполяцией;</w:t>
      </w:r>
    </w:p>
    <w:bookmarkEnd w:id="3000"/>
    <w:bookmarkStart w:name="z3006" w:id="3001"/>
    <w:p>
      <w:pPr>
        <w:spacing w:after="0"/>
        <w:ind w:left="0"/>
        <w:jc w:val="both"/>
      </w:pPr>
      <w:r>
        <w:rPr>
          <w:rFonts w:ascii="Times New Roman"/>
          <w:b w:val="false"/>
          <w:i w:val="false"/>
          <w:color w:val="000000"/>
          <w:sz w:val="28"/>
        </w:rPr>
        <w:t>
      7) крепление нижних концов трюмных шпангоутов отвечают требованиям пункта 392 настоящих Правил.</w:t>
      </w:r>
    </w:p>
    <w:bookmarkEnd w:id="3001"/>
    <w:bookmarkStart w:name="z3007" w:id="3002"/>
    <w:p>
      <w:pPr>
        <w:spacing w:after="0"/>
        <w:ind w:left="0"/>
        <w:jc w:val="both"/>
      </w:pPr>
      <w:r>
        <w:rPr>
          <w:rFonts w:ascii="Times New Roman"/>
          <w:b w:val="false"/>
          <w:i w:val="false"/>
          <w:color w:val="000000"/>
          <w:sz w:val="28"/>
        </w:rPr>
        <w:t>
      Крепление нижних концов шпангоутов в междупалубных помещениях отвечает требованиям пункта 394 настоящих Правил. При этом торцы шпангоутов приваривают к настилу палубы.</w:t>
      </w:r>
    </w:p>
    <w:bookmarkEnd w:id="3002"/>
    <w:bookmarkStart w:name="z3008" w:id="3003"/>
    <w:p>
      <w:pPr>
        <w:spacing w:after="0"/>
        <w:ind w:left="0"/>
        <w:jc w:val="both"/>
      </w:pPr>
      <w:r>
        <w:rPr>
          <w:rFonts w:ascii="Times New Roman"/>
          <w:b w:val="false"/>
          <w:i w:val="false"/>
          <w:color w:val="000000"/>
          <w:sz w:val="28"/>
        </w:rPr>
        <w:t>
      Верхние концы шпангоутов доведят до настила палуб и приваривают к ним, а бимсы — до внутренней кромки шпангоутов с минимальным зазором. Бимсовые кницы имеют поясок или фланец.</w:t>
      </w:r>
    </w:p>
    <w:bookmarkEnd w:id="3003"/>
    <w:bookmarkStart w:name="z3009" w:id="3004"/>
    <w:p>
      <w:pPr>
        <w:spacing w:after="0"/>
        <w:ind w:left="0"/>
        <w:jc w:val="both"/>
      </w:pPr>
      <w:r>
        <w:rPr>
          <w:rFonts w:ascii="Times New Roman"/>
          <w:b w:val="false"/>
          <w:i w:val="false"/>
          <w:color w:val="000000"/>
          <w:sz w:val="28"/>
        </w:rPr>
        <w:t>
      Концы промежуточных шпангоутов закрепляют на продольных интеркостельных связях, палубах или платформах;</w:t>
      </w:r>
    </w:p>
    <w:bookmarkEnd w:id="3004"/>
    <w:bookmarkStart w:name="z3010" w:id="3005"/>
    <w:p>
      <w:pPr>
        <w:spacing w:after="0"/>
        <w:ind w:left="0"/>
        <w:jc w:val="both"/>
      </w:pPr>
      <w:r>
        <w:rPr>
          <w:rFonts w:ascii="Times New Roman"/>
          <w:b w:val="false"/>
          <w:i w:val="false"/>
          <w:color w:val="000000"/>
          <w:sz w:val="28"/>
        </w:rPr>
        <w:t>
      8) крепление бортовых продольных балок к поперечным переборкам осуществляется кницами. Высота и ширина книц определяются согласно пункту 271 настоящих Правил;</w:t>
      </w:r>
    </w:p>
    <w:bookmarkEnd w:id="3005"/>
    <w:bookmarkStart w:name="z3011" w:id="3006"/>
    <w:p>
      <w:pPr>
        <w:spacing w:after="0"/>
        <w:ind w:left="0"/>
        <w:jc w:val="both"/>
      </w:pPr>
      <w:r>
        <w:rPr>
          <w:rFonts w:ascii="Times New Roman"/>
          <w:b w:val="false"/>
          <w:i w:val="false"/>
          <w:color w:val="000000"/>
          <w:sz w:val="28"/>
        </w:rPr>
        <w:t>
      9) стойки фальшборта, приваренного к ширстреку, имеют конструкцию, предотвращающую повреждение настила палубы под ними при навале.</w:t>
      </w:r>
    </w:p>
    <w:bookmarkEnd w:id="3006"/>
    <w:bookmarkStart w:name="z3012" w:id="3007"/>
    <w:p>
      <w:pPr>
        <w:spacing w:after="0"/>
        <w:ind w:left="0"/>
        <w:jc w:val="both"/>
      </w:pPr>
      <w:r>
        <w:rPr>
          <w:rFonts w:ascii="Times New Roman"/>
          <w:b w:val="false"/>
          <w:i w:val="false"/>
          <w:color w:val="000000"/>
          <w:sz w:val="28"/>
        </w:rPr>
        <w:t>
      760. Конструкция ледовых усилений категории Iсе3, рыболовных судов предназначенных для систематического промысла в ледовых условиях, помимо требований главы 38 настоящих Правил отвечать следующим требованиям:</w:t>
      </w:r>
    </w:p>
    <w:bookmarkEnd w:id="3007"/>
    <w:bookmarkStart w:name="z3013" w:id="3008"/>
    <w:p>
      <w:pPr>
        <w:spacing w:after="0"/>
        <w:ind w:left="0"/>
        <w:jc w:val="both"/>
      </w:pPr>
      <w:r>
        <w:rPr>
          <w:rFonts w:ascii="Times New Roman"/>
          <w:b w:val="false"/>
          <w:i w:val="false"/>
          <w:color w:val="000000"/>
          <w:sz w:val="28"/>
        </w:rPr>
        <w:t>
      1) при монотонной поперечной системе набора следует устанавливать, по крайней мере, один разносящий стрингер в каждом перекрытии, расположенном в районах ледовых усилений AI, A</w:t>
      </w:r>
      <w:r>
        <w:rPr>
          <w:rFonts w:ascii="Times New Roman"/>
          <w:b w:val="false"/>
          <w:i w:val="false"/>
          <w:color w:val="000000"/>
          <w:vertAlign w:val="subscript"/>
        </w:rPr>
        <w:t>1</w:t>
      </w:r>
      <w:r>
        <w:rPr>
          <w:rFonts w:ascii="Times New Roman"/>
          <w:b w:val="false"/>
          <w:i w:val="false"/>
          <w:color w:val="000000"/>
          <w:sz w:val="28"/>
        </w:rPr>
        <w:t>I, BI, CI;</w:t>
      </w:r>
    </w:p>
    <w:bookmarkEnd w:id="3008"/>
    <w:bookmarkStart w:name="z3014" w:id="3009"/>
    <w:p>
      <w:pPr>
        <w:spacing w:after="0"/>
        <w:ind w:left="0"/>
        <w:jc w:val="both"/>
      </w:pPr>
      <w:r>
        <w:rPr>
          <w:rFonts w:ascii="Times New Roman"/>
          <w:b w:val="false"/>
          <w:i w:val="false"/>
          <w:color w:val="000000"/>
          <w:sz w:val="28"/>
        </w:rPr>
        <w:t>
      2) бульбообразная форма обводов носовой оконечности не рекомендуется;</w:t>
      </w:r>
    </w:p>
    <w:bookmarkEnd w:id="3009"/>
    <w:bookmarkStart w:name="z3015" w:id="3010"/>
    <w:p>
      <w:pPr>
        <w:spacing w:after="0"/>
        <w:ind w:left="0"/>
        <w:jc w:val="both"/>
      </w:pPr>
      <w:r>
        <w:rPr>
          <w:rFonts w:ascii="Times New Roman"/>
          <w:b w:val="false"/>
          <w:i w:val="false"/>
          <w:color w:val="000000"/>
          <w:sz w:val="28"/>
        </w:rPr>
        <w:t>
      3) в форпике расстояние между стрингерами и их размеры, а также размеры форштевня отвечает требованиям главы 38 настоящих Правил для судов с ледовыми усилениями категории Аrс4;</w:t>
      </w:r>
    </w:p>
    <w:bookmarkEnd w:id="3010"/>
    <w:bookmarkStart w:name="z3016" w:id="3011"/>
    <w:p>
      <w:pPr>
        <w:spacing w:after="0"/>
        <w:ind w:left="0"/>
        <w:jc w:val="both"/>
      </w:pPr>
      <w:r>
        <w:rPr>
          <w:rFonts w:ascii="Times New Roman"/>
          <w:b w:val="false"/>
          <w:i w:val="false"/>
          <w:color w:val="000000"/>
          <w:sz w:val="28"/>
        </w:rPr>
        <w:t>
      4) в кормовой оконечности предусматривается выступ (ледовый зуб), расположенный в корму от руля для его защиты на заднем ходу.</w:t>
      </w:r>
    </w:p>
    <w:bookmarkEnd w:id="3011"/>
    <w:bookmarkStart w:name="z3017" w:id="3012"/>
    <w:p>
      <w:pPr>
        <w:spacing w:after="0"/>
        <w:ind w:left="0"/>
        <w:jc w:val="left"/>
      </w:pPr>
      <w:r>
        <w:rPr>
          <w:rFonts w:ascii="Times New Roman"/>
          <w:b/>
          <w:i w:val="false"/>
          <w:color w:val="000000"/>
        </w:rPr>
        <w:t xml:space="preserve"> Параграф 3. Расчетные нагрузки</w:t>
      </w:r>
    </w:p>
    <w:bookmarkEnd w:id="3012"/>
    <w:bookmarkStart w:name="z3018" w:id="3013"/>
    <w:p>
      <w:pPr>
        <w:spacing w:after="0"/>
        <w:ind w:left="0"/>
        <w:jc w:val="both"/>
      </w:pPr>
      <w:r>
        <w:rPr>
          <w:rFonts w:ascii="Times New Roman"/>
          <w:b w:val="false"/>
          <w:i w:val="false"/>
          <w:color w:val="000000"/>
          <w:sz w:val="28"/>
        </w:rPr>
        <w:t>
      761. Расчетные нагрузки на конструкции слипа определяются следующим образом:</w:t>
      </w:r>
    </w:p>
    <w:bookmarkEnd w:id="3013"/>
    <w:bookmarkStart w:name="z3019" w:id="3014"/>
    <w:p>
      <w:pPr>
        <w:spacing w:after="0"/>
        <w:ind w:left="0"/>
        <w:jc w:val="both"/>
      </w:pPr>
      <w:r>
        <w:rPr>
          <w:rFonts w:ascii="Times New Roman"/>
          <w:b w:val="false"/>
          <w:i w:val="false"/>
          <w:color w:val="000000"/>
          <w:sz w:val="28"/>
        </w:rPr>
        <w:t xml:space="preserve">
      1) расчетное давление </w:t>
      </w:r>
      <w:r>
        <w:rPr>
          <w:rFonts w:ascii="Times New Roman"/>
          <w:b w:val="false"/>
          <w:i/>
          <w:color w:val="000000"/>
          <w:sz w:val="28"/>
        </w:rPr>
        <w:t>р</w:t>
      </w:r>
      <w:r>
        <w:rPr>
          <w:rFonts w:ascii="Times New Roman"/>
          <w:b w:val="false"/>
          <w:i w:val="false"/>
          <w:color w:val="000000"/>
          <w:sz w:val="28"/>
        </w:rPr>
        <w:t>, кПа, на стенки и палубу слипа на судах, где предусмотрен подъем улова волоком, определяется по формуле:</w:t>
      </w:r>
    </w:p>
    <w:bookmarkEnd w:id="301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6,5</w:t>
      </w:r>
      <w:r>
        <w:rPr>
          <w:rFonts w:ascii="Times New Roman"/>
          <w:b w:val="false"/>
          <w:i/>
          <w:color w:val="000000"/>
          <w:sz w:val="28"/>
        </w:rPr>
        <w:t>b</w:t>
      </w:r>
      <w:r>
        <w:rPr>
          <w:rFonts w:ascii="Times New Roman"/>
          <w:b w:val="false"/>
          <w:i w:val="false"/>
          <w:color w:val="000000"/>
          <w:vertAlign w:val="subscript"/>
        </w:rPr>
        <w:t>c</w:t>
      </w:r>
      <w:r>
        <w:rPr>
          <w:rFonts w:ascii="Times New Roman"/>
          <w:b w:val="false"/>
          <w:i w:val="false"/>
          <w:color w:val="000000"/>
          <w:sz w:val="28"/>
        </w:rPr>
        <w:t>.                         (260)</w:t>
      </w:r>
    </w:p>
    <w:bookmarkStart w:name="z3020" w:id="3015"/>
    <w:p>
      <w:pPr>
        <w:spacing w:after="0"/>
        <w:ind w:left="0"/>
        <w:jc w:val="both"/>
      </w:pPr>
      <w:r>
        <w:rPr>
          <w:rFonts w:ascii="Times New Roman"/>
          <w:b w:val="false"/>
          <w:i w:val="false"/>
          <w:color w:val="000000"/>
          <w:sz w:val="28"/>
        </w:rPr>
        <w:t>
      При ширине слипа, изменяющейся по его длине, в качестве расчетной следует принимать минимальную ширину;</w:t>
      </w:r>
    </w:p>
    <w:bookmarkEnd w:id="3015"/>
    <w:bookmarkStart w:name="z3021" w:id="3016"/>
    <w:p>
      <w:pPr>
        <w:spacing w:after="0"/>
        <w:ind w:left="0"/>
        <w:jc w:val="both"/>
      </w:pPr>
      <w:r>
        <w:rPr>
          <w:rFonts w:ascii="Times New Roman"/>
          <w:b w:val="false"/>
          <w:i w:val="false"/>
          <w:color w:val="000000"/>
          <w:sz w:val="28"/>
        </w:rPr>
        <w:t xml:space="preserve">
      2) расчетная нагрузка, </w:t>
      </w:r>
      <w:r>
        <w:rPr>
          <w:rFonts w:ascii="Times New Roman"/>
          <w:b w:val="false"/>
          <w:i/>
          <w:color w:val="000000"/>
          <w:sz w:val="28"/>
        </w:rPr>
        <w:t>р</w:t>
      </w:r>
      <w:r>
        <w:rPr>
          <w:rFonts w:ascii="Times New Roman"/>
          <w:b w:val="false"/>
          <w:i w:val="false"/>
          <w:color w:val="000000"/>
          <w:sz w:val="28"/>
        </w:rPr>
        <w:t>, кН, для набора палубы слипа на судах, где предусмотрен подъем улова на специальном транспортном устройстве, определяется по формуле:</w:t>
      </w:r>
    </w:p>
    <w:bookmarkEnd w:id="301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27</w:t>
      </w:r>
    </w:p>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533400" cy="469900"/>
                    </a:xfrm>
                    <a:prstGeom prst="rect">
                      <a:avLst/>
                    </a:prstGeom>
                  </pic:spPr>
                </pic:pic>
              </a:graphicData>
            </a:graphic>
          </wp:inline>
        </w:drawing>
      </w:r>
    </w:p>
    <w:p>
      <w:pPr>
        <w:spacing w:after="0"/>
        <w:ind w:left="0"/>
        <w:jc w:val="left"/>
      </w:pPr>
      <w:r>
        <w:rPr>
          <w:rFonts w:ascii="Times New Roman"/>
          <w:b w:val="false"/>
          <w:i w:val="false"/>
          <w:color w:val="000000"/>
          <w:sz w:val="28"/>
        </w:rPr>
        <w:t>,                       (261)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пк — число колесных осей устройства.</w:t>
      </w:r>
    </w:p>
    <w:bookmarkStart w:name="z3022" w:id="3017"/>
    <w:p>
      <w:pPr>
        <w:spacing w:after="0"/>
        <w:ind w:left="0"/>
        <w:jc w:val="both"/>
      </w:pPr>
      <w:r>
        <w:rPr>
          <w:rFonts w:ascii="Times New Roman"/>
          <w:b w:val="false"/>
          <w:i w:val="false"/>
          <w:color w:val="000000"/>
          <w:sz w:val="28"/>
        </w:rPr>
        <w:t xml:space="preserve">
      762. Расчетное давление </w:t>
      </w:r>
      <w:r>
        <w:rPr>
          <w:rFonts w:ascii="Times New Roman"/>
          <w:b w:val="false"/>
          <w:i/>
          <w:color w:val="000000"/>
          <w:sz w:val="28"/>
        </w:rPr>
        <w:t>р</w:t>
      </w:r>
      <w:r>
        <w:rPr>
          <w:rFonts w:ascii="Times New Roman"/>
          <w:b w:val="false"/>
          <w:i w:val="false"/>
          <w:color w:val="000000"/>
          <w:sz w:val="28"/>
        </w:rPr>
        <w:t>, кПа, для палуб, на которых установлено технологическое оборудование, определяется по формуле:</w:t>
      </w:r>
    </w:p>
    <w:bookmarkEnd w:id="301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15</w:t>
      </w:r>
    </w:p>
    <w:p>
      <w:pPr>
        <w:spacing w:after="0"/>
        <w:ind w:left="0"/>
        <w:jc w:val="both"/>
      </w:pPr>
      <w:r>
        <w:drawing>
          <wp:inline distT="0" distB="0" distL="0" distR="0">
            <wp:extent cx="26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469900"/>
                    </a:xfrm>
                    <a:prstGeom prst="rect">
                      <a:avLst/>
                    </a:prstGeom>
                  </pic:spPr>
                </pic:pic>
              </a:graphicData>
            </a:graphic>
          </wp:inline>
        </w:drawing>
      </w:r>
    </w:p>
    <w:p>
      <w:pPr>
        <w:spacing w:after="0"/>
        <w:ind w:left="0"/>
        <w:jc w:val="left"/>
      </w:pPr>
      <w:r>
        <w:rPr>
          <w:rFonts w:ascii="Times New Roman"/>
          <w:b w:val="false"/>
          <w:i w:val="false"/>
          <w:color w:val="000000"/>
          <w:sz w:val="28"/>
        </w:rPr>
        <w:t>.                         (262)</w:t>
      </w:r>
      <w:r>
        <w:br/>
      </w:r>
      <w:r>
        <w:rPr>
          <w:rFonts w:ascii="Times New Roman"/>
          <w:b w:val="false"/>
          <w:i w:val="false"/>
          <w:color w:val="000000"/>
          <w:sz w:val="28"/>
        </w:rPr>
        <w:t>
</w:t>
      </w:r>
    </w:p>
    <w:bookmarkStart w:name="z3023" w:id="3018"/>
    <w:p>
      <w:pPr>
        <w:spacing w:after="0"/>
        <w:ind w:left="0"/>
        <w:jc w:val="both"/>
      </w:pPr>
      <w:r>
        <w:rPr>
          <w:rFonts w:ascii="Times New Roman"/>
          <w:b w:val="false"/>
          <w:i w:val="false"/>
          <w:color w:val="000000"/>
          <w:sz w:val="28"/>
        </w:rPr>
        <w:t>
      763. Расчетное давление, р, кПа, на борта и бортовые стенки надстроек судов, швартующихся в море, определяются по следующим формулам:</w:t>
      </w:r>
    </w:p>
    <w:bookmarkEnd w:id="3018"/>
    <w:p>
      <w:pPr>
        <w:spacing w:after="0"/>
        <w:ind w:left="0"/>
        <w:jc w:val="both"/>
      </w:pPr>
      <w:r>
        <w:rPr>
          <w:rFonts w:ascii="Times New Roman"/>
          <w:b w:val="false"/>
          <w:i w:val="false"/>
          <w:color w:val="000000"/>
          <w:sz w:val="28"/>
        </w:rPr>
        <w:t>
      в районе 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(190 + 51</w:t>
      </w:r>
    </w:p>
    <w:p>
      <w:pPr>
        <w:spacing w:after="0"/>
        <w:ind w:left="0"/>
        <w:jc w:val="both"/>
      </w:pPr>
      <w:r>
        <w:drawing>
          <wp:inline distT="0" distB="0" distL="0" distR="0">
            <wp:extent cx="1219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1219200" cy="304800"/>
                    </a:xfrm>
                    <a:prstGeom prst="rect">
                      <a:avLst/>
                    </a:prstGeom>
                  </pic:spPr>
                </pic:pic>
              </a:graphicData>
            </a:graphic>
          </wp:inline>
        </w:drawing>
      </w:r>
    </w:p>
    <w:p>
      <w:pPr>
        <w:spacing w:after="0"/>
        <w:ind w:left="0"/>
        <w:jc w:val="left"/>
      </w:pPr>
      <w:r>
        <w:rPr>
          <w:rFonts w:ascii="Times New Roman"/>
          <w:b w:val="false"/>
          <w:i w:val="false"/>
          <w:color w:val="000000"/>
          <w:sz w:val="28"/>
        </w:rPr>
        <w:t>);           (263)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районах В и 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(129 + 59</w:t>
      </w:r>
    </w:p>
    <w:p>
      <w:pPr>
        <w:spacing w:after="0"/>
        <w:ind w:left="0"/>
        <w:jc w:val="both"/>
      </w:pPr>
      <w:r>
        <w:drawing>
          <wp:inline distT="0" distB="0" distL="0" distR="0">
            <wp:extent cx="1219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1219200" cy="304800"/>
                    </a:xfrm>
                    <a:prstGeom prst="rect">
                      <a:avLst/>
                    </a:prstGeom>
                  </pic:spPr>
                </pic:pic>
              </a:graphicData>
            </a:graphic>
          </wp:inline>
        </w:drawing>
      </w:r>
    </w:p>
    <w:p>
      <w:pPr>
        <w:spacing w:after="0"/>
        <w:ind w:left="0"/>
        <w:jc w:val="left"/>
      </w:pPr>
      <w:r>
        <w:rPr>
          <w:rFonts w:ascii="Times New Roman"/>
          <w:b w:val="false"/>
          <w:i w:val="false"/>
          <w:color w:val="000000"/>
          <w:sz w:val="28"/>
        </w:rPr>
        <w:t>),           (264)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принимается по приложению 104 настоящих Правил в зависимости от водоизмещения судна и волнения, на котором предусматривается швартовка судна;</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принимается по приложению 105 настоящих Правил в зависимости от назначения судна и района усилений;</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расчетное водоизмещение судна, т. Для рыболовного судна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водоизмещение по летнюю грузовую ватерлинию. Для судна специального назначения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водоизмещение наибольшего из швартующихся к нему судов. В любом случае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не приниматеся более 7500 т и менее 464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отстояние середины пролета рассчитываемой связи от летней грузовой ватерлинии, м.</w:t>
      </w:r>
    </w:p>
    <w:bookmarkStart w:name="z3024" w:id="3019"/>
    <w:p>
      <w:pPr>
        <w:spacing w:after="0"/>
        <w:ind w:left="0"/>
        <w:jc w:val="both"/>
      </w:pPr>
      <w:r>
        <w:rPr>
          <w:rFonts w:ascii="Times New Roman"/>
          <w:b w:val="false"/>
          <w:i w:val="false"/>
          <w:color w:val="000000"/>
          <w:sz w:val="28"/>
        </w:rPr>
        <w:t xml:space="preserve">
      Если для судна специального назначения высота надводного борта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больше высоты надводного борта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 xml:space="preserve"> судна, водоизмещение которого принято расчетным в формулах (263) и (264) настоящих Правил, то величину </w:t>
      </w:r>
      <w:r>
        <w:rPr>
          <w:rFonts w:ascii="Times New Roman"/>
          <w:b w:val="false"/>
          <w:i/>
          <w:color w:val="000000"/>
          <w:sz w:val="28"/>
        </w:rPr>
        <w:t>z</w:t>
      </w:r>
      <w:r>
        <w:rPr>
          <w:rFonts w:ascii="Times New Roman"/>
          <w:b w:val="false"/>
          <w:i w:val="false"/>
          <w:color w:val="000000"/>
          <w:sz w:val="28"/>
        </w:rPr>
        <w:t xml:space="preserve"> уменьшают на разность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w:t>
      </w:r>
    </w:p>
    <w:bookmarkEnd w:id="3019"/>
    <w:bookmarkStart w:name="z3025" w:id="3020"/>
    <w:p>
      <w:pPr>
        <w:spacing w:after="0"/>
        <w:ind w:left="0"/>
        <w:jc w:val="both"/>
      </w:pPr>
      <w:r>
        <w:rPr>
          <w:rFonts w:ascii="Times New Roman"/>
          <w:b w:val="false"/>
          <w:i w:val="false"/>
          <w:color w:val="000000"/>
          <w:sz w:val="28"/>
        </w:rPr>
        <w:t xml:space="preserve">
      Во всех случаях </w:t>
      </w:r>
      <w:r>
        <w:rPr>
          <w:rFonts w:ascii="Times New Roman"/>
          <w:b w:val="false"/>
          <w:i/>
          <w:color w:val="000000"/>
          <w:sz w:val="28"/>
        </w:rPr>
        <w:t>z</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1,0. </w:t>
      </w:r>
      <w:r>
        <w:rPr>
          <w:rFonts w:ascii="Times New Roman"/>
          <w:b w:val="false"/>
          <w:i/>
          <w:color w:val="000000"/>
          <w:sz w:val="28"/>
        </w:rPr>
        <w:t>z</w:t>
      </w:r>
      <w:r>
        <w:rPr>
          <w:rFonts w:ascii="Times New Roman"/>
          <w:b w:val="false"/>
          <w:i w:val="false"/>
          <w:color w:val="000000"/>
          <w:sz w:val="28"/>
        </w:rPr>
        <w:t xml:space="preserve"> = 1,0 — для района А.</w:t>
      </w:r>
    </w:p>
    <w:bookmarkEnd w:id="3020"/>
    <w:bookmarkStart w:name="z3026" w:id="3021"/>
    <w:p>
      <w:pPr>
        <w:spacing w:after="0"/>
        <w:ind w:left="0"/>
        <w:jc w:val="both"/>
      </w:pPr>
      <w:r>
        <w:rPr>
          <w:rFonts w:ascii="Times New Roman"/>
          <w:b w:val="false"/>
          <w:i w:val="false"/>
          <w:color w:val="000000"/>
          <w:sz w:val="28"/>
        </w:rPr>
        <w:t>
      764. Параметры ледовой нагрузки для рыболовных судов с ледовыми усилениями категории Iсе3, предназначенных для систематического промысла в ледовых условиях, определяются в соответствии со следующими указаниями:</w:t>
      </w:r>
    </w:p>
    <w:bookmarkEnd w:id="3021"/>
    <w:bookmarkStart w:name="z3027" w:id="3022"/>
    <w:p>
      <w:pPr>
        <w:spacing w:after="0"/>
        <w:ind w:left="0"/>
        <w:jc w:val="both"/>
      </w:pPr>
      <w:r>
        <w:rPr>
          <w:rFonts w:ascii="Times New Roman"/>
          <w:b w:val="false"/>
          <w:i w:val="false"/>
          <w:color w:val="000000"/>
          <w:sz w:val="28"/>
        </w:rPr>
        <w:t xml:space="preserve">
      1) параметры нагрузки в носовом районе ледовых усилений (А) определяются в соответствии с требованиями главы 38 настоящих Правил для ледовой категории Iсе3. В случае применения бульбообразной формы обводов носовой оконечности угол наклона шпангоута </w:t>
      </w:r>
    </w:p>
    <w:bookmarkEnd w:id="3022"/>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как указано в подпункте 1) пункта 826 настоящих Правил, для судов с ледовыми усилениями категории Аrс4;</w:t>
      </w:r>
      <w:r>
        <w:br/>
      </w:r>
      <w:r>
        <w:rPr>
          <w:rFonts w:ascii="Times New Roman"/>
          <w:b w:val="false"/>
          <w:i w:val="false"/>
          <w:color w:val="000000"/>
          <w:sz w:val="28"/>
        </w:rPr>
        <w:t>
</w:t>
      </w:r>
    </w:p>
    <w:bookmarkStart w:name="z3028" w:id="3023"/>
    <w:p>
      <w:pPr>
        <w:spacing w:after="0"/>
        <w:ind w:left="0"/>
        <w:jc w:val="both"/>
      </w:pPr>
      <w:r>
        <w:rPr>
          <w:rFonts w:ascii="Times New Roman"/>
          <w:b w:val="false"/>
          <w:i w:val="false"/>
          <w:color w:val="000000"/>
          <w:sz w:val="28"/>
        </w:rPr>
        <w:t>
      2) параметры ледовой нагрузки в промежуточном районе ледовых усилений (A</w:t>
      </w:r>
      <w:r>
        <w:rPr>
          <w:rFonts w:ascii="Times New Roman"/>
          <w:b w:val="false"/>
          <w:i w:val="false"/>
          <w:color w:val="000000"/>
          <w:vertAlign w:val="subscript"/>
        </w:rPr>
        <w:t>1</w:t>
      </w:r>
      <w:r>
        <w:rPr>
          <w:rFonts w:ascii="Times New Roman"/>
          <w:b w:val="false"/>
          <w:i w:val="false"/>
          <w:color w:val="000000"/>
          <w:sz w:val="28"/>
        </w:rPr>
        <w:t>) принимаются равными:</w:t>
      </w:r>
    </w:p>
    <w:bookmarkEnd w:id="30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0,75</w:t>
      </w:r>
      <w:r>
        <w:rPr>
          <w:rFonts w:ascii="Times New Roman"/>
          <w:b w:val="false"/>
          <w:i/>
          <w:color w:val="000000"/>
          <w:sz w:val="28"/>
        </w:rPr>
        <w:t>р</w:t>
      </w:r>
      <w:r>
        <w:rPr>
          <w:rFonts w:ascii="Times New Roman"/>
          <w:b w:val="false"/>
          <w:i w:val="false"/>
          <w:color w:val="000000"/>
          <w:vertAlign w:val="subscript"/>
        </w:rPr>
        <w:t>АI</w:t>
      </w: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0,75</w:t>
      </w:r>
      <w:r>
        <w:rPr>
          <w:rFonts w:ascii="Times New Roman"/>
          <w:b w:val="false"/>
          <w:i/>
          <w:color w:val="000000"/>
          <w:sz w:val="28"/>
        </w:rPr>
        <w:t>р</w:t>
      </w:r>
      <w:r>
        <w:rPr>
          <w:rFonts w:ascii="Times New Roman"/>
          <w:b w:val="false"/>
          <w:i w:val="false"/>
          <w:color w:val="000000"/>
          <w:vertAlign w:val="subscript"/>
        </w:rPr>
        <w:t>АII</w:t>
      </w:r>
      <w:r>
        <w:rPr>
          <w:rFonts w:ascii="Times New Roman"/>
          <w:b w:val="false"/>
          <w:i w:val="false"/>
          <w:color w:val="000000"/>
          <w:sz w:val="28"/>
        </w:rPr>
        <w:t xml:space="preserve"> ,                   (265)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p>
    <w:p>
      <w:pPr>
        <w:spacing w:after="0"/>
        <w:ind w:left="0"/>
        <w:jc w:val="both"/>
      </w:pP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177800" cy="304800"/>
                    </a:xfrm>
                    <a:prstGeom prst="rect">
                      <a:avLst/>
                    </a:prstGeom>
                  </pic:spPr>
                </pic:pic>
              </a:graphicData>
            </a:graphic>
          </wp:inline>
        </w:drawing>
      </w:r>
    </w:p>
    <w:p>
      <w:pPr>
        <w:spacing w:after="0"/>
        <w:ind w:left="0"/>
        <w:jc w:val="left"/>
      </w:pPr>
      <w:r>
        <w:rPr>
          <w:rFonts w:ascii="Times New Roman"/>
          <w:b w:val="false"/>
          <w:i w:val="false"/>
          <w:color w:val="000000"/>
          <w:sz w:val="28"/>
        </w:rPr>
        <w:t>= b</w:t>
      </w:r>
      <w:r>
        <w:rPr>
          <w:rFonts w:ascii="Times New Roman"/>
          <w:b w:val="false"/>
          <w:i w:val="false"/>
          <w:color w:val="000000"/>
          <w:vertAlign w:val="subscript"/>
        </w:rPr>
        <w:t>A</w:t>
      </w: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A</w:t>
      </w:r>
      <w:r>
        <w:rPr>
          <w:rFonts w:ascii="Times New Roman"/>
          <w:b w:val="false"/>
          <w:i w:val="false"/>
          <w:color w:val="000000"/>
          <w:sz w:val="28"/>
        </w:rPr>
        <w:t xml:space="preserve">; </w:t>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параметры ледовой нагрузки в носовом районе (А), определяемые согласно требованиям главы 38 настоящих Правил с учетом подпункта 1) настоящего пункта;</w:t>
      </w:r>
      <w:r>
        <w:br/>
      </w:r>
      <w:r>
        <w:rPr>
          <w:rFonts w:ascii="Times New Roman"/>
          <w:b w:val="false"/>
          <w:i w:val="false"/>
          <w:color w:val="000000"/>
          <w:sz w:val="28"/>
        </w:rPr>
        <w:t>
</w:t>
      </w:r>
    </w:p>
    <w:bookmarkStart w:name="z3029" w:id="3024"/>
    <w:p>
      <w:pPr>
        <w:spacing w:after="0"/>
        <w:ind w:left="0"/>
        <w:jc w:val="both"/>
      </w:pPr>
      <w:r>
        <w:rPr>
          <w:rFonts w:ascii="Times New Roman"/>
          <w:b w:val="false"/>
          <w:i w:val="false"/>
          <w:color w:val="000000"/>
          <w:sz w:val="28"/>
        </w:rPr>
        <w:t>
      3) интенсивность ледовой нагрузки, кПа, в среднем районе ледовых усилений (В) определяется по формуле:</w:t>
      </w:r>
    </w:p>
    <w:bookmarkEnd w:id="302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ВI</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ВI</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(266)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ВI</w:t>
      </w:r>
      <w:r>
        <w:rPr>
          <w:rFonts w:ascii="Times New Roman"/>
          <w:b w:val="false"/>
          <w:i w:val="false"/>
          <w:color w:val="000000"/>
          <w:sz w:val="28"/>
        </w:rPr>
        <w:t xml:space="preserve"> — интенсивность ледовой нагрузки в среднем районе согласно подпункта 3) пункта 826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 2</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но не менее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660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660400" cy="546100"/>
                    </a:xfrm>
                    <a:prstGeom prst="rect">
                      <a:avLst/>
                    </a:prstGeom>
                  </pic:spPr>
                </pic:pic>
              </a:graphicData>
            </a:graphic>
          </wp:inline>
        </w:drawing>
      </w:r>
    </w:p>
    <w:p>
      <w:pPr>
        <w:spacing w:after="0"/>
        <w:ind w:left="0"/>
        <w:jc w:val="left"/>
      </w:pPr>
      <w:r>
        <w:rPr>
          <w:rFonts w:ascii="Times New Roman"/>
          <w:b w:val="false"/>
          <w:i w:val="false"/>
          <w:color w:val="000000"/>
          <w:sz w:val="28"/>
        </w:rPr>
        <w:t>(lk/L – 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p>
    <w:p>
      <w:pPr>
        <w:spacing w:after="0"/>
        <w:ind w:left="0"/>
        <w:jc w:val="both"/>
      </w:pPr>
      <w:r>
        <w:drawing>
          <wp:inline distT="0" distB="0" distL="0" distR="0">
            <wp:extent cx="1270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270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по летнюю грузовую ватерлинию,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w:t>
      </w:r>
      <w:r>
        <w:rPr>
          <w:rFonts w:ascii="Times New Roman"/>
          <w:b w:val="false"/>
          <w:i w:val="false"/>
          <w:color w:val="000000"/>
          <w:sz w:val="28"/>
        </w:rPr>
        <w:t xml:space="preserve"> — мощность на гребных валах, определяемая с учетом отбора мощности на режиме траления, кВт;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 xml:space="preserve"> — расстояние от носового перпендикуляра до сечения в кормовой части корпуса, где начинается уменьшение ширины летней ГВЛ, м.</w:t>
      </w:r>
    </w:p>
    <w:bookmarkStart w:name="z3030" w:id="3025"/>
    <w:p>
      <w:pPr>
        <w:spacing w:after="0"/>
        <w:ind w:left="0"/>
        <w:jc w:val="both"/>
      </w:pPr>
      <w:r>
        <w:rPr>
          <w:rFonts w:ascii="Times New Roman"/>
          <w:b w:val="false"/>
          <w:i w:val="false"/>
          <w:color w:val="000000"/>
          <w:sz w:val="28"/>
        </w:rPr>
        <w:t>
      Высота и длина распределения ледовой нагрузки на средний район (</w:t>
      </w:r>
      <w:r>
        <w:rPr>
          <w:rFonts w:ascii="Times New Roman"/>
          <w:b w:val="false"/>
          <w:i/>
          <w:color w:val="000000"/>
          <w:sz w:val="28"/>
        </w:rPr>
        <w:t>b</w:t>
      </w:r>
      <w:r>
        <w:rPr>
          <w:rFonts w:ascii="Times New Roman"/>
          <w:b w:val="false"/>
          <w:i w:val="false"/>
          <w:color w:val="000000"/>
          <w:vertAlign w:val="subscript"/>
        </w:rPr>
        <w:t>B</w:t>
      </w:r>
      <w:r>
        <w:rPr>
          <w:rFonts w:ascii="Times New Roman"/>
          <w:b w:val="false"/>
          <w:i w:val="false"/>
          <w:color w:val="000000"/>
          <w:sz w:val="28"/>
        </w:rPr>
        <w:t xml:space="preserve"> и </w:t>
      </w:r>
      <w:r>
        <w:rPr>
          <w:rFonts w:ascii="Times New Roman"/>
          <w:b w:val="false"/>
          <w:i/>
          <w:color w:val="000000"/>
          <w:sz w:val="28"/>
        </w:rPr>
        <w:t>l</w:t>
      </w:r>
    </w:p>
    <w:bookmarkEnd w:id="3025"/>
    <w:p>
      <w:pPr>
        <w:spacing w:after="0"/>
        <w:ind w:left="0"/>
        <w:jc w:val="both"/>
      </w:pPr>
      <w:r>
        <w:drawing>
          <wp:inline distT="0" distB="0" distL="0" distR="0">
            <wp:extent cx="152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152400" cy="3556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согласно подпункту 3) пунктов 827 и 828 настоящих Правил;</w:t>
      </w:r>
      <w:r>
        <w:br/>
      </w:r>
      <w:r>
        <w:rPr>
          <w:rFonts w:ascii="Times New Roman"/>
          <w:b w:val="false"/>
          <w:i w:val="false"/>
          <w:color w:val="000000"/>
          <w:sz w:val="28"/>
        </w:rPr>
        <w:t>
</w:t>
      </w:r>
    </w:p>
    <w:bookmarkStart w:name="z3031" w:id="3026"/>
    <w:p>
      <w:pPr>
        <w:spacing w:after="0"/>
        <w:ind w:left="0"/>
        <w:jc w:val="both"/>
      </w:pPr>
      <w:r>
        <w:rPr>
          <w:rFonts w:ascii="Times New Roman"/>
          <w:b w:val="false"/>
          <w:i w:val="false"/>
          <w:color w:val="000000"/>
          <w:sz w:val="28"/>
        </w:rPr>
        <w:t>
      4) интенсивность ледовой нагрузки, кПа, в кормовом районе ледовых усилений (С) определяется по формуле:</w:t>
      </w:r>
    </w:p>
    <w:bookmarkEnd w:id="302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СI</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СI</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(267)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СI</w:t>
      </w:r>
      <w:r>
        <w:rPr>
          <w:rFonts w:ascii="Times New Roman"/>
          <w:b w:val="false"/>
          <w:i w:val="false"/>
          <w:color w:val="000000"/>
          <w:sz w:val="28"/>
        </w:rPr>
        <w:t xml:space="preserve"> — интенсивность ледовой нагрузки в кормовом районе согласно подпункту 4) пункта 826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 2,5</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но не менее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подпункт 3) пункта 764 настоящих Правил.</w:t>
      </w:r>
    </w:p>
    <w:bookmarkStart w:name="z3032" w:id="3027"/>
    <w:p>
      <w:pPr>
        <w:spacing w:after="0"/>
        <w:ind w:left="0"/>
        <w:jc w:val="both"/>
      </w:pPr>
      <w:r>
        <w:rPr>
          <w:rFonts w:ascii="Times New Roman"/>
          <w:b w:val="false"/>
          <w:i w:val="false"/>
          <w:color w:val="000000"/>
          <w:sz w:val="28"/>
        </w:rPr>
        <w:t>
      Высота и длина распределения ледовой нагрузки на кормовой район (</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xml:space="preserve"> и </w:t>
      </w:r>
      <w:r>
        <w:rPr>
          <w:rFonts w:ascii="Times New Roman"/>
          <w:b w:val="false"/>
          <w:i/>
          <w:color w:val="000000"/>
          <w:sz w:val="28"/>
        </w:rPr>
        <w:t>l</w:t>
      </w:r>
    </w:p>
    <w:bookmarkEnd w:id="3027"/>
    <w:p>
      <w:pPr>
        <w:spacing w:after="0"/>
        <w:ind w:left="0"/>
        <w:jc w:val="both"/>
      </w:pPr>
      <w:r>
        <w:drawing>
          <wp:inline distT="0" distB="0" distL="0" distR="0">
            <wp:extent cx="152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152400" cy="3556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согласно подпункту 3) пункта 827 и подпункту 4) пункта 828 настоящих Правил.</w:t>
      </w:r>
      <w:r>
        <w:br/>
      </w:r>
      <w:r>
        <w:rPr>
          <w:rFonts w:ascii="Times New Roman"/>
          <w:b w:val="false"/>
          <w:i w:val="false"/>
          <w:color w:val="000000"/>
          <w:sz w:val="28"/>
        </w:rPr>
        <w:t>
</w:t>
      </w:r>
    </w:p>
    <w:bookmarkStart w:name="z3033" w:id="3028"/>
    <w:p>
      <w:pPr>
        <w:spacing w:after="0"/>
        <w:ind w:left="0"/>
        <w:jc w:val="left"/>
      </w:pPr>
      <w:r>
        <w:rPr>
          <w:rFonts w:ascii="Times New Roman"/>
          <w:b/>
          <w:i w:val="false"/>
          <w:color w:val="000000"/>
        </w:rPr>
        <w:t xml:space="preserve"> Параграф 4. Размеры конструктивных элементов</w:t>
      </w:r>
    </w:p>
    <w:bookmarkEnd w:id="3028"/>
    <w:bookmarkStart w:name="z3034" w:id="3029"/>
    <w:p>
      <w:pPr>
        <w:spacing w:after="0"/>
        <w:ind w:left="0"/>
        <w:jc w:val="both"/>
      </w:pPr>
      <w:r>
        <w:rPr>
          <w:rFonts w:ascii="Times New Roman"/>
          <w:b w:val="false"/>
          <w:i w:val="false"/>
          <w:color w:val="000000"/>
          <w:sz w:val="28"/>
        </w:rPr>
        <w:t>
      765. Требования к размерам связей слипа предусматривают следующее:</w:t>
      </w:r>
    </w:p>
    <w:bookmarkEnd w:id="3029"/>
    <w:bookmarkStart w:name="z3035" w:id="3030"/>
    <w:p>
      <w:pPr>
        <w:spacing w:after="0"/>
        <w:ind w:left="0"/>
        <w:jc w:val="both"/>
      </w:pPr>
      <w:r>
        <w:rPr>
          <w:rFonts w:ascii="Times New Roman"/>
          <w:b w:val="false"/>
          <w:i w:val="false"/>
          <w:color w:val="000000"/>
          <w:sz w:val="28"/>
        </w:rPr>
        <w:t>
      1) момент сопротивления продольных балок, бимсов, рамных бимсов палубы слипа определяется согласно пункту 246 настоящих Правил. При этом:</w:t>
      </w:r>
    </w:p>
    <w:bookmarkEnd w:id="303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формулам (260) или (261)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определяется согласно приложению 106 настоящих Правил для судов, где предусмотрен подъем улова волоком;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9,3</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15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52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1/4</w:t>
      </w:r>
      <w:r>
        <w:rPr>
          <w:rFonts w:ascii="Times New Roman"/>
          <w:b w:val="false"/>
          <w:i w:val="false"/>
          <w:color w:val="000000"/>
          <w:sz w:val="28"/>
        </w:rPr>
        <w:t xml:space="preserve"> — для судов, где предусмотрен подъем улова на специальном устройстве;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bookmarkStart w:name="z3036" w:id="3031"/>
    <w:p>
      <w:pPr>
        <w:spacing w:after="0"/>
        <w:ind w:left="0"/>
        <w:jc w:val="both"/>
      </w:pPr>
      <w:r>
        <w:rPr>
          <w:rFonts w:ascii="Times New Roman"/>
          <w:b w:val="false"/>
          <w:i w:val="false"/>
          <w:color w:val="000000"/>
          <w:sz w:val="28"/>
        </w:rPr>
        <w:t>
      2) момент сопротивления, см</w:t>
      </w:r>
      <w:r>
        <w:rPr>
          <w:rFonts w:ascii="Times New Roman"/>
          <w:b w:val="false"/>
          <w:i w:val="false"/>
          <w:color w:val="000000"/>
          <w:vertAlign w:val="superscript"/>
        </w:rPr>
        <w:t>3</w:t>
      </w:r>
      <w:r>
        <w:rPr>
          <w:rFonts w:ascii="Times New Roman"/>
          <w:b w:val="false"/>
          <w:i w:val="false"/>
          <w:color w:val="000000"/>
          <w:sz w:val="28"/>
        </w:rPr>
        <w:t xml:space="preserve">, поперечного сечения стоек слипа не менее определяемого согласно формуле (53) настоящих Правил при расчетной нагрузке </w:t>
      </w:r>
      <w:r>
        <w:rPr>
          <w:rFonts w:ascii="Times New Roman"/>
          <w:b w:val="false"/>
          <w:i/>
          <w:color w:val="000000"/>
          <w:sz w:val="28"/>
        </w:rPr>
        <w:t>р</w:t>
      </w:r>
      <w:r>
        <w:rPr>
          <w:rFonts w:ascii="Times New Roman"/>
          <w:b w:val="false"/>
          <w:i w:val="false"/>
          <w:color w:val="000000"/>
          <w:sz w:val="28"/>
        </w:rPr>
        <w:t xml:space="preserve"> согласно формуле (260) настоящих Правил, </w:t>
      </w:r>
    </w:p>
    <w:bookmarkEnd w:id="303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 </w:t>
      </w:r>
      <w:r>
        <w:rPr>
          <w:rFonts w:ascii="Times New Roman"/>
          <w:b w:val="false"/>
          <w:i/>
          <w:color w:val="000000"/>
          <w:sz w:val="28"/>
        </w:rPr>
        <w:t>m</w:t>
      </w:r>
      <w:r>
        <w:rPr>
          <w:rFonts w:ascii="Times New Roman"/>
          <w:b w:val="false"/>
          <w:i w:val="false"/>
          <w:color w:val="000000"/>
          <w:sz w:val="28"/>
        </w:rPr>
        <w:t xml:space="preserve"> = 17,0 и 22,6 для рыболовных судов и судов специального назначения. Пролет стойки </w:t>
      </w:r>
      <w:r>
        <w:rPr>
          <w:rFonts w:ascii="Times New Roman"/>
          <w:b w:val="false"/>
          <w:i/>
          <w:color w:val="000000"/>
          <w:sz w:val="28"/>
        </w:rPr>
        <w:t>l</w:t>
      </w:r>
      <w:r>
        <w:rPr>
          <w:rFonts w:ascii="Times New Roman"/>
          <w:b w:val="false"/>
          <w:i w:val="false"/>
          <w:color w:val="000000"/>
          <w:sz w:val="28"/>
        </w:rPr>
        <w:t xml:space="preserve"> принимается равным наибольшему расстоянию от палубы слипа до ближайшей вышележащей палубы либо расстоянию между двумя палубами, примыкающими к стенке слипа, но не менее 2,6 м.</w:t>
      </w:r>
      <w:r>
        <w:br/>
      </w:r>
      <w:r>
        <w:rPr>
          <w:rFonts w:ascii="Times New Roman"/>
          <w:b w:val="false"/>
          <w:i w:val="false"/>
          <w:color w:val="000000"/>
          <w:sz w:val="28"/>
        </w:rPr>
        <w:t>
</w:t>
      </w:r>
    </w:p>
    <w:bookmarkStart w:name="z3037" w:id="3032"/>
    <w:p>
      <w:pPr>
        <w:spacing w:after="0"/>
        <w:ind w:left="0"/>
        <w:jc w:val="both"/>
      </w:pPr>
      <w:r>
        <w:rPr>
          <w:rFonts w:ascii="Times New Roman"/>
          <w:b w:val="false"/>
          <w:i w:val="false"/>
          <w:color w:val="000000"/>
          <w:sz w:val="28"/>
        </w:rPr>
        <w:t>
      На судах, ведущих пелагический лов, момент сопротивления сечения стойки, см</w:t>
      </w:r>
      <w:r>
        <w:rPr>
          <w:rFonts w:ascii="Times New Roman"/>
          <w:b w:val="false"/>
          <w:i w:val="false"/>
          <w:color w:val="000000"/>
          <w:vertAlign w:val="superscript"/>
        </w:rPr>
        <w:t>3</w:t>
      </w:r>
      <w:r>
        <w:rPr>
          <w:rFonts w:ascii="Times New Roman"/>
          <w:b w:val="false"/>
          <w:i w:val="false"/>
          <w:color w:val="000000"/>
          <w:sz w:val="28"/>
        </w:rPr>
        <w:t>, не менее, определяемого по формуле:</w:t>
      </w:r>
    </w:p>
    <w:bookmarkEnd w:id="303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45,5</w:t>
      </w:r>
    </w:p>
    <w:p>
      <w:pPr>
        <w:spacing w:after="0"/>
        <w:ind w:left="0"/>
        <w:jc w:val="both"/>
      </w:pPr>
      <w:r>
        <w:drawing>
          <wp:inline distT="0" distB="0" distL="0" distR="0">
            <wp:extent cx="1257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1257300" cy="4699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(268)</w:t>
      </w:r>
      <w:r>
        <w:br/>
      </w:r>
      <w:r>
        <w:rPr>
          <w:rFonts w:ascii="Times New Roman"/>
          <w:b w:val="false"/>
          <w:i w:val="false"/>
          <w:color w:val="000000"/>
          <w:sz w:val="28"/>
        </w:rPr>
        <w:t>
</w:t>
      </w:r>
    </w:p>
    <w:bookmarkStart w:name="z3038" w:id="3033"/>
    <w:p>
      <w:pPr>
        <w:spacing w:after="0"/>
        <w:ind w:left="0"/>
        <w:jc w:val="both"/>
      </w:pPr>
      <w:r>
        <w:rPr>
          <w:rFonts w:ascii="Times New Roman"/>
          <w:b w:val="false"/>
          <w:i w:val="false"/>
          <w:color w:val="000000"/>
          <w:sz w:val="28"/>
        </w:rPr>
        <w:t>
      Во всех случаях момент сопротивления поперечного сечения стоек слипа не менее требуемого в пункте 381 настоящих Правил для шпангоутов верхнего твиндека и надстройки;</w:t>
      </w:r>
    </w:p>
    <w:bookmarkEnd w:id="3033"/>
    <w:bookmarkStart w:name="z3039" w:id="3034"/>
    <w:p>
      <w:pPr>
        <w:spacing w:after="0"/>
        <w:ind w:left="0"/>
        <w:jc w:val="both"/>
      </w:pPr>
      <w:r>
        <w:rPr>
          <w:rFonts w:ascii="Times New Roman"/>
          <w:b w:val="false"/>
          <w:i w:val="false"/>
          <w:color w:val="000000"/>
          <w:sz w:val="28"/>
        </w:rPr>
        <w:t>
      3) протяженность утолщенных участков настила палубы слипа по его длине:</w:t>
      </w:r>
    </w:p>
    <w:bookmarkEnd w:id="3034"/>
    <w:bookmarkStart w:name="z3040" w:id="3035"/>
    <w:p>
      <w:pPr>
        <w:spacing w:after="0"/>
        <w:ind w:left="0"/>
        <w:jc w:val="both"/>
      </w:pPr>
      <w:r>
        <w:rPr>
          <w:rFonts w:ascii="Times New Roman"/>
          <w:b w:val="false"/>
          <w:i w:val="false"/>
          <w:color w:val="000000"/>
          <w:sz w:val="28"/>
        </w:rPr>
        <w:t>
      в районе нижнего скругления — не менее ширины слипа, считая в нос от торца слипа,</w:t>
      </w:r>
    </w:p>
    <w:bookmarkEnd w:id="3035"/>
    <w:bookmarkStart w:name="z3041" w:id="3036"/>
    <w:p>
      <w:pPr>
        <w:spacing w:after="0"/>
        <w:ind w:left="0"/>
        <w:jc w:val="both"/>
      </w:pPr>
      <w:r>
        <w:rPr>
          <w:rFonts w:ascii="Times New Roman"/>
          <w:b w:val="false"/>
          <w:i w:val="false"/>
          <w:color w:val="000000"/>
          <w:sz w:val="28"/>
        </w:rPr>
        <w:t>
      в районе верхнего скругления — не менее двойной ширины слипа;</w:t>
      </w:r>
    </w:p>
    <w:bookmarkEnd w:id="3036"/>
    <w:bookmarkStart w:name="z3042" w:id="3037"/>
    <w:p>
      <w:pPr>
        <w:spacing w:after="0"/>
        <w:ind w:left="0"/>
        <w:jc w:val="both"/>
      </w:pPr>
      <w:r>
        <w:rPr>
          <w:rFonts w:ascii="Times New Roman"/>
          <w:b w:val="false"/>
          <w:i w:val="false"/>
          <w:color w:val="000000"/>
          <w:sz w:val="28"/>
        </w:rPr>
        <w:t>
      4) на участке скругления соединения стенки слипа с обшивкой транца толщина пояса обшивки шириной не менее 700 мм, считая от настила палубы слипа, не менее 20 мм. При этом допускается установка дублирующих листов.</w:t>
      </w:r>
    </w:p>
    <w:bookmarkEnd w:id="3037"/>
    <w:bookmarkStart w:name="z3043" w:id="3038"/>
    <w:p>
      <w:pPr>
        <w:spacing w:after="0"/>
        <w:ind w:left="0"/>
        <w:jc w:val="both"/>
      </w:pPr>
      <w:r>
        <w:rPr>
          <w:rFonts w:ascii="Times New Roman"/>
          <w:b w:val="false"/>
          <w:i w:val="false"/>
          <w:color w:val="000000"/>
          <w:sz w:val="28"/>
        </w:rPr>
        <w:t>
      В случае установки приварной сегментной полосы диаметром не менее 70 мм по линии сопряжения скругления с плоской частью стенки, но не далее 200 мм от транца, толщину обшивки допускается принимать в соответствии с требованиями подпункта 6) пункта 765 настоящих Правил;</w:t>
      </w:r>
    </w:p>
    <w:bookmarkEnd w:id="3038"/>
    <w:bookmarkStart w:name="z3044" w:id="3039"/>
    <w:p>
      <w:pPr>
        <w:spacing w:after="0"/>
        <w:ind w:left="0"/>
        <w:jc w:val="both"/>
      </w:pPr>
      <w:r>
        <w:rPr>
          <w:rFonts w:ascii="Times New Roman"/>
          <w:b w:val="false"/>
          <w:i w:val="false"/>
          <w:color w:val="000000"/>
          <w:sz w:val="28"/>
        </w:rPr>
        <w:t>
      5) на судах, не ведущих пелагический лов, поясья обшивки стенок слипа в районе соединения с транцем и вдоль палубы слипа имеют утолщения до величины не менее требуемой в подпункте 6) пункта 765 настоящих Правил.</w:t>
      </w:r>
    </w:p>
    <w:bookmarkEnd w:id="3039"/>
    <w:bookmarkStart w:name="z3045" w:id="3040"/>
    <w:p>
      <w:pPr>
        <w:spacing w:after="0"/>
        <w:ind w:left="0"/>
        <w:jc w:val="both"/>
      </w:pPr>
      <w:r>
        <w:rPr>
          <w:rFonts w:ascii="Times New Roman"/>
          <w:b w:val="false"/>
          <w:i w:val="false"/>
          <w:color w:val="000000"/>
          <w:sz w:val="28"/>
        </w:rPr>
        <w:t>
      Утолщенные поясья обшивки стенки по длине слипа имеют ширину не менее 0,4 ширины слипа или 1,0 м, в зависимости от того, что больше. Нижняя кромка этих поясьев совпадает с палубой слипа на судах, где предусмотрен подъем улова волоком, и располагается на уровне поверхности укладки улова на судах, где подъем осуществляется на специальном транспортном устройстве.</w:t>
      </w:r>
    </w:p>
    <w:bookmarkEnd w:id="3040"/>
    <w:bookmarkStart w:name="z3046" w:id="3041"/>
    <w:p>
      <w:pPr>
        <w:spacing w:after="0"/>
        <w:ind w:left="0"/>
        <w:jc w:val="both"/>
      </w:pPr>
      <w:r>
        <w:rPr>
          <w:rFonts w:ascii="Times New Roman"/>
          <w:b w:val="false"/>
          <w:i w:val="false"/>
          <w:color w:val="000000"/>
          <w:sz w:val="28"/>
        </w:rPr>
        <w:t>
      Протяженность утолщенного участка обшивки стенки в районе транца, считая в нос от линии сопряжения скругления с плоской частью стенки, не менее 0,5 ширины слипа;</w:t>
      </w:r>
    </w:p>
    <w:bookmarkEnd w:id="3041"/>
    <w:bookmarkStart w:name="z3047" w:id="3042"/>
    <w:p>
      <w:pPr>
        <w:spacing w:after="0"/>
        <w:ind w:left="0"/>
        <w:jc w:val="both"/>
      </w:pPr>
      <w:r>
        <w:rPr>
          <w:rFonts w:ascii="Times New Roman"/>
          <w:b w:val="false"/>
          <w:i w:val="false"/>
          <w:color w:val="000000"/>
          <w:sz w:val="28"/>
        </w:rPr>
        <w:t>
      6) толщина настила палубы и обшивки стенок слипа, мм, на судах, где предусмотрен подъем улова волоком, не менее определяемой по формуле (53) настоящих Правил. При этом:</w:t>
      </w:r>
    </w:p>
    <w:bookmarkEnd w:id="304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принимаются по приложению 107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формуле (260)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1,0.</w:t>
      </w:r>
    </w:p>
    <w:bookmarkStart w:name="z3048" w:id="3043"/>
    <w:p>
      <w:pPr>
        <w:spacing w:after="0"/>
        <w:ind w:left="0"/>
        <w:jc w:val="both"/>
      </w:pPr>
      <w:r>
        <w:rPr>
          <w:rFonts w:ascii="Times New Roman"/>
          <w:b w:val="false"/>
          <w:i w:val="false"/>
          <w:color w:val="000000"/>
          <w:sz w:val="28"/>
        </w:rPr>
        <w:t>
      7) при наличии на палубе слипа дублирующих листов в районе нижнего и верхнего скругления или устройств, исключающих истирание настила палубы тросами, допускается принимать толщину настила, как для средней части слипа;</w:t>
      </w:r>
    </w:p>
    <w:bookmarkEnd w:id="3043"/>
    <w:bookmarkStart w:name="z3049" w:id="3044"/>
    <w:p>
      <w:pPr>
        <w:spacing w:after="0"/>
        <w:ind w:left="0"/>
        <w:jc w:val="both"/>
      </w:pPr>
      <w:r>
        <w:rPr>
          <w:rFonts w:ascii="Times New Roman"/>
          <w:b w:val="false"/>
          <w:i w:val="false"/>
          <w:color w:val="000000"/>
          <w:sz w:val="28"/>
        </w:rPr>
        <w:t>
      8) на судах, ведущих пелагический лов, толщина нижнего пояса обшивки стенки слипа s, мм, от палубы слипа до уровня по крайней мере на 100 мм выше верхней сегментной полосы не менее определяемой по формуле:</w:t>
      </w:r>
    </w:p>
    <w:bookmarkEnd w:id="304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2•10</w:t>
      </w:r>
      <w:r>
        <w:rPr>
          <w:rFonts w:ascii="Times New Roman"/>
          <w:b w:val="false"/>
          <w:i w:val="false"/>
          <w:color w:val="000000"/>
          <w:vertAlign w:val="superscript"/>
        </w:rPr>
        <w:t xml:space="preserve">4 </w:t>
      </w:r>
    </w:p>
    <w:p>
      <w:pPr>
        <w:spacing w:after="0"/>
        <w:ind w:left="0"/>
        <w:jc w:val="both"/>
      </w:pPr>
      <w:r>
        <w:drawing>
          <wp:inline distT="0" distB="0" distL="0" distR="0">
            <wp:extent cx="31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317500" cy="558800"/>
                    </a:xfrm>
                    <a:prstGeom prst="rect">
                      <a:avLst/>
                    </a:prstGeom>
                  </pic:spPr>
                </pic:pic>
              </a:graphicData>
            </a:graphic>
          </wp:inline>
        </w:drawing>
      </w:r>
    </w:p>
    <w:p>
      <w:pPr>
        <w:spacing w:after="0"/>
        <w:ind w:left="0"/>
        <w:jc w:val="left"/>
      </w:pPr>
      <w:r>
        <w:rPr>
          <w:rFonts w:ascii="Times New Roman"/>
          <w:b w:val="false"/>
          <w:i w:val="false"/>
          <w:color w:val="000000"/>
          <w:sz w:val="28"/>
        </w:rPr>
        <w:t>+ 1,                 (269)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 расстояние между смежными кромками продольных сегментных полос, м;</w:t>
      </w:r>
    </w:p>
    <w:bookmarkStart w:name="z3050" w:id="3045"/>
    <w:p>
      <w:pPr>
        <w:spacing w:after="0"/>
        <w:ind w:left="0"/>
        <w:jc w:val="both"/>
      </w:pPr>
      <w:r>
        <w:rPr>
          <w:rFonts w:ascii="Times New Roman"/>
          <w:b w:val="false"/>
          <w:i w:val="false"/>
          <w:color w:val="000000"/>
          <w:sz w:val="28"/>
        </w:rPr>
        <w:t>
      9) при любом способе подъема улова толщина настила палубы слипа для всех судов на 2 мм больше требуемой в пункте 321 настоящих Правил, для наружной обшивки. Указанная толщина выдерживается на длине от торца слипа до линии, расположенной не менее чем на 600 мм выше уровня переборок в этом районе длины судна. В нос от этого района толщина настила слипа на 2 мм больше требуемой в подпункте 5) пункта 407 настоящих Правил для настила верхней палубы в оконечностях;</w:t>
      </w:r>
    </w:p>
    <w:bookmarkEnd w:id="3045"/>
    <w:bookmarkStart w:name="z3051" w:id="3046"/>
    <w:p>
      <w:pPr>
        <w:spacing w:after="0"/>
        <w:ind w:left="0"/>
        <w:jc w:val="both"/>
      </w:pPr>
      <w:r>
        <w:rPr>
          <w:rFonts w:ascii="Times New Roman"/>
          <w:b w:val="false"/>
          <w:i w:val="false"/>
          <w:color w:val="000000"/>
          <w:sz w:val="28"/>
        </w:rPr>
        <w:t>
      10) толщина листов наружной обшивки кормового подзора на участке длиной не менее 1,0 м, считая в нос от торца слипа, и шириной не менее ширины слипа на 1 мм больше по сравнению с требуемой в пункте 314 настоящих Правил.</w:t>
      </w:r>
    </w:p>
    <w:bookmarkEnd w:id="3046"/>
    <w:bookmarkStart w:name="z3052" w:id="3047"/>
    <w:p>
      <w:pPr>
        <w:spacing w:after="0"/>
        <w:ind w:left="0"/>
        <w:jc w:val="both"/>
      </w:pPr>
      <w:r>
        <w:rPr>
          <w:rFonts w:ascii="Times New Roman"/>
          <w:b w:val="false"/>
          <w:i w:val="false"/>
          <w:color w:val="000000"/>
          <w:sz w:val="28"/>
        </w:rPr>
        <w:t>
      766. Требования к размерам связей судов, имеющих устройство для бортового траления.</w:t>
      </w:r>
    </w:p>
    <w:bookmarkEnd w:id="3047"/>
    <w:bookmarkStart w:name="z3053" w:id="3048"/>
    <w:p>
      <w:pPr>
        <w:spacing w:after="0"/>
        <w:ind w:left="0"/>
        <w:jc w:val="both"/>
      </w:pPr>
      <w:r>
        <w:rPr>
          <w:rFonts w:ascii="Times New Roman"/>
          <w:b w:val="false"/>
          <w:i w:val="false"/>
          <w:color w:val="000000"/>
          <w:sz w:val="28"/>
        </w:rPr>
        <w:t>
      1) на судах длиной более 30 м толщина бортовой обшивки и ширстрека в районе между траловыми дугами, определяемом как расстояние между сечениями, расположенными на три шпации в нос от носового конца траловой дуги и в корму от кормового конца кормовой траловой дуги, увеличивают на 1 мм по сравнению с требуемой в пункте 314 настоящих Правил;</w:t>
      </w:r>
    </w:p>
    <w:bookmarkEnd w:id="3048"/>
    <w:bookmarkStart w:name="z3054" w:id="3049"/>
    <w:p>
      <w:pPr>
        <w:spacing w:after="0"/>
        <w:ind w:left="0"/>
        <w:jc w:val="both"/>
      </w:pPr>
      <w:r>
        <w:rPr>
          <w:rFonts w:ascii="Times New Roman"/>
          <w:b w:val="false"/>
          <w:i w:val="false"/>
          <w:color w:val="000000"/>
          <w:sz w:val="28"/>
        </w:rPr>
        <w:t>
      2) в районе установки каждой траловой дуги, определяемой согласно подпункту 2) пункта 756 настоящих Правил, предусматривают следующие усиления:</w:t>
      </w:r>
    </w:p>
    <w:bookmarkEnd w:id="3049"/>
    <w:p>
      <w:pPr>
        <w:spacing w:after="0"/>
        <w:ind w:left="0"/>
        <w:jc w:val="both"/>
      </w:pPr>
      <w:r>
        <w:rPr>
          <w:rFonts w:ascii="Times New Roman"/>
          <w:b w:val="false"/>
          <w:i w:val="false"/>
          <w:color w:val="000000"/>
          <w:sz w:val="28"/>
        </w:rPr>
        <w:t>
      увеличение толщины ширстрека на 2 мм;</w:t>
      </w:r>
    </w:p>
    <w:p>
      <w:pPr>
        <w:spacing w:after="0"/>
        <w:ind w:left="0"/>
        <w:jc w:val="both"/>
      </w:pPr>
      <w:r>
        <w:rPr>
          <w:rFonts w:ascii="Times New Roman"/>
          <w:b w:val="false"/>
          <w:i w:val="false"/>
          <w:color w:val="000000"/>
          <w:sz w:val="28"/>
        </w:rPr>
        <w:t>
      увеличение толщины пояса обшивки, примыкающего к ширстреку, до толщины ширстрека в районе между траловыми дугами;</w:t>
      </w:r>
    </w:p>
    <w:p>
      <w:pPr>
        <w:spacing w:after="0"/>
        <w:ind w:left="0"/>
        <w:jc w:val="both"/>
      </w:pPr>
      <w:r>
        <w:rPr>
          <w:rFonts w:ascii="Times New Roman"/>
          <w:b w:val="false"/>
          <w:i w:val="false"/>
          <w:color w:val="000000"/>
          <w:sz w:val="28"/>
        </w:rPr>
        <w:t>
      увеличение толщины палубного стрингера на 3 мм по сравнению с требуемой в пункте 407 настоящих Правил;</w:t>
      </w:r>
    </w:p>
    <w:p>
      <w:pPr>
        <w:spacing w:after="0"/>
        <w:ind w:left="0"/>
        <w:jc w:val="both"/>
      </w:pPr>
      <w:r>
        <w:rPr>
          <w:rFonts w:ascii="Times New Roman"/>
          <w:b w:val="false"/>
          <w:i w:val="false"/>
          <w:color w:val="000000"/>
          <w:sz w:val="28"/>
        </w:rPr>
        <w:t>
      увеличение толщины листов фальшборта на 2 мм по сравнению с требуемой в пункте 575 настоящих Правил.</w:t>
      </w:r>
    </w:p>
    <w:bookmarkStart w:name="z3055" w:id="3050"/>
    <w:p>
      <w:pPr>
        <w:spacing w:after="0"/>
        <w:ind w:left="0"/>
        <w:jc w:val="both"/>
      </w:pPr>
      <w:r>
        <w:rPr>
          <w:rFonts w:ascii="Times New Roman"/>
          <w:b w:val="false"/>
          <w:i w:val="false"/>
          <w:color w:val="000000"/>
          <w:sz w:val="28"/>
        </w:rPr>
        <w:t>
      767. Требования к размерам связей в трюмах и производственных помещениях предусмотрены следующие требования:</w:t>
      </w:r>
    </w:p>
    <w:bookmarkEnd w:id="3050"/>
    <w:bookmarkStart w:name="z3056" w:id="3051"/>
    <w:p>
      <w:pPr>
        <w:spacing w:after="0"/>
        <w:ind w:left="0"/>
        <w:jc w:val="both"/>
      </w:pPr>
      <w:r>
        <w:rPr>
          <w:rFonts w:ascii="Times New Roman"/>
          <w:b w:val="false"/>
          <w:i w:val="false"/>
          <w:color w:val="000000"/>
          <w:sz w:val="28"/>
        </w:rPr>
        <w:t>
      1) момент сопротивления сечения бимсов и продольных подпалубных балок, на которых размещается технологическое оборудование для обработки улова, определяется согласно параграфу 3 главы 20 настоящих Правил при расчетной нагрузке согласно пункту 762 настоящих Правил, если она больше требуемой в параграфе 2 главы 20 настоящих Правил;</w:t>
      </w:r>
    </w:p>
    <w:bookmarkEnd w:id="3051"/>
    <w:bookmarkStart w:name="z3057" w:id="3052"/>
    <w:p>
      <w:pPr>
        <w:spacing w:after="0"/>
        <w:ind w:left="0"/>
        <w:jc w:val="both"/>
      </w:pPr>
      <w:r>
        <w:rPr>
          <w:rFonts w:ascii="Times New Roman"/>
          <w:b w:val="false"/>
          <w:i w:val="false"/>
          <w:color w:val="000000"/>
          <w:sz w:val="28"/>
        </w:rPr>
        <w:t>
      2) в трюмах и производственных помещениях, в которых размещается засоленный улов или соль без тары и упаковки или которые подвергаются воздействию отходов обработки улова и морской воды, толщина настилов и обшивки увеличивается на 1 мм по сравнению с требуемой соответствующими главами Правил. В случае упомянутого воздействия с обеих сторон конструкции соответствующая толщина увеличивается на 2 мм;</w:t>
      </w:r>
    </w:p>
    <w:bookmarkEnd w:id="3052"/>
    <w:bookmarkStart w:name="z3058" w:id="3053"/>
    <w:p>
      <w:pPr>
        <w:spacing w:after="0"/>
        <w:ind w:left="0"/>
        <w:jc w:val="both"/>
      </w:pPr>
      <w:r>
        <w:rPr>
          <w:rFonts w:ascii="Times New Roman"/>
          <w:b w:val="false"/>
          <w:i w:val="false"/>
          <w:color w:val="000000"/>
          <w:sz w:val="28"/>
        </w:rPr>
        <w:t>
      3) толщина вертикальных стенок комингсов, не являющихся одновременно карлингсами, не менее толщины настила палубы или 7 мм, в зависимости от того, что больше.</w:t>
      </w:r>
    </w:p>
    <w:bookmarkEnd w:id="3053"/>
    <w:bookmarkStart w:name="z3059" w:id="3054"/>
    <w:p>
      <w:pPr>
        <w:spacing w:after="0"/>
        <w:ind w:left="0"/>
        <w:jc w:val="both"/>
      </w:pPr>
      <w:r>
        <w:rPr>
          <w:rFonts w:ascii="Times New Roman"/>
          <w:b w:val="false"/>
          <w:i w:val="false"/>
          <w:color w:val="000000"/>
          <w:sz w:val="28"/>
        </w:rPr>
        <w:t>
      768. Требования к размерам связей судов, швартующихся в море, соответствуют следующим требованиям:</w:t>
      </w:r>
    </w:p>
    <w:bookmarkEnd w:id="3054"/>
    <w:bookmarkStart w:name="z3060" w:id="3055"/>
    <w:p>
      <w:pPr>
        <w:spacing w:after="0"/>
        <w:ind w:left="0"/>
        <w:jc w:val="both"/>
      </w:pPr>
      <w:r>
        <w:rPr>
          <w:rFonts w:ascii="Times New Roman"/>
          <w:b w:val="false"/>
          <w:i w:val="false"/>
          <w:color w:val="000000"/>
          <w:sz w:val="28"/>
        </w:rPr>
        <w:t>
      1) толщина бортовой обшивки и ширстрека судов длиной менее 80 м на 1 мм больше требуемой в пункте 321 настоящих Правил;</w:t>
      </w:r>
    </w:p>
    <w:bookmarkEnd w:id="3055"/>
    <w:bookmarkStart w:name="z3061" w:id="3056"/>
    <w:p>
      <w:pPr>
        <w:spacing w:after="0"/>
        <w:ind w:left="0"/>
        <w:jc w:val="both"/>
      </w:pPr>
      <w:r>
        <w:rPr>
          <w:rFonts w:ascii="Times New Roman"/>
          <w:b w:val="false"/>
          <w:i w:val="false"/>
          <w:color w:val="000000"/>
          <w:sz w:val="28"/>
        </w:rPr>
        <w:t>
      2) толщина бортовой обшивки и ширстрека, мм, в районах усилений не менее определяемой по формуле:</w:t>
      </w:r>
    </w:p>
    <w:bookmarkEnd w:id="305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96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1968500" cy="558800"/>
                    </a:xfrm>
                    <a:prstGeom prst="rect">
                      <a:avLst/>
                    </a:prstGeom>
                  </pic:spPr>
                </pic:pic>
              </a:graphicData>
            </a:graphic>
          </wp:inline>
        </w:drawing>
      </w:r>
    </w:p>
    <w:p>
      <w:pPr>
        <w:spacing w:after="0"/>
        <w:ind w:left="0"/>
        <w:jc w:val="left"/>
      </w:pPr>
      <w:r>
        <w:rPr>
          <w:rFonts w:ascii="Times New Roman"/>
          <w:b w:val="false"/>
          <w:i w:val="false"/>
          <w:color w:val="000000"/>
          <w:sz w:val="28"/>
        </w:rPr>
        <w:t>,                  (270)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расстояние между шпангоутами, м. При наличии промежуточных шпангоутов </w:t>
      </w:r>
      <w:r>
        <w:rPr>
          <w:rFonts w:ascii="Times New Roman"/>
          <w:b w:val="false"/>
          <w:i/>
          <w:color w:val="000000"/>
          <w:sz w:val="28"/>
        </w:rPr>
        <w:t>а</w:t>
      </w:r>
      <w:r>
        <w:rPr>
          <w:rFonts w:ascii="Times New Roman"/>
          <w:b w:val="false"/>
          <w:i w:val="false"/>
          <w:color w:val="000000"/>
          <w:sz w:val="28"/>
        </w:rPr>
        <w:t xml:space="preserve"> — расстояние между основными и промежуточными шпангоутами;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согласно пункту 763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1,1;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4,0 мм — в районе А при использовании рассматриваемого борта для траления;</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1,2 мм — в районах В и С;</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=3,0 мм — в остальных случаях;</w:t>
      </w:r>
      <w:r>
        <w:br/>
      </w:r>
      <w:r>
        <w:rPr>
          <w:rFonts w:ascii="Times New Roman"/>
          <w:b w:val="false"/>
          <w:i w:val="false"/>
          <w:color w:val="000000"/>
          <w:sz w:val="28"/>
        </w:rPr>
        <w:t>
</w:t>
      </w:r>
    </w:p>
    <w:bookmarkStart w:name="z3062" w:id="3057"/>
    <w:p>
      <w:pPr>
        <w:spacing w:after="0"/>
        <w:ind w:left="0"/>
        <w:jc w:val="both"/>
      </w:pPr>
      <w:r>
        <w:rPr>
          <w:rFonts w:ascii="Times New Roman"/>
          <w:b w:val="false"/>
          <w:i w:val="false"/>
          <w:color w:val="000000"/>
          <w:sz w:val="28"/>
        </w:rPr>
        <w:t>
      3) момент сопротивления шпангоутов, см</w:t>
      </w:r>
      <w:r>
        <w:rPr>
          <w:rFonts w:ascii="Times New Roman"/>
          <w:b w:val="false"/>
          <w:i w:val="false"/>
          <w:color w:val="000000"/>
          <w:vertAlign w:val="superscript"/>
        </w:rPr>
        <w:t>3</w:t>
      </w:r>
      <w:r>
        <w:rPr>
          <w:rFonts w:ascii="Times New Roman"/>
          <w:b w:val="false"/>
          <w:i w:val="false"/>
          <w:color w:val="000000"/>
          <w:sz w:val="28"/>
        </w:rPr>
        <w:t>, в районе А должен быть не менее определяемого по формуле:</w:t>
      </w:r>
    </w:p>
    <w:bookmarkEnd w:id="30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1536700" cy="482600"/>
                    </a:xfrm>
                    <a:prstGeom prst="rect">
                      <a:avLst/>
                    </a:prstGeom>
                  </pic:spPr>
                </pic:pic>
              </a:graphicData>
            </a:graphic>
          </wp:inline>
        </w:drawing>
      </w:r>
    </w:p>
    <w:p>
      <w:pPr>
        <w:spacing w:after="0"/>
        <w:ind w:left="0"/>
        <w:jc w:val="left"/>
      </w:pPr>
      <w:r>
        <w:rPr>
          <w:rFonts w:ascii="Times New Roman"/>
          <w:b w:val="false"/>
          <w:i w:val="false"/>
          <w:color w:val="000000"/>
          <w:sz w:val="28"/>
        </w:rPr>
        <w:t>,                     (271)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согласно формулы (263)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основными шпангоутами,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1,5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20,4</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(l +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принимаются по приложению 108 настоящих Правил в зависимости от числа установленных разносящих стрингеров;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0 — при отсутствии промежуточных шпангоутов;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0,69 — если концы промежуточных шпангоутов оканчиваются на продольных интеркостельных связях;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1,0 — если закрепление концов основных и промежуточных шпангоутов одинаково;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w:t>
      </w:r>
      <w:r>
        <w:rPr>
          <w:rFonts w:ascii="Times New Roman"/>
          <w:b w:val="false"/>
          <w:i w:val="false"/>
          <w:color w:val="000000"/>
          <w:sz w:val="28"/>
        </w:rPr>
        <w:t xml:space="preserve"> = 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пролет шпангоута, измеренный по хорде, между верхней кромкой настила второго дна или пояска флора и нижней кромкой палубы у борта (бортового стрингера при наличии рамных шпангоутов), м.</w:t>
      </w:r>
    </w:p>
    <w:bookmarkStart w:name="z3063" w:id="3058"/>
    <w:p>
      <w:pPr>
        <w:spacing w:after="0"/>
        <w:ind w:left="0"/>
        <w:jc w:val="both"/>
      </w:pPr>
      <w:r>
        <w:rPr>
          <w:rFonts w:ascii="Times New Roman"/>
          <w:b w:val="false"/>
          <w:i w:val="false"/>
          <w:color w:val="000000"/>
          <w:sz w:val="28"/>
        </w:rPr>
        <w:t>
      4) момент сопротивления шпангоутов, см</w:t>
      </w:r>
      <w:r>
        <w:rPr>
          <w:rFonts w:ascii="Times New Roman"/>
          <w:b w:val="false"/>
          <w:i w:val="false"/>
          <w:color w:val="000000"/>
          <w:vertAlign w:val="superscript"/>
        </w:rPr>
        <w:t>3</w:t>
      </w:r>
      <w:r>
        <w:rPr>
          <w:rFonts w:ascii="Times New Roman"/>
          <w:b w:val="false"/>
          <w:i w:val="false"/>
          <w:color w:val="000000"/>
          <w:sz w:val="28"/>
        </w:rPr>
        <w:t xml:space="preserve">, в районах В и С не менее определенного по формуле (271) настоящих Правил. При этом р принимается согласно формулы (264) настоящих Правил. При фактической толщине наружной обшивки более 8 мм </w:t>
      </w:r>
      <w:r>
        <w:rPr>
          <w:rFonts w:ascii="Times New Roman"/>
          <w:b w:val="false"/>
          <w:i/>
          <w:color w:val="000000"/>
          <w:sz w:val="28"/>
        </w:rPr>
        <w:t>р</w:t>
      </w:r>
      <w:r>
        <w:rPr>
          <w:rFonts w:ascii="Times New Roman"/>
          <w:b w:val="false"/>
          <w:i w:val="false"/>
          <w:color w:val="000000"/>
          <w:sz w:val="28"/>
        </w:rPr>
        <w:t xml:space="preserve"> уменьшают на величину, определяемую по формуле:</w:t>
      </w:r>
    </w:p>
    <w:bookmarkEnd w:id="30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473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473200" cy="444500"/>
                    </a:xfrm>
                    <a:prstGeom prst="rect">
                      <a:avLst/>
                    </a:prstGeom>
                  </pic:spPr>
                </pic:pic>
              </a:graphicData>
            </a:graphic>
          </wp:inline>
        </w:drawing>
      </w:r>
    </w:p>
    <w:p>
      <w:pPr>
        <w:spacing w:after="0"/>
        <w:ind w:left="0"/>
        <w:jc w:val="left"/>
      </w:pPr>
      <w:r>
        <w:rPr>
          <w:rFonts w:ascii="Times New Roman"/>
          <w:b w:val="false"/>
          <w:i w:val="false"/>
          <w:color w:val="000000"/>
          <w:sz w:val="28"/>
        </w:rPr>
        <w:t>,                (272)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фактическая толщина обшивки, мм, но не более 20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пролет шпангоута,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текучести материала обшивки,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основными шпангоутами,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2,2м;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25,0</w:t>
      </w:r>
    </w:p>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5334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1,3 — для района В судов специального назначения;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1 — в остальных случаях;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 — при отсутствии разносящих стрингеров;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1,12 + </w:t>
      </w:r>
    </w:p>
    <w:p>
      <w:pPr>
        <w:spacing w:after="0"/>
        <w:ind w:left="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660400" cy="520700"/>
                    </a:xfrm>
                    <a:prstGeom prst="rect">
                      <a:avLst/>
                    </a:prstGeom>
                  </pic:spPr>
                </pic:pic>
              </a:graphicData>
            </a:graphic>
          </wp:inline>
        </w:drawing>
      </w:r>
    </w:p>
    <w:p>
      <w:pPr>
        <w:spacing w:after="0"/>
        <w:ind w:left="0"/>
        <w:jc w:val="left"/>
      </w:pPr>
      <w:r>
        <w:rPr>
          <w:rFonts w:ascii="Times New Roman"/>
          <w:b w:val="false"/>
          <w:i w:val="false"/>
          <w:color w:val="000000"/>
          <w:sz w:val="28"/>
        </w:rPr>
        <w:t>— при одном разносящем стрингере;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1,15+ </w:t>
      </w:r>
    </w:p>
    <w:p>
      <w:pPr>
        <w:spacing w:after="0"/>
        <w:ind w:left="0"/>
        <w:jc w:val="both"/>
      </w:pPr>
      <w:r>
        <w:drawing>
          <wp:inline distT="0" distB="0" distL="0" distR="0">
            <wp:extent cx="66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660400" cy="520700"/>
                    </a:xfrm>
                    <a:prstGeom prst="rect">
                      <a:avLst/>
                    </a:prstGeom>
                  </pic:spPr>
                </pic:pic>
              </a:graphicData>
            </a:graphic>
          </wp:inline>
        </w:drawing>
      </w:r>
    </w:p>
    <w:p>
      <w:pPr>
        <w:spacing w:after="0"/>
        <w:ind w:left="0"/>
        <w:jc w:val="left"/>
      </w:pPr>
      <w:r>
        <w:rPr>
          <w:rFonts w:ascii="Times New Roman"/>
          <w:b w:val="false"/>
          <w:i w:val="false"/>
          <w:color w:val="000000"/>
          <w:sz w:val="28"/>
        </w:rPr>
        <w:t>— при двух и более разносящих стрингерах;</w:t>
      </w:r>
      <w:r>
        <w:br/>
      </w:r>
      <w:r>
        <w:rPr>
          <w:rFonts w:ascii="Times New Roman"/>
          <w:b w:val="false"/>
          <w:i w:val="false"/>
          <w:color w:val="000000"/>
          <w:sz w:val="28"/>
        </w:rPr>
        <w:t>
</w:t>
      </w:r>
      <w:r>
        <w:br/>
      </w:r>
    </w:p>
    <w:p>
      <w:pPr>
        <w:spacing w:after="0"/>
        <w:ind w:left="0"/>
        <w:jc w:val="both"/>
      </w:pPr>
      <w:r>
        <w:drawing>
          <wp:inline distT="0" distB="0" distL="0" distR="0">
            <wp:extent cx="190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1905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1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317500" cy="520700"/>
                    </a:xfrm>
                    <a:prstGeom prst="rect">
                      <a:avLst/>
                    </a:prstGeom>
                  </pic:spPr>
                </pic:pic>
              </a:graphicData>
            </a:graphic>
          </wp:inline>
        </w:drawing>
      </w:r>
    </w:p>
    <w:p>
      <w:pPr>
        <w:spacing w:after="0"/>
        <w:ind w:left="0"/>
        <w:jc w:val="left"/>
      </w:pPr>
      <w:r>
        <w:rPr>
          <w:rFonts w:ascii="Times New Roman"/>
          <w:b w:val="false"/>
          <w:i w:val="false"/>
          <w:color w:val="000000"/>
          <w:sz w:val="28"/>
        </w:rPr>
        <w:t>— отношение моментов сопротивления разносящего стрингера и шпангоута;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2а — в районе причального участка судов специального назначения и в районе (0 </w:t>
      </w:r>
    </w:p>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sz w:val="28"/>
        </w:rPr>
        <w:t>0,25)</w:t>
      </w:r>
      <w:r>
        <w:rPr>
          <w:rFonts w:ascii="Times New Roman"/>
          <w:b w:val="false"/>
          <w:i/>
          <w:color w:val="000000"/>
          <w:sz w:val="28"/>
        </w:rPr>
        <w:t>L</w:t>
      </w:r>
      <w:r>
        <w:rPr>
          <w:rFonts w:ascii="Times New Roman"/>
          <w:b w:val="false"/>
          <w:i w:val="false"/>
          <w:color w:val="000000"/>
          <w:sz w:val="28"/>
        </w:rPr>
        <w:t xml:space="preserve"> от носового перпендикуляра рыболовных судов;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2а – 0,1 — в районе (0 </w:t>
      </w:r>
    </w:p>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sz w:val="28"/>
        </w:rPr>
        <w:t>0,20)</w:t>
      </w:r>
      <w:r>
        <w:rPr>
          <w:rFonts w:ascii="Times New Roman"/>
          <w:b w:val="false"/>
          <w:i/>
          <w:color w:val="000000"/>
          <w:sz w:val="28"/>
        </w:rPr>
        <w:t>L</w:t>
      </w:r>
      <w:r>
        <w:rPr>
          <w:rFonts w:ascii="Times New Roman"/>
          <w:b w:val="false"/>
          <w:i w:val="false"/>
          <w:color w:val="000000"/>
          <w:sz w:val="28"/>
        </w:rPr>
        <w:t xml:space="preserve"> от кормового перпендикуляра рыболовных судов;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2а – 0,2 — в остальных случаях;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1 — при отсутствии промежуточных шпангоутов;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w:t>
      </w:r>
    </w:p>
    <w:p>
      <w:pPr>
        <w:spacing w:after="0"/>
        <w:ind w:left="0"/>
        <w:jc w:val="both"/>
      </w:pPr>
      <w:r>
        <w:drawing>
          <wp:inline distT="0" distB="0" distL="0" distR="0">
            <wp:extent cx="21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15900" cy="520700"/>
                    </a:xfrm>
                    <a:prstGeom prst="rect">
                      <a:avLst/>
                    </a:prstGeom>
                  </pic:spPr>
                </pic:pic>
              </a:graphicData>
            </a:graphic>
          </wp:inline>
        </w:drawing>
      </w:r>
    </w:p>
    <w:p>
      <w:pPr>
        <w:spacing w:after="0"/>
        <w:ind w:left="0"/>
        <w:jc w:val="left"/>
      </w:pPr>
      <w:r>
        <w:rPr>
          <w:rFonts w:ascii="Times New Roman"/>
          <w:b w:val="false"/>
          <w:i w:val="false"/>
          <w:color w:val="000000"/>
          <w:sz w:val="28"/>
        </w:rPr>
        <w:t>(1 + 0,5</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при наличии промежуточных шпангоутов; коэффициент </w:t>
      </w:r>
      <w:r>
        <w:rPr>
          <w:rFonts w:ascii="Times New Roman"/>
          <w:b w:val="false"/>
          <w:i/>
          <w:color w:val="000000"/>
          <w:sz w:val="28"/>
        </w:rPr>
        <w:t>k</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определяется так же, как и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но при а, равном расстоянию между основными и промежуточными шпангоутами;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1,1;</w:t>
      </w:r>
    </w:p>
    <w:bookmarkStart w:name="z3064" w:id="3059"/>
    <w:p>
      <w:pPr>
        <w:spacing w:after="0"/>
        <w:ind w:left="0"/>
        <w:jc w:val="both"/>
      </w:pPr>
      <w:r>
        <w:rPr>
          <w:rFonts w:ascii="Times New Roman"/>
          <w:b w:val="false"/>
          <w:i w:val="false"/>
          <w:color w:val="000000"/>
          <w:sz w:val="28"/>
        </w:rPr>
        <w:t>
      5) при продольной системе набора в междупалубных помещениях момент сопротивления бортовых продольных балок, см</w:t>
      </w:r>
      <w:r>
        <w:rPr>
          <w:rFonts w:ascii="Times New Roman"/>
          <w:b w:val="false"/>
          <w:i w:val="false"/>
          <w:color w:val="000000"/>
          <w:vertAlign w:val="superscript"/>
        </w:rPr>
        <w:t>3</w:t>
      </w:r>
      <w:r>
        <w:rPr>
          <w:rFonts w:ascii="Times New Roman"/>
          <w:b w:val="false"/>
          <w:i w:val="false"/>
          <w:color w:val="000000"/>
          <w:sz w:val="28"/>
        </w:rPr>
        <w:t>, не менее определяемого по формуле:</w:t>
      </w:r>
    </w:p>
    <w:bookmarkEnd w:id="305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24</w:t>
      </w:r>
    </w:p>
    <w:p>
      <w:pPr>
        <w:spacing w:after="0"/>
        <w:ind w:left="0"/>
        <w:jc w:val="both"/>
      </w:pPr>
      <w:r>
        <w:drawing>
          <wp:inline distT="0" distB="0" distL="0" distR="0">
            <wp:extent cx="660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660400" cy="596900"/>
                    </a:xfrm>
                    <a:prstGeom prst="rect">
                      <a:avLst/>
                    </a:prstGeom>
                  </pic:spPr>
                </pic:pic>
              </a:graphicData>
            </a:graphic>
          </wp:inline>
        </w:drawing>
      </w:r>
    </w:p>
    <w:p>
      <w:pPr>
        <w:spacing w:after="0"/>
        <w:ind w:left="0"/>
        <w:jc w:val="left"/>
      </w:pPr>
      <w:r>
        <w:rPr>
          <w:rFonts w:ascii="Times New Roman"/>
          <w:b w:val="false"/>
          <w:i w:val="false"/>
          <w:color w:val="000000"/>
          <w:sz w:val="28"/>
        </w:rPr>
        <w:t>,                      (273)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определяется по формуле (264)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продольными балками,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расстояние между рамными шпангоутами, м;</w:t>
      </w:r>
    </w:p>
    <w:bookmarkStart w:name="z3065" w:id="3060"/>
    <w:p>
      <w:pPr>
        <w:spacing w:after="0"/>
        <w:ind w:left="0"/>
        <w:jc w:val="both"/>
      </w:pPr>
      <w:r>
        <w:rPr>
          <w:rFonts w:ascii="Times New Roman"/>
          <w:b w:val="false"/>
          <w:i w:val="false"/>
          <w:color w:val="000000"/>
          <w:sz w:val="28"/>
        </w:rPr>
        <w:t xml:space="preserve">
      6) если бортовые стенки надстроек судов, швартующихся в море, имеют наклон к диаметральной плоскости не менее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или отстоят от борта не менее чем на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своей высоты, то их дополнительное усиление согласно пункту 767 настоящих Правил, не требуется.</w:t>
      </w:r>
    </w:p>
    <w:bookmarkEnd w:id="3060"/>
    <w:bookmarkStart w:name="z3066" w:id="3061"/>
    <w:p>
      <w:pPr>
        <w:spacing w:after="0"/>
        <w:ind w:left="0"/>
        <w:jc w:val="both"/>
      </w:pPr>
      <w:r>
        <w:rPr>
          <w:rFonts w:ascii="Times New Roman"/>
          <w:b w:val="false"/>
          <w:i w:val="false"/>
          <w:color w:val="000000"/>
          <w:sz w:val="28"/>
        </w:rPr>
        <w:t>
      Если наклон бортовых стенок надстроек или их отстояние от борта менее указанного, усиления их шпангоутов и наружной обшивки определяются линейной интерполяцией между требованиями пунктов 769 и 314, 381 настоящих Правил.</w:t>
      </w:r>
    </w:p>
    <w:bookmarkEnd w:id="3061"/>
    <w:bookmarkStart w:name="z3067" w:id="3062"/>
    <w:p>
      <w:pPr>
        <w:spacing w:after="0"/>
        <w:ind w:left="0"/>
        <w:jc w:val="both"/>
      </w:pPr>
      <w:r>
        <w:rPr>
          <w:rFonts w:ascii="Times New Roman"/>
          <w:b w:val="false"/>
          <w:i w:val="false"/>
          <w:color w:val="000000"/>
          <w:sz w:val="28"/>
        </w:rPr>
        <w:t xml:space="preserve">
      769. Размеры связей ледовых усилений рыболовных судов ледовой категории Iсе3, предназначенных для систематического промысла в ледовых условиях, определяются согласно параграфу 4 главы 38 настоящих Правил при параметрах ледовой нагрузки, определенных согласно пункту 764 с учетом следующего уточнения. При определении толщины наружной обшивки в промежуточном районе ледовых усилений согласно пункту 815 настоящих Правил, следует принимать среднегодовое уменьшение толщины наружной обшивки вследствие коррозионного износа и истирания равными </w:t>
      </w:r>
      <w:r>
        <w:rPr>
          <w:rFonts w:ascii="Times New Roman"/>
          <w:b w:val="false"/>
          <w:i/>
          <w:color w:val="000000"/>
          <w:sz w:val="28"/>
        </w:rPr>
        <w:t>u</w:t>
      </w:r>
      <w:r>
        <w:rPr>
          <w:rFonts w:ascii="Times New Roman"/>
          <w:b w:val="false"/>
          <w:i w:val="false"/>
          <w:color w:val="000000"/>
          <w:sz w:val="28"/>
        </w:rPr>
        <w:t xml:space="preserve"> = 0,25 мм/год.</w:t>
      </w:r>
    </w:p>
    <w:bookmarkEnd w:id="3062"/>
    <w:bookmarkStart w:name="z3068" w:id="3063"/>
    <w:p>
      <w:pPr>
        <w:spacing w:after="0"/>
        <w:ind w:left="0"/>
        <w:jc w:val="left"/>
      </w:pPr>
      <w:r>
        <w:rPr>
          <w:rFonts w:ascii="Times New Roman"/>
          <w:b/>
          <w:i w:val="false"/>
          <w:color w:val="000000"/>
        </w:rPr>
        <w:t xml:space="preserve"> Параграф 5. Специальные требования</w:t>
      </w:r>
    </w:p>
    <w:bookmarkEnd w:id="3063"/>
    <w:bookmarkStart w:name="z3069" w:id="3064"/>
    <w:p>
      <w:pPr>
        <w:spacing w:after="0"/>
        <w:ind w:left="0"/>
        <w:jc w:val="both"/>
      </w:pPr>
      <w:r>
        <w:rPr>
          <w:rFonts w:ascii="Times New Roman"/>
          <w:b w:val="false"/>
          <w:i w:val="false"/>
          <w:color w:val="000000"/>
          <w:sz w:val="28"/>
        </w:rPr>
        <w:t>
      770. Конструкции слипа соответствует следующему:</w:t>
      </w:r>
    </w:p>
    <w:bookmarkEnd w:id="3064"/>
    <w:bookmarkStart w:name="z3070" w:id="3065"/>
    <w:p>
      <w:pPr>
        <w:spacing w:after="0"/>
        <w:ind w:left="0"/>
        <w:jc w:val="both"/>
      </w:pPr>
      <w:r>
        <w:rPr>
          <w:rFonts w:ascii="Times New Roman"/>
          <w:b w:val="false"/>
          <w:i w:val="false"/>
          <w:color w:val="000000"/>
          <w:sz w:val="28"/>
        </w:rPr>
        <w:t>
      1) обшивка транца защищена от износа наклонными приварными сегментными полосами диаметром не менее 70 мм;</w:t>
      </w:r>
    </w:p>
    <w:bookmarkEnd w:id="3065"/>
    <w:bookmarkStart w:name="z3071" w:id="3066"/>
    <w:p>
      <w:pPr>
        <w:spacing w:after="0"/>
        <w:ind w:left="0"/>
        <w:jc w:val="both"/>
      </w:pPr>
      <w:r>
        <w:rPr>
          <w:rFonts w:ascii="Times New Roman"/>
          <w:b w:val="false"/>
          <w:i w:val="false"/>
          <w:color w:val="000000"/>
          <w:sz w:val="28"/>
        </w:rPr>
        <w:t>
      2) по линии сопряжения скругления с плоской частью стенки, но не далее 200 мм от транца, установлены приварные сегментные полосы диаметром не менее 70 мм;</w:t>
      </w:r>
    </w:p>
    <w:bookmarkEnd w:id="3066"/>
    <w:bookmarkStart w:name="z3072" w:id="3067"/>
    <w:p>
      <w:pPr>
        <w:spacing w:after="0"/>
        <w:ind w:left="0"/>
        <w:jc w:val="both"/>
      </w:pPr>
      <w:r>
        <w:rPr>
          <w:rFonts w:ascii="Times New Roman"/>
          <w:b w:val="false"/>
          <w:i w:val="false"/>
          <w:color w:val="000000"/>
          <w:sz w:val="28"/>
        </w:rPr>
        <w:t>
      3) на судах, ведущих пелагический лов, стенки слипа подкреплены продольными приварными сегментными полосами диаметром не менее 70 мм, расстояние между осями которых не превышает 200 мм. Кромка верхней сегментной полосы располагается на расстоянии не менее 650 мм от настила палубы слипа;</w:t>
      </w:r>
    </w:p>
    <w:bookmarkEnd w:id="3067"/>
    <w:bookmarkStart w:name="z3073" w:id="3068"/>
    <w:p>
      <w:pPr>
        <w:spacing w:after="0"/>
        <w:ind w:left="0"/>
        <w:jc w:val="both"/>
      </w:pPr>
      <w:r>
        <w:rPr>
          <w:rFonts w:ascii="Times New Roman"/>
          <w:b w:val="false"/>
          <w:i w:val="false"/>
          <w:color w:val="000000"/>
          <w:sz w:val="28"/>
        </w:rPr>
        <w:t>
      4) рекомендуется устанавливать устройства, исключающие истирание настила палубы слипа тросами при подъеме улова. При тяговом усилии лебедки на каждом тросе более 30 кН установка таких устройств обязательна.</w:t>
      </w:r>
    </w:p>
    <w:bookmarkEnd w:id="3068"/>
    <w:bookmarkStart w:name="z3074" w:id="3069"/>
    <w:p>
      <w:pPr>
        <w:spacing w:after="0"/>
        <w:ind w:left="0"/>
        <w:jc w:val="both"/>
      </w:pPr>
      <w:r>
        <w:rPr>
          <w:rFonts w:ascii="Times New Roman"/>
          <w:b w:val="false"/>
          <w:i w:val="false"/>
          <w:color w:val="000000"/>
          <w:sz w:val="28"/>
        </w:rPr>
        <w:t>
      Вместо устройств, исключающих истирание настила, допускается установка дублирующих листов в районе усиления верхнего и нижнего скругления слипа по всей его ширине, а также дублирующих полос шириной не менее 400 мм у стенок слипа на остальной длине.</w:t>
      </w:r>
    </w:p>
    <w:bookmarkEnd w:id="3069"/>
    <w:bookmarkStart w:name="z3075" w:id="3070"/>
    <w:p>
      <w:pPr>
        <w:spacing w:after="0"/>
        <w:ind w:left="0"/>
        <w:jc w:val="both"/>
      </w:pPr>
      <w:r>
        <w:rPr>
          <w:rFonts w:ascii="Times New Roman"/>
          <w:b w:val="false"/>
          <w:i w:val="false"/>
          <w:color w:val="000000"/>
          <w:sz w:val="28"/>
        </w:rPr>
        <w:t>
      771. Фальшборт, ширстрек и бортовая обшивка в районе установки каждой траловой дуги согласно подпункту 2) пункта 756 настоящих Правил, выше уровня балластной ватерлинии защищают наклонными приварными сегментными полосами.</w:t>
      </w:r>
    </w:p>
    <w:bookmarkEnd w:id="3070"/>
    <w:bookmarkStart w:name="z3076" w:id="3071"/>
    <w:p>
      <w:pPr>
        <w:spacing w:after="0"/>
        <w:ind w:left="0"/>
        <w:jc w:val="both"/>
      </w:pPr>
      <w:r>
        <w:rPr>
          <w:rFonts w:ascii="Times New Roman"/>
          <w:b w:val="false"/>
          <w:i w:val="false"/>
          <w:color w:val="000000"/>
          <w:sz w:val="28"/>
        </w:rPr>
        <w:t>
      772. В производственных помещениях, где размещаются механизмы для обработки продуктов промысла, Регистр судоходства требует усиление бортов в случае, если высота твиндека превышает 3,5 м.</w:t>
      </w:r>
    </w:p>
    <w:bookmarkEnd w:id="3071"/>
    <w:bookmarkStart w:name="z3077" w:id="3072"/>
    <w:p>
      <w:pPr>
        <w:spacing w:after="0"/>
        <w:ind w:left="0"/>
        <w:jc w:val="both"/>
      </w:pPr>
      <w:r>
        <w:rPr>
          <w:rFonts w:ascii="Times New Roman"/>
          <w:b w:val="false"/>
          <w:i w:val="false"/>
          <w:color w:val="000000"/>
          <w:sz w:val="28"/>
        </w:rPr>
        <w:t xml:space="preserve">
      773. При определении требуемых размеров ахтерштевня судов длиной </w:t>
      </w:r>
      <w:r>
        <w:rPr>
          <w:rFonts w:ascii="Times New Roman"/>
          <w:b w:val="false"/>
          <w:i/>
          <w:color w:val="000000"/>
          <w:sz w:val="28"/>
        </w:rPr>
        <w:t>L</w:t>
      </w:r>
      <w:r>
        <w:rPr>
          <w:rFonts w:ascii="Times New Roman"/>
          <w:b w:val="false"/>
          <w:i w:val="false"/>
          <w:color w:val="000000"/>
          <w:sz w:val="28"/>
        </w:rPr>
        <w:t xml:space="preserve"> &lt; 60 м за расчетную длину и ширину старнпоста сплошного прямоугольного сечения принимаются размеры, увеличенные на 10 % по сравнению с определенными согласно пункту 520 настоящих Правил.</w:t>
      </w:r>
    </w:p>
    <w:bookmarkEnd w:id="3072"/>
    <w:bookmarkStart w:name="z3078" w:id="3073"/>
    <w:p>
      <w:pPr>
        <w:spacing w:after="0"/>
        <w:ind w:left="0"/>
        <w:jc w:val="left"/>
      </w:pPr>
      <w:r>
        <w:rPr>
          <w:rFonts w:ascii="Times New Roman"/>
          <w:b/>
          <w:i w:val="false"/>
          <w:color w:val="000000"/>
        </w:rPr>
        <w:t xml:space="preserve"> Глава 36. Суда обеспечения</w:t>
      </w:r>
    </w:p>
    <w:bookmarkEnd w:id="3073"/>
    <w:p>
      <w:pPr>
        <w:spacing w:after="0"/>
        <w:ind w:left="0"/>
        <w:jc w:val="both"/>
      </w:pPr>
      <w:r>
        <w:rPr>
          <w:rFonts w:ascii="Times New Roman"/>
          <w:b w:val="false"/>
          <w:i w:val="false"/>
          <w:color w:val="ff0000"/>
          <w:sz w:val="28"/>
        </w:rPr>
        <w:t xml:space="preserve">
      Сноска. Заголовок главы 36 -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79" w:id="3074"/>
    <w:p>
      <w:pPr>
        <w:spacing w:after="0"/>
        <w:ind w:left="0"/>
        <w:jc w:val="left"/>
      </w:pPr>
      <w:r>
        <w:rPr>
          <w:rFonts w:ascii="Times New Roman"/>
          <w:b/>
          <w:i w:val="false"/>
          <w:color w:val="000000"/>
        </w:rPr>
        <w:t xml:space="preserve"> Параграф 1. Общие положения, конструкция</w:t>
      </w:r>
    </w:p>
    <w:bookmarkEnd w:id="3074"/>
    <w:bookmarkStart w:name="z3080" w:id="3075"/>
    <w:p>
      <w:pPr>
        <w:spacing w:after="0"/>
        <w:ind w:left="0"/>
        <w:jc w:val="both"/>
      </w:pPr>
      <w:r>
        <w:rPr>
          <w:rFonts w:ascii="Times New Roman"/>
          <w:b w:val="false"/>
          <w:i w:val="false"/>
          <w:color w:val="000000"/>
          <w:sz w:val="28"/>
        </w:rPr>
        <w:t>
      774. Требования настоящей главы распространяются на суда обеспечения. На конструктивные элементы, не оговоренные в настоящей главе, распространяются требования подразделов 1 и 2 раздела 4 настоящих Правил.</w:t>
      </w:r>
    </w:p>
    <w:bookmarkEnd w:id="3075"/>
    <w:bookmarkStart w:name="z3081" w:id="3076"/>
    <w:p>
      <w:pPr>
        <w:spacing w:after="0"/>
        <w:ind w:left="0"/>
        <w:jc w:val="both"/>
      </w:pPr>
      <w:r>
        <w:rPr>
          <w:rFonts w:ascii="Times New Roman"/>
          <w:b w:val="false"/>
          <w:i w:val="false"/>
          <w:color w:val="000000"/>
          <w:sz w:val="28"/>
        </w:rPr>
        <w:t>
      775. В конструкции судов обеспечения предусмотрены продольные привальные брусья. В носовой оконечности между продольными привальными брусьями дополнительно установлены наклонные привальные брусья.</w:t>
      </w:r>
    </w:p>
    <w:bookmarkEnd w:id="3076"/>
    <w:bookmarkStart w:name="z3082" w:id="3077"/>
    <w:p>
      <w:pPr>
        <w:spacing w:after="0"/>
        <w:ind w:left="0"/>
        <w:jc w:val="both"/>
      </w:pPr>
      <w:r>
        <w:rPr>
          <w:rFonts w:ascii="Times New Roman"/>
          <w:b w:val="false"/>
          <w:i w:val="false"/>
          <w:color w:val="000000"/>
          <w:sz w:val="28"/>
        </w:rPr>
        <w:t>
      776. Внутренние фальшборты (комингсы) и аналогичные конструкции, ограждающие палубный груз, надлежащим образом соединены с балками набора палубы. Размеры указанных конструкций подлежат согласованию с Регистром судоходства;</w:t>
      </w:r>
    </w:p>
    <w:bookmarkEnd w:id="3077"/>
    <w:bookmarkStart w:name="z3083" w:id="3078"/>
    <w:p>
      <w:pPr>
        <w:spacing w:after="0"/>
        <w:ind w:left="0"/>
        <w:jc w:val="both"/>
      </w:pPr>
      <w:r>
        <w:rPr>
          <w:rFonts w:ascii="Times New Roman"/>
          <w:b w:val="false"/>
          <w:i w:val="false"/>
          <w:color w:val="000000"/>
          <w:sz w:val="28"/>
        </w:rPr>
        <w:t>
      777. В районах кормовых роллеров, а также в других местах, подверженных высоким нагрузкам, предусмотрены подкрепления наружной обшивки;</w:t>
      </w:r>
    </w:p>
    <w:bookmarkEnd w:id="3078"/>
    <w:bookmarkStart w:name="z3084" w:id="3079"/>
    <w:p>
      <w:pPr>
        <w:spacing w:after="0"/>
        <w:ind w:left="0"/>
        <w:jc w:val="both"/>
      </w:pPr>
      <w:r>
        <w:rPr>
          <w:rFonts w:ascii="Times New Roman"/>
          <w:b w:val="false"/>
          <w:i w:val="false"/>
          <w:color w:val="000000"/>
          <w:sz w:val="28"/>
        </w:rPr>
        <w:t>
      7778. В местах приложения сосредоточенных нагрузок (например, от якорей ПБУ) предусмотрены дополнительные подкрепления палуб.</w:t>
      </w:r>
    </w:p>
    <w:bookmarkEnd w:id="3079"/>
    <w:bookmarkStart w:name="z3085" w:id="3080"/>
    <w:p>
      <w:pPr>
        <w:spacing w:after="0"/>
        <w:ind w:left="0"/>
        <w:jc w:val="both"/>
      </w:pPr>
      <w:r>
        <w:rPr>
          <w:rFonts w:ascii="Times New Roman"/>
          <w:b w:val="false"/>
          <w:i w:val="false"/>
          <w:color w:val="000000"/>
          <w:sz w:val="28"/>
        </w:rPr>
        <w:t xml:space="preserve">
      779. Бортовые стенки надстроек и фальшборт имеют наклон к диаметральной плоскости не менее 1/10 или отстоять от борта не менее чем на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своей высоты.</w:t>
      </w:r>
    </w:p>
    <w:bookmarkEnd w:id="3080"/>
    <w:bookmarkStart w:name="z3086" w:id="3081"/>
    <w:p>
      <w:pPr>
        <w:spacing w:after="0"/>
        <w:ind w:left="0"/>
        <w:jc w:val="both"/>
      </w:pPr>
      <w:r>
        <w:rPr>
          <w:rFonts w:ascii="Times New Roman"/>
          <w:b w:val="false"/>
          <w:i w:val="false"/>
          <w:color w:val="000000"/>
          <w:sz w:val="28"/>
        </w:rPr>
        <w:t>
      780. Нижние концы стоек носовых переборок рубок первого яруса соединяются с подпалубным набором кницами. Нижние концы остальных стоек привариваются к палубам. Соединение стоек с бимсами выполняется кницами.</w:t>
      </w:r>
    </w:p>
    <w:bookmarkEnd w:id="3081"/>
    <w:bookmarkStart w:name="z3087" w:id="3082"/>
    <w:p>
      <w:pPr>
        <w:spacing w:after="0"/>
        <w:ind w:left="0"/>
        <w:jc w:val="both"/>
      </w:pPr>
      <w:r>
        <w:rPr>
          <w:rFonts w:ascii="Times New Roman"/>
          <w:b w:val="false"/>
          <w:i w:val="false"/>
          <w:color w:val="000000"/>
          <w:sz w:val="28"/>
        </w:rPr>
        <w:t>
      781. Стойки фальшборта, приваренного к ширстреку, имеют конструкцию, предотвращающую повреждение под ними настила палубы при навале;</w:t>
      </w:r>
    </w:p>
    <w:bookmarkEnd w:id="3082"/>
    <w:bookmarkStart w:name="z3088" w:id="3083"/>
    <w:p>
      <w:pPr>
        <w:spacing w:after="0"/>
        <w:ind w:left="0"/>
        <w:jc w:val="both"/>
      </w:pPr>
      <w:r>
        <w:rPr>
          <w:rFonts w:ascii="Times New Roman"/>
          <w:b w:val="false"/>
          <w:i w:val="false"/>
          <w:color w:val="000000"/>
          <w:sz w:val="28"/>
        </w:rPr>
        <w:t>
      782. Требуются дополнительные подкрепления плоского участка днища в корме для восприятия нагрузок от ударного давления.</w:t>
      </w:r>
    </w:p>
    <w:bookmarkEnd w:id="3083"/>
    <w:bookmarkStart w:name="z3089" w:id="3084"/>
    <w:p>
      <w:pPr>
        <w:spacing w:after="0"/>
        <w:ind w:left="0"/>
        <w:jc w:val="left"/>
      </w:pPr>
      <w:r>
        <w:rPr>
          <w:rFonts w:ascii="Times New Roman"/>
          <w:b/>
          <w:i w:val="false"/>
          <w:color w:val="000000"/>
        </w:rPr>
        <w:t xml:space="preserve"> Параграф 2. Расчетные нагрузки,</w:t>
      </w:r>
      <w:r>
        <w:br/>
      </w:r>
      <w:r>
        <w:rPr>
          <w:rFonts w:ascii="Times New Roman"/>
          <w:b/>
          <w:i w:val="false"/>
          <w:color w:val="000000"/>
        </w:rPr>
        <w:t>размеры конструктивных элементов</w:t>
      </w:r>
    </w:p>
    <w:bookmarkEnd w:id="3084"/>
    <w:bookmarkStart w:name="z3090" w:id="3085"/>
    <w:p>
      <w:pPr>
        <w:spacing w:after="0"/>
        <w:ind w:left="0"/>
        <w:jc w:val="both"/>
      </w:pPr>
      <w:r>
        <w:rPr>
          <w:rFonts w:ascii="Times New Roman"/>
          <w:b w:val="false"/>
          <w:i w:val="false"/>
          <w:color w:val="000000"/>
          <w:sz w:val="28"/>
        </w:rPr>
        <w:t>
      783. Расчетные нагрузки на конструкции корпуса принимаются согласно подразделам 1 и 2 раздела 4 настоящих Правил.</w:t>
      </w:r>
    </w:p>
    <w:bookmarkEnd w:id="3085"/>
    <w:bookmarkStart w:name="z3091" w:id="3086"/>
    <w:p>
      <w:pPr>
        <w:spacing w:after="0"/>
        <w:ind w:left="0"/>
        <w:jc w:val="both"/>
      </w:pPr>
      <w:r>
        <w:rPr>
          <w:rFonts w:ascii="Times New Roman"/>
          <w:b w:val="false"/>
          <w:i w:val="false"/>
          <w:color w:val="000000"/>
          <w:sz w:val="28"/>
        </w:rPr>
        <w:t>
      784. Толщина бортовой обшивки на 1 мм больше требуемой параграфом 3 главы 16 настоящих Правил. При этом во всех случаях толщина бортовой обшивки принимается не менее 9,0 мм.</w:t>
      </w:r>
    </w:p>
    <w:bookmarkEnd w:id="3086"/>
    <w:bookmarkStart w:name="z3092" w:id="3087"/>
    <w:p>
      <w:pPr>
        <w:spacing w:after="0"/>
        <w:ind w:left="0"/>
        <w:jc w:val="both"/>
      </w:pPr>
      <w:r>
        <w:rPr>
          <w:rFonts w:ascii="Times New Roman"/>
          <w:b w:val="false"/>
          <w:i w:val="false"/>
          <w:color w:val="000000"/>
          <w:sz w:val="28"/>
        </w:rPr>
        <w:t>
      785. Толщина настила палубы определяется согласно параграфу 3 главы 20 настоящих Правил, однако равна не менее 8,0 мм.</w:t>
      </w:r>
    </w:p>
    <w:bookmarkEnd w:id="3087"/>
    <w:bookmarkStart w:name="z3093" w:id="3088"/>
    <w:p>
      <w:pPr>
        <w:spacing w:after="0"/>
        <w:ind w:left="0"/>
        <w:jc w:val="both"/>
      </w:pPr>
      <w:r>
        <w:rPr>
          <w:rFonts w:ascii="Times New Roman"/>
          <w:b w:val="false"/>
          <w:i w:val="false"/>
          <w:color w:val="000000"/>
          <w:sz w:val="28"/>
        </w:rPr>
        <w:t>
      786. Размеры балок набора палубы определяются согласно параграфу 3 главы 20 настоящих Правил при расчетной нагрузке, соответствующей спецификационной, но не менее 35 МПа.</w:t>
      </w:r>
    </w:p>
    <w:bookmarkEnd w:id="3088"/>
    <w:bookmarkStart w:name="z3094" w:id="3089"/>
    <w:p>
      <w:pPr>
        <w:spacing w:after="0"/>
        <w:ind w:left="0"/>
        <w:jc w:val="both"/>
      </w:pPr>
      <w:r>
        <w:rPr>
          <w:rFonts w:ascii="Times New Roman"/>
          <w:b w:val="false"/>
          <w:i w:val="false"/>
          <w:color w:val="000000"/>
          <w:sz w:val="28"/>
        </w:rPr>
        <w:t>
      787. Размеры рамных балок и поддерживающих их пиллерсов определяются исходя из веса палубного груза, а также усилий от буксирных лебедок, опор отдельных грузовых площадок сосредоточенных нагрузок. При этом учитываются вертикальная и горизонтальная составляющие сил инерции при качке. В первом приближении допускается применять ускорения, определенные согласно параграфу 3 главы 10 настоящих Правил.</w:t>
      </w:r>
    </w:p>
    <w:bookmarkEnd w:id="3089"/>
    <w:bookmarkStart w:name="z3095" w:id="3090"/>
    <w:p>
      <w:pPr>
        <w:spacing w:after="0"/>
        <w:ind w:left="0"/>
        <w:jc w:val="both"/>
      </w:pPr>
      <w:r>
        <w:rPr>
          <w:rFonts w:ascii="Times New Roman"/>
          <w:b w:val="false"/>
          <w:i w:val="false"/>
          <w:color w:val="000000"/>
          <w:sz w:val="28"/>
        </w:rPr>
        <w:t xml:space="preserve">
      788. Момент сопротивления трюмных, твиндечных шпангоутов и шпангоутов бака не менее определенного согласно пункту 768 настоящих Правил при </w:t>
      </w:r>
      <w:r>
        <w:rPr>
          <w:rFonts w:ascii="Times New Roman"/>
          <w:b w:val="false"/>
          <w:i/>
          <w:color w:val="000000"/>
          <w:sz w:val="28"/>
        </w:rPr>
        <w:t>р</w:t>
      </w:r>
      <w:r>
        <w:rPr>
          <w:rFonts w:ascii="Times New Roman"/>
          <w:b w:val="false"/>
          <w:i w:val="false"/>
          <w:color w:val="000000"/>
          <w:sz w:val="28"/>
        </w:rPr>
        <w:t xml:space="preserve">, определяемом по формуле (263) настоящих Правил, </w:t>
      </w:r>
    </w:p>
    <w:bookmarkEnd w:id="3090"/>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1,16,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1,0.</w:t>
      </w:r>
      <w:r>
        <w:br/>
      </w:r>
      <w:r>
        <w:rPr>
          <w:rFonts w:ascii="Times New Roman"/>
          <w:b w:val="false"/>
          <w:i w:val="false"/>
          <w:color w:val="000000"/>
          <w:sz w:val="28"/>
        </w:rPr>
        <w:t>
</w:t>
      </w:r>
    </w:p>
    <w:bookmarkStart w:name="z3096" w:id="3091"/>
    <w:p>
      <w:pPr>
        <w:spacing w:after="0"/>
        <w:ind w:left="0"/>
        <w:jc w:val="both"/>
      </w:pPr>
      <w:r>
        <w:rPr>
          <w:rFonts w:ascii="Times New Roman"/>
          <w:b w:val="false"/>
          <w:i w:val="false"/>
          <w:color w:val="000000"/>
          <w:sz w:val="28"/>
        </w:rPr>
        <w:t xml:space="preserve">
      789. Момент сопротивления стоек носовых, кормовых и боковых переборок рубок на палубе бака не менее требуемого подпунктом 2) пункта 550 настоящих Правил. При этом условный напор </w:t>
      </w:r>
      <w:r>
        <w:rPr>
          <w:rFonts w:ascii="Times New Roman"/>
          <w:b w:val="false"/>
          <w:i/>
          <w:color w:val="000000"/>
          <w:sz w:val="28"/>
        </w:rPr>
        <w:t>р</w:t>
      </w:r>
      <w:r>
        <w:rPr>
          <w:rFonts w:ascii="Times New Roman"/>
          <w:b w:val="false"/>
          <w:i w:val="false"/>
          <w:color w:val="000000"/>
          <w:sz w:val="28"/>
        </w:rPr>
        <w:t>, кПа, не принимается менее указанного в приложении 109 настоящих Правил;</w:t>
      </w:r>
    </w:p>
    <w:bookmarkEnd w:id="3091"/>
    <w:bookmarkStart w:name="z3097" w:id="3092"/>
    <w:p>
      <w:pPr>
        <w:spacing w:after="0"/>
        <w:ind w:left="0"/>
        <w:jc w:val="both"/>
      </w:pPr>
      <w:r>
        <w:rPr>
          <w:rFonts w:ascii="Times New Roman"/>
          <w:b w:val="false"/>
          <w:i w:val="false"/>
          <w:color w:val="000000"/>
          <w:sz w:val="28"/>
        </w:rPr>
        <w:t>
      790. Толщина листов носовых, кормовых и боковых переборок принимается не менее 6,5 мм для носовой переборки первого яруса и 6,0 мм — для остальных переборок. Указанная толщина определена для расстояния между стойками 0,6 м. При расстояниях, больших 0,6 м, толщина увеличивается пропорционально увеличению расстояния.</w:t>
      </w:r>
    </w:p>
    <w:bookmarkEnd w:id="3092"/>
    <w:bookmarkStart w:name="z3098" w:id="3093"/>
    <w:p>
      <w:pPr>
        <w:spacing w:after="0"/>
        <w:ind w:left="0"/>
        <w:jc w:val="both"/>
      </w:pPr>
      <w:r>
        <w:rPr>
          <w:rFonts w:ascii="Times New Roman"/>
          <w:b w:val="false"/>
          <w:i w:val="false"/>
          <w:color w:val="000000"/>
          <w:sz w:val="28"/>
        </w:rPr>
        <w:t>
      791. Толщина листов фальшборта не менее 7 мм, а ширина нижнего конца стойки, измеренная по сварному шву, — не менее 360 мм. Расстояние между стойками не превышает двухшпаций или 1,3 м, в зависимости от того, что меньше.</w:t>
      </w:r>
    </w:p>
    <w:bookmarkEnd w:id="3093"/>
    <w:bookmarkStart w:name="z3099" w:id="3094"/>
    <w:p>
      <w:pPr>
        <w:spacing w:after="0"/>
        <w:ind w:left="0"/>
        <w:jc w:val="left"/>
      </w:pPr>
      <w:r>
        <w:rPr>
          <w:rFonts w:ascii="Times New Roman"/>
          <w:b/>
          <w:i w:val="false"/>
          <w:color w:val="000000"/>
        </w:rPr>
        <w:t xml:space="preserve"> Параграф 3. Специальные требования</w:t>
      </w:r>
    </w:p>
    <w:bookmarkEnd w:id="3094"/>
    <w:bookmarkStart w:name="z3100" w:id="3095"/>
    <w:p>
      <w:pPr>
        <w:spacing w:after="0"/>
        <w:ind w:left="0"/>
        <w:jc w:val="both"/>
      </w:pPr>
      <w:r>
        <w:rPr>
          <w:rFonts w:ascii="Times New Roman"/>
          <w:b w:val="false"/>
          <w:i w:val="false"/>
          <w:color w:val="000000"/>
          <w:sz w:val="28"/>
        </w:rPr>
        <w:t>
      792. При устройстве двойного борта конструкции и размеры элементов набора внутреннего борта соответствуют требованиям главы 19 настоящих Правил. Если усилия, действующие на шпангоуты наружного борта, непосредственно передаются на горизонтальные балки или вертикальные стойки внутреннего борта, размеры указанных элементов являются предметом специального рассмотрения Регистром судоходства.</w:t>
      </w:r>
    </w:p>
    <w:bookmarkEnd w:id="3095"/>
    <w:bookmarkStart w:name="z3101" w:id="3096"/>
    <w:p>
      <w:pPr>
        <w:spacing w:after="0"/>
        <w:ind w:left="0"/>
        <w:jc w:val="both"/>
      </w:pPr>
      <w:r>
        <w:rPr>
          <w:rFonts w:ascii="Times New Roman"/>
          <w:b w:val="false"/>
          <w:i w:val="false"/>
          <w:color w:val="000000"/>
          <w:sz w:val="28"/>
        </w:rPr>
        <w:t>
      793. Применение гребенчатого набора и односторонних швов в соединениях набора с бортовой обшивкой не допускается.</w:t>
      </w:r>
    </w:p>
    <w:bookmarkEnd w:id="3096"/>
    <w:bookmarkStart w:name="z3102" w:id="3097"/>
    <w:p>
      <w:pPr>
        <w:spacing w:after="0"/>
        <w:ind w:left="0"/>
        <w:jc w:val="left"/>
      </w:pPr>
      <w:r>
        <w:rPr>
          <w:rFonts w:ascii="Times New Roman"/>
          <w:b/>
          <w:i w:val="false"/>
          <w:color w:val="000000"/>
        </w:rPr>
        <w:t xml:space="preserve"> Глава 37. Буксиры</w:t>
      </w:r>
    </w:p>
    <w:bookmarkEnd w:id="3097"/>
    <w:p>
      <w:pPr>
        <w:spacing w:after="0"/>
        <w:ind w:left="0"/>
        <w:jc w:val="both"/>
      </w:pPr>
      <w:r>
        <w:rPr>
          <w:rFonts w:ascii="Times New Roman"/>
          <w:b w:val="false"/>
          <w:i w:val="false"/>
          <w:color w:val="ff0000"/>
          <w:sz w:val="28"/>
        </w:rPr>
        <w:t xml:space="preserve">
      Сноска. Заголовок главы 37 -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03" w:id="3098"/>
    <w:p>
      <w:pPr>
        <w:spacing w:after="0"/>
        <w:ind w:left="0"/>
        <w:jc w:val="left"/>
      </w:pPr>
      <w:r>
        <w:rPr>
          <w:rFonts w:ascii="Times New Roman"/>
          <w:b/>
          <w:i w:val="false"/>
          <w:color w:val="000000"/>
        </w:rPr>
        <w:t xml:space="preserve"> Параграф 1. Общие положения и конструкция</w:t>
      </w:r>
    </w:p>
    <w:bookmarkEnd w:id="3098"/>
    <w:bookmarkStart w:name="z3104" w:id="3099"/>
    <w:p>
      <w:pPr>
        <w:spacing w:after="0"/>
        <w:ind w:left="0"/>
        <w:jc w:val="both"/>
      </w:pPr>
      <w:r>
        <w:rPr>
          <w:rFonts w:ascii="Times New Roman"/>
          <w:b w:val="false"/>
          <w:i w:val="false"/>
          <w:color w:val="000000"/>
          <w:sz w:val="28"/>
        </w:rPr>
        <w:t>
      794. Требования настоящей главы распространяются на буксиры всех назначений и районов плавания.</w:t>
      </w:r>
    </w:p>
    <w:bookmarkEnd w:id="3099"/>
    <w:bookmarkStart w:name="z3105" w:id="3100"/>
    <w:p>
      <w:pPr>
        <w:spacing w:after="0"/>
        <w:ind w:left="0"/>
        <w:jc w:val="both"/>
      </w:pPr>
      <w:r>
        <w:rPr>
          <w:rFonts w:ascii="Times New Roman"/>
          <w:b w:val="false"/>
          <w:i w:val="false"/>
          <w:color w:val="000000"/>
          <w:sz w:val="28"/>
        </w:rPr>
        <w:t>
      795. На конструктивные элементы, не оговоренные в настоящей главе, распространяются требования подразделов 1 и 2 раздела 4 настоящих Правил.</w:t>
      </w:r>
    </w:p>
    <w:bookmarkEnd w:id="3100"/>
    <w:bookmarkStart w:name="z3106" w:id="3101"/>
    <w:p>
      <w:pPr>
        <w:spacing w:after="0"/>
        <w:ind w:left="0"/>
        <w:jc w:val="both"/>
      </w:pPr>
      <w:r>
        <w:rPr>
          <w:rFonts w:ascii="Times New Roman"/>
          <w:b w:val="false"/>
          <w:i w:val="false"/>
          <w:color w:val="000000"/>
          <w:sz w:val="28"/>
        </w:rPr>
        <w:t>
      796. В настоящей главе приняты следующие обозначения:</w:t>
      </w:r>
    </w:p>
    <w:bookmarkEnd w:id="310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ширина поперечного сечения штевня,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длина поперечного сечения штевня, мм.</w:t>
      </w:r>
    </w:p>
    <w:bookmarkStart w:name="z3107" w:id="3102"/>
    <w:p>
      <w:pPr>
        <w:spacing w:after="0"/>
        <w:ind w:left="0"/>
        <w:jc w:val="both"/>
      </w:pPr>
      <w:r>
        <w:rPr>
          <w:rFonts w:ascii="Times New Roman"/>
          <w:b w:val="false"/>
          <w:i w:val="false"/>
          <w:color w:val="000000"/>
          <w:sz w:val="28"/>
        </w:rPr>
        <w:t>
      797. Сплошные флоры должны быть установлены на каждом шпангоуте.</w:t>
      </w:r>
    </w:p>
    <w:bookmarkEnd w:id="3102"/>
    <w:bookmarkStart w:name="z3108" w:id="3103"/>
    <w:p>
      <w:pPr>
        <w:spacing w:after="0"/>
        <w:ind w:left="0"/>
        <w:jc w:val="both"/>
      </w:pPr>
      <w:r>
        <w:rPr>
          <w:rFonts w:ascii="Times New Roman"/>
          <w:b w:val="false"/>
          <w:i w:val="false"/>
          <w:color w:val="000000"/>
          <w:sz w:val="28"/>
        </w:rPr>
        <w:t>
      В местах, где второе дно отсутствует, флоры имеют симметричный свободный поясок.</w:t>
      </w:r>
    </w:p>
    <w:bookmarkEnd w:id="3103"/>
    <w:bookmarkStart w:name="z3109" w:id="3104"/>
    <w:p>
      <w:pPr>
        <w:spacing w:after="0"/>
        <w:ind w:left="0"/>
        <w:jc w:val="both"/>
      </w:pPr>
      <w:r>
        <w:rPr>
          <w:rFonts w:ascii="Times New Roman"/>
          <w:b w:val="false"/>
          <w:i w:val="false"/>
          <w:color w:val="000000"/>
          <w:sz w:val="28"/>
        </w:rPr>
        <w:t>
      798. При пролете основных шпангоутов, превышающем 3,0 м, устанавливают разносящие бортовые стрингеры по длине судна, за исключением машинного отделения.</w:t>
      </w:r>
    </w:p>
    <w:bookmarkEnd w:id="3104"/>
    <w:bookmarkStart w:name="z3110" w:id="3105"/>
    <w:p>
      <w:pPr>
        <w:spacing w:after="0"/>
        <w:ind w:left="0"/>
        <w:jc w:val="both"/>
      </w:pPr>
      <w:r>
        <w:rPr>
          <w:rFonts w:ascii="Times New Roman"/>
          <w:b w:val="false"/>
          <w:i w:val="false"/>
          <w:color w:val="000000"/>
          <w:sz w:val="28"/>
        </w:rPr>
        <w:t>
      799. В машинном отделении рамные шпангоуты устанавливаются от второго дна (поясков флоров) до верхней палубы на расстоянии не более 4-х шпаций друг от друга. Рамные шпангоуты располагаются у концов главного двигателя.</w:t>
      </w:r>
    </w:p>
    <w:bookmarkEnd w:id="3105"/>
    <w:bookmarkStart w:name="z3111" w:id="3106"/>
    <w:p>
      <w:pPr>
        <w:spacing w:after="0"/>
        <w:ind w:left="0"/>
        <w:jc w:val="both"/>
      </w:pPr>
      <w:r>
        <w:rPr>
          <w:rFonts w:ascii="Times New Roman"/>
          <w:b w:val="false"/>
          <w:i w:val="false"/>
          <w:color w:val="000000"/>
          <w:sz w:val="28"/>
        </w:rPr>
        <w:t>
      800. На уровне верхней палубы и палубы удлиненного бака предусматривается привальный брус.</w:t>
      </w:r>
    </w:p>
    <w:bookmarkEnd w:id="3106"/>
    <w:bookmarkStart w:name="z3112" w:id="3107"/>
    <w:p>
      <w:pPr>
        <w:spacing w:after="0"/>
        <w:ind w:left="0"/>
        <w:jc w:val="both"/>
      </w:pPr>
      <w:r>
        <w:rPr>
          <w:rFonts w:ascii="Times New Roman"/>
          <w:b w:val="false"/>
          <w:i w:val="false"/>
          <w:color w:val="000000"/>
          <w:sz w:val="28"/>
        </w:rPr>
        <w:t>
      801. В местах приложения сосредоточенных нагрузок (например, от буксирных лебедок) предусматривают дополнительные подкрепления.</w:t>
      </w:r>
    </w:p>
    <w:bookmarkEnd w:id="3107"/>
    <w:bookmarkStart w:name="z3113" w:id="3108"/>
    <w:p>
      <w:pPr>
        <w:spacing w:after="0"/>
        <w:ind w:left="0"/>
        <w:jc w:val="both"/>
      </w:pPr>
      <w:r>
        <w:rPr>
          <w:rFonts w:ascii="Times New Roman"/>
          <w:b w:val="false"/>
          <w:i w:val="false"/>
          <w:color w:val="000000"/>
          <w:sz w:val="28"/>
        </w:rPr>
        <w:t>
      802. Форштевень портовых буксиров выше летней грузовой ватерлинии имеет скругленную форму.</w:t>
      </w:r>
    </w:p>
    <w:bookmarkEnd w:id="3108"/>
    <w:bookmarkStart w:name="z3114" w:id="3109"/>
    <w:p>
      <w:pPr>
        <w:spacing w:after="0"/>
        <w:ind w:left="0"/>
        <w:jc w:val="left"/>
      </w:pPr>
      <w:r>
        <w:rPr>
          <w:rFonts w:ascii="Times New Roman"/>
          <w:b/>
          <w:i w:val="false"/>
          <w:color w:val="000000"/>
        </w:rPr>
        <w:t xml:space="preserve"> Параграф 2. Расчетные нагрузки, размеры конструктивных</w:t>
      </w:r>
      <w:r>
        <w:br/>
      </w:r>
      <w:r>
        <w:rPr>
          <w:rFonts w:ascii="Times New Roman"/>
          <w:b/>
          <w:i w:val="false"/>
          <w:color w:val="000000"/>
        </w:rPr>
        <w:t>элементов и специальные требования</w:t>
      </w:r>
    </w:p>
    <w:bookmarkEnd w:id="3109"/>
    <w:bookmarkStart w:name="z3115" w:id="3110"/>
    <w:p>
      <w:pPr>
        <w:spacing w:after="0"/>
        <w:ind w:left="0"/>
        <w:jc w:val="both"/>
      </w:pPr>
      <w:r>
        <w:rPr>
          <w:rFonts w:ascii="Times New Roman"/>
          <w:b w:val="false"/>
          <w:i w:val="false"/>
          <w:color w:val="000000"/>
          <w:sz w:val="28"/>
        </w:rPr>
        <w:t>
      803. Расчетные нагрузки на конструкции корпуса буксира принимаются в соответствии с требованиями подразделов 1 и 2 раздела 4 настоящих Правил.</w:t>
      </w:r>
    </w:p>
    <w:bookmarkEnd w:id="3110"/>
    <w:bookmarkStart w:name="z3116" w:id="3111"/>
    <w:p>
      <w:pPr>
        <w:spacing w:after="0"/>
        <w:ind w:left="0"/>
        <w:jc w:val="both"/>
      </w:pPr>
      <w:r>
        <w:rPr>
          <w:rFonts w:ascii="Times New Roman"/>
          <w:b w:val="false"/>
          <w:i w:val="false"/>
          <w:color w:val="000000"/>
          <w:sz w:val="28"/>
        </w:rPr>
        <w:t>
      804. Минимальная толщина листов наружной обшивки и настила верхней палубы, а также обшивки водонепроницаемых переборок не менее 5 мм.</w:t>
      </w:r>
    </w:p>
    <w:bookmarkEnd w:id="3111"/>
    <w:bookmarkStart w:name="z3117" w:id="3112"/>
    <w:p>
      <w:pPr>
        <w:spacing w:after="0"/>
        <w:ind w:left="0"/>
        <w:jc w:val="both"/>
      </w:pPr>
      <w:r>
        <w:rPr>
          <w:rFonts w:ascii="Times New Roman"/>
          <w:b w:val="false"/>
          <w:i w:val="false"/>
          <w:color w:val="000000"/>
          <w:sz w:val="28"/>
        </w:rPr>
        <w:t>
      805. Листы наружной обшивки, примыкающие к форштевню, имеют толщину не менее, указанной в пункте 319 настоящих Правил.</w:t>
      </w:r>
    </w:p>
    <w:bookmarkEnd w:id="3112"/>
    <w:bookmarkStart w:name="z3118" w:id="3113"/>
    <w:p>
      <w:pPr>
        <w:spacing w:after="0"/>
        <w:ind w:left="0"/>
        <w:jc w:val="both"/>
      </w:pPr>
      <w:r>
        <w:rPr>
          <w:rFonts w:ascii="Times New Roman"/>
          <w:b w:val="false"/>
          <w:i w:val="false"/>
          <w:color w:val="000000"/>
          <w:sz w:val="28"/>
        </w:rPr>
        <w:t>
      При расположении машинного отделения в корме толщина наружной обшивки в районе машинного отделения не менее требуемой для средней части судна.</w:t>
      </w:r>
    </w:p>
    <w:bookmarkEnd w:id="3113"/>
    <w:bookmarkStart w:name="z3119" w:id="3114"/>
    <w:p>
      <w:pPr>
        <w:spacing w:after="0"/>
        <w:ind w:left="0"/>
        <w:jc w:val="both"/>
      </w:pPr>
      <w:r>
        <w:rPr>
          <w:rFonts w:ascii="Times New Roman"/>
          <w:b w:val="false"/>
          <w:i w:val="false"/>
          <w:color w:val="000000"/>
          <w:sz w:val="28"/>
        </w:rPr>
        <w:t>
      806. При определении момента сопротивления рамных шпангоутов согласно пункту 384 настоящих Правил, за расчетный пролет принимается расстояние, измеренное между настилом второго дна (верхней кромкой флора) и верхней палубой у борта.</w:t>
      </w:r>
    </w:p>
    <w:bookmarkEnd w:id="3114"/>
    <w:bookmarkStart w:name="z3120" w:id="3115"/>
    <w:p>
      <w:pPr>
        <w:spacing w:after="0"/>
        <w:ind w:left="0"/>
        <w:jc w:val="both"/>
      </w:pPr>
      <w:r>
        <w:rPr>
          <w:rFonts w:ascii="Times New Roman"/>
          <w:b w:val="false"/>
          <w:i w:val="false"/>
          <w:color w:val="000000"/>
          <w:sz w:val="28"/>
        </w:rPr>
        <w:t>
      807. Размеры разносящих бортовых стрингеров определяются согласно пункту 471 настоящих Правил.</w:t>
      </w:r>
    </w:p>
    <w:bookmarkEnd w:id="3115"/>
    <w:bookmarkStart w:name="z3121" w:id="3116"/>
    <w:p>
      <w:pPr>
        <w:spacing w:after="0"/>
        <w:ind w:left="0"/>
        <w:jc w:val="both"/>
      </w:pPr>
      <w:r>
        <w:rPr>
          <w:rFonts w:ascii="Times New Roman"/>
          <w:b w:val="false"/>
          <w:i w:val="false"/>
          <w:color w:val="000000"/>
          <w:sz w:val="28"/>
        </w:rPr>
        <w:t>
      808. Брусковый форштевень сплошного прямоугольного сечения на участке от киля до летней грузовой ватерлинии имеет размеры сечения не менее определяемых по формулам:</w:t>
      </w:r>
    </w:p>
    <w:bookmarkEnd w:id="311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l,6</w:t>
      </w:r>
      <w:r>
        <w:rPr>
          <w:rFonts w:ascii="Times New Roman"/>
          <w:b w:val="false"/>
          <w:i/>
          <w:color w:val="000000"/>
          <w:sz w:val="28"/>
        </w:rPr>
        <w:t>L</w:t>
      </w:r>
      <w:r>
        <w:rPr>
          <w:rFonts w:ascii="Times New Roman"/>
          <w:b w:val="false"/>
          <w:i w:val="false"/>
          <w:color w:val="000000"/>
          <w:sz w:val="28"/>
        </w:rPr>
        <w:t xml:space="preserve"> + 100;                  (274)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0,5</w:t>
      </w:r>
      <w:r>
        <w:rPr>
          <w:rFonts w:ascii="Times New Roman"/>
          <w:b w:val="false"/>
          <w:i/>
          <w:color w:val="000000"/>
          <w:sz w:val="28"/>
        </w:rPr>
        <w:t>L</w:t>
      </w:r>
      <w:r>
        <w:rPr>
          <w:rFonts w:ascii="Times New Roman"/>
          <w:b w:val="false"/>
          <w:i w:val="false"/>
          <w:color w:val="000000"/>
          <w:sz w:val="28"/>
        </w:rPr>
        <w:t xml:space="preserve"> + 25.                    (275)</w:t>
      </w:r>
    </w:p>
    <w:bookmarkStart w:name="z3122" w:id="3117"/>
    <w:p>
      <w:pPr>
        <w:spacing w:after="0"/>
        <w:ind w:left="0"/>
        <w:jc w:val="both"/>
      </w:pPr>
      <w:r>
        <w:rPr>
          <w:rFonts w:ascii="Times New Roman"/>
          <w:b w:val="false"/>
          <w:i w:val="false"/>
          <w:color w:val="000000"/>
          <w:sz w:val="28"/>
        </w:rPr>
        <w:t>
      Размеры и расположение бракет, подкрепляющих форштевень, принимаются согласно подпункту 3) пункта 518 настоящих Правил.</w:t>
      </w:r>
    </w:p>
    <w:bookmarkEnd w:id="3117"/>
    <w:bookmarkStart w:name="z3123" w:id="3118"/>
    <w:p>
      <w:pPr>
        <w:spacing w:after="0"/>
        <w:ind w:left="0"/>
        <w:jc w:val="both"/>
      </w:pPr>
      <w:r>
        <w:rPr>
          <w:rFonts w:ascii="Times New Roman"/>
          <w:b w:val="false"/>
          <w:i w:val="false"/>
          <w:color w:val="000000"/>
          <w:sz w:val="28"/>
        </w:rPr>
        <w:t>
      Форштевень протягивают в корму за переборку форпика не менее чем на три шпации.</w:t>
      </w:r>
    </w:p>
    <w:bookmarkEnd w:id="3118"/>
    <w:bookmarkStart w:name="z3124" w:id="3119"/>
    <w:p>
      <w:pPr>
        <w:spacing w:after="0"/>
        <w:ind w:left="0"/>
        <w:jc w:val="both"/>
      </w:pPr>
      <w:r>
        <w:rPr>
          <w:rFonts w:ascii="Times New Roman"/>
          <w:b w:val="false"/>
          <w:i w:val="false"/>
          <w:color w:val="000000"/>
          <w:sz w:val="28"/>
        </w:rPr>
        <w:t>
      Для буксиров-кантовщиков не допускается уменьшение площади сечения форштевня и его размеров (при листовой конструкции) выше летней грузовой ватерлинии.</w:t>
      </w:r>
    </w:p>
    <w:bookmarkEnd w:id="3119"/>
    <w:bookmarkStart w:name="z3125" w:id="3120"/>
    <w:p>
      <w:pPr>
        <w:spacing w:after="0"/>
        <w:ind w:left="0"/>
        <w:jc w:val="both"/>
      </w:pPr>
      <w:r>
        <w:rPr>
          <w:rFonts w:ascii="Times New Roman"/>
          <w:b w:val="false"/>
          <w:i w:val="false"/>
          <w:color w:val="000000"/>
          <w:sz w:val="28"/>
        </w:rPr>
        <w:t>
      Листовая часть форштевня подкрепляется на всем протяжении поперечными бракетами, установленными, по крайней мере, через 0,6 м, без уменьшения толщины листов, определяемой согласно подпункту 2) пункта 518 настоящих Правил.</w:t>
      </w:r>
    </w:p>
    <w:bookmarkEnd w:id="3120"/>
    <w:bookmarkStart w:name="z3126" w:id="3121"/>
    <w:p>
      <w:pPr>
        <w:spacing w:after="0"/>
        <w:ind w:left="0"/>
        <w:jc w:val="both"/>
      </w:pPr>
      <w:r>
        <w:rPr>
          <w:rFonts w:ascii="Times New Roman"/>
          <w:b w:val="false"/>
          <w:i w:val="false"/>
          <w:color w:val="000000"/>
          <w:sz w:val="28"/>
        </w:rPr>
        <w:t>
      809. Старнпост сплошного прямоугольного сечения на участке от киля до кормового подзора имеет размеры сечения не менее определяемых по формулам:</w:t>
      </w:r>
    </w:p>
    <w:bookmarkEnd w:id="312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1,5</w:t>
      </w:r>
      <w:r>
        <w:rPr>
          <w:rFonts w:ascii="Times New Roman"/>
          <w:b w:val="false"/>
          <w:i/>
          <w:color w:val="000000"/>
          <w:sz w:val="28"/>
        </w:rPr>
        <w:t>L</w:t>
      </w:r>
      <w:r>
        <w:rPr>
          <w:rFonts w:ascii="Times New Roman"/>
          <w:b w:val="false"/>
          <w:i w:val="false"/>
          <w:color w:val="000000"/>
          <w:sz w:val="28"/>
        </w:rPr>
        <w:t xml:space="preserve"> + 100;                   (276)</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1,8</w:t>
      </w:r>
      <w:r>
        <w:rPr>
          <w:rFonts w:ascii="Times New Roman"/>
          <w:b w:val="false"/>
          <w:i/>
          <w:color w:val="000000"/>
          <w:sz w:val="28"/>
        </w:rPr>
        <w:t>L</w:t>
      </w:r>
      <w:r>
        <w:rPr>
          <w:rFonts w:ascii="Times New Roman"/>
          <w:b w:val="false"/>
          <w:i w:val="false"/>
          <w:color w:val="000000"/>
          <w:sz w:val="28"/>
        </w:rPr>
        <w:t xml:space="preserve"> + 25.                    (277)</w:t>
      </w:r>
    </w:p>
    <w:bookmarkStart w:name="z3127" w:id="3122"/>
    <w:p>
      <w:pPr>
        <w:spacing w:after="0"/>
        <w:ind w:left="0"/>
        <w:jc w:val="both"/>
      </w:pPr>
      <w:r>
        <w:rPr>
          <w:rFonts w:ascii="Times New Roman"/>
          <w:b w:val="false"/>
          <w:i w:val="false"/>
          <w:color w:val="000000"/>
          <w:sz w:val="28"/>
        </w:rPr>
        <w:t>
      Крепление ахтерштевня к набору согласно подпункту 4) пункта 511 настоящих Правил независимо от длины буксира выполняется к двум флорам.</w:t>
      </w:r>
    </w:p>
    <w:bookmarkEnd w:id="3122"/>
    <w:bookmarkStart w:name="z3128" w:id="3123"/>
    <w:p>
      <w:pPr>
        <w:spacing w:after="0"/>
        <w:ind w:left="0"/>
        <w:jc w:val="both"/>
      </w:pPr>
      <w:r>
        <w:rPr>
          <w:rFonts w:ascii="Times New Roman"/>
          <w:b w:val="false"/>
          <w:i w:val="false"/>
          <w:color w:val="000000"/>
          <w:sz w:val="28"/>
        </w:rPr>
        <w:t>
      810. Толщина листов фальшборта принимается согласно пункту 575 настоящих Правил, но не менее 4 мм.</w:t>
      </w:r>
    </w:p>
    <w:bookmarkEnd w:id="3123"/>
    <w:bookmarkStart w:name="z3129" w:id="3124"/>
    <w:p>
      <w:pPr>
        <w:spacing w:after="0"/>
        <w:ind w:left="0"/>
        <w:jc w:val="both"/>
      </w:pPr>
      <w:r>
        <w:rPr>
          <w:rFonts w:ascii="Times New Roman"/>
          <w:b w:val="false"/>
          <w:i w:val="false"/>
          <w:color w:val="000000"/>
          <w:sz w:val="28"/>
        </w:rPr>
        <w:t xml:space="preserve">
      Момент сопротивления стоек фальшборта определяется согласно пункту 576 настоящих Правил, при </w:t>
      </w:r>
      <w:r>
        <w:rPr>
          <w:rFonts w:ascii="Times New Roman"/>
          <w:b w:val="false"/>
          <w:i/>
          <w:color w:val="000000"/>
          <w:sz w:val="28"/>
        </w:rPr>
        <w:t>m</w:t>
      </w:r>
      <w:r>
        <w:rPr>
          <w:rFonts w:ascii="Times New Roman"/>
          <w:b w:val="false"/>
          <w:i w:val="false"/>
          <w:color w:val="000000"/>
          <w:sz w:val="28"/>
        </w:rPr>
        <w:t xml:space="preserve"> = 1,5. Стойки фальшборта устанавливаются, по крайней мере на каждом втором шпангоуте. Стойки фальшборта, привариваемого к ширстреку, имеют конструкцию с податливым элементом.</w:t>
      </w:r>
    </w:p>
    <w:bookmarkEnd w:id="3124"/>
    <w:bookmarkStart w:name="z3130" w:id="3125"/>
    <w:p>
      <w:pPr>
        <w:spacing w:after="0"/>
        <w:ind w:left="0"/>
        <w:jc w:val="both"/>
      </w:pPr>
      <w:r>
        <w:rPr>
          <w:rFonts w:ascii="Times New Roman"/>
          <w:b w:val="false"/>
          <w:i w:val="false"/>
          <w:color w:val="000000"/>
          <w:sz w:val="28"/>
        </w:rPr>
        <w:t>
      Фальшборт имеет наклон к диаметральной плоскости не менее 7</w:t>
      </w:r>
      <w:r>
        <w:rPr>
          <w:rFonts w:ascii="Times New Roman"/>
          <w:b w:val="false"/>
          <w:i w:val="false"/>
          <w:color w:val="000000"/>
          <w:vertAlign w:val="superscript"/>
        </w:rPr>
        <w:t>o</w:t>
      </w:r>
      <w:r>
        <w:rPr>
          <w:rFonts w:ascii="Times New Roman"/>
          <w:b w:val="false"/>
          <w:i w:val="false"/>
          <w:color w:val="000000"/>
          <w:sz w:val="28"/>
        </w:rPr>
        <w:t>.</w:t>
      </w:r>
    </w:p>
    <w:bookmarkEnd w:id="3125"/>
    <w:bookmarkStart w:name="z3131" w:id="3126"/>
    <w:p>
      <w:pPr>
        <w:spacing w:after="0"/>
        <w:ind w:left="0"/>
        <w:jc w:val="both"/>
      </w:pPr>
      <w:r>
        <w:rPr>
          <w:rFonts w:ascii="Times New Roman"/>
          <w:b w:val="false"/>
          <w:i w:val="false"/>
          <w:color w:val="000000"/>
          <w:sz w:val="28"/>
        </w:rPr>
        <w:t>
      811. На буксирах длиной более 40 м неограниченного района плавания предусмотрено число водонепроницаемых переборок не менее четырех.</w:t>
      </w:r>
    </w:p>
    <w:bookmarkEnd w:id="3126"/>
    <w:bookmarkStart w:name="z10715" w:id="3127"/>
    <w:p>
      <w:pPr>
        <w:spacing w:after="0"/>
        <w:ind w:left="0"/>
        <w:jc w:val="left"/>
      </w:pPr>
      <w:r>
        <w:rPr>
          <w:rFonts w:ascii="Times New Roman"/>
          <w:b/>
          <w:i w:val="false"/>
          <w:color w:val="000000"/>
        </w:rPr>
        <w:t xml:space="preserve"> Глава 37-1. Суда, использующие газы или иные виды топлива с низкой температурой вспышки</w:t>
      </w:r>
    </w:p>
    <w:bookmarkEnd w:id="3127"/>
    <w:p>
      <w:pPr>
        <w:spacing w:after="0"/>
        <w:ind w:left="0"/>
        <w:jc w:val="both"/>
      </w:pPr>
      <w:r>
        <w:rPr>
          <w:rFonts w:ascii="Times New Roman"/>
          <w:b w:val="false"/>
          <w:i w:val="false"/>
          <w:color w:val="ff0000"/>
          <w:sz w:val="28"/>
        </w:rPr>
        <w:t xml:space="preserve">
      Сноска. Правила дополнены пунктом 37-1 в соответствии с приказом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16" w:id="3128"/>
    <w:p>
      <w:pPr>
        <w:spacing w:after="0"/>
        <w:ind w:left="0"/>
        <w:jc w:val="left"/>
      </w:pPr>
      <w:r>
        <w:rPr>
          <w:rFonts w:ascii="Times New Roman"/>
          <w:b/>
          <w:i w:val="false"/>
          <w:color w:val="000000"/>
        </w:rPr>
        <w:t xml:space="preserve"> Параграф 1. Общие положения </w:t>
      </w:r>
    </w:p>
    <w:bookmarkEnd w:id="3128"/>
    <w:bookmarkStart w:name="z10717" w:id="3129"/>
    <w:p>
      <w:pPr>
        <w:spacing w:after="0"/>
        <w:ind w:left="0"/>
        <w:jc w:val="both"/>
      </w:pPr>
      <w:r>
        <w:rPr>
          <w:rFonts w:ascii="Times New Roman"/>
          <w:b w:val="false"/>
          <w:i w:val="false"/>
          <w:color w:val="000000"/>
          <w:sz w:val="28"/>
        </w:rPr>
        <w:t>
      811-1. Обеспечивается соответствие судов, использующих газы или иные виды топлива с низкой температурой вспышки, требованиям СОЛАС-74 и Кодекса МГТ.</w:t>
      </w:r>
    </w:p>
    <w:bookmarkEnd w:id="3129"/>
    <w:bookmarkStart w:name="z10718" w:id="3130"/>
    <w:p>
      <w:pPr>
        <w:spacing w:after="0"/>
        <w:ind w:left="0"/>
        <w:jc w:val="both"/>
      </w:pPr>
      <w:r>
        <w:rPr>
          <w:rFonts w:ascii="Times New Roman"/>
          <w:b w:val="false"/>
          <w:i w:val="false"/>
          <w:color w:val="000000"/>
          <w:sz w:val="28"/>
        </w:rPr>
        <w:t>
      811-2. Требования данной главы применяются к пассажирским судам, перевозящим более 12 пассажиров, и грузовым судам валовой вместимостью 500 и более регистровых тонн, совершающих международные рейсы, и:</w:t>
      </w:r>
    </w:p>
    <w:bookmarkEnd w:id="3130"/>
    <w:bookmarkStart w:name="z10719" w:id="3131"/>
    <w:p>
      <w:pPr>
        <w:spacing w:after="0"/>
        <w:ind w:left="0"/>
        <w:jc w:val="both"/>
      </w:pPr>
      <w:r>
        <w:rPr>
          <w:rFonts w:ascii="Times New Roman"/>
          <w:b w:val="false"/>
          <w:i w:val="false"/>
          <w:color w:val="000000"/>
          <w:sz w:val="28"/>
        </w:rPr>
        <w:t>
      1) использующих топливо с низкой температурой вспышки, контракт на постройку которых заключен 1 января 2017 или после этой даты;</w:t>
      </w:r>
    </w:p>
    <w:bookmarkEnd w:id="3131"/>
    <w:bookmarkStart w:name="z10720" w:id="3132"/>
    <w:p>
      <w:pPr>
        <w:spacing w:after="0"/>
        <w:ind w:left="0"/>
        <w:jc w:val="both"/>
      </w:pPr>
      <w:r>
        <w:rPr>
          <w:rFonts w:ascii="Times New Roman"/>
          <w:b w:val="false"/>
          <w:i w:val="false"/>
          <w:color w:val="000000"/>
          <w:sz w:val="28"/>
        </w:rPr>
        <w:t>
      2) использующих топливо с низкой температурой вспышки, кили которых заложены или которые находятся в подобной стадии постройки 1 июля 2017 года или после этой даты;</w:t>
      </w:r>
    </w:p>
    <w:bookmarkEnd w:id="3132"/>
    <w:bookmarkStart w:name="z10721" w:id="3133"/>
    <w:p>
      <w:pPr>
        <w:spacing w:after="0"/>
        <w:ind w:left="0"/>
        <w:jc w:val="both"/>
      </w:pPr>
      <w:r>
        <w:rPr>
          <w:rFonts w:ascii="Times New Roman"/>
          <w:b w:val="false"/>
          <w:i w:val="false"/>
          <w:color w:val="000000"/>
          <w:sz w:val="28"/>
        </w:rPr>
        <w:t>
      3) использующих топливо с низкой температурой вспышки, которые сданы в эксплуатацию 1 января 2021 года или после этой даты;</w:t>
      </w:r>
    </w:p>
    <w:bookmarkEnd w:id="3133"/>
    <w:bookmarkStart w:name="z10722" w:id="3134"/>
    <w:p>
      <w:pPr>
        <w:spacing w:after="0"/>
        <w:ind w:left="0"/>
        <w:jc w:val="both"/>
      </w:pPr>
      <w:r>
        <w:rPr>
          <w:rFonts w:ascii="Times New Roman"/>
          <w:b w:val="false"/>
          <w:i w:val="false"/>
          <w:color w:val="000000"/>
          <w:sz w:val="28"/>
        </w:rPr>
        <w:t>
      4) которые, независимо от даты постройки, были переоборудованы для использования топлива с низкой температурой вспышки с 1 января 2017 года или после этой даты;</w:t>
      </w:r>
    </w:p>
    <w:bookmarkEnd w:id="3134"/>
    <w:bookmarkStart w:name="z10723" w:id="3135"/>
    <w:p>
      <w:pPr>
        <w:spacing w:after="0"/>
        <w:ind w:left="0"/>
        <w:jc w:val="both"/>
      </w:pPr>
      <w:r>
        <w:rPr>
          <w:rFonts w:ascii="Times New Roman"/>
          <w:b w:val="false"/>
          <w:i w:val="false"/>
          <w:color w:val="000000"/>
          <w:sz w:val="28"/>
        </w:rPr>
        <w:t>
      5) которые, независимо от даты постройки, с 1 января 2017 года или после этой даты начали использовать иные виды топлива с низкой температурой вспышки, чем те, для использования которых они были до 1 января 2017 года первоначально одобрены.</w:t>
      </w:r>
    </w:p>
    <w:bookmarkEnd w:id="3135"/>
    <w:bookmarkStart w:name="z10724" w:id="3136"/>
    <w:p>
      <w:pPr>
        <w:spacing w:after="0"/>
        <w:ind w:left="0"/>
        <w:jc w:val="both"/>
      </w:pPr>
      <w:r>
        <w:rPr>
          <w:rFonts w:ascii="Times New Roman"/>
          <w:b w:val="false"/>
          <w:i w:val="false"/>
          <w:color w:val="000000"/>
          <w:sz w:val="28"/>
        </w:rPr>
        <w:t>
      811-3. Требования настоящей главы не распространяются на газовозы, указанные в правиле VII/11.2 СОЛАС-74.</w:t>
      </w:r>
    </w:p>
    <w:bookmarkEnd w:id="3136"/>
    <w:bookmarkStart w:name="z10725" w:id="3137"/>
    <w:p>
      <w:pPr>
        <w:spacing w:after="0"/>
        <w:ind w:left="0"/>
        <w:jc w:val="left"/>
      </w:pPr>
      <w:r>
        <w:rPr>
          <w:rFonts w:ascii="Times New Roman"/>
          <w:b/>
          <w:i w:val="false"/>
          <w:color w:val="000000"/>
        </w:rPr>
        <w:t xml:space="preserve"> Параграф 2. Конструкция и устройство судна</w:t>
      </w:r>
    </w:p>
    <w:bookmarkEnd w:id="3137"/>
    <w:bookmarkStart w:name="z10726" w:id="3138"/>
    <w:p>
      <w:pPr>
        <w:spacing w:after="0"/>
        <w:ind w:left="0"/>
        <w:jc w:val="both"/>
      </w:pPr>
      <w:r>
        <w:rPr>
          <w:rFonts w:ascii="Times New Roman"/>
          <w:b w:val="false"/>
          <w:i w:val="false"/>
          <w:color w:val="000000"/>
          <w:sz w:val="28"/>
        </w:rPr>
        <w:t>
      811-4. Судно конструируется в соответствии с требованиями раздела 5 части А-1 Кодекса МГТ.</w:t>
      </w:r>
    </w:p>
    <w:bookmarkEnd w:id="3138"/>
    <w:bookmarkStart w:name="z10727" w:id="3139"/>
    <w:p>
      <w:pPr>
        <w:spacing w:after="0"/>
        <w:ind w:left="0"/>
        <w:jc w:val="both"/>
      </w:pPr>
      <w:r>
        <w:rPr>
          <w:rFonts w:ascii="Times New Roman"/>
          <w:b w:val="false"/>
          <w:i w:val="false"/>
          <w:color w:val="000000"/>
          <w:sz w:val="28"/>
        </w:rPr>
        <w:t>
      Конструкция судна одобряется Регистром судоходства или признанным иностранным классификационным обществом с указанием в свидетельстве о безопасности грузового судна по конструкции или свидетельстве о безопасности пассажирского судна, что данное судно соответствует требованиям части G главы II-1 СОЛАС-74 и использует в качестве топлива сжиженный природный газ.</w:t>
      </w:r>
    </w:p>
    <w:bookmarkEnd w:id="3139"/>
    <w:bookmarkStart w:name="z10728" w:id="3140"/>
    <w:p>
      <w:pPr>
        <w:spacing w:after="0"/>
        <w:ind w:left="0"/>
        <w:jc w:val="both"/>
      </w:pPr>
      <w:r>
        <w:rPr>
          <w:rFonts w:ascii="Times New Roman"/>
          <w:b w:val="false"/>
          <w:i w:val="false"/>
          <w:color w:val="000000"/>
          <w:sz w:val="28"/>
        </w:rPr>
        <w:t>
      811-5. Использование альтернативных конструкций допускается при их соответствии требованиям правила II-1/55 СОЛАС-74 и одобрении Регистра судоходства или признанного иностранного классификационного общества.</w:t>
      </w:r>
    </w:p>
    <w:bookmarkEnd w:id="3140"/>
    <w:bookmarkStart w:name="z10729" w:id="3141"/>
    <w:p>
      <w:pPr>
        <w:spacing w:after="0"/>
        <w:ind w:left="0"/>
        <w:jc w:val="both"/>
      </w:pPr>
      <w:r>
        <w:rPr>
          <w:rFonts w:ascii="Times New Roman"/>
          <w:b w:val="false"/>
          <w:i w:val="false"/>
          <w:color w:val="000000"/>
          <w:sz w:val="28"/>
        </w:rPr>
        <w:t xml:space="preserve">
      811-6. Обеспечивается, чтобы судовая конструкция устройств подачи и хранения топлива и бункеровки являлась безопасной и пригодной для приема и хранения топлива в требуемом состоянии и без утечек. </w:t>
      </w:r>
    </w:p>
    <w:bookmarkEnd w:id="3141"/>
    <w:bookmarkStart w:name="z10730" w:id="3142"/>
    <w:p>
      <w:pPr>
        <w:spacing w:after="0"/>
        <w:ind w:left="0"/>
        <w:jc w:val="both"/>
      </w:pPr>
      <w:r>
        <w:rPr>
          <w:rFonts w:ascii="Times New Roman"/>
          <w:b w:val="false"/>
          <w:i w:val="false"/>
          <w:color w:val="000000"/>
          <w:sz w:val="28"/>
        </w:rPr>
        <w:t>
      Система конструируется так, чтобы не возникало необходимости в отводе газов при всех нормальных условиях эксплуатации, включая периоды перерыва в работе, если это не является необходимым по соображениям безопасности.</w:t>
      </w:r>
    </w:p>
    <w:bookmarkEnd w:id="3142"/>
    <w:bookmarkStart w:name="z10731" w:id="3143"/>
    <w:p>
      <w:pPr>
        <w:spacing w:after="0"/>
        <w:ind w:left="0"/>
        <w:jc w:val="both"/>
      </w:pPr>
      <w:r>
        <w:rPr>
          <w:rFonts w:ascii="Times New Roman"/>
          <w:b w:val="false"/>
          <w:i w:val="false"/>
          <w:color w:val="000000"/>
          <w:sz w:val="28"/>
        </w:rPr>
        <w:t>
      811-7. На судне предусматриваются трубопроводы, устройства хранения и средства сброса избыточного давления с соответствующей конструкцией, изготовленные и установленные с учетом специфики их применения.</w:t>
      </w:r>
    </w:p>
    <w:bookmarkEnd w:id="3143"/>
    <w:bookmarkStart w:name="z10732" w:id="3144"/>
    <w:p>
      <w:pPr>
        <w:spacing w:after="0"/>
        <w:ind w:left="0"/>
        <w:jc w:val="both"/>
      </w:pPr>
      <w:r>
        <w:rPr>
          <w:rFonts w:ascii="Times New Roman"/>
          <w:b w:val="false"/>
          <w:i w:val="false"/>
          <w:color w:val="000000"/>
          <w:sz w:val="28"/>
        </w:rPr>
        <w:t>
      811-8. Судовые механизмы, системы и их компоненты конструируются, изготавливаются, устанавливаются, эксплуатируются, получают техническое обслуживание таким образом, чтобы была обеспечена их безопасная и надежная работа.</w:t>
      </w:r>
    </w:p>
    <w:bookmarkEnd w:id="3144"/>
    <w:bookmarkStart w:name="z10733" w:id="3145"/>
    <w:p>
      <w:pPr>
        <w:spacing w:after="0"/>
        <w:ind w:left="0"/>
        <w:jc w:val="both"/>
      </w:pPr>
      <w:r>
        <w:rPr>
          <w:rFonts w:ascii="Times New Roman"/>
          <w:b w:val="false"/>
          <w:i w:val="false"/>
          <w:color w:val="000000"/>
          <w:sz w:val="28"/>
        </w:rPr>
        <w:t>
      811-9. Системы хранения топлива и машинные помещения, заключающие источники, через которые газ может выйти в помещения, необходимо располагать на судне таким образом, чтобы пожар или взрыв в любом из них не приводил к недопустимой потере мощности или не выводил из строя оборудование в других помещениях.</w:t>
      </w:r>
    </w:p>
    <w:bookmarkEnd w:id="3145"/>
    <w:bookmarkStart w:name="z10734" w:id="3146"/>
    <w:p>
      <w:pPr>
        <w:spacing w:after="0"/>
        <w:ind w:left="0"/>
        <w:jc w:val="both"/>
      </w:pPr>
      <w:r>
        <w:rPr>
          <w:rFonts w:ascii="Times New Roman"/>
          <w:b w:val="false"/>
          <w:i w:val="false"/>
          <w:color w:val="000000"/>
          <w:sz w:val="28"/>
        </w:rPr>
        <w:t>
      811-10. Для обеспечения безопасной и надежной работы на судне предусматриваются системы управления, аварийно-предупредительной сигнализации, контроля и отключения.</w:t>
      </w:r>
    </w:p>
    <w:bookmarkEnd w:id="3146"/>
    <w:bookmarkStart w:name="z10735" w:id="3147"/>
    <w:p>
      <w:pPr>
        <w:spacing w:after="0"/>
        <w:ind w:left="0"/>
        <w:jc w:val="both"/>
      </w:pPr>
      <w:r>
        <w:rPr>
          <w:rFonts w:ascii="Times New Roman"/>
          <w:b w:val="false"/>
          <w:i w:val="false"/>
          <w:color w:val="000000"/>
          <w:sz w:val="28"/>
        </w:rPr>
        <w:t>
      811-11. Предусматриваются стационарные средства обнаружения газа, пригодные для всех соответствующих помещений на судне.</w:t>
      </w:r>
    </w:p>
    <w:bookmarkEnd w:id="3147"/>
    <w:bookmarkStart w:name="z3132" w:id="3148"/>
    <w:p>
      <w:pPr>
        <w:spacing w:after="0"/>
        <w:ind w:left="0"/>
        <w:jc w:val="left"/>
      </w:pPr>
      <w:r>
        <w:rPr>
          <w:rFonts w:ascii="Times New Roman"/>
          <w:b/>
          <w:i w:val="false"/>
          <w:color w:val="000000"/>
        </w:rPr>
        <w:t xml:space="preserve"> Глава 38. Ледовые усиления судов ледового плавания и ледоколов</w:t>
      </w:r>
    </w:p>
    <w:bookmarkEnd w:id="3148"/>
    <w:p>
      <w:pPr>
        <w:spacing w:after="0"/>
        <w:ind w:left="0"/>
        <w:jc w:val="both"/>
      </w:pPr>
      <w:r>
        <w:rPr>
          <w:rFonts w:ascii="Times New Roman"/>
          <w:b w:val="false"/>
          <w:i w:val="false"/>
          <w:color w:val="ff0000"/>
          <w:sz w:val="28"/>
        </w:rPr>
        <w:t xml:space="preserve">
      Сноска. Заголовок главы 38 -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33" w:id="3149"/>
    <w:p>
      <w:pPr>
        <w:spacing w:after="0"/>
        <w:ind w:left="0"/>
        <w:jc w:val="left"/>
      </w:pPr>
      <w:r>
        <w:rPr>
          <w:rFonts w:ascii="Times New Roman"/>
          <w:b/>
          <w:i w:val="false"/>
          <w:color w:val="000000"/>
        </w:rPr>
        <w:t xml:space="preserve"> Параграф 1. Общие положения и требования</w:t>
      </w:r>
    </w:p>
    <w:bookmarkEnd w:id="3149"/>
    <w:bookmarkStart w:name="z3134" w:id="3150"/>
    <w:p>
      <w:pPr>
        <w:spacing w:after="0"/>
        <w:ind w:left="0"/>
        <w:jc w:val="both"/>
      </w:pPr>
      <w:r>
        <w:rPr>
          <w:rFonts w:ascii="Times New Roman"/>
          <w:b w:val="false"/>
          <w:i w:val="false"/>
          <w:color w:val="000000"/>
          <w:sz w:val="28"/>
        </w:rPr>
        <w:t>
      812. Требования настоящей главы применяются к самоходным судам ледового плавания и ледоколам, а также к судам, которые приравнивают к ним по условиям плавания во льдах.</w:t>
      </w:r>
    </w:p>
    <w:bookmarkEnd w:id="3150"/>
    <w:bookmarkStart w:name="z3135" w:id="3151"/>
    <w:p>
      <w:pPr>
        <w:spacing w:after="0"/>
        <w:ind w:left="0"/>
        <w:jc w:val="both"/>
      </w:pPr>
      <w:r>
        <w:rPr>
          <w:rFonts w:ascii="Times New Roman"/>
          <w:b w:val="false"/>
          <w:i w:val="false"/>
          <w:color w:val="000000"/>
          <w:sz w:val="28"/>
        </w:rPr>
        <w:t>
      813. Требования настоящей главы являются дополнительными по отношению к требованиям других, применимых к конкретному судну, глав Правил, и регламентируют минимально необходимый уровень прочности при действии ледовой нагрузки и конструкцию корпуса судна в зависимости от знака категории ледовых усилений в символе класса.</w:t>
      </w:r>
    </w:p>
    <w:bookmarkEnd w:id="3151"/>
    <w:bookmarkStart w:name="z3136" w:id="3152"/>
    <w:p>
      <w:pPr>
        <w:spacing w:after="0"/>
        <w:ind w:left="0"/>
        <w:jc w:val="both"/>
      </w:pPr>
      <w:r>
        <w:rPr>
          <w:rFonts w:ascii="Times New Roman"/>
          <w:b w:val="false"/>
          <w:i w:val="false"/>
          <w:color w:val="000000"/>
          <w:sz w:val="28"/>
        </w:rPr>
        <w:t>
      Расчетные зависимости настоящей главы непосредственно применяются только для судов ледового плавания и ледоколов с традиционной формой обводов корпуса, отвечающих требованиям пункта 815 настоящих Правил. Возможность отступления от требований пункта 815 настоящих Правил, а также использования нетрадиционной формы носовой оконечности (ложкообразной, плоскогранной) является предметом специального рассмотрения Регистром судоходства;</w:t>
      </w:r>
    </w:p>
    <w:bookmarkEnd w:id="3152"/>
    <w:bookmarkStart w:name="z3137" w:id="3153"/>
    <w:p>
      <w:pPr>
        <w:spacing w:after="0"/>
        <w:ind w:left="0"/>
        <w:jc w:val="both"/>
      </w:pPr>
      <w:r>
        <w:rPr>
          <w:rFonts w:ascii="Times New Roman"/>
          <w:b w:val="false"/>
          <w:i w:val="false"/>
          <w:color w:val="000000"/>
          <w:sz w:val="28"/>
        </w:rPr>
        <w:t>
      814. В Правилах предполагается, что в эксплуатации судовладелец будет руководствоваться требованиями ледового паспорта судна, разработанного компетентной организацией и конкретизирующего условия безопасной эксплуатации судна во льдах, в зависимости от знака категории ледовых усилений, ледовых условий и ледокольного обеспечения.</w:t>
      </w:r>
    </w:p>
    <w:bookmarkEnd w:id="3153"/>
    <w:bookmarkStart w:name="z3138" w:id="3154"/>
    <w:p>
      <w:pPr>
        <w:spacing w:after="0"/>
        <w:ind w:left="0"/>
        <w:jc w:val="both"/>
      </w:pPr>
      <w:r>
        <w:rPr>
          <w:rFonts w:ascii="Times New Roman"/>
          <w:b w:val="false"/>
          <w:i w:val="false"/>
          <w:color w:val="000000"/>
          <w:sz w:val="28"/>
        </w:rPr>
        <w:t>
      815. Требования к форме корпуса:</w:t>
      </w:r>
    </w:p>
    <w:bookmarkEnd w:id="3154"/>
    <w:bookmarkStart w:name="z3139" w:id="3155"/>
    <w:p>
      <w:pPr>
        <w:spacing w:after="0"/>
        <w:ind w:left="0"/>
        <w:jc w:val="both"/>
      </w:pPr>
      <w:r>
        <w:rPr>
          <w:rFonts w:ascii="Times New Roman"/>
          <w:b w:val="false"/>
          <w:i w:val="false"/>
          <w:color w:val="000000"/>
          <w:sz w:val="28"/>
        </w:rPr>
        <w:t xml:space="preserve">
      1) параметры формы корпуса </w:t>
      </w:r>
    </w:p>
    <w:bookmarkEnd w:id="3155"/>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град, измеряются в соответствии с приложениями 110 – 113 настоящих Правил.</w:t>
      </w:r>
      <w:r>
        <w:br/>
      </w:r>
      <w:r>
        <w:rPr>
          <w:rFonts w:ascii="Times New Roman"/>
          <w:b w:val="false"/>
          <w:i w:val="false"/>
          <w:color w:val="000000"/>
          <w:sz w:val="28"/>
        </w:rPr>
        <w:t>
</w:t>
      </w:r>
    </w:p>
    <w:bookmarkStart w:name="z3140" w:id="3156"/>
    <w:p>
      <w:pPr>
        <w:spacing w:after="0"/>
        <w:ind w:left="0"/>
        <w:jc w:val="both"/>
      </w:pPr>
      <w:r>
        <w:rPr>
          <w:rFonts w:ascii="Times New Roman"/>
          <w:b w:val="false"/>
          <w:i w:val="false"/>
          <w:color w:val="000000"/>
          <w:sz w:val="28"/>
        </w:rPr>
        <w:t>
      2) значения параметров формы корпуса судов ледового плавания находятся в пределах, указанных в приложении 114 настоящих Правил.</w:t>
      </w:r>
    </w:p>
    <w:bookmarkEnd w:id="3156"/>
    <w:bookmarkStart w:name="z3141" w:id="3157"/>
    <w:p>
      <w:pPr>
        <w:spacing w:after="0"/>
        <w:ind w:left="0"/>
        <w:jc w:val="both"/>
      </w:pPr>
      <w:r>
        <w:rPr>
          <w:rFonts w:ascii="Times New Roman"/>
          <w:b w:val="false"/>
          <w:i w:val="false"/>
          <w:color w:val="000000"/>
          <w:sz w:val="28"/>
        </w:rPr>
        <w:t>
      3) значения параметров формы корпуса ледоколов отвечают следующим требованиям.</w:t>
      </w:r>
    </w:p>
    <w:bookmarkEnd w:id="3157"/>
    <w:bookmarkStart w:name="z3142" w:id="3158"/>
    <w:p>
      <w:pPr>
        <w:spacing w:after="0"/>
        <w:ind w:left="0"/>
        <w:jc w:val="both"/>
      </w:pPr>
      <w:r>
        <w:rPr>
          <w:rFonts w:ascii="Times New Roman"/>
          <w:b w:val="false"/>
          <w:i w:val="false"/>
          <w:color w:val="000000"/>
          <w:sz w:val="28"/>
        </w:rPr>
        <w:t>
      В районе 0 — 0,25</w:t>
      </w:r>
      <w:r>
        <w:rPr>
          <w:rFonts w:ascii="Times New Roman"/>
          <w:b w:val="false"/>
          <w:i/>
          <w:color w:val="000000"/>
          <w:sz w:val="28"/>
        </w:rPr>
        <w:t>L</w:t>
      </w:r>
      <w:r>
        <w:rPr>
          <w:rFonts w:ascii="Times New Roman"/>
          <w:b w:val="false"/>
          <w:i w:val="false"/>
          <w:color w:val="000000"/>
          <w:sz w:val="28"/>
        </w:rPr>
        <w:t xml:space="preserve"> от носового перпендикуляра в пределах эксплуатационных осадок применяются прямые и выпуклые ватерлинии. Угол входа указанных ватерлиний </w:t>
      </w:r>
    </w:p>
    <w:bookmarkEnd w:id="3158"/>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находится в диапазоне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22</w:t>
      </w:r>
      <w:r>
        <w:rPr>
          <w:rFonts w:ascii="Times New Roman"/>
          <w:b w:val="false"/>
          <w:i w:val="false"/>
          <w:color w:val="000000"/>
          <w:vertAlign w:val="superscript"/>
        </w:rPr>
        <w:t>о</w:t>
      </w:r>
      <w:r>
        <w:rPr>
          <w:rFonts w:ascii="Times New Roman"/>
          <w:b w:val="false"/>
          <w:i w:val="false"/>
          <w:color w:val="000000"/>
          <w:sz w:val="28"/>
        </w:rPr>
        <w:t xml:space="preserve">  </w:t>
      </w:r>
    </w:p>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sz w:val="28"/>
        </w:rPr>
        <w:t>30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p>
    <w:bookmarkStart w:name="z3143" w:id="3159"/>
    <w:p>
      <w:pPr>
        <w:spacing w:after="0"/>
        <w:ind w:left="0"/>
        <w:jc w:val="both"/>
      </w:pPr>
      <w:r>
        <w:rPr>
          <w:rFonts w:ascii="Times New Roman"/>
          <w:b w:val="false"/>
          <w:i w:val="false"/>
          <w:color w:val="000000"/>
          <w:sz w:val="28"/>
        </w:rPr>
        <w:t xml:space="preserve">
      Угол </w:t>
      </w:r>
    </w:p>
    <w:bookmarkEnd w:id="3159"/>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в пределах эксплуатационных осадок не превышает: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о</w:t>
      </w:r>
      <w:r>
        <w:rPr>
          <w:rFonts w:ascii="Times New Roman"/>
          <w:b w:val="false"/>
          <w:i w:val="false"/>
          <w:color w:val="000000"/>
          <w:sz w:val="28"/>
        </w:rPr>
        <w:t xml:space="preserve"> — для ледоколов с ледовыми усилениями категорий Icebreaker6, Icebreaker7;</w:t>
      </w:r>
    </w:p>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 xml:space="preserve"> — для ледоколов с ледовыми усилениями категорий Icebreaker8, Icebreaker9.</w:t>
      </w:r>
    </w:p>
    <w:bookmarkStart w:name="z3144" w:id="3160"/>
    <w:p>
      <w:pPr>
        <w:spacing w:after="0"/>
        <w:ind w:left="0"/>
        <w:jc w:val="both"/>
      </w:pPr>
      <w:r>
        <w:rPr>
          <w:rFonts w:ascii="Times New Roman"/>
          <w:b w:val="false"/>
          <w:i w:val="false"/>
          <w:color w:val="000000"/>
          <w:sz w:val="28"/>
        </w:rPr>
        <w:t>
      Поперечное сечение форштевня выполняется в виде трапеции с выпуклой передней гранью.</w:t>
      </w:r>
    </w:p>
    <w:bookmarkEnd w:id="3160"/>
    <w:bookmarkStart w:name="z3145" w:id="3161"/>
    <w:p>
      <w:pPr>
        <w:spacing w:after="0"/>
        <w:ind w:left="0"/>
        <w:jc w:val="both"/>
      </w:pPr>
      <w:r>
        <w:rPr>
          <w:rFonts w:ascii="Times New Roman"/>
          <w:b w:val="false"/>
          <w:i w:val="false"/>
          <w:color w:val="000000"/>
          <w:sz w:val="28"/>
        </w:rPr>
        <w:t>
      Для ледоколов с традиционной формой носовой оконечности рекомендуется выполнять углы наклона шпангоутов в соответствии с приложением 115 настоящих Правил. При отступлении от требований приложения 115 настоящих Правил величина ледовых нагрузок является предметом специального рассмотрения Регистром судоходства.</w:t>
      </w:r>
    </w:p>
    <w:bookmarkEnd w:id="3161"/>
    <w:bookmarkStart w:name="z3146" w:id="3162"/>
    <w:p>
      <w:pPr>
        <w:spacing w:after="0"/>
        <w:ind w:left="0"/>
        <w:jc w:val="both"/>
      </w:pPr>
      <w:r>
        <w:rPr>
          <w:rFonts w:ascii="Times New Roman"/>
          <w:b w:val="false"/>
          <w:i w:val="false"/>
          <w:color w:val="000000"/>
          <w:sz w:val="28"/>
        </w:rPr>
        <w:t>
      Форма шпангоутов в районе конструктивной ватерлинии принимается прямолинейной или умеренно выпуклой.</w:t>
      </w:r>
    </w:p>
    <w:bookmarkEnd w:id="3162"/>
    <w:bookmarkStart w:name="z3147" w:id="3163"/>
    <w:p>
      <w:pPr>
        <w:spacing w:after="0"/>
        <w:ind w:left="0"/>
        <w:jc w:val="both"/>
      </w:pPr>
      <w:r>
        <w:rPr>
          <w:rFonts w:ascii="Times New Roman"/>
          <w:b w:val="false"/>
          <w:i w:val="false"/>
          <w:color w:val="000000"/>
          <w:sz w:val="28"/>
        </w:rPr>
        <w:t>
      Проекция конструктивной ватерлинии на горизонтальную плоскость перекрывает концы лопастей бортовых гребных винтов.</w:t>
      </w:r>
    </w:p>
    <w:bookmarkEnd w:id="3163"/>
    <w:bookmarkStart w:name="z3148" w:id="3164"/>
    <w:p>
      <w:pPr>
        <w:spacing w:after="0"/>
        <w:ind w:left="0"/>
        <w:jc w:val="both"/>
      </w:pPr>
      <w:r>
        <w:rPr>
          <w:rFonts w:ascii="Times New Roman"/>
          <w:b w:val="false"/>
          <w:i w:val="false"/>
          <w:color w:val="000000"/>
          <w:sz w:val="28"/>
        </w:rPr>
        <w:t>
      Зазор между концами лопастей и обшивкой не менее, указанного в приложении 116 настоящих Правил;</w:t>
      </w:r>
    </w:p>
    <w:bookmarkEnd w:id="3164"/>
    <w:bookmarkStart w:name="z3149" w:id="3165"/>
    <w:p>
      <w:pPr>
        <w:spacing w:after="0"/>
        <w:ind w:left="0"/>
        <w:jc w:val="both"/>
      </w:pPr>
      <w:r>
        <w:rPr>
          <w:rFonts w:ascii="Times New Roman"/>
          <w:b w:val="false"/>
          <w:i w:val="false"/>
          <w:color w:val="000000"/>
          <w:sz w:val="28"/>
        </w:rPr>
        <w:t>
      816. Районы ледовых усилений.</w:t>
      </w:r>
    </w:p>
    <w:bookmarkEnd w:id="3165"/>
    <w:bookmarkStart w:name="z3150" w:id="3166"/>
    <w:p>
      <w:pPr>
        <w:spacing w:after="0"/>
        <w:ind w:left="0"/>
        <w:jc w:val="both"/>
      </w:pPr>
      <w:r>
        <w:rPr>
          <w:rFonts w:ascii="Times New Roman"/>
          <w:b w:val="false"/>
          <w:i w:val="false"/>
          <w:color w:val="000000"/>
          <w:sz w:val="28"/>
        </w:rPr>
        <w:t>
      1) по длине корпуса районы ледовых усилений подразделяются на:</w:t>
      </w:r>
    </w:p>
    <w:bookmarkEnd w:id="3166"/>
    <w:p>
      <w:pPr>
        <w:spacing w:after="0"/>
        <w:ind w:left="0"/>
        <w:jc w:val="both"/>
      </w:pPr>
      <w:r>
        <w:rPr>
          <w:rFonts w:ascii="Times New Roman"/>
          <w:b w:val="false"/>
          <w:i w:val="false"/>
          <w:color w:val="000000"/>
          <w:sz w:val="28"/>
        </w:rPr>
        <w:t>
      носовой — А;</w:t>
      </w:r>
    </w:p>
    <w:p>
      <w:pPr>
        <w:spacing w:after="0"/>
        <w:ind w:left="0"/>
        <w:jc w:val="both"/>
      </w:pPr>
      <w:r>
        <w:rPr>
          <w:rFonts w:ascii="Times New Roman"/>
          <w:b w:val="false"/>
          <w:i w:val="false"/>
          <w:color w:val="000000"/>
          <w:sz w:val="28"/>
        </w:rPr>
        <w:t>
      промежуточный — А</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средний — В;</w:t>
      </w:r>
    </w:p>
    <w:p>
      <w:pPr>
        <w:spacing w:after="0"/>
        <w:ind w:left="0"/>
        <w:jc w:val="both"/>
      </w:pPr>
      <w:r>
        <w:rPr>
          <w:rFonts w:ascii="Times New Roman"/>
          <w:b w:val="false"/>
          <w:i w:val="false"/>
          <w:color w:val="000000"/>
          <w:sz w:val="28"/>
        </w:rPr>
        <w:t>
      кормовой — С.</w:t>
      </w:r>
    </w:p>
    <w:bookmarkStart w:name="z3151" w:id="3167"/>
    <w:p>
      <w:pPr>
        <w:spacing w:after="0"/>
        <w:ind w:left="0"/>
        <w:jc w:val="both"/>
      </w:pPr>
      <w:r>
        <w:rPr>
          <w:rFonts w:ascii="Times New Roman"/>
          <w:b w:val="false"/>
          <w:i w:val="false"/>
          <w:color w:val="000000"/>
          <w:sz w:val="28"/>
        </w:rPr>
        <w:t>
      По высоте борта и по днищу районы ледовых усилений подразделяются на:</w:t>
      </w:r>
    </w:p>
    <w:bookmarkEnd w:id="3167"/>
    <w:p>
      <w:pPr>
        <w:spacing w:after="0"/>
        <w:ind w:left="0"/>
        <w:jc w:val="both"/>
      </w:pPr>
      <w:r>
        <w:rPr>
          <w:rFonts w:ascii="Times New Roman"/>
          <w:b w:val="false"/>
          <w:i w:val="false"/>
          <w:color w:val="000000"/>
          <w:sz w:val="28"/>
        </w:rPr>
        <w:t>
      район переменных осадок и приравненные к нему районы — I;</w:t>
      </w:r>
    </w:p>
    <w:p>
      <w:pPr>
        <w:spacing w:after="0"/>
        <w:ind w:left="0"/>
        <w:jc w:val="both"/>
      </w:pPr>
      <w:r>
        <w:rPr>
          <w:rFonts w:ascii="Times New Roman"/>
          <w:b w:val="false"/>
          <w:i w:val="false"/>
          <w:color w:val="000000"/>
          <w:sz w:val="28"/>
        </w:rPr>
        <w:t>
      от нижней кромки района I до верхней кромки скулового пояса — II;</w:t>
      </w:r>
    </w:p>
    <w:p>
      <w:pPr>
        <w:spacing w:after="0"/>
        <w:ind w:left="0"/>
        <w:jc w:val="both"/>
      </w:pPr>
      <w:r>
        <w:rPr>
          <w:rFonts w:ascii="Times New Roman"/>
          <w:b w:val="false"/>
          <w:i w:val="false"/>
          <w:color w:val="000000"/>
          <w:sz w:val="28"/>
        </w:rPr>
        <w:t>
      скуловой пояс — III;</w:t>
      </w:r>
    </w:p>
    <w:p>
      <w:pPr>
        <w:spacing w:after="0"/>
        <w:ind w:left="0"/>
        <w:jc w:val="both"/>
      </w:pPr>
      <w:r>
        <w:rPr>
          <w:rFonts w:ascii="Times New Roman"/>
          <w:b w:val="false"/>
          <w:i w:val="false"/>
          <w:color w:val="000000"/>
          <w:sz w:val="28"/>
        </w:rPr>
        <w:t>
      от нижней кромки скулового пояса до диаметральной плоскости — IV;</w:t>
      </w:r>
    </w:p>
    <w:bookmarkStart w:name="z3152" w:id="3168"/>
    <w:p>
      <w:pPr>
        <w:spacing w:after="0"/>
        <w:ind w:left="0"/>
        <w:jc w:val="both"/>
      </w:pPr>
      <w:r>
        <w:rPr>
          <w:rFonts w:ascii="Times New Roman"/>
          <w:b w:val="false"/>
          <w:i w:val="false"/>
          <w:color w:val="000000"/>
          <w:sz w:val="28"/>
        </w:rPr>
        <w:t>
      2) протяженность районов ледовых усилений судов ледового плавания определяется согласно приложениям 117 и 120 настоящих Правил.</w:t>
      </w:r>
    </w:p>
    <w:bookmarkEnd w:id="3168"/>
    <w:bookmarkStart w:name="z3153" w:id="3169"/>
    <w:p>
      <w:pPr>
        <w:spacing w:after="0"/>
        <w:ind w:left="0"/>
        <w:jc w:val="both"/>
      </w:pPr>
      <w:r>
        <w:rPr>
          <w:rFonts w:ascii="Times New Roman"/>
          <w:b w:val="false"/>
          <w:i w:val="false"/>
          <w:color w:val="000000"/>
          <w:sz w:val="28"/>
        </w:rPr>
        <w:t>
      Ледовая ГВЛ определяется как огибающая сверху всех возможных в процессе ледовой эксплуатации судна ватерлиний (без крена).</w:t>
      </w:r>
    </w:p>
    <w:bookmarkEnd w:id="3169"/>
    <w:bookmarkStart w:name="z3154" w:id="3170"/>
    <w:p>
      <w:pPr>
        <w:spacing w:after="0"/>
        <w:ind w:left="0"/>
        <w:jc w:val="both"/>
      </w:pPr>
      <w:r>
        <w:rPr>
          <w:rFonts w:ascii="Times New Roman"/>
          <w:b w:val="false"/>
          <w:i w:val="false"/>
          <w:color w:val="000000"/>
          <w:sz w:val="28"/>
        </w:rPr>
        <w:t>
      Для судов с ледовыми усилениями категорий Ice1, Ice2, Iсе3 промежуточный район усилений не выделяется. В этом случае следует считать, что кормовая граница носового района совпадает с носовой границей среднего района усилений;</w:t>
      </w:r>
    </w:p>
    <w:bookmarkEnd w:id="3170"/>
    <w:bookmarkStart w:name="z3155" w:id="3171"/>
    <w:p>
      <w:pPr>
        <w:spacing w:after="0"/>
        <w:ind w:left="0"/>
        <w:jc w:val="both"/>
      </w:pPr>
      <w:r>
        <w:rPr>
          <w:rFonts w:ascii="Times New Roman"/>
          <w:b w:val="false"/>
          <w:i w:val="false"/>
          <w:color w:val="000000"/>
          <w:sz w:val="28"/>
        </w:rPr>
        <w:t>
      3) протяженность районов ледовых усилений ледоколов определяется согласно приложениям 121 и 118 настоящих Правил;</w:t>
      </w:r>
    </w:p>
    <w:bookmarkEnd w:id="3171"/>
    <w:bookmarkStart w:name="z3156" w:id="3172"/>
    <w:p>
      <w:pPr>
        <w:spacing w:after="0"/>
        <w:ind w:left="0"/>
        <w:jc w:val="both"/>
      </w:pPr>
      <w:r>
        <w:rPr>
          <w:rFonts w:ascii="Times New Roman"/>
          <w:b w:val="false"/>
          <w:i w:val="false"/>
          <w:color w:val="000000"/>
          <w:sz w:val="28"/>
        </w:rPr>
        <w:t>
      4) в зависимости от категории ледовых усилений требования главы распространяются на районы ледовых усилений, отмеченные в приложении 119 настоящих Правил знаком "+". Отсутствие в графе приложения 119 настоящих Правил знака "+" означает, что на данный район усилений требования главы не распространяются.</w:t>
      </w:r>
    </w:p>
    <w:bookmarkEnd w:id="3172"/>
    <w:bookmarkStart w:name="z3157" w:id="3173"/>
    <w:p>
      <w:pPr>
        <w:spacing w:after="0"/>
        <w:ind w:left="0"/>
        <w:jc w:val="left"/>
      </w:pPr>
      <w:r>
        <w:rPr>
          <w:rFonts w:ascii="Times New Roman"/>
          <w:b/>
          <w:i w:val="false"/>
          <w:color w:val="000000"/>
        </w:rPr>
        <w:t xml:space="preserve"> Параграф 2. Конструкция</w:t>
      </w:r>
    </w:p>
    <w:bookmarkEnd w:id="3173"/>
    <w:bookmarkStart w:name="z3158" w:id="3174"/>
    <w:p>
      <w:pPr>
        <w:spacing w:after="0"/>
        <w:ind w:left="0"/>
        <w:jc w:val="both"/>
      </w:pPr>
      <w:r>
        <w:rPr>
          <w:rFonts w:ascii="Times New Roman"/>
          <w:b w:val="false"/>
          <w:i w:val="false"/>
          <w:color w:val="000000"/>
          <w:sz w:val="28"/>
        </w:rPr>
        <w:t>
      817. Конструкция бортовых перекрытий с поперечной системой набора предусматривает следующее:</w:t>
      </w:r>
    </w:p>
    <w:bookmarkEnd w:id="3174"/>
    <w:bookmarkStart w:name="z3159" w:id="3175"/>
    <w:p>
      <w:pPr>
        <w:spacing w:after="0"/>
        <w:ind w:left="0"/>
        <w:jc w:val="both"/>
      </w:pPr>
      <w:r>
        <w:rPr>
          <w:rFonts w:ascii="Times New Roman"/>
          <w:b w:val="false"/>
          <w:i w:val="false"/>
          <w:color w:val="000000"/>
          <w:sz w:val="28"/>
        </w:rPr>
        <w:t>
      1) перекрытие включает вертикальные балки основного набора, называемые обыкновенными шпангоутами, вертикальные рамные связи, называемые рамными шпангоутами и продольные балки, называемые стрингерами.</w:t>
      </w:r>
    </w:p>
    <w:bookmarkEnd w:id="3175"/>
    <w:bookmarkStart w:name="z3160" w:id="3176"/>
    <w:p>
      <w:pPr>
        <w:spacing w:after="0"/>
        <w:ind w:left="0"/>
        <w:jc w:val="both"/>
      </w:pPr>
      <w:r>
        <w:rPr>
          <w:rFonts w:ascii="Times New Roman"/>
          <w:b w:val="false"/>
          <w:i w:val="false"/>
          <w:color w:val="000000"/>
          <w:sz w:val="28"/>
        </w:rPr>
        <w:t>
      Обыкновенные шпангоуты разделяются на:</w:t>
      </w:r>
    </w:p>
    <w:bookmarkEnd w:id="3176"/>
    <w:bookmarkStart w:name="z3161" w:id="3177"/>
    <w:p>
      <w:pPr>
        <w:spacing w:after="0"/>
        <w:ind w:left="0"/>
        <w:jc w:val="both"/>
      </w:pPr>
      <w:r>
        <w:rPr>
          <w:rFonts w:ascii="Times New Roman"/>
          <w:b w:val="false"/>
          <w:i w:val="false"/>
          <w:color w:val="000000"/>
          <w:sz w:val="28"/>
        </w:rPr>
        <w:t>
      основные, расположенные в плоскости флоров или скуловых бракет;</w:t>
      </w:r>
    </w:p>
    <w:bookmarkEnd w:id="3177"/>
    <w:bookmarkStart w:name="z3162" w:id="3178"/>
    <w:p>
      <w:pPr>
        <w:spacing w:after="0"/>
        <w:ind w:left="0"/>
        <w:jc w:val="both"/>
      </w:pPr>
      <w:r>
        <w:rPr>
          <w:rFonts w:ascii="Times New Roman"/>
          <w:b w:val="false"/>
          <w:i w:val="false"/>
          <w:color w:val="000000"/>
          <w:sz w:val="28"/>
        </w:rPr>
        <w:t>
      промежуточные, не расположенные в плоскости флоров или скуловых бракет.</w:t>
      </w:r>
    </w:p>
    <w:bookmarkEnd w:id="3178"/>
    <w:bookmarkStart w:name="z3163" w:id="3179"/>
    <w:p>
      <w:pPr>
        <w:spacing w:after="0"/>
        <w:ind w:left="0"/>
        <w:jc w:val="both"/>
      </w:pPr>
      <w:r>
        <w:rPr>
          <w:rFonts w:ascii="Times New Roman"/>
          <w:b w:val="false"/>
          <w:i w:val="false"/>
          <w:color w:val="000000"/>
          <w:sz w:val="28"/>
        </w:rPr>
        <w:t>
      Наличие в перекрытии промежуточных шпангоутов не обязательно.</w:t>
      </w:r>
    </w:p>
    <w:bookmarkEnd w:id="3179"/>
    <w:bookmarkStart w:name="z3164" w:id="3180"/>
    <w:p>
      <w:pPr>
        <w:spacing w:after="0"/>
        <w:ind w:left="0"/>
        <w:jc w:val="both"/>
      </w:pPr>
      <w:r>
        <w:rPr>
          <w:rFonts w:ascii="Times New Roman"/>
          <w:b w:val="false"/>
          <w:i w:val="false"/>
          <w:color w:val="000000"/>
          <w:sz w:val="28"/>
        </w:rPr>
        <w:t>
      Между каждыми двумя соседними основными шпангоутами допускается установка не более одного промежуточного шпангоута.</w:t>
      </w:r>
    </w:p>
    <w:bookmarkEnd w:id="3180"/>
    <w:bookmarkStart w:name="z3165" w:id="3181"/>
    <w:p>
      <w:pPr>
        <w:spacing w:after="0"/>
        <w:ind w:left="0"/>
        <w:jc w:val="both"/>
      </w:pPr>
      <w:r>
        <w:rPr>
          <w:rFonts w:ascii="Times New Roman"/>
          <w:b w:val="false"/>
          <w:i w:val="false"/>
          <w:color w:val="000000"/>
          <w:sz w:val="28"/>
        </w:rPr>
        <w:t>
      Стрингеры разделяются на:</w:t>
      </w:r>
    </w:p>
    <w:bookmarkEnd w:id="3181"/>
    <w:bookmarkStart w:name="z3166" w:id="3182"/>
    <w:p>
      <w:pPr>
        <w:spacing w:after="0"/>
        <w:ind w:left="0"/>
        <w:jc w:val="both"/>
      </w:pPr>
      <w:r>
        <w:rPr>
          <w:rFonts w:ascii="Times New Roman"/>
          <w:b w:val="false"/>
          <w:i w:val="false"/>
          <w:color w:val="000000"/>
          <w:sz w:val="28"/>
        </w:rPr>
        <w:t>
      разносящие, обеспечивающие совместную работу шпангоутов при воздействии локальных ледовых нагрузок. Разносящие стрингеры рекомендуется выполнять интеркостельными;</w:t>
      </w:r>
    </w:p>
    <w:bookmarkEnd w:id="3182"/>
    <w:bookmarkStart w:name="z3167" w:id="3183"/>
    <w:p>
      <w:pPr>
        <w:spacing w:after="0"/>
        <w:ind w:left="0"/>
        <w:jc w:val="both"/>
      </w:pPr>
      <w:r>
        <w:rPr>
          <w:rFonts w:ascii="Times New Roman"/>
          <w:b w:val="false"/>
          <w:i w:val="false"/>
          <w:color w:val="000000"/>
          <w:sz w:val="28"/>
        </w:rPr>
        <w:t>
      несущие, обеспечивающие передачу усилий от непосредственно воспринимающих ледовую нагрузку обыкновенных шпангоутов на рамные шпангоуты или поперечные переборки.</w:t>
      </w:r>
    </w:p>
    <w:bookmarkEnd w:id="3183"/>
    <w:bookmarkStart w:name="z3168" w:id="3184"/>
    <w:p>
      <w:pPr>
        <w:spacing w:after="0"/>
        <w:ind w:left="0"/>
        <w:jc w:val="both"/>
      </w:pPr>
      <w:r>
        <w:rPr>
          <w:rFonts w:ascii="Times New Roman"/>
          <w:b w:val="false"/>
          <w:i w:val="false"/>
          <w:color w:val="000000"/>
          <w:sz w:val="28"/>
        </w:rPr>
        <w:t>
      Допускаются следующие конструкции бортовых перекрытий:</w:t>
      </w:r>
    </w:p>
    <w:bookmarkEnd w:id="3184"/>
    <w:bookmarkStart w:name="z3169" w:id="3185"/>
    <w:p>
      <w:pPr>
        <w:spacing w:after="0"/>
        <w:ind w:left="0"/>
        <w:jc w:val="both"/>
      </w:pPr>
      <w:r>
        <w:rPr>
          <w:rFonts w:ascii="Times New Roman"/>
          <w:b w:val="false"/>
          <w:i w:val="false"/>
          <w:color w:val="000000"/>
          <w:sz w:val="28"/>
        </w:rPr>
        <w:t>
      перекрытие с монотонной поперечной системой набора. Состоит из обыкновенных шпангоутов одинакового профиля и разносящих интеркостельных стрингеров;</w:t>
      </w:r>
    </w:p>
    <w:bookmarkEnd w:id="3185"/>
    <w:bookmarkStart w:name="z3170" w:id="3186"/>
    <w:p>
      <w:pPr>
        <w:spacing w:after="0"/>
        <w:ind w:left="0"/>
        <w:jc w:val="both"/>
      </w:pPr>
      <w:r>
        <w:rPr>
          <w:rFonts w:ascii="Times New Roman"/>
          <w:b w:val="false"/>
          <w:i w:val="false"/>
          <w:color w:val="000000"/>
          <w:sz w:val="28"/>
        </w:rPr>
        <w:t>
      перекрытие с рамной поперечной системой набора. Состоит из обыкновенных шпангоутов, несущих стрингеров и рамных шпангоутов. Наряду с несущими стрингерами допускается установка разносящих стрингеров.</w:t>
      </w:r>
    </w:p>
    <w:bookmarkEnd w:id="3186"/>
    <w:bookmarkStart w:name="z3171" w:id="3187"/>
    <w:p>
      <w:pPr>
        <w:spacing w:after="0"/>
        <w:ind w:left="0"/>
        <w:jc w:val="both"/>
      </w:pPr>
      <w:r>
        <w:rPr>
          <w:rFonts w:ascii="Times New Roman"/>
          <w:b w:val="false"/>
          <w:i w:val="false"/>
          <w:color w:val="000000"/>
          <w:sz w:val="28"/>
        </w:rPr>
        <w:t>
      При наличии двойного борта роль рамных шпангоутов выполняют вертикальные диафрагмы, несущих стрингеров — горизонтальные диафрагмы.</w:t>
      </w:r>
    </w:p>
    <w:bookmarkEnd w:id="3187"/>
    <w:bookmarkStart w:name="z3172" w:id="3188"/>
    <w:p>
      <w:pPr>
        <w:spacing w:after="0"/>
        <w:ind w:left="0"/>
        <w:jc w:val="both"/>
      </w:pPr>
      <w:r>
        <w:rPr>
          <w:rFonts w:ascii="Times New Roman"/>
          <w:b w:val="false"/>
          <w:i w:val="false"/>
          <w:color w:val="000000"/>
          <w:sz w:val="28"/>
        </w:rPr>
        <w:t>
      2) крепление концов основных шпангоутов удовлетворяет требованиям параграфа 4 главы 19 настоящих Правил. На ледоколах на каждом основном шпангоуте устанавливают сплошные флоры. Крепление концов промежуточных шпангоутов отвечает следующим требованиям.</w:t>
      </w:r>
    </w:p>
    <w:bookmarkEnd w:id="3188"/>
    <w:bookmarkStart w:name="z3173" w:id="3189"/>
    <w:p>
      <w:pPr>
        <w:spacing w:after="0"/>
        <w:ind w:left="0"/>
        <w:jc w:val="both"/>
      </w:pPr>
      <w:r>
        <w:rPr>
          <w:rFonts w:ascii="Times New Roman"/>
          <w:b w:val="false"/>
          <w:i w:val="false"/>
          <w:color w:val="000000"/>
          <w:sz w:val="28"/>
        </w:rPr>
        <w:t>
      На судах с ледовыми усилениями категорий Ice1, Ice2, Ice3 при монотонной системе набора допускается закрепление нижних концов промежуточных шпангоутов на продольной интеркостельной связи, установленной на 1000 мм ниже нижней границы района I.</w:t>
      </w:r>
    </w:p>
    <w:bookmarkEnd w:id="3189"/>
    <w:bookmarkStart w:name="z3174" w:id="3190"/>
    <w:p>
      <w:pPr>
        <w:spacing w:after="0"/>
        <w:ind w:left="0"/>
        <w:jc w:val="both"/>
      </w:pPr>
      <w:r>
        <w:rPr>
          <w:rFonts w:ascii="Times New Roman"/>
          <w:b w:val="false"/>
          <w:i w:val="false"/>
          <w:color w:val="000000"/>
          <w:sz w:val="28"/>
        </w:rPr>
        <w:t>
      При системе набора с рамными шпангоутами на судах с ледовыми усилениями категорий Ice1, Ice2, Ice3, за исключением района А категории Ice3, допускается закрепление нижних концов промежуточных шпангоутов на продольной связи (которая выполняется интеркостельной), установленной на 1000 мм ниже несущего стрингера, располагающегося ниже нижней границы района I (приложение 124 настоящих Правил). При этом площадь стенки и пластический момент сопротивления указанного несущего стрингера не менее, требуемых для стрингера, установленного в районе I.</w:t>
      </w:r>
    </w:p>
    <w:bookmarkEnd w:id="3190"/>
    <w:bookmarkStart w:name="z3175" w:id="3191"/>
    <w:p>
      <w:pPr>
        <w:spacing w:after="0"/>
        <w:ind w:left="0"/>
        <w:jc w:val="both"/>
      </w:pPr>
      <w:r>
        <w:rPr>
          <w:rFonts w:ascii="Times New Roman"/>
          <w:b w:val="false"/>
          <w:i w:val="false"/>
          <w:color w:val="000000"/>
          <w:sz w:val="28"/>
        </w:rPr>
        <w:t>
      На судах с ледовыми усилениями категорий Ice1, Ice2, Ice3 при монотонной системе набора допускается закрепление верхних концов промежуточных шпангоутов на продольной интеркостельной связи, установленной на 500 мм выше верхней границы района I.</w:t>
      </w:r>
    </w:p>
    <w:bookmarkEnd w:id="3191"/>
    <w:bookmarkStart w:name="z3176" w:id="3192"/>
    <w:p>
      <w:pPr>
        <w:spacing w:after="0"/>
        <w:ind w:left="0"/>
        <w:jc w:val="both"/>
      </w:pPr>
      <w:r>
        <w:rPr>
          <w:rFonts w:ascii="Times New Roman"/>
          <w:b w:val="false"/>
          <w:i w:val="false"/>
          <w:color w:val="000000"/>
          <w:sz w:val="28"/>
        </w:rPr>
        <w:t>
      При системе набора с рамными шпангоутами на судах с ледовыми усилениями категорий Ice1, Ice2, Ice3 допускается закрепление верхних концов промежуточных шпангоутов на продольной связи (которая выполняется интеркостельной), установленной на 500 мм выше несущего стрингера, располагающегося выше верхней границы района I (приложение 124 настоящих Правил). При этом площадь стенки и предельный момент сопротивления указанного несущего стрингера не менее, требуемых для стрингера, установленного в районе I;</w:t>
      </w:r>
    </w:p>
    <w:bookmarkEnd w:id="3192"/>
    <w:bookmarkStart w:name="z3177" w:id="3193"/>
    <w:p>
      <w:pPr>
        <w:spacing w:after="0"/>
        <w:ind w:left="0"/>
        <w:jc w:val="both"/>
      </w:pPr>
      <w:r>
        <w:rPr>
          <w:rFonts w:ascii="Times New Roman"/>
          <w:b w:val="false"/>
          <w:i w:val="false"/>
          <w:color w:val="000000"/>
          <w:sz w:val="28"/>
        </w:rPr>
        <w:t>
      4) на судах с ледовыми усилениями категорий Ice1, Ice2, Ice3 в районе I это расстояние не превышает 3 м.</w:t>
      </w:r>
    </w:p>
    <w:bookmarkEnd w:id="3193"/>
    <w:bookmarkStart w:name="z3178" w:id="3194"/>
    <w:p>
      <w:pPr>
        <w:spacing w:after="0"/>
        <w:ind w:left="0"/>
        <w:jc w:val="both"/>
      </w:pPr>
      <w:r>
        <w:rPr>
          <w:rFonts w:ascii="Times New Roman"/>
          <w:b w:val="false"/>
          <w:i w:val="false"/>
          <w:color w:val="000000"/>
          <w:sz w:val="28"/>
        </w:rPr>
        <w:t>
      По высоте борта стрингеры располагаются в районах грузовой и балластной ватерлиний. Если на этом уровне располагается палуба или платформа, то установка стрингера не требуется. Стрингеры крепятся к переборкам при помощи книц.</w:t>
      </w:r>
    </w:p>
    <w:bookmarkEnd w:id="3194"/>
    <w:bookmarkStart w:name="z3179" w:id="3195"/>
    <w:p>
      <w:pPr>
        <w:spacing w:after="0"/>
        <w:ind w:left="0"/>
        <w:jc w:val="both"/>
      </w:pPr>
      <w:r>
        <w:rPr>
          <w:rFonts w:ascii="Times New Roman"/>
          <w:b w:val="false"/>
          <w:i w:val="false"/>
          <w:color w:val="000000"/>
          <w:sz w:val="28"/>
        </w:rPr>
        <w:t>
      818. Определение опорных сечений балок в перекрытиях с поперечной системой набора осуществляется при соблюдении следующих условий:</w:t>
      </w:r>
    </w:p>
    <w:bookmarkEnd w:id="3195"/>
    <w:bookmarkStart w:name="z3180" w:id="3196"/>
    <w:p>
      <w:pPr>
        <w:spacing w:after="0"/>
        <w:ind w:left="0"/>
        <w:jc w:val="both"/>
      </w:pPr>
      <w:r>
        <w:rPr>
          <w:rFonts w:ascii="Times New Roman"/>
          <w:b w:val="false"/>
          <w:i w:val="false"/>
          <w:color w:val="000000"/>
          <w:sz w:val="28"/>
        </w:rPr>
        <w:t>
      1) опорные сечения обыкновенных и рамных шпангоутов образуются только на опорных конструкциях.</w:t>
      </w:r>
    </w:p>
    <w:bookmarkEnd w:id="3196"/>
    <w:bookmarkStart w:name="z3181" w:id="3197"/>
    <w:p>
      <w:pPr>
        <w:spacing w:after="0"/>
        <w:ind w:left="0"/>
        <w:jc w:val="both"/>
      </w:pPr>
      <w:r>
        <w:rPr>
          <w:rFonts w:ascii="Times New Roman"/>
          <w:b w:val="false"/>
          <w:i w:val="false"/>
          <w:color w:val="000000"/>
          <w:sz w:val="28"/>
        </w:rPr>
        <w:t>
      Опорными конструкциями для шпангоутов считаются горизонтальные перекрытия (палубы, платформы, днище). Опорная конструкция состоит из настила (палуб, платформ, второго дна) и соединенного с ним набора (бимсы, полубимсы, флоры, скуловые бракеты). При отсутствии второго дна использование приводимых ниже формулировок следует осуществлять в предположении, что настил условно расположен на уровне свободных поясков флоров;</w:t>
      </w:r>
    </w:p>
    <w:bookmarkEnd w:id="3197"/>
    <w:bookmarkStart w:name="z3182" w:id="3198"/>
    <w:p>
      <w:pPr>
        <w:spacing w:after="0"/>
        <w:ind w:left="0"/>
        <w:jc w:val="both"/>
      </w:pPr>
      <w:r>
        <w:rPr>
          <w:rFonts w:ascii="Times New Roman"/>
          <w:b w:val="false"/>
          <w:i w:val="false"/>
          <w:color w:val="000000"/>
          <w:sz w:val="28"/>
        </w:rPr>
        <w:t>
      2) опорное сечение обыкновенного шпангоута считается защемленным, если выполняется хотя бы одно из следующих условий:</w:t>
      </w:r>
    </w:p>
    <w:bookmarkEnd w:id="3198"/>
    <w:bookmarkStart w:name="z3183" w:id="3199"/>
    <w:p>
      <w:pPr>
        <w:spacing w:after="0"/>
        <w:ind w:left="0"/>
        <w:jc w:val="both"/>
      </w:pPr>
      <w:r>
        <w:rPr>
          <w:rFonts w:ascii="Times New Roman"/>
          <w:b w:val="false"/>
          <w:i w:val="false"/>
          <w:color w:val="000000"/>
          <w:sz w:val="28"/>
        </w:rPr>
        <w:t>
      шпангоут соединен с набором опорной конструкции;</w:t>
      </w:r>
    </w:p>
    <w:bookmarkEnd w:id="3199"/>
    <w:bookmarkStart w:name="z3184" w:id="3200"/>
    <w:p>
      <w:pPr>
        <w:spacing w:after="0"/>
        <w:ind w:left="0"/>
        <w:jc w:val="both"/>
      </w:pPr>
      <w:r>
        <w:rPr>
          <w:rFonts w:ascii="Times New Roman"/>
          <w:b w:val="false"/>
          <w:i w:val="false"/>
          <w:color w:val="000000"/>
          <w:sz w:val="28"/>
        </w:rPr>
        <w:t>
      шпангоут пересекает настил опорной конструкции.</w:t>
      </w:r>
    </w:p>
    <w:bookmarkEnd w:id="3200"/>
    <w:bookmarkStart w:name="z3185" w:id="3201"/>
    <w:p>
      <w:pPr>
        <w:spacing w:after="0"/>
        <w:ind w:left="0"/>
        <w:jc w:val="both"/>
      </w:pPr>
      <w:r>
        <w:rPr>
          <w:rFonts w:ascii="Times New Roman"/>
          <w:b w:val="false"/>
          <w:i w:val="false"/>
          <w:color w:val="000000"/>
          <w:sz w:val="28"/>
        </w:rPr>
        <w:t>
      Опорное сечение считается свободно опертым, если обыкновенный шпангоут не соединен с набором опорной конструкции и закончен на ее настиле.</w:t>
      </w:r>
    </w:p>
    <w:bookmarkEnd w:id="3201"/>
    <w:bookmarkStart w:name="z3186" w:id="3202"/>
    <w:p>
      <w:pPr>
        <w:spacing w:after="0"/>
        <w:ind w:left="0"/>
        <w:jc w:val="both"/>
      </w:pPr>
      <w:r>
        <w:rPr>
          <w:rFonts w:ascii="Times New Roman"/>
          <w:b w:val="false"/>
          <w:i w:val="false"/>
          <w:color w:val="000000"/>
          <w:sz w:val="28"/>
        </w:rPr>
        <w:t>
      Если обыкновенный шпангоут оканчивается на продольной интеркостельной связи (разносящем стрингере), то его конец считается свободным, то есть опорное сечение отсутствует;</w:t>
      </w:r>
    </w:p>
    <w:bookmarkEnd w:id="3202"/>
    <w:bookmarkStart w:name="z3187" w:id="3203"/>
    <w:p>
      <w:pPr>
        <w:spacing w:after="0"/>
        <w:ind w:left="0"/>
        <w:jc w:val="both"/>
      </w:pPr>
      <w:r>
        <w:rPr>
          <w:rFonts w:ascii="Times New Roman"/>
          <w:b w:val="false"/>
          <w:i w:val="false"/>
          <w:color w:val="000000"/>
          <w:sz w:val="28"/>
        </w:rPr>
        <w:t>
      3) положение опорного сечения шпангоута (обыкновенного или рамного) определяется следующим образом.</w:t>
      </w:r>
    </w:p>
    <w:bookmarkEnd w:id="3203"/>
    <w:bookmarkStart w:name="z3188" w:id="3204"/>
    <w:p>
      <w:pPr>
        <w:spacing w:after="0"/>
        <w:ind w:left="0"/>
        <w:jc w:val="both"/>
      </w:pPr>
      <w:r>
        <w:rPr>
          <w:rFonts w:ascii="Times New Roman"/>
          <w:b w:val="false"/>
          <w:i w:val="false"/>
          <w:color w:val="000000"/>
          <w:sz w:val="28"/>
        </w:rPr>
        <w:t>
      Если шпангоут соединен только с настилом опорной конструкции, то опорное сечение совпадает с плоскостью настила.</w:t>
      </w:r>
    </w:p>
    <w:bookmarkEnd w:id="3204"/>
    <w:bookmarkStart w:name="z3189" w:id="3205"/>
    <w:p>
      <w:pPr>
        <w:spacing w:after="0"/>
        <w:ind w:left="0"/>
        <w:jc w:val="both"/>
      </w:pPr>
      <w:r>
        <w:rPr>
          <w:rFonts w:ascii="Times New Roman"/>
          <w:b w:val="false"/>
          <w:i w:val="false"/>
          <w:color w:val="000000"/>
          <w:sz w:val="28"/>
        </w:rPr>
        <w:t>
      Если шпангоут соединен с набором опорной конструкции, то опорное сечение:</w:t>
      </w:r>
    </w:p>
    <w:bookmarkEnd w:id="3205"/>
    <w:bookmarkStart w:name="z3190" w:id="3206"/>
    <w:p>
      <w:pPr>
        <w:spacing w:after="0"/>
        <w:ind w:left="0"/>
        <w:jc w:val="both"/>
      </w:pPr>
      <w:r>
        <w:rPr>
          <w:rFonts w:ascii="Times New Roman"/>
          <w:b w:val="false"/>
          <w:i w:val="false"/>
          <w:color w:val="000000"/>
          <w:sz w:val="28"/>
        </w:rPr>
        <w:t>
      совпадает с плоскостью свободного пояска балки опорной конструкции при бескничном соединении;</w:t>
      </w:r>
    </w:p>
    <w:bookmarkEnd w:id="3206"/>
    <w:bookmarkStart w:name="z3191" w:id="3207"/>
    <w:p>
      <w:pPr>
        <w:spacing w:after="0"/>
        <w:ind w:left="0"/>
        <w:jc w:val="both"/>
      </w:pPr>
      <w:r>
        <w:rPr>
          <w:rFonts w:ascii="Times New Roman"/>
          <w:b w:val="false"/>
          <w:i w:val="false"/>
          <w:color w:val="000000"/>
          <w:sz w:val="28"/>
        </w:rPr>
        <w:t>
      располагается у конца кницы при установке книц с прямолинейной или скругленной подкрепленной кромкой;</w:t>
      </w:r>
    </w:p>
    <w:bookmarkEnd w:id="3207"/>
    <w:bookmarkStart w:name="z3192" w:id="3208"/>
    <w:p>
      <w:pPr>
        <w:spacing w:after="0"/>
        <w:ind w:left="0"/>
        <w:jc w:val="both"/>
      </w:pPr>
      <w:r>
        <w:rPr>
          <w:rFonts w:ascii="Times New Roman"/>
          <w:b w:val="false"/>
          <w:i w:val="false"/>
          <w:color w:val="000000"/>
          <w:sz w:val="28"/>
        </w:rPr>
        <w:t>
      располагается посередине катета кницы при установке книц со скругленной свободной кромкой;</w:t>
      </w:r>
    </w:p>
    <w:bookmarkEnd w:id="3208"/>
    <w:bookmarkStart w:name="z3193" w:id="3209"/>
    <w:p>
      <w:pPr>
        <w:spacing w:after="0"/>
        <w:ind w:left="0"/>
        <w:jc w:val="both"/>
      </w:pPr>
      <w:r>
        <w:rPr>
          <w:rFonts w:ascii="Times New Roman"/>
          <w:b w:val="false"/>
          <w:i w:val="false"/>
          <w:color w:val="000000"/>
          <w:sz w:val="28"/>
        </w:rPr>
        <w:t>
      4) при определении условий закрепления и положения опорных сечений типовых конструкций наряду с требованиями подпунктов 2) и 3) пункта 818 настоящих Правил рекомендуется руководствоваться данными приложения 125 настоящих Правил (положение опорного сечения на эскизах приложения 125 настоящих Правил указано стрелкой).</w:t>
      </w:r>
    </w:p>
    <w:bookmarkEnd w:id="3209"/>
    <w:bookmarkStart w:name="z3194" w:id="3210"/>
    <w:p>
      <w:pPr>
        <w:spacing w:after="0"/>
        <w:ind w:left="0"/>
        <w:jc w:val="both"/>
      </w:pPr>
      <w:r>
        <w:rPr>
          <w:rFonts w:ascii="Times New Roman"/>
          <w:b w:val="false"/>
          <w:i w:val="false"/>
          <w:color w:val="000000"/>
          <w:sz w:val="28"/>
        </w:rPr>
        <w:t>
      819. Конструкция бортовых перекрытий с продольной системой набора должна предусматривать следующее:</w:t>
      </w:r>
    </w:p>
    <w:bookmarkEnd w:id="3210"/>
    <w:bookmarkStart w:name="z3195" w:id="3211"/>
    <w:p>
      <w:pPr>
        <w:spacing w:after="0"/>
        <w:ind w:left="0"/>
        <w:jc w:val="both"/>
      </w:pPr>
      <w:r>
        <w:rPr>
          <w:rFonts w:ascii="Times New Roman"/>
          <w:b w:val="false"/>
          <w:i w:val="false"/>
          <w:color w:val="000000"/>
          <w:sz w:val="28"/>
        </w:rPr>
        <w:t>
      1) допускается конструкция бортового перекрытия с продольной системой набора, состоящего из продольных балок и рамных шпангоутов. Между рамными шпангоутами устанавливают дополнительные интеркостельные шпангоуты (подпункт 3) настоящего пункта Правил.</w:t>
      </w:r>
    </w:p>
    <w:bookmarkEnd w:id="3211"/>
    <w:bookmarkStart w:name="z3196" w:id="3212"/>
    <w:p>
      <w:pPr>
        <w:spacing w:after="0"/>
        <w:ind w:left="0"/>
        <w:jc w:val="both"/>
      </w:pPr>
      <w:r>
        <w:rPr>
          <w:rFonts w:ascii="Times New Roman"/>
          <w:b w:val="false"/>
          <w:i w:val="false"/>
          <w:color w:val="000000"/>
          <w:sz w:val="28"/>
        </w:rPr>
        <w:t>
      При наличии двойного борта роль рамных шпангоутов выполняют вертикальные диафрагмы. Если в конструкции двойного борта имеются горизонтальные диафрагмы, они рассматриваются как платформы; на них распространяются требования пунктов 820 и 840 настоящих Правил к платформам. Применение продольной системы набора на ледоколах не рекомендуется;</w:t>
      </w:r>
    </w:p>
    <w:bookmarkEnd w:id="3212"/>
    <w:bookmarkStart w:name="z3197" w:id="3213"/>
    <w:p>
      <w:pPr>
        <w:spacing w:after="0"/>
        <w:ind w:left="0"/>
        <w:jc w:val="both"/>
      </w:pPr>
      <w:r>
        <w:rPr>
          <w:rFonts w:ascii="Times New Roman"/>
          <w:b w:val="false"/>
          <w:i w:val="false"/>
          <w:color w:val="000000"/>
          <w:sz w:val="28"/>
        </w:rPr>
        <w:t>
      2) продольные балки, разрезаемые на листовых конструкциях (пункт 820 настоящих Правил), с обеих сторон от листовой конструкции крепится кницами, а стенки продольных балок привариваются к листовой конструкции;</w:t>
      </w:r>
    </w:p>
    <w:bookmarkEnd w:id="3213"/>
    <w:bookmarkStart w:name="z3198" w:id="3214"/>
    <w:p>
      <w:pPr>
        <w:spacing w:after="0"/>
        <w:ind w:left="0"/>
        <w:jc w:val="both"/>
      </w:pPr>
      <w:r>
        <w:rPr>
          <w:rFonts w:ascii="Times New Roman"/>
          <w:b w:val="false"/>
          <w:i w:val="false"/>
          <w:color w:val="000000"/>
          <w:sz w:val="28"/>
        </w:rPr>
        <w:t>
      3) установка дополнительных шпангоутов требуется на ледоколах в случае, если расстояние между рамными шпангоутами превышает 2,0 м.</w:t>
      </w:r>
    </w:p>
    <w:bookmarkEnd w:id="3214"/>
    <w:bookmarkStart w:name="z3199" w:id="3215"/>
    <w:p>
      <w:pPr>
        <w:spacing w:after="0"/>
        <w:ind w:left="0"/>
        <w:jc w:val="both"/>
      </w:pPr>
      <w:r>
        <w:rPr>
          <w:rFonts w:ascii="Times New Roman"/>
          <w:b w:val="false"/>
          <w:i w:val="false"/>
          <w:color w:val="000000"/>
          <w:sz w:val="28"/>
        </w:rPr>
        <w:t>
      Независимо от категории ледовых усилений способ закрепления концов дополнительных шпангоутов применяется тот же, что и для промежуточных шпангоутов судов с ледовыми усилениями категорий Ice1, Ice2, Ice3 при поперечной монотонной системе набора согласно подпункту 3) пункта 817 настоящих Правил.</w:t>
      </w:r>
    </w:p>
    <w:bookmarkEnd w:id="3215"/>
    <w:bookmarkStart w:name="z3200" w:id="3216"/>
    <w:p>
      <w:pPr>
        <w:spacing w:after="0"/>
        <w:ind w:left="0"/>
        <w:jc w:val="both"/>
      </w:pPr>
      <w:r>
        <w:rPr>
          <w:rFonts w:ascii="Times New Roman"/>
          <w:b w:val="false"/>
          <w:i w:val="false"/>
          <w:color w:val="000000"/>
          <w:sz w:val="28"/>
        </w:rPr>
        <w:t>
      820. К листовыми конструкциям, под которыми понимаются прилегающие к наружной обшивке участки настилов палуб, платформ и второго дна, обшивки поперечных переборок, стенок рамных шпангоутов, несущих бортовых и днищевых стрингеров, вертикального киля, сплошных и облегченных флоров, скуловых бракет, применяются следующие требования:</w:t>
      </w:r>
    </w:p>
    <w:bookmarkEnd w:id="3216"/>
    <w:bookmarkStart w:name="z3201" w:id="3217"/>
    <w:p>
      <w:pPr>
        <w:spacing w:after="0"/>
        <w:ind w:left="0"/>
        <w:jc w:val="both"/>
      </w:pPr>
      <w:r>
        <w:rPr>
          <w:rFonts w:ascii="Times New Roman"/>
          <w:b w:val="false"/>
          <w:i w:val="false"/>
          <w:color w:val="000000"/>
          <w:sz w:val="28"/>
        </w:rPr>
        <w:t>
      1) для перечисленных в настоящем пункте листовых конструкций корпусных связей устанавливаются следующие размеры участков, на которые распространяются требования к листовым конструкциям:</w:t>
      </w:r>
    </w:p>
    <w:bookmarkEnd w:id="3217"/>
    <w:bookmarkStart w:name="z3202" w:id="3218"/>
    <w:p>
      <w:pPr>
        <w:spacing w:after="0"/>
        <w:ind w:left="0"/>
        <w:jc w:val="both"/>
      </w:pPr>
      <w:r>
        <w:rPr>
          <w:rFonts w:ascii="Times New Roman"/>
          <w:b w:val="false"/>
          <w:i w:val="false"/>
          <w:color w:val="000000"/>
          <w:sz w:val="28"/>
        </w:rPr>
        <w:t>
      переборки форпика и ахтерпика ледоколов — на всей ширине; остальных категорий — на ширине 1,2 м от наружной обшивки;</w:t>
      </w:r>
    </w:p>
    <w:bookmarkEnd w:id="3218"/>
    <w:bookmarkStart w:name="z3203" w:id="3219"/>
    <w:p>
      <w:pPr>
        <w:spacing w:after="0"/>
        <w:ind w:left="0"/>
        <w:jc w:val="both"/>
      </w:pPr>
      <w:r>
        <w:rPr>
          <w:rFonts w:ascii="Times New Roman"/>
          <w:b w:val="false"/>
          <w:i w:val="false"/>
          <w:color w:val="000000"/>
          <w:sz w:val="28"/>
        </w:rPr>
        <w:t>
      прочие переборки в районах I, II ледоколов, палубы и платформы ледоколов — на ширине 1,2 м от наружной обшивки;</w:t>
      </w:r>
    </w:p>
    <w:bookmarkEnd w:id="3219"/>
    <w:bookmarkStart w:name="z3204" w:id="3220"/>
    <w:p>
      <w:pPr>
        <w:spacing w:after="0"/>
        <w:ind w:left="0"/>
        <w:jc w:val="both"/>
      </w:pPr>
      <w:r>
        <w:rPr>
          <w:rFonts w:ascii="Times New Roman"/>
          <w:b w:val="false"/>
          <w:i w:val="false"/>
          <w:color w:val="000000"/>
          <w:sz w:val="28"/>
        </w:rPr>
        <w:t>
      остальные связи — на ширине 0,6 м от наружной обшивки;</w:t>
      </w:r>
    </w:p>
    <w:bookmarkEnd w:id="3220"/>
    <w:bookmarkStart w:name="z3205" w:id="3221"/>
    <w:p>
      <w:pPr>
        <w:spacing w:after="0"/>
        <w:ind w:left="0"/>
        <w:jc w:val="both"/>
      </w:pPr>
      <w:r>
        <w:rPr>
          <w:rFonts w:ascii="Times New Roman"/>
          <w:b w:val="false"/>
          <w:i w:val="false"/>
          <w:color w:val="000000"/>
          <w:sz w:val="28"/>
        </w:rPr>
        <w:t>
      2) на участках листовых конструкций, указанных в подпункте 1) настоящего пункта Правил, не допускается использовании его фрированных конструкций с расположением гофров вдоль наружной обшивки (то есть не допускаются вертикальные гофры на поперечных переборках и продольные гофры на палубах или платформах);</w:t>
      </w:r>
    </w:p>
    <w:bookmarkEnd w:id="3221"/>
    <w:bookmarkStart w:name="z3206" w:id="3222"/>
    <w:p>
      <w:pPr>
        <w:spacing w:after="0"/>
        <w:ind w:left="0"/>
        <w:jc w:val="both"/>
      </w:pPr>
      <w:r>
        <w:rPr>
          <w:rFonts w:ascii="Times New Roman"/>
          <w:b w:val="false"/>
          <w:i w:val="false"/>
          <w:color w:val="000000"/>
          <w:sz w:val="28"/>
        </w:rPr>
        <w:t>
      3) листовые конструкции ледоколов подкрепляются ребрами жесткости, установленными в направлении, близком к перпендикулярному к наружной обшивке. При этом расстояние между ребрами жесткости не превышает значений, указанных в приложении 126 настоящих Правил.</w:t>
      </w:r>
    </w:p>
    <w:bookmarkEnd w:id="3222"/>
    <w:bookmarkStart w:name="z3207" w:id="3223"/>
    <w:p>
      <w:pPr>
        <w:spacing w:after="0"/>
        <w:ind w:left="0"/>
        <w:jc w:val="both"/>
      </w:pPr>
      <w:r>
        <w:rPr>
          <w:rFonts w:ascii="Times New Roman"/>
          <w:b w:val="false"/>
          <w:i w:val="false"/>
          <w:color w:val="000000"/>
          <w:sz w:val="28"/>
        </w:rPr>
        <w:t>
      Листовые конструкции судов с ледовыми усилениями категорий Ice1, Ice2, Ice3, Аrс4 (кроме района I) допускается подкреплять ребрами жесткости, установленными в направлении, близком к параллельному наружной обшивке;</w:t>
      </w:r>
    </w:p>
    <w:bookmarkEnd w:id="3223"/>
    <w:bookmarkStart w:name="z3208" w:id="3224"/>
    <w:p>
      <w:pPr>
        <w:spacing w:after="0"/>
        <w:ind w:left="0"/>
        <w:jc w:val="both"/>
      </w:pPr>
      <w:r>
        <w:rPr>
          <w:rFonts w:ascii="Times New Roman"/>
          <w:b w:val="false"/>
          <w:i w:val="false"/>
          <w:color w:val="000000"/>
          <w:sz w:val="28"/>
        </w:rPr>
        <w:t>
      4) узлы пересечения листовых конструкций с основным набором должны выполняться согласно приложению 127 настоящих Правил. При этом подкрепляющие листовую конструкцию ребра жесткости, расположенные в плоскости балок основного набора, закрепляют на указанных балках. Возможно использование других способов соединения стенок балок основного набора с листовой конструкцией, признанных Регистром судоходства эквивалентными;</w:t>
      </w:r>
    </w:p>
    <w:bookmarkEnd w:id="3224"/>
    <w:bookmarkStart w:name="z3209" w:id="3225"/>
    <w:p>
      <w:pPr>
        <w:spacing w:after="0"/>
        <w:ind w:left="0"/>
        <w:jc w:val="both"/>
      </w:pPr>
      <w:r>
        <w:rPr>
          <w:rFonts w:ascii="Times New Roman"/>
          <w:b w:val="false"/>
          <w:i w:val="false"/>
          <w:color w:val="000000"/>
          <w:sz w:val="28"/>
        </w:rPr>
        <w:t>
      5) если балки основного набора разрезаются на листовой конструкции, то в плоскости каждой балки с обеих сторон листовой конструкции установлены кницы, а стенки балки приваривают к листовой конструкции;</w:t>
      </w:r>
    </w:p>
    <w:bookmarkEnd w:id="3225"/>
    <w:bookmarkStart w:name="z3210" w:id="3226"/>
    <w:p>
      <w:pPr>
        <w:spacing w:after="0"/>
        <w:ind w:left="0"/>
        <w:jc w:val="both"/>
      </w:pPr>
      <w:r>
        <w:rPr>
          <w:rFonts w:ascii="Times New Roman"/>
          <w:b w:val="false"/>
          <w:i w:val="false"/>
          <w:color w:val="000000"/>
          <w:sz w:val="28"/>
        </w:rPr>
        <w:t>
      6) к узлам пересечения (соединения) листовых конструкций палуб и платформ с основным набором предъявляются следующие дополнительные требования.</w:t>
      </w:r>
    </w:p>
    <w:bookmarkEnd w:id="3226"/>
    <w:bookmarkStart w:name="z3211" w:id="3227"/>
    <w:p>
      <w:pPr>
        <w:spacing w:after="0"/>
        <w:ind w:left="0"/>
        <w:jc w:val="both"/>
      </w:pPr>
      <w:r>
        <w:rPr>
          <w:rFonts w:ascii="Times New Roman"/>
          <w:b w:val="false"/>
          <w:i w:val="false"/>
          <w:color w:val="000000"/>
          <w:sz w:val="28"/>
        </w:rPr>
        <w:t>
      При поперечной системе набора борта шпангоуты крепятся к бимсам при помощи книц.</w:t>
      </w:r>
    </w:p>
    <w:bookmarkEnd w:id="3227"/>
    <w:bookmarkStart w:name="z3212" w:id="3228"/>
    <w:p>
      <w:pPr>
        <w:spacing w:after="0"/>
        <w:ind w:left="0"/>
        <w:jc w:val="both"/>
      </w:pPr>
      <w:r>
        <w:rPr>
          <w:rFonts w:ascii="Times New Roman"/>
          <w:b w:val="false"/>
          <w:i w:val="false"/>
          <w:color w:val="000000"/>
          <w:sz w:val="28"/>
        </w:rPr>
        <w:t>
      При продольной системе набора борта бимсы крепятся к наружной обшивке борта кницами, доведенными до ближайшей продольной балки;</w:t>
      </w:r>
    </w:p>
    <w:bookmarkEnd w:id="3228"/>
    <w:bookmarkStart w:name="z3213" w:id="3229"/>
    <w:p>
      <w:pPr>
        <w:spacing w:after="0"/>
        <w:ind w:left="0"/>
        <w:jc w:val="both"/>
      </w:pPr>
      <w:r>
        <w:rPr>
          <w:rFonts w:ascii="Times New Roman"/>
          <w:b w:val="false"/>
          <w:i w:val="false"/>
          <w:color w:val="000000"/>
          <w:sz w:val="28"/>
        </w:rPr>
        <w:t>
      7) расстояние от кромки выреза или лазав листовой конструкции до наружной обшивки не менее 0,5 м. Расстояние от кромки выреза или лаза в листовой конструкции до кромки выреза для прохода балки через листовую конструкцию не менее высоты этой балки.</w:t>
      </w:r>
    </w:p>
    <w:bookmarkEnd w:id="3229"/>
    <w:bookmarkStart w:name="z3214" w:id="3230"/>
    <w:p>
      <w:pPr>
        <w:spacing w:after="0"/>
        <w:ind w:left="0"/>
        <w:jc w:val="both"/>
      </w:pPr>
      <w:r>
        <w:rPr>
          <w:rFonts w:ascii="Times New Roman"/>
          <w:b w:val="false"/>
          <w:i w:val="false"/>
          <w:color w:val="000000"/>
          <w:sz w:val="28"/>
        </w:rPr>
        <w:t>
      821. Конструкция форпика и ахтерпика предусматривает следующее:</w:t>
      </w:r>
    </w:p>
    <w:bookmarkEnd w:id="3230"/>
    <w:bookmarkStart w:name="z3215" w:id="3231"/>
    <w:p>
      <w:pPr>
        <w:spacing w:after="0"/>
        <w:ind w:left="0"/>
        <w:jc w:val="both"/>
      </w:pPr>
      <w:r>
        <w:rPr>
          <w:rFonts w:ascii="Times New Roman"/>
          <w:b w:val="false"/>
          <w:i w:val="false"/>
          <w:color w:val="000000"/>
          <w:sz w:val="28"/>
        </w:rPr>
        <w:t>
      1) в форпике и ахтерпике ледоколов в диаметральной плоскости установливается продольная переборка, приваренная к форштевню или ахтерштевню, а нижние концы всех шпангоутов соединяют с флорами или бракетами;</w:t>
      </w:r>
    </w:p>
    <w:bookmarkEnd w:id="3231"/>
    <w:bookmarkStart w:name="z3216" w:id="3232"/>
    <w:p>
      <w:pPr>
        <w:spacing w:after="0"/>
        <w:ind w:left="0"/>
        <w:jc w:val="both"/>
      </w:pPr>
      <w:r>
        <w:rPr>
          <w:rFonts w:ascii="Times New Roman"/>
          <w:b w:val="false"/>
          <w:i w:val="false"/>
          <w:color w:val="000000"/>
          <w:sz w:val="28"/>
        </w:rPr>
        <w:t>
      2) в форпике ледоколов вместо стрингеров и рядов распорных бимсов (пункт 465 настоящих Правил) следует устанавливать платформы с облегчающими вырезами, расстояние между которыми, измеренное по хорде обвода борта, не превышает 2,0 м;</w:t>
      </w:r>
    </w:p>
    <w:bookmarkEnd w:id="3232"/>
    <w:bookmarkStart w:name="z3217" w:id="3233"/>
    <w:p>
      <w:pPr>
        <w:spacing w:after="0"/>
        <w:ind w:left="0"/>
        <w:jc w:val="both"/>
      </w:pPr>
      <w:r>
        <w:rPr>
          <w:rFonts w:ascii="Times New Roman"/>
          <w:b w:val="false"/>
          <w:i w:val="false"/>
          <w:color w:val="000000"/>
          <w:sz w:val="28"/>
        </w:rPr>
        <w:t>
      3) бортовые стрингеры и распорные бимсы в ахтерпике (пункт 477 настоящих Правил) ледоколов устанавливают так, чтобы расстояние между стрингерами, измеренное по хорде обвода борта, было не более 2,0 м. Размеры стенок стрингеров не менее определенных по формулам:</w:t>
      </w:r>
    </w:p>
    <w:bookmarkEnd w:id="3233"/>
    <w:bookmarkStart w:name="z3218" w:id="3234"/>
    <w:p>
      <w:pPr>
        <w:spacing w:after="0"/>
        <w:ind w:left="0"/>
        <w:jc w:val="both"/>
      </w:pPr>
      <w:r>
        <w:rPr>
          <w:rFonts w:ascii="Times New Roman"/>
          <w:b w:val="false"/>
          <w:i w:val="false"/>
          <w:color w:val="000000"/>
          <w:sz w:val="28"/>
        </w:rPr>
        <w:t xml:space="preserve">
      высота </w:t>
      </w:r>
      <w:r>
        <w:rPr>
          <w:rFonts w:ascii="Times New Roman"/>
          <w:b w:val="false"/>
          <w:i/>
          <w:color w:val="000000"/>
          <w:sz w:val="28"/>
        </w:rPr>
        <w:t>h</w:t>
      </w:r>
      <w:r>
        <w:rPr>
          <w:rFonts w:ascii="Times New Roman"/>
          <w:b w:val="false"/>
          <w:i w:val="false"/>
          <w:color w:val="000000"/>
          <w:sz w:val="28"/>
        </w:rPr>
        <w:t xml:space="preserve"> = 5ш + 400 мм;</w:t>
      </w:r>
    </w:p>
    <w:bookmarkEnd w:id="3234"/>
    <w:bookmarkStart w:name="z3219" w:id="3235"/>
    <w:p>
      <w:pPr>
        <w:spacing w:after="0"/>
        <w:ind w:left="0"/>
        <w:jc w:val="both"/>
      </w:pPr>
      <w:r>
        <w:rPr>
          <w:rFonts w:ascii="Times New Roman"/>
          <w:b w:val="false"/>
          <w:i w:val="false"/>
          <w:color w:val="000000"/>
          <w:sz w:val="28"/>
        </w:rPr>
        <w:t xml:space="preserve">
      толщина </w:t>
      </w:r>
      <w:r>
        <w:rPr>
          <w:rFonts w:ascii="Times New Roman"/>
          <w:b w:val="false"/>
          <w:i/>
          <w:color w:val="000000"/>
          <w:sz w:val="28"/>
        </w:rPr>
        <w:t>s</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 xml:space="preserve"> + 7 мм.</w:t>
      </w:r>
    </w:p>
    <w:bookmarkEnd w:id="3235"/>
    <w:bookmarkStart w:name="z3220" w:id="3236"/>
    <w:p>
      <w:pPr>
        <w:spacing w:after="0"/>
        <w:ind w:left="0"/>
        <w:jc w:val="both"/>
      </w:pPr>
      <w:r>
        <w:rPr>
          <w:rFonts w:ascii="Times New Roman"/>
          <w:b w:val="false"/>
          <w:i w:val="false"/>
          <w:color w:val="000000"/>
          <w:sz w:val="28"/>
        </w:rPr>
        <w:t>
      Вместо рядов распорных бимсов и стрингеров рекомендуется применять платформы с облегчающими вырезами;</w:t>
      </w:r>
    </w:p>
    <w:bookmarkEnd w:id="3236"/>
    <w:bookmarkStart w:name="z3221" w:id="3237"/>
    <w:p>
      <w:pPr>
        <w:spacing w:after="0"/>
        <w:ind w:left="0"/>
        <w:jc w:val="both"/>
      </w:pPr>
      <w:r>
        <w:rPr>
          <w:rFonts w:ascii="Times New Roman"/>
          <w:b w:val="false"/>
          <w:i w:val="false"/>
          <w:color w:val="000000"/>
          <w:sz w:val="28"/>
        </w:rPr>
        <w:t>
      4) на ледоколах бортовые стрингеры в форпике и ахтерпике, как правило, продолжением бортовых стрингеров, установленных в районах А и С (подпункт 4) пункта 817 настоящих Правил);</w:t>
      </w:r>
    </w:p>
    <w:bookmarkEnd w:id="3237"/>
    <w:bookmarkStart w:name="z3222" w:id="3238"/>
    <w:p>
      <w:pPr>
        <w:spacing w:after="0"/>
        <w:ind w:left="0"/>
        <w:jc w:val="both"/>
      </w:pPr>
      <w:r>
        <w:rPr>
          <w:rFonts w:ascii="Times New Roman"/>
          <w:b w:val="false"/>
          <w:i w:val="false"/>
          <w:color w:val="000000"/>
          <w:sz w:val="28"/>
        </w:rPr>
        <w:t>
      5) бортовые стрингеры в форпике и ахтерпике имеют по свободной кромке поясок толщиной не менее толщины стенки и шириной не менее десяти толщин. Узлы пересечения шпангоутов со стрингерами соответствуют приложению 127 настоящих Правил, а кницы доводятся до свободного пояска стрингера.</w:t>
      </w:r>
    </w:p>
    <w:bookmarkEnd w:id="3238"/>
    <w:bookmarkStart w:name="z3223" w:id="3239"/>
    <w:p>
      <w:pPr>
        <w:spacing w:after="0"/>
        <w:ind w:left="0"/>
        <w:jc w:val="both"/>
      </w:pPr>
      <w:r>
        <w:rPr>
          <w:rFonts w:ascii="Times New Roman"/>
          <w:b w:val="false"/>
          <w:i w:val="false"/>
          <w:color w:val="000000"/>
          <w:sz w:val="28"/>
        </w:rPr>
        <w:t>
      822. Конструкция штевней соответствует следующим требованиям:</w:t>
      </w:r>
    </w:p>
    <w:bookmarkEnd w:id="3239"/>
    <w:bookmarkStart w:name="z3224" w:id="3240"/>
    <w:p>
      <w:pPr>
        <w:spacing w:after="0"/>
        <w:ind w:left="0"/>
        <w:jc w:val="both"/>
      </w:pPr>
      <w:r>
        <w:rPr>
          <w:rFonts w:ascii="Times New Roman"/>
          <w:b w:val="false"/>
          <w:i w:val="false"/>
          <w:color w:val="000000"/>
          <w:sz w:val="28"/>
        </w:rPr>
        <w:t xml:space="preserve">
      1) у судов с ледовыми усилениями категорий Ice1, Ice2, Ice3 допускается применение форштевней комбинированной (из бруска или прутка с приваренными к нему утолщенными листами) или листовой конструкции, а при длине судна менее 150 м и острых носовых обводах применяется конструкция согласно приложению 128 настоящих Правил (величина </w:t>
      </w:r>
      <w:r>
        <w:rPr>
          <w:rFonts w:ascii="Times New Roman"/>
          <w:b w:val="false"/>
          <w:i/>
          <w:color w:val="000000"/>
          <w:sz w:val="28"/>
        </w:rPr>
        <w:t>s</w:t>
      </w:r>
      <w:r>
        <w:rPr>
          <w:rFonts w:ascii="Times New Roman"/>
          <w:b w:val="false"/>
          <w:i w:val="false"/>
          <w:color w:val="000000"/>
          <w:sz w:val="28"/>
        </w:rPr>
        <w:t xml:space="preserve"> определяется по формуле (348) настоящих Правил.</w:t>
      </w:r>
    </w:p>
    <w:bookmarkEnd w:id="3240"/>
    <w:bookmarkStart w:name="z3225" w:id="3241"/>
    <w:p>
      <w:pPr>
        <w:spacing w:after="0"/>
        <w:ind w:left="0"/>
        <w:jc w:val="both"/>
      </w:pPr>
      <w:r>
        <w:rPr>
          <w:rFonts w:ascii="Times New Roman"/>
          <w:b w:val="false"/>
          <w:i w:val="false"/>
          <w:color w:val="000000"/>
          <w:sz w:val="28"/>
        </w:rPr>
        <w:t>
      У судов с ледовыми усилениями категорий Ice1, Ice2, Ice3 допускается применение ахтерштевней комбинированной конструкции;</w:t>
      </w:r>
    </w:p>
    <w:bookmarkEnd w:id="3241"/>
    <w:bookmarkStart w:name="z3226" w:id="3242"/>
    <w:p>
      <w:pPr>
        <w:spacing w:after="0"/>
        <w:ind w:left="0"/>
        <w:jc w:val="both"/>
      </w:pPr>
      <w:r>
        <w:rPr>
          <w:rFonts w:ascii="Times New Roman"/>
          <w:b w:val="false"/>
          <w:i w:val="false"/>
          <w:color w:val="000000"/>
          <w:sz w:val="28"/>
        </w:rPr>
        <w:t xml:space="preserve">
      2) у судов с ледовыми усилениями категорий Ice1, Ice2, Ice3 на всем протяжении от киля до ближайшей палубы или платформы, расположенной выше уровня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указанного в пункте 841 настоящих Правил, и приложении 144 настоящих Правил, форштевень, если это возможно, подкрепляют вертикальным листом высотой не менее </w:t>
      </w:r>
      <w:r>
        <w:rPr>
          <w:rFonts w:ascii="Times New Roman"/>
          <w:b w:val="false"/>
          <w:i/>
          <w:color w:val="000000"/>
          <w:sz w:val="28"/>
        </w:rPr>
        <w:t>h</w:t>
      </w:r>
      <w:r>
        <w:rPr>
          <w:rFonts w:ascii="Times New Roman"/>
          <w:b w:val="false"/>
          <w:i w:val="false"/>
          <w:color w:val="000000"/>
          <w:vertAlign w:val="subscript"/>
        </w:rPr>
        <w:t>в</w:t>
      </w:r>
      <w:r>
        <w:rPr>
          <w:rFonts w:ascii="Times New Roman"/>
          <w:b w:val="false"/>
          <w:i w:val="false"/>
          <w:color w:val="000000"/>
          <w:sz w:val="28"/>
        </w:rPr>
        <w:t xml:space="preserve"> (приложение 144 настоящих Правил) с пояском по свободной кромке или продольной переборкой в диаметральной плоскости. Толщина этого листа равна не менее толщины бракет, подкрепляющих форштевень (подпункт 4) пункта 822 настоящих Правил). На ледоколах вместо вертикального листа устанавливается продольная переборка;</w:t>
      </w:r>
    </w:p>
    <w:bookmarkEnd w:id="3242"/>
    <w:bookmarkStart w:name="z3227" w:id="3243"/>
    <w:p>
      <w:pPr>
        <w:spacing w:after="0"/>
        <w:ind w:left="0"/>
        <w:jc w:val="both"/>
      </w:pPr>
      <w:r>
        <w:rPr>
          <w:rFonts w:ascii="Times New Roman"/>
          <w:b w:val="false"/>
          <w:i w:val="false"/>
          <w:color w:val="000000"/>
          <w:sz w:val="28"/>
        </w:rPr>
        <w:t xml:space="preserve">
      3) на участке форштевня, указанном в подпункте 3) пункта 822 настоящих Правил, не реже чем через 0,6 м друг от друга устанавливают поперечные бракеты высотой не менее 0,6 м, которые доходят до ближайшего шпангоута и соединяются с ним. Бракеты, устанавливаемые в плоскости бортовых стрингеров, соединяются с ними. У форштевня комбинированной или листовой конструкции бракеты перекрывают стык листов форштевня и наружной обшивки. Выше палубы или платформы, расположенной на расстоянии не менее величины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(подпункт 1) пункта 841 и приложения 144 настоящих Правил) над верхней границей района I расстояние между бракетами постепенно увеличивается до 1,2 м для ледоколов и до 1,5 м — для судов прочих категорий.</w:t>
      </w:r>
    </w:p>
    <w:bookmarkEnd w:id="3243"/>
    <w:bookmarkStart w:name="z3228" w:id="3244"/>
    <w:p>
      <w:pPr>
        <w:spacing w:after="0"/>
        <w:ind w:left="0"/>
        <w:jc w:val="both"/>
      </w:pPr>
      <w:r>
        <w:rPr>
          <w:rFonts w:ascii="Times New Roman"/>
          <w:b w:val="false"/>
          <w:i w:val="false"/>
          <w:color w:val="000000"/>
          <w:sz w:val="28"/>
        </w:rPr>
        <w:t>
      Толщину бракет следует принимать не менее половины толщины листов форштевня. Свободные кромки бракет на ледоколах подкрепляют поясками, концы которых привариваются к шпангоутам. Бортовые стрингеры в форпике соединяются с бракетами, установленными в их плоскости.</w:t>
      </w:r>
    </w:p>
    <w:bookmarkEnd w:id="3244"/>
    <w:bookmarkStart w:name="z3229" w:id="3245"/>
    <w:p>
      <w:pPr>
        <w:spacing w:after="0"/>
        <w:ind w:left="0"/>
        <w:jc w:val="both"/>
      </w:pPr>
      <w:r>
        <w:rPr>
          <w:rFonts w:ascii="Times New Roman"/>
          <w:b w:val="false"/>
          <w:i w:val="false"/>
          <w:color w:val="000000"/>
          <w:sz w:val="28"/>
        </w:rPr>
        <w:t>
      При малой остроте обводов носовой оконечности дополнительно потребуется установка на листы форштевня вертикальных ребер жесткости;</w:t>
      </w:r>
    </w:p>
    <w:bookmarkEnd w:id="3245"/>
    <w:bookmarkStart w:name="z3230" w:id="3246"/>
    <w:p>
      <w:pPr>
        <w:spacing w:after="0"/>
        <w:ind w:left="0"/>
        <w:jc w:val="both"/>
      </w:pPr>
      <w:r>
        <w:rPr>
          <w:rFonts w:ascii="Times New Roman"/>
          <w:b w:val="false"/>
          <w:i w:val="false"/>
          <w:color w:val="000000"/>
          <w:sz w:val="28"/>
        </w:rPr>
        <w:t>
      4) при наличии противоледового выступа ахтерштевня зазор между ним и пером руля не более 100 мм. Противоледовый выступ надежно соединяют с ахтерштевнем. Закрепляют противоледовый выступ на листовых конструкциях не допускается;</w:t>
      </w:r>
    </w:p>
    <w:bookmarkEnd w:id="3246"/>
    <w:bookmarkStart w:name="z3231" w:id="3247"/>
    <w:p>
      <w:pPr>
        <w:spacing w:after="0"/>
        <w:ind w:left="0"/>
        <w:jc w:val="both"/>
      </w:pPr>
      <w:r>
        <w:rPr>
          <w:rFonts w:ascii="Times New Roman"/>
          <w:b w:val="false"/>
          <w:i w:val="false"/>
          <w:color w:val="000000"/>
          <w:sz w:val="28"/>
        </w:rPr>
        <w:t>
      5) у ледоколов нижняя пятка ахтерштевня приподнята над основной линией с уклоном 1:8, начиная от старнпоста.</w:t>
      </w:r>
    </w:p>
    <w:bookmarkEnd w:id="3247"/>
    <w:bookmarkStart w:name="z3232" w:id="3248"/>
    <w:p>
      <w:pPr>
        <w:spacing w:after="0"/>
        <w:ind w:left="0"/>
        <w:jc w:val="both"/>
      </w:pPr>
      <w:r>
        <w:rPr>
          <w:rFonts w:ascii="Times New Roman"/>
          <w:b w:val="false"/>
          <w:i w:val="false"/>
          <w:color w:val="000000"/>
          <w:sz w:val="28"/>
        </w:rPr>
        <w:t>
      823. Конструкция днищевого перекрытия соответствует следующим требованиям:</w:t>
      </w:r>
    </w:p>
    <w:bookmarkEnd w:id="3248"/>
    <w:bookmarkStart w:name="z3233" w:id="3249"/>
    <w:p>
      <w:pPr>
        <w:spacing w:after="0"/>
        <w:ind w:left="0"/>
        <w:jc w:val="both"/>
      </w:pPr>
      <w:r>
        <w:rPr>
          <w:rFonts w:ascii="Times New Roman"/>
          <w:b w:val="false"/>
          <w:i w:val="false"/>
          <w:color w:val="000000"/>
          <w:sz w:val="28"/>
        </w:rPr>
        <w:t>
      1) на ледоколах от переборки форпика до переборки ахтерпика устанавливают двойное дно;</w:t>
      </w:r>
    </w:p>
    <w:bookmarkEnd w:id="3249"/>
    <w:bookmarkStart w:name="z3234" w:id="3250"/>
    <w:p>
      <w:pPr>
        <w:spacing w:after="0"/>
        <w:ind w:left="0"/>
        <w:jc w:val="both"/>
      </w:pPr>
      <w:r>
        <w:rPr>
          <w:rFonts w:ascii="Times New Roman"/>
          <w:b w:val="false"/>
          <w:i w:val="false"/>
          <w:color w:val="000000"/>
          <w:sz w:val="28"/>
        </w:rPr>
        <w:t>
      2) на ледоколах сплошные флоры устанавливают на каждом основном шпангоуте,;</w:t>
      </w:r>
    </w:p>
    <w:bookmarkEnd w:id="3250"/>
    <w:bookmarkStart w:name="z3235" w:id="3251"/>
    <w:p>
      <w:pPr>
        <w:spacing w:after="0"/>
        <w:ind w:left="0"/>
        <w:jc w:val="both"/>
      </w:pPr>
      <w:r>
        <w:rPr>
          <w:rFonts w:ascii="Times New Roman"/>
          <w:b w:val="false"/>
          <w:i w:val="false"/>
          <w:color w:val="000000"/>
          <w:sz w:val="28"/>
        </w:rPr>
        <w:t>
      3) в установленных согласно приложению 119 настоящих Правил районах ледовых усилений по днищу не допускается использование бракетных флоров;</w:t>
      </w:r>
    </w:p>
    <w:bookmarkEnd w:id="3251"/>
    <w:bookmarkStart w:name="z3236" w:id="3252"/>
    <w:p>
      <w:pPr>
        <w:spacing w:after="0"/>
        <w:ind w:left="0"/>
        <w:jc w:val="both"/>
      </w:pPr>
      <w:r>
        <w:rPr>
          <w:rFonts w:ascii="Times New Roman"/>
          <w:b w:val="false"/>
          <w:i w:val="false"/>
          <w:color w:val="000000"/>
          <w:sz w:val="28"/>
        </w:rPr>
        <w:t>
      4) на ледоколах высота вертикального киля не менее определяемой по формуле</w:t>
      </w:r>
    </w:p>
    <w:bookmarkEnd w:id="325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(9</w:t>
      </w:r>
      <w:r>
        <w:rPr>
          <w:rFonts w:ascii="Times New Roman"/>
          <w:b w:val="false"/>
          <w:i/>
          <w:color w:val="000000"/>
          <w:sz w:val="28"/>
        </w:rPr>
        <w:t>L</w:t>
      </w:r>
      <w:r>
        <w:rPr>
          <w:rFonts w:ascii="Times New Roman"/>
          <w:b w:val="false"/>
          <w:i w:val="false"/>
          <w:color w:val="000000"/>
          <w:sz w:val="28"/>
        </w:rPr>
        <w:t xml:space="preserve"> + 800),                  (278)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1 — для ледоколов;</w:t>
      </w:r>
      <w:r>
        <w:br/>
      </w:r>
      <w:r>
        <w:rPr>
          <w:rFonts w:ascii="Times New Roman"/>
          <w:b w:val="false"/>
          <w:i w:val="false"/>
          <w:color w:val="000000"/>
          <w:sz w:val="28"/>
        </w:rPr>
        <w:t>
</w:t>
      </w:r>
    </w:p>
    <w:bookmarkStart w:name="z3237" w:id="3253"/>
    <w:p>
      <w:pPr>
        <w:spacing w:after="0"/>
        <w:ind w:left="0"/>
        <w:jc w:val="both"/>
      </w:pPr>
      <w:r>
        <w:rPr>
          <w:rFonts w:ascii="Times New Roman"/>
          <w:b w:val="false"/>
          <w:i w:val="false"/>
          <w:color w:val="000000"/>
          <w:sz w:val="28"/>
        </w:rPr>
        <w:t>
      5) на ледоколах расстояние между днищевыми стрингерами не превышает 3,0 м.</w:t>
      </w:r>
    </w:p>
    <w:bookmarkEnd w:id="3253"/>
    <w:bookmarkStart w:name="z3238" w:id="3254"/>
    <w:p>
      <w:pPr>
        <w:spacing w:after="0"/>
        <w:ind w:left="0"/>
        <w:jc w:val="both"/>
      </w:pPr>
      <w:r>
        <w:rPr>
          <w:rFonts w:ascii="Times New Roman"/>
          <w:b w:val="false"/>
          <w:i w:val="false"/>
          <w:color w:val="000000"/>
          <w:sz w:val="28"/>
        </w:rPr>
        <w:t>
      824. Специальные требования:</w:t>
      </w:r>
    </w:p>
    <w:bookmarkEnd w:id="3254"/>
    <w:bookmarkStart w:name="z3239" w:id="3255"/>
    <w:p>
      <w:pPr>
        <w:spacing w:after="0"/>
        <w:ind w:left="0"/>
        <w:jc w:val="both"/>
      </w:pPr>
      <w:r>
        <w:rPr>
          <w:rFonts w:ascii="Times New Roman"/>
          <w:b w:val="false"/>
          <w:i w:val="false"/>
          <w:color w:val="000000"/>
          <w:sz w:val="28"/>
        </w:rPr>
        <w:t>
      1) на ледоколах от форпиковой до ахтерпиковой переборки, как правило, устанавливают двойной борт;</w:t>
      </w:r>
    </w:p>
    <w:bookmarkEnd w:id="3255"/>
    <w:bookmarkStart w:name="z3240" w:id="3256"/>
    <w:p>
      <w:pPr>
        <w:spacing w:after="0"/>
        <w:ind w:left="0"/>
        <w:jc w:val="both"/>
      </w:pPr>
      <w:r>
        <w:rPr>
          <w:rFonts w:ascii="Times New Roman"/>
          <w:b w:val="false"/>
          <w:i w:val="false"/>
          <w:color w:val="000000"/>
          <w:sz w:val="28"/>
        </w:rPr>
        <w:t>
      2) если стенка балки или листовая конструкция значительно наклонена к наружной обшивке (угол между ними менее 50</w:t>
      </w:r>
      <w:r>
        <w:rPr>
          <w:rFonts w:ascii="Times New Roman"/>
          <w:b w:val="false"/>
          <w:i w:val="false"/>
          <w:color w:val="000000"/>
          <w:vertAlign w:val="superscript"/>
        </w:rPr>
        <w:t>о</w:t>
      </w:r>
      <w:r>
        <w:rPr>
          <w:rFonts w:ascii="Times New Roman"/>
          <w:b w:val="false"/>
          <w:i w:val="false"/>
          <w:color w:val="000000"/>
          <w:sz w:val="28"/>
        </w:rPr>
        <w:t>), то рекомендуется перейти к поворотному набору или наклонной листовой конструкции (приложение 128 настоящих Правил). В противном случае принимают специальные меры по предотвращению заваливания балки или выпучивания листовой конструкции.</w:t>
      </w:r>
    </w:p>
    <w:bookmarkEnd w:id="3256"/>
    <w:bookmarkStart w:name="z3241" w:id="3257"/>
    <w:p>
      <w:pPr>
        <w:spacing w:after="0"/>
        <w:ind w:left="0"/>
        <w:jc w:val="left"/>
      </w:pPr>
      <w:r>
        <w:rPr>
          <w:rFonts w:ascii="Times New Roman"/>
          <w:b/>
          <w:i w:val="false"/>
          <w:color w:val="000000"/>
        </w:rPr>
        <w:t xml:space="preserve"> Параграф 3. Ледовая нагрузка</w:t>
      </w:r>
    </w:p>
    <w:bookmarkEnd w:id="3257"/>
    <w:bookmarkStart w:name="z3242" w:id="3258"/>
    <w:p>
      <w:pPr>
        <w:spacing w:after="0"/>
        <w:ind w:left="0"/>
        <w:jc w:val="both"/>
      </w:pPr>
      <w:r>
        <w:rPr>
          <w:rFonts w:ascii="Times New Roman"/>
          <w:b w:val="false"/>
          <w:i w:val="false"/>
          <w:color w:val="000000"/>
          <w:sz w:val="28"/>
        </w:rPr>
        <w:t>
      825. Ледовая нагрузка — условная расчетная нагрузка на корпус судна от воздействия льда, определяющая уровень требований к размерам конструкций в зависимости от знака категории ледовых усилений, формы корпуса и водоизмещения судна.</w:t>
      </w:r>
    </w:p>
    <w:bookmarkEnd w:id="3258"/>
    <w:bookmarkStart w:name="z3243" w:id="3259"/>
    <w:p>
      <w:pPr>
        <w:spacing w:after="0"/>
        <w:ind w:left="0"/>
        <w:jc w:val="both"/>
      </w:pPr>
      <w:r>
        <w:rPr>
          <w:rFonts w:ascii="Times New Roman"/>
          <w:b w:val="false"/>
          <w:i w:val="false"/>
          <w:color w:val="000000"/>
          <w:sz w:val="28"/>
        </w:rPr>
        <w:t>
      Ледовая нагрузка определяется тремя параметрами:</w:t>
      </w:r>
    </w:p>
    <w:bookmarkEnd w:id="325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интенсивностью ледовой нагрузки, характеризующей величину максимального давления в зоне силового контакта корпуса со льдом,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высотой распределения ледовой нагрузки, характеризующей максимальный поперечный размер зоны силового контакта корпуса со льдом,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 длиной распределения ледовой нагрузки, характеризующей максимальный продольный размер зоны силового контакта корпуса со льдом, м.</w:t>
      </w:r>
    </w:p>
    <w:bookmarkStart w:name="z3244" w:id="3260"/>
    <w:p>
      <w:pPr>
        <w:spacing w:after="0"/>
        <w:ind w:left="0"/>
        <w:jc w:val="both"/>
      </w:pPr>
      <w:r>
        <w:rPr>
          <w:rFonts w:ascii="Times New Roman"/>
          <w:b w:val="false"/>
          <w:i w:val="false"/>
          <w:color w:val="000000"/>
          <w:sz w:val="28"/>
        </w:rPr>
        <w:t>
      Ледовая нагрузка предназначена только для определения размеров элементов конструкций ледовых усилений по формулам настоящей главы. Использование параметров ледовой нагрузки для проверочных расчетов прочности по иным методикам и программам без согласования с Регистром судоходства не допускается.</w:t>
      </w:r>
    </w:p>
    <w:bookmarkEnd w:id="3260"/>
    <w:bookmarkStart w:name="z3245" w:id="3261"/>
    <w:p>
      <w:pPr>
        <w:spacing w:after="0"/>
        <w:ind w:left="0"/>
        <w:jc w:val="both"/>
      </w:pPr>
      <w:r>
        <w:rPr>
          <w:rFonts w:ascii="Times New Roman"/>
          <w:b w:val="false"/>
          <w:i w:val="false"/>
          <w:color w:val="000000"/>
          <w:sz w:val="28"/>
        </w:rPr>
        <w:t>
      Параметры ледовой нагрузки, определяемые согласно пунктам 826 - 831 настоящих Правил, применимы только для судов ледового плавания и ледоколов, имеющих форму обводов корпуса, отвечающую требованиям подпунктов 2) и 3) пункта 815 настоящих Правил. Ледовая нагрузка для судов ледового плавания и ледоколов, имеющих иную форму обводов корпуса, является предметом специального рассмотрения Регистром судоходства.</w:t>
      </w:r>
    </w:p>
    <w:bookmarkEnd w:id="3261"/>
    <w:bookmarkStart w:name="z3246" w:id="3262"/>
    <w:p>
      <w:pPr>
        <w:spacing w:after="0"/>
        <w:ind w:left="0"/>
        <w:jc w:val="both"/>
      </w:pPr>
      <w:r>
        <w:rPr>
          <w:rFonts w:ascii="Times New Roman"/>
          <w:b w:val="false"/>
          <w:i w:val="false"/>
          <w:color w:val="000000"/>
          <w:sz w:val="28"/>
        </w:rPr>
        <w:t>
      826. Интенсивность ледовой нагрузки, кПа, для судов ледового плавания определяется по следующим формулам:</w:t>
      </w:r>
    </w:p>
    <w:bookmarkEnd w:id="3262"/>
    <w:p>
      <w:pPr>
        <w:spacing w:after="0"/>
        <w:ind w:left="0"/>
        <w:jc w:val="both"/>
      </w:pPr>
      <w:r>
        <w:rPr>
          <w:rFonts w:ascii="Times New Roman"/>
          <w:b w:val="false"/>
          <w:i w:val="false"/>
          <w:color w:val="000000"/>
          <w:sz w:val="28"/>
        </w:rPr>
        <w:t>
      1) в районе AI</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AI</w:t>
      </w:r>
      <w:r>
        <w:rPr>
          <w:rFonts w:ascii="Times New Roman"/>
          <w:b w:val="false"/>
          <w:i w:val="false"/>
          <w:color w:val="000000"/>
          <w:sz w:val="28"/>
        </w:rPr>
        <w:t xml:space="preserve"> = 2500</w:t>
      </w:r>
      <w:r>
        <w:rPr>
          <w:rFonts w:ascii="Times New Roman"/>
          <w:b w:val="false"/>
          <w:i/>
          <w:color w:val="000000"/>
          <w:sz w:val="28"/>
        </w:rPr>
        <w:t>а</w:t>
      </w:r>
      <w:r>
        <w:rPr>
          <w:rFonts w:ascii="Times New Roman"/>
          <w:b w:val="false"/>
          <w:i w:val="false"/>
          <w:color w:val="000000"/>
          <w:vertAlign w:val="subscript"/>
        </w:rPr>
        <w:t>1</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p>
    <w:p>
      <w:pPr>
        <w:spacing w:after="0"/>
        <w:ind w:left="0"/>
        <w:jc w:val="both"/>
      </w:pPr>
      <w:r>
        <w:drawing>
          <wp:inline distT="0" distB="0" distL="0" distR="0">
            <wp:extent cx="508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508000" cy="596900"/>
                    </a:xfrm>
                    <a:prstGeom prst="rect">
                      <a:avLst/>
                    </a:prstGeom>
                  </pic:spPr>
                </pic:pic>
              </a:graphicData>
            </a:graphic>
          </wp:inline>
        </w:drawing>
      </w:r>
    </w:p>
    <w:p>
      <w:pPr>
        <w:spacing w:after="0"/>
        <w:ind w:left="0"/>
        <w:jc w:val="left"/>
      </w:pPr>
      <w:r>
        <w:rPr>
          <w:rFonts w:ascii="Times New Roman"/>
          <w:b w:val="false"/>
          <w:i w:val="false"/>
          <w:color w:val="000000"/>
          <w:sz w:val="28"/>
        </w:rPr>
        <w:t>,                (279)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коэффициент, принимаемый по приложению 129 настоящих Правил в зависимости от категории ледовых усилений;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по летнюю грузовую ватерлинию, т;</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xml:space="preserve"> — максимальное в пределах района значение коэффициента формы </w:t>
      </w:r>
      <w:r>
        <w:rPr>
          <w:rFonts w:ascii="Times New Roman"/>
          <w:b w:val="false"/>
          <w:i/>
          <w:color w:val="000000"/>
          <w:sz w:val="28"/>
        </w:rPr>
        <w:t>v</w:t>
      </w:r>
      <w:r>
        <w:rPr>
          <w:rFonts w:ascii="Times New Roman"/>
          <w:b w:val="false"/>
          <w:i w:val="false"/>
          <w:color w:val="000000"/>
          <w:sz w:val="28"/>
        </w:rPr>
        <w:t xml:space="preserve">, определяемого в сечениях </w:t>
      </w:r>
      <w:r>
        <w:rPr>
          <w:rFonts w:ascii="Times New Roman"/>
          <w:b w:val="false"/>
          <w:i/>
          <w:color w:val="000000"/>
          <w:sz w:val="28"/>
        </w:rPr>
        <w:t>х</w:t>
      </w:r>
      <w:r>
        <w:rPr>
          <w:rFonts w:ascii="Times New Roman"/>
          <w:b w:val="false"/>
          <w:i w:val="false"/>
          <w:color w:val="000000"/>
          <w:sz w:val="28"/>
        </w:rPr>
        <w:t xml:space="preserve"> = 0; 0,05</w:t>
      </w:r>
      <w:r>
        <w:rPr>
          <w:rFonts w:ascii="Times New Roman"/>
          <w:b w:val="false"/>
          <w:i/>
          <w:color w:val="000000"/>
          <w:sz w:val="28"/>
        </w:rPr>
        <w:t>L</w:t>
      </w:r>
      <w:r>
        <w:rPr>
          <w:rFonts w:ascii="Times New Roman"/>
          <w:b w:val="false"/>
          <w:i w:val="false"/>
          <w:color w:val="000000"/>
          <w:sz w:val="28"/>
        </w:rPr>
        <w:t>; 0,1</w:t>
      </w:r>
      <w:r>
        <w:rPr>
          <w:rFonts w:ascii="Times New Roman"/>
          <w:b w:val="false"/>
          <w:i/>
          <w:color w:val="000000"/>
          <w:sz w:val="28"/>
        </w:rPr>
        <w:t>L</w:t>
      </w:r>
      <w:r>
        <w:rPr>
          <w:rFonts w:ascii="Times New Roman"/>
          <w:b w:val="false"/>
          <w:i w:val="false"/>
          <w:color w:val="000000"/>
          <w:sz w:val="28"/>
        </w:rPr>
        <w:t xml:space="preserve">... от носового перпендикуляра на уровне ледовой ГВЛ (для судов с ледовыми усилениями категорий Ice1, Ice2, Ice3 в рассмотрение включаются только расчетные сечения </w:t>
      </w:r>
      <w:r>
        <w:rPr>
          <w:rFonts w:ascii="Times New Roman"/>
          <w:b w:val="false"/>
          <w:i/>
          <w:color w:val="000000"/>
          <w:sz w:val="28"/>
        </w:rPr>
        <w:t xml:space="preserve">с х </w:t>
      </w:r>
      <w:r>
        <w:rPr>
          <w:rFonts w:ascii="Times New Roman"/>
          <w:b w:val="false"/>
          <w:i w:val="false"/>
          <w:color w:val="000000"/>
          <w:sz w:val="28"/>
          <w:u w:val="single"/>
        </w:rPr>
        <w:t>&lt;</w:t>
      </w:r>
      <w:r>
        <w:rPr>
          <w:rFonts w:ascii="Times New Roman"/>
          <w:b w:val="false"/>
          <w:i w:val="false"/>
          <w:color w:val="000000"/>
          <w:sz w:val="28"/>
        </w:rPr>
        <w:t xml:space="preserve"> 0,58</w:t>
      </w:r>
      <w:r>
        <w:rPr>
          <w:rFonts w:ascii="Times New Roman"/>
          <w:b w:val="false"/>
          <w:i/>
          <w:color w:val="000000"/>
          <w:sz w:val="28"/>
        </w:rPr>
        <w:t>b</w:t>
      </w: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sz w:val="28"/>
        </w:rPr>
        <w:t xml:space="preserve"> — приложение 129 настоящих Правил), определяемое по формулам:</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(0,278 + </w:t>
      </w:r>
    </w:p>
    <w:p>
      <w:pPr>
        <w:spacing w:after="0"/>
        <w:ind w:left="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4826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4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342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p>
    <w:p>
      <w:pPr>
        <w:spacing w:after="0"/>
        <w:ind w:left="0"/>
        <w:jc w:val="both"/>
      </w:pPr>
      <w:r>
        <w:drawing>
          <wp:inline distT="0" distB="0" distL="0" distR="0">
            <wp:extent cx="60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6096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(0,343 – </w:t>
      </w:r>
    </w:p>
    <w:p>
      <w:pPr>
        <w:spacing w:after="0"/>
        <w:ind w:left="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482600" cy="520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4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342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p>
    <w:p>
      <w:pPr>
        <w:spacing w:after="0"/>
        <w:ind w:left="0"/>
        <w:jc w:val="both"/>
      </w:pPr>
      <w:r>
        <w:drawing>
          <wp:inline distT="0" distB="0" distL="0" distR="0">
            <wp:extent cx="62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6223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отстояние рассматриваемого сечения от носового перпендикуляра,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углы наклона летней грузовой ватерлинии, измеряемые согласно приложениям 110 и 112 настоящих Правил (при </w:t>
      </w:r>
      <w:r>
        <w:rPr>
          <w:rFonts w:ascii="Times New Roman"/>
          <w:b w:val="false"/>
          <w:i/>
          <w:color w:val="000000"/>
          <w:sz w:val="28"/>
        </w:rPr>
        <w:t>х</w:t>
      </w:r>
      <w:r>
        <w:rPr>
          <w:rFonts w:ascii="Times New Roman"/>
          <w:b w:val="false"/>
          <w:i w:val="false"/>
          <w:color w:val="000000"/>
          <w:sz w:val="28"/>
        </w:rPr>
        <w:t xml:space="preserve"> = 0), град.;</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углы наклона шпангоутов на уровне летней грузовой ватерлинии, измеряемые согласно приложению 111 настоящих Правил, град.;</w:t>
      </w:r>
      <w:r>
        <w:br/>
      </w:r>
      <w:r>
        <w:rPr>
          <w:rFonts w:ascii="Times New Roman"/>
          <w:b w:val="false"/>
          <w:i w:val="false"/>
          <w:color w:val="000000"/>
          <w:sz w:val="28"/>
        </w:rPr>
        <w:t>
</w:t>
      </w:r>
    </w:p>
    <w:bookmarkStart w:name="z3247" w:id="3263"/>
    <w:p>
      <w:pPr>
        <w:spacing w:after="0"/>
        <w:ind w:left="0"/>
        <w:jc w:val="both"/>
      </w:pPr>
      <w:r>
        <w:rPr>
          <w:rFonts w:ascii="Times New Roman"/>
          <w:b w:val="false"/>
          <w:i w:val="false"/>
          <w:color w:val="000000"/>
          <w:sz w:val="28"/>
        </w:rPr>
        <w:t xml:space="preserve">
      Если в расчетном сечении судов с ледовыми усилениями категорий Ice1, Ice2, Ice3 </w:t>
      </w:r>
    </w:p>
    <w:bookmarkEnd w:id="3263"/>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&gt; 0 и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то следует полагать, что в этом сечении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0,72.</w:t>
      </w:r>
      <w:r>
        <w:br/>
      </w:r>
      <w:r>
        <w:rPr>
          <w:rFonts w:ascii="Times New Roman"/>
          <w:b w:val="false"/>
          <w:i w:val="false"/>
          <w:color w:val="000000"/>
          <w:sz w:val="28"/>
        </w:rPr>
        <w:t>
</w:t>
      </w:r>
    </w:p>
    <w:bookmarkStart w:name="z3248" w:id="3264"/>
    <w:p>
      <w:pPr>
        <w:spacing w:after="0"/>
        <w:ind w:left="0"/>
        <w:jc w:val="both"/>
      </w:pPr>
      <w:r>
        <w:rPr>
          <w:rFonts w:ascii="Times New Roman"/>
          <w:b w:val="false"/>
          <w:i w:val="false"/>
          <w:color w:val="000000"/>
          <w:sz w:val="28"/>
        </w:rPr>
        <w:t xml:space="preserve">
      Если в расчетном сечении судов с ледовыми усилениями категорий Ice1, Ice2, Ice3 угол </w:t>
      </w:r>
    </w:p>
    <w:bookmarkEnd w:id="326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меньше 3</w:t>
      </w:r>
      <w:r>
        <w:rPr>
          <w:rFonts w:ascii="Times New Roman"/>
          <w:b w:val="false"/>
          <w:i w:val="false"/>
          <w:color w:val="000000"/>
          <w:vertAlign w:val="superscript"/>
        </w:rPr>
        <w:t>о</w:t>
      </w:r>
      <w:r>
        <w:rPr>
          <w:rFonts w:ascii="Times New Roman"/>
          <w:b w:val="false"/>
          <w:i w:val="false"/>
          <w:color w:val="000000"/>
          <w:sz w:val="28"/>
        </w:rPr>
        <w:t xml:space="preserve">, допускается не включать это сечение в рассмотрение при вычислении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w:t>
      </w:r>
    </w:p>
    <w:bookmarkStart w:name="z3249" w:id="3265"/>
    <w:p>
      <w:pPr>
        <w:spacing w:after="0"/>
        <w:ind w:left="0"/>
        <w:jc w:val="both"/>
      </w:pPr>
      <w:r>
        <w:rPr>
          <w:rFonts w:ascii="Times New Roman"/>
          <w:b w:val="false"/>
          <w:i w:val="false"/>
          <w:color w:val="000000"/>
          <w:sz w:val="28"/>
        </w:rPr>
        <w:t>
      2) в районе A</w:t>
      </w:r>
      <w:r>
        <w:rPr>
          <w:rFonts w:ascii="Times New Roman"/>
          <w:b w:val="false"/>
          <w:i w:val="false"/>
          <w:color w:val="000000"/>
          <w:vertAlign w:val="subscript"/>
        </w:rPr>
        <w:t>I</w:t>
      </w:r>
      <w:r>
        <w:rPr>
          <w:rFonts w:ascii="Times New Roman"/>
          <w:b w:val="false"/>
          <w:i w:val="false"/>
          <w:color w:val="000000"/>
          <w:sz w:val="28"/>
        </w:rPr>
        <w:t>I</w:t>
      </w:r>
    </w:p>
    <w:bookmarkEnd w:id="32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2500</w:t>
      </w:r>
      <w:r>
        <w:rPr>
          <w:rFonts w:ascii="Times New Roman"/>
          <w:b w:val="false"/>
          <w:i/>
          <w:color w:val="000000"/>
          <w:sz w:val="28"/>
        </w:rPr>
        <w:t>а</w:t>
      </w:r>
      <w:r>
        <w:rPr>
          <w:rFonts w:ascii="Times New Roman"/>
          <w:b w:val="false"/>
          <w:i w:val="false"/>
          <w:color w:val="000000"/>
          <w:vertAlign w:val="subscript"/>
        </w:rPr>
        <w:t>2</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p>
    <w:p>
      <w:pPr>
        <w:spacing w:after="0"/>
        <w:ind w:left="0"/>
        <w:jc w:val="both"/>
      </w:pPr>
      <w:r>
        <w:drawing>
          <wp:inline distT="0" distB="0" distL="0" distR="0">
            <wp:extent cx="49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495300" cy="482600"/>
                    </a:xfrm>
                    <a:prstGeom prst="rect">
                      <a:avLst/>
                    </a:prstGeom>
                  </pic:spPr>
                </pic:pic>
              </a:graphicData>
            </a:graphic>
          </wp:inline>
        </w:drawing>
      </w:r>
    </w:p>
    <w:p>
      <w:pPr>
        <w:spacing w:after="0"/>
        <w:ind w:left="0"/>
        <w:jc w:val="left"/>
      </w:pPr>
      <w:r>
        <w:rPr>
          <w:rFonts w:ascii="Times New Roman"/>
          <w:b w:val="false"/>
          <w:i w:val="false"/>
          <w:color w:val="000000"/>
          <w:sz w:val="28"/>
        </w:rPr>
        <w:t>,                (280)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коэффициент, принимаемый в соответствии с приложением 129 настоящих Правил в зависимости от категории ледовых усилений;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определяется способом, указанным в подпункте 1) пункта 808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—подпункт 1) пункта 826 настоящих Правил;</w:t>
      </w:r>
      <w:r>
        <w:br/>
      </w:r>
      <w:r>
        <w:rPr>
          <w:rFonts w:ascii="Times New Roman"/>
          <w:b w:val="false"/>
          <w:i w:val="false"/>
          <w:color w:val="000000"/>
          <w:sz w:val="28"/>
        </w:rPr>
        <w:t>
</w:t>
      </w:r>
    </w:p>
    <w:bookmarkStart w:name="z3250" w:id="3266"/>
    <w:p>
      <w:pPr>
        <w:spacing w:after="0"/>
        <w:ind w:left="0"/>
        <w:jc w:val="both"/>
      </w:pPr>
      <w:r>
        <w:rPr>
          <w:rFonts w:ascii="Times New Roman"/>
          <w:b w:val="false"/>
          <w:i w:val="false"/>
          <w:color w:val="000000"/>
          <w:sz w:val="28"/>
        </w:rPr>
        <w:t>
      3) в районе BI</w:t>
      </w:r>
    </w:p>
    <w:bookmarkEnd w:id="326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BI</w:t>
      </w:r>
      <w:r>
        <w:rPr>
          <w:rFonts w:ascii="Times New Roman"/>
          <w:b w:val="false"/>
          <w:i w:val="false"/>
          <w:color w:val="000000"/>
          <w:sz w:val="28"/>
        </w:rPr>
        <w:t xml:space="preserve"> = 1200</w:t>
      </w:r>
      <w:r>
        <w:rPr>
          <w:rFonts w:ascii="Times New Roman"/>
          <w:b w:val="false"/>
          <w:i/>
          <w:color w:val="000000"/>
          <w:sz w:val="28"/>
        </w:rPr>
        <w:t>а</w:t>
      </w:r>
      <w:r>
        <w:rPr>
          <w:rFonts w:ascii="Times New Roman"/>
          <w:b w:val="false"/>
          <w:i w:val="false"/>
          <w:color w:val="000000"/>
          <w:vertAlign w:val="subscript"/>
        </w:rPr>
        <w:t>3</w:t>
      </w:r>
    </w:p>
    <w:p>
      <w:pPr>
        <w:spacing w:after="0"/>
        <w:ind w:left="0"/>
        <w:jc w:val="both"/>
      </w:pPr>
      <w:r>
        <w:drawing>
          <wp:inline distT="0" distB="0" distL="0" distR="0">
            <wp:extent cx="495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495300" cy="482600"/>
                    </a:xfrm>
                    <a:prstGeom prst="rect">
                      <a:avLst/>
                    </a:prstGeom>
                  </pic:spPr>
                </pic:pic>
              </a:graphicData>
            </a:graphic>
          </wp:inline>
        </w:drawing>
      </w:r>
    </w:p>
    <w:p>
      <w:pPr>
        <w:spacing w:after="0"/>
        <w:ind w:left="0"/>
        <w:jc w:val="left"/>
      </w:pPr>
      <w:r>
        <w:rPr>
          <w:rFonts w:ascii="Times New Roman"/>
          <w:b w:val="false"/>
          <w:i w:val="false"/>
          <w:color w:val="000000"/>
          <w:sz w:val="28"/>
        </w:rPr>
        <w:t>,                (281)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 xml:space="preserve"> — коэффициент, принимаемый по приложению 129 настоящих Правил в зависимости от категории ледовых усилений;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—подпункт 1) пункта 826 настоящих Правил;</w:t>
      </w:r>
      <w:r>
        <w:br/>
      </w:r>
      <w:r>
        <w:rPr>
          <w:rFonts w:ascii="Times New Roman"/>
          <w:b w:val="false"/>
          <w:i w:val="false"/>
          <w:color w:val="000000"/>
          <w:sz w:val="28"/>
        </w:rPr>
        <w:t>
</w:t>
      </w:r>
    </w:p>
    <w:bookmarkStart w:name="z3251" w:id="3267"/>
    <w:p>
      <w:pPr>
        <w:spacing w:after="0"/>
        <w:ind w:left="0"/>
        <w:jc w:val="both"/>
      </w:pPr>
      <w:r>
        <w:rPr>
          <w:rFonts w:ascii="Times New Roman"/>
          <w:b w:val="false"/>
          <w:i w:val="false"/>
          <w:color w:val="000000"/>
          <w:sz w:val="28"/>
        </w:rPr>
        <w:t>
      4) в районе CI для судов с ледовыми усилениями категорий Ice2, Ice3</w:t>
      </w:r>
    </w:p>
    <w:bookmarkEnd w:id="326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СI</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4</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BI</w:t>
      </w:r>
      <w:r>
        <w:rPr>
          <w:rFonts w:ascii="Times New Roman"/>
          <w:b w:val="false"/>
          <w:i w:val="false"/>
          <w:color w:val="000000"/>
          <w:sz w:val="28"/>
        </w:rPr>
        <w:t xml:space="preserve"> ,                     (282)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vertAlign w:val="subscript"/>
        </w:rPr>
        <w:t>4</w:t>
      </w:r>
      <w:r>
        <w:rPr>
          <w:rFonts w:ascii="Times New Roman"/>
          <w:b w:val="false"/>
          <w:i w:val="false"/>
          <w:color w:val="000000"/>
          <w:sz w:val="28"/>
        </w:rPr>
        <w:t xml:space="preserve"> — коэффициент, принимаемый по приложению 129 настоящих Правил в зависимости от категории ледовых усилений;</w:t>
      </w:r>
    </w:p>
    <w:p>
      <w:pPr>
        <w:spacing w:after="0"/>
        <w:ind w:left="0"/>
        <w:jc w:val="both"/>
      </w:pPr>
      <w:r>
        <w:rPr>
          <w:rFonts w:ascii="Times New Roman"/>
          <w:b w:val="false"/>
          <w:i w:val="false"/>
          <w:color w:val="000000"/>
          <w:sz w:val="28"/>
        </w:rPr>
        <w:t>
      рBI — подпункт 3) пункта 826 настоящих Правил.</w:t>
      </w:r>
    </w:p>
    <w:bookmarkStart w:name="z3252" w:id="3268"/>
    <w:p>
      <w:pPr>
        <w:spacing w:after="0"/>
        <w:ind w:left="0"/>
        <w:jc w:val="both"/>
      </w:pPr>
      <w:r>
        <w:rPr>
          <w:rFonts w:ascii="Times New Roman"/>
          <w:b w:val="false"/>
          <w:i w:val="false"/>
          <w:color w:val="000000"/>
          <w:sz w:val="28"/>
        </w:rPr>
        <w:t>
      5) в районах II, III и IV интенсивность ледовой нагрузки определяется как часть интенсивности ледовой нагрузки района I в соответствующем районе по длине:</w:t>
      </w:r>
    </w:p>
    <w:bookmarkEnd w:id="326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kl</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kl</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                      (284)</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А, А</w:t>
      </w:r>
      <w:r>
        <w:rPr>
          <w:rFonts w:ascii="Times New Roman"/>
          <w:b w:val="false"/>
          <w:i w:val="false"/>
          <w:color w:val="000000"/>
          <w:vertAlign w:val="subscript"/>
        </w:rPr>
        <w:t>1</w:t>
      </w:r>
      <w:r>
        <w:rPr>
          <w:rFonts w:ascii="Times New Roman"/>
          <w:b w:val="false"/>
          <w:i w:val="false"/>
          <w:color w:val="000000"/>
          <w:sz w:val="28"/>
        </w:rPr>
        <w:t>, В, 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II, III, IV;</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kl</w:t>
      </w:r>
      <w:r>
        <w:rPr>
          <w:rFonts w:ascii="Times New Roman"/>
          <w:b w:val="false"/>
          <w:i w:val="false"/>
          <w:color w:val="000000"/>
          <w:sz w:val="28"/>
        </w:rPr>
        <w:t xml:space="preserve"> — коэффициент по приложению 130 настоящих Правил.</w:t>
      </w:r>
    </w:p>
    <w:bookmarkStart w:name="z3253" w:id="3269"/>
    <w:p>
      <w:pPr>
        <w:spacing w:after="0"/>
        <w:ind w:left="0"/>
        <w:jc w:val="both"/>
      </w:pPr>
      <w:r>
        <w:rPr>
          <w:rFonts w:ascii="Times New Roman"/>
          <w:b w:val="false"/>
          <w:i w:val="false"/>
          <w:color w:val="000000"/>
          <w:sz w:val="28"/>
        </w:rPr>
        <w:t>
      827. Высота распределения ледовой нагрузки, м, определяется по следующим формулам:</w:t>
      </w:r>
    </w:p>
    <w:bookmarkEnd w:id="3269"/>
    <w:bookmarkStart w:name="z3254" w:id="3270"/>
    <w:p>
      <w:pPr>
        <w:spacing w:after="0"/>
        <w:ind w:left="0"/>
        <w:jc w:val="both"/>
      </w:pPr>
      <w:r>
        <w:rPr>
          <w:rFonts w:ascii="Times New Roman"/>
          <w:b w:val="false"/>
          <w:i w:val="false"/>
          <w:color w:val="000000"/>
          <w:sz w:val="28"/>
        </w:rPr>
        <w:t>
      1) в районах AI, АII, АIII, AIV</w:t>
      </w:r>
    </w:p>
    <w:bookmarkEnd w:id="327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A</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u</w:t>
      </w:r>
      <w:r>
        <w:rPr>
          <w:rFonts w:ascii="Times New Roman"/>
          <w:b w:val="false"/>
          <w:i w:val="false"/>
          <w:color w:val="000000"/>
          <w:vertAlign w:val="subscript"/>
        </w:rPr>
        <w:t>m</w:t>
      </w:r>
      <w:r>
        <w:rPr>
          <w:rFonts w:ascii="Times New Roman"/>
          <w:b w:val="false"/>
          <w:i w:val="false"/>
          <w:color w:val="000000"/>
          <w:sz w:val="28"/>
        </w:rPr>
        <w:t>,                       (285)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коэффициент, принимаемый по приложению 131 настоящих Правил в зависимости от категории ледовых усилений;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482600" cy="482600"/>
                    </a:xfrm>
                    <a:prstGeom prst="rect">
                      <a:avLst/>
                    </a:prstGeom>
                  </pic:spPr>
                </pic:pic>
              </a:graphicData>
            </a:graphic>
          </wp:inline>
        </w:drawing>
      </w:r>
    </w:p>
    <w:p>
      <w:pPr>
        <w:spacing w:after="0"/>
        <w:ind w:left="0"/>
        <w:jc w:val="left"/>
      </w:pPr>
      <w:r>
        <w:rPr>
          <w:rFonts w:ascii="Times New Roman"/>
          <w:b w:val="false"/>
          <w:i w:val="false"/>
          <w:color w:val="000000"/>
          <w:sz w:val="28"/>
        </w:rPr>
        <w:t>, но не более 3,5;</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 xml:space="preserve"> — максимальное в пределах района значение коэффициента формы </w:t>
      </w:r>
      <w:r>
        <w:rPr>
          <w:rFonts w:ascii="Times New Roman"/>
          <w:b w:val="false"/>
          <w:i/>
          <w:color w:val="000000"/>
          <w:sz w:val="28"/>
        </w:rPr>
        <w:t>u</w:t>
      </w:r>
      <w:r>
        <w:rPr>
          <w:rFonts w:ascii="Times New Roman"/>
          <w:b w:val="false"/>
          <w:i w:val="false"/>
          <w:color w:val="000000"/>
          <w:sz w:val="28"/>
        </w:rPr>
        <w:t xml:space="preserve">, определяемого в сечениях </w:t>
      </w:r>
      <w:r>
        <w:rPr>
          <w:rFonts w:ascii="Times New Roman"/>
          <w:b w:val="false"/>
          <w:i/>
          <w:color w:val="000000"/>
          <w:sz w:val="28"/>
        </w:rPr>
        <w:t>х</w:t>
      </w:r>
      <w:r>
        <w:rPr>
          <w:rFonts w:ascii="Times New Roman"/>
          <w:b w:val="false"/>
          <w:i w:val="false"/>
          <w:color w:val="000000"/>
          <w:sz w:val="28"/>
        </w:rPr>
        <w:t xml:space="preserve"> = 0; 0,05</w:t>
      </w:r>
      <w:r>
        <w:rPr>
          <w:rFonts w:ascii="Times New Roman"/>
          <w:b w:val="false"/>
          <w:i/>
          <w:color w:val="000000"/>
          <w:sz w:val="28"/>
        </w:rPr>
        <w:t>L</w:t>
      </w:r>
      <w:r>
        <w:rPr>
          <w:rFonts w:ascii="Times New Roman"/>
          <w:b w:val="false"/>
          <w:i w:val="false"/>
          <w:color w:val="000000"/>
          <w:sz w:val="28"/>
        </w:rPr>
        <w:t>; 0,1\</w:t>
      </w:r>
      <w:r>
        <w:rPr>
          <w:rFonts w:ascii="Times New Roman"/>
          <w:b w:val="false"/>
          <w:i/>
          <w:color w:val="000000"/>
          <w:sz w:val="28"/>
        </w:rPr>
        <w:t>L</w:t>
      </w:r>
      <w:r>
        <w:rPr>
          <w:rFonts w:ascii="Times New Roman"/>
          <w:b w:val="false"/>
          <w:i w:val="false"/>
          <w:color w:val="000000"/>
          <w:sz w:val="28"/>
        </w:rPr>
        <w:t xml:space="preserve">. от носового перпендикуляра на уровне ледовой ГВЛ (для судов с ледовыми усилениями категорий Ice1, Ice2, Ice3 в рассмотрение включаются только расчетные сечения </w:t>
      </w:r>
      <w:r>
        <w:rPr>
          <w:rFonts w:ascii="Times New Roman"/>
          <w:b w:val="false"/>
          <w:i/>
          <w:color w:val="000000"/>
          <w:sz w:val="28"/>
        </w:rPr>
        <w:t xml:space="preserve">с х </w:t>
      </w:r>
      <w:r>
        <w:rPr>
          <w:rFonts w:ascii="Times New Roman"/>
          <w:b w:val="false"/>
          <w:i w:val="false"/>
          <w:color w:val="000000"/>
          <w:sz w:val="28"/>
          <w:u w:val="single"/>
        </w:rPr>
        <w:t>&lt;</w:t>
      </w:r>
      <w:r>
        <w:rPr>
          <w:rFonts w:ascii="Times New Roman"/>
          <w:b w:val="false"/>
          <w:i w:val="false"/>
          <w:color w:val="000000"/>
          <w:sz w:val="28"/>
        </w:rPr>
        <w:t xml:space="preserve"> 0,58</w:t>
      </w:r>
      <w:r>
        <w:rPr>
          <w:rFonts w:ascii="Times New Roman"/>
          <w:b w:val="false"/>
          <w:i/>
          <w:color w:val="000000"/>
          <w:sz w:val="28"/>
        </w:rPr>
        <w:t>b</w:t>
      </w: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sz w:val="28"/>
        </w:rPr>
        <w:t xml:space="preserve"> —приложение 129 настоящих Правил), определяемое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(0,635 + </w:t>
      </w:r>
    </w:p>
    <w:p>
      <w:pPr>
        <w:spacing w:after="0"/>
        <w:ind w:left="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444500" cy="482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p>
    <w:p>
      <w:pPr>
        <w:spacing w:after="0"/>
        <w:ind w:left="0"/>
        <w:jc w:val="both"/>
      </w:pPr>
      <w:r>
        <w:drawing>
          <wp:inline distT="0" distB="0" distL="0" distR="0">
            <wp:extent cx="17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177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(0,862 – </w:t>
      </w:r>
    </w:p>
    <w:p>
      <w:pPr>
        <w:spacing w:after="0"/>
        <w:ind w:left="0"/>
        <w:jc w:val="both"/>
      </w:pPr>
      <w:r>
        <w:drawing>
          <wp:inline distT="0" distB="0" distL="0" distR="0">
            <wp:extent cx="43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431800" cy="482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92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92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p>
    <w:p>
      <w:pPr>
        <w:spacing w:after="0"/>
        <w:ind w:left="0"/>
        <w:jc w:val="both"/>
      </w:pPr>
      <w:r>
        <w:drawing>
          <wp:inline distT="0" distB="0" distL="0" distR="0">
            <wp:extent cx="177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77800" cy="482600"/>
                    </a:xfrm>
                    <a:prstGeom prst="rect">
                      <a:avLst/>
                    </a:prstGeom>
                  </pic:spPr>
                </pic:pic>
              </a:graphicData>
            </a:graphic>
          </wp:inline>
        </w:drawing>
      </w:r>
    </w:p>
    <w:p>
      <w:pPr>
        <w:spacing w:after="0"/>
        <w:ind w:left="0"/>
        <w:jc w:val="left"/>
      </w:pPr>
      <w:r>
        <w:rPr>
          <w:rFonts w:ascii="Times New Roman"/>
          <w:b w:val="false"/>
          <w:i w:val="false"/>
          <w:color w:val="000000"/>
          <w:sz w:val="28"/>
        </w:rPr>
        <w:t>&gt; 0,25;</w:t>
      </w:r>
      <w:r>
        <w:br/>
      </w:r>
      <w:r>
        <w:rPr>
          <w:rFonts w:ascii="Times New Roman"/>
          <w:b w:val="false"/>
          <w:i w:val="false"/>
          <w:color w:val="000000"/>
          <w:sz w:val="28"/>
        </w:rPr>
        <w:t>
</w:t>
      </w:r>
      <w:r>
        <w:br/>
      </w:r>
    </w:p>
    <w:p>
      <w:pPr>
        <w:spacing w:after="0"/>
        <w:ind w:left="0"/>
        <w:jc w:val="both"/>
      </w:pPr>
      <w:r>
        <w:drawing>
          <wp:inline distT="0" distB="0" distL="0" distR="0">
            <wp:extent cx="237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374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подпункт 1) пункта 826 настоящих Правил.</w:t>
      </w:r>
      <w:r>
        <w:br/>
      </w:r>
      <w:r>
        <w:rPr>
          <w:rFonts w:ascii="Times New Roman"/>
          <w:b w:val="false"/>
          <w:i w:val="false"/>
          <w:color w:val="000000"/>
          <w:sz w:val="28"/>
        </w:rPr>
        <w:t>
</w:t>
      </w:r>
    </w:p>
    <w:bookmarkStart w:name="z3255" w:id="3271"/>
    <w:p>
      <w:pPr>
        <w:spacing w:after="0"/>
        <w:ind w:left="0"/>
        <w:jc w:val="both"/>
      </w:pPr>
      <w:r>
        <w:rPr>
          <w:rFonts w:ascii="Times New Roman"/>
          <w:b w:val="false"/>
          <w:i w:val="false"/>
          <w:color w:val="000000"/>
          <w:sz w:val="28"/>
        </w:rPr>
        <w:t xml:space="preserve">
      Если в расчетном сечении судов с ледовыми усилениями категорий Ice1, Ice2, Ice3 </w:t>
      </w:r>
    </w:p>
    <w:bookmarkEnd w:id="3271"/>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&gt; 0 и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то следует полагать, что в этом сечении </w:t>
      </w: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 xml:space="preserve"> = 0,92.</w:t>
      </w:r>
      <w:r>
        <w:br/>
      </w:r>
      <w:r>
        <w:rPr>
          <w:rFonts w:ascii="Times New Roman"/>
          <w:b w:val="false"/>
          <w:i w:val="false"/>
          <w:color w:val="000000"/>
          <w:sz w:val="28"/>
        </w:rPr>
        <w:t>
</w:t>
      </w:r>
    </w:p>
    <w:bookmarkStart w:name="z3256" w:id="3272"/>
    <w:p>
      <w:pPr>
        <w:spacing w:after="0"/>
        <w:ind w:left="0"/>
        <w:jc w:val="both"/>
      </w:pPr>
      <w:r>
        <w:rPr>
          <w:rFonts w:ascii="Times New Roman"/>
          <w:b w:val="false"/>
          <w:i w:val="false"/>
          <w:color w:val="000000"/>
          <w:sz w:val="28"/>
        </w:rPr>
        <w:t xml:space="preserve">
      Если в расчетном сечении судов с ледовыми усилениями категорий Ice1, Ice2, Ice3 угол </w:t>
      </w:r>
    </w:p>
    <w:bookmarkEnd w:id="3272"/>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меньше 3</w:t>
      </w:r>
      <w:r>
        <w:rPr>
          <w:rFonts w:ascii="Times New Roman"/>
          <w:b w:val="false"/>
          <w:i w:val="false"/>
          <w:color w:val="000000"/>
          <w:vertAlign w:val="superscript"/>
        </w:rPr>
        <w:t>о</w:t>
      </w:r>
      <w:r>
        <w:rPr>
          <w:rFonts w:ascii="Times New Roman"/>
          <w:b w:val="false"/>
          <w:i w:val="false"/>
          <w:color w:val="000000"/>
          <w:sz w:val="28"/>
        </w:rPr>
        <w:t xml:space="preserve">, допускается не включать это сечение в рассмотрение при вычислении </w:t>
      </w: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w:t>
      </w:r>
    </w:p>
    <w:bookmarkStart w:name="z3257" w:id="3273"/>
    <w:p>
      <w:pPr>
        <w:spacing w:after="0"/>
        <w:ind w:left="0"/>
        <w:jc w:val="both"/>
      </w:pPr>
      <w:r>
        <w:rPr>
          <w:rFonts w:ascii="Times New Roman"/>
          <w:b w:val="false"/>
          <w:i w:val="false"/>
          <w:color w:val="000000"/>
          <w:sz w:val="28"/>
        </w:rPr>
        <w:t>
      2) в районах A</w:t>
      </w:r>
      <w:r>
        <w:rPr>
          <w:rFonts w:ascii="Times New Roman"/>
          <w:b w:val="false"/>
          <w:i w:val="false"/>
          <w:color w:val="000000"/>
          <w:vertAlign w:val="subscript"/>
        </w:rPr>
        <w:t>1</w:t>
      </w:r>
      <w:r>
        <w:rPr>
          <w:rFonts w:ascii="Times New Roman"/>
          <w:b w:val="false"/>
          <w:i w:val="false"/>
          <w:color w:val="000000"/>
          <w:sz w:val="28"/>
        </w:rPr>
        <w:t>I, A</w:t>
      </w:r>
      <w:r>
        <w:rPr>
          <w:rFonts w:ascii="Times New Roman"/>
          <w:b w:val="false"/>
          <w:i w:val="false"/>
          <w:color w:val="000000"/>
          <w:vertAlign w:val="subscript"/>
        </w:rPr>
        <w:t>1</w:t>
      </w:r>
      <w:r>
        <w:rPr>
          <w:rFonts w:ascii="Times New Roman"/>
          <w:b w:val="false"/>
          <w:i w:val="false"/>
          <w:color w:val="000000"/>
          <w:sz w:val="28"/>
        </w:rPr>
        <w:t>II, A</w:t>
      </w:r>
      <w:r>
        <w:rPr>
          <w:rFonts w:ascii="Times New Roman"/>
          <w:b w:val="false"/>
          <w:i w:val="false"/>
          <w:color w:val="000000"/>
          <w:vertAlign w:val="subscript"/>
        </w:rPr>
        <w:t>1</w:t>
      </w:r>
      <w:r>
        <w:rPr>
          <w:rFonts w:ascii="Times New Roman"/>
          <w:b w:val="false"/>
          <w:i w:val="false"/>
          <w:color w:val="000000"/>
          <w:sz w:val="28"/>
        </w:rPr>
        <w:t>III, A</w:t>
      </w:r>
      <w:r>
        <w:rPr>
          <w:rFonts w:ascii="Times New Roman"/>
          <w:b w:val="false"/>
          <w:i w:val="false"/>
          <w:color w:val="000000"/>
          <w:vertAlign w:val="subscript"/>
        </w:rPr>
        <w:t>1</w:t>
      </w:r>
      <w:r>
        <w:rPr>
          <w:rFonts w:ascii="Times New Roman"/>
          <w:b w:val="false"/>
          <w:i w:val="false"/>
          <w:color w:val="000000"/>
          <w:sz w:val="28"/>
        </w:rPr>
        <w:t>IV</w:t>
      </w:r>
    </w:p>
    <w:bookmarkEnd w:id="3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2</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 но не более 1,25</w:t>
      </w:r>
      <w:r>
        <w:rPr>
          <w:rFonts w:ascii="Times New Roman"/>
          <w:b w:val="false"/>
          <w:i/>
          <w:color w:val="000000"/>
          <w:sz w:val="28"/>
        </w:rPr>
        <w:t>bр</w:t>
      </w:r>
      <w:r>
        <w:rPr>
          <w:rFonts w:ascii="Times New Roman"/>
          <w:b w:val="false"/>
          <w:i w:val="false"/>
          <w:color w:val="000000"/>
          <w:vertAlign w:val="subscript"/>
        </w:rPr>
        <w:t>АI</w:t>
      </w:r>
      <w:r>
        <w:rPr>
          <w:rFonts w:ascii="Times New Roman"/>
          <w:b w:val="false"/>
          <w:i w:val="false"/>
          <w:color w:val="000000"/>
          <w:sz w:val="28"/>
        </w:rPr>
        <w:t>/</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I,        (286)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2</w:t>
      </w:r>
      <w:r>
        <w:rPr>
          <w:rFonts w:ascii="Times New Roman"/>
          <w:b w:val="false"/>
          <w:i w:val="false"/>
          <w:color w:val="000000"/>
          <w:sz w:val="28"/>
        </w:rPr>
        <w:t xml:space="preserve"> — коэффициент, принимаемый по приложению 131 настоящих Правил в зависимости от категории ледовых усилений;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827настоящих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 xml:space="preserve"> — определяется способом, указанным в подпункте 1) рункта 809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А</w:t>
      </w:r>
      <w:r>
        <w:rPr>
          <w:rFonts w:ascii="Times New Roman"/>
          <w:b w:val="false"/>
          <w:i w:val="false"/>
          <w:color w:val="000000"/>
          <w:sz w:val="28"/>
        </w:rPr>
        <w:t xml:space="preserve"> — подпункт 1) пункта 827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АI</w:t>
      </w:r>
      <w:r>
        <w:rPr>
          <w:rFonts w:ascii="Times New Roman"/>
          <w:b w:val="false"/>
          <w:i w:val="false"/>
          <w:color w:val="000000"/>
          <w:sz w:val="28"/>
        </w:rPr>
        <w:t xml:space="preserve"> — подпункт 1) пункта 827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I — подпункт 2) пункта 827 настоящих Правил.</w:t>
      </w:r>
      <w:r>
        <w:br/>
      </w:r>
      <w:r>
        <w:rPr>
          <w:rFonts w:ascii="Times New Roman"/>
          <w:b w:val="false"/>
          <w:i w:val="false"/>
          <w:color w:val="000000"/>
          <w:sz w:val="28"/>
        </w:rPr>
        <w:t>
</w:t>
      </w:r>
    </w:p>
    <w:bookmarkStart w:name="z3258" w:id="3274"/>
    <w:p>
      <w:pPr>
        <w:spacing w:after="0"/>
        <w:ind w:left="0"/>
        <w:jc w:val="both"/>
      </w:pPr>
      <w:r>
        <w:rPr>
          <w:rFonts w:ascii="Times New Roman"/>
          <w:b w:val="false"/>
          <w:i w:val="false"/>
          <w:color w:val="000000"/>
          <w:sz w:val="28"/>
        </w:rPr>
        <w:t xml:space="preserve">
      Во всех случаях высота распределения </w:t>
      </w:r>
      <w:r>
        <w:rPr>
          <w:rFonts w:ascii="Times New Roman"/>
          <w:b w:val="false"/>
          <w:i/>
          <w:color w:val="000000"/>
          <w:sz w:val="28"/>
        </w:rPr>
        <w:t>b</w:t>
      </w:r>
      <w:r>
        <w:rPr>
          <w:rFonts w:ascii="Times New Roman"/>
          <w:b w:val="false"/>
          <w:i w:val="false"/>
          <w:color w:val="000000"/>
          <w:vertAlign w:val="subscript"/>
        </w:rPr>
        <w:t>АI</w:t>
      </w:r>
      <w:r>
        <w:rPr>
          <w:rFonts w:ascii="Times New Roman"/>
          <w:b w:val="false"/>
          <w:i w:val="false"/>
          <w:color w:val="000000"/>
          <w:sz w:val="28"/>
        </w:rPr>
        <w:t xml:space="preserve"> не менее определяемой по формуле</w:t>
      </w:r>
    </w:p>
    <w:bookmarkEnd w:id="3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ВI</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I ,                   (287)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I — подпункт 2) пункта 826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ВI</w:t>
      </w:r>
      <w:r>
        <w:rPr>
          <w:rFonts w:ascii="Times New Roman"/>
          <w:b w:val="false"/>
          <w:i w:val="false"/>
          <w:color w:val="000000"/>
          <w:sz w:val="28"/>
        </w:rPr>
        <w:t xml:space="preserve"> — подпункт 3) пункта 826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подпункт 3) пункта 827 настоящих Правил.</w:t>
      </w:r>
    </w:p>
    <w:bookmarkStart w:name="z3259" w:id="3275"/>
    <w:p>
      <w:pPr>
        <w:spacing w:after="0"/>
        <w:ind w:left="0"/>
        <w:jc w:val="both"/>
      </w:pPr>
      <w:r>
        <w:rPr>
          <w:rFonts w:ascii="Times New Roman"/>
          <w:b w:val="false"/>
          <w:i w:val="false"/>
          <w:color w:val="000000"/>
          <w:sz w:val="28"/>
        </w:rPr>
        <w:t>
      3) в районах BI, ВII, BIII, BIV</w:t>
      </w:r>
    </w:p>
    <w:bookmarkEnd w:id="327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3</w:t>
      </w:r>
      <w:r>
        <w:rPr>
          <w:rFonts w:ascii="Times New Roman"/>
          <w:b w:val="false"/>
          <w:i/>
          <w:color w:val="000000"/>
          <w:sz w:val="28"/>
        </w:rPr>
        <w:t>С</w:t>
      </w:r>
      <w:r>
        <w:rPr>
          <w:rFonts w:ascii="Times New Roman"/>
          <w:b w:val="false"/>
          <w:i w:val="false"/>
          <w:color w:val="000000"/>
          <w:vertAlign w:val="subscript"/>
        </w:rPr>
        <w:t>4</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vertAlign w:val="subscript"/>
        </w:rPr>
        <w:t>3</w:t>
      </w:r>
      <w:r>
        <w:rPr>
          <w:rFonts w:ascii="Times New Roman"/>
          <w:b w:val="false"/>
          <w:i w:val="false"/>
          <w:color w:val="000000"/>
          <w:sz w:val="28"/>
        </w:rPr>
        <w:t xml:space="preserve"> — коэффициент, принимаемый по приложению 131 настоящих Правил в зависимости от категории ледовых усилений;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4</w:t>
      </w:r>
      <w:r>
        <w:rPr>
          <w:rFonts w:ascii="Times New Roman"/>
          <w:b w:val="false"/>
          <w:i w:val="false"/>
          <w:color w:val="000000"/>
          <w:sz w:val="28"/>
        </w:rPr>
        <w:t xml:space="preserve"> — коэффициент, принимаемый по приложению 132 настоящих Правил в зависимости от минимального угла наклона борта к вертикали в среднем районе ледовых усилений на уровне летней грузовой ватерлинии;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827 настоящих Правил;</w:t>
      </w:r>
      <w:r>
        <w:br/>
      </w:r>
      <w:r>
        <w:rPr>
          <w:rFonts w:ascii="Times New Roman"/>
          <w:b w:val="false"/>
          <w:i w:val="false"/>
          <w:color w:val="000000"/>
          <w:sz w:val="28"/>
        </w:rPr>
        <w:t>
</w:t>
      </w:r>
    </w:p>
    <w:bookmarkStart w:name="z3260" w:id="3276"/>
    <w:p>
      <w:pPr>
        <w:spacing w:after="0"/>
        <w:ind w:left="0"/>
        <w:jc w:val="both"/>
      </w:pPr>
      <w:r>
        <w:rPr>
          <w:rFonts w:ascii="Times New Roman"/>
          <w:b w:val="false"/>
          <w:i w:val="false"/>
          <w:color w:val="000000"/>
          <w:sz w:val="28"/>
        </w:rPr>
        <w:t>
      4) в районах CI, СII, СIII, CIV</w:t>
      </w:r>
    </w:p>
    <w:bookmarkEnd w:id="327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xml:space="preserve"> = 0,8</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для судов с ледовыми усилениями категорий Iсе2, Iсе3;</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vertAlign w:val="subscript"/>
        </w:rPr>
        <w:t>А</w:t>
      </w:r>
      <w:r>
        <w:rPr>
          <w:rFonts w:ascii="Times New Roman"/>
          <w:b w:val="false"/>
          <w:i w:val="false"/>
          <w:color w:val="000000"/>
          <w:sz w:val="28"/>
        </w:rPr>
        <w:t xml:space="preserve"> — подпункт 1) пункта 827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подпункт 3) пункта 827 настоящих Правил.</w:t>
      </w:r>
    </w:p>
    <w:bookmarkStart w:name="z3261" w:id="3277"/>
    <w:p>
      <w:pPr>
        <w:spacing w:after="0"/>
        <w:ind w:left="0"/>
        <w:jc w:val="both"/>
      </w:pPr>
      <w:r>
        <w:rPr>
          <w:rFonts w:ascii="Times New Roman"/>
          <w:b w:val="false"/>
          <w:i w:val="false"/>
          <w:color w:val="000000"/>
          <w:sz w:val="28"/>
        </w:rPr>
        <w:t>
      828. Длина распределения ледовой нагрузки, м, определяется по следующим формулам:</w:t>
      </w:r>
    </w:p>
    <w:bookmarkEnd w:id="3277"/>
    <w:bookmarkStart w:name="z3262" w:id="3278"/>
    <w:p>
      <w:pPr>
        <w:spacing w:after="0"/>
        <w:ind w:left="0"/>
        <w:jc w:val="both"/>
      </w:pPr>
      <w:r>
        <w:rPr>
          <w:rFonts w:ascii="Times New Roman"/>
          <w:b w:val="false"/>
          <w:i w:val="false"/>
          <w:color w:val="000000"/>
          <w:sz w:val="28"/>
        </w:rPr>
        <w:t>
      1) в районах AI, АII, АIII, AIV</w:t>
      </w:r>
    </w:p>
    <w:bookmarkEnd w:id="3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11,3</w:t>
      </w:r>
    </w:p>
    <w:p>
      <w:pPr>
        <w:spacing w:after="0"/>
        <w:ind w:left="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800100" cy="381000"/>
                    </a:xfrm>
                    <a:prstGeom prst="rect">
                      <a:avLst/>
                    </a:prstGeom>
                  </pic:spPr>
                </pic:pic>
              </a:graphicData>
            </a:graphic>
          </wp:inline>
        </w:drawing>
      </w:r>
    </w:p>
    <w:p>
      <w:pPr>
        <w:spacing w:after="0"/>
        <w:ind w:left="0"/>
        <w:jc w:val="left"/>
      </w:pPr>
      <w:r>
        <w:rPr>
          <w:rFonts w:ascii="Times New Roman"/>
          <w:b w:val="false"/>
          <w:i w:val="false"/>
          <w:color w:val="000000"/>
          <w:sz w:val="28"/>
        </w:rPr>
        <w:t>, но не менее 3,5</w:t>
      </w:r>
    </w:p>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vertAlign w:val="subscript"/>
        </w:rPr>
        <w:t>А</w:t>
      </w:r>
      <w:r>
        <w:rPr>
          <w:rFonts w:ascii="Times New Roman"/>
          <w:b w:val="false"/>
          <w:i w:val="false"/>
          <w:color w:val="000000"/>
          <w:sz w:val="28"/>
        </w:rPr>
        <w:t>, 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827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54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угол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в расчетном сечении района А, для которого величина параметра и максимальна (подпункт 1) пункта 827 настоящих Правил);</w:t>
      </w:r>
      <w:r>
        <w:br/>
      </w:r>
      <w:r>
        <w:rPr>
          <w:rFonts w:ascii="Times New Roman"/>
          <w:b w:val="false"/>
          <w:i w:val="false"/>
          <w:color w:val="000000"/>
          <w:sz w:val="28"/>
        </w:rPr>
        <w:t>
</w:t>
      </w:r>
    </w:p>
    <w:bookmarkStart w:name="z3263" w:id="3279"/>
    <w:p>
      <w:pPr>
        <w:spacing w:after="0"/>
        <w:ind w:left="0"/>
        <w:jc w:val="both"/>
      </w:pPr>
      <w:r>
        <w:rPr>
          <w:rFonts w:ascii="Times New Roman"/>
          <w:b w:val="false"/>
          <w:i w:val="false"/>
          <w:color w:val="000000"/>
          <w:sz w:val="28"/>
        </w:rPr>
        <w:t>
      2) в районах A</w:t>
      </w:r>
      <w:r>
        <w:rPr>
          <w:rFonts w:ascii="Times New Roman"/>
          <w:b w:val="false"/>
          <w:i w:val="false"/>
          <w:color w:val="000000"/>
          <w:vertAlign w:val="subscript"/>
        </w:rPr>
        <w:t>1</w:t>
      </w:r>
      <w:r>
        <w:rPr>
          <w:rFonts w:ascii="Times New Roman"/>
          <w:b w:val="false"/>
          <w:i w:val="false"/>
          <w:color w:val="000000"/>
          <w:sz w:val="28"/>
        </w:rPr>
        <w:t>I, A</w:t>
      </w:r>
      <w:r>
        <w:rPr>
          <w:rFonts w:ascii="Times New Roman"/>
          <w:b w:val="false"/>
          <w:i w:val="false"/>
          <w:color w:val="000000"/>
          <w:vertAlign w:val="subscript"/>
        </w:rPr>
        <w:t>1</w:t>
      </w:r>
      <w:r>
        <w:rPr>
          <w:rFonts w:ascii="Times New Roman"/>
          <w:b w:val="false"/>
          <w:i w:val="false"/>
          <w:color w:val="000000"/>
          <w:sz w:val="28"/>
        </w:rPr>
        <w:t>II, A</w:t>
      </w:r>
      <w:r>
        <w:rPr>
          <w:rFonts w:ascii="Times New Roman"/>
          <w:b w:val="false"/>
          <w:i w:val="false"/>
          <w:color w:val="000000"/>
          <w:vertAlign w:val="subscript"/>
        </w:rPr>
        <w:t>1</w:t>
      </w:r>
      <w:r>
        <w:rPr>
          <w:rFonts w:ascii="Times New Roman"/>
          <w:b w:val="false"/>
          <w:i w:val="false"/>
          <w:color w:val="000000"/>
          <w:sz w:val="28"/>
        </w:rPr>
        <w:t>III, A</w:t>
      </w:r>
      <w:r>
        <w:rPr>
          <w:rFonts w:ascii="Times New Roman"/>
          <w:b w:val="false"/>
          <w:i w:val="false"/>
          <w:color w:val="000000"/>
          <w:vertAlign w:val="subscript"/>
        </w:rPr>
        <w:t>1</w:t>
      </w:r>
      <w:r>
        <w:rPr>
          <w:rFonts w:ascii="Times New Roman"/>
          <w:b w:val="false"/>
          <w:i w:val="false"/>
          <w:color w:val="000000"/>
          <w:sz w:val="28"/>
        </w:rPr>
        <w:t>IV</w:t>
      </w:r>
    </w:p>
    <w:bookmarkEnd w:id="32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28600" cy="355600"/>
                    </a:xfrm>
                    <a:prstGeom prst="rect">
                      <a:avLst/>
                    </a:prstGeom>
                  </pic:spPr>
                </pic:pic>
              </a:graphicData>
            </a:graphic>
          </wp:inline>
        </w:drawing>
      </w:r>
    </w:p>
    <w:p>
      <w:pPr>
        <w:spacing w:after="0"/>
        <w:ind w:left="0"/>
        <w:jc w:val="left"/>
      </w:pPr>
      <w:r>
        <w:rPr>
          <w:rFonts w:ascii="Times New Roman"/>
          <w:b w:val="false"/>
          <w:i w:val="false"/>
          <w:color w:val="000000"/>
          <w:sz w:val="28"/>
        </w:rPr>
        <w:t>= 11,3</w:t>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но не менее 3</w:t>
      </w:r>
    </w:p>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sz w:val="28"/>
        </w:rPr>
        <w:t>— подпункт 2) пункта 827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угол в в расчетном сечении района А</w:t>
      </w:r>
      <w:r>
        <w:rPr>
          <w:rFonts w:ascii="Times New Roman"/>
          <w:b w:val="false"/>
          <w:i w:val="false"/>
          <w:color w:val="000000"/>
          <w:vertAlign w:val="subscript"/>
        </w:rPr>
        <w:t>1</w:t>
      </w:r>
      <w:r>
        <w:rPr>
          <w:rFonts w:ascii="Times New Roman"/>
          <w:b w:val="false"/>
          <w:i w:val="false"/>
          <w:color w:val="000000"/>
          <w:sz w:val="28"/>
        </w:rPr>
        <w:t>, для которого величина параметра и максимальна (подпункт 1) пункта 827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827 настоящих Правил;</w:t>
      </w:r>
      <w:r>
        <w:br/>
      </w:r>
      <w:r>
        <w:rPr>
          <w:rFonts w:ascii="Times New Roman"/>
          <w:b w:val="false"/>
          <w:i w:val="false"/>
          <w:color w:val="000000"/>
          <w:sz w:val="28"/>
        </w:rPr>
        <w:t>
</w:t>
      </w:r>
    </w:p>
    <w:bookmarkStart w:name="z3264" w:id="3280"/>
    <w:p>
      <w:pPr>
        <w:spacing w:after="0"/>
        <w:ind w:left="0"/>
        <w:jc w:val="both"/>
      </w:pPr>
      <w:r>
        <w:rPr>
          <w:rFonts w:ascii="Times New Roman"/>
          <w:b w:val="false"/>
          <w:i w:val="false"/>
          <w:color w:val="000000"/>
          <w:sz w:val="28"/>
        </w:rPr>
        <w:t>
      3) в районах BI, BII, BIII, BIV</w:t>
      </w:r>
    </w:p>
    <w:bookmarkEnd w:id="32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28600" cy="355600"/>
                    </a:xfrm>
                    <a:prstGeom prst="rect">
                      <a:avLst/>
                    </a:prstGeom>
                  </pic:spPr>
                </pic:pic>
              </a:graphicData>
            </a:graphic>
          </wp:inline>
        </w:drawing>
      </w:r>
    </w:p>
    <w:p>
      <w:pPr>
        <w:spacing w:after="0"/>
        <w:ind w:left="0"/>
        <w:jc w:val="left"/>
      </w:pPr>
      <w:r>
        <w:rPr>
          <w:rFonts w:ascii="Times New Roman"/>
          <w:b w:val="false"/>
          <w:i w:val="false"/>
          <w:color w:val="000000"/>
          <w:sz w:val="28"/>
        </w:rPr>
        <w:t>= 6</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но не менее 3</w:t>
      </w:r>
    </w:p>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подпункт 3) пункта 827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827 настоящих Правил;</w:t>
      </w:r>
      <w:r>
        <w:br/>
      </w:r>
      <w:r>
        <w:rPr>
          <w:rFonts w:ascii="Times New Roman"/>
          <w:b w:val="false"/>
          <w:i w:val="false"/>
          <w:color w:val="000000"/>
          <w:sz w:val="28"/>
        </w:rPr>
        <w:t>
</w:t>
      </w:r>
    </w:p>
    <w:bookmarkStart w:name="z3265" w:id="3281"/>
    <w:p>
      <w:pPr>
        <w:spacing w:after="0"/>
        <w:ind w:left="0"/>
        <w:jc w:val="both"/>
      </w:pPr>
      <w:r>
        <w:rPr>
          <w:rFonts w:ascii="Times New Roman"/>
          <w:b w:val="false"/>
          <w:i w:val="false"/>
          <w:color w:val="000000"/>
          <w:sz w:val="28"/>
        </w:rPr>
        <w:t>
      4) в районах CI, СII, СIII, CIV</w:t>
      </w:r>
    </w:p>
    <w:bookmarkEnd w:id="32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15900" cy="355600"/>
                    </a:xfrm>
                    <a:prstGeom prst="rect">
                      <a:avLst/>
                    </a:prstGeom>
                  </pic:spPr>
                </pic:pic>
              </a:graphicData>
            </a:graphic>
          </wp:inline>
        </w:drawing>
      </w:r>
    </w:p>
    <w:p>
      <w:pPr>
        <w:spacing w:after="0"/>
        <w:ind w:left="0"/>
        <w:jc w:val="left"/>
      </w:pPr>
      <w:r>
        <w:rPr>
          <w:rFonts w:ascii="Times New Roman"/>
          <w:b w:val="false"/>
          <w:i w:val="false"/>
          <w:color w:val="000000"/>
          <w:sz w:val="28"/>
        </w:rPr>
        <w:t>= 6</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но не менее 3</w:t>
      </w:r>
    </w:p>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xml:space="preserve"> — подпункт 4) пункта 827 нстоящих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827 настоящих Правил.</w:t>
      </w:r>
      <w:r>
        <w:br/>
      </w:r>
      <w:r>
        <w:rPr>
          <w:rFonts w:ascii="Times New Roman"/>
          <w:b w:val="false"/>
          <w:i w:val="false"/>
          <w:color w:val="000000"/>
          <w:sz w:val="28"/>
        </w:rPr>
        <w:t>
</w:t>
      </w:r>
    </w:p>
    <w:bookmarkStart w:name="z3266" w:id="3282"/>
    <w:p>
      <w:pPr>
        <w:spacing w:after="0"/>
        <w:ind w:left="0"/>
        <w:jc w:val="both"/>
      </w:pPr>
      <w:r>
        <w:rPr>
          <w:rFonts w:ascii="Times New Roman"/>
          <w:b w:val="false"/>
          <w:i w:val="false"/>
          <w:color w:val="000000"/>
          <w:sz w:val="28"/>
        </w:rPr>
        <w:t>
      829. Интенсивность ледовой нагрузки для ледоколов определяется по формулам, приведенным ниже:</w:t>
      </w:r>
    </w:p>
    <w:bookmarkEnd w:id="3282"/>
    <w:bookmarkStart w:name="z3267" w:id="3283"/>
    <w:p>
      <w:pPr>
        <w:spacing w:after="0"/>
        <w:ind w:left="0"/>
        <w:jc w:val="both"/>
      </w:pPr>
      <w:r>
        <w:rPr>
          <w:rFonts w:ascii="Times New Roman"/>
          <w:b w:val="false"/>
          <w:i w:val="false"/>
          <w:color w:val="000000"/>
          <w:sz w:val="28"/>
        </w:rPr>
        <w:t>
      1) в районе AI</w:t>
      </w:r>
    </w:p>
    <w:bookmarkEnd w:id="328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AI</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р</w:t>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(294)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интенсивность ледовой нагрузки в районе AI, определенная согласно подпункту 1) пункта 826 настоящих Правил как для судна, номер категории ледовых усилений которого совпадает с номером категории ледокола;</w:t>
      </w:r>
      <w:r>
        <w:br/>
      </w:r>
      <w:r>
        <w:rPr>
          <w:rFonts w:ascii="Times New Roman"/>
          <w:b w:val="false"/>
          <w:i w:val="false"/>
          <w:color w:val="000000"/>
          <w:sz w:val="28"/>
        </w:rPr>
        <w:t>
</w:t>
      </w:r>
      <w:r>
        <w:br/>
      </w:r>
    </w:p>
    <w:p>
      <w:pPr>
        <w:spacing w:after="0"/>
        <w:ind w:left="0"/>
        <w:jc w:val="both"/>
      </w:pPr>
      <w:r>
        <w:drawing>
          <wp:inline distT="0" distB="0" distL="0" distR="0">
            <wp:extent cx="2209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209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мощность на гребных валах ледокола,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определяется по приложению 133 настоящих Правил;</w:t>
      </w:r>
    </w:p>
    <w:bookmarkStart w:name="z3268" w:id="3284"/>
    <w:p>
      <w:pPr>
        <w:spacing w:after="0"/>
        <w:ind w:left="0"/>
        <w:jc w:val="both"/>
      </w:pPr>
      <w:r>
        <w:rPr>
          <w:rFonts w:ascii="Times New Roman"/>
          <w:b w:val="false"/>
          <w:i w:val="false"/>
          <w:color w:val="000000"/>
          <w:sz w:val="28"/>
        </w:rPr>
        <w:t>
      2) в районах A</w:t>
      </w:r>
      <w:r>
        <w:rPr>
          <w:rFonts w:ascii="Times New Roman"/>
          <w:b w:val="false"/>
          <w:i w:val="false"/>
          <w:color w:val="000000"/>
          <w:vertAlign w:val="subscript"/>
        </w:rPr>
        <w:t>1</w:t>
      </w:r>
      <w:r>
        <w:rPr>
          <w:rFonts w:ascii="Times New Roman"/>
          <w:b w:val="false"/>
          <w:i w:val="false"/>
          <w:color w:val="000000"/>
          <w:sz w:val="28"/>
        </w:rPr>
        <w:t>I, BI и CI</w:t>
      </w:r>
    </w:p>
    <w:bookmarkEnd w:id="328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kI </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k</w:t>
      </w:r>
      <w:r>
        <w:rPr>
          <w:rFonts w:ascii="Times New Roman"/>
          <w:b w:val="false"/>
          <w:i/>
          <w:color w:val="000000"/>
          <w:sz w:val="28"/>
        </w:rPr>
        <w:t>р</w:t>
      </w:r>
      <w:r>
        <w:rPr>
          <w:rFonts w:ascii="Times New Roman"/>
          <w:b w:val="false"/>
          <w:i w:val="false"/>
          <w:color w:val="000000"/>
          <w:vertAlign w:val="subscript"/>
        </w:rPr>
        <w:t>АI</w:t>
      </w:r>
      <w:r>
        <w:rPr>
          <w:rFonts w:ascii="Times New Roman"/>
          <w:b w:val="false"/>
          <w:i w:val="false"/>
          <w:color w:val="000000"/>
          <w:sz w:val="28"/>
        </w:rPr>
        <w:t xml:space="preserve"> ,                      (295)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АI</w:t>
      </w:r>
      <w:r>
        <w:rPr>
          <w:rFonts w:ascii="Times New Roman"/>
          <w:b w:val="false"/>
          <w:i w:val="false"/>
          <w:color w:val="000000"/>
          <w:sz w:val="28"/>
        </w:rPr>
        <w:t xml:space="preserve"> — подпункт 1) пункта 826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k</w:t>
      </w:r>
      <w:r>
        <w:rPr>
          <w:rFonts w:ascii="Times New Roman"/>
          <w:b w:val="false"/>
          <w:i w:val="false"/>
          <w:color w:val="000000"/>
          <w:sz w:val="28"/>
        </w:rPr>
        <w:t xml:space="preserve"> — коэффициент, определяемый по приложению 134 настоящих Правил в зависимости от района по длине и категории ледокола;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А</w:t>
      </w:r>
      <w:r>
        <w:rPr>
          <w:rFonts w:ascii="Times New Roman"/>
          <w:b w:val="false"/>
          <w:i w:val="false"/>
          <w:color w:val="000000"/>
          <w:vertAlign w:val="subscript"/>
        </w:rPr>
        <w:t>1</w:t>
      </w:r>
      <w:r>
        <w:rPr>
          <w:rFonts w:ascii="Times New Roman"/>
          <w:b w:val="false"/>
          <w:i w:val="false"/>
          <w:color w:val="000000"/>
          <w:sz w:val="28"/>
        </w:rPr>
        <w:t>, В, С;</w:t>
      </w:r>
    </w:p>
    <w:bookmarkStart w:name="z3269" w:id="3285"/>
    <w:p>
      <w:pPr>
        <w:spacing w:after="0"/>
        <w:ind w:left="0"/>
        <w:jc w:val="both"/>
      </w:pPr>
      <w:r>
        <w:rPr>
          <w:rFonts w:ascii="Times New Roman"/>
          <w:b w:val="false"/>
          <w:i w:val="false"/>
          <w:color w:val="000000"/>
          <w:sz w:val="28"/>
        </w:rPr>
        <w:t>
      3) в районах II, III и IV интенсивность ледовой нагрузки определяется как часть интенсивности ледовой нагрузки района I в соответствующем районе по длине:</w:t>
      </w:r>
    </w:p>
    <w:bookmarkEnd w:id="328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mп</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m</w:t>
      </w:r>
      <w:r>
        <w:rPr>
          <w:rFonts w:ascii="Times New Roman"/>
          <w:b w:val="false"/>
          <w:i w:val="false"/>
          <w:color w:val="000000"/>
          <w:vertAlign w:val="subscript"/>
        </w:rPr>
        <w:t>п</w:t>
      </w:r>
      <w:r>
        <w:rPr>
          <w:rFonts w:ascii="Times New Roman"/>
          <w:b w:val="false"/>
          <w:i/>
          <w:color w:val="000000"/>
          <w:sz w:val="28"/>
        </w:rPr>
        <w:t>р</w:t>
      </w:r>
      <w:r>
        <w:rPr>
          <w:rFonts w:ascii="Times New Roman"/>
          <w:b w:val="false"/>
          <w:i w:val="false"/>
          <w:color w:val="000000"/>
          <w:vertAlign w:val="subscript"/>
        </w:rPr>
        <w:t>m</w:t>
      </w:r>
      <w:r>
        <w:rPr>
          <w:rFonts w:ascii="Times New Roman"/>
          <w:b w:val="false"/>
          <w:i w:val="false"/>
          <w:color w:val="000000"/>
          <w:sz w:val="28"/>
        </w:rPr>
        <w:t>I,                      (296)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А, А</w:t>
      </w:r>
      <w:r>
        <w:rPr>
          <w:rFonts w:ascii="Times New Roman"/>
          <w:b w:val="false"/>
          <w:i w:val="false"/>
          <w:color w:val="000000"/>
          <w:vertAlign w:val="subscript"/>
        </w:rPr>
        <w:t>1</w:t>
      </w:r>
      <w:r>
        <w:rPr>
          <w:rFonts w:ascii="Times New Roman"/>
          <w:b w:val="false"/>
          <w:i w:val="false"/>
          <w:color w:val="000000"/>
          <w:sz w:val="28"/>
        </w:rPr>
        <w:t>, В, 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II, III, IV;</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mn</w:t>
      </w:r>
      <w:r>
        <w:rPr>
          <w:rFonts w:ascii="Times New Roman"/>
          <w:b w:val="false"/>
          <w:i w:val="false"/>
          <w:color w:val="000000"/>
          <w:sz w:val="28"/>
        </w:rPr>
        <w:t xml:space="preserve"> — коэффициент, определяемый по приложению 135 настоящих Правил.</w:t>
      </w:r>
    </w:p>
    <w:bookmarkStart w:name="z3270" w:id="3286"/>
    <w:p>
      <w:pPr>
        <w:spacing w:after="0"/>
        <w:ind w:left="0"/>
        <w:jc w:val="both"/>
      </w:pPr>
      <w:r>
        <w:rPr>
          <w:rFonts w:ascii="Times New Roman"/>
          <w:b w:val="false"/>
          <w:i w:val="false"/>
          <w:color w:val="000000"/>
          <w:sz w:val="28"/>
        </w:rPr>
        <w:t xml:space="preserve">
      830. Высота распределения ледовой нагрузки для ледоколов принимается одинаковой во всех районах и определяется согласно подпункту 1) пункта 827 настоящих Правил, то есть как для носового района судна, номер категории ледовых усилений которого совпадает с номером категории ледокола. При определении </w:t>
      </w:r>
      <w:r>
        <w:rPr>
          <w:rFonts w:ascii="Times New Roman"/>
          <w:b w:val="false"/>
          <w:i/>
          <w:color w:val="000000"/>
          <w:sz w:val="28"/>
        </w:rPr>
        <w:t>u</w:t>
      </w:r>
      <w:r>
        <w:rPr>
          <w:rFonts w:ascii="Times New Roman"/>
          <w:b w:val="false"/>
          <w:i w:val="false"/>
          <w:color w:val="000000"/>
          <w:vertAlign w:val="subscript"/>
        </w:rPr>
        <w:t>m</w:t>
      </w:r>
      <w:r>
        <w:rPr>
          <w:rFonts w:ascii="Times New Roman"/>
          <w:b w:val="false"/>
          <w:i w:val="false"/>
          <w:color w:val="000000"/>
          <w:sz w:val="28"/>
        </w:rPr>
        <w:t xml:space="preserve"> значения </w:t>
      </w:r>
      <w:r>
        <w:rPr>
          <w:rFonts w:ascii="Times New Roman"/>
          <w:b w:val="false"/>
          <w:i/>
          <w:color w:val="000000"/>
          <w:sz w:val="28"/>
        </w:rPr>
        <w:t>u</w:t>
      </w:r>
      <w:r>
        <w:rPr>
          <w:rFonts w:ascii="Times New Roman"/>
          <w:b w:val="false"/>
          <w:i w:val="false"/>
          <w:color w:val="000000"/>
          <w:sz w:val="28"/>
        </w:rPr>
        <w:t xml:space="preserve"> вычисляются только для сечений, попадающих в носовой район ледовых усилений ледокола.</w:t>
      </w:r>
    </w:p>
    <w:bookmarkEnd w:id="3286"/>
    <w:bookmarkStart w:name="z3271" w:id="3287"/>
    <w:p>
      <w:pPr>
        <w:spacing w:after="0"/>
        <w:ind w:left="0"/>
        <w:jc w:val="both"/>
      </w:pPr>
      <w:r>
        <w:rPr>
          <w:rFonts w:ascii="Times New Roman"/>
          <w:b w:val="false"/>
          <w:i w:val="false"/>
          <w:color w:val="000000"/>
          <w:sz w:val="28"/>
        </w:rPr>
        <w:t xml:space="preserve">
      831. Длина распределения ледовой нагрузки для ледоколов принимается одинаковой во всех районах и определяется согласно подпункту 1) пункта 828 настоящих Правил, то есть как для носового района судна, номер категории ледовых усилений которого совпадает с номером категории ледокола. При определении </w:t>
      </w:r>
    </w:p>
    <w:bookmarkEnd w:id="3287"/>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рассматриваются только сечения, попадающие в носовой район ледовых усилений ледокола.</w:t>
      </w:r>
      <w:r>
        <w:br/>
      </w:r>
      <w:r>
        <w:rPr>
          <w:rFonts w:ascii="Times New Roman"/>
          <w:b w:val="false"/>
          <w:i w:val="false"/>
          <w:color w:val="000000"/>
          <w:sz w:val="28"/>
        </w:rPr>
        <w:t>
</w:t>
      </w:r>
    </w:p>
    <w:bookmarkStart w:name="z3272" w:id="3288"/>
    <w:p>
      <w:pPr>
        <w:spacing w:after="0"/>
        <w:ind w:left="0"/>
        <w:jc w:val="left"/>
      </w:pPr>
      <w:r>
        <w:rPr>
          <w:rFonts w:ascii="Times New Roman"/>
          <w:b/>
          <w:i w:val="false"/>
          <w:color w:val="000000"/>
        </w:rPr>
        <w:t xml:space="preserve"> Параграф 4. Размеры конструкций ледовых усилений</w:t>
      </w:r>
    </w:p>
    <w:bookmarkEnd w:id="3288"/>
    <w:bookmarkStart w:name="z3273" w:id="3289"/>
    <w:p>
      <w:pPr>
        <w:spacing w:after="0"/>
        <w:ind w:left="0"/>
        <w:jc w:val="both"/>
      </w:pPr>
      <w:r>
        <w:rPr>
          <w:rFonts w:ascii="Times New Roman"/>
          <w:b w:val="false"/>
          <w:i w:val="false"/>
          <w:color w:val="000000"/>
          <w:sz w:val="28"/>
        </w:rPr>
        <w:t xml:space="preserve">
      832. Толщина наружной обшивки </w:t>
      </w:r>
      <w:r>
        <w:rPr>
          <w:rFonts w:ascii="Times New Roman"/>
          <w:b w:val="false"/>
          <w:i/>
          <w:color w:val="000000"/>
          <w:sz w:val="28"/>
        </w:rPr>
        <w:t>s</w:t>
      </w:r>
      <w:r>
        <w:rPr>
          <w:rFonts w:ascii="Times New Roman"/>
          <w:b w:val="false"/>
          <w:i w:val="false"/>
          <w:color w:val="000000"/>
          <w:vertAlign w:val="subscript"/>
        </w:rPr>
        <w:t>н</w:t>
      </w:r>
      <w:r>
        <w:rPr>
          <w:rFonts w:ascii="Times New Roman"/>
          <w:b w:val="false"/>
          <w:i w:val="false"/>
          <w:color w:val="000000"/>
          <w:sz w:val="28"/>
        </w:rPr>
        <w:t>, мм, в районах ледовых усилений не менее определяемой по формуле:</w:t>
      </w:r>
    </w:p>
    <w:bookmarkEnd w:id="328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(297)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н0</w:t>
      </w:r>
      <w:r>
        <w:rPr>
          <w:rFonts w:ascii="Times New Roman"/>
          <w:b w:val="false"/>
          <w:i w:val="false"/>
          <w:color w:val="000000"/>
          <w:sz w:val="28"/>
        </w:rPr>
        <w:t xml:space="preserve"> = 15,8</w:t>
      </w:r>
      <w:r>
        <w:rPr>
          <w:rFonts w:ascii="Times New Roman"/>
          <w:b w:val="false"/>
          <w:i/>
          <w:color w:val="000000"/>
          <w:sz w:val="28"/>
        </w:rPr>
        <w:t>а</w:t>
      </w:r>
      <w:r>
        <w:rPr>
          <w:rFonts w:ascii="Times New Roman"/>
          <w:b w:val="false"/>
          <w:i w:val="false"/>
          <w:color w:val="000000"/>
          <w:vertAlign w:val="subscript"/>
        </w:rPr>
        <w:t>0</w:t>
      </w:r>
    </w:p>
    <w:p>
      <w:pPr>
        <w:spacing w:after="0"/>
        <w:ind w:left="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4445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0,75</w:t>
      </w:r>
      <w:r>
        <w:rPr>
          <w:rFonts w:ascii="Times New Roman"/>
          <w:b w:val="false"/>
          <w:i/>
          <w:color w:val="000000"/>
          <w:sz w:val="28"/>
        </w:rPr>
        <w:t>Тu</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584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584200" cy="584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интенсивность ледовой нагрузки в рассматриваемом районе согласно пунктов 826 или 829 настоящих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sz w:val="28"/>
        </w:rPr>
        <w:t xml:space="preserve"> — если перекрытие в рассматриваемом районе имеет поперечную систему набора, при этом с не превышает расстояние между разносящими стрингерами или листовыми конструкциями;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 если перекрытие в рассматриваемом районе имеет продольную систему набора;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высота распределения ледовой нагрузки в рассматриваемом районе согласно пункта 827 или 830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соседними поперечными связями,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балками главного направления,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планируемый срок службы судна, годы;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среднегодовое уменьшение толщины наружной обшивки вследствие коррозионного износа и истирания, мм/год, принимаемое по приложению 136 настоящих Правил. При выполнении мероприятий по защите наружной обшивки от коррозионного износа и истирания (нанесение специальных покрытий, применение плакированных сталей) определение величины и является предметом специального рассмотрения Регистром судоходства.</w:t>
      </w:r>
    </w:p>
    <w:bookmarkStart w:name="z3274" w:id="3290"/>
    <w:p>
      <w:pPr>
        <w:spacing w:after="0"/>
        <w:ind w:left="0"/>
        <w:jc w:val="both"/>
      </w:pPr>
      <w:r>
        <w:rPr>
          <w:rFonts w:ascii="Times New Roman"/>
          <w:b w:val="false"/>
          <w:i w:val="false"/>
          <w:color w:val="000000"/>
          <w:sz w:val="28"/>
        </w:rPr>
        <w:t>
      833. Определение требуемых и фактических геометрических характеристик балочных конструкций осуществляется в следующем порядке:</w:t>
      </w:r>
    </w:p>
    <w:bookmarkEnd w:id="3290"/>
    <w:bookmarkStart w:name="z3275" w:id="3291"/>
    <w:p>
      <w:pPr>
        <w:spacing w:after="0"/>
        <w:ind w:left="0"/>
        <w:jc w:val="both"/>
      </w:pPr>
      <w:r>
        <w:rPr>
          <w:rFonts w:ascii="Times New Roman"/>
          <w:b w:val="false"/>
          <w:i w:val="false"/>
          <w:color w:val="000000"/>
          <w:sz w:val="28"/>
        </w:rPr>
        <w:t xml:space="preserve">
      1) приводимые в пунктах 834 – 838 настоящих Правил, соотношения для определения требуемых геометрических характеристик поперечных сечений балочных конструкций — предельного момента сопротивления </w:t>
      </w:r>
      <w:r>
        <w:rPr>
          <w:rFonts w:ascii="Times New Roman"/>
          <w:b w:val="false"/>
          <w:i/>
          <w:color w:val="000000"/>
          <w:sz w:val="28"/>
        </w:rPr>
        <w:t>W</w:t>
      </w:r>
      <w:r>
        <w:rPr>
          <w:rFonts w:ascii="Times New Roman"/>
          <w:b w:val="false"/>
          <w:i w:val="false"/>
          <w:color w:val="000000"/>
          <w:sz w:val="28"/>
        </w:rPr>
        <w:t xml:space="preserve"> и площади стенки </w:t>
      </w:r>
      <w:r>
        <w:rPr>
          <w:rFonts w:ascii="Times New Roman"/>
          <w:b w:val="false"/>
          <w:i/>
          <w:color w:val="000000"/>
          <w:sz w:val="28"/>
        </w:rPr>
        <w:t>А</w:t>
      </w:r>
      <w:r>
        <w:rPr>
          <w:rFonts w:ascii="Times New Roman"/>
          <w:b w:val="false"/>
          <w:i w:val="false"/>
          <w:color w:val="000000"/>
          <w:sz w:val="28"/>
        </w:rPr>
        <w:t xml:space="preserve"> — основываются на критерии предельной прочности. При расчете величин </w:t>
      </w:r>
      <w:r>
        <w:rPr>
          <w:rFonts w:ascii="Times New Roman"/>
          <w:b w:val="false"/>
          <w:i/>
          <w:color w:val="000000"/>
          <w:sz w:val="28"/>
        </w:rPr>
        <w:t>W</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sz w:val="28"/>
        </w:rPr>
        <w:t xml:space="preserve"> целесообразно принимать во внимание рекомендации подпунктов 2) – 6) настоящего пункта Правил;</w:t>
      </w:r>
    </w:p>
    <w:bookmarkEnd w:id="3291"/>
    <w:bookmarkStart w:name="z3276" w:id="3292"/>
    <w:p>
      <w:pPr>
        <w:spacing w:after="0"/>
        <w:ind w:left="0"/>
        <w:jc w:val="both"/>
      </w:pPr>
      <w:r>
        <w:rPr>
          <w:rFonts w:ascii="Times New Roman"/>
          <w:b w:val="false"/>
          <w:i w:val="false"/>
          <w:color w:val="000000"/>
          <w:sz w:val="28"/>
        </w:rPr>
        <w:t xml:space="preserve">
      2) требуемая величина предельного момента сопротивления </w:t>
      </w:r>
      <w:r>
        <w:rPr>
          <w:rFonts w:ascii="Times New Roman"/>
          <w:b w:val="false"/>
          <w:i/>
          <w:color w:val="000000"/>
          <w:sz w:val="28"/>
        </w:rPr>
        <w:t>W</w:t>
      </w:r>
      <w:r>
        <w:rPr>
          <w:rFonts w:ascii="Times New Roman"/>
          <w:b w:val="false"/>
          <w:i w:val="false"/>
          <w:color w:val="000000"/>
          <w:sz w:val="28"/>
        </w:rPr>
        <w:t xml:space="preserve"> пропорциональна коэффициенту </w:t>
      </w:r>
      <w:r>
        <w:rPr>
          <w:rFonts w:ascii="Times New Roman"/>
          <w:b w:val="false"/>
          <w:i/>
          <w:color w:val="000000"/>
          <w:sz w:val="28"/>
        </w:rPr>
        <w:t>k</w:t>
      </w:r>
      <w:r>
        <w:rPr>
          <w:rFonts w:ascii="Times New Roman"/>
          <w:b w:val="false"/>
          <w:i w:val="false"/>
          <w:color w:val="000000"/>
          <w:sz w:val="28"/>
        </w:rPr>
        <w:t xml:space="preserve">, который изменяется в зависимости от соотношения требуемой площади стенки </w:t>
      </w:r>
      <w:r>
        <w:rPr>
          <w:rFonts w:ascii="Times New Roman"/>
          <w:b w:val="false"/>
          <w:i/>
          <w:color w:val="000000"/>
          <w:sz w:val="28"/>
        </w:rPr>
        <w:t>А</w:t>
      </w:r>
      <w:r>
        <w:rPr>
          <w:rFonts w:ascii="Times New Roman"/>
          <w:b w:val="false"/>
          <w:i w:val="false"/>
          <w:color w:val="000000"/>
          <w:sz w:val="28"/>
        </w:rPr>
        <w:t xml:space="preserve"> и фактической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(принятой при подборе профиля), то есть:</w:t>
      </w:r>
    </w:p>
    <w:bookmarkEnd w:id="329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            (298)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val="false"/>
          <w:color w:val="000000"/>
          <w:sz w:val="28"/>
        </w:rPr>
        <w:t xml:space="preserve"> — требуемое значение </w:t>
      </w:r>
      <w:r>
        <w:rPr>
          <w:rFonts w:ascii="Times New Roman"/>
          <w:b w:val="false"/>
          <w:i/>
          <w:color w:val="000000"/>
          <w:sz w:val="28"/>
        </w:rPr>
        <w:t>W</w:t>
      </w:r>
      <w:r>
        <w:rPr>
          <w:rFonts w:ascii="Times New Roman"/>
          <w:b w:val="false"/>
          <w:i w:val="false"/>
          <w:color w:val="000000"/>
          <w:sz w:val="28"/>
        </w:rPr>
        <w:t xml:space="preserve"> без учета запаса по площади стенки, определяемое согласно подпунктам 1) пунктов 833, 834, 836, 837, 838 настоящих Правил.</w:t>
      </w:r>
    </w:p>
    <w:bookmarkStart w:name="z3277" w:id="3293"/>
    <w:p>
      <w:pPr>
        <w:spacing w:after="0"/>
        <w:ind w:left="0"/>
        <w:jc w:val="both"/>
      </w:pPr>
      <w:r>
        <w:rPr>
          <w:rFonts w:ascii="Times New Roman"/>
          <w:b w:val="false"/>
          <w:i w:val="false"/>
          <w:color w:val="000000"/>
          <w:sz w:val="28"/>
        </w:rPr>
        <w:t>
      При отсутствии запаса по площади стенки (</w:t>
      </w:r>
      <w:r>
        <w:rPr>
          <w:rFonts w:ascii="Times New Roman"/>
          <w:b w:val="false"/>
          <w:i/>
          <w:color w:val="000000"/>
          <w:sz w:val="28"/>
        </w:rPr>
        <w:t>А</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w:t>
      </w:r>
    </w:p>
    <w:bookmarkEnd w:id="3293"/>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величина </w:t>
      </w:r>
      <w:r>
        <w:rPr>
          <w:rFonts w:ascii="Times New Roman"/>
          <w:b w:val="false"/>
          <w:i/>
          <w:color w:val="000000"/>
          <w:sz w:val="28"/>
        </w:rPr>
        <w:t>W</w:t>
      </w:r>
      <w:r>
        <w:rPr>
          <w:rFonts w:ascii="Times New Roman"/>
          <w:b w:val="false"/>
          <w:i w:val="false"/>
          <w:color w:val="000000"/>
          <w:sz w:val="28"/>
        </w:rPr>
        <w:t xml:space="preserve"> максимальна (</w:t>
      </w:r>
      <w:r>
        <w:rPr>
          <w:rFonts w:ascii="Times New Roman"/>
          <w:b w:val="false"/>
          <w:i/>
          <w:color w:val="000000"/>
          <w:sz w:val="28"/>
        </w:rPr>
        <w:t>k</w:t>
      </w:r>
      <w:r>
        <w:rPr>
          <w:rFonts w:ascii="Times New Roman"/>
          <w:b w:val="false"/>
          <w:i w:val="false"/>
          <w:color w:val="000000"/>
          <w:sz w:val="28"/>
        </w:rPr>
        <w:t xml:space="preserve"> = 1). Увеличение фактической площади стенки по сравнению с требуемой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1) позволяет снизить значение </w:t>
      </w:r>
      <w:r>
        <w:rPr>
          <w:rFonts w:ascii="Times New Roman"/>
          <w:b w:val="false"/>
          <w:i/>
          <w:color w:val="000000"/>
          <w:sz w:val="28"/>
        </w:rPr>
        <w:t>W</w:t>
      </w:r>
      <w:r>
        <w:rPr>
          <w:rFonts w:ascii="Times New Roman"/>
          <w:b w:val="false"/>
          <w:i w:val="false"/>
          <w:color w:val="000000"/>
          <w:sz w:val="28"/>
        </w:rPr>
        <w:t xml:space="preserve"> (при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 — 0,8; </w:t>
      </w:r>
      <w:r>
        <w:rPr>
          <w:rFonts w:ascii="Times New Roman"/>
          <w:b w:val="false"/>
          <w:i/>
          <w:color w:val="000000"/>
          <w:sz w:val="28"/>
        </w:rPr>
        <w:t>k</w:t>
      </w:r>
      <w:r>
        <w:rPr>
          <w:rFonts w:ascii="Times New Roman"/>
          <w:b w:val="false"/>
          <w:i w:val="false"/>
          <w:color w:val="000000"/>
          <w:sz w:val="28"/>
        </w:rPr>
        <w:t xml:space="preserve"> = 0,7 </w:t>
      </w:r>
    </w:p>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sz w:val="28"/>
        </w:rPr>
        <w:t>0,63). Таким образом, обеспечивается гибкая процедура подбора профиля, позволяющая исключить избыточные запасы материала, но предполагающая выполнение при расчете нескольких приближений. В качестве первого приближения в зависимостях (304), (513),(326), (335) настоящих Правил рекомендуется принимать:</w:t>
      </w:r>
      <w:r>
        <w:br/>
      </w:r>
      <w:r>
        <w:rPr>
          <w:rFonts w:ascii="Times New Roman"/>
          <w:b w:val="false"/>
          <w:i w:val="false"/>
          <w:color w:val="000000"/>
          <w:sz w:val="28"/>
        </w:rPr>
        <w:t>
</w:t>
      </w:r>
      <w:r>
        <w:br/>
      </w:r>
    </w:p>
    <w:p>
      <w:pPr>
        <w:spacing w:after="0"/>
        <w:ind w:left="0"/>
        <w:jc w:val="both"/>
      </w:pPr>
      <w:r>
        <w:drawing>
          <wp:inline distT="0" distB="0" distL="0" distR="0">
            <wp:extent cx="6223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62230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 индекс типа балки (ш — шпангоут, с — стрингер, р — рамный шпангоут, б — продольная балка);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подпункт 1) пункта 834 настоящих Правил;</w:t>
      </w:r>
    </w:p>
    <w:bookmarkStart w:name="z3278" w:id="3294"/>
    <w:p>
      <w:pPr>
        <w:spacing w:after="0"/>
        <w:ind w:left="0"/>
        <w:jc w:val="both"/>
      </w:pPr>
      <w:r>
        <w:rPr>
          <w:rFonts w:ascii="Times New Roman"/>
          <w:b w:val="false"/>
          <w:i w:val="false"/>
          <w:color w:val="000000"/>
          <w:sz w:val="28"/>
        </w:rPr>
        <w:t xml:space="preserve">
      3) в перекрытиях с рамными шпангоутами предусматривается процедура учета избыточных запасов материала, возникающих в процессе подбора профилей балок за счет превышения фактическими предельным моментом сопротивления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и площадью стенки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требуемых значений </w:t>
      </w:r>
      <w:r>
        <w:rPr>
          <w:rFonts w:ascii="Times New Roman"/>
          <w:b w:val="false"/>
          <w:i/>
          <w:color w:val="000000"/>
          <w:sz w:val="28"/>
        </w:rPr>
        <w:t>W</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sz w:val="28"/>
        </w:rPr>
        <w:t>. Наличие избыточных запасов характеризуется коэффициентами:</w:t>
      </w:r>
    </w:p>
    <w:bookmarkEnd w:id="32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381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381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                  (300)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0i</w:t>
      </w:r>
      <w:r>
        <w:rPr>
          <w:rFonts w:ascii="Times New Roman"/>
          <w:b w:val="false"/>
          <w:i w:val="false"/>
          <w:color w:val="000000"/>
          <w:sz w:val="28"/>
        </w:rPr>
        <w:t xml:space="preserve"> — формула (298)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формула (299) настоящих Правил.</w:t>
      </w:r>
    </w:p>
    <w:bookmarkStart w:name="z3279" w:id="3295"/>
    <w:p>
      <w:pPr>
        <w:spacing w:after="0"/>
        <w:ind w:left="0"/>
        <w:jc w:val="both"/>
      </w:pPr>
      <w:r>
        <w:rPr>
          <w:rFonts w:ascii="Times New Roman"/>
          <w:b w:val="false"/>
          <w:i w:val="false"/>
          <w:color w:val="000000"/>
          <w:sz w:val="28"/>
        </w:rPr>
        <w:t>
      Если в перекрытии с поперечной системой набора фактические геометрические характеристики обыкновенного шпангоута превышают требуемые (</w:t>
      </w:r>
    </w:p>
    <w:bookmarkEnd w:id="3295"/>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&lt; 1,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&gt;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то за счет этого снижаются требуемые геометрические характеристики несущего стрингера и рамного шпангоута (для последнего учитывается и наличие избыточных запасов у несущего стрингера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&lt; 1,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&gt;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Аналогично в перекрытии с продольной системой набора предусмотрено снижение требований к рамному шпангоуту при наличии избыточного запаса у продольных балок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&lt; 1,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&gt; </w:t>
      </w:r>
      <w:r>
        <w:rPr>
          <w:rFonts w:ascii="Times New Roman"/>
          <w:b w:val="false"/>
          <w:i/>
          <w:color w:val="000000"/>
          <w:sz w:val="28"/>
        </w:rPr>
        <w:t>k</w:t>
      </w:r>
      <w:r>
        <w:rPr>
          <w:rFonts w:ascii="Times New Roman"/>
          <w:b w:val="false"/>
          <w:i w:val="false"/>
          <w:color w:val="000000"/>
          <w:vertAlign w:val="subscript"/>
        </w:rPr>
        <w:t>б</w:t>
      </w:r>
      <w:r>
        <w:rPr>
          <w:rFonts w:ascii="Times New Roman"/>
          <w:b w:val="false"/>
          <w:i w:val="false"/>
          <w:color w:val="000000"/>
          <w:sz w:val="28"/>
        </w:rPr>
        <w:t>);</w:t>
      </w:r>
      <w:r>
        <w:br/>
      </w:r>
      <w:r>
        <w:rPr>
          <w:rFonts w:ascii="Times New Roman"/>
          <w:b w:val="false"/>
          <w:i w:val="false"/>
          <w:color w:val="000000"/>
          <w:sz w:val="28"/>
        </w:rPr>
        <w:t>
</w:t>
      </w:r>
    </w:p>
    <w:bookmarkStart w:name="z3280" w:id="3296"/>
    <w:p>
      <w:pPr>
        <w:spacing w:after="0"/>
        <w:ind w:left="0"/>
        <w:jc w:val="both"/>
      </w:pPr>
      <w:r>
        <w:rPr>
          <w:rFonts w:ascii="Times New Roman"/>
          <w:b w:val="false"/>
          <w:i w:val="false"/>
          <w:color w:val="000000"/>
          <w:sz w:val="28"/>
        </w:rPr>
        <w:t>
      4) в тех случаях, когда процедуры подбора профиля согласно подпункту 2) пункта 823 и учета избыточных запасов материала согласно подпункту 3) пункта 823 настоящих Правил, представляются излишне сложными, допускается выполнение упрощенного расчета, в котором принимается:</w:t>
      </w:r>
    </w:p>
    <w:bookmarkEnd w:id="3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для обыкновенных шпангоутов;            (301)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 0,63 — для остальных типов балок;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w:t>
      </w:r>
    </w:p>
    <w:bookmarkStart w:name="z3281" w:id="3297"/>
    <w:p>
      <w:pPr>
        <w:spacing w:after="0"/>
        <w:ind w:left="0"/>
        <w:jc w:val="both"/>
      </w:pPr>
      <w:r>
        <w:rPr>
          <w:rFonts w:ascii="Times New Roman"/>
          <w:b w:val="false"/>
          <w:i w:val="false"/>
          <w:color w:val="000000"/>
          <w:sz w:val="28"/>
        </w:rPr>
        <w:t>
      Конкретные указания по порядку выполнения упрощенного расчета содержатся непосредственно в пунктах 823 – 838 настоящих Правил.</w:t>
      </w:r>
    </w:p>
    <w:bookmarkEnd w:id="3297"/>
    <w:bookmarkStart w:name="z3282" w:id="3298"/>
    <w:p>
      <w:pPr>
        <w:spacing w:after="0"/>
        <w:ind w:left="0"/>
        <w:jc w:val="both"/>
      </w:pPr>
      <w:r>
        <w:rPr>
          <w:rFonts w:ascii="Times New Roman"/>
          <w:b w:val="false"/>
          <w:i w:val="false"/>
          <w:color w:val="000000"/>
          <w:sz w:val="28"/>
        </w:rPr>
        <w:t>
      В случае применения полосового профиля для обыкновенных шпангоутов выполнение упрощенного расчета не допускается.</w:t>
      </w:r>
    </w:p>
    <w:bookmarkEnd w:id="3298"/>
    <w:bookmarkStart w:name="z3283" w:id="3299"/>
    <w:p>
      <w:pPr>
        <w:spacing w:after="0"/>
        <w:ind w:left="0"/>
        <w:jc w:val="both"/>
      </w:pPr>
      <w:r>
        <w:rPr>
          <w:rFonts w:ascii="Times New Roman"/>
          <w:b w:val="false"/>
          <w:i w:val="false"/>
          <w:color w:val="000000"/>
          <w:sz w:val="28"/>
        </w:rPr>
        <w:t>
      Следует учитывать, что упрощенный расчет приводит к увеличению размеров балочных конструкций;</w:t>
      </w:r>
    </w:p>
    <w:bookmarkEnd w:id="3299"/>
    <w:bookmarkStart w:name="z3284" w:id="3300"/>
    <w:p>
      <w:pPr>
        <w:spacing w:after="0"/>
        <w:ind w:left="0"/>
        <w:jc w:val="both"/>
      </w:pPr>
      <w:r>
        <w:rPr>
          <w:rFonts w:ascii="Times New Roman"/>
          <w:b w:val="false"/>
          <w:i w:val="false"/>
          <w:color w:val="000000"/>
          <w:sz w:val="28"/>
        </w:rPr>
        <w:t>
      5) при подборе профилей балок в фактическую площадь стенки 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включаются участки свободного и присоединенного поясков шириной, равной толщине стенки (приложение 137 настоящих Правил).</w:t>
      </w:r>
    </w:p>
    <w:bookmarkEnd w:id="3300"/>
    <w:bookmarkStart w:name="z3285" w:id="3301"/>
    <w:p>
      <w:pPr>
        <w:spacing w:after="0"/>
        <w:ind w:left="0"/>
        <w:jc w:val="both"/>
      </w:pPr>
      <w:r>
        <w:rPr>
          <w:rFonts w:ascii="Times New Roman"/>
          <w:b w:val="false"/>
          <w:i w:val="false"/>
          <w:color w:val="000000"/>
          <w:sz w:val="28"/>
        </w:rPr>
        <w:t>
      При наличии вырезов в стенках балок допускается не учитывать их только для несущих стрингеров в случае, если вырезы удалены от опорных сечений. Требования к площади стенки шпангоутов (обыкновенных и рамных) проверяются по нетто-сечению;</w:t>
      </w:r>
    </w:p>
    <w:bookmarkEnd w:id="3301"/>
    <w:bookmarkStart w:name="z3286" w:id="3302"/>
    <w:p>
      <w:pPr>
        <w:spacing w:after="0"/>
        <w:ind w:left="0"/>
        <w:jc w:val="both"/>
      </w:pPr>
      <w:r>
        <w:rPr>
          <w:rFonts w:ascii="Times New Roman"/>
          <w:b w:val="false"/>
          <w:i w:val="false"/>
          <w:color w:val="000000"/>
          <w:sz w:val="28"/>
        </w:rPr>
        <w:t>
      6) для вычисления фактического предельного момента сопротивления балок конструкций ледовых усилений рекомендуется использовать формулу:</w:t>
      </w:r>
    </w:p>
    <w:bookmarkEnd w:id="330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xml:space="preserve"> – 0,5</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C), см</w:t>
      </w:r>
      <w:r>
        <w:rPr>
          <w:rFonts w:ascii="Times New Roman"/>
          <w:b w:val="false"/>
          <w:i w:val="false"/>
          <w:color w:val="000000"/>
          <w:vertAlign w:val="superscript"/>
        </w:rPr>
        <w:t>3</w:t>
      </w:r>
      <w:r>
        <w:rPr>
          <w:rFonts w:ascii="Times New Roman"/>
          <w:b w:val="false"/>
          <w:i w:val="false"/>
          <w:color w:val="000000"/>
          <w:sz w:val="28"/>
        </w:rPr>
        <w:t>,          (302)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С = 0 при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 </w:t>
      </w:r>
    </w:p>
    <w:p>
      <w:pPr>
        <w:spacing w:after="0"/>
        <w:ind w:left="0"/>
        <w:jc w:val="both"/>
      </w:pPr>
      <w:r>
        <w:drawing>
          <wp:inline distT="0" distB="0" distL="0" distR="0">
            <wp:extent cx="952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952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&lt;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xml:space="preserve"> — площадь профиля балки без присоединенного пояска обшивки,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0,1 [</w:t>
      </w:r>
      <w:r>
        <w:rPr>
          <w:rFonts w:ascii="Times New Roman"/>
          <w:b w:val="false"/>
          <w:i/>
          <w:color w:val="000000"/>
          <w:sz w:val="28"/>
        </w:rPr>
        <w:t>h</w:t>
      </w:r>
      <w:r>
        <w:rPr>
          <w:rFonts w:ascii="Times New Roman"/>
          <w:b w:val="false"/>
          <w:i w:val="false"/>
          <w:color w:val="000000"/>
          <w:sz w:val="28"/>
        </w:rPr>
        <w:t xml:space="preserve"> – 0,05(</w:t>
      </w:r>
      <w:r>
        <w:rPr>
          <w:rFonts w:ascii="Times New Roman"/>
          <w:b w:val="false"/>
          <w:i/>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пп</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профиля, измеренная от середины толщины присоединенного пояска до середины толщины свободного пояска, см, (приложение 137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толщина стенки профиля,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 0,1</w:t>
      </w:r>
      <w:r>
        <w:rPr>
          <w:rFonts w:ascii="Times New Roman"/>
          <w:b w:val="false"/>
          <w:i/>
          <w:color w:val="000000"/>
          <w:sz w:val="28"/>
        </w:rPr>
        <w:t>b</w:t>
      </w:r>
      <w:r>
        <w:rPr>
          <w:rFonts w:ascii="Times New Roman"/>
          <w:b w:val="false"/>
          <w:i w:val="false"/>
          <w:color w:val="000000"/>
          <w:vertAlign w:val="subscript"/>
        </w:rPr>
        <w:t>пп</w:t>
      </w:r>
      <w:r>
        <w:rPr>
          <w:rFonts w:ascii="Times New Roman"/>
          <w:b w:val="false"/>
          <w:i/>
          <w:color w:val="000000"/>
          <w:sz w:val="28"/>
        </w:rPr>
        <w:t>t</w:t>
      </w:r>
      <w:r>
        <w:rPr>
          <w:rFonts w:ascii="Times New Roman"/>
          <w:b w:val="false"/>
          <w:i w:val="false"/>
          <w:color w:val="000000"/>
          <w:vertAlign w:val="subscript"/>
        </w:rPr>
        <w:t>пп</w:t>
      </w:r>
      <w:r>
        <w:rPr>
          <w:rFonts w:ascii="Times New Roman"/>
          <w:b w:val="false"/>
          <w:i w:val="false"/>
          <w:color w:val="000000"/>
          <w:sz w:val="28"/>
        </w:rPr>
        <w:t xml:space="preserve"> — площадь присоединенного пояска обшивки,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пп</w:t>
      </w:r>
      <w:r>
        <w:rPr>
          <w:rFonts w:ascii="Times New Roman"/>
          <w:b w:val="false"/>
          <w:i w:val="false"/>
          <w:color w:val="000000"/>
          <w:sz w:val="28"/>
        </w:rPr>
        <w:t xml:space="preserve"> — толщина присоединенного пояска обшивки, принимаемая равной средней толщине обшивки на ширине присоединенного пояска,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 толщина свободного пояска, мм (для полособульбового профиля принимается </w:t>
      </w:r>
      <w:r>
        <w:rPr>
          <w:rFonts w:ascii="Times New Roman"/>
          <w:b w:val="false"/>
          <w:i/>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 1,5</w:t>
      </w:r>
      <w:r>
        <w:rPr>
          <w:rFonts w:ascii="Times New Roman"/>
          <w:b w:val="false"/>
          <w:i/>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пп</w:t>
      </w:r>
      <w:r>
        <w:rPr>
          <w:rFonts w:ascii="Times New Roman"/>
          <w:b w:val="false"/>
          <w:i w:val="false"/>
          <w:color w:val="000000"/>
          <w:sz w:val="28"/>
        </w:rPr>
        <w:t xml:space="preserve"> — ширина присоединенного пояска, см, принимаемая равной:</w:t>
      </w:r>
    </w:p>
    <w:bookmarkStart w:name="z3287" w:id="3303"/>
    <w:p>
      <w:pPr>
        <w:spacing w:after="0"/>
        <w:ind w:left="0"/>
        <w:jc w:val="both"/>
      </w:pPr>
      <w:r>
        <w:rPr>
          <w:rFonts w:ascii="Times New Roman"/>
          <w:b w:val="false"/>
          <w:i w:val="false"/>
          <w:color w:val="000000"/>
          <w:sz w:val="28"/>
        </w:rPr>
        <w:t>
      расстоянию между обыкновенными шпангоутами — для обыкновенных и рамных шпангоутов при поперечной системе набора;</w:t>
      </w:r>
    </w:p>
    <w:bookmarkEnd w:id="3303"/>
    <w:bookmarkStart w:name="z3288" w:id="3304"/>
    <w:p>
      <w:pPr>
        <w:spacing w:after="0"/>
        <w:ind w:left="0"/>
        <w:jc w:val="both"/>
      </w:pPr>
      <w:r>
        <w:rPr>
          <w:rFonts w:ascii="Times New Roman"/>
          <w:b w:val="false"/>
          <w:i w:val="false"/>
          <w:color w:val="000000"/>
          <w:sz w:val="28"/>
        </w:rPr>
        <w:t>
      расстоянию между продольными балками — для продольных балок при продольной системе набора;</w:t>
      </w:r>
    </w:p>
    <w:bookmarkEnd w:id="3304"/>
    <w:bookmarkStart w:name="z3289" w:id="33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6</w:t>
      </w:r>
      <w:r>
        <w:rPr>
          <w:rFonts w:ascii="Times New Roman"/>
          <w:b w:val="false"/>
          <w:i w:val="false"/>
          <w:color w:val="000000"/>
          <w:sz w:val="28"/>
        </w:rPr>
        <w:t xml:space="preserve"> пролета рамного шпангоута между палубами или платформами, или рамной шпации — в зависимости от того, что меньше — для рамного шпангоута при продольной системе набора;</w:t>
      </w:r>
    </w:p>
    <w:bookmarkEnd w:id="3305"/>
    <w:bookmarkStart w:name="z3290" w:id="33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6</w:t>
      </w:r>
      <w:r>
        <w:rPr>
          <w:rFonts w:ascii="Times New Roman"/>
          <w:b w:val="false"/>
          <w:i w:val="false"/>
          <w:color w:val="000000"/>
          <w:sz w:val="28"/>
        </w:rPr>
        <w:t xml:space="preserve"> рамной шпации — для стрингера при системе набора с рамными шпангоутами;</w:t>
      </w:r>
    </w:p>
    <w:bookmarkEnd w:id="3306"/>
    <w:bookmarkStart w:name="z3291" w:id="3307"/>
    <w:p>
      <w:pPr>
        <w:spacing w:after="0"/>
        <w:ind w:left="0"/>
        <w:jc w:val="both"/>
      </w:pPr>
      <w:r>
        <w:rPr>
          <w:rFonts w:ascii="Times New Roman"/>
          <w:b w:val="false"/>
          <w:i w:val="false"/>
          <w:color w:val="000000"/>
          <w:sz w:val="28"/>
        </w:rPr>
        <w:t xml:space="preserve">
      полусумме расстояний до двух соседних балок того же направления или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6</w:t>
      </w:r>
      <w:r>
        <w:rPr>
          <w:rFonts w:ascii="Times New Roman"/>
          <w:b w:val="false"/>
          <w:i w:val="false"/>
          <w:color w:val="000000"/>
          <w:sz w:val="28"/>
        </w:rPr>
        <w:t xml:space="preserve"> пролета балки в зависимости от того, что меньше — во всех остальных случаях.</w:t>
      </w:r>
    </w:p>
    <w:bookmarkEnd w:id="3307"/>
    <w:bookmarkStart w:name="z3292" w:id="3308"/>
    <w:p>
      <w:pPr>
        <w:spacing w:after="0"/>
        <w:ind w:left="0"/>
        <w:jc w:val="both"/>
      </w:pPr>
      <w:r>
        <w:rPr>
          <w:rFonts w:ascii="Times New Roman"/>
          <w:b w:val="false"/>
          <w:i w:val="false"/>
          <w:color w:val="000000"/>
          <w:sz w:val="28"/>
        </w:rPr>
        <w:t xml:space="preserve">
      Для катаного профиля в случае </w:t>
      </w:r>
    </w:p>
    <w:bookmarkEnd w:id="330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xml:space="preserve"> допускается полагать: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+ 0,05</w:t>
      </w:r>
      <w:r>
        <w:rPr>
          <w:rFonts w:ascii="Times New Roman"/>
          <w:b w:val="false"/>
          <w:i/>
          <w:color w:val="000000"/>
          <w:sz w:val="28"/>
        </w:rPr>
        <w:t>t</w:t>
      </w:r>
      <w:r>
        <w:rPr>
          <w:rFonts w:ascii="Times New Roman"/>
          <w:b w:val="false"/>
          <w:i w:val="false"/>
          <w:color w:val="000000"/>
          <w:vertAlign w:val="subscript"/>
        </w:rPr>
        <w:t>пп</w:t>
      </w:r>
      <w:r>
        <w:rPr>
          <w:rFonts w:ascii="Times New Roman"/>
          <w:b w:val="false"/>
          <w:i w:val="false"/>
          <w:color w:val="000000"/>
          <w:sz w:val="28"/>
        </w:rPr>
        <w:t>) , см</w:t>
      </w:r>
      <w:r>
        <w:rPr>
          <w:rFonts w:ascii="Times New Roman"/>
          <w:b w:val="false"/>
          <w:i w:val="false"/>
          <w:color w:val="000000"/>
          <w:vertAlign w:val="superscript"/>
        </w:rPr>
        <w:t>3</w:t>
      </w:r>
      <w:r>
        <w:rPr>
          <w:rFonts w:ascii="Times New Roman"/>
          <w:b w:val="false"/>
          <w:i w:val="false"/>
          <w:color w:val="000000"/>
          <w:sz w:val="28"/>
        </w:rPr>
        <w:t>,            (303)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у</w:t>
      </w:r>
      <w:r>
        <w:rPr>
          <w:rFonts w:ascii="Times New Roman"/>
          <w:b w:val="false"/>
          <w:i w:val="false"/>
          <w:color w:val="000000"/>
          <w:vertAlign w:val="subscript"/>
        </w:rPr>
        <w:t>0</w:t>
      </w:r>
      <w:r>
        <w:rPr>
          <w:rFonts w:ascii="Times New Roman"/>
          <w:b w:val="false"/>
          <w:i w:val="false"/>
          <w:color w:val="000000"/>
          <w:sz w:val="28"/>
        </w:rPr>
        <w:t xml:space="preserve"> — отстояние центра тяжести поперечного сечения профиля без присоединенного пояска от обшивки, см, (приложение 137 настоящих Правил).</w:t>
      </w:r>
    </w:p>
    <w:bookmarkStart w:name="z3293" w:id="3309"/>
    <w:p>
      <w:pPr>
        <w:spacing w:after="0"/>
        <w:ind w:left="0"/>
        <w:jc w:val="both"/>
      </w:pPr>
      <w:r>
        <w:rPr>
          <w:rFonts w:ascii="Times New Roman"/>
          <w:b w:val="false"/>
          <w:i w:val="false"/>
          <w:color w:val="000000"/>
          <w:sz w:val="28"/>
        </w:rPr>
        <w:t>
      834. На обыкновенные шпангоуты в перекрытиях с монотонной системой набора и в перекрытиях с рамными шпангоутами при поперечной системе набора распространяются следующие требования:</w:t>
      </w:r>
    </w:p>
    <w:bookmarkEnd w:id="3309"/>
    <w:bookmarkStart w:name="z3294" w:id="3310"/>
    <w:p>
      <w:pPr>
        <w:spacing w:after="0"/>
        <w:ind w:left="0"/>
        <w:jc w:val="both"/>
      </w:pPr>
      <w:r>
        <w:rPr>
          <w:rFonts w:ascii="Times New Roman"/>
          <w:b w:val="false"/>
          <w:i w:val="false"/>
          <w:color w:val="000000"/>
          <w:sz w:val="28"/>
        </w:rPr>
        <w:t xml:space="preserve">
      1) предельный момент сопротивления обыкновенного шпангоута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должен быть не менее определяемого по формуле:</w:t>
      </w:r>
    </w:p>
    <w:bookmarkEnd w:id="331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color w:val="000000"/>
          <w:sz w:val="28"/>
        </w:rPr>
        <w:t>W</w:t>
      </w:r>
      <w:r>
        <w:rPr>
          <w:rFonts w:ascii="Times New Roman"/>
          <w:b w:val="false"/>
          <w:i w:val="false"/>
          <w:color w:val="000000"/>
          <w:vertAlign w:val="subscript"/>
        </w:rPr>
        <w:t>ш0</w:t>
      </w:r>
      <w:r>
        <w:rPr>
          <w:rFonts w:ascii="Times New Roman"/>
          <w:b w:val="false"/>
          <w:i w:val="false"/>
          <w:color w:val="000000"/>
          <w:sz w:val="28"/>
        </w:rPr>
        <w:t xml:space="preserve"> ,                 (304)</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130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1308100" cy="6096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698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698500" cy="546100"/>
                    </a:xfrm>
                    <a:prstGeom prst="rect">
                      <a:avLst/>
                    </a:prstGeom>
                  </pic:spPr>
                </pic:pic>
              </a:graphicData>
            </a:graphic>
          </wp:inline>
        </w:drawing>
      </w:r>
    </w:p>
    <w:p>
      <w:pPr>
        <w:spacing w:after="0"/>
        <w:ind w:left="0"/>
        <w:jc w:val="left"/>
      </w:pPr>
      <w:r>
        <w:rPr>
          <w:rFonts w:ascii="Times New Roman"/>
          <w:b w:val="false"/>
          <w:i w:val="false"/>
          <w:color w:val="000000"/>
          <w:sz w:val="28"/>
        </w:rPr>
        <w:t>— при выполнении упрощенного расчета согласно подпункту 4) пункта 833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1 при </w:t>
      </w:r>
      <w:r>
        <w:rPr>
          <w:rFonts w:ascii="Times New Roman"/>
          <w:b w:val="false"/>
          <w:i/>
          <w:color w:val="000000"/>
          <w:sz w:val="28"/>
        </w:rPr>
        <w:t>k</w:t>
      </w:r>
      <w:r>
        <w:rPr>
          <w:rFonts w:ascii="Times New Roman"/>
          <w:b w:val="false"/>
          <w:i w:val="false"/>
          <w:color w:val="000000"/>
          <w:sz w:val="28"/>
        </w:rPr>
        <w:t xml:space="preserve"> =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0,5 при </w:t>
      </w:r>
      <w:r>
        <w:rPr>
          <w:rFonts w:ascii="Times New Roman"/>
          <w:b w:val="false"/>
          <w:i/>
          <w:color w:val="000000"/>
          <w:sz w:val="28"/>
        </w:rPr>
        <w:t>k</w:t>
      </w:r>
      <w:r>
        <w:rPr>
          <w:rFonts w:ascii="Times New Roman"/>
          <w:b w:val="false"/>
          <w:i w:val="false"/>
          <w:color w:val="000000"/>
          <w:sz w:val="28"/>
        </w:rPr>
        <w:t xml:space="preserve"> &lt;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для перекрытий с монотонной системой набора — согласно приложению 138 настоящих Правил;</w:t>
      </w:r>
    </w:p>
    <w:p>
      <w:pPr>
        <w:spacing w:after="0"/>
        <w:ind w:left="0"/>
        <w:jc w:val="both"/>
      </w:pPr>
      <w:r>
        <w:rPr>
          <w:rFonts w:ascii="Times New Roman"/>
          <w:b w:val="false"/>
          <w:i w:val="false"/>
          <w:color w:val="000000"/>
          <w:sz w:val="28"/>
        </w:rPr>
        <w:t>
      для перекрытий с рамными шпангоутами —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xml:space="preserve">
      для перекрытий с монотонной системой набора — числу защемленных опорных сечений двух смежных шпангоутов, </w:t>
      </w:r>
      <w:r>
        <w:rPr>
          <w:rFonts w:ascii="Times New Roman"/>
          <w:b w:val="false"/>
          <w:i/>
          <w:color w:val="000000"/>
          <w:sz w:val="28"/>
        </w:rPr>
        <w:t>j</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для перекрытий с рамной системой набора — согласно приложению 139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А</w:t>
      </w:r>
      <w:r>
        <w:rPr>
          <w:rFonts w:ascii="Times New Roman"/>
          <w:b w:val="false"/>
          <w:i w:val="false"/>
          <w:color w:val="000000"/>
          <w:vertAlign w:val="subscript"/>
        </w:rPr>
        <w:t>ш</w:t>
      </w:r>
      <w:r>
        <w:rPr>
          <w:rFonts w:ascii="Times New Roman"/>
          <w:b w:val="false"/>
          <w:i w:val="false"/>
          <w:color w:val="000000"/>
          <w:sz w:val="28"/>
        </w:rPr>
        <w:t>/А</w:t>
      </w:r>
      <w:r>
        <w:rPr>
          <w:rFonts w:ascii="Times New Roman"/>
          <w:b w:val="false"/>
          <w:i w:val="false"/>
          <w:color w:val="000000"/>
          <w:vertAlign w:val="subscript"/>
        </w:rPr>
        <w:t>ф</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ш</w:t>
      </w:r>
      <w:r>
        <w:rPr>
          <w:rFonts w:ascii="Times New Roman"/>
          <w:b w:val="false"/>
          <w:i w:val="false"/>
          <w:color w:val="000000"/>
          <w:sz w:val="28"/>
        </w:rPr>
        <w:t xml:space="preserve"> – подпункт 2) настоящего пункта;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ф</w:t>
      </w:r>
      <w:r>
        <w:rPr>
          <w:rFonts w:ascii="Times New Roman"/>
          <w:b w:val="false"/>
          <w:i w:val="false"/>
          <w:color w:val="000000"/>
          <w:sz w:val="28"/>
        </w:rPr>
        <w:t xml:space="preserve"> – подпункт 3) настоящего пункта;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946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ш0</w:t>
      </w:r>
      <w:r>
        <w:rPr>
          <w:rFonts w:ascii="Times New Roman"/>
          <w:b w:val="false"/>
          <w:i w:val="false"/>
          <w:color w:val="000000"/>
          <w:sz w:val="28"/>
        </w:rPr>
        <w:t xml:space="preserve"> = </w:t>
      </w:r>
    </w:p>
    <w:p>
      <w:pPr>
        <w:spacing w:after="0"/>
        <w:ind w:left="0"/>
        <w:jc w:val="both"/>
      </w:pPr>
      <w:r>
        <w:drawing>
          <wp:inline distT="0" distB="0" distL="0" distR="0">
            <wp:extent cx="33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330200" cy="609600"/>
                    </a:xfrm>
                    <a:prstGeom prst="rect">
                      <a:avLst/>
                    </a:prstGeom>
                  </pic:spPr>
                </pic:pic>
              </a:graphicData>
            </a:graphic>
          </wp:inline>
        </w:drawing>
      </w:r>
    </w:p>
    <w:p>
      <w:pPr>
        <w:spacing w:after="0"/>
        <w:ind w:left="0"/>
        <w:jc w:val="left"/>
      </w:pPr>
      <w:r>
        <w:rPr>
          <w:rFonts w:ascii="Times New Roman"/>
          <w:b w:val="false"/>
          <w:i/>
          <w:color w:val="000000"/>
          <w:sz w:val="28"/>
        </w:rPr>
        <w:t>pbalYk</w:t>
      </w:r>
      <w:r>
        <w:rPr>
          <w:rFonts w:ascii="Times New Roman"/>
          <w:b w:val="false"/>
          <w:i w:val="false"/>
          <w:color w:val="000000"/>
          <w:vertAlign w:val="subscript"/>
        </w:rPr>
        <w:t>k</w:t>
      </w:r>
      <w:r>
        <w:rPr>
          <w:rFonts w:ascii="Times New Roman"/>
          <w:b w:val="false"/>
          <w:i/>
          <w:color w:val="000000"/>
          <w:sz w:val="28"/>
        </w:rPr>
        <w:t>E</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 — интенсивность ледовой нагрузки в рассматриваемом районе согласно пунктов 826 или 829 настоящих Правил, кПа. Если в пределах перекрытия расположена нижняя граница района I, и при этом требования главы распространяются на районы I и II ледовых усилений (подпункт 4) пункта 816 настоящих Правил), то в качестве </w:t>
      </w:r>
      <w:r>
        <w:rPr>
          <w:rFonts w:ascii="Times New Roman"/>
          <w:b w:val="false"/>
          <w:i/>
          <w:color w:val="000000"/>
          <w:sz w:val="28"/>
        </w:rPr>
        <w:t>р</w:t>
      </w:r>
      <w:r>
        <w:rPr>
          <w:rFonts w:ascii="Times New Roman"/>
          <w:b w:val="false"/>
          <w:i w:val="false"/>
          <w:color w:val="000000"/>
          <w:sz w:val="28"/>
        </w:rPr>
        <w:t xml:space="preserve"> следует принимать следующие величины: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kI</w:t>
      </w:r>
      <w:r>
        <w:rPr>
          <w:rFonts w:ascii="Times New Roman"/>
          <w:b w:val="false"/>
          <w:i w:val="false"/>
          <w:color w:val="000000"/>
          <w:sz w:val="28"/>
        </w:rPr>
        <w:t xml:space="preserve"> — если расстояние от настила верхней опорной конструкции перекрытия до нижней границы района I превышает 1,2</w:t>
      </w:r>
      <w:r>
        <w:rPr>
          <w:rFonts w:ascii="Times New Roman"/>
          <w:b w:val="false"/>
          <w:i/>
          <w:color w:val="000000"/>
          <w:sz w:val="28"/>
        </w:rPr>
        <w:t>b</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противном случае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kII</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kI</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kII</w:t>
      </w:r>
      <w:r>
        <w:rPr>
          <w:rFonts w:ascii="Times New Roman"/>
          <w:b w:val="false"/>
          <w:i w:val="false"/>
          <w:color w:val="000000"/>
          <w:sz w:val="28"/>
        </w:rPr>
        <w:t xml:space="preserve"> — интенсивность ледовой нагрузки в районах I и II (пункт 826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высота распределения ледовой нагрузки в рассматриваемом районе согласно пункта 827 или 830 настоящих Правил, м. Если </w:t>
      </w:r>
      <w:r>
        <w:rPr>
          <w:rFonts w:ascii="Times New Roman"/>
          <w:b w:val="false"/>
          <w:i/>
          <w:color w:val="000000"/>
          <w:sz w:val="28"/>
        </w:rPr>
        <w:t>b</w:t>
      </w:r>
      <w:r>
        <w:rPr>
          <w:rFonts w:ascii="Times New Roman"/>
          <w:b w:val="false"/>
          <w:i w:val="false"/>
          <w:color w:val="000000"/>
          <w:sz w:val="28"/>
        </w:rPr>
        <w:t xml:space="preserve"> &gt; </w:t>
      </w:r>
      <w:r>
        <w:rPr>
          <w:rFonts w:ascii="Times New Roman"/>
          <w:b w:val="false"/>
          <w:i/>
          <w:color w:val="000000"/>
          <w:sz w:val="28"/>
        </w:rPr>
        <w:t>l</w:t>
      </w:r>
      <w:r>
        <w:rPr>
          <w:rFonts w:ascii="Times New Roman"/>
          <w:b w:val="false"/>
          <w:i w:val="false"/>
          <w:color w:val="000000"/>
          <w:sz w:val="28"/>
        </w:rPr>
        <w:t xml:space="preserve">, то при вычислении </w:t>
      </w:r>
      <w:r>
        <w:rPr>
          <w:rFonts w:ascii="Times New Roman"/>
          <w:b w:val="false"/>
          <w:i/>
          <w:color w:val="000000"/>
          <w:sz w:val="28"/>
        </w:rPr>
        <w:t>W</w:t>
      </w:r>
      <w:r>
        <w:rPr>
          <w:rFonts w:ascii="Times New Roman"/>
          <w:b w:val="false"/>
          <w:i w:val="false"/>
          <w:color w:val="000000"/>
          <w:vertAlign w:val="subscript"/>
        </w:rPr>
        <w:t>шo</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vertAlign w:val="subscript"/>
        </w:rPr>
        <w:t>ш</w:t>
      </w:r>
      <w:r>
        <w:rPr>
          <w:rFonts w:ascii="Times New Roman"/>
          <w:b w:val="false"/>
          <w:i w:val="false"/>
          <w:color w:val="000000"/>
          <w:sz w:val="28"/>
        </w:rPr>
        <w:t xml:space="preserve"> принимается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обыкновенными шпангоутами, измеренное по борту,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расчетная длина пролета шпангоута, м, определяемая согласно приложению 138 настоящих Правил для монотонной системы набора и приложения 139 настоящих Правил для рамной системы набора;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1 – 0,5</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2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28600" cy="469900"/>
                    </a:xfrm>
                    <a:prstGeom prst="rect">
                      <a:avLst/>
                    </a:prstGeom>
                  </pic:spPr>
                </pic:pic>
              </a:graphicData>
            </a:graphic>
          </wp:inline>
        </w:drawing>
      </w:r>
    </w:p>
    <w:p>
      <w:pPr>
        <w:spacing w:after="0"/>
        <w:ind w:left="0"/>
        <w:jc w:val="left"/>
      </w:pPr>
      <w:r>
        <w:rPr>
          <w:rFonts w:ascii="Times New Roman"/>
          <w:b w:val="false"/>
          <w:i w:val="false"/>
          <w:color w:val="000000"/>
          <w:sz w:val="28"/>
        </w:rPr>
        <w:t>, но не более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k</w:t>
      </w:r>
      <w:r>
        <w:rPr>
          <w:rFonts w:ascii="Times New Roman"/>
          <w:b w:val="false"/>
          <w:i w:val="false"/>
          <w:color w:val="000000"/>
          <w:sz w:val="28"/>
        </w:rPr>
        <w:t xml:space="preserve"> — коэффициент, равный 0,9 в случае кничного соединения обыкновенных шпангоутов с несущими стрингерами в бортовом перекрытии с рамными шпангоутами, в остальных случаях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коэффициент, равный: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1209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л — часть длины пролета </w:t>
      </w:r>
      <w:r>
        <w:rPr>
          <w:rFonts w:ascii="Times New Roman"/>
          <w:b w:val="false"/>
          <w:i/>
          <w:color w:val="000000"/>
          <w:sz w:val="28"/>
        </w:rPr>
        <w:t>l</w:t>
      </w:r>
      <w:r>
        <w:rPr>
          <w:rFonts w:ascii="Times New Roman"/>
          <w:b w:val="false"/>
          <w:i w:val="false"/>
          <w:color w:val="000000"/>
          <w:sz w:val="28"/>
        </w:rPr>
        <w:t>, перекрытая районом ледовых усилений,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1 + </w:t>
      </w:r>
      <w:r>
        <w:rPr>
          <w:rFonts w:ascii="Times New Roman"/>
          <w:b w:val="false"/>
          <w:i/>
          <w:color w:val="000000"/>
          <w:sz w:val="28"/>
        </w:rPr>
        <w:t>k</w:t>
      </w:r>
      <w:r>
        <w:rPr>
          <w:rFonts w:ascii="Times New Roman"/>
          <w:b w:val="false"/>
          <w:i w:val="false"/>
          <w:color w:val="000000"/>
          <w:vertAlign w:val="subscript"/>
        </w:rPr>
        <w:t>и</w:t>
      </w:r>
      <w:r>
        <w:rPr>
          <w:rFonts w:ascii="Times New Roman"/>
          <w:b w:val="false"/>
          <w:i w:val="false"/>
          <w:color w:val="000000"/>
          <w:sz w:val="28"/>
        </w:rPr>
        <w:t xml:space="preserve"> </w:t>
      </w:r>
    </w:p>
    <w:p>
      <w:pPr>
        <w:spacing w:after="0"/>
        <w:ind w:left="0"/>
        <w:jc w:val="both"/>
      </w:pPr>
      <w:r>
        <w:drawing>
          <wp:inline distT="0" distB="0" distL="0" distR="0">
            <wp:extent cx="33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330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выполнении упрощенного расчета согласно подпункту 4) пункта 815 настоящих Правил, допускается принимать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шф</w:t>
      </w:r>
      <w:r>
        <w:rPr>
          <w:rFonts w:ascii="Times New Roman"/>
          <w:b w:val="false"/>
          <w:i w:val="false"/>
          <w:color w:val="000000"/>
          <w:sz w:val="28"/>
        </w:rPr>
        <w:t xml:space="preserve"> — фактическая толщина стенки шпангоута,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141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и</w:t>
      </w:r>
      <w:r>
        <w:rPr>
          <w:rFonts w:ascii="Times New Roman"/>
          <w:b w:val="false"/>
          <w:i w:val="false"/>
          <w:color w:val="000000"/>
          <w:sz w:val="28"/>
        </w:rPr>
        <w:t xml:space="preserve"> = 0,9 — для катаного профиля,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и</w:t>
      </w:r>
      <w:r>
        <w:rPr>
          <w:rFonts w:ascii="Times New Roman"/>
          <w:b w:val="false"/>
          <w:i w:val="false"/>
          <w:color w:val="000000"/>
          <w:sz w:val="28"/>
        </w:rPr>
        <w:t xml:space="preserve"> = 0,85 — для сварного профиля;</w:t>
      </w:r>
    </w:p>
    <w:bookmarkStart w:name="z3295" w:id="3311"/>
    <w:p>
      <w:pPr>
        <w:spacing w:after="0"/>
        <w:ind w:left="0"/>
        <w:jc w:val="both"/>
      </w:pPr>
      <w:r>
        <w:rPr>
          <w:rFonts w:ascii="Times New Roman"/>
          <w:b w:val="false"/>
          <w:i w:val="false"/>
          <w:color w:val="000000"/>
          <w:sz w:val="28"/>
        </w:rPr>
        <w:t>
      2) площадь стенки обыкновенного шпангоута А</w:t>
      </w:r>
      <w:r>
        <w:rPr>
          <w:rFonts w:ascii="Times New Roman"/>
          <w:b w:val="false"/>
          <w:i w:val="false"/>
          <w:color w:val="000000"/>
          <w:vertAlign w:val="subscript"/>
        </w:rPr>
        <w:t>ш</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определяемой по формуле:</w:t>
      </w:r>
    </w:p>
    <w:bookmarkEnd w:id="33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15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241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413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028700" cy="482600"/>
                    </a:xfrm>
                    <a:prstGeom prst="rect">
                      <a:avLst/>
                    </a:prstGeom>
                  </pic:spPr>
                </pic:pic>
              </a:graphicData>
            </a:graphic>
          </wp:inline>
        </w:drawing>
      </w:r>
    </w:p>
    <w:p>
      <w:pPr>
        <w:spacing w:after="0"/>
        <w:ind w:left="0"/>
        <w:jc w:val="left"/>
      </w:pPr>
      <w:r>
        <w:rPr>
          <w:rFonts w:ascii="Times New Roman"/>
          <w:b w:val="false"/>
          <w:i w:val="false"/>
          <w:color w:val="000000"/>
          <w:sz w:val="28"/>
        </w:rPr>
        <w:t>или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0,7, в зависимости от того, что больше;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028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w:t>
      </w:r>
      <w:r>
        <w:rPr>
          <w:rFonts w:ascii="Times New Roman"/>
          <w:b w:val="false"/>
          <w:i/>
          <w:color w:val="000000"/>
          <w:sz w:val="28"/>
        </w:rPr>
        <w:t xml:space="preserve"> а</w:t>
      </w:r>
      <w:r>
        <w:rPr>
          <w:rFonts w:ascii="Times New Roman"/>
          <w:b w:val="false"/>
          <w:i w:val="false"/>
          <w:color w:val="000000"/>
          <w:sz w:val="28"/>
        </w:rPr>
        <w:t>,</w:t>
      </w:r>
      <w:r>
        <w:rPr>
          <w:rFonts w:ascii="Times New Roman"/>
          <w:b w:val="false"/>
          <w:i/>
          <w:color w:val="000000"/>
          <w:sz w:val="28"/>
        </w:rPr>
        <w:t xml:space="preserve"> b</w:t>
      </w:r>
      <w:r>
        <w:rPr>
          <w:rFonts w:ascii="Times New Roman"/>
          <w:b w:val="false"/>
          <w:i w:val="false"/>
          <w:color w:val="000000"/>
          <w:sz w:val="28"/>
        </w:rPr>
        <w:t>,</w:t>
      </w:r>
      <w:r>
        <w:rPr>
          <w:rFonts w:ascii="Times New Roman"/>
          <w:b w:val="false"/>
          <w:i/>
          <w:color w:val="000000"/>
          <w:sz w:val="28"/>
        </w:rPr>
        <w:t xml:space="preserve"> l</w:t>
      </w:r>
      <w:r>
        <w:rPr>
          <w:rFonts w:ascii="Times New Roman"/>
          <w:b w:val="false"/>
          <w:i w:val="false"/>
          <w:color w:val="000000"/>
          <w:sz w:val="28"/>
        </w:rPr>
        <w:t>,</w:t>
      </w:r>
      <w:r>
        <w:rPr>
          <w:rFonts w:ascii="Times New Roman"/>
          <w:b w:val="false"/>
          <w:i/>
          <w:color w:val="000000"/>
          <w:sz w:val="28"/>
        </w:rPr>
        <w:t xml:space="preserve"> k</w:t>
      </w: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подпункт 1) пункта 834 настоящих Правил, при этом </w:t>
      </w:r>
      <w:r>
        <w:rPr>
          <w:rFonts w:ascii="Times New Roman"/>
          <w:b w:val="false"/>
          <w:i/>
          <w:color w:val="000000"/>
          <w:sz w:val="28"/>
        </w:rPr>
        <w:t>b</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sz w:val="28"/>
        </w:rPr>
        <w:t xml:space="preserve"> не следует принимать более, чем расстояние между концами книц;</w:t>
      </w:r>
      <w:r>
        <w:br/>
      </w:r>
      <w:r>
        <w:rPr>
          <w:rFonts w:ascii="Times New Roman"/>
          <w:b w:val="false"/>
          <w:i w:val="false"/>
          <w:color w:val="000000"/>
          <w:sz w:val="28"/>
        </w:rPr>
        <w:t>
</w:t>
      </w:r>
      <w:r>
        <w:br/>
      </w:r>
    </w:p>
    <w:p>
      <w:pPr>
        <w:spacing w:after="0"/>
        <w:ind w:left="0"/>
        <w:jc w:val="both"/>
      </w:pPr>
      <w:r>
        <w:drawing>
          <wp:inline distT="0" distB="0" distL="0" distR="0">
            <wp:extent cx="6108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6108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высота стенки шпангоута, см, для симметричного полособульба следует принимать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0,89</w:t>
      </w:r>
      <w:r>
        <w:rPr>
          <w:rFonts w:ascii="Times New Roman"/>
          <w:b w:val="false"/>
          <w:i/>
          <w:color w:val="000000"/>
          <w:sz w:val="28"/>
        </w:rPr>
        <w:t>h</w:t>
      </w:r>
      <w:r>
        <w:rPr>
          <w:rFonts w:ascii="Times New Roman"/>
          <w:b w:val="false"/>
          <w:i w:val="false"/>
          <w:color w:val="000000"/>
          <w:vertAlign w:val="subscript"/>
        </w:rPr>
        <w:t>пр</w:t>
      </w:r>
      <w:r>
        <w:rPr>
          <w:rFonts w:ascii="Times New Roman"/>
          <w:b w:val="false"/>
          <w:i w:val="false"/>
          <w:color w:val="000000"/>
          <w:sz w:val="28"/>
        </w:rPr>
        <w:t xml:space="preserve">, для несимметричного полособульба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0,84</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пp</w:t>
      </w:r>
      <w:r>
        <w:rPr>
          <w:rFonts w:ascii="Times New Roman"/>
          <w:b w:val="false"/>
          <w:i w:val="false"/>
          <w:color w:val="000000"/>
          <w:sz w:val="28"/>
        </w:rPr>
        <w:t xml:space="preserve"> — высота катаного профиля,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—пункт 139 настоящих Правил;</w:t>
      </w:r>
      <w:r>
        <w:br/>
      </w:r>
      <w:r>
        <w:rPr>
          <w:rFonts w:ascii="Times New Roman"/>
          <w:b w:val="false"/>
          <w:i w:val="false"/>
          <w:color w:val="000000"/>
          <w:sz w:val="28"/>
        </w:rPr>
        <w:t>
</w:t>
      </w:r>
    </w:p>
    <w:bookmarkStart w:name="z3296" w:id="3312"/>
    <w:p>
      <w:pPr>
        <w:spacing w:after="0"/>
        <w:ind w:left="0"/>
        <w:jc w:val="both"/>
      </w:pPr>
      <w:r>
        <w:rPr>
          <w:rFonts w:ascii="Times New Roman"/>
          <w:b w:val="false"/>
          <w:i w:val="false"/>
          <w:color w:val="000000"/>
          <w:sz w:val="28"/>
        </w:rPr>
        <w:t xml:space="preserve">
      3) фактическая площадь стенки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,определяется согласно подпункту 5) пункта 833 настоящих Правил. При выполнении упрощенного расчета согласно подпункту 4) пункта 833 настоящих Правил, величина А</w:t>
      </w:r>
      <w:r>
        <w:rPr>
          <w:rFonts w:ascii="Times New Roman"/>
          <w:b w:val="false"/>
          <w:i w:val="false"/>
          <w:color w:val="000000"/>
          <w:vertAlign w:val="subscript"/>
        </w:rPr>
        <w:t>ф</w:t>
      </w:r>
      <w:r>
        <w:rPr>
          <w:rFonts w:ascii="Times New Roman"/>
          <w:b w:val="false"/>
          <w:i w:val="false"/>
          <w:color w:val="000000"/>
          <w:sz w:val="28"/>
        </w:rPr>
        <w:t>, как минимум, на 10 % больше требуемой площади стенки;</w:t>
      </w:r>
    </w:p>
    <w:bookmarkEnd w:id="3312"/>
    <w:bookmarkStart w:name="z3297" w:id="3313"/>
    <w:p>
      <w:pPr>
        <w:spacing w:after="0"/>
        <w:ind w:left="0"/>
        <w:jc w:val="both"/>
      </w:pPr>
      <w:r>
        <w:rPr>
          <w:rFonts w:ascii="Times New Roman"/>
          <w:b w:val="false"/>
          <w:i w:val="false"/>
          <w:color w:val="000000"/>
          <w:sz w:val="28"/>
        </w:rPr>
        <w:t xml:space="preserve">
      4) толщина стенки обыкновенного шпангоута </w:t>
      </w:r>
      <w:r>
        <w:rPr>
          <w:rFonts w:ascii="Times New Roman"/>
          <w:b w:val="false"/>
          <w:i/>
          <w:color w:val="000000"/>
          <w:sz w:val="28"/>
        </w:rPr>
        <w:t>s</w:t>
      </w:r>
      <w:r>
        <w:rPr>
          <w:rFonts w:ascii="Times New Roman"/>
          <w:b w:val="false"/>
          <w:i w:val="false"/>
          <w:color w:val="000000"/>
          <w:vertAlign w:val="subscript"/>
        </w:rPr>
        <w:t>ш</w:t>
      </w:r>
      <w:r>
        <w:rPr>
          <w:rFonts w:ascii="Times New Roman"/>
          <w:b w:val="false"/>
          <w:i w:val="false"/>
          <w:color w:val="000000"/>
          <w:sz w:val="28"/>
        </w:rPr>
        <w:t>, мм, принимается не менее большей из следующих величин:</w:t>
      </w:r>
    </w:p>
    <w:bookmarkEnd w:id="331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863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863600" cy="482600"/>
                    </a:xfrm>
                    <a:prstGeom prst="rect">
                      <a:avLst/>
                    </a:prstGeom>
                  </pic:spPr>
                </pic:pic>
              </a:graphicData>
            </a:graphic>
          </wp:inline>
        </w:drawing>
      </w:r>
    </w:p>
    <w:p>
      <w:pPr>
        <w:spacing w:after="0"/>
        <w:ind w:left="0"/>
        <w:jc w:val="left"/>
      </w:pPr>
      <w:r>
        <w:rPr>
          <w:rFonts w:ascii="Times New Roman"/>
          <w:b w:val="false"/>
          <w:i w:val="false"/>
          <w:color w:val="000000"/>
          <w:sz w:val="28"/>
        </w:rPr>
        <w:t>,                      (306)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w:t>
      </w:r>
      <w:r>
        <w:rPr>
          <w:rFonts w:ascii="Times New Roman"/>
          <w:b w:val="false"/>
          <w:i w:val="false"/>
          <w:color w:val="000000"/>
          <w:sz w:val="28"/>
        </w:rPr>
        <w:t xml:space="preserve"> = 0,0114</w:t>
      </w:r>
      <w:r>
        <w:rPr>
          <w:rFonts w:ascii="Times New Roman"/>
          <w:b w:val="false"/>
          <w:i/>
          <w:color w:val="000000"/>
          <w:sz w:val="28"/>
        </w:rPr>
        <w:t>h</w:t>
      </w:r>
      <w:r>
        <w:rPr>
          <w:rFonts w:ascii="Times New Roman"/>
          <w:b w:val="false"/>
          <w:i w:val="false"/>
          <w:color w:val="000000"/>
          <w:vertAlign w:val="subscript"/>
        </w:rPr>
        <w:t>ш</w:t>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(307)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1,4</w:t>
      </w:r>
    </w:p>
    <w:p>
      <w:pPr>
        <w:spacing w:after="0"/>
        <w:ind w:left="0"/>
        <w:jc w:val="both"/>
      </w:pPr>
      <w:r>
        <w:drawing>
          <wp:inline distT="0" distB="0" distL="0" distR="0">
            <wp:extent cx="393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393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не менее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xml:space="preserve"> — фактический предельный момент сопротивления обыкновенного шпангоута, определяемый согласно подпункту 6) пункта 833 настоящих Правил, см</w:t>
      </w:r>
      <w:r>
        <w:rPr>
          <w:rFonts w:ascii="Times New Roman"/>
          <w:b w:val="false"/>
          <w:i w:val="false"/>
          <w:color w:val="000000"/>
          <w:vertAlign w:val="superscript"/>
        </w:rPr>
        <w:t>3</w:t>
      </w:r>
      <w:r>
        <w:rPr>
          <w:rFonts w:ascii="Times New Roman"/>
          <w:b w:val="false"/>
          <w:i w:val="false"/>
          <w:color w:val="000000"/>
          <w:sz w:val="28"/>
        </w:rPr>
        <w:t xml:space="preserve"> (в первом приближении или при выполнении упрощенного расчета согласно подпункту 4) пункта 833 настоящих Правил, принимается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подпункт 2) пункта 834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298" w:id="3314"/>
    <w:p>
      <w:pPr>
        <w:spacing w:after="0"/>
        <w:ind w:left="0"/>
        <w:jc w:val="both"/>
      </w:pPr>
      <w:r>
        <w:rPr>
          <w:rFonts w:ascii="Times New Roman"/>
          <w:b w:val="false"/>
          <w:i w:val="false"/>
          <w:color w:val="000000"/>
          <w:sz w:val="28"/>
        </w:rPr>
        <w:t>
      5) ширина свободного пояска обыкновенного шпангоута полособульбового или таврового профиля с</w:t>
      </w:r>
      <w:r>
        <w:rPr>
          <w:rFonts w:ascii="Times New Roman"/>
          <w:b w:val="false"/>
          <w:i w:val="false"/>
          <w:color w:val="000000"/>
          <w:vertAlign w:val="subscript"/>
        </w:rPr>
        <w:t>ш</w:t>
      </w:r>
      <w:r>
        <w:rPr>
          <w:rFonts w:ascii="Times New Roman"/>
          <w:b w:val="false"/>
          <w:i w:val="false"/>
          <w:color w:val="000000"/>
          <w:sz w:val="28"/>
        </w:rPr>
        <w:t>, мм, не менее большей из следующих величин:</w:t>
      </w:r>
    </w:p>
    <w:bookmarkEnd w:id="331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ш</w:t>
      </w:r>
      <w:r>
        <w:rPr>
          <w:rFonts w:ascii="Times New Roman"/>
          <w:b w:val="false"/>
          <w:i w:val="false"/>
          <w:color w:val="000000"/>
          <w:sz w:val="28"/>
        </w:rPr>
        <w:t xml:space="preserve"> = 0,0145RеН</w:t>
      </w:r>
    </w:p>
    <w:p>
      <w:pPr>
        <w:spacing w:after="0"/>
        <w:ind w:left="0"/>
        <w:jc w:val="both"/>
      </w:pPr>
      <w:r>
        <w:drawing>
          <wp:inline distT="0" distB="0" distL="0" distR="0">
            <wp:extent cx="168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6891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ш</w:t>
      </w:r>
      <w:r>
        <w:rPr>
          <w:rFonts w:ascii="Times New Roman"/>
          <w:b w:val="false"/>
          <w:i w:val="false"/>
          <w:color w:val="000000"/>
          <w:sz w:val="28"/>
        </w:rPr>
        <w:t xml:space="preserve"> = 2,5t</w:t>
      </w:r>
      <w:r>
        <w:rPr>
          <w:rFonts w:ascii="Times New Roman"/>
          <w:b w:val="false"/>
          <w:i w:val="false"/>
          <w:color w:val="000000"/>
          <w:vertAlign w:val="subscript"/>
        </w:rPr>
        <w:t>ш</w:t>
      </w:r>
      <w:r>
        <w:rPr>
          <w:rFonts w:ascii="Times New Roman"/>
          <w:b w:val="false"/>
          <w:i w:val="false"/>
          <w:color w:val="000000"/>
          <w:sz w:val="28"/>
        </w:rPr>
        <w:t xml:space="preserve"> ,                 (309)</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ш</w:t>
      </w:r>
      <w:r>
        <w:rPr>
          <w:rFonts w:ascii="Times New Roman"/>
          <w:b w:val="false"/>
          <w:i w:val="false"/>
          <w:color w:val="000000"/>
          <w:sz w:val="28"/>
        </w:rPr>
        <w:t xml:space="preserve"> = 69,6s</w:t>
      </w:r>
      <w:r>
        <w:rPr>
          <w:rFonts w:ascii="Times New Roman"/>
          <w:b w:val="false"/>
          <w:i w:val="false"/>
          <w:color w:val="000000"/>
          <w:vertAlign w:val="subscript"/>
        </w:rPr>
        <w:t xml:space="preserve">шф </w:t>
      </w:r>
    </w:p>
    <w:p>
      <w:pPr>
        <w:spacing w:after="0"/>
        <w:ind w:left="0"/>
        <w:jc w:val="both"/>
      </w:pPr>
      <w:r>
        <w:drawing>
          <wp:inline distT="0" distB="0" distL="0" distR="0">
            <wp:extent cx="134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1346200" cy="546100"/>
                    </a:xfrm>
                    <a:prstGeom prst="rect">
                      <a:avLst/>
                    </a:prstGeom>
                  </pic:spPr>
                </pic:pic>
              </a:graphicData>
            </a:graphic>
          </wp:inline>
        </w:drawing>
      </w:r>
    </w:p>
    <w:p>
      <w:pPr>
        <w:spacing w:after="0"/>
        <w:ind w:left="0"/>
        <w:jc w:val="left"/>
      </w:pPr>
      <w:r>
        <w:rPr>
          <w:rFonts w:ascii="Times New Roman"/>
          <w:b w:val="false"/>
          <w:i w:val="false"/>
          <w:color w:val="000000"/>
          <w:sz w:val="28"/>
        </w:rPr>
        <w:t>,                (310)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4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647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не менее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0,055;</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15494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не менее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xml:space="preserve"> — подпункт 4)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шф</w:t>
      </w:r>
      <w:r>
        <w:rPr>
          <w:rFonts w:ascii="Times New Roman"/>
          <w:b w:val="false"/>
          <w:i w:val="false"/>
          <w:color w:val="000000"/>
          <w:sz w:val="28"/>
        </w:rPr>
        <w:t xml:space="preserve"> — фактическая толщина стенки обыкновенного шпангоута,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ш</w:t>
      </w:r>
      <w:r>
        <w:rPr>
          <w:rFonts w:ascii="Times New Roman"/>
          <w:b w:val="false"/>
          <w:i w:val="false"/>
          <w:color w:val="000000"/>
          <w:sz w:val="28"/>
        </w:rPr>
        <w:t xml:space="preserve"> — толщина свободного пояска обыкновенного шпангоута, мм (для балок полособульбового профиля tш следует принимать равной 1,5</w:t>
      </w:r>
      <w:r>
        <w:rPr>
          <w:rFonts w:ascii="Times New Roman"/>
          <w:b w:val="false"/>
          <w:i/>
          <w:color w:val="000000"/>
          <w:sz w:val="28"/>
        </w:rPr>
        <w:t>s</w:t>
      </w:r>
      <w:r>
        <w:rPr>
          <w:rFonts w:ascii="Times New Roman"/>
          <w:b w:val="false"/>
          <w:i w:val="false"/>
          <w:color w:val="000000"/>
          <w:vertAlign w:val="subscript"/>
        </w:rPr>
        <w:t>шф</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подпункт 2)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нф</w:t>
      </w:r>
      <w:r>
        <w:rPr>
          <w:rFonts w:ascii="Times New Roman"/>
          <w:b w:val="false"/>
          <w:i w:val="false"/>
          <w:color w:val="000000"/>
          <w:sz w:val="28"/>
        </w:rPr>
        <w:t xml:space="preserve"> — фактическая толщина наружной обшивки,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наибольшее расстояние между соседними пересекающими пролет шпангоута стрингерами или стрингером и опорным сечением, м.</w:t>
      </w:r>
    </w:p>
    <w:bookmarkStart w:name="z3299" w:id="3315"/>
    <w:p>
      <w:pPr>
        <w:spacing w:after="0"/>
        <w:ind w:left="0"/>
        <w:jc w:val="both"/>
      </w:pPr>
      <w:r>
        <w:rPr>
          <w:rFonts w:ascii="Times New Roman"/>
          <w:b w:val="false"/>
          <w:i w:val="false"/>
          <w:color w:val="000000"/>
          <w:sz w:val="28"/>
        </w:rPr>
        <w:t>
      Допускается не проверять выполнение требований к ширине свободного пояска в случае проведения упрощенного расчета согласно подпункту 4) пункта 833 настоящих Правил, применительно к шпангоутам из стандартных профилей;</w:t>
      </w:r>
    </w:p>
    <w:bookmarkEnd w:id="3315"/>
    <w:bookmarkStart w:name="z3300" w:id="3316"/>
    <w:p>
      <w:pPr>
        <w:spacing w:after="0"/>
        <w:ind w:left="0"/>
        <w:jc w:val="both"/>
      </w:pPr>
      <w:r>
        <w:rPr>
          <w:rFonts w:ascii="Times New Roman"/>
          <w:b w:val="false"/>
          <w:i w:val="false"/>
          <w:color w:val="000000"/>
          <w:sz w:val="28"/>
        </w:rPr>
        <w:t xml:space="preserve">
      6) при выполнении обыкновенного шпангоута из полосового профиля высота полосы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см, и расстояние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м, не более определяемых по формулам:</w:t>
      </w:r>
    </w:p>
    <w:bookmarkEnd w:id="3316"/>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208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082800" cy="863600"/>
                    </a:xfrm>
                    <a:prstGeom prst="rect">
                      <a:avLst/>
                    </a:prstGeom>
                  </pic:spPr>
                </pic:pic>
              </a:graphicData>
            </a:graphic>
          </wp:inline>
        </w:drawing>
      </w:r>
    </w:p>
    <w:p>
      <w:pPr>
        <w:spacing w:after="0"/>
        <w:ind w:left="0"/>
        <w:jc w:val="left"/>
      </w:pPr>
      <w:r>
        <w:rPr>
          <w:rFonts w:ascii="Times New Roman"/>
          <w:b w:val="false"/>
          <w:i w:val="false"/>
          <w:color w:val="000000"/>
          <w:sz w:val="28"/>
        </w:rPr>
        <w:t>,                  (311)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0,0541</w:t>
      </w:r>
    </w:p>
    <w:p>
      <w:pPr>
        <w:spacing w:after="0"/>
        <w:ind w:left="0"/>
        <w:jc w:val="both"/>
      </w:pPr>
      <w:r>
        <w:drawing>
          <wp:inline distT="0" distB="0" distL="0" distR="0">
            <wp:extent cx="457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457200" cy="520700"/>
                    </a:xfrm>
                    <a:prstGeom prst="rect">
                      <a:avLst/>
                    </a:prstGeom>
                  </pic:spPr>
                </pic:pic>
              </a:graphicData>
            </a:graphic>
          </wp:inline>
        </w:drawing>
      </w:r>
    </w:p>
    <w:p>
      <w:pPr>
        <w:spacing w:after="0"/>
        <w:ind w:left="0"/>
        <w:jc w:val="left"/>
      </w:pPr>
      <w:r>
        <w:rPr>
          <w:rFonts w:ascii="Times New Roman"/>
          <w:b w:val="false"/>
          <w:i w:val="false"/>
          <w:color w:val="000000"/>
          <w:sz w:val="28"/>
        </w:rPr>
        <w:t>,                     (312)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447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1447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1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шф</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нф</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a — подпункт 5) пункта 834 настоящих Правил.</w:t>
      </w:r>
    </w:p>
    <w:bookmarkStart w:name="z3301" w:id="3317"/>
    <w:p>
      <w:pPr>
        <w:spacing w:after="0"/>
        <w:ind w:left="0"/>
        <w:jc w:val="both"/>
      </w:pPr>
      <w:r>
        <w:rPr>
          <w:rFonts w:ascii="Times New Roman"/>
          <w:b w:val="false"/>
          <w:i w:val="false"/>
          <w:color w:val="000000"/>
          <w:sz w:val="28"/>
        </w:rPr>
        <w:t>
      835. Несущие и разносящие бортовые стрингеры при поперечной системе набора с рамными шпангоутами соответствуют следующим требованиям:</w:t>
      </w:r>
    </w:p>
    <w:bookmarkEnd w:id="3317"/>
    <w:bookmarkStart w:name="z3302" w:id="3318"/>
    <w:p>
      <w:pPr>
        <w:spacing w:after="0"/>
        <w:ind w:left="0"/>
        <w:jc w:val="both"/>
      </w:pPr>
      <w:r>
        <w:rPr>
          <w:rFonts w:ascii="Times New Roman"/>
          <w:b w:val="false"/>
          <w:i w:val="false"/>
          <w:color w:val="000000"/>
          <w:sz w:val="28"/>
        </w:rPr>
        <w:t xml:space="preserve">
      1) предельный момент сопротивления несущего бортового стрингера </w:t>
      </w:r>
      <w:r>
        <w:rPr>
          <w:rFonts w:ascii="Times New Roman"/>
          <w:b w:val="false"/>
          <w:i/>
          <w:color w:val="000000"/>
          <w:sz w:val="28"/>
        </w:rPr>
        <w:t>W</w:t>
      </w:r>
      <w:r>
        <w:rPr>
          <w:rFonts w:ascii="Times New Roman"/>
          <w:b w:val="false"/>
          <w:i w:val="false"/>
          <w:color w:val="000000"/>
          <w:vertAlign w:val="subscript"/>
        </w:rPr>
        <w:t>c</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не менее определяемого по формуле:</w:t>
      </w:r>
    </w:p>
    <w:bookmarkEnd w:id="331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с</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с0</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                       (313)</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с0</w:t>
      </w:r>
      <w:r>
        <w:rPr>
          <w:rFonts w:ascii="Times New Roman"/>
          <w:b w:val="false"/>
          <w:i w:val="false"/>
          <w:color w:val="000000"/>
          <w:sz w:val="28"/>
        </w:rPr>
        <w:t xml:space="preserve"> = </w:t>
      </w:r>
    </w:p>
    <w:p>
      <w:pPr>
        <w:spacing w:after="0"/>
        <w:ind w:left="0"/>
        <w:jc w:val="both"/>
      </w:pPr>
      <w:r>
        <w:drawing>
          <wp:inline distT="0" distB="0" distL="0" distR="0">
            <wp:extent cx="304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304800" cy="584200"/>
                    </a:xfrm>
                    <a:prstGeom prst="rect">
                      <a:avLst/>
                    </a:prstGeom>
                  </pic:spPr>
                </pic:pic>
              </a:graphicData>
            </a:graphic>
          </wp:inline>
        </w:drawing>
      </w:r>
    </w:p>
    <w:p>
      <w:pPr>
        <w:spacing w:after="0"/>
        <w:ind w:left="0"/>
        <w:jc w:val="left"/>
      </w:pPr>
      <w:r>
        <w:rPr>
          <w:rFonts w:ascii="Times New Roman"/>
          <w:b w:val="false"/>
          <w:i/>
          <w:color w:val="000000"/>
          <w:sz w:val="28"/>
        </w:rPr>
        <w:t>k</w:t>
      </w:r>
    </w:p>
    <w:p>
      <w:pPr>
        <w:spacing w:after="0"/>
        <w:ind w:left="0"/>
        <w:jc w:val="both"/>
      </w:pPr>
      <w:r>
        <w:drawing>
          <wp:inline distT="0" distB="0" distL="0" distR="0">
            <wp:extent cx="12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127000" cy="393700"/>
                    </a:xfrm>
                    <a:prstGeom prst="rect">
                      <a:avLst/>
                    </a:prstGeom>
                  </pic:spPr>
                </pic:pic>
              </a:graphicData>
            </a:graphic>
          </wp:inline>
        </w:drawing>
      </w:r>
    </w:p>
    <w:p>
      <w:pPr>
        <w:spacing w:after="0"/>
        <w:ind w:left="0"/>
        <w:jc w:val="left"/>
      </w:pPr>
      <w:r>
        <w:rPr>
          <w:rFonts w:ascii="Times New Roman"/>
          <w:b w:val="false"/>
          <w:i/>
          <w:color w:val="000000"/>
          <w:sz w:val="28"/>
        </w:rPr>
        <w:t>pa</w:t>
      </w:r>
    </w:p>
    <w:p>
      <w:pPr>
        <w:spacing w:after="0"/>
        <w:ind w:left="0"/>
        <w:jc w:val="both"/>
      </w:pPr>
      <w:r>
        <w:drawing>
          <wp:inline distT="0" distB="0" distL="0" distR="0">
            <wp:extent cx="139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139700" cy="342900"/>
                    </a:xfrm>
                    <a:prstGeom prst="rect">
                      <a:avLst/>
                    </a:prstGeom>
                  </pic:spPr>
                </pic:pic>
              </a:graphicData>
            </a:graphic>
          </wp:inline>
        </w:drawing>
      </w:r>
    </w:p>
    <w:p>
      <w:pPr>
        <w:spacing w:after="0"/>
        <w:ind w:left="0"/>
        <w:jc w:val="left"/>
      </w:pPr>
      <w:r>
        <w:rPr>
          <w:rFonts w:ascii="Times New Roman"/>
          <w:b w:val="false"/>
          <w:i/>
          <w:color w:val="000000"/>
          <w:sz w:val="28"/>
        </w:rPr>
        <w:t>bQ</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108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61087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2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27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0,82 – 0,55</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0,6 при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а</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2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27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0,82</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0,55 </w:t>
      </w:r>
      <w:r>
        <w:rPr>
          <w:rFonts w:ascii="Times New Roman"/>
          <w:b w:val="false"/>
          <w:i w:val="false"/>
          <w:color w:val="000000"/>
          <w:sz w:val="28"/>
          <w:u w:val="single"/>
        </w:rPr>
        <w:t>&gt;</w:t>
      </w:r>
      <w:r>
        <w:rPr>
          <w:rFonts w:ascii="Times New Roman"/>
          <w:b w:val="false"/>
          <w:i w:val="false"/>
          <w:color w:val="000000"/>
          <w:sz w:val="28"/>
        </w:rPr>
        <w:t xml:space="preserve"> 0,6</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&lt; а</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н</w:t>
      </w:r>
      <w:r>
        <w:rPr>
          <w:rFonts w:ascii="Times New Roman"/>
          <w:b w:val="false"/>
          <w:i w:val="false"/>
          <w:color w:val="000000"/>
          <w:sz w:val="28"/>
        </w:rPr>
        <w:t xml:space="preserve"> — пункт 810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расстояние между рамными шпангоутами, измеренное по борту,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2i</w:t>
      </w:r>
    </w:p>
    <w:p>
      <w:pPr>
        <w:spacing w:after="0"/>
        <w:ind w:left="0"/>
        <w:jc w:val="both"/>
      </w:pPr>
      <w:r>
        <w:drawing>
          <wp:inline distT="0" distB="0" distL="0" distR="0">
            <wp:extent cx="22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2286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3i</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317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3175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5i</w:t>
      </w:r>
    </w:p>
    <w:p>
      <w:pPr>
        <w:spacing w:after="0"/>
        <w:ind w:left="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292100" cy="520700"/>
                    </a:xfrm>
                    <a:prstGeom prst="rect">
                      <a:avLst/>
                    </a:prstGeom>
                  </pic:spPr>
                </pic:pic>
              </a:graphicData>
            </a:graphic>
          </wp:inline>
        </w:drawing>
      </w:r>
    </w:p>
    <w:p>
      <w:pPr>
        <w:spacing w:after="0"/>
        <w:ind w:left="0"/>
        <w:jc w:val="left"/>
      </w:pPr>
      <w:r>
        <w:rPr>
          <w:rFonts w:ascii="Times New Roman"/>
          <w:b w:val="false"/>
          <w:i w:val="false"/>
          <w:color w:val="000000"/>
          <w:sz w:val="28"/>
        </w:rPr>
        <w:t>; при выполнении упрощенного расчета согласно подпункту 4) пункта 833 принимается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6i</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2i</w:t>
      </w:r>
    </w:p>
    <w:p>
      <w:pPr>
        <w:spacing w:after="0"/>
        <w:ind w:left="0"/>
        <w:jc w:val="both"/>
      </w:pPr>
      <w:r>
        <w:drawing>
          <wp:inline distT="0" distB="0" distL="0" distR="0">
            <wp:extent cx="22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2286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индекс, принимающий следующие значения: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1 при </w:t>
      </w:r>
      <w:r>
        <w:rPr>
          <w:rFonts w:ascii="Times New Roman"/>
          <w:b w:val="false"/>
          <w:i/>
          <w:color w:val="000000"/>
          <w:sz w:val="28"/>
        </w:rPr>
        <w:t>m</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2 при </w:t>
      </w:r>
      <w:r>
        <w:rPr>
          <w:rFonts w:ascii="Times New Roman"/>
          <w:b w:val="false"/>
          <w:i/>
          <w:color w:val="000000"/>
          <w:sz w:val="28"/>
        </w:rPr>
        <w:t xml:space="preserve">m </w:t>
      </w:r>
      <w:r>
        <w:rPr>
          <w:rFonts w:ascii="Times New Roman"/>
          <w:b w:val="false"/>
          <w:i w:val="false"/>
          <w:color w:val="000000"/>
          <w:sz w:val="28"/>
          <w:u w:val="single"/>
        </w:rPr>
        <w:t>&gt;</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число несущих бортовых стрингеров в перекрытии;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6</w:t>
      </w:r>
      <w:r>
        <w:rPr>
          <w:rFonts w:ascii="Times New Roman"/>
          <w:b w:val="false"/>
          <w:i w:val="false"/>
          <w:color w:val="000000"/>
          <w:vertAlign w:val="subscript"/>
        </w:rPr>
        <w:t>i</w:t>
      </w:r>
      <w:r>
        <w:rPr>
          <w:rFonts w:ascii="Times New Roman"/>
          <w:b w:val="false"/>
          <w:i w:val="false"/>
          <w:color w:val="000000"/>
          <w:sz w:val="28"/>
        </w:rPr>
        <w:t>, — приложение 140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подпункт 1) пункта 834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коэффициент, принимаемый меньшим из следующих:</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393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393700" cy="584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1,4</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ш0</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xml:space="preserve"> — подпункт 4) пункта 834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33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3302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xml:space="preserve"> — подпункт 2) пункта 835настоящих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 подпункт 3)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сф</w:t>
      </w:r>
      <w:r>
        <w:rPr>
          <w:rFonts w:ascii="Times New Roman"/>
          <w:b w:val="false"/>
          <w:i w:val="false"/>
          <w:color w:val="000000"/>
          <w:sz w:val="28"/>
        </w:rPr>
        <w:t xml:space="preserve"> — фактическая толщина стенки несущего бортового стрингера,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03" w:id="3319"/>
    <w:p>
      <w:pPr>
        <w:spacing w:after="0"/>
        <w:ind w:left="0"/>
        <w:jc w:val="both"/>
      </w:pPr>
      <w:r>
        <w:rPr>
          <w:rFonts w:ascii="Times New Roman"/>
          <w:b w:val="false"/>
          <w:i w:val="false"/>
          <w:color w:val="000000"/>
          <w:sz w:val="28"/>
        </w:rPr>
        <w:t xml:space="preserve">
      2) площадь стенки несущего бортового стрингера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определяемой по формуле:</w:t>
      </w:r>
    </w:p>
    <w:bookmarkEnd w:id="3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2019300" cy="495300"/>
                    </a:xfrm>
                    <a:prstGeom prst="rect">
                      <a:avLst/>
                    </a:prstGeom>
                  </pic:spPr>
                </pic:pic>
              </a:graphicData>
            </a:graphic>
          </wp:inline>
        </w:drawing>
      </w:r>
    </w:p>
    <w:p>
      <w:pPr>
        <w:spacing w:after="0"/>
        <w:ind w:left="0"/>
        <w:jc w:val="left"/>
      </w:pPr>
      <w:r>
        <w:rPr>
          <w:rFonts w:ascii="Times New Roman"/>
          <w:b w:val="false"/>
          <w:i w:val="false"/>
          <w:color w:val="000000"/>
          <w:sz w:val="28"/>
        </w:rPr>
        <w:t>,                 (314)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шпангоутов между соседними рамными шпангоутами;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2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27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подпункт 1) пункта 835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высота стенки несущего бортового стрингера,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04" w:id="3320"/>
    <w:p>
      <w:pPr>
        <w:spacing w:after="0"/>
        <w:ind w:left="0"/>
        <w:jc w:val="both"/>
      </w:pPr>
      <w:r>
        <w:rPr>
          <w:rFonts w:ascii="Times New Roman"/>
          <w:b w:val="false"/>
          <w:i w:val="false"/>
          <w:color w:val="000000"/>
          <w:sz w:val="28"/>
        </w:rPr>
        <w:t xml:space="preserve">
      3) фактическая площадь стенки несущего бортового стрингера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определяется согласно подпункту 3) пункта 834 настоящих Правил;</w:t>
      </w:r>
    </w:p>
    <w:bookmarkEnd w:id="3320"/>
    <w:bookmarkStart w:name="z3305" w:id="3321"/>
    <w:p>
      <w:pPr>
        <w:spacing w:after="0"/>
        <w:ind w:left="0"/>
        <w:jc w:val="both"/>
      </w:pPr>
      <w:r>
        <w:rPr>
          <w:rFonts w:ascii="Times New Roman"/>
          <w:b w:val="false"/>
          <w:i w:val="false"/>
          <w:color w:val="000000"/>
          <w:sz w:val="28"/>
        </w:rPr>
        <w:t xml:space="preserve">
      4) толщина стенки несущего бортового стрингера,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мм, не менее определяемой по формуле:</w:t>
      </w:r>
    </w:p>
    <w:bookmarkEnd w:id="3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2159000" cy="673100"/>
                    </a:xfrm>
                    <a:prstGeom prst="rect">
                      <a:avLst/>
                    </a:prstGeom>
                  </pic:spPr>
                </pic:pic>
              </a:graphicData>
            </a:graphic>
          </wp:inline>
        </w:drawing>
      </w:r>
    </w:p>
    <w:p>
      <w:pPr>
        <w:spacing w:after="0"/>
        <w:ind w:left="0"/>
        <w:jc w:val="left"/>
      </w:pPr>
      <w:r>
        <w:rPr>
          <w:rFonts w:ascii="Times New Roman"/>
          <w:b w:val="false"/>
          <w:i w:val="false"/>
          <w:color w:val="000000"/>
          <w:sz w:val="28"/>
        </w:rPr>
        <w:t>.                (315)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короткая и длинная стороны панелей, на которые стенка стрингера разбивается подкрепляющими ее ребрами жесткости, м;</w:t>
      </w:r>
    </w:p>
    <w:p>
      <w:pPr>
        <w:spacing w:after="0"/>
        <w:ind w:left="0"/>
        <w:jc w:val="both"/>
      </w:pPr>
      <w:r>
        <w:rPr>
          <w:rFonts w:ascii="Times New Roman"/>
          <w:b w:val="false"/>
          <w:i w:val="false"/>
          <w:color w:val="000000"/>
          <w:sz w:val="28"/>
        </w:rPr>
        <w:t xml:space="preserve">
      для неподкрепленной стенки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0,01(h</w:t>
      </w:r>
      <w:r>
        <w:rPr>
          <w:rFonts w:ascii="Times New Roman"/>
          <w:b w:val="false"/>
          <w:i w:val="false"/>
          <w:color w:val="000000"/>
          <w:vertAlign w:val="subscript"/>
        </w:rPr>
        <w:t>с</w:t>
      </w:r>
      <w:r>
        <w:rPr>
          <w:rFonts w:ascii="Times New Roman"/>
          <w:b w:val="false"/>
          <w:i w:val="false"/>
          <w:color w:val="000000"/>
          <w:sz w:val="28"/>
        </w:rPr>
        <w:t xml:space="preserve"> – 0,8h</w:t>
      </w:r>
      <w:r>
        <w:rPr>
          <w:rFonts w:ascii="Times New Roman"/>
          <w:b w:val="false"/>
          <w:i w:val="false"/>
          <w:color w:val="000000"/>
          <w:vertAlign w:val="subscript"/>
        </w:rPr>
        <w:t>ш</w:t>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подпункт 2)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подпункт 2)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и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подпункт 1) пункта 835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06" w:id="3322"/>
    <w:p>
      <w:pPr>
        <w:spacing w:after="0"/>
        <w:ind w:left="0"/>
        <w:jc w:val="both"/>
      </w:pPr>
      <w:r>
        <w:rPr>
          <w:rFonts w:ascii="Times New Roman"/>
          <w:b w:val="false"/>
          <w:i w:val="false"/>
          <w:color w:val="000000"/>
          <w:sz w:val="28"/>
        </w:rPr>
        <w:t xml:space="preserve">
      5) высота стенки несущего бортового стрингера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см, не менее определяемой по формуле:</w:t>
      </w:r>
    </w:p>
    <w:bookmarkEnd w:id="332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2</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(316)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подпункт 2) пункта 834 настоящих Правил;</w:t>
      </w:r>
    </w:p>
    <w:bookmarkStart w:name="z3307" w:id="3323"/>
    <w:p>
      <w:pPr>
        <w:spacing w:after="0"/>
        <w:ind w:left="0"/>
        <w:jc w:val="both"/>
      </w:pPr>
      <w:r>
        <w:rPr>
          <w:rFonts w:ascii="Times New Roman"/>
          <w:b w:val="false"/>
          <w:i w:val="false"/>
          <w:color w:val="000000"/>
          <w:sz w:val="28"/>
        </w:rPr>
        <w:t>
      6) толщина свободного пояска несущего бортового стрингера должна быть не менее фактической толщины его стенки;</w:t>
      </w:r>
    </w:p>
    <w:bookmarkEnd w:id="3323"/>
    <w:bookmarkStart w:name="z3308" w:id="3324"/>
    <w:p>
      <w:pPr>
        <w:spacing w:after="0"/>
        <w:ind w:left="0"/>
        <w:jc w:val="both"/>
      </w:pPr>
      <w:r>
        <w:rPr>
          <w:rFonts w:ascii="Times New Roman"/>
          <w:b w:val="false"/>
          <w:i w:val="false"/>
          <w:color w:val="000000"/>
          <w:sz w:val="28"/>
        </w:rPr>
        <w:t xml:space="preserve">
      7) ширина свободного пояска несущего бортового стрингера </w:t>
      </w:r>
      <w:r>
        <w:rPr>
          <w:rFonts w:ascii="Times New Roman"/>
          <w:b w:val="false"/>
          <w:i/>
          <w:color w:val="000000"/>
          <w:sz w:val="28"/>
        </w:rPr>
        <w:t>с</w:t>
      </w:r>
      <w:r>
        <w:rPr>
          <w:rFonts w:ascii="Times New Roman"/>
          <w:b w:val="false"/>
          <w:i w:val="false"/>
          <w:color w:val="000000"/>
          <w:vertAlign w:val="subscript"/>
        </w:rPr>
        <w:t>с</w:t>
      </w:r>
      <w:r>
        <w:rPr>
          <w:rFonts w:ascii="Times New Roman"/>
          <w:b w:val="false"/>
          <w:i w:val="false"/>
          <w:color w:val="000000"/>
          <w:sz w:val="28"/>
        </w:rPr>
        <w:t>, мм, не менее большей из следующих величин:</w:t>
      </w:r>
    </w:p>
    <w:bookmarkEnd w:id="33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08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5308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c</w:t>
      </w:r>
      <w:r>
        <w:rPr>
          <w:rFonts w:ascii="Times New Roman"/>
          <w:b w:val="false"/>
          <w:i w:val="false"/>
          <w:color w:val="000000"/>
          <w:sz w:val="28"/>
        </w:rPr>
        <w:t xml:space="preserve"> — подпункт 1)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сф</w:t>
      </w:r>
      <w:r>
        <w:rPr>
          <w:rFonts w:ascii="Times New Roman"/>
          <w:b w:val="false"/>
          <w:i w:val="false"/>
          <w:color w:val="000000"/>
          <w:sz w:val="28"/>
        </w:rPr>
        <w:t xml:space="preserve"> — фактический предельный момент сопротивления рамного шпангоута, определяемый согласно подпункту 6) пункта 833 настоящих Правил, см</w:t>
      </w:r>
      <w:r>
        <w:rPr>
          <w:rFonts w:ascii="Times New Roman"/>
          <w:b w:val="false"/>
          <w:i w:val="false"/>
          <w:color w:val="000000"/>
          <w:vertAlign w:val="superscript"/>
        </w:rPr>
        <w:t>3</w:t>
      </w:r>
      <w:r>
        <w:rPr>
          <w:rFonts w:ascii="Times New Roman"/>
          <w:b w:val="false"/>
          <w:i w:val="false"/>
          <w:color w:val="000000"/>
          <w:sz w:val="28"/>
        </w:rPr>
        <w:t xml:space="preserve"> (в первом приближении или при выполнении упрощенного расчета согласно подпункту 4) пункта 833 настоящих Правил, принимается </w:t>
      </w:r>
      <w:r>
        <w:rPr>
          <w:rFonts w:ascii="Times New Roman"/>
          <w:b w:val="false"/>
          <w:i/>
          <w:color w:val="000000"/>
          <w:sz w:val="28"/>
        </w:rPr>
        <w:t>W</w:t>
      </w:r>
      <w:r>
        <w:rPr>
          <w:rFonts w:ascii="Times New Roman"/>
          <w:b w:val="false"/>
          <w:i w:val="false"/>
          <w:color w:val="000000"/>
          <w:vertAlign w:val="subscript"/>
        </w:rPr>
        <w:t>сф</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толщина свободного пояска несущего стрингера,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сф</w:t>
      </w:r>
      <w:r>
        <w:rPr>
          <w:rFonts w:ascii="Times New Roman"/>
          <w:b w:val="false"/>
          <w:i w:val="false"/>
          <w:color w:val="000000"/>
          <w:sz w:val="28"/>
        </w:rPr>
        <w:t xml:space="preserve"> — подпункт 1)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подпункт 2) пункта 835 настоящих Правил.</w:t>
      </w:r>
    </w:p>
    <w:bookmarkStart w:name="z3309" w:id="3325"/>
    <w:p>
      <w:pPr>
        <w:spacing w:after="0"/>
        <w:ind w:left="0"/>
        <w:jc w:val="both"/>
      </w:pPr>
      <w:r>
        <w:rPr>
          <w:rFonts w:ascii="Times New Roman"/>
          <w:b w:val="false"/>
          <w:i w:val="false"/>
          <w:color w:val="000000"/>
          <w:sz w:val="28"/>
        </w:rPr>
        <w:t>
      Конструкция несущих стрингеров без свободного пояска (полосового профиля) не допускается;</w:t>
      </w:r>
    </w:p>
    <w:bookmarkEnd w:id="3325"/>
    <w:bookmarkStart w:name="z3310" w:id="3326"/>
    <w:p>
      <w:pPr>
        <w:spacing w:after="0"/>
        <w:ind w:left="0"/>
        <w:jc w:val="both"/>
      </w:pPr>
      <w:r>
        <w:rPr>
          <w:rFonts w:ascii="Times New Roman"/>
          <w:b w:val="false"/>
          <w:i w:val="false"/>
          <w:color w:val="000000"/>
          <w:sz w:val="28"/>
        </w:rPr>
        <w:t xml:space="preserve">
      8) высота стенки разносящего бортового стрингера в сечении у обыкновенного шпангоута </w:t>
      </w:r>
      <w:r>
        <w:rPr>
          <w:rFonts w:ascii="Times New Roman"/>
          <w:b w:val="false"/>
          <w:i/>
          <w:color w:val="000000"/>
          <w:sz w:val="28"/>
        </w:rPr>
        <w:t>h</w:t>
      </w:r>
      <w:r>
        <w:rPr>
          <w:rFonts w:ascii="Times New Roman"/>
          <w:b w:val="false"/>
          <w:i w:val="false"/>
          <w:color w:val="000000"/>
          <w:vertAlign w:val="subscript"/>
        </w:rPr>
        <w:t>pc</w:t>
      </w:r>
      <w:r>
        <w:rPr>
          <w:rFonts w:ascii="Times New Roman"/>
          <w:b w:val="false"/>
          <w:i w:val="false"/>
          <w:color w:val="000000"/>
          <w:sz w:val="28"/>
        </w:rPr>
        <w:t>, см, не менее определяемой по формуле:</w:t>
      </w:r>
    </w:p>
    <w:bookmarkEnd w:id="3326"/>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pc</w:t>
      </w:r>
      <w:r>
        <w:rPr>
          <w:rFonts w:ascii="Times New Roman"/>
          <w:b w:val="false"/>
          <w:i w:val="false"/>
          <w:color w:val="000000"/>
          <w:sz w:val="28"/>
        </w:rPr>
        <w:t xml:space="preserve"> = 0,8</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(319)</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подпункт 2) пункта 834 настоящих Правил;</w:t>
      </w:r>
    </w:p>
    <w:bookmarkStart w:name="z3311" w:id="3327"/>
    <w:p>
      <w:pPr>
        <w:spacing w:after="0"/>
        <w:ind w:left="0"/>
        <w:jc w:val="both"/>
      </w:pPr>
      <w:r>
        <w:rPr>
          <w:rFonts w:ascii="Times New Roman"/>
          <w:b w:val="false"/>
          <w:i w:val="false"/>
          <w:color w:val="000000"/>
          <w:sz w:val="28"/>
        </w:rPr>
        <w:t>
      9) толщина стенки разносящего бортового стрингера не менее требуемой согласно подпункту 4) пункта 834 настоящих Правил, толщины стенки обыкновенного шпангоута.</w:t>
      </w:r>
    </w:p>
    <w:bookmarkEnd w:id="3327"/>
    <w:bookmarkStart w:name="z3312" w:id="3328"/>
    <w:p>
      <w:pPr>
        <w:spacing w:after="0"/>
        <w:ind w:left="0"/>
        <w:jc w:val="both"/>
      </w:pPr>
      <w:r>
        <w:rPr>
          <w:rFonts w:ascii="Times New Roman"/>
          <w:b w:val="false"/>
          <w:i w:val="false"/>
          <w:color w:val="000000"/>
          <w:sz w:val="28"/>
        </w:rPr>
        <w:t>
      836. Рамные шпангоуты при поперечной системе набора соответствуют следующим требованиям:</w:t>
      </w:r>
    </w:p>
    <w:bookmarkEnd w:id="3328"/>
    <w:bookmarkStart w:name="z3313" w:id="3329"/>
    <w:p>
      <w:pPr>
        <w:spacing w:after="0"/>
        <w:ind w:left="0"/>
        <w:jc w:val="both"/>
      </w:pPr>
      <w:r>
        <w:rPr>
          <w:rFonts w:ascii="Times New Roman"/>
          <w:b w:val="false"/>
          <w:i w:val="false"/>
          <w:color w:val="000000"/>
          <w:sz w:val="28"/>
        </w:rPr>
        <w:t>
      1) предельный момент сопротивления рамного шпангоута W</w:t>
      </w:r>
      <w:r>
        <w:rPr>
          <w:rFonts w:ascii="Times New Roman"/>
          <w:b w:val="false"/>
          <w:i w:val="false"/>
          <w:color w:val="000000"/>
          <w:vertAlign w:val="subscript"/>
        </w:rPr>
        <w:t>p</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не менее определяемого по формуле:</w:t>
      </w:r>
    </w:p>
    <w:bookmarkEnd w:id="332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p0</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                       (320)</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xml:space="preserve">p0 = </w:t>
      </w:r>
    </w:p>
    <w:p>
      <w:pPr>
        <w:spacing w:after="0"/>
        <w:ind w:left="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22733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p</w:t>
      </w:r>
      <w:r>
        <w:rPr>
          <w:rFonts w:ascii="Times New Roman"/>
          <w:b w:val="false"/>
          <w:i w:val="false"/>
          <w:color w:val="000000"/>
          <w:sz w:val="28"/>
        </w:rPr>
        <w:t xml:space="preserve"> = </w:t>
      </w:r>
    </w:p>
    <w:p>
      <w:pPr>
        <w:spacing w:after="0"/>
        <w:ind w:left="0"/>
        <w:jc w:val="both"/>
      </w:pPr>
      <w:r>
        <w:drawing>
          <wp:inline distT="0" distB="0" distL="0" distR="0">
            <wp:extent cx="977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977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sz w:val="28"/>
        </w:rPr>
        <w:t>= 2</w:t>
      </w:r>
      <w:r>
        <w:rPr>
          <w:rFonts w:ascii="Times New Roman"/>
          <w:b w:val="false"/>
          <w:i/>
          <w:color w:val="000000"/>
          <w:sz w:val="28"/>
        </w:rPr>
        <w:t>nQ</w:t>
      </w:r>
      <w:r>
        <w:rPr>
          <w:rFonts w:ascii="Times New Roman"/>
          <w:b w:val="false"/>
          <w:i w:val="false"/>
          <w:color w:val="000000"/>
          <w:vertAlign w:val="subscript"/>
        </w:rPr>
        <w:t>m</w:t>
      </w:r>
      <w:r>
        <w:rPr>
          <w:rFonts w:ascii="Times New Roman"/>
          <w:b w:val="false"/>
          <w:i w:val="false"/>
          <w:color w:val="000000"/>
          <w:sz w:val="28"/>
        </w:rPr>
        <w:t xml:space="preserve">(1 – R), при этом при выполнении упрощенного расчета согласно подпункту 4) пункта 833 настоящих Правил, принимается </w:t>
      </w:r>
      <w:r>
        <w:rPr>
          <w:rFonts w:ascii="Times New Roman"/>
          <w:b w:val="false"/>
          <w:i/>
          <w:color w:val="000000"/>
          <w:sz w:val="28"/>
        </w:rPr>
        <w:t>k</w:t>
      </w:r>
      <w:r>
        <w:rPr>
          <w:rFonts w:ascii="Times New Roman"/>
          <w:b w:val="false"/>
          <w:i w:val="false"/>
          <w:color w:val="000000"/>
          <w:vertAlign w:val="subscript"/>
        </w:rPr>
        <w:t>p</w:t>
      </w:r>
      <w:r>
        <w:rPr>
          <w:rFonts w:ascii="Times New Roman"/>
          <w:b w:val="false"/>
          <w:i w:val="false"/>
          <w:color w:val="000000"/>
          <w:sz w:val="28"/>
        </w:rPr>
        <w:t xml:space="preserve"> = 0,63; </w:t>
      </w:r>
      <w:r>
        <w:rPr>
          <w:rFonts w:ascii="Times New Roman"/>
          <w:b w:val="false"/>
          <w:i/>
          <w:color w:val="000000"/>
          <w:sz w:val="28"/>
        </w:rPr>
        <w:t>G</w:t>
      </w:r>
      <w:r>
        <w:rPr>
          <w:rFonts w:ascii="Times New Roman"/>
          <w:b w:val="false"/>
          <w:i w:val="false"/>
          <w:color w:val="000000"/>
          <w:sz w:val="28"/>
        </w:rPr>
        <w:t xml:space="preserve"> = </w:t>
      </w:r>
      <w:r>
        <w:rPr>
          <w:rFonts w:ascii="Times New Roman"/>
          <w:b w:val="false"/>
          <w:i/>
          <w:color w:val="000000"/>
          <w:sz w:val="28"/>
        </w:rPr>
        <w:t>nQ</w:t>
      </w: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подпункт 2)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m</w:t>
      </w:r>
      <w:r>
        <w:rPr>
          <w:rFonts w:ascii="Times New Roman"/>
          <w:b w:val="false"/>
          <w:i w:val="false"/>
          <w:color w:val="000000"/>
          <w:sz w:val="28"/>
        </w:rPr>
        <w:t xml:space="preserve"> — приложение 141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49403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 </w:t>
      </w:r>
    </w:p>
    <w:p>
      <w:pPr>
        <w:spacing w:after="0"/>
        <w:ind w:left="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292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r>
        <w:rPr>
          <w:rFonts w:ascii="Times New Roman"/>
          <w:b w:val="false"/>
          <w:i/>
          <w:color w:val="000000"/>
          <w:sz w:val="28"/>
        </w:rPr>
        <w:t>m</w:t>
      </w:r>
      <w:r>
        <w:rPr>
          <w:rFonts w:ascii="Times New Roman"/>
          <w:b w:val="false"/>
          <w:i w:val="false"/>
          <w:color w:val="000000"/>
          <w:sz w:val="28"/>
        </w:rPr>
        <w:t xml:space="preserve"> &gt; 2, при вьполнении упрощенного расчета согласно подпункту 4) пункта 833 настоящих Правил следует принимать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 1,2 при </w:t>
      </w:r>
      <w:r>
        <w:rPr>
          <w:rFonts w:ascii="Times New Roman"/>
          <w:b w:val="false"/>
          <w:i/>
          <w:color w:val="000000"/>
          <w:sz w:val="28"/>
        </w:rPr>
        <w:t>m</w:t>
      </w:r>
      <w:r>
        <w:rPr>
          <w:rFonts w:ascii="Times New Roman"/>
          <w:b w:val="false"/>
          <w:i w:val="false"/>
          <w:color w:val="000000"/>
          <w:sz w:val="28"/>
        </w:rPr>
        <w:t xml:space="preserve"> &gt;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при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m</w:t>
      </w:r>
      <w:r>
        <w:rPr>
          <w:rFonts w:ascii="Times New Roman"/>
          <w:b w:val="false"/>
          <w:i w:val="false"/>
          <w:color w:val="000000"/>
          <w:sz w:val="28"/>
        </w:rPr>
        <w:t xml:space="preserve"> = C</w:t>
      </w:r>
      <w:r>
        <w:rPr>
          <w:rFonts w:ascii="Times New Roman"/>
          <w:b w:val="false"/>
          <w:i w:val="false"/>
          <w:color w:val="000000"/>
          <w:vertAlign w:val="subscript"/>
        </w:rPr>
        <w:t>m1</w:t>
      </w:r>
      <w:r>
        <w:rPr>
          <w:rFonts w:ascii="Times New Roman"/>
          <w:b w:val="false"/>
          <w:i w:val="false"/>
          <w:color w:val="000000"/>
          <w:sz w:val="28"/>
        </w:rPr>
        <w:t xml:space="preserve"> + C</w:t>
      </w:r>
      <w:r>
        <w:rPr>
          <w:rFonts w:ascii="Times New Roman"/>
          <w:b w:val="false"/>
          <w:i w:val="false"/>
          <w:color w:val="000000"/>
          <w:vertAlign w:val="subscript"/>
        </w:rPr>
        <w:t>m2</w:t>
      </w:r>
      <w:r>
        <w:rPr>
          <w:rFonts w:ascii="Times New Roman"/>
          <w:b w:val="false"/>
          <w:i w:val="false"/>
          <w:color w:val="000000"/>
          <w:sz w:val="28"/>
        </w:rPr>
        <w:t>(0,5</w:t>
      </w:r>
    </w:p>
    <w:p>
      <w:pPr>
        <w:spacing w:after="0"/>
        <w:ind w:left="0"/>
        <w:jc w:val="both"/>
      </w:pPr>
      <w:r>
        <w:drawing>
          <wp:inline distT="0" distB="0" distL="0" distR="0">
            <wp:extent cx="228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228600" cy="469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 – 0,5) –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 при </w:t>
      </w:r>
      <w:r>
        <w:rPr>
          <w:rFonts w:ascii="Times New Roman"/>
          <w:b w:val="false"/>
          <w:i/>
          <w:color w:val="000000"/>
          <w:sz w:val="28"/>
        </w:rPr>
        <w:t>m</w:t>
      </w:r>
      <w:r>
        <w:rPr>
          <w:rFonts w:ascii="Times New Roman"/>
          <w:b w:val="false"/>
          <w:i w:val="false"/>
          <w:color w:val="000000"/>
          <w:sz w:val="28"/>
        </w:rPr>
        <w:t xml:space="preserve"> = 3; 4; 5;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m1</w:t>
      </w:r>
      <w:r>
        <w:rPr>
          <w:rFonts w:ascii="Times New Roman"/>
          <w:b w:val="false"/>
          <w:i w:val="false"/>
          <w:color w:val="000000"/>
          <w:sz w:val="28"/>
        </w:rPr>
        <w:t>, C</w:t>
      </w:r>
      <w:r>
        <w:rPr>
          <w:rFonts w:ascii="Times New Roman"/>
          <w:b w:val="false"/>
          <w:i w:val="false"/>
          <w:color w:val="000000"/>
          <w:vertAlign w:val="subscript"/>
        </w:rPr>
        <w:t>m2</w:t>
      </w:r>
      <w:r>
        <w:rPr>
          <w:rFonts w:ascii="Times New Roman"/>
          <w:b w:val="false"/>
          <w:i w:val="false"/>
          <w:color w:val="000000"/>
          <w:sz w:val="28"/>
        </w:rPr>
        <w:t xml:space="preserve"> — коэффициенты, определяемые по приложению 142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1 + 0,95</w:t>
      </w:r>
    </w:p>
    <w:p>
      <w:pPr>
        <w:spacing w:after="0"/>
        <w:ind w:left="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292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выполнении упрощенного расчета согласно подпункту 4) пункта 833 допускается принимать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sz w:val="28"/>
        </w:rPr>
        <w:t>ш, W</w:t>
      </w:r>
      <w:r>
        <w:rPr>
          <w:rFonts w:ascii="Times New Roman"/>
          <w:b w:val="false"/>
          <w:i w:val="false"/>
          <w:color w:val="000000"/>
          <w:vertAlign w:val="subscript"/>
        </w:rPr>
        <w:t>c0</w:t>
      </w:r>
      <w:r>
        <w:rPr>
          <w:rFonts w:ascii="Times New Roman"/>
          <w:b w:val="false"/>
          <w:i w:val="false"/>
          <w:color w:val="000000"/>
          <w:sz w:val="28"/>
        </w:rPr>
        <w:t xml:space="preserve">,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c — подпункт 1) пункта 835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val="false"/>
          <w:color w:val="000000"/>
          <w:sz w:val="28"/>
        </w:rPr>
        <w:t xml:space="preserve"> —длина пролета рамного шпангоута, равная расстоянию между опорными сечениями, 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cф</w:t>
      </w:r>
      <w:r>
        <w:rPr>
          <w:rFonts w:ascii="Times New Roman"/>
          <w:b w:val="false"/>
          <w:i w:val="false"/>
          <w:color w:val="000000"/>
          <w:sz w:val="28"/>
        </w:rPr>
        <w:t xml:space="preserve"> — подпункт 7)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0,82(1 – а</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0,6 при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2а1;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0,41(</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1) </w:t>
      </w:r>
      <w:r>
        <w:rPr>
          <w:rFonts w:ascii="Times New Roman"/>
          <w:b w:val="false"/>
          <w:i w:val="false"/>
          <w:color w:val="000000"/>
          <w:sz w:val="28"/>
          <w:u w:val="single"/>
        </w:rPr>
        <w:t>&gt;</w:t>
      </w:r>
      <w:r>
        <w:rPr>
          <w:rFonts w:ascii="Times New Roman"/>
          <w:b w:val="false"/>
          <w:i w:val="false"/>
          <w:color w:val="000000"/>
          <w:sz w:val="28"/>
        </w:rPr>
        <w:t xml:space="preserve"> 0,3</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&lt; а</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 пункт 810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подпункт 1)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подпункт 2) пункта 836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ф</w:t>
      </w:r>
      <w:r>
        <w:rPr>
          <w:rFonts w:ascii="Times New Roman"/>
          <w:b w:val="false"/>
          <w:i w:val="false"/>
          <w:color w:val="000000"/>
          <w:sz w:val="28"/>
        </w:rPr>
        <w:t xml:space="preserve"> — подпункт 3) пункта 836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рф</w:t>
      </w:r>
      <w:r>
        <w:rPr>
          <w:rFonts w:ascii="Times New Roman"/>
          <w:b w:val="false"/>
          <w:i w:val="false"/>
          <w:color w:val="000000"/>
          <w:sz w:val="28"/>
        </w:rPr>
        <w:t xml:space="preserve"> — фактическая толщина стенки рамного шпангоута,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14" w:id="3330"/>
    <w:p>
      <w:pPr>
        <w:spacing w:after="0"/>
        <w:ind w:left="0"/>
        <w:jc w:val="both"/>
      </w:pPr>
      <w:r>
        <w:rPr>
          <w:rFonts w:ascii="Times New Roman"/>
          <w:b w:val="false"/>
          <w:i w:val="false"/>
          <w:color w:val="000000"/>
          <w:sz w:val="28"/>
        </w:rPr>
        <w:t xml:space="preserve">
      2) площадь стенки рамного шпангоута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определяемой по формуле:</w:t>
      </w:r>
    </w:p>
    <w:bookmarkEnd w:id="33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501900" cy="444500"/>
                    </a:xfrm>
                    <a:prstGeom prst="rect">
                      <a:avLst/>
                    </a:prstGeom>
                  </pic:spPr>
                </pic:pic>
              </a:graphicData>
            </a:graphic>
          </wp:inline>
        </w:drawing>
      </w:r>
    </w:p>
    <w:p>
      <w:pPr>
        <w:spacing w:after="0"/>
        <w:ind w:left="0"/>
        <w:jc w:val="left"/>
      </w:pPr>
      <w:r>
        <w:rPr>
          <w:rFonts w:ascii="Times New Roman"/>
          <w:b w:val="false"/>
          <w:i w:val="false"/>
          <w:color w:val="000000"/>
          <w:sz w:val="28"/>
        </w:rPr>
        <w:t>,                 (321)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подпункт 1) пункта 835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подпункт 1) настоящего пункта;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p</w:t>
      </w:r>
      <w:r>
        <w:rPr>
          <w:rFonts w:ascii="Times New Roman"/>
          <w:b w:val="false"/>
          <w:i w:val="false"/>
          <w:color w:val="000000"/>
          <w:sz w:val="28"/>
        </w:rPr>
        <w:t xml:space="preserve"> — высота стенки рамного шпангоута,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15" w:id="3331"/>
    <w:p>
      <w:pPr>
        <w:spacing w:after="0"/>
        <w:ind w:left="0"/>
        <w:jc w:val="both"/>
      </w:pPr>
      <w:r>
        <w:rPr>
          <w:rFonts w:ascii="Times New Roman"/>
          <w:b w:val="false"/>
          <w:i w:val="false"/>
          <w:color w:val="000000"/>
          <w:sz w:val="28"/>
        </w:rPr>
        <w:t>
      3) фактическая площадь стенки рамногошпангоута 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определяется согласно подпункту 3) пункта 834 настоящих Правил;</w:t>
      </w:r>
    </w:p>
    <w:bookmarkEnd w:id="3331"/>
    <w:bookmarkStart w:name="z3316" w:id="3332"/>
    <w:p>
      <w:pPr>
        <w:spacing w:after="0"/>
        <w:ind w:left="0"/>
        <w:jc w:val="both"/>
      </w:pPr>
      <w:r>
        <w:rPr>
          <w:rFonts w:ascii="Times New Roman"/>
          <w:b w:val="false"/>
          <w:i w:val="false"/>
          <w:color w:val="000000"/>
          <w:sz w:val="28"/>
        </w:rPr>
        <w:t xml:space="preserve">
      4) толщина стенки рамного шпангоута </w:t>
      </w:r>
      <w:r>
        <w:rPr>
          <w:rFonts w:ascii="Times New Roman"/>
          <w:b w:val="false"/>
          <w:i/>
          <w:color w:val="000000"/>
          <w:sz w:val="28"/>
        </w:rPr>
        <w:t>s</w:t>
      </w:r>
      <w:r>
        <w:rPr>
          <w:rFonts w:ascii="Times New Roman"/>
          <w:b w:val="false"/>
          <w:i w:val="false"/>
          <w:color w:val="000000"/>
          <w:vertAlign w:val="subscript"/>
        </w:rPr>
        <w:t>p</w:t>
      </w:r>
      <w:r>
        <w:rPr>
          <w:rFonts w:ascii="Times New Roman"/>
          <w:b w:val="false"/>
          <w:i w:val="false"/>
          <w:color w:val="000000"/>
          <w:sz w:val="28"/>
        </w:rPr>
        <w:t>, мм, принимается не менее большей из следующих величин:</w:t>
      </w:r>
    </w:p>
    <w:bookmarkEnd w:id="333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p</w:t>
      </w:r>
      <w:r>
        <w:rPr>
          <w:rFonts w:ascii="Times New Roman"/>
          <w:b w:val="false"/>
          <w:i w:val="false"/>
          <w:color w:val="000000"/>
          <w:sz w:val="28"/>
        </w:rPr>
        <w:t xml:space="preserve"> = </w:t>
      </w:r>
    </w:p>
    <w:p>
      <w:pPr>
        <w:spacing w:after="0"/>
        <w:ind w:left="0"/>
        <w:jc w:val="both"/>
      </w:pPr>
      <w:r>
        <w:drawing>
          <wp:inline distT="0" distB="0" distL="0" distR="0">
            <wp:extent cx="31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317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ра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(322)</w:t>
      </w:r>
      <w:r>
        <w:br/>
      </w:r>
      <w:r>
        <w:rPr>
          <w:rFonts w:ascii="Times New Roman"/>
          <w:b w:val="false"/>
          <w:i w:val="false"/>
          <w:color w:val="000000"/>
          <w:sz w:val="28"/>
        </w:rPr>
        <w:t>
</w:t>
      </w:r>
      <w:r>
        <w:br/>
      </w:r>
    </w:p>
    <w:p>
      <w:pPr>
        <w:spacing w:after="0"/>
        <w:ind w:left="0"/>
        <w:jc w:val="both"/>
      </w:pPr>
      <w:r>
        <w:drawing>
          <wp:inline distT="0" distB="0" distL="0" distR="0">
            <wp:extent cx="2298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298700" cy="698500"/>
                    </a:xfrm>
                    <a:prstGeom prst="rect">
                      <a:avLst/>
                    </a:prstGeom>
                  </pic:spPr>
                </pic:pic>
              </a:graphicData>
            </a:graphic>
          </wp:inline>
        </w:drawing>
      </w:r>
    </w:p>
    <w:p>
      <w:pPr>
        <w:spacing w:after="0"/>
        <w:ind w:left="0"/>
        <w:jc w:val="left"/>
      </w:pPr>
      <w:r>
        <w:rPr>
          <w:rFonts w:ascii="Times New Roman"/>
          <w:b w:val="false"/>
          <w:i w:val="false"/>
          <w:color w:val="000000"/>
          <w:sz w:val="28"/>
        </w:rPr>
        <w:t>,                     (323)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w:t>
      </w:r>
    </w:p>
    <w:p>
      <w:pPr>
        <w:spacing w:after="0"/>
        <w:ind w:left="0"/>
        <w:jc w:val="both"/>
      </w:pPr>
      <w:r>
        <w:drawing>
          <wp:inline distT="0" distB="0" distL="0" distR="0">
            <wp:extent cx="1054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10541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не менее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и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p — подпункт 1) пункта 836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рф</w:t>
      </w:r>
      <w:r>
        <w:rPr>
          <w:rFonts w:ascii="Times New Roman"/>
          <w:b w:val="false"/>
          <w:i w:val="false"/>
          <w:color w:val="000000"/>
          <w:sz w:val="28"/>
        </w:rPr>
        <w:t xml:space="preserve"> — фактический предельный момент сопротивления рамного шпангоута, определяемый согласно подпункту 6) пункта 833 настоящих Правил, см</w:t>
      </w:r>
      <w:r>
        <w:rPr>
          <w:rFonts w:ascii="Times New Roman"/>
          <w:b w:val="false"/>
          <w:i w:val="false"/>
          <w:color w:val="000000"/>
          <w:vertAlign w:val="superscript"/>
        </w:rPr>
        <w:t>3</w:t>
      </w:r>
      <w:r>
        <w:rPr>
          <w:rFonts w:ascii="Times New Roman"/>
          <w:b w:val="false"/>
          <w:i w:val="false"/>
          <w:color w:val="000000"/>
          <w:sz w:val="28"/>
        </w:rPr>
        <w:t xml:space="preserve"> (в первом приближении или при выполнении упрощенного расчета согласно подпункту 4) пункта 833 принимается </w:t>
      </w:r>
      <w:r>
        <w:rPr>
          <w:rFonts w:ascii="Times New Roman"/>
          <w:b w:val="false"/>
          <w:i/>
          <w:color w:val="000000"/>
          <w:sz w:val="28"/>
        </w:rPr>
        <w:t>W</w:t>
      </w:r>
      <w:r>
        <w:rPr>
          <w:rFonts w:ascii="Times New Roman"/>
          <w:b w:val="false"/>
          <w:i w:val="false"/>
          <w:color w:val="000000"/>
          <w:vertAlign w:val="subscript"/>
        </w:rPr>
        <w:t>рф</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короткая и длинная стороны панелей, на которые стенка рамного шпангоута разбивается подкрепляющими ее ребрами жесткости,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17" w:id="3333"/>
    <w:p>
      <w:pPr>
        <w:spacing w:after="0"/>
        <w:ind w:left="0"/>
        <w:jc w:val="both"/>
      </w:pPr>
      <w:r>
        <w:rPr>
          <w:rFonts w:ascii="Times New Roman"/>
          <w:b w:val="false"/>
          <w:i w:val="false"/>
          <w:color w:val="000000"/>
          <w:sz w:val="28"/>
        </w:rPr>
        <w:t>
      5) толщина свободного пояска рамного шпангоута не менее фактической толщины его стенки;</w:t>
      </w:r>
    </w:p>
    <w:bookmarkEnd w:id="3333"/>
    <w:bookmarkStart w:name="z3318" w:id="3334"/>
    <w:p>
      <w:pPr>
        <w:spacing w:after="0"/>
        <w:ind w:left="0"/>
        <w:jc w:val="both"/>
      </w:pPr>
      <w:r>
        <w:rPr>
          <w:rFonts w:ascii="Times New Roman"/>
          <w:b w:val="false"/>
          <w:i w:val="false"/>
          <w:color w:val="000000"/>
          <w:sz w:val="28"/>
        </w:rPr>
        <w:t>
      6) ширина свободного пояска рамного шпангоута с</w:t>
      </w:r>
      <w:r>
        <w:rPr>
          <w:rFonts w:ascii="Times New Roman"/>
          <w:b w:val="false"/>
          <w:i w:val="false"/>
          <w:color w:val="000000"/>
          <w:vertAlign w:val="subscript"/>
        </w:rPr>
        <w:t>р</w:t>
      </w:r>
      <w:r>
        <w:rPr>
          <w:rFonts w:ascii="Times New Roman"/>
          <w:b w:val="false"/>
          <w:i w:val="false"/>
          <w:color w:val="000000"/>
          <w:sz w:val="28"/>
        </w:rPr>
        <w:t>, мм, не менее большей из следующих величин:</w:t>
      </w:r>
    </w:p>
    <w:bookmarkEnd w:id="33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197100" cy="520700"/>
                    </a:xfrm>
                    <a:prstGeom prst="rect">
                      <a:avLst/>
                    </a:prstGeom>
                  </pic:spPr>
                </pic:pic>
              </a:graphicData>
            </a:graphic>
          </wp:inline>
        </w:drawing>
      </w:r>
    </w:p>
    <w:p>
      <w:pPr>
        <w:spacing w:after="0"/>
        <w:ind w:left="0"/>
        <w:jc w:val="left"/>
      </w:pPr>
      <w:r>
        <w:rPr>
          <w:rFonts w:ascii="Times New Roman"/>
          <w:b w:val="false"/>
          <w:i w:val="false"/>
          <w:color w:val="000000"/>
          <w:sz w:val="28"/>
        </w:rPr>
        <w:t>,               (324)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с</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sz w:val="28"/>
        </w:rPr>
        <w:t xml:space="preserve"> ,                    (325)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подпункт 1) пункта 836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pф</w:t>
      </w:r>
      <w:r>
        <w:rPr>
          <w:rFonts w:ascii="Times New Roman"/>
          <w:b w:val="false"/>
          <w:i w:val="false"/>
          <w:color w:val="000000"/>
          <w:sz w:val="28"/>
        </w:rPr>
        <w:t xml:space="preserve"> — подпункт 4) пункта 836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p — толщина свободного пояска рамного шпангоута,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рф</w:t>
      </w:r>
      <w:r>
        <w:rPr>
          <w:rFonts w:ascii="Times New Roman"/>
          <w:b w:val="false"/>
          <w:i w:val="false"/>
          <w:color w:val="000000"/>
          <w:sz w:val="28"/>
        </w:rPr>
        <w:t xml:space="preserve"> — подпункт 1) пункта 836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 xml:space="preserve"> — подпункт 2) пункта 836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0,0039,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1,4,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 = 5 — если стенка рамного шпангоута подкреплена ребрами жесткости, установленными в направлении, близком к перпендикулярному к наружной обшивке;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0,0182,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2,6,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 = 10 — если стенка рамного шпангоута подкреплена ребрами жесткости, установленными в направлении, близком к параллельному наружной обшивке, или если подкрепление отсутствует.</w:t>
      </w:r>
    </w:p>
    <w:bookmarkStart w:name="z3319" w:id="3335"/>
    <w:p>
      <w:pPr>
        <w:spacing w:after="0"/>
        <w:ind w:left="0"/>
        <w:jc w:val="both"/>
      </w:pPr>
      <w:r>
        <w:rPr>
          <w:rFonts w:ascii="Times New Roman"/>
          <w:b w:val="false"/>
          <w:i w:val="false"/>
          <w:color w:val="000000"/>
          <w:sz w:val="28"/>
        </w:rPr>
        <w:t>
      Конструкция рамных шпангоутов без свободного пояска (полосового профиля) не допускается.</w:t>
      </w:r>
    </w:p>
    <w:bookmarkEnd w:id="3335"/>
    <w:bookmarkStart w:name="z3320" w:id="3336"/>
    <w:p>
      <w:pPr>
        <w:spacing w:after="0"/>
        <w:ind w:left="0"/>
        <w:jc w:val="both"/>
      </w:pPr>
      <w:r>
        <w:rPr>
          <w:rFonts w:ascii="Times New Roman"/>
          <w:b w:val="false"/>
          <w:i w:val="false"/>
          <w:color w:val="000000"/>
          <w:sz w:val="28"/>
        </w:rPr>
        <w:t>
      837. Бортовые и днищевые продольные балки при продольной системе набора соответствуют следующим требованиям:</w:t>
      </w:r>
    </w:p>
    <w:bookmarkEnd w:id="3336"/>
    <w:bookmarkStart w:name="z3321" w:id="3337"/>
    <w:p>
      <w:pPr>
        <w:spacing w:after="0"/>
        <w:ind w:left="0"/>
        <w:jc w:val="both"/>
      </w:pPr>
      <w:r>
        <w:rPr>
          <w:rFonts w:ascii="Times New Roman"/>
          <w:b w:val="false"/>
          <w:i w:val="false"/>
          <w:color w:val="000000"/>
          <w:sz w:val="28"/>
        </w:rPr>
        <w:t>
      1) предельный момент сопротивления продольной балки W</w:t>
      </w:r>
      <w:r>
        <w:rPr>
          <w:rFonts w:ascii="Times New Roman"/>
          <w:b w:val="false"/>
          <w:i w:val="false"/>
          <w:color w:val="000000"/>
          <w:vertAlign w:val="subscript"/>
        </w:rPr>
        <w:t>б</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не менее определяемого по формуле:</w:t>
      </w:r>
    </w:p>
    <w:bookmarkEnd w:id="333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б0</w:t>
      </w:r>
      <w:r>
        <w:rPr>
          <w:rFonts w:ascii="Times New Roman"/>
          <w:b w:val="false"/>
          <w:i/>
          <w:color w:val="000000"/>
          <w:sz w:val="28"/>
        </w:rPr>
        <w:t>k</w:t>
      </w:r>
      <w:r>
        <w:rPr>
          <w:rFonts w:ascii="Times New Roman"/>
          <w:b w:val="false"/>
          <w:i w:val="false"/>
          <w:color w:val="000000"/>
          <w:vertAlign w:val="subscript"/>
        </w:rPr>
        <w:t>б</w:t>
      </w:r>
      <w:r>
        <w:rPr>
          <w:rFonts w:ascii="Times New Roman"/>
          <w:b w:val="false"/>
          <w:i w:val="false"/>
          <w:color w:val="000000"/>
          <w:sz w:val="28"/>
        </w:rPr>
        <w:t xml:space="preserve"> ,                 (326)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 xml:space="preserve"> = </w:t>
      </w:r>
    </w:p>
    <w:p>
      <w:pPr>
        <w:spacing w:after="0"/>
        <w:ind w:left="0"/>
        <w:jc w:val="both"/>
      </w:pPr>
      <w:r>
        <w:drawing>
          <wp:inline distT="0" distB="0" distL="0" distR="0">
            <wp:extent cx="368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368300" cy="520700"/>
                    </a:xfrm>
                    <a:prstGeom prst="rect">
                      <a:avLst/>
                    </a:prstGeom>
                  </pic:spPr>
                </pic:pic>
              </a:graphicData>
            </a:graphic>
          </wp:inline>
        </w:drawing>
      </w:r>
    </w:p>
    <w:p>
      <w:pPr>
        <w:spacing w:after="0"/>
        <w:ind w:left="0"/>
        <w:jc w:val="left"/>
      </w:pPr>
      <w:r>
        <w:rPr>
          <w:rFonts w:ascii="Times New Roman"/>
          <w:b w:val="false"/>
          <w:i w:val="false"/>
          <w:color w:val="000000"/>
          <w:sz w:val="28"/>
        </w:rPr>
        <w:t>pb</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0,5</w:t>
      </w:r>
      <w:r>
        <w:rPr>
          <w:rFonts w:ascii="Times New Roman"/>
          <w:b w:val="false"/>
          <w:i/>
          <w:color w:val="000000"/>
          <w:sz w:val="28"/>
        </w:rPr>
        <w:t>a</w:t>
      </w:r>
      <w:r>
        <w:rPr>
          <w:rFonts w:ascii="Times New Roman"/>
          <w:b w:val="false"/>
          <w:i w:val="false"/>
          <w:color w:val="000000"/>
          <w:sz w:val="28"/>
        </w:rPr>
        <w:t>)c</w:t>
      </w:r>
      <w:r>
        <w:rPr>
          <w:rFonts w:ascii="Times New Roman"/>
          <w:b w:val="false"/>
          <w:i w:val="false"/>
          <w:color w:val="000000"/>
          <w:vertAlign w:val="superscript"/>
        </w:rPr>
        <w:t>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w:t>
      </w:r>
      <w:r>
        <w:rPr>
          <w:rFonts w:ascii="Times New Roman"/>
          <w:b w:val="false"/>
          <w:i w:val="false"/>
          <w:color w:val="000000"/>
          <w:sz w:val="28"/>
        </w:rPr>
        <w:t xml:space="preserve"> = </w:t>
      </w:r>
    </w:p>
    <w:p>
      <w:pPr>
        <w:spacing w:after="0"/>
        <w:ind w:left="0"/>
        <w:jc w:val="both"/>
      </w:pPr>
      <w:r>
        <w:drawing>
          <wp:inline distT="0" distB="0" distL="0" distR="0">
            <wp:extent cx="1028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1028700" cy="533400"/>
                    </a:xfrm>
                    <a:prstGeom prst="rect">
                      <a:avLst/>
                    </a:prstGeom>
                  </pic:spPr>
                </pic:pic>
              </a:graphicData>
            </a:graphic>
          </wp:inline>
        </w:drawing>
      </w:r>
    </w:p>
    <w:p>
      <w:pPr>
        <w:spacing w:after="0"/>
        <w:ind w:left="0"/>
        <w:jc w:val="left"/>
      </w:pPr>
      <w:r>
        <w:rPr>
          <w:rFonts w:ascii="Times New Roman"/>
          <w:b w:val="false"/>
          <w:i w:val="false"/>
          <w:color w:val="000000"/>
          <w:sz w:val="28"/>
        </w:rPr>
        <w:t>, при вьшолнении упрощенного расчета согласно</w:t>
      </w:r>
      <w:r>
        <w:br/>
      </w:r>
      <w:r>
        <w:rPr>
          <w:rFonts w:ascii="Times New Roman"/>
          <w:b w:val="false"/>
          <w:i w:val="false"/>
          <w:color w:val="000000"/>
          <w:sz w:val="28"/>
        </w:rPr>
        <w:t>
</w:t>
      </w:r>
    </w:p>
    <w:bookmarkStart w:name="z3322" w:id="3338"/>
    <w:p>
      <w:pPr>
        <w:spacing w:after="0"/>
        <w:ind w:left="0"/>
        <w:jc w:val="both"/>
      </w:pPr>
      <w:r>
        <w:rPr>
          <w:rFonts w:ascii="Times New Roman"/>
          <w:b w:val="false"/>
          <w:i w:val="false"/>
          <w:color w:val="000000"/>
          <w:sz w:val="28"/>
        </w:rPr>
        <w:t>
      подпункту 4) пункта 833 k</w:t>
      </w:r>
      <w:r>
        <w:rPr>
          <w:rFonts w:ascii="Times New Roman"/>
          <w:b w:val="false"/>
          <w:i w:val="false"/>
          <w:color w:val="000000"/>
          <w:vertAlign w:val="subscript"/>
        </w:rPr>
        <w:t>б</w:t>
      </w:r>
      <w:r>
        <w:rPr>
          <w:rFonts w:ascii="Times New Roman"/>
          <w:b w:val="false"/>
          <w:i w:val="false"/>
          <w:color w:val="000000"/>
          <w:sz w:val="28"/>
        </w:rPr>
        <w:t xml:space="preserve"> = 0,63; k</w:t>
      </w:r>
      <w:r>
        <w:rPr>
          <w:rFonts w:ascii="Times New Roman"/>
          <w:b w:val="false"/>
          <w:i w:val="false"/>
          <w:color w:val="000000"/>
          <w:vertAlign w:val="subscript"/>
        </w:rPr>
        <w:t>пр</w:t>
      </w:r>
      <w:r>
        <w:rPr>
          <w:rFonts w:ascii="Times New Roman"/>
          <w:b w:val="false"/>
          <w:i w:val="false"/>
          <w:color w:val="000000"/>
          <w:sz w:val="28"/>
        </w:rPr>
        <w:t xml:space="preserve"> — подпункт 1) пункта 834 настоящих Правил;</w:t>
      </w:r>
    </w:p>
    <w:bookmarkEnd w:id="3338"/>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1 — для днищевых продольных балок и для бортовых продольных балок при отсутствии дополнительных шпангоутов;</w:t>
      </w:r>
    </w:p>
    <w:p>
      <w:pPr>
        <w:spacing w:after="0"/>
        <w:ind w:left="0"/>
        <w:jc w:val="both"/>
      </w:pPr>
      <w:r>
        <w:rPr>
          <w:rFonts w:ascii="Times New Roman"/>
          <w:b w:val="false"/>
          <w:i w:val="false"/>
          <w:color w:val="000000"/>
          <w:sz w:val="28"/>
        </w:rPr>
        <w:t xml:space="preserve">
      с = </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571500" cy="635000"/>
                    </a:xfrm>
                    <a:prstGeom prst="rect">
                      <a:avLst/>
                    </a:prstGeom>
                  </pic:spPr>
                </pic:pic>
              </a:graphicData>
            </a:graphic>
          </wp:inline>
        </w:drawing>
      </w:r>
    </w:p>
    <w:p>
      <w:pPr>
        <w:spacing w:after="0"/>
        <w:ind w:left="0"/>
        <w:jc w:val="left"/>
      </w:pPr>
      <w:r>
        <w:rPr>
          <w:rFonts w:ascii="Times New Roman"/>
          <w:b w:val="false"/>
          <w:i w:val="false"/>
          <w:color w:val="000000"/>
          <w:sz w:val="28"/>
        </w:rPr>
        <w:t>— для бортовых продольных балок при наличии дополнительных шпангоутов;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0</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b(1 – 0,25</w:t>
      </w:r>
    </w:p>
    <w:p>
      <w:pPr>
        <w:spacing w:after="0"/>
        <w:ind w:left="0"/>
        <w:jc w:val="both"/>
      </w:pPr>
      <w:r>
        <w:drawing>
          <wp:inline distT="0" distB="0" distL="0" distR="0">
            <wp:extent cx="12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127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p>
    <w:p>
      <w:pPr>
        <w:spacing w:after="0"/>
        <w:ind w:left="0"/>
        <w:jc w:val="both"/>
      </w:pPr>
      <w:r>
        <w:drawing>
          <wp:inline distT="0" distB="0" distL="0" distR="0">
            <wp:extent cx="12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127000" cy="292100"/>
                    </a:xfrm>
                    <a:prstGeom prst="rect">
                      <a:avLst/>
                    </a:prstGeom>
                  </pic:spPr>
                </pic:pic>
              </a:graphicData>
            </a:graphic>
          </wp:inline>
        </w:drawing>
      </w:r>
    </w:p>
    <w:p>
      <w:pPr>
        <w:spacing w:after="0"/>
        <w:ind w:left="0"/>
        <w:jc w:val="left"/>
      </w:pPr>
      <w:r>
        <w:rPr>
          <w:rFonts w:ascii="Times New Roman"/>
          <w:b w:val="false"/>
          <w:i w:val="false"/>
          <w:color w:val="000000"/>
          <w:sz w:val="28"/>
        </w:rPr>
        <w:t>&lt;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а при b </w:t>
      </w:r>
      <w:r>
        <w:rPr>
          <w:rFonts w:ascii="Times New Roman"/>
          <w:b w:val="false"/>
          <w:i w:val="false"/>
          <w:color w:val="000000"/>
          <w:sz w:val="28"/>
          <w:u w:val="single"/>
        </w:rPr>
        <w:t>&gt;</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w:t>
      </w:r>
    </w:p>
    <w:p>
      <w:pPr>
        <w:spacing w:after="0"/>
        <w:ind w:left="0"/>
        <w:jc w:val="both"/>
      </w:pPr>
      <w:r>
        <w:drawing>
          <wp:inline distT="0" distB="0" distL="0" distR="0">
            <wp:extent cx="12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127000" cy="2921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r>
        <w:br/>
      </w:r>
    </w:p>
    <w:p>
      <w:pPr>
        <w:spacing w:after="0"/>
        <w:ind w:left="0"/>
        <w:jc w:val="both"/>
      </w:pPr>
      <w:r>
        <w:drawing>
          <wp:inline distT="0" distB="0" distL="0" distR="0">
            <wp:extent cx="12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127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152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1 – </w:t>
      </w:r>
    </w:p>
    <w:p>
      <w:pPr>
        <w:spacing w:after="0"/>
        <w:ind w:left="0"/>
        <w:jc w:val="both"/>
      </w:pPr>
      <w:r>
        <w:drawing>
          <wp:inline distT="0" distB="0" distL="0" distR="0">
            <wp:extent cx="22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286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1 + </w:t>
      </w:r>
      <w:r>
        <w:rPr>
          <w:rFonts w:ascii="Times New Roman"/>
          <w:b w:val="false"/>
          <w:i/>
          <w:color w:val="000000"/>
          <w:sz w:val="28"/>
        </w:rPr>
        <w:t>k</w:t>
      </w:r>
      <w:r>
        <w:rPr>
          <w:rFonts w:ascii="Times New Roman"/>
          <w:b w:val="false"/>
          <w:i w:val="false"/>
          <w:color w:val="000000"/>
          <w:vertAlign w:val="subscript"/>
        </w:rPr>
        <w:t>и</w:t>
      </w:r>
      <w:r>
        <w:rPr>
          <w:rFonts w:ascii="Times New Roman"/>
          <w:b w:val="false"/>
          <w:i w:val="false"/>
          <w:color w:val="000000"/>
          <w:sz w:val="28"/>
        </w:rPr>
        <w:t xml:space="preserve"> </w:t>
      </w:r>
    </w:p>
    <w:p>
      <w:pPr>
        <w:spacing w:after="0"/>
        <w:ind w:left="0"/>
        <w:jc w:val="both"/>
      </w:pPr>
      <w:r>
        <w:drawing>
          <wp:inline distT="0" distB="0" distL="0" distR="0">
            <wp:extent cx="29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92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выполнении упрощенного расчета согласно подпункту 4) пункта 833 допускается принимать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продольными балками,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рамными шпангоутами или флорами,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w:t>
      </w:r>
    </w:p>
    <w:p>
      <w:pPr>
        <w:spacing w:after="0"/>
        <w:ind w:left="0"/>
        <w:jc w:val="both"/>
      </w:pPr>
      <w:r>
        <w:drawing>
          <wp:inline distT="0" distB="0" distL="0" distR="0">
            <wp:extent cx="279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794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б</w:t>
      </w:r>
      <w:r>
        <w:rPr>
          <w:rFonts w:ascii="Times New Roman"/>
          <w:b w:val="false"/>
          <w:i w:val="false"/>
          <w:color w:val="000000"/>
          <w:sz w:val="28"/>
        </w:rPr>
        <w:t xml:space="preserve"> — подпункт 2) пункта 837 настоящих Правил;</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ф</w:t>
      </w:r>
      <w:r>
        <w:rPr>
          <w:rFonts w:ascii="Times New Roman"/>
          <w:b w:val="false"/>
          <w:i w:val="false"/>
          <w:color w:val="000000"/>
          <w:sz w:val="28"/>
        </w:rPr>
        <w:t xml:space="preserve"> — подпункт 3) пункта 837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бф</w:t>
      </w:r>
      <w:r>
        <w:rPr>
          <w:rFonts w:ascii="Times New Roman"/>
          <w:b w:val="false"/>
          <w:i w:val="false"/>
          <w:color w:val="000000"/>
          <w:sz w:val="28"/>
        </w:rPr>
        <w:t xml:space="preserve"> — фактическая толщина стенки продольной балки,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171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и</w:t>
      </w:r>
      <w:r>
        <w:rPr>
          <w:rFonts w:ascii="Times New Roman"/>
          <w:b w:val="false"/>
          <w:i w:val="false"/>
          <w:color w:val="000000"/>
          <w:sz w:val="28"/>
        </w:rPr>
        <w:t xml:space="preserve"> — подпункт 3) пункта 834 настоящих Правил;</w:t>
      </w:r>
    </w:p>
    <w:bookmarkStart w:name="z3323" w:id="3339"/>
    <w:p>
      <w:pPr>
        <w:spacing w:after="0"/>
        <w:ind w:left="0"/>
        <w:jc w:val="both"/>
      </w:pPr>
      <w:r>
        <w:rPr>
          <w:rFonts w:ascii="Times New Roman"/>
          <w:b w:val="false"/>
          <w:i w:val="false"/>
          <w:color w:val="000000"/>
          <w:sz w:val="28"/>
        </w:rPr>
        <w:t>
      2) площадь стенки продольной балки А</w:t>
      </w:r>
      <w:r>
        <w:rPr>
          <w:rFonts w:ascii="Times New Roman"/>
          <w:b w:val="false"/>
          <w:i w:val="false"/>
          <w:color w:val="000000"/>
          <w:vertAlign w:val="subscript"/>
        </w:rPr>
        <w:t>б</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определяемой по формуле:</w:t>
      </w:r>
    </w:p>
    <w:bookmarkEnd w:id="33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1917700" cy="495300"/>
                    </a:xfrm>
                    <a:prstGeom prst="rect">
                      <a:avLst/>
                    </a:prstGeom>
                  </pic:spPr>
                </pic:pic>
              </a:graphicData>
            </a:graphic>
          </wp:inline>
        </w:drawing>
      </w:r>
    </w:p>
    <w:p>
      <w:pPr>
        <w:spacing w:after="0"/>
        <w:ind w:left="0"/>
        <w:jc w:val="left"/>
      </w:pPr>
      <w:r>
        <w:rPr>
          <w:rFonts w:ascii="Times New Roman"/>
          <w:b w:val="false"/>
          <w:i w:val="false"/>
          <w:color w:val="000000"/>
          <w:sz w:val="28"/>
        </w:rPr>
        <w:t>,                        (327)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 подпункт 1) пункта 834 настоящих Правил;</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с — подпункт 1) настоящего пункта;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принимаемый большим из следующих величин: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800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800100" cy="622300"/>
                    </a:xfrm>
                    <a:prstGeom prst="rect">
                      <a:avLst/>
                    </a:prstGeom>
                  </pic:spPr>
                </pic:pic>
              </a:graphicData>
            </a:graphic>
          </wp:inline>
        </w:drawing>
      </w:r>
    </w:p>
    <w:p>
      <w:pPr>
        <w:spacing w:after="0"/>
        <w:ind w:left="0"/>
        <w:jc w:val="left"/>
      </w:pPr>
      <w:r>
        <w:rPr>
          <w:rFonts w:ascii="Times New Roman"/>
          <w:b w:val="false"/>
          <w:i w:val="false"/>
          <w:color w:val="000000"/>
          <w:sz w:val="28"/>
        </w:rPr>
        <w:t>, либо k</w:t>
      </w:r>
      <w:r>
        <w:rPr>
          <w:rFonts w:ascii="Times New Roman"/>
          <w:b w:val="false"/>
          <w:i w:val="false"/>
          <w:color w:val="000000"/>
          <w:vertAlign w:val="subscript"/>
        </w:rPr>
        <w:t>1</w:t>
      </w:r>
      <w:r>
        <w:rPr>
          <w:rFonts w:ascii="Times New Roman"/>
          <w:b w:val="false"/>
          <w:i w:val="false"/>
          <w:color w:val="000000"/>
          <w:sz w:val="28"/>
        </w:rPr>
        <w:t xml:space="preserve"> = 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пункт 832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б</w:t>
      </w:r>
      <w:r>
        <w:rPr>
          <w:rFonts w:ascii="Times New Roman"/>
          <w:b w:val="false"/>
          <w:i w:val="false"/>
          <w:color w:val="000000"/>
          <w:sz w:val="28"/>
        </w:rPr>
        <w:t xml:space="preserve"> — высота стенки продольной балки,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24" w:id="3340"/>
    <w:p>
      <w:pPr>
        <w:spacing w:after="0"/>
        <w:ind w:left="0"/>
        <w:jc w:val="both"/>
      </w:pPr>
      <w:r>
        <w:rPr>
          <w:rFonts w:ascii="Times New Roman"/>
          <w:b w:val="false"/>
          <w:i w:val="false"/>
          <w:color w:val="000000"/>
          <w:sz w:val="28"/>
        </w:rPr>
        <w:t>
      3) фактическая площадь стенки продольной балки 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определяется согласно подпункту 3) пункта 834 настоящих Правил;</w:t>
      </w:r>
    </w:p>
    <w:bookmarkEnd w:id="3340"/>
    <w:bookmarkStart w:name="z3325" w:id="3341"/>
    <w:p>
      <w:pPr>
        <w:spacing w:after="0"/>
        <w:ind w:left="0"/>
        <w:jc w:val="both"/>
      </w:pPr>
      <w:r>
        <w:rPr>
          <w:rFonts w:ascii="Times New Roman"/>
          <w:b w:val="false"/>
          <w:i w:val="false"/>
          <w:color w:val="000000"/>
          <w:sz w:val="28"/>
        </w:rPr>
        <w:t>
      4) толщина стенки продольной балки s</w:t>
      </w:r>
      <w:r>
        <w:rPr>
          <w:rFonts w:ascii="Times New Roman"/>
          <w:b w:val="false"/>
          <w:i w:val="false"/>
          <w:color w:val="000000"/>
          <w:vertAlign w:val="subscript"/>
        </w:rPr>
        <w:t>б</w:t>
      </w:r>
      <w:r>
        <w:rPr>
          <w:rFonts w:ascii="Times New Roman"/>
          <w:b w:val="false"/>
          <w:i w:val="false"/>
          <w:color w:val="000000"/>
          <w:sz w:val="28"/>
        </w:rPr>
        <w:t>, мм, принимается не менее большей изследующих величин:</w:t>
      </w:r>
    </w:p>
    <w:bookmarkEnd w:id="334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б</w:t>
      </w:r>
      <w:r>
        <w:rPr>
          <w:rFonts w:ascii="Times New Roman"/>
          <w:b w:val="false"/>
          <w:i w:val="false"/>
          <w:color w:val="000000"/>
          <w:sz w:val="28"/>
        </w:rPr>
        <w:t xml:space="preserve"> = </w:t>
      </w:r>
    </w:p>
    <w:p>
      <w:pPr>
        <w:spacing w:after="0"/>
        <w:ind w:left="0"/>
        <w:jc w:val="both"/>
      </w:pPr>
      <w:r>
        <w:drawing>
          <wp:inline distT="0" distB="0" distL="0" distR="0">
            <wp:extent cx="31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317500" cy="508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color w:val="000000"/>
          <w:sz w:val="28"/>
        </w:rPr>
        <w:t>pb</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либо                  (328)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б</w:t>
      </w:r>
      <w:r>
        <w:rPr>
          <w:rFonts w:ascii="Times New Roman"/>
          <w:b w:val="false"/>
          <w:i w:val="false"/>
          <w:color w:val="000000"/>
          <w:sz w:val="28"/>
        </w:rPr>
        <w:t xml:space="preserve"> = 0,013h</w:t>
      </w:r>
      <w:r>
        <w:rPr>
          <w:rFonts w:ascii="Times New Roman"/>
          <w:b w:val="false"/>
          <w:i w:val="false"/>
          <w:color w:val="000000"/>
          <w:vertAlign w:val="subscript"/>
        </w:rPr>
        <w:t>б</w:t>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685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(329)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s</w:t>
      </w:r>
      <w:r>
        <w:rPr>
          <w:rFonts w:ascii="Times New Roman"/>
          <w:b w:val="false"/>
          <w:i w:val="false"/>
          <w:color w:val="000000"/>
          <w:sz w:val="28"/>
        </w:rPr>
        <w:t xml:space="preserve"> = 1,4</w:t>
      </w:r>
    </w:p>
    <w:p>
      <w:pPr>
        <w:spacing w:after="0"/>
        <w:ind w:left="0"/>
        <w:jc w:val="both"/>
      </w:pPr>
      <w:r>
        <w:drawing>
          <wp:inline distT="0" distB="0" distL="0" distR="0">
            <wp:extent cx="355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355600" cy="508000"/>
                    </a:xfrm>
                    <a:prstGeom prst="rect">
                      <a:avLst/>
                    </a:prstGeom>
                  </pic:spPr>
                </pic:pic>
              </a:graphicData>
            </a:graphic>
          </wp:inline>
        </w:drawing>
      </w:r>
    </w:p>
    <w:p>
      <w:pPr>
        <w:spacing w:after="0"/>
        <w:ind w:left="0"/>
        <w:jc w:val="left"/>
      </w:pPr>
      <w:r>
        <w:rPr>
          <w:rFonts w:ascii="Times New Roman"/>
          <w:b w:val="false"/>
          <w:i w:val="false"/>
          <w:color w:val="000000"/>
          <w:sz w:val="28"/>
        </w:rPr>
        <w:t>, но не менее k</w:t>
      </w:r>
      <w:r>
        <w:rPr>
          <w:rFonts w:ascii="Times New Roman"/>
          <w:b w:val="false"/>
          <w:i w:val="false"/>
          <w:color w:val="000000"/>
          <w:vertAlign w:val="subscript"/>
        </w:rPr>
        <w:t>s</w:t>
      </w:r>
      <w:r>
        <w:rPr>
          <w:rFonts w:ascii="Times New Roman"/>
          <w:b w:val="false"/>
          <w:i w:val="false"/>
          <w:color w:val="000000"/>
          <w:sz w:val="28"/>
        </w:rPr>
        <w:t xml:space="preserve">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w:t>
      </w:r>
      <w:r>
        <w:rPr>
          <w:rFonts w:ascii="Times New Roman"/>
          <w:b w:val="false"/>
          <w:i w:val="false"/>
          <w:color w:val="000000"/>
          <w:sz w:val="28"/>
        </w:rPr>
        <w:t xml:space="preserve"> — подпункт 1) настоящего пункта;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бф</w:t>
      </w:r>
      <w:r>
        <w:rPr>
          <w:rFonts w:ascii="Times New Roman"/>
          <w:b w:val="false"/>
          <w:i w:val="false"/>
          <w:color w:val="000000"/>
          <w:sz w:val="28"/>
        </w:rPr>
        <w:t xml:space="preserve"> — фактический предельный момент сопротивления продольной балки, определяемый согласно подпункту 6) пункта 833 настоящих Правил, см</w:t>
      </w:r>
      <w:r>
        <w:rPr>
          <w:rFonts w:ascii="Times New Roman"/>
          <w:b w:val="false"/>
          <w:i w:val="false"/>
          <w:color w:val="000000"/>
          <w:vertAlign w:val="superscript"/>
        </w:rPr>
        <w:t>3</w:t>
      </w:r>
      <w:r>
        <w:rPr>
          <w:rFonts w:ascii="Times New Roman"/>
          <w:b w:val="false"/>
          <w:i w:val="false"/>
          <w:color w:val="000000"/>
          <w:sz w:val="28"/>
        </w:rPr>
        <w:t xml:space="preserve"> (в первом приближении или при выполнении упрощенного расчета согласно подпункту 4) пункта 833 принимается W</w:t>
      </w:r>
      <w:r>
        <w:rPr>
          <w:rFonts w:ascii="Times New Roman"/>
          <w:b w:val="false"/>
          <w:i w:val="false"/>
          <w:color w:val="000000"/>
          <w:vertAlign w:val="subscript"/>
        </w:rPr>
        <w:t>бф</w:t>
      </w:r>
      <w:r>
        <w:rPr>
          <w:rFonts w:ascii="Times New Roman"/>
          <w:b w:val="false"/>
          <w:i w:val="false"/>
          <w:color w:val="000000"/>
          <w:sz w:val="28"/>
        </w:rPr>
        <w:t xml:space="preserve"> = W</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подпункт 1)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б</w:t>
      </w:r>
      <w:r>
        <w:rPr>
          <w:rFonts w:ascii="Times New Roman"/>
          <w:b w:val="false"/>
          <w:i w:val="false"/>
          <w:color w:val="000000"/>
          <w:sz w:val="28"/>
        </w:rPr>
        <w:t xml:space="preserve"> — подпункт 2) настоящего пункта;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26" w:id="3342"/>
    <w:p>
      <w:pPr>
        <w:spacing w:after="0"/>
        <w:ind w:left="0"/>
        <w:jc w:val="both"/>
      </w:pPr>
      <w:r>
        <w:rPr>
          <w:rFonts w:ascii="Times New Roman"/>
          <w:b w:val="false"/>
          <w:i w:val="false"/>
          <w:color w:val="000000"/>
          <w:sz w:val="28"/>
        </w:rPr>
        <w:t>
      5) ширина свободного пояска продольной балки полособульбового или таврового профиля сб, мм, не менее большей из следующих величин:</w:t>
      </w:r>
    </w:p>
    <w:bookmarkEnd w:id="334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0,0145R</w:t>
      </w:r>
      <w:r>
        <w:rPr>
          <w:rFonts w:ascii="Times New Roman"/>
          <w:b w:val="false"/>
          <w:i w:val="false"/>
          <w:color w:val="000000"/>
          <w:vertAlign w:val="subscript"/>
        </w:rPr>
        <w:t>eH</w:t>
      </w:r>
    </w:p>
    <w:p>
      <w:pPr>
        <w:spacing w:after="0"/>
        <w:ind w:left="0"/>
        <w:jc w:val="both"/>
      </w:pPr>
      <w:r>
        <w:drawing>
          <wp:inline distT="0" distB="0" distL="0" distR="0">
            <wp:extent cx="812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812800" cy="508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79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79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0,98),             (330)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2,5t</w:t>
      </w:r>
      <w:r>
        <w:rPr>
          <w:rFonts w:ascii="Times New Roman"/>
          <w:b w:val="false"/>
          <w:i w:val="false"/>
          <w:color w:val="000000"/>
          <w:vertAlign w:val="subscript"/>
        </w:rPr>
        <w:t>б</w:t>
      </w:r>
      <w:r>
        <w:rPr>
          <w:rFonts w:ascii="Times New Roman"/>
          <w:b w:val="false"/>
          <w:i w:val="false"/>
          <w:color w:val="000000"/>
          <w:sz w:val="28"/>
        </w:rPr>
        <w:t xml:space="preserve"> ,                      (331)</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69,6s</w:t>
      </w:r>
      <w:r>
        <w:rPr>
          <w:rFonts w:ascii="Times New Roman"/>
          <w:b w:val="false"/>
          <w:i w:val="false"/>
          <w:color w:val="000000"/>
          <w:vertAlign w:val="subscript"/>
        </w:rPr>
        <w:t>бф</w:t>
      </w:r>
    </w:p>
    <w:p>
      <w:pPr>
        <w:spacing w:after="0"/>
        <w:ind w:left="0"/>
        <w:jc w:val="both"/>
      </w:pPr>
      <w:r>
        <w:drawing>
          <wp:inline distT="0" distB="0" distL="0" distR="0">
            <wp:extent cx="1333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1333500" cy="533400"/>
                    </a:xfrm>
                    <a:prstGeom prst="rect">
                      <a:avLst/>
                    </a:prstGeom>
                  </pic:spPr>
                </pic:pic>
              </a:graphicData>
            </a:graphic>
          </wp:inline>
        </w:drawing>
      </w:r>
    </w:p>
    <w:p>
      <w:pPr>
        <w:spacing w:after="0"/>
        <w:ind w:left="0"/>
        <w:jc w:val="left"/>
      </w:pPr>
      <w:r>
        <w:rPr>
          <w:rFonts w:ascii="Times New Roman"/>
          <w:b w:val="false"/>
          <w:i w:val="false"/>
          <w:color w:val="000000"/>
          <w:sz w:val="28"/>
        </w:rPr>
        <w:t>,                       (332)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3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7366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не менее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0,055;</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447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1447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не менее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w:t>
      </w:r>
      <w:r>
        <w:rPr>
          <w:rFonts w:ascii="Times New Roman"/>
          <w:b w:val="false"/>
          <w:i w:val="false"/>
          <w:color w:val="000000"/>
          <w:sz w:val="28"/>
        </w:rPr>
        <w:t xml:space="preserve"> — подпункт 1) пункта 837 настоящих Правил;</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бф</w:t>
      </w:r>
      <w:r>
        <w:rPr>
          <w:rFonts w:ascii="Times New Roman"/>
          <w:b w:val="false"/>
          <w:i w:val="false"/>
          <w:color w:val="000000"/>
          <w:sz w:val="28"/>
        </w:rPr>
        <w:t xml:space="preserve"> — подпункт 4) пункта 837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бф</w:t>
      </w:r>
      <w:r>
        <w:rPr>
          <w:rFonts w:ascii="Times New Roman"/>
          <w:b w:val="false"/>
          <w:i w:val="false"/>
          <w:color w:val="000000"/>
          <w:sz w:val="28"/>
        </w:rPr>
        <w:t xml:space="preserve"> — фактическая толщина стенки продольной балки, мм;</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б</w:t>
      </w:r>
      <w:r>
        <w:rPr>
          <w:rFonts w:ascii="Times New Roman"/>
          <w:b w:val="false"/>
          <w:i w:val="false"/>
          <w:color w:val="000000"/>
          <w:sz w:val="28"/>
        </w:rPr>
        <w:t xml:space="preserve"> — толщина свободного пояска продольной балки, мм (для балок полособульбового профиля следует принимать t</w:t>
      </w:r>
      <w:r>
        <w:rPr>
          <w:rFonts w:ascii="Times New Roman"/>
          <w:b w:val="false"/>
          <w:i w:val="false"/>
          <w:color w:val="000000"/>
          <w:vertAlign w:val="subscript"/>
        </w:rPr>
        <w:t>б</w:t>
      </w:r>
      <w:r>
        <w:rPr>
          <w:rFonts w:ascii="Times New Roman"/>
          <w:b w:val="false"/>
          <w:i w:val="false"/>
          <w:color w:val="000000"/>
          <w:sz w:val="28"/>
        </w:rPr>
        <w:t xml:space="preserve"> = 1,5s</w:t>
      </w:r>
      <w:r>
        <w:rPr>
          <w:rFonts w:ascii="Times New Roman"/>
          <w:b w:val="false"/>
          <w:i w:val="false"/>
          <w:color w:val="000000"/>
          <w:vertAlign w:val="subscript"/>
        </w:rPr>
        <w:t>бф</w:t>
      </w:r>
      <w:r>
        <w:rPr>
          <w:rFonts w:ascii="Times New Roman"/>
          <w:b w:val="false"/>
          <w:i w:val="false"/>
          <w:color w:val="000000"/>
          <w:sz w:val="28"/>
        </w:rPr>
        <w:t>);</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б</w:t>
      </w:r>
      <w:r>
        <w:rPr>
          <w:rFonts w:ascii="Times New Roman"/>
          <w:b w:val="false"/>
          <w:i w:val="false"/>
          <w:color w:val="000000"/>
          <w:sz w:val="28"/>
        </w:rPr>
        <w:t xml:space="preserve"> — подпункт 2) пункта 837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нф</w:t>
      </w:r>
      <w:r>
        <w:rPr>
          <w:rFonts w:ascii="Times New Roman"/>
          <w:b w:val="false"/>
          <w:i w:val="false"/>
          <w:color w:val="000000"/>
          <w:sz w:val="28"/>
        </w:rPr>
        <w:t xml:space="preserve"> — фактическая толщина наружной обшивки, мм;</w:t>
      </w:r>
    </w:p>
    <w:p>
      <w:pPr>
        <w:spacing w:after="0"/>
        <w:ind w:left="0"/>
        <w:jc w:val="both"/>
      </w:pPr>
      <w:r>
        <w:rPr>
          <w:rFonts w:ascii="Times New Roman"/>
          <w:b w:val="false"/>
          <w:i w:val="false"/>
          <w:color w:val="000000"/>
          <w:sz w:val="28"/>
        </w:rPr>
        <w:t>
      а — подпункт 1) пункта 837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наибольшее расстояние между соседними пересекающими пролет продольной балки поперечными связями, м.</w:t>
      </w:r>
    </w:p>
    <w:bookmarkStart w:name="z3327" w:id="3343"/>
    <w:p>
      <w:pPr>
        <w:spacing w:after="0"/>
        <w:ind w:left="0"/>
        <w:jc w:val="both"/>
      </w:pPr>
      <w:r>
        <w:rPr>
          <w:rFonts w:ascii="Times New Roman"/>
          <w:b w:val="false"/>
          <w:i w:val="false"/>
          <w:color w:val="000000"/>
          <w:sz w:val="28"/>
        </w:rPr>
        <w:t>
      Допускается не проверять выполнение требований к ширине свободного пояска в случае проведения упрощенного расчета согласно подпункту 4) пункта 833 настоящих Правил, применительно к продольным балкам из стандартных профилей;</w:t>
      </w:r>
    </w:p>
    <w:bookmarkEnd w:id="3343"/>
    <w:bookmarkStart w:name="z3328" w:id="3344"/>
    <w:p>
      <w:pPr>
        <w:spacing w:after="0"/>
        <w:ind w:left="0"/>
        <w:jc w:val="both"/>
      </w:pPr>
      <w:r>
        <w:rPr>
          <w:rFonts w:ascii="Times New Roman"/>
          <w:b w:val="false"/>
          <w:i w:val="false"/>
          <w:color w:val="000000"/>
          <w:sz w:val="28"/>
        </w:rPr>
        <w:t xml:space="preserve">
      6) при выполнении продольной балки из полосового профиля высота полосы </w:t>
      </w:r>
      <w:r>
        <w:rPr>
          <w:rFonts w:ascii="Times New Roman"/>
          <w:b w:val="false"/>
          <w:i/>
          <w:color w:val="000000"/>
          <w:sz w:val="28"/>
        </w:rPr>
        <w:t>h</w:t>
      </w:r>
      <w:r>
        <w:rPr>
          <w:rFonts w:ascii="Times New Roman"/>
          <w:b w:val="false"/>
          <w:i w:val="false"/>
          <w:color w:val="000000"/>
          <w:vertAlign w:val="subscript"/>
        </w:rPr>
        <w:t>б</w:t>
      </w:r>
      <w:r>
        <w:rPr>
          <w:rFonts w:ascii="Times New Roman"/>
          <w:b w:val="false"/>
          <w:i w:val="false"/>
          <w:color w:val="000000"/>
          <w:sz w:val="28"/>
        </w:rPr>
        <w:t xml:space="preserve">, см, и расстояние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м, не более определяемых по формулам:</w:t>
      </w:r>
    </w:p>
    <w:bookmarkEnd w:id="3344"/>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б</w:t>
      </w:r>
      <w:r>
        <w:rPr>
          <w:rFonts w:ascii="Times New Roman"/>
          <w:b w:val="false"/>
          <w:i w:val="false"/>
          <w:color w:val="000000"/>
          <w:sz w:val="28"/>
        </w:rPr>
        <w:t xml:space="preserve"> = </w:t>
      </w:r>
    </w:p>
    <w:p>
      <w:pPr>
        <w:spacing w:after="0"/>
        <w:ind w:left="0"/>
        <w:jc w:val="both"/>
      </w:pPr>
      <w:r>
        <w:drawing>
          <wp:inline distT="0" distB="0" distL="0" distR="0">
            <wp:extent cx="2501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501900" cy="622300"/>
                    </a:xfrm>
                    <a:prstGeom prst="rect">
                      <a:avLst/>
                    </a:prstGeom>
                  </pic:spPr>
                </pic:pic>
              </a:graphicData>
            </a:graphic>
          </wp:inline>
        </w:drawing>
      </w:r>
    </w:p>
    <w:p>
      <w:pPr>
        <w:spacing w:after="0"/>
        <w:ind w:left="0"/>
        <w:jc w:val="left"/>
      </w:pPr>
      <w:r>
        <w:rPr>
          <w:rFonts w:ascii="Times New Roman"/>
          <w:b w:val="false"/>
          <w:i w:val="false"/>
          <w:color w:val="000000"/>
          <w:sz w:val="28"/>
        </w:rPr>
        <w:t>;                     (333)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w:t>
      </w:r>
    </w:p>
    <w:p>
      <w:pPr>
        <w:spacing w:after="0"/>
        <w:ind w:left="0"/>
        <w:jc w:val="both"/>
      </w:pPr>
      <w:r>
        <w:drawing>
          <wp:inline distT="0" distB="0" distL="0" distR="0">
            <wp:extent cx="876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876300" cy="571500"/>
                    </a:xfrm>
                    <a:prstGeom prst="rect">
                      <a:avLst/>
                    </a:prstGeom>
                  </pic:spPr>
                </pic:pic>
              </a:graphicData>
            </a:graphic>
          </wp:inline>
        </w:drawing>
      </w:r>
    </w:p>
    <w:p>
      <w:pPr>
        <w:spacing w:after="0"/>
        <w:ind w:left="0"/>
        <w:jc w:val="left"/>
      </w:pPr>
      <w:r>
        <w:rPr>
          <w:rFonts w:ascii="Times New Roman"/>
          <w:b w:val="false"/>
          <w:i w:val="false"/>
          <w:color w:val="000000"/>
          <w:sz w:val="28"/>
        </w:rPr>
        <w:t>,                           (334)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15113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этом 1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s</w:t>
      </w:r>
      <w:r>
        <w:rPr>
          <w:rFonts w:ascii="Times New Roman"/>
          <w:b w:val="false"/>
          <w:i w:val="false"/>
          <w:color w:val="000000"/>
          <w:vertAlign w:val="subscript"/>
        </w:rPr>
        <w:t>бф</w:t>
      </w:r>
      <w:r>
        <w:rPr>
          <w:rFonts w:ascii="Times New Roman"/>
          <w:b w:val="false"/>
          <w:i w:val="false"/>
          <w:color w:val="000000"/>
          <w:sz w:val="28"/>
        </w:rPr>
        <w:t>, s</w:t>
      </w:r>
      <w:r>
        <w:rPr>
          <w:rFonts w:ascii="Times New Roman"/>
          <w:b w:val="false"/>
          <w:i w:val="false"/>
          <w:color w:val="000000"/>
          <w:vertAlign w:val="subscript"/>
        </w:rPr>
        <w:t>нф</w:t>
      </w:r>
      <w:r>
        <w:rPr>
          <w:rFonts w:ascii="Times New Roman"/>
          <w:b w:val="false"/>
          <w:i w:val="false"/>
          <w:color w:val="000000"/>
          <w:sz w:val="28"/>
        </w:rPr>
        <w:t>, W</w:t>
      </w:r>
      <w:r>
        <w:rPr>
          <w:rFonts w:ascii="Times New Roman"/>
          <w:b w:val="false"/>
          <w:i w:val="false"/>
          <w:color w:val="000000"/>
          <w:vertAlign w:val="subscript"/>
        </w:rPr>
        <w:t>б</w:t>
      </w:r>
      <w:r>
        <w:rPr>
          <w:rFonts w:ascii="Times New Roman"/>
          <w:b w:val="false"/>
          <w:i w:val="false"/>
          <w:color w:val="000000"/>
          <w:sz w:val="28"/>
        </w:rPr>
        <w:t>, W</w:t>
      </w:r>
      <w:r>
        <w:rPr>
          <w:rFonts w:ascii="Times New Roman"/>
          <w:b w:val="false"/>
          <w:i w:val="false"/>
          <w:color w:val="000000"/>
          <w:vertAlign w:val="subscript"/>
        </w:rPr>
        <w:t>бф</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подпункт 5) пункта 837 настоящих Правил.</w:t>
      </w:r>
    </w:p>
    <w:bookmarkStart w:name="z3329" w:id="3345"/>
    <w:p>
      <w:pPr>
        <w:spacing w:after="0"/>
        <w:ind w:left="0"/>
        <w:jc w:val="both"/>
      </w:pPr>
      <w:r>
        <w:rPr>
          <w:rFonts w:ascii="Times New Roman"/>
          <w:b w:val="false"/>
          <w:i w:val="false"/>
          <w:color w:val="000000"/>
          <w:sz w:val="28"/>
        </w:rPr>
        <w:t>
      838. Рамные шпангоуты при продольной системе набора отвечают следующим требованиям:</w:t>
      </w:r>
    </w:p>
    <w:bookmarkEnd w:id="3345"/>
    <w:bookmarkStart w:name="z3330" w:id="3346"/>
    <w:p>
      <w:pPr>
        <w:spacing w:after="0"/>
        <w:ind w:left="0"/>
        <w:jc w:val="both"/>
      </w:pPr>
      <w:r>
        <w:rPr>
          <w:rFonts w:ascii="Times New Roman"/>
          <w:b w:val="false"/>
          <w:i w:val="false"/>
          <w:color w:val="000000"/>
          <w:sz w:val="28"/>
        </w:rPr>
        <w:t>
      1) предельный момент сопротивления рамного шпангоута W</w:t>
      </w:r>
      <w:r>
        <w:rPr>
          <w:rFonts w:ascii="Times New Roman"/>
          <w:b w:val="false"/>
          <w:i w:val="false"/>
          <w:color w:val="000000"/>
          <w:vertAlign w:val="subscript"/>
        </w:rPr>
        <w:t>p</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не менее определяемого по формуле:</w:t>
      </w:r>
    </w:p>
    <w:bookmarkEnd w:id="334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p0</w:t>
      </w:r>
      <w:r>
        <w:rPr>
          <w:rFonts w:ascii="Times New Roman"/>
          <w:b w:val="false"/>
          <w:i/>
          <w:color w:val="000000"/>
          <w:sz w:val="28"/>
        </w:rPr>
        <w:t>k</w:t>
      </w:r>
      <w:r>
        <w:rPr>
          <w:rFonts w:ascii="Times New Roman"/>
          <w:b w:val="false"/>
          <w:i w:val="false"/>
          <w:color w:val="000000"/>
          <w:vertAlign w:val="subscript"/>
        </w:rPr>
        <w:t>p</w:t>
      </w:r>
      <w:r>
        <w:rPr>
          <w:rFonts w:ascii="Times New Roman"/>
          <w:b w:val="false"/>
          <w:i w:val="false"/>
          <w:color w:val="000000"/>
          <w:sz w:val="28"/>
        </w:rPr>
        <w:t>,                  (335)</w:t>
      </w:r>
    </w:p>
    <w:p>
      <w:pPr>
        <w:spacing w:after="0"/>
        <w:ind w:left="0"/>
        <w:jc w:val="both"/>
      </w:pPr>
      <w:r>
        <w:rPr>
          <w:rFonts w:ascii="Times New Roman"/>
          <w:b w:val="false"/>
          <w:i w:val="false"/>
          <w:color w:val="000000"/>
          <w:sz w:val="28"/>
        </w:rPr>
        <w:t>
      где W</w:t>
      </w:r>
      <w:r>
        <w:rPr>
          <w:rFonts w:ascii="Times New Roman"/>
          <w:b w:val="false"/>
          <w:i w:val="false"/>
          <w:color w:val="000000"/>
          <w:vertAlign w:val="subscript"/>
        </w:rPr>
        <w:t>p0</w:t>
      </w:r>
      <w:r>
        <w:rPr>
          <w:rFonts w:ascii="Times New Roman"/>
          <w:b w:val="false"/>
          <w:i w:val="false"/>
          <w:color w:val="000000"/>
          <w:sz w:val="28"/>
        </w:rPr>
        <w:t xml:space="preserve"> = </w:t>
      </w:r>
    </w:p>
    <w:p>
      <w:pPr>
        <w:spacing w:after="0"/>
        <w:ind w:left="0"/>
        <w:jc w:val="both"/>
      </w:pPr>
      <w:r>
        <w:drawing>
          <wp:inline distT="0" distB="0" distL="0" distR="0">
            <wp:extent cx="355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355600" cy="508000"/>
                    </a:xfrm>
                    <a:prstGeom prst="rect">
                      <a:avLst/>
                    </a:prstGeom>
                  </pic:spPr>
                </pic:pic>
              </a:graphicData>
            </a:graphic>
          </wp:inline>
        </w:drawing>
      </w:r>
    </w:p>
    <w:p>
      <w:pPr>
        <w:spacing w:after="0"/>
        <w:ind w:left="0"/>
        <w:jc w:val="left"/>
      </w:pPr>
      <w:r>
        <w:rPr>
          <w:rFonts w:ascii="Times New Roman"/>
          <w:b w:val="false"/>
          <w:i/>
          <w:color w:val="000000"/>
          <w:sz w:val="28"/>
        </w:rPr>
        <w:t>pabk</w:t>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sz w:val="28"/>
        </w:rPr>
        <w:t>(1 + k</w:t>
      </w:r>
      <w:r>
        <w:rPr>
          <w:rFonts w:ascii="Times New Roman"/>
          <w:b w:val="false"/>
          <w:i w:val="false"/>
          <w:color w:val="000000"/>
          <w:vertAlign w:val="subscript"/>
        </w:rPr>
        <w:t>g</w:t>
      </w:r>
      <w:r>
        <w:rPr>
          <w:rFonts w:ascii="Times New Roman"/>
          <w:b w:val="false"/>
          <w:i w:val="false"/>
          <w:color w:val="000000"/>
          <w:sz w:val="28"/>
        </w:rPr>
        <w:t>)(</w:t>
      </w:r>
      <w:r>
        <w:rPr>
          <w:rFonts w:ascii="Times New Roman"/>
          <w:b w:val="false"/>
          <w:i/>
          <w:color w:val="000000"/>
          <w:sz w:val="28"/>
        </w:rPr>
        <w:t>Q</w:t>
      </w:r>
      <w:r>
        <w:rPr>
          <w:rFonts w:ascii="Times New Roman"/>
          <w:b w:val="false"/>
          <w:i w:val="false"/>
          <w:color w:val="000000"/>
          <w:sz w:val="28"/>
        </w:rPr>
        <w:t xml:space="preserve"> – </w:t>
      </w:r>
    </w:p>
    <w:p>
      <w:pPr>
        <w:spacing w:after="0"/>
        <w:ind w:left="0"/>
        <w:jc w:val="both"/>
      </w:pPr>
      <w:r>
        <w:drawing>
          <wp:inline distT="0" distB="0" distL="0" distR="0">
            <wp:extent cx="36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368300" cy="508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977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9779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2 – </w:t>
      </w:r>
      <w:r>
        <w:rPr>
          <w:rFonts w:ascii="Times New Roman"/>
          <w:b w:val="false"/>
          <w:i/>
          <w:color w:val="000000"/>
          <w:sz w:val="28"/>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p>
    <w:p>
      <w:pPr>
        <w:spacing w:after="0"/>
        <w:ind w:left="0"/>
        <w:jc w:val="both"/>
      </w:pPr>
      <w:r>
        <w:drawing>
          <wp:inline distT="0" distB="0" distL="0" distR="0">
            <wp:extent cx="1270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1270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&lt; </w:t>
      </w:r>
    </w:p>
    <w:p>
      <w:pPr>
        <w:spacing w:after="0"/>
        <w:ind w:left="0"/>
        <w:jc w:val="both"/>
      </w:pPr>
      <w:r>
        <w:drawing>
          <wp:inline distT="0" distB="0" distL="0" distR="0">
            <wp:extent cx="304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3048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w:t>
      </w:r>
    </w:p>
    <w:p>
      <w:pPr>
        <w:spacing w:after="0"/>
        <w:ind w:left="0"/>
        <w:jc w:val="both"/>
      </w:pPr>
      <w:r>
        <w:drawing>
          <wp:inline distT="0" distB="0" distL="0" distR="0">
            <wp:extent cx="254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54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317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3175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p>
    <w:p>
      <w:pPr>
        <w:spacing w:after="0"/>
        <w:ind w:left="0"/>
        <w:jc w:val="both"/>
      </w:pPr>
      <w:r>
        <w:drawing>
          <wp:inline distT="0" distB="0" distL="0" distR="0">
            <wp:extent cx="104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10414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331" w:id="3347"/>
    <w:p>
      <w:pPr>
        <w:spacing w:after="0"/>
        <w:ind w:left="0"/>
        <w:jc w:val="both"/>
      </w:pPr>
      <w:r>
        <w:rPr>
          <w:rFonts w:ascii="Times New Roman"/>
          <w:b w:val="false"/>
          <w:i w:val="false"/>
          <w:color w:val="000000"/>
          <w:sz w:val="28"/>
        </w:rPr>
        <w:t>
      При выполнении упрощенного расчета согласно подпункту 4) пункта 833 настоящих Правил, принимается:</w:t>
      </w:r>
    </w:p>
    <w:bookmarkEnd w:id="3347"/>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0,63, </w:t>
      </w:r>
      <w:r>
        <w:rPr>
          <w:rFonts w:ascii="Times New Roman"/>
          <w:b w:val="false"/>
          <w:i/>
          <w:color w:val="000000"/>
          <w:sz w:val="28"/>
        </w:rPr>
        <w:t>N</w:t>
      </w:r>
      <w:r>
        <w:rPr>
          <w:rFonts w:ascii="Times New Roman"/>
          <w:b w:val="false"/>
          <w:i w:val="false"/>
          <w:color w:val="000000"/>
          <w:sz w:val="28"/>
        </w:rPr>
        <w:t xml:space="preserve"> = 1,1</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0,33</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304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3048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sz w:val="28"/>
        </w:rPr>
        <w:t>б — подпункт 1) пункта 837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139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подпункт 1) пункта 836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коэффициент, принимаемый меньшим из следующих: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0 5(</w:t>
      </w:r>
    </w:p>
    <w:p>
      <w:pPr>
        <w:spacing w:after="0"/>
        <w:ind w:left="0"/>
        <w:jc w:val="both"/>
      </w:pPr>
      <w:r>
        <w:drawing>
          <wp:inline distT="0" distB="0" distL="0" distR="0">
            <wp:extent cx="317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317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0,5(</w:t>
      </w:r>
      <w:r>
        <w:rPr>
          <w:rFonts w:ascii="Times New Roman"/>
          <w:b w:val="false"/>
          <w:i/>
          <w:color w:val="000000"/>
          <w:sz w:val="28"/>
        </w:rPr>
        <w:t>k</w:t>
      </w:r>
      <w:r>
        <w:rPr>
          <w:rFonts w:ascii="Times New Roman"/>
          <w:b w:val="false"/>
          <w:i w:val="false"/>
          <w:color w:val="000000"/>
          <w:sz w:val="28"/>
        </w:rPr>
        <w:t xml:space="preserve"> – 0,25(</w:t>
      </w:r>
      <w:r>
        <w:rPr>
          <w:rFonts w:ascii="Times New Roman"/>
          <w:b w:val="false"/>
          <w:i/>
          <w:color w:val="000000"/>
          <w:sz w:val="28"/>
        </w:rPr>
        <w:t>e</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k</w:t>
      </w:r>
      <w:r>
        <w:rPr>
          <w:rFonts w:ascii="Times New Roman"/>
          <w:b w:val="false"/>
          <w:i w:val="false"/>
          <w:color w:val="000000"/>
          <w:sz w:val="28"/>
        </w:rPr>
        <w:t xml:space="preserve"> — число продольных балок в пролете рамного шпангоута;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1778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w:t>
      </w:r>
    </w:p>
    <w:p>
      <w:pPr>
        <w:spacing w:after="0"/>
        <w:ind w:left="0"/>
        <w:jc w:val="both"/>
      </w:pPr>
      <w:r>
        <w:drawing>
          <wp:inline distT="0" distB="0" distL="0" distR="0">
            <wp:extent cx="381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3810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бф</w:t>
      </w:r>
      <w:r>
        <w:rPr>
          <w:rFonts w:ascii="Times New Roman"/>
          <w:b w:val="false"/>
          <w:i w:val="false"/>
          <w:color w:val="000000"/>
          <w:sz w:val="28"/>
        </w:rPr>
        <w:t xml:space="preserve"> — подпункт 4) пункта 837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бо</w:t>
      </w:r>
      <w:r>
        <w:rPr>
          <w:rFonts w:ascii="Times New Roman"/>
          <w:b w:val="false"/>
          <w:i w:val="false"/>
          <w:color w:val="000000"/>
          <w:sz w:val="28"/>
        </w:rPr>
        <w:t xml:space="preserve"> — подпункт 1) пункта 837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762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304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304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подпункт 2) настоящего пункта;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ф</w:t>
      </w:r>
      <w:r>
        <w:rPr>
          <w:rFonts w:ascii="Times New Roman"/>
          <w:b w:val="false"/>
          <w:i w:val="false"/>
          <w:color w:val="000000"/>
          <w:sz w:val="28"/>
        </w:rPr>
        <w:t xml:space="preserve"> — подпункт 3) настоящего пункта;</w:t>
      </w:r>
    </w:p>
    <w:bookmarkStart w:name="z3332" w:id="3348"/>
    <w:p>
      <w:pPr>
        <w:spacing w:after="0"/>
        <w:ind w:left="0"/>
        <w:jc w:val="both"/>
      </w:pPr>
      <w:r>
        <w:rPr>
          <w:rFonts w:ascii="Times New Roman"/>
          <w:b w:val="false"/>
          <w:i w:val="false"/>
          <w:color w:val="000000"/>
          <w:sz w:val="28"/>
        </w:rPr>
        <w:t>
      2) площадь стенки рамного шпангоута А</w:t>
      </w:r>
      <w:r>
        <w:rPr>
          <w:rFonts w:ascii="Times New Roman"/>
          <w:b w:val="false"/>
          <w:i w:val="false"/>
          <w:color w:val="000000"/>
          <w:vertAlign w:val="subscript"/>
        </w:rPr>
        <w:t>р</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должна быть не менее определяемой по формуле:</w:t>
      </w:r>
    </w:p>
    <w:bookmarkEnd w:id="33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955800" cy="457200"/>
                    </a:xfrm>
                    <a:prstGeom prst="rect">
                      <a:avLst/>
                    </a:prstGeom>
                  </pic:spPr>
                </pic:pic>
              </a:graphicData>
            </a:graphic>
          </wp:inline>
        </w:drawing>
      </w:r>
    </w:p>
    <w:p>
      <w:pPr>
        <w:spacing w:after="0"/>
        <w:ind w:left="0"/>
        <w:jc w:val="left"/>
      </w:pPr>
      <w:r>
        <w:rPr>
          <w:rFonts w:ascii="Times New Roman"/>
          <w:b w:val="false"/>
          <w:i w:val="false"/>
          <w:color w:val="000000"/>
          <w:sz w:val="28"/>
        </w:rPr>
        <w:t>,                        (336)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 b — подпункт 1) пункта 833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подпункт 1) пункта 837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подпункт 1) пункта 838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 xml:space="preserve"> — высота стенки рамного шпангоута,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33" w:id="3349"/>
    <w:p>
      <w:pPr>
        <w:spacing w:after="0"/>
        <w:ind w:left="0"/>
        <w:jc w:val="both"/>
      </w:pPr>
      <w:r>
        <w:rPr>
          <w:rFonts w:ascii="Times New Roman"/>
          <w:b w:val="false"/>
          <w:i w:val="false"/>
          <w:color w:val="000000"/>
          <w:sz w:val="28"/>
        </w:rPr>
        <w:t>
      3) фактическая площадь стенки рамного шпангоута 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определяется согласно подпункту 3) пункта 816 настоящих Правил;</w:t>
      </w:r>
    </w:p>
    <w:bookmarkEnd w:id="3349"/>
    <w:bookmarkStart w:name="z3334" w:id="3350"/>
    <w:p>
      <w:pPr>
        <w:spacing w:after="0"/>
        <w:ind w:left="0"/>
        <w:jc w:val="both"/>
      </w:pPr>
      <w:r>
        <w:rPr>
          <w:rFonts w:ascii="Times New Roman"/>
          <w:b w:val="false"/>
          <w:i w:val="false"/>
          <w:color w:val="000000"/>
          <w:sz w:val="28"/>
        </w:rPr>
        <w:t>
      4) толщина стенки рамного шпангоута не менее большей из величин, определенных по формулам (322), (323) настоящих Правил, при этом W</w:t>
      </w:r>
      <w:r>
        <w:rPr>
          <w:rFonts w:ascii="Times New Roman"/>
          <w:b w:val="false"/>
          <w:i w:val="false"/>
          <w:color w:val="000000"/>
          <w:vertAlign w:val="subscript"/>
        </w:rPr>
        <w:t>p</w:t>
      </w:r>
      <w:r>
        <w:rPr>
          <w:rFonts w:ascii="Times New Roman"/>
          <w:b w:val="false"/>
          <w:i w:val="false"/>
          <w:color w:val="000000"/>
          <w:sz w:val="28"/>
        </w:rPr>
        <w:t xml:space="preserve"> — согласно подпункту 1) пункта 838 настоящих Правил, </w:t>
      </w:r>
      <w:r>
        <w:rPr>
          <w:rFonts w:ascii="Times New Roman"/>
          <w:b w:val="false"/>
          <w:i/>
          <w:color w:val="000000"/>
          <w:sz w:val="28"/>
        </w:rPr>
        <w:t>а</w:t>
      </w:r>
      <w:r>
        <w:rPr>
          <w:rFonts w:ascii="Times New Roman"/>
          <w:b w:val="false"/>
          <w:i w:val="false"/>
          <w:color w:val="000000"/>
          <w:sz w:val="28"/>
        </w:rPr>
        <w:t xml:space="preserve"> — согласно подпункту 1) пункта 837 настоящих Правил.</w:t>
      </w:r>
    </w:p>
    <w:bookmarkEnd w:id="3350"/>
    <w:bookmarkStart w:name="z3335" w:id="3351"/>
    <w:p>
      <w:pPr>
        <w:spacing w:after="0"/>
        <w:ind w:left="0"/>
        <w:jc w:val="both"/>
      </w:pPr>
      <w:r>
        <w:rPr>
          <w:rFonts w:ascii="Times New Roman"/>
          <w:b w:val="false"/>
          <w:i w:val="false"/>
          <w:color w:val="000000"/>
          <w:sz w:val="28"/>
        </w:rPr>
        <w:t>
      Требование настоящего пункта распространяется также на вертикальные диафрагмы двойного борта;</w:t>
      </w:r>
    </w:p>
    <w:bookmarkEnd w:id="3351"/>
    <w:bookmarkStart w:name="z3336" w:id="3352"/>
    <w:p>
      <w:pPr>
        <w:spacing w:after="0"/>
        <w:ind w:left="0"/>
        <w:jc w:val="both"/>
      </w:pPr>
      <w:r>
        <w:rPr>
          <w:rFonts w:ascii="Times New Roman"/>
          <w:b w:val="false"/>
          <w:i w:val="false"/>
          <w:color w:val="000000"/>
          <w:sz w:val="28"/>
        </w:rPr>
        <w:t>
      5) высота стенки рамного шпангоута не менее определяемой по формуле:</w:t>
      </w:r>
    </w:p>
    <w:bookmarkEnd w:id="335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p</w:t>
      </w:r>
      <w:r>
        <w:rPr>
          <w:rFonts w:ascii="Times New Roman"/>
          <w:b w:val="false"/>
          <w:i w:val="false"/>
          <w:color w:val="000000"/>
          <w:sz w:val="28"/>
        </w:rPr>
        <w:t xml:space="preserve"> = 2h</w:t>
      </w:r>
      <w:r>
        <w:rPr>
          <w:rFonts w:ascii="Times New Roman"/>
          <w:b w:val="false"/>
          <w:i w:val="false"/>
          <w:color w:val="000000"/>
          <w:vertAlign w:val="subscript"/>
        </w:rPr>
        <w:t>б</w:t>
      </w:r>
      <w:r>
        <w:rPr>
          <w:rFonts w:ascii="Times New Roman"/>
          <w:b w:val="false"/>
          <w:i w:val="false"/>
          <w:color w:val="000000"/>
          <w:sz w:val="28"/>
        </w:rPr>
        <w:t>,                         (337)</w:t>
      </w:r>
    </w:p>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б</w:t>
      </w:r>
      <w:r>
        <w:rPr>
          <w:rFonts w:ascii="Times New Roman"/>
          <w:b w:val="false"/>
          <w:i w:val="false"/>
          <w:color w:val="000000"/>
          <w:sz w:val="28"/>
        </w:rPr>
        <w:t xml:space="preserve"> — подпункт 2) пункта 837 настоящих Правил;</w:t>
      </w:r>
    </w:p>
    <w:bookmarkStart w:name="z3337" w:id="3353"/>
    <w:p>
      <w:pPr>
        <w:spacing w:after="0"/>
        <w:ind w:left="0"/>
        <w:jc w:val="both"/>
      </w:pPr>
      <w:r>
        <w:rPr>
          <w:rFonts w:ascii="Times New Roman"/>
          <w:b w:val="false"/>
          <w:i w:val="false"/>
          <w:color w:val="000000"/>
          <w:sz w:val="28"/>
        </w:rPr>
        <w:t>
      6) толщина свободного пояска рамного шпангоута не менее фактической толщины его стенки;</w:t>
      </w:r>
    </w:p>
    <w:bookmarkEnd w:id="3353"/>
    <w:bookmarkStart w:name="z3338" w:id="3354"/>
    <w:p>
      <w:pPr>
        <w:spacing w:after="0"/>
        <w:ind w:left="0"/>
        <w:jc w:val="both"/>
      </w:pPr>
      <w:r>
        <w:rPr>
          <w:rFonts w:ascii="Times New Roman"/>
          <w:b w:val="false"/>
          <w:i w:val="false"/>
          <w:color w:val="000000"/>
          <w:sz w:val="28"/>
        </w:rPr>
        <w:t>
      7) ширина свободного пояска рамного шпангоута определяется согласно подпункту 6) пункта 838 настоящих Правил, при этом W</w:t>
      </w:r>
      <w:r>
        <w:rPr>
          <w:rFonts w:ascii="Times New Roman"/>
          <w:b w:val="false"/>
          <w:i w:val="false"/>
          <w:color w:val="000000"/>
          <w:vertAlign w:val="subscript"/>
        </w:rPr>
        <w:t>p</w:t>
      </w:r>
      <w:r>
        <w:rPr>
          <w:rFonts w:ascii="Times New Roman"/>
          <w:b w:val="false"/>
          <w:i w:val="false"/>
          <w:color w:val="000000"/>
          <w:sz w:val="28"/>
        </w:rPr>
        <w:t xml:space="preserve"> — согласно подпункту 1) пункта 838 настоящих Правил. Конструкция рамных шпангоутов без свободного пояска (полосового профиля) не допускается.</w:t>
      </w:r>
    </w:p>
    <w:bookmarkEnd w:id="3354"/>
    <w:bookmarkStart w:name="z3339" w:id="3355"/>
    <w:p>
      <w:pPr>
        <w:spacing w:after="0"/>
        <w:ind w:left="0"/>
        <w:jc w:val="both"/>
      </w:pPr>
      <w:r>
        <w:rPr>
          <w:rFonts w:ascii="Times New Roman"/>
          <w:b w:val="false"/>
          <w:i w:val="false"/>
          <w:color w:val="000000"/>
          <w:sz w:val="28"/>
        </w:rPr>
        <w:t>
      839. Дополнительные шпангоуты и горизонтальные диафрагмы при продольной системе набора соответсвуют следующим требованиям:</w:t>
      </w:r>
    </w:p>
    <w:bookmarkEnd w:id="3355"/>
    <w:bookmarkStart w:name="z3340" w:id="3356"/>
    <w:p>
      <w:pPr>
        <w:spacing w:after="0"/>
        <w:ind w:left="0"/>
        <w:jc w:val="both"/>
      </w:pPr>
      <w:r>
        <w:rPr>
          <w:rFonts w:ascii="Times New Roman"/>
          <w:b w:val="false"/>
          <w:i w:val="false"/>
          <w:color w:val="000000"/>
          <w:sz w:val="28"/>
        </w:rPr>
        <w:t>
      1) высота стенки дополнительного шпангоута (пункт 819 настоящих Правил) в сечении у продольной балки h</w:t>
      </w:r>
      <w:r>
        <w:rPr>
          <w:rFonts w:ascii="Times New Roman"/>
          <w:b w:val="false"/>
          <w:i w:val="false"/>
          <w:color w:val="000000"/>
          <w:vertAlign w:val="subscript"/>
        </w:rPr>
        <w:t>дш</w:t>
      </w:r>
      <w:r>
        <w:rPr>
          <w:rFonts w:ascii="Times New Roman"/>
          <w:b w:val="false"/>
          <w:i w:val="false"/>
          <w:color w:val="000000"/>
          <w:sz w:val="28"/>
        </w:rPr>
        <w:t>, см, не менее определяемой по формуле:</w:t>
      </w:r>
    </w:p>
    <w:bookmarkEnd w:id="3356"/>
    <w:p>
      <w:pPr>
        <w:spacing w:after="0"/>
        <w:ind w:left="0"/>
        <w:jc w:val="both"/>
      </w:pPr>
      <w:r>
        <w:rPr>
          <w:rFonts w:ascii="Times New Roman"/>
          <w:b w:val="false"/>
          <w:i w:val="false"/>
          <w:color w:val="000000"/>
          <w:sz w:val="28"/>
        </w:rPr>
        <w:t>
                                    h</w:t>
      </w:r>
      <w:r>
        <w:rPr>
          <w:rFonts w:ascii="Times New Roman"/>
          <w:b w:val="false"/>
          <w:i w:val="false"/>
          <w:color w:val="000000"/>
          <w:vertAlign w:val="subscript"/>
        </w:rPr>
        <w:t>дш</w:t>
      </w:r>
      <w:r>
        <w:rPr>
          <w:rFonts w:ascii="Times New Roman"/>
          <w:b w:val="false"/>
          <w:i w:val="false"/>
          <w:color w:val="000000"/>
          <w:sz w:val="28"/>
        </w:rPr>
        <w:t xml:space="preserve"> = 0,8h</w:t>
      </w:r>
      <w:r>
        <w:rPr>
          <w:rFonts w:ascii="Times New Roman"/>
          <w:b w:val="false"/>
          <w:i w:val="false"/>
          <w:color w:val="000000"/>
          <w:vertAlign w:val="subscript"/>
        </w:rPr>
        <w:t>б</w:t>
      </w:r>
      <w:r>
        <w:rPr>
          <w:rFonts w:ascii="Times New Roman"/>
          <w:b w:val="false"/>
          <w:i w:val="false"/>
          <w:color w:val="000000"/>
          <w:sz w:val="28"/>
        </w:rPr>
        <w:t>,                       (338)</w:t>
      </w:r>
    </w:p>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б</w:t>
      </w:r>
      <w:r>
        <w:rPr>
          <w:rFonts w:ascii="Times New Roman"/>
          <w:b w:val="false"/>
          <w:i w:val="false"/>
          <w:color w:val="000000"/>
          <w:sz w:val="28"/>
        </w:rPr>
        <w:t xml:space="preserve"> — высота стенки продольной балки, см;</w:t>
      </w:r>
    </w:p>
    <w:bookmarkStart w:name="z3341" w:id="3357"/>
    <w:p>
      <w:pPr>
        <w:spacing w:after="0"/>
        <w:ind w:left="0"/>
        <w:jc w:val="both"/>
      </w:pPr>
      <w:r>
        <w:rPr>
          <w:rFonts w:ascii="Times New Roman"/>
          <w:b w:val="false"/>
          <w:i w:val="false"/>
          <w:color w:val="000000"/>
          <w:sz w:val="28"/>
        </w:rPr>
        <w:t>
      2) толщина стенки дополнительного шпангоута не менее требуемой согласно подпункту 4) пункта 837 настоящих Правил, толщины стенки продольной балки;</w:t>
      </w:r>
    </w:p>
    <w:bookmarkEnd w:id="3357"/>
    <w:bookmarkStart w:name="z3342" w:id="3358"/>
    <w:p>
      <w:pPr>
        <w:spacing w:after="0"/>
        <w:ind w:left="0"/>
        <w:jc w:val="both"/>
      </w:pPr>
      <w:r>
        <w:rPr>
          <w:rFonts w:ascii="Times New Roman"/>
          <w:b w:val="false"/>
          <w:i w:val="false"/>
          <w:color w:val="000000"/>
          <w:sz w:val="28"/>
        </w:rPr>
        <w:t>
      3) площадь поперечного сечения горизонтальной диафрагмы в конструкции двойного борта при продольной системе набора наружного борта не менее площади стенки рамного шпангоута (вертикальной диафрагмы) согласно подпункту 2) пункта 838 настоящих Правил.</w:t>
      </w:r>
    </w:p>
    <w:bookmarkEnd w:id="3358"/>
    <w:bookmarkStart w:name="z3343" w:id="3359"/>
    <w:p>
      <w:pPr>
        <w:spacing w:after="0"/>
        <w:ind w:left="0"/>
        <w:jc w:val="both"/>
      </w:pPr>
      <w:r>
        <w:rPr>
          <w:rFonts w:ascii="Times New Roman"/>
          <w:b w:val="false"/>
          <w:i w:val="false"/>
          <w:color w:val="000000"/>
          <w:sz w:val="28"/>
        </w:rPr>
        <w:t>
      840. Листовые конструкции отвечают следующим требованиям:</w:t>
      </w:r>
    </w:p>
    <w:bookmarkEnd w:id="3359"/>
    <w:bookmarkStart w:name="z3344" w:id="3360"/>
    <w:p>
      <w:pPr>
        <w:spacing w:after="0"/>
        <w:ind w:left="0"/>
        <w:jc w:val="both"/>
      </w:pPr>
      <w:r>
        <w:rPr>
          <w:rFonts w:ascii="Times New Roman"/>
          <w:b w:val="false"/>
          <w:i w:val="false"/>
          <w:color w:val="000000"/>
          <w:sz w:val="28"/>
        </w:rPr>
        <w:t>
      1) толщина листовых конструкций рамного набора бортовых перекрытий (рамные шпангоуты, несущие стрингеры) определяется согласно подпункту 4) пунктов 835, 836 настоящих Правил;</w:t>
      </w:r>
    </w:p>
    <w:bookmarkEnd w:id="3360"/>
    <w:bookmarkStart w:name="z3345" w:id="3361"/>
    <w:p>
      <w:pPr>
        <w:spacing w:after="0"/>
        <w:ind w:left="0"/>
        <w:jc w:val="both"/>
      </w:pPr>
      <w:r>
        <w:rPr>
          <w:rFonts w:ascii="Times New Roman"/>
          <w:b w:val="false"/>
          <w:i w:val="false"/>
          <w:color w:val="000000"/>
          <w:sz w:val="28"/>
        </w:rPr>
        <w:t xml:space="preserve">
      2) толщина листовых конструкций палуби платформ, а также второго дна, днищевых стрингеров и вертикального киля не менее величины </w:t>
      </w:r>
      <w:r>
        <w:rPr>
          <w:rFonts w:ascii="Times New Roman"/>
          <w:b w:val="false"/>
          <w:i/>
          <w:color w:val="000000"/>
          <w:sz w:val="28"/>
        </w:rPr>
        <w:t>s</w:t>
      </w:r>
      <w:r>
        <w:rPr>
          <w:rFonts w:ascii="Times New Roman"/>
          <w:b w:val="false"/>
          <w:i w:val="false"/>
          <w:color w:val="000000"/>
          <w:vertAlign w:val="subscript"/>
        </w:rPr>
        <w:t>л1</w:t>
      </w:r>
      <w:r>
        <w:rPr>
          <w:rFonts w:ascii="Times New Roman"/>
          <w:b w:val="false"/>
          <w:i w:val="false"/>
          <w:color w:val="000000"/>
          <w:sz w:val="28"/>
        </w:rPr>
        <w:t>, мм, определяемой по формуле:</w:t>
      </w:r>
    </w:p>
    <w:bookmarkEnd w:id="336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л1</w:t>
      </w:r>
      <w:r>
        <w:rPr>
          <w:rFonts w:ascii="Times New Roman"/>
          <w:b w:val="false"/>
          <w:i w:val="false"/>
          <w:color w:val="000000"/>
          <w:sz w:val="28"/>
        </w:rPr>
        <w:t xml:space="preserve"> = s</w:t>
      </w:r>
      <w:r>
        <w:rPr>
          <w:rFonts w:ascii="Times New Roman"/>
          <w:b w:val="false"/>
          <w:i w:val="false"/>
          <w:color w:val="000000"/>
          <w:vertAlign w:val="subscript"/>
        </w:rPr>
        <w:t>л0</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(339)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л0</w:t>
      </w:r>
      <w:r>
        <w:rPr>
          <w:rFonts w:ascii="Times New Roman"/>
          <w:b w:val="false"/>
          <w:i w:val="false"/>
          <w:color w:val="000000"/>
          <w:sz w:val="28"/>
        </w:rPr>
        <w:t xml:space="preserve"> = s</w:t>
      </w:r>
      <w:r>
        <w:rPr>
          <w:rFonts w:ascii="Times New Roman"/>
          <w:b w:val="false"/>
          <w:i w:val="false"/>
          <w:color w:val="000000"/>
          <w:vertAlign w:val="subscript"/>
        </w:rPr>
        <w:t>л01</w:t>
      </w:r>
      <w:r>
        <w:rPr>
          <w:rFonts w:ascii="Times New Roman"/>
          <w:b w:val="false"/>
          <w:i w:val="false"/>
          <w:color w:val="000000"/>
          <w:sz w:val="28"/>
        </w:rPr>
        <w:t xml:space="preserve"> — если листовая конструкция подкреплена ребрами жесткости, установленными в направлении, близком к перпендикулярному к наружной обшивке;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л0</w:t>
      </w:r>
      <w:r>
        <w:rPr>
          <w:rFonts w:ascii="Times New Roman"/>
          <w:b w:val="false"/>
          <w:i w:val="false"/>
          <w:color w:val="000000"/>
          <w:sz w:val="28"/>
        </w:rPr>
        <w:t xml:space="preserve"> = s</w:t>
      </w:r>
      <w:r>
        <w:rPr>
          <w:rFonts w:ascii="Times New Roman"/>
          <w:b w:val="false"/>
          <w:i w:val="false"/>
          <w:color w:val="000000"/>
          <w:vertAlign w:val="subscript"/>
        </w:rPr>
        <w:t>л02</w:t>
      </w:r>
      <w:r>
        <w:rPr>
          <w:rFonts w:ascii="Times New Roman"/>
          <w:b w:val="false"/>
          <w:i w:val="false"/>
          <w:color w:val="000000"/>
          <w:sz w:val="28"/>
        </w:rPr>
        <w:t xml:space="preserve"> — если листовая конструкция не подкреплена ребрами жесткости, установленными в направлении, близком к перпендикулярному к наружной обшивке (допускается на судах с ледовыми усилениями категорий Ice1, Ice2, Ice3);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3619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p;</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приложение 143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Т</w:t>
      </w:r>
      <w:r>
        <w:rPr>
          <w:rFonts w:ascii="Times New Roman"/>
          <w:b w:val="false"/>
          <w:i w:val="false"/>
          <w:color w:val="000000"/>
          <w:sz w:val="28"/>
        </w:rPr>
        <w:t xml:space="preserve"> = 0,17</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perscript"/>
        </w:rPr>
        <w:t>1/6</w:t>
      </w:r>
      <w:r>
        <w:rPr>
          <w:rFonts w:ascii="Times New Roman"/>
          <w:b w:val="false"/>
          <w:i w:val="false"/>
          <w:color w:val="000000"/>
          <w:sz w:val="28"/>
        </w:rPr>
        <w:t xml:space="preserve"> , но не менее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согласно подпункту 1) пункта 829 настоящих Правил, для ледоколов;</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1 — для судов ледового плавания;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подпункт 1) пункта 826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расстояние между подкрепляющими листовую конструкцию ребрами жесткости или другими элементами набора, установленными в направлении, близком к перпендикулярному к наружной обшивке, 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н0</w:t>
      </w:r>
      <w:r>
        <w:rPr>
          <w:rFonts w:ascii="Times New Roman"/>
          <w:b w:val="false"/>
          <w:i w:val="false"/>
          <w:color w:val="000000"/>
          <w:sz w:val="28"/>
        </w:rPr>
        <w:t xml:space="preserve"> — пункт 832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46" w:id="3362"/>
    <w:p>
      <w:pPr>
        <w:spacing w:after="0"/>
        <w:ind w:left="0"/>
        <w:jc w:val="both"/>
      </w:pPr>
      <w:r>
        <w:rPr>
          <w:rFonts w:ascii="Times New Roman"/>
          <w:b w:val="false"/>
          <w:i w:val="false"/>
          <w:color w:val="000000"/>
          <w:sz w:val="28"/>
        </w:rPr>
        <w:t>
      3) толщина листовых конструкций палуб и платформ при поперечной системе набора борта дополнительно к требованиям подпункта 2) пункта 840 настоящих Правил, не менее величины s</w:t>
      </w:r>
      <w:r>
        <w:rPr>
          <w:rFonts w:ascii="Times New Roman"/>
          <w:b w:val="false"/>
          <w:i w:val="false"/>
          <w:color w:val="000000"/>
          <w:vertAlign w:val="subscript"/>
        </w:rPr>
        <w:t>л2</w:t>
      </w:r>
      <w:r>
        <w:rPr>
          <w:rFonts w:ascii="Times New Roman"/>
          <w:b w:val="false"/>
          <w:i w:val="false"/>
          <w:color w:val="000000"/>
          <w:sz w:val="28"/>
        </w:rPr>
        <w:t>, мм, определяемой по формуле:</w:t>
      </w:r>
    </w:p>
    <w:bookmarkEnd w:id="3362"/>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л2</w:t>
      </w:r>
      <w:r>
        <w:rPr>
          <w:rFonts w:ascii="Times New Roman"/>
          <w:b w:val="false"/>
          <w:i w:val="false"/>
          <w:color w:val="000000"/>
          <w:sz w:val="28"/>
        </w:rPr>
        <w:t xml:space="preserve"> = s</w:t>
      </w:r>
      <w:r>
        <w:rPr>
          <w:rFonts w:ascii="Times New Roman"/>
          <w:b w:val="false"/>
          <w:i w:val="false"/>
          <w:color w:val="000000"/>
          <w:vertAlign w:val="subscript"/>
        </w:rPr>
        <w:t>л0</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(340)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л0</w:t>
      </w:r>
      <w:r>
        <w:rPr>
          <w:rFonts w:ascii="Times New Roman"/>
          <w:b w:val="false"/>
          <w:i w:val="false"/>
          <w:color w:val="000000"/>
          <w:sz w:val="28"/>
        </w:rPr>
        <w:t xml:space="preserve"> =</w:t>
      </w:r>
    </w:p>
    <w:p>
      <w:pPr>
        <w:spacing w:after="0"/>
        <w:ind w:left="0"/>
        <w:jc w:val="both"/>
      </w:pPr>
      <w:r>
        <w:drawing>
          <wp:inline distT="0" distB="0" distL="0" distR="0">
            <wp:extent cx="3733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37338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подпункт 2) пункта 840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p>
    <w:p>
      <w:pPr>
        <w:spacing w:after="0"/>
        <w:ind w:left="0"/>
        <w:jc w:val="both"/>
      </w:pPr>
      <w:r>
        <w:drawing>
          <wp:inline distT="0" distB="0" distL="0" distR="0">
            <wp:extent cx="127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1270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1 + </w:t>
      </w:r>
      <w:r>
        <w:rPr>
          <w:rFonts w:ascii="Times New Roman"/>
          <w:b w:val="false"/>
          <w:i/>
          <w:color w:val="000000"/>
          <w:sz w:val="28"/>
        </w:rPr>
        <w:t>l</w:t>
      </w:r>
      <w:r>
        <w:rPr>
          <w:rFonts w:ascii="Times New Roman"/>
          <w:b w:val="false"/>
          <w:i w:val="false"/>
          <w:color w:val="000000"/>
          <w:sz w:val="28"/>
        </w:rPr>
        <w:t>2);</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w:t>
      </w:r>
    </w:p>
    <w:p>
      <w:pPr>
        <w:spacing w:after="0"/>
        <w:ind w:left="0"/>
        <w:jc w:val="both"/>
      </w:pPr>
      <w:r>
        <w:drawing>
          <wp:inline distT="0" distB="0" distL="0" distR="0">
            <wp:extent cx="215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2159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1, </w:t>
      </w:r>
      <w:r>
        <w:rPr>
          <w:rFonts w:ascii="Times New Roman"/>
          <w:b w:val="false"/>
          <w:i/>
          <w:color w:val="000000"/>
          <w:sz w:val="28"/>
        </w:rPr>
        <w:t>l</w:t>
      </w:r>
      <w:r>
        <w:rPr>
          <w:rFonts w:ascii="Times New Roman"/>
          <w:b w:val="false"/>
          <w:i w:val="false"/>
          <w:color w:val="000000"/>
          <w:sz w:val="28"/>
        </w:rPr>
        <w:t>2 — расстояние от рассматриваемой листовой конструкции до ближайших к ней листовых конструкций (палуб, платформ, несущих бортовых стрингеров, настила второго дна) с одной и другой стороны,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расстояние между подкрепляющими листовую конструкцию ребрами жесткости, установленными в направлении, близком к перпендикулярному к наружной обшивке, и приваренными к ней,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рж</w:t>
      </w:r>
      <w:r>
        <w:rPr>
          <w:rFonts w:ascii="Times New Roman"/>
          <w:b w:val="false"/>
          <w:i w:val="false"/>
          <w:color w:val="000000"/>
          <w:sz w:val="28"/>
        </w:rPr>
        <w:t xml:space="preserve"> — площадь поперечного сечения ребра жесткости без присоединенного пояска, см</w:t>
      </w:r>
      <w:r>
        <w:rPr>
          <w:rFonts w:ascii="Times New Roman"/>
          <w:b w:val="false"/>
          <w:i w:val="false"/>
          <w:color w:val="000000"/>
          <w:vertAlign w:val="superscript"/>
        </w:rPr>
        <w:t>2</w:t>
      </w:r>
      <w:r>
        <w:rPr>
          <w:rFonts w:ascii="Times New Roman"/>
          <w:b w:val="false"/>
          <w:i w:val="false"/>
          <w:color w:val="000000"/>
          <w:sz w:val="28"/>
        </w:rPr>
        <w:t xml:space="preserve">; если ребра жесткости установлены параллельно наружной обшивке или срезаны "на ус", следует принять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рж</w:t>
      </w:r>
      <w:r>
        <w:rPr>
          <w:rFonts w:ascii="Times New Roman"/>
          <w:b w:val="false"/>
          <w:i w:val="false"/>
          <w:color w:val="000000"/>
          <w:sz w:val="28"/>
        </w:rPr>
        <w:t xml:space="preserve">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подпункт 1) пункта 834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xml:space="preserve"> — подпункт 4)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подпункт 2)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измеренная вдоль наружной обшивки длина неподкрепленной части выреза в листовой конструкции для прохода обыкновенного шпангоута,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47" w:id="3363"/>
    <w:p>
      <w:pPr>
        <w:spacing w:after="0"/>
        <w:ind w:left="0"/>
        <w:jc w:val="both"/>
      </w:pPr>
      <w:r>
        <w:rPr>
          <w:rFonts w:ascii="Times New Roman"/>
          <w:b w:val="false"/>
          <w:i w:val="false"/>
          <w:color w:val="000000"/>
          <w:sz w:val="28"/>
        </w:rPr>
        <w:t>
      4) толщина листовых конструкций поперечных переборок при продольной системе набора борта, а также флоров и скуловых бракет при продольной системе набора днища не менее величины s</w:t>
      </w:r>
      <w:r>
        <w:rPr>
          <w:rFonts w:ascii="Times New Roman"/>
          <w:b w:val="false"/>
          <w:i w:val="false"/>
          <w:color w:val="000000"/>
          <w:vertAlign w:val="subscript"/>
        </w:rPr>
        <w:t>л3</w:t>
      </w:r>
      <w:r>
        <w:rPr>
          <w:rFonts w:ascii="Times New Roman"/>
          <w:b w:val="false"/>
          <w:i w:val="false"/>
          <w:color w:val="000000"/>
          <w:sz w:val="28"/>
        </w:rPr>
        <w:t>, мм, определяемой по формуле:</w:t>
      </w:r>
    </w:p>
    <w:bookmarkEnd w:id="3363"/>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л3</w:t>
      </w:r>
      <w:r>
        <w:rPr>
          <w:rFonts w:ascii="Times New Roman"/>
          <w:b w:val="false"/>
          <w:i w:val="false"/>
          <w:color w:val="000000"/>
          <w:sz w:val="28"/>
        </w:rPr>
        <w:t xml:space="preserve"> = s</w:t>
      </w:r>
      <w:r>
        <w:rPr>
          <w:rFonts w:ascii="Times New Roman"/>
          <w:b w:val="false"/>
          <w:i w:val="false"/>
          <w:color w:val="000000"/>
          <w:vertAlign w:val="subscript"/>
        </w:rPr>
        <w:t>л0</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(341)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л0</w:t>
      </w:r>
      <w:r>
        <w:rPr>
          <w:rFonts w:ascii="Times New Roman"/>
          <w:b w:val="false"/>
          <w:i w:val="false"/>
          <w:color w:val="000000"/>
          <w:sz w:val="28"/>
        </w:rPr>
        <w:t xml:space="preserve"> = </w:t>
      </w:r>
    </w:p>
    <w:p>
      <w:pPr>
        <w:spacing w:after="0"/>
        <w:ind w:left="0"/>
        <w:jc w:val="both"/>
      </w:pPr>
      <w:r>
        <w:drawing>
          <wp:inline distT="0" distB="0" distL="0" distR="0">
            <wp:extent cx="2705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27051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2921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g</w:t>
      </w:r>
      <w:r>
        <w:rPr>
          <w:rFonts w:ascii="Times New Roman"/>
          <w:b w:val="false"/>
          <w:i w:val="false"/>
          <w:color w:val="000000"/>
          <w:sz w:val="28"/>
        </w:rPr>
        <w:t xml:space="preserve"> = 0,4</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b</w:t>
      </w:r>
      <w:r>
        <w:rPr>
          <w:rFonts w:ascii="Times New Roman"/>
          <w:b w:val="false"/>
          <w:i w:val="false"/>
          <w:color w:val="000000"/>
          <w:sz w:val="28"/>
        </w:rPr>
        <w:t>, но не более k</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подпункт 2)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подпункт 4) пункта 822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бортовыми (днищевыми) продольными балками, 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н0</w:t>
      </w:r>
      <w:r>
        <w:rPr>
          <w:rFonts w:ascii="Times New Roman"/>
          <w:b w:val="false"/>
          <w:i w:val="false"/>
          <w:color w:val="000000"/>
          <w:sz w:val="28"/>
        </w:rPr>
        <w:t xml:space="preserve"> — пункт 814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48" w:id="3364"/>
    <w:p>
      <w:pPr>
        <w:spacing w:after="0"/>
        <w:ind w:left="0"/>
        <w:jc w:val="both"/>
      </w:pPr>
      <w:r>
        <w:rPr>
          <w:rFonts w:ascii="Times New Roman"/>
          <w:b w:val="false"/>
          <w:i w:val="false"/>
          <w:color w:val="000000"/>
          <w:sz w:val="28"/>
        </w:rPr>
        <w:t>
      5) толщина листовых конструкций поперечных переборок при поперечной системе набора борта, а также флоров при поперечной системе набора днища не менее величины s</w:t>
      </w:r>
      <w:r>
        <w:rPr>
          <w:rFonts w:ascii="Times New Roman"/>
          <w:b w:val="false"/>
          <w:i w:val="false"/>
          <w:color w:val="000000"/>
          <w:vertAlign w:val="subscript"/>
        </w:rPr>
        <w:t>л4</w:t>
      </w:r>
      <w:r>
        <w:rPr>
          <w:rFonts w:ascii="Times New Roman"/>
          <w:b w:val="false"/>
          <w:i w:val="false"/>
          <w:color w:val="000000"/>
          <w:sz w:val="28"/>
        </w:rPr>
        <w:t>, мм, определяемой по формуле:</w:t>
      </w:r>
    </w:p>
    <w:bookmarkEnd w:id="3364"/>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л4</w:t>
      </w:r>
      <w:r>
        <w:rPr>
          <w:rFonts w:ascii="Times New Roman"/>
          <w:b w:val="false"/>
          <w:i w:val="false"/>
          <w:color w:val="000000"/>
          <w:sz w:val="28"/>
        </w:rPr>
        <w:t xml:space="preserve"> = s</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(342)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л0</w:t>
      </w:r>
      <w:r>
        <w:rPr>
          <w:rFonts w:ascii="Times New Roman"/>
          <w:b w:val="false"/>
          <w:i w:val="false"/>
          <w:color w:val="000000"/>
          <w:sz w:val="28"/>
        </w:rPr>
        <w:t xml:space="preserve"> = </w:t>
      </w:r>
    </w:p>
    <w:p>
      <w:pPr>
        <w:spacing w:after="0"/>
        <w:ind w:left="0"/>
        <w:jc w:val="both"/>
      </w:pPr>
      <w:r>
        <w:drawing>
          <wp:inline distT="0" distB="0" distL="0" distR="0">
            <wp:extent cx="283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28321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0,4k</w:t>
      </w:r>
      <w:r>
        <w:rPr>
          <w:rFonts w:ascii="Times New Roman"/>
          <w:b w:val="false"/>
          <w:i w:val="false"/>
          <w:color w:val="000000"/>
          <w:vertAlign w:val="subscript"/>
        </w:rPr>
        <w:t>2</w:t>
      </w:r>
      <w:r>
        <w:rPr>
          <w:rFonts w:ascii="Times New Roman"/>
          <w:b w:val="false"/>
          <w:i w:val="false"/>
          <w:color w:val="000000"/>
          <w:sz w:val="28"/>
        </w:rPr>
        <w:t>b, но не более k</w:t>
      </w:r>
      <w:r>
        <w:rPr>
          <w:rFonts w:ascii="Times New Roman"/>
          <w:b w:val="false"/>
          <w:i w:val="false"/>
          <w:color w:val="000000"/>
          <w:vertAlign w:val="subscript"/>
        </w:rPr>
        <w:t>g</w:t>
      </w:r>
      <w:r>
        <w:rPr>
          <w:rFonts w:ascii="Times New Roman"/>
          <w:b w:val="false"/>
          <w:i w:val="false"/>
          <w:color w:val="000000"/>
          <w:sz w:val="28"/>
        </w:rPr>
        <w:t xml:space="preserve"> = с</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подпункт 2)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подпункт 4)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обыкновенными шпангоутами (для листовых конструкций переборок) или флорами (для листовых конструкций флоров), 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н0</w:t>
      </w:r>
      <w:r>
        <w:rPr>
          <w:rFonts w:ascii="Times New Roman"/>
          <w:b w:val="false"/>
          <w:i w:val="false"/>
          <w:color w:val="000000"/>
          <w:sz w:val="28"/>
        </w:rPr>
        <w:t xml:space="preserve"> — пункт 832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49" w:id="3365"/>
    <w:p>
      <w:pPr>
        <w:spacing w:after="0"/>
        <w:ind w:left="0"/>
        <w:jc w:val="both"/>
      </w:pPr>
      <w:r>
        <w:rPr>
          <w:rFonts w:ascii="Times New Roman"/>
          <w:b w:val="false"/>
          <w:i w:val="false"/>
          <w:color w:val="000000"/>
          <w:sz w:val="28"/>
        </w:rPr>
        <w:t>
      6) во всех случаях толщина листовых конструкций палуб и платформ, поперечных переборок, второго дна, флоров и скуловых бракет, днищевых стрингеров и вертикального киля не менее величины s</w:t>
      </w:r>
      <w:r>
        <w:rPr>
          <w:rFonts w:ascii="Times New Roman"/>
          <w:b w:val="false"/>
          <w:i w:val="false"/>
          <w:color w:val="000000"/>
          <w:vertAlign w:val="subscript"/>
        </w:rPr>
        <w:t>л</w:t>
      </w:r>
      <w:r>
        <w:rPr>
          <w:rFonts w:ascii="Times New Roman"/>
          <w:b w:val="false"/>
          <w:i w:val="false"/>
          <w:color w:val="000000"/>
          <w:sz w:val="28"/>
        </w:rPr>
        <w:t>, мм, определяемой по формуле:</w:t>
      </w:r>
    </w:p>
    <w:bookmarkEnd w:id="3365"/>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w:t>
      </w:r>
      <w:r>
        <w:rPr>
          <w:rFonts w:ascii="Times New Roman"/>
          <w:b w:val="false"/>
          <w:i w:val="false"/>
          <w:color w:val="000000"/>
          <w:sz w:val="28"/>
        </w:rPr>
        <w:t xml:space="preserve"> = s</w:t>
      </w:r>
      <w:r>
        <w:rPr>
          <w:rFonts w:ascii="Times New Roman"/>
          <w:b w:val="false"/>
          <w:i w:val="false"/>
          <w:color w:val="000000"/>
          <w:vertAlign w:val="subscript"/>
        </w:rPr>
        <w:t>л0</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(343)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л0</w:t>
      </w:r>
      <w:r>
        <w:rPr>
          <w:rFonts w:ascii="Times New Roman"/>
          <w:b w:val="false"/>
          <w:i w:val="false"/>
          <w:color w:val="000000"/>
          <w:sz w:val="28"/>
        </w:rPr>
        <w:t xml:space="preserve"> = </w:t>
      </w:r>
    </w:p>
    <w:p>
      <w:pPr>
        <w:spacing w:after="0"/>
        <w:ind w:left="0"/>
        <w:jc w:val="both"/>
      </w:pPr>
      <w:r>
        <w:drawing>
          <wp:inline distT="0" distB="0" distL="0" distR="0">
            <wp:extent cx="29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92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при </w:t>
      </w:r>
      <w:r>
        <w:rPr>
          <w:rFonts w:ascii="Times New Roman"/>
          <w:b w:val="false"/>
          <w:i/>
          <w:color w:val="000000"/>
          <w:sz w:val="28"/>
        </w:rPr>
        <w:t xml:space="preserve">q </w:t>
      </w:r>
      <w:r>
        <w:rPr>
          <w:rFonts w:ascii="Times New Roman"/>
          <w:b w:val="false"/>
          <w:i w:val="false"/>
          <w:color w:val="000000"/>
          <w:sz w:val="28"/>
          <w:u w:val="single"/>
        </w:rPr>
        <w:t>&lt;</w:t>
      </w:r>
      <w:r>
        <w:rPr>
          <w:rFonts w:ascii="Times New Roman"/>
          <w:b w:val="false"/>
          <w:i w:val="false"/>
          <w:color w:val="000000"/>
          <w:sz w:val="28"/>
        </w:rPr>
        <w:t xml:space="preserve"> q1;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л0</w:t>
      </w:r>
      <w:r>
        <w:rPr>
          <w:rFonts w:ascii="Times New Roman"/>
          <w:b w:val="false"/>
          <w:i w:val="false"/>
          <w:color w:val="000000"/>
          <w:sz w:val="28"/>
        </w:rPr>
        <w:t xml:space="preserve"> = 0,455•[</w:t>
      </w:r>
    </w:p>
    <w:p>
      <w:pPr>
        <w:spacing w:after="0"/>
        <w:ind w:left="0"/>
        <w:jc w:val="both"/>
      </w:pPr>
      <w:r>
        <w:drawing>
          <wp:inline distT="0" distB="0" distL="0" distR="0">
            <wp:extent cx="175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1752600" cy="520700"/>
                    </a:xfrm>
                    <a:prstGeom prst="rect">
                      <a:avLst/>
                    </a:prstGeom>
                  </pic:spPr>
                </pic:pic>
              </a:graphicData>
            </a:graphic>
          </wp:inline>
        </w:drawing>
      </w:r>
    </w:p>
    <w:p>
      <w:pPr>
        <w:spacing w:after="0"/>
        <w:ind w:left="0"/>
        <w:jc w:val="left"/>
      </w:pPr>
      <w:r>
        <w:rPr>
          <w:rFonts w:ascii="Times New Roman"/>
          <w:b w:val="false"/>
          <w:i w:val="false"/>
          <w:color w:val="000000"/>
          <w:sz w:val="28"/>
        </w:rPr>
        <w:t>] при q</w:t>
      </w:r>
      <w:r>
        <w:rPr>
          <w:rFonts w:ascii="Times New Roman"/>
          <w:b w:val="false"/>
          <w:i w:val="false"/>
          <w:color w:val="000000"/>
          <w:vertAlign w:val="subscript"/>
        </w:rPr>
        <w:t>1</w:t>
      </w:r>
      <w:r>
        <w:rPr>
          <w:rFonts w:ascii="Times New Roman"/>
          <w:b w:val="false"/>
          <w:i w:val="false"/>
          <w:color w:val="000000"/>
          <w:sz w:val="28"/>
        </w:rPr>
        <w:t xml:space="preserve"> &lt; q &lt; q</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л0</w:t>
      </w:r>
      <w:r>
        <w:rPr>
          <w:rFonts w:ascii="Times New Roman"/>
          <w:b w:val="false"/>
          <w:i w:val="false"/>
          <w:color w:val="000000"/>
          <w:sz w:val="28"/>
        </w:rPr>
        <w:t xml:space="preserve"> = 1,73</w:t>
      </w:r>
    </w:p>
    <w:p>
      <w:pPr>
        <w:spacing w:after="0"/>
        <w:ind w:left="0"/>
        <w:jc w:val="both"/>
      </w:pPr>
      <w:r>
        <w:drawing>
          <wp:inline distT="0" distB="0" distL="0" distR="0">
            <wp:extent cx="43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431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q </w:t>
      </w:r>
      <w:r>
        <w:rPr>
          <w:rFonts w:ascii="Times New Roman"/>
          <w:b w:val="false"/>
          <w:i w:val="false"/>
          <w:color w:val="000000"/>
          <w:sz w:val="28"/>
          <w:u w:val="single"/>
        </w:rPr>
        <w:t>&gt;</w:t>
      </w:r>
      <w:r>
        <w:rPr>
          <w:rFonts w:ascii="Times New Roman"/>
          <w:b w:val="false"/>
          <w:i w:val="false"/>
          <w:color w:val="000000"/>
          <w:sz w:val="28"/>
        </w:rPr>
        <w:t xml:space="preserve"> q</w:t>
      </w:r>
      <w:r>
        <w:rPr>
          <w:rFonts w:ascii="Times New Roman"/>
          <w:b w:val="false"/>
          <w:i w:val="false"/>
          <w:color w:val="000000"/>
          <w:vertAlign w:val="subscript"/>
        </w:rPr>
        <w:t>2</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0,6p</w:t>
      </w:r>
      <w:r>
        <w:rPr>
          <w:rFonts w:ascii="Times New Roman"/>
          <w:b w:val="false"/>
          <w:i w:val="false"/>
          <w:color w:val="000000"/>
          <w:vertAlign w:val="subscript"/>
        </w:rPr>
        <w:t>1</w:t>
      </w:r>
      <w:r>
        <w:rPr>
          <w:rFonts w:ascii="Times New Roman"/>
          <w:b w:val="false"/>
          <w:i w:val="false"/>
          <w:color w:val="000000"/>
          <w:sz w:val="28"/>
        </w:rPr>
        <w:t xml:space="preserve">b(1 – </w:t>
      </w:r>
    </w:p>
    <w:p>
      <w:pPr>
        <w:spacing w:after="0"/>
        <w:ind w:left="0"/>
        <w:jc w:val="both"/>
      </w:pP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508000" cy="444500"/>
                    </a:xfrm>
                    <a:prstGeom prst="rect">
                      <a:avLst/>
                    </a:prstGeom>
                  </pic:spPr>
                </pic:pic>
              </a:graphicData>
            </a:graphic>
          </wp:inline>
        </w:drawing>
      </w:r>
    </w:p>
    <w:p>
      <w:pPr>
        <w:spacing w:after="0"/>
        <w:ind w:left="0"/>
        <w:jc w:val="left"/>
      </w:pPr>
      <w:r>
        <w:rPr>
          <w:rFonts w:ascii="Times New Roman"/>
          <w:b w:val="false"/>
          <w:i w:val="false"/>
          <w:color w:val="000000"/>
          <w:sz w:val="28"/>
        </w:rPr>
        <w:t>) — для листовых конструкций палуб и платформ, второго дна, днищевых стрингеров и вертикального киля при продольной системе набора борта или днища;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0,89р</w:t>
      </w:r>
      <w:r>
        <w:rPr>
          <w:rFonts w:ascii="Times New Roman"/>
          <w:b w:val="false"/>
          <w:i w:val="false"/>
          <w:color w:val="000000"/>
          <w:vertAlign w:val="subscript"/>
        </w:rPr>
        <w:t>2</w:t>
      </w:r>
      <w:r>
        <w:rPr>
          <w:rFonts w:ascii="Times New Roman"/>
          <w:b w:val="false"/>
          <w:i w:val="false"/>
          <w:color w:val="000000"/>
          <w:sz w:val="28"/>
        </w:rPr>
        <w:t>а — для остальных листовых конструкций при продольной, а также всех листовых конструкций при поперечной системе набора днища и борта;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подпункт 2)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подпункт 4)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0,353</w:t>
      </w:r>
    </w:p>
    <w:p>
      <w:pPr>
        <w:spacing w:after="0"/>
        <w:ind w:left="0"/>
        <w:jc w:val="both"/>
      </w:pPr>
      <w:r>
        <w:drawing>
          <wp:inline distT="0" distB="0" distL="0" distR="0">
            <wp:extent cx="469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4699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2</w:t>
      </w:r>
      <w:r>
        <w:rPr>
          <w:rFonts w:ascii="Times New Roman"/>
          <w:b w:val="false"/>
          <w:i w:val="false"/>
          <w:color w:val="000000"/>
          <w:sz w:val="28"/>
        </w:rPr>
        <w:t xml:space="preserve"> = 4,9q</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p>
    <w:p>
      <w:pPr>
        <w:spacing w:after="0"/>
        <w:ind w:left="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5715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[1 + (</w:t>
      </w:r>
    </w:p>
    <w:p>
      <w:pPr>
        <w:spacing w:after="0"/>
        <w:ind w:left="0"/>
        <w:jc w:val="both"/>
      </w:pPr>
      <w:r>
        <w:drawing>
          <wp:inline distT="0" distB="0" distL="0" distR="0">
            <wp:extent cx="215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159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если к наружной обшивке примыкает длинная сторона панели листовой конструкции;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4 — если к наружной обшивке примыкает короткая сторона панели листовой конструкции;</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короткая и длинная стороны панелей, на которые листовая конструкция разбивается подкрепляющим ее набором,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балками основного набора наружной обшивки,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 пункт 139 настоящих Правил;</w:t>
      </w:r>
      <w:r>
        <w:br/>
      </w:r>
      <w:r>
        <w:rPr>
          <w:rFonts w:ascii="Times New Roman"/>
          <w:b w:val="false"/>
          <w:i w:val="false"/>
          <w:color w:val="000000"/>
          <w:sz w:val="28"/>
        </w:rPr>
        <w:t>
</w:t>
      </w:r>
    </w:p>
    <w:bookmarkStart w:name="z3350" w:id="3366"/>
    <w:p>
      <w:pPr>
        <w:spacing w:after="0"/>
        <w:ind w:left="0"/>
        <w:jc w:val="both"/>
      </w:pPr>
      <w:r>
        <w:rPr>
          <w:rFonts w:ascii="Times New Roman"/>
          <w:b w:val="false"/>
          <w:i w:val="false"/>
          <w:color w:val="000000"/>
          <w:sz w:val="28"/>
        </w:rPr>
        <w:t xml:space="preserve">
      7) момент инерции,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ребер жесткости, подкрепляющих листовые конструкции и установленных в направлении, близком к перпендикулярному к наружной обшивке, не менее определяемого по формуле:</w:t>
      </w:r>
    </w:p>
    <w:bookmarkEnd w:id="336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0,01R</w:t>
      </w:r>
      <w:r>
        <w:rPr>
          <w:rFonts w:ascii="Times New Roman"/>
          <w:b w:val="false"/>
          <w:i w:val="false"/>
          <w:color w:val="000000"/>
          <w:vertAlign w:val="subscript"/>
        </w:rPr>
        <w:t>eH</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(10s</w:t>
      </w:r>
      <w:r>
        <w:rPr>
          <w:rFonts w:ascii="Times New Roman"/>
          <w:b w:val="false"/>
          <w:i w:val="false"/>
          <w:color w:val="000000"/>
          <w:vertAlign w:val="subscript"/>
        </w:rPr>
        <w:t>лк</w:t>
      </w:r>
      <w:r>
        <w:rPr>
          <w:rFonts w:ascii="Times New Roman"/>
          <w:b w:val="false"/>
          <w:i/>
          <w:color w:val="000000"/>
          <w:sz w:val="28"/>
        </w:rPr>
        <w:t>a</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(344)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пролета ребра жесткости, м, но не более </w:t>
      </w:r>
      <w:r>
        <w:rPr>
          <w:rFonts w:ascii="Times New Roman"/>
          <w:b w:val="false"/>
          <w:i/>
          <w:color w:val="000000"/>
          <w:sz w:val="28"/>
        </w:rPr>
        <w:t>l</w:t>
      </w:r>
      <w:r>
        <w:rPr>
          <w:rFonts w:ascii="Times New Roman"/>
          <w:b w:val="false"/>
          <w:i w:val="false"/>
          <w:color w:val="000000"/>
          <w:sz w:val="28"/>
        </w:rPr>
        <w:t xml:space="preserve"> = 6</w:t>
      </w:r>
      <w:r>
        <w:rPr>
          <w:rFonts w:ascii="Times New Roman"/>
          <w:b w:val="false"/>
          <w:i/>
          <w:color w:val="000000"/>
          <w:sz w:val="28"/>
        </w:rPr>
        <w:t>а</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лк</w:t>
      </w:r>
      <w:r>
        <w:rPr>
          <w:rFonts w:ascii="Times New Roman"/>
          <w:b w:val="false"/>
          <w:i w:val="false"/>
          <w:color w:val="000000"/>
          <w:sz w:val="28"/>
        </w:rPr>
        <w:t xml:space="preserve"> — толщина подкрепляемой листовой конструкции,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подкрепляющими ребрами жесткости,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xml:space="preserve"> — площадь поперечного сечения ребра жесткости без присоединенного пояска,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3351" w:id="3367"/>
    <w:p>
      <w:pPr>
        <w:spacing w:after="0"/>
        <w:ind w:left="0"/>
        <w:jc w:val="both"/>
      </w:pPr>
      <w:r>
        <w:rPr>
          <w:rFonts w:ascii="Times New Roman"/>
          <w:b w:val="false"/>
          <w:i w:val="false"/>
          <w:color w:val="000000"/>
          <w:sz w:val="28"/>
        </w:rPr>
        <w:t>
      8) горизонтальное перекрытие, примыкающее к наружной обшивке в районе ледовых усилений, но не простирающееся от борта до борта судна (палуба или платформа в районе больших вырезов, горизонтальная диафрагма двойного борта), рассматривается как платформа в случае, если площадь поперечного сечения настила (с одного борта) не менее величины F, см</w:t>
      </w:r>
      <w:r>
        <w:rPr>
          <w:rFonts w:ascii="Times New Roman"/>
          <w:b w:val="false"/>
          <w:i w:val="false"/>
          <w:color w:val="000000"/>
          <w:vertAlign w:val="superscript"/>
        </w:rPr>
        <w:t>2</w:t>
      </w:r>
      <w:r>
        <w:rPr>
          <w:rFonts w:ascii="Times New Roman"/>
          <w:b w:val="false"/>
          <w:i w:val="false"/>
          <w:color w:val="000000"/>
          <w:sz w:val="28"/>
        </w:rPr>
        <w:t>, определяемой по формуле:</w:t>
      </w:r>
    </w:p>
    <w:bookmarkEnd w:id="336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w:t>
      </w:r>
    </w:p>
    <w:p>
      <w:pPr>
        <w:spacing w:after="0"/>
        <w:ind w:left="0"/>
        <w:jc w:val="both"/>
      </w:pPr>
      <w:r>
        <w:drawing>
          <wp:inline distT="0" distB="0" distL="0" distR="0">
            <wp:extent cx="99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990600" cy="482600"/>
                    </a:xfrm>
                    <a:prstGeom prst="rect">
                      <a:avLst/>
                    </a:prstGeom>
                  </pic:spPr>
                </pic:pic>
              </a:graphicData>
            </a:graphic>
          </wp:inline>
        </w:drawing>
      </w:r>
    </w:p>
    <w:p>
      <w:pPr>
        <w:spacing w:after="0"/>
        <w:ind w:left="0"/>
        <w:jc w:val="left"/>
      </w:pPr>
      <w:r>
        <w:rPr>
          <w:rFonts w:ascii="Times New Roman"/>
          <w:b w:val="false"/>
          <w:i w:val="false"/>
          <w:color w:val="000000"/>
          <w:sz w:val="28"/>
        </w:rPr>
        <w:t>,                     (345)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пункт 826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пункт 827 настоящих Правил;</w:t>
      </w:r>
    </w:p>
    <w:p>
      <w:pPr>
        <w:spacing w:after="0"/>
        <w:ind w:left="0"/>
        <w:jc w:val="both"/>
      </w:pPr>
      <w:r>
        <w:rPr>
          <w:rFonts w:ascii="Times New Roman"/>
          <w:b w:val="false"/>
          <w:i w:val="false"/>
          <w:color w:val="000000"/>
          <w:sz w:val="28"/>
        </w:rPr>
        <w:t xml:space="preserve">
      l* — расчетная длина распределения воспринимаемой нагрузки, м, для монотонной поперечной системы набора борта, принимаемая равной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а для системы набора с рамными шпангоутами (поперечной или продольной) —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или 2</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в зависимости от того, что меньше;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пункт 828 настоящих Правил;</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подпункт 4) пункта 835 настоящих Правил;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подпункт 3) настоящего пункта.</w:t>
      </w:r>
    </w:p>
    <w:bookmarkStart w:name="z3352" w:id="3368"/>
    <w:p>
      <w:pPr>
        <w:spacing w:after="0"/>
        <w:ind w:left="0"/>
        <w:jc w:val="both"/>
      </w:pPr>
      <w:r>
        <w:rPr>
          <w:rFonts w:ascii="Times New Roman"/>
          <w:b w:val="false"/>
          <w:i w:val="false"/>
          <w:color w:val="000000"/>
          <w:sz w:val="28"/>
        </w:rPr>
        <w:t>
      В противном случае эту конструкцию следует считать несущим бортовым стрингером.</w:t>
      </w:r>
    </w:p>
    <w:bookmarkEnd w:id="3368"/>
    <w:bookmarkStart w:name="z3353" w:id="3369"/>
    <w:p>
      <w:pPr>
        <w:spacing w:after="0"/>
        <w:ind w:left="0"/>
        <w:jc w:val="both"/>
      </w:pPr>
      <w:r>
        <w:rPr>
          <w:rFonts w:ascii="Times New Roman"/>
          <w:b w:val="false"/>
          <w:i w:val="false"/>
          <w:color w:val="000000"/>
          <w:sz w:val="28"/>
        </w:rPr>
        <w:t>
      Конструкция, рассматриваемая как платформа, отвечает требованиям настоящего пункта к листовым конструкциям платформ, а рассматриваемая как стрингер — требованиям пункта 835 настоящих Правил.</w:t>
      </w:r>
    </w:p>
    <w:bookmarkEnd w:id="3369"/>
    <w:bookmarkStart w:name="z3354" w:id="3370"/>
    <w:p>
      <w:pPr>
        <w:spacing w:after="0"/>
        <w:ind w:left="0"/>
        <w:jc w:val="both"/>
      </w:pPr>
      <w:r>
        <w:rPr>
          <w:rFonts w:ascii="Times New Roman"/>
          <w:b w:val="false"/>
          <w:i w:val="false"/>
          <w:color w:val="000000"/>
          <w:sz w:val="28"/>
        </w:rPr>
        <w:t>
      841. Штевни отвечают следующим требованиям:</w:t>
      </w:r>
    </w:p>
    <w:bookmarkEnd w:id="3370"/>
    <w:bookmarkStart w:name="z3355" w:id="3371"/>
    <w:p>
      <w:pPr>
        <w:spacing w:after="0"/>
        <w:ind w:left="0"/>
        <w:jc w:val="both"/>
      </w:pPr>
      <w:r>
        <w:rPr>
          <w:rFonts w:ascii="Times New Roman"/>
          <w:b w:val="false"/>
          <w:i w:val="false"/>
          <w:color w:val="000000"/>
          <w:sz w:val="28"/>
        </w:rPr>
        <w:t xml:space="preserve">
      1) требования настоящего пункта к площади, моменту сопротивления поперечного сечения и толщине листов форштевня выполняют на участке форштевня от киля до уровня выше верхней границы ледового пояса на величину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(приложение 144 настоящих Правил). Для ледоколов этот участок форштевня продлевается до ближайшей палубы или платформы, расположенной выше указанного уровня. Вне границ рассматриваемого участка размеры форштевня постепенно уменьшаются. При этом площадь поперечного сечения бруска или прутка не менее требуемой в параграфе 2 главы 24 настоящих Правил, а толщина листов комбинированного или листового форштевня — не менее </w:t>
      </w:r>
      <w:r>
        <w:rPr>
          <w:rFonts w:ascii="Times New Roman"/>
          <w:b w:val="false"/>
          <w:i/>
          <w:color w:val="000000"/>
          <w:sz w:val="28"/>
        </w:rPr>
        <w:t>ks</w:t>
      </w:r>
      <w:r>
        <w:rPr>
          <w:rFonts w:ascii="Times New Roman"/>
          <w:b w:val="false"/>
          <w:i w:val="false"/>
          <w:color w:val="000000"/>
          <w:sz w:val="28"/>
        </w:rPr>
        <w:t xml:space="preserve"> (где s — толщина обшивки ледового пояса в районе AI; </w:t>
      </w:r>
      <w:r>
        <w:rPr>
          <w:rFonts w:ascii="Times New Roman"/>
          <w:b w:val="false"/>
          <w:i/>
          <w:color w:val="000000"/>
          <w:sz w:val="28"/>
        </w:rPr>
        <w:t>k</w:t>
      </w:r>
      <w:r>
        <w:rPr>
          <w:rFonts w:ascii="Times New Roman"/>
          <w:b w:val="false"/>
          <w:i w:val="false"/>
          <w:color w:val="000000"/>
          <w:sz w:val="28"/>
        </w:rPr>
        <w:t xml:space="preserve"> — приложение 144 настоящих Правил).</w:t>
      </w:r>
    </w:p>
    <w:bookmarkEnd w:id="3371"/>
    <w:bookmarkStart w:name="z3356" w:id="3372"/>
    <w:p>
      <w:pPr>
        <w:spacing w:after="0"/>
        <w:ind w:left="0"/>
        <w:jc w:val="both"/>
      </w:pPr>
      <w:r>
        <w:rPr>
          <w:rFonts w:ascii="Times New Roman"/>
          <w:b w:val="false"/>
          <w:i w:val="false"/>
          <w:color w:val="000000"/>
          <w:sz w:val="28"/>
        </w:rPr>
        <w:t>
      Площадь поперечного сечения S, см</w:t>
      </w:r>
      <w:r>
        <w:rPr>
          <w:rFonts w:ascii="Times New Roman"/>
          <w:b w:val="false"/>
          <w:i w:val="false"/>
          <w:color w:val="000000"/>
          <w:vertAlign w:val="superscript"/>
        </w:rPr>
        <w:t>2</w:t>
      </w:r>
      <w:r>
        <w:rPr>
          <w:rFonts w:ascii="Times New Roman"/>
          <w:b w:val="false"/>
          <w:i w:val="false"/>
          <w:color w:val="000000"/>
          <w:sz w:val="28"/>
        </w:rPr>
        <w:t>, форштевня любой конструкции не менее определенной по формуле:</w:t>
      </w:r>
    </w:p>
    <w:bookmarkEnd w:id="337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k</w:t>
      </w:r>
      <w:r>
        <w:rPr>
          <w:rFonts w:ascii="Times New Roman"/>
          <w:b w:val="false"/>
          <w:i w:val="false"/>
          <w:color w:val="000000"/>
          <w:vertAlign w:val="subscript"/>
        </w:rPr>
        <w:t>k</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(346)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k</w:t>
      </w:r>
      <w:r>
        <w:rPr>
          <w:rFonts w:ascii="Times New Roman"/>
          <w:b w:val="false"/>
          <w:i w:val="false"/>
          <w:color w:val="000000"/>
          <w:sz w:val="28"/>
        </w:rPr>
        <w:t xml:space="preserve"> — коэффициент, значения которого приведены в приложении 144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73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т.</w:t>
      </w:r>
      <w:r>
        <w:br/>
      </w:r>
      <w:r>
        <w:rPr>
          <w:rFonts w:ascii="Times New Roman"/>
          <w:b w:val="false"/>
          <w:i w:val="false"/>
          <w:color w:val="000000"/>
          <w:sz w:val="28"/>
        </w:rPr>
        <w:t>
</w:t>
      </w:r>
    </w:p>
    <w:bookmarkStart w:name="z3357" w:id="3373"/>
    <w:p>
      <w:pPr>
        <w:spacing w:after="0"/>
        <w:ind w:left="0"/>
        <w:jc w:val="both"/>
      </w:pPr>
      <w:r>
        <w:rPr>
          <w:rFonts w:ascii="Times New Roman"/>
          <w:b w:val="false"/>
          <w:i w:val="false"/>
          <w:color w:val="000000"/>
          <w:sz w:val="28"/>
        </w:rPr>
        <w:t>
      Момент сопротивления W, см</w:t>
      </w:r>
      <w:r>
        <w:rPr>
          <w:rFonts w:ascii="Times New Roman"/>
          <w:b w:val="false"/>
          <w:i w:val="false"/>
          <w:color w:val="000000"/>
          <w:vertAlign w:val="superscript"/>
        </w:rPr>
        <w:t>3</w:t>
      </w:r>
      <w:r>
        <w:rPr>
          <w:rFonts w:ascii="Times New Roman"/>
          <w:b w:val="false"/>
          <w:i w:val="false"/>
          <w:color w:val="000000"/>
          <w:sz w:val="28"/>
        </w:rPr>
        <w:t>, поперечного сечения форштевня относительно оси, перпендикулярной к диаметральной плоскости, не менее определяемого по формуле:</w:t>
      </w:r>
    </w:p>
    <w:bookmarkEnd w:id="337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1,16</w:t>
      </w:r>
      <w:r>
        <w:rPr>
          <w:rFonts w:ascii="Times New Roman"/>
          <w:b w:val="false"/>
          <w:i/>
          <w:color w:val="000000"/>
          <w:sz w:val="28"/>
        </w:rPr>
        <w:t>pb</w:t>
      </w:r>
      <w:r>
        <w:rPr>
          <w:rFonts w:ascii="Times New Roman"/>
          <w:b w:val="false"/>
          <w:i w:val="false"/>
          <w:color w:val="000000"/>
          <w:sz w:val="28"/>
        </w:rPr>
        <w:t>,                       (347)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подпункт 1) пункта 834 настоящих Правил для района ледовых усилений AI.</w:t>
      </w:r>
    </w:p>
    <w:bookmarkStart w:name="z3358" w:id="3374"/>
    <w:p>
      <w:pPr>
        <w:spacing w:after="0"/>
        <w:ind w:left="0"/>
        <w:jc w:val="both"/>
      </w:pPr>
      <w:r>
        <w:rPr>
          <w:rFonts w:ascii="Times New Roman"/>
          <w:b w:val="false"/>
          <w:i w:val="false"/>
          <w:color w:val="000000"/>
          <w:sz w:val="28"/>
        </w:rPr>
        <w:t>
      В расчетное поперечное сечение форштевня комбинированной или листовой конструкции засчитываются участки примыкающих к форштевню листов наружной обшивки и вертикального листа или продольной переборки в диаметральной плоскости на ширине не более десяти толщин соответствующих листов.</w:t>
      </w:r>
    </w:p>
    <w:bookmarkEnd w:id="3374"/>
    <w:bookmarkStart w:name="z3359" w:id="3375"/>
    <w:p>
      <w:pPr>
        <w:spacing w:after="0"/>
        <w:ind w:left="0"/>
        <w:jc w:val="both"/>
      </w:pPr>
      <w:r>
        <w:rPr>
          <w:rFonts w:ascii="Times New Roman"/>
          <w:b w:val="false"/>
          <w:i w:val="false"/>
          <w:color w:val="000000"/>
          <w:sz w:val="28"/>
        </w:rPr>
        <w:t>
      Толщина листов форштевня s, мм, комбинированной или листовой конструкции, а также конструкции согласно приложению 127 настоящих Правил не менее определяемой по формуле:</w:t>
      </w:r>
    </w:p>
    <w:bookmarkEnd w:id="33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19050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н0</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пункт 832 для района ледовых усилений AI;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б</w:t>
      </w:r>
      <w:r>
        <w:rPr>
          <w:rFonts w:ascii="Times New Roman"/>
          <w:b w:val="false"/>
          <w:i w:val="false"/>
          <w:color w:val="000000"/>
          <w:sz w:val="28"/>
        </w:rPr>
        <w:t xml:space="preserve"> — расстояние между поперечными бракетами форштевня, м;</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н</w:t>
      </w:r>
      <w:r>
        <w:rPr>
          <w:rFonts w:ascii="Times New Roman"/>
          <w:b w:val="false"/>
          <w:i w:val="false"/>
          <w:color w:val="000000"/>
          <w:sz w:val="28"/>
        </w:rPr>
        <w:t xml:space="preserve"> — шпация основного набора наружной обшивки в районе усилений AI, которая использовалась при вычислении s</w:t>
      </w:r>
      <w:r>
        <w:rPr>
          <w:rFonts w:ascii="Times New Roman"/>
          <w:b w:val="false"/>
          <w:i w:val="false"/>
          <w:color w:val="000000"/>
          <w:vertAlign w:val="subscript"/>
        </w:rPr>
        <w:t>н0</w:t>
      </w:r>
      <w:r>
        <w:rPr>
          <w:rFonts w:ascii="Times New Roman"/>
          <w:b w:val="false"/>
          <w:i w:val="false"/>
          <w:color w:val="000000"/>
          <w:sz w:val="28"/>
        </w:rPr>
        <w:t>, м;</w:t>
      </w:r>
    </w:p>
    <w:p>
      <w:pPr>
        <w:spacing w:after="0"/>
        <w:ind w:left="0"/>
        <w:jc w:val="both"/>
      </w:pPr>
      <w:r>
        <w:rPr>
          <w:rFonts w:ascii="Times New Roman"/>
          <w:b w:val="false"/>
          <w:i w:val="false"/>
          <w:color w:val="000000"/>
          <w:sz w:val="28"/>
        </w:rPr>
        <w:t>
      R</w:t>
      </w:r>
    </w:p>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03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 текучести материала наружной обшивки, который использовался при вычислении s</w:t>
      </w:r>
      <w:r>
        <w:rPr>
          <w:rFonts w:ascii="Times New Roman"/>
          <w:b w:val="false"/>
          <w:i w:val="false"/>
          <w:color w:val="000000"/>
          <w:vertAlign w:val="subscript"/>
        </w:rPr>
        <w:t>н0</w:t>
      </w:r>
      <w:r>
        <w:rPr>
          <w:rFonts w:ascii="Times New Roman"/>
          <w:b w:val="false"/>
          <w:i w:val="false"/>
          <w:color w:val="000000"/>
          <w:sz w:val="28"/>
        </w:rPr>
        <w:t>,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предел текучести материала листов форштевня, МПа;</w:t>
      </w:r>
    </w:p>
    <w:bookmarkStart w:name="z3360" w:id="3376"/>
    <w:p>
      <w:pPr>
        <w:spacing w:after="0"/>
        <w:ind w:left="0"/>
        <w:jc w:val="both"/>
      </w:pPr>
      <w:r>
        <w:rPr>
          <w:rFonts w:ascii="Times New Roman"/>
          <w:b w:val="false"/>
          <w:i w:val="false"/>
          <w:color w:val="000000"/>
          <w:sz w:val="28"/>
        </w:rPr>
        <w:t>
      2) ахтерштевень:</w:t>
      </w:r>
    </w:p>
    <w:bookmarkEnd w:id="3376"/>
    <w:bookmarkStart w:name="z3361" w:id="3377"/>
    <w:p>
      <w:pPr>
        <w:spacing w:after="0"/>
        <w:ind w:left="0"/>
        <w:jc w:val="both"/>
      </w:pPr>
      <w:r>
        <w:rPr>
          <w:rFonts w:ascii="Times New Roman"/>
          <w:b w:val="false"/>
          <w:i w:val="false"/>
          <w:color w:val="000000"/>
          <w:sz w:val="28"/>
        </w:rPr>
        <w:t>
      Площадь поперечного сечения старнпоста или рудерпоста S, см</w:t>
      </w:r>
      <w:r>
        <w:rPr>
          <w:rFonts w:ascii="Times New Roman"/>
          <w:b w:val="false"/>
          <w:i w:val="false"/>
          <w:color w:val="000000"/>
          <w:vertAlign w:val="superscript"/>
        </w:rPr>
        <w:t>2</w:t>
      </w:r>
      <w:r>
        <w:rPr>
          <w:rFonts w:ascii="Times New Roman"/>
          <w:b w:val="false"/>
          <w:i w:val="false"/>
          <w:color w:val="000000"/>
          <w:sz w:val="28"/>
        </w:rPr>
        <w:t>, определяется по формуле:</w:t>
      </w:r>
    </w:p>
    <w:bookmarkEnd w:id="337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kS</w:t>
      </w:r>
      <w:r>
        <w:rPr>
          <w:rFonts w:ascii="Times New Roman"/>
          <w:b w:val="false"/>
          <w:i w:val="false"/>
          <w:color w:val="000000"/>
          <w:vertAlign w:val="subscript"/>
        </w:rPr>
        <w:t>0</w:t>
      </w:r>
      <w:r>
        <w:rPr>
          <w:rFonts w:ascii="Times New Roman"/>
          <w:b w:val="false"/>
          <w:i w:val="false"/>
          <w:color w:val="000000"/>
          <w:sz w:val="28"/>
        </w:rPr>
        <w:t>,                     (349)</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коэффициент, принимаемый согласно приложению 145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площадь поперечного сечения старнпоста или рудерпоста, см</w:t>
      </w:r>
      <w:r>
        <w:rPr>
          <w:rFonts w:ascii="Times New Roman"/>
          <w:b w:val="false"/>
          <w:i w:val="false"/>
          <w:color w:val="000000"/>
          <w:vertAlign w:val="superscript"/>
        </w:rPr>
        <w:t>2</w:t>
      </w:r>
      <w:r>
        <w:rPr>
          <w:rFonts w:ascii="Times New Roman"/>
          <w:b w:val="false"/>
          <w:i w:val="false"/>
          <w:color w:val="000000"/>
          <w:sz w:val="28"/>
        </w:rPr>
        <w:t>, требуемая для судна, не имеющего категории ледовых усилений, согласно параграфу 2 главы 24 настоящих Правил.</w:t>
      </w:r>
    </w:p>
    <w:bookmarkStart w:name="z3362" w:id="3378"/>
    <w:p>
      <w:pPr>
        <w:spacing w:after="0"/>
        <w:ind w:left="0"/>
        <w:jc w:val="both"/>
      </w:pPr>
      <w:r>
        <w:rPr>
          <w:rFonts w:ascii="Times New Roman"/>
          <w:b w:val="false"/>
          <w:i w:val="false"/>
          <w:color w:val="000000"/>
          <w:sz w:val="28"/>
        </w:rPr>
        <w:t>
      Для ахтерштевня одновальных судов с ледовыми усилениями категорий Ice1, Ice2, Ice3, не имеющих рудерпоста или имеющих шпиндель для рулей типа "Симплекс", размеры поперечного сечения подошвы ахтерштевня принимаются наибольшими, исходя из требуемых согласно подпункту 5) пункта 519 (с учетом пункта 926 настоящих Правил) или по формуле (349) настоящих Правил, в зависимости от того, что больше.</w:t>
      </w:r>
    </w:p>
    <w:bookmarkEnd w:id="3378"/>
    <w:bookmarkStart w:name="z3363" w:id="3379"/>
    <w:p>
      <w:pPr>
        <w:spacing w:after="0"/>
        <w:ind w:left="0"/>
        <w:jc w:val="both"/>
      </w:pPr>
      <w:r>
        <w:rPr>
          <w:rFonts w:ascii="Times New Roman"/>
          <w:b w:val="false"/>
          <w:i w:val="false"/>
          <w:color w:val="000000"/>
          <w:sz w:val="28"/>
        </w:rPr>
        <w:t>
      Если ахтерштевень имеет кронштейн для полуподвесного руля, то размеры кронштейна определяется согласно пункта 521 настоящих Правил с учетом пункта 926 настоящих Правил.</w:t>
      </w:r>
    </w:p>
    <w:bookmarkEnd w:id="3379"/>
    <w:bookmarkStart w:name="z3364" w:id="3380"/>
    <w:p>
      <w:pPr>
        <w:spacing w:after="0"/>
        <w:ind w:left="0"/>
        <w:jc w:val="both"/>
      </w:pPr>
      <w:r>
        <w:rPr>
          <w:rFonts w:ascii="Times New Roman"/>
          <w:b w:val="false"/>
          <w:i w:val="false"/>
          <w:color w:val="000000"/>
          <w:sz w:val="28"/>
        </w:rPr>
        <w:t>
      Площадь поперечного сечения ахтерштевня двухвинтовых судов ледового плавания или ледоколов не менее площади рудерпоста согласно подпункту 2) настоящего пункта Правил.</w:t>
      </w:r>
    </w:p>
    <w:bookmarkEnd w:id="3380"/>
    <w:bookmarkStart w:name="z3365" w:id="3381"/>
    <w:p>
      <w:pPr>
        <w:spacing w:after="0"/>
        <w:ind w:left="0"/>
        <w:jc w:val="left"/>
      </w:pPr>
      <w:r>
        <w:rPr>
          <w:rFonts w:ascii="Times New Roman"/>
          <w:b/>
          <w:i w:val="false"/>
          <w:color w:val="000000"/>
        </w:rPr>
        <w:t xml:space="preserve"> Глава 39. Ледовые усиления буксиров</w:t>
      </w:r>
    </w:p>
    <w:bookmarkEnd w:id="3381"/>
    <w:p>
      <w:pPr>
        <w:spacing w:after="0"/>
        <w:ind w:left="0"/>
        <w:jc w:val="both"/>
      </w:pPr>
      <w:r>
        <w:rPr>
          <w:rFonts w:ascii="Times New Roman"/>
          <w:b w:val="false"/>
          <w:i w:val="false"/>
          <w:color w:val="ff0000"/>
          <w:sz w:val="28"/>
        </w:rPr>
        <w:t xml:space="preserve">
      Сноска. Заголовок главы 39 -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66" w:id="3382"/>
    <w:p>
      <w:pPr>
        <w:spacing w:after="0"/>
        <w:ind w:left="0"/>
        <w:jc w:val="left"/>
      </w:pPr>
      <w:r>
        <w:rPr>
          <w:rFonts w:ascii="Times New Roman"/>
          <w:b/>
          <w:i w:val="false"/>
          <w:color w:val="000000"/>
        </w:rPr>
        <w:t xml:space="preserve"> Параграф 1. Общие положения и требования</w:t>
      </w:r>
    </w:p>
    <w:bookmarkEnd w:id="3382"/>
    <w:bookmarkStart w:name="z3367" w:id="3383"/>
    <w:p>
      <w:pPr>
        <w:spacing w:after="0"/>
        <w:ind w:left="0"/>
        <w:jc w:val="both"/>
      </w:pPr>
      <w:r>
        <w:rPr>
          <w:rFonts w:ascii="Times New Roman"/>
          <w:b w:val="false"/>
          <w:i w:val="false"/>
          <w:color w:val="000000"/>
          <w:sz w:val="28"/>
        </w:rPr>
        <w:t>
      842. Буксиры, имеющие ледовые усиления в соответствии с изложенными ниже требованиями, получают в символе класса один из следующих знаков категорий ледовых усилений: Ice2, Ice3.</w:t>
      </w:r>
    </w:p>
    <w:bookmarkEnd w:id="3383"/>
    <w:bookmarkStart w:name="z3368" w:id="3384"/>
    <w:p>
      <w:pPr>
        <w:spacing w:after="0"/>
        <w:ind w:left="0"/>
        <w:jc w:val="both"/>
      </w:pPr>
      <w:r>
        <w:rPr>
          <w:rFonts w:ascii="Times New Roman"/>
          <w:b w:val="false"/>
          <w:i w:val="false"/>
          <w:color w:val="000000"/>
          <w:sz w:val="28"/>
        </w:rPr>
        <w:t>
      843. Форма корпуса буксиров, имеющих ледовые усиления, отвечает требованиям пункта 815 настоящих Правил к форме корпуса судов ледового плавания соответствующей категории.</w:t>
      </w:r>
    </w:p>
    <w:bookmarkEnd w:id="3384"/>
    <w:bookmarkStart w:name="z3369" w:id="3385"/>
    <w:p>
      <w:pPr>
        <w:spacing w:after="0"/>
        <w:ind w:left="0"/>
        <w:jc w:val="both"/>
      </w:pPr>
      <w:r>
        <w:rPr>
          <w:rFonts w:ascii="Times New Roman"/>
          <w:b w:val="false"/>
          <w:i w:val="false"/>
          <w:color w:val="000000"/>
          <w:sz w:val="28"/>
        </w:rPr>
        <w:t>
      844. Районы ледовых усилений:</w:t>
      </w:r>
    </w:p>
    <w:bookmarkEnd w:id="3385"/>
    <w:bookmarkStart w:name="z3370" w:id="3386"/>
    <w:p>
      <w:pPr>
        <w:spacing w:after="0"/>
        <w:ind w:left="0"/>
        <w:jc w:val="both"/>
      </w:pPr>
      <w:r>
        <w:rPr>
          <w:rFonts w:ascii="Times New Roman"/>
          <w:b w:val="false"/>
          <w:i w:val="false"/>
          <w:color w:val="000000"/>
          <w:sz w:val="28"/>
        </w:rPr>
        <w:t>
      1) границы районов ледовых усилений буксиров устанавливаются как для судов ледового плавания соответствующей категории согласно пункту 816 настоящих Правил, если ниже нет специальных указаний;</w:t>
      </w:r>
    </w:p>
    <w:bookmarkEnd w:id="3386"/>
    <w:bookmarkStart w:name="z3371" w:id="3387"/>
    <w:p>
      <w:pPr>
        <w:spacing w:after="0"/>
        <w:ind w:left="0"/>
        <w:jc w:val="both"/>
      </w:pPr>
      <w:r>
        <w:rPr>
          <w:rFonts w:ascii="Times New Roman"/>
          <w:b w:val="false"/>
          <w:i w:val="false"/>
          <w:color w:val="000000"/>
          <w:sz w:val="28"/>
        </w:rPr>
        <w:t xml:space="preserve">
      2) для буксиров с малой длиной носового заострения грузовой ватерлинии (b + </w:t>
      </w:r>
      <w:r>
        <w:rPr>
          <w:rFonts w:ascii="Times New Roman"/>
          <w:b w:val="false"/>
          <w:i/>
          <w:color w:val="000000"/>
          <w:sz w:val="28"/>
        </w:rPr>
        <w:t>L</w:t>
      </w:r>
      <w:r>
        <w:rPr>
          <w:rFonts w:ascii="Times New Roman"/>
          <w:b w:val="false"/>
          <w:i w:val="false"/>
          <w:color w:val="000000"/>
          <w:vertAlign w:val="subscript"/>
        </w:rPr>
        <w:t>3</w:t>
      </w:r>
      <w:r>
        <w:rPr>
          <w:rFonts w:ascii="Times New Roman"/>
          <w:b w:val="false"/>
          <w:i w:val="false"/>
          <w:color w:val="000000"/>
          <w:sz w:val="28"/>
        </w:rPr>
        <w:t xml:space="preserve"> &lt; 0,35L — пункт 816 настоящих Правил) промежуточный район ледовых усилений (или носовой, если промежуточный невыделяется) продлевается в корму таким образом, чтобы носовая граница среднего района отстояла от носового перпендикуляра не менее, чем на 0,35L;</w:t>
      </w:r>
    </w:p>
    <w:bookmarkEnd w:id="3387"/>
    <w:bookmarkStart w:name="z3372" w:id="3388"/>
    <w:p>
      <w:pPr>
        <w:spacing w:after="0"/>
        <w:ind w:left="0"/>
        <w:jc w:val="both"/>
      </w:pPr>
      <w:r>
        <w:rPr>
          <w:rFonts w:ascii="Times New Roman"/>
          <w:b w:val="false"/>
          <w:i w:val="false"/>
          <w:color w:val="000000"/>
          <w:sz w:val="28"/>
        </w:rPr>
        <w:t>
      3) параметры h</w:t>
      </w:r>
      <w:r>
        <w:rPr>
          <w:rFonts w:ascii="Times New Roman"/>
          <w:b w:val="false"/>
          <w:i w:val="false"/>
          <w:color w:val="000000"/>
          <w:vertAlign w:val="subscript"/>
        </w:rPr>
        <w:t>1</w:t>
      </w:r>
      <w:r>
        <w:rPr>
          <w:rFonts w:ascii="Times New Roman"/>
          <w:b w:val="false"/>
          <w:i w:val="false"/>
          <w:color w:val="000000"/>
          <w:sz w:val="28"/>
        </w:rPr>
        <w:t>, h</w:t>
      </w:r>
      <w:r>
        <w:rPr>
          <w:rFonts w:ascii="Times New Roman"/>
          <w:b w:val="false"/>
          <w:i w:val="false"/>
          <w:color w:val="000000"/>
          <w:vertAlign w:val="subscript"/>
        </w:rPr>
        <w:t>3</w:t>
      </w: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xml:space="preserve"> (приложение 120 настоящих Правил) принимаются согласно приложению 146 настоящих Правил;</w:t>
      </w:r>
    </w:p>
    <w:bookmarkEnd w:id="3388"/>
    <w:bookmarkStart w:name="z3373" w:id="3389"/>
    <w:p>
      <w:pPr>
        <w:spacing w:after="0"/>
        <w:ind w:left="0"/>
        <w:jc w:val="both"/>
      </w:pPr>
      <w:r>
        <w:rPr>
          <w:rFonts w:ascii="Times New Roman"/>
          <w:b w:val="false"/>
          <w:i w:val="false"/>
          <w:color w:val="000000"/>
          <w:sz w:val="28"/>
        </w:rPr>
        <w:t>
      4) для буксиров с ледовыми усилениями категорий Ice2 и Ice3 также допускается выделять промежуточный район ледовых усилений, его границы определяются по тем же правилам, что и для буксиров более высоких категорий;</w:t>
      </w:r>
    </w:p>
    <w:bookmarkEnd w:id="3389"/>
    <w:bookmarkStart w:name="z3374" w:id="3390"/>
    <w:p>
      <w:pPr>
        <w:spacing w:after="0"/>
        <w:ind w:left="0"/>
        <w:jc w:val="both"/>
      </w:pPr>
      <w:r>
        <w:rPr>
          <w:rFonts w:ascii="Times New Roman"/>
          <w:b w:val="false"/>
          <w:i w:val="false"/>
          <w:color w:val="000000"/>
          <w:sz w:val="28"/>
        </w:rPr>
        <w:t>
      5) районы ледовых усилений буксиров, на которые распространяются требования настоящей главы, определяются согласно приложению 119 настоящих Правил, как для транспортного судна соответствующей ледовой категории, с учетом подпункта 4) настоящего пункта Правил.</w:t>
      </w:r>
    </w:p>
    <w:bookmarkEnd w:id="3390"/>
    <w:bookmarkStart w:name="z3375" w:id="3391"/>
    <w:p>
      <w:pPr>
        <w:spacing w:after="0"/>
        <w:ind w:left="0"/>
        <w:jc w:val="left"/>
      </w:pPr>
      <w:r>
        <w:rPr>
          <w:rFonts w:ascii="Times New Roman"/>
          <w:b/>
          <w:i w:val="false"/>
          <w:color w:val="000000"/>
        </w:rPr>
        <w:t xml:space="preserve"> Параграф 2. Конструкция, ледовая нагрузка</w:t>
      </w:r>
    </w:p>
    <w:bookmarkEnd w:id="3391"/>
    <w:bookmarkStart w:name="z3376" w:id="3392"/>
    <w:p>
      <w:pPr>
        <w:spacing w:after="0"/>
        <w:ind w:left="0"/>
        <w:jc w:val="both"/>
      </w:pPr>
      <w:r>
        <w:rPr>
          <w:rFonts w:ascii="Times New Roman"/>
          <w:b w:val="false"/>
          <w:i w:val="false"/>
          <w:color w:val="000000"/>
          <w:sz w:val="28"/>
        </w:rPr>
        <w:t>
      845. Конструкция ледовых усилений буксиров отвечает требованиям параграфа 2 главы 38 настоящих Правил к конструкциям судов ледового плавания соответствующей ледовой категории.</w:t>
      </w:r>
    </w:p>
    <w:bookmarkEnd w:id="3392"/>
    <w:bookmarkStart w:name="z3377" w:id="3393"/>
    <w:p>
      <w:pPr>
        <w:spacing w:after="0"/>
        <w:ind w:left="0"/>
        <w:jc w:val="both"/>
      </w:pPr>
      <w:r>
        <w:rPr>
          <w:rFonts w:ascii="Times New Roman"/>
          <w:b w:val="false"/>
          <w:i w:val="false"/>
          <w:color w:val="000000"/>
          <w:sz w:val="28"/>
        </w:rPr>
        <w:t>
      846. Конструкция крепления к корпусу элементов ледовой защиты винторулевого комплекса обеспечивает их надежное соединение сосновным и рамным набором, а также, если возможно, с ахтерштевнем и продольными или поперечными переборками, чтобы исключить возможность трещинообразования при ударах кормой о лед.</w:t>
      </w:r>
    </w:p>
    <w:bookmarkEnd w:id="3393"/>
    <w:bookmarkStart w:name="z3378" w:id="3394"/>
    <w:p>
      <w:pPr>
        <w:spacing w:after="0"/>
        <w:ind w:left="0"/>
        <w:jc w:val="both"/>
      </w:pPr>
      <w:r>
        <w:rPr>
          <w:rFonts w:ascii="Times New Roman"/>
          <w:b w:val="false"/>
          <w:i w:val="false"/>
          <w:color w:val="000000"/>
          <w:sz w:val="28"/>
        </w:rPr>
        <w:t>
      847. Интенсивность ледовой нагрузки определяется по следующим формулам:</w:t>
      </w:r>
    </w:p>
    <w:bookmarkEnd w:id="3394"/>
    <w:bookmarkStart w:name="z3379" w:id="3395"/>
    <w:p>
      <w:pPr>
        <w:spacing w:after="0"/>
        <w:ind w:left="0"/>
        <w:jc w:val="both"/>
      </w:pPr>
      <w:r>
        <w:rPr>
          <w:rFonts w:ascii="Times New Roman"/>
          <w:b w:val="false"/>
          <w:i w:val="false"/>
          <w:color w:val="000000"/>
          <w:sz w:val="28"/>
        </w:rPr>
        <w:t>
      1) в районе AI</w:t>
      </w:r>
    </w:p>
    <w:bookmarkEnd w:id="339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AI</w:t>
      </w:r>
      <w:r>
        <w:rPr>
          <w:rFonts w:ascii="Times New Roman"/>
          <w:b w:val="false"/>
          <w:i w:val="false"/>
          <w:color w:val="000000"/>
          <w:sz w:val="28"/>
        </w:rPr>
        <w:t xml:space="preserve"> = </w:t>
      </w:r>
    </w:p>
    <w:p>
      <w:pPr>
        <w:spacing w:after="0"/>
        <w:ind w:left="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368300" cy="330200"/>
                    </a:xfrm>
                    <a:prstGeom prst="rect">
                      <a:avLst/>
                    </a:prstGeom>
                  </pic:spPr>
                </pic:pic>
              </a:graphicData>
            </a:graphic>
          </wp:inline>
        </w:drawing>
      </w:r>
    </w:p>
    <w:p>
      <w:pPr>
        <w:spacing w:after="0"/>
        <w:ind w:left="0"/>
        <w:jc w:val="left"/>
      </w:pPr>
      <w:r>
        <w:rPr>
          <w:rFonts w:ascii="Times New Roman"/>
          <w:b w:val="false"/>
          <w:i w:val="false"/>
          <w:color w:val="000000"/>
          <w:sz w:val="28"/>
        </w:rPr>
        <w:t>,                   (350)</w:t>
      </w:r>
      <w:r>
        <w:br/>
      </w:r>
      <w:r>
        <w:rPr>
          <w:rFonts w:ascii="Times New Roman"/>
          <w:b w:val="false"/>
          <w:i w:val="false"/>
          <w:color w:val="000000"/>
          <w:sz w:val="28"/>
        </w:rPr>
        <w:t>
</w:t>
      </w:r>
      <w:r>
        <w:br/>
      </w:r>
    </w:p>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интенсивность ледовой нагрузки в районе AI, определенная согласно подпункта 1) пункта 826 настоящих Правил как для транспортного судна, номер ледовой категории которого совпадает с номером категории буксира;</w:t>
      </w:r>
      <w:r>
        <w:br/>
      </w:r>
      <w:r>
        <w:rPr>
          <w:rFonts w:ascii="Times New Roman"/>
          <w:b w:val="false"/>
          <w:i w:val="false"/>
          <w:color w:val="000000"/>
          <w:sz w:val="28"/>
        </w:rPr>
        <w:t>
</w:t>
      </w:r>
      <w:r>
        <w:br/>
      </w:r>
    </w:p>
    <w:p>
      <w:pPr>
        <w:spacing w:after="0"/>
        <w:ind w:left="0"/>
        <w:jc w:val="both"/>
      </w:pPr>
      <w:r>
        <w:drawing>
          <wp:inline distT="0" distB="0" distL="0" distR="0">
            <wp:extent cx="2209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209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15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15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мощность на валах буксира, кВт;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C</w:t>
      </w:r>
      <w:r>
        <w:rPr>
          <w:rFonts w:ascii="Times New Roman"/>
          <w:b w:val="false"/>
          <w:i w:val="false"/>
          <w:color w:val="000000"/>
          <w:vertAlign w:val="subscript"/>
        </w:rPr>
        <w:t>N</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perscript"/>
        </w:rPr>
        <w:t>2/3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N</w:t>
      </w:r>
      <w:r>
        <w:rPr>
          <w:rFonts w:ascii="Times New Roman"/>
          <w:b w:val="false"/>
          <w:i w:val="false"/>
          <w:color w:val="000000"/>
          <w:sz w:val="28"/>
        </w:rPr>
        <w:t xml:space="preserve"> — коэффициент, определяемый по приложению 147 настоящих Прапвил;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по летнюю грузовую ватерлинию, т;</w:t>
      </w:r>
      <w:r>
        <w:br/>
      </w:r>
      <w:r>
        <w:rPr>
          <w:rFonts w:ascii="Times New Roman"/>
          <w:b w:val="false"/>
          <w:i w:val="false"/>
          <w:color w:val="000000"/>
          <w:sz w:val="28"/>
        </w:rPr>
        <w:t>
</w:t>
      </w:r>
    </w:p>
    <w:bookmarkStart w:name="z3380" w:id="3396"/>
    <w:p>
      <w:pPr>
        <w:spacing w:after="0"/>
        <w:ind w:left="0"/>
        <w:jc w:val="both"/>
      </w:pPr>
      <w:r>
        <w:rPr>
          <w:rFonts w:ascii="Times New Roman"/>
          <w:b w:val="false"/>
          <w:i w:val="false"/>
          <w:color w:val="000000"/>
          <w:sz w:val="28"/>
        </w:rPr>
        <w:t>
      2) в районах A</w:t>
      </w:r>
      <w:r>
        <w:rPr>
          <w:rFonts w:ascii="Times New Roman"/>
          <w:b w:val="false"/>
          <w:i w:val="false"/>
          <w:color w:val="000000"/>
          <w:vertAlign w:val="subscript"/>
        </w:rPr>
        <w:t>1</w:t>
      </w:r>
      <w:r>
        <w:rPr>
          <w:rFonts w:ascii="Times New Roman"/>
          <w:b w:val="false"/>
          <w:i w:val="false"/>
          <w:color w:val="000000"/>
          <w:sz w:val="28"/>
        </w:rPr>
        <w:t>I, ВI и СI</w:t>
      </w:r>
    </w:p>
    <w:bookmarkEnd w:id="3396"/>
    <w:p>
      <w:pPr>
        <w:spacing w:after="0"/>
        <w:ind w:left="0"/>
        <w:jc w:val="both"/>
      </w:pPr>
      <w:r>
        <w:rPr>
          <w:rFonts w:ascii="Times New Roman"/>
          <w:b w:val="false"/>
          <w:i w:val="false"/>
          <w:color w:val="000000"/>
          <w:sz w:val="28"/>
        </w:rPr>
        <w:t>
                                    p</w:t>
      </w:r>
      <w:r>
        <w:rPr>
          <w:rFonts w:ascii="Times New Roman"/>
          <w:b w:val="false"/>
          <w:i w:val="false"/>
          <w:color w:val="000000"/>
          <w:vertAlign w:val="subscript"/>
        </w:rPr>
        <w:t>kI</w:t>
      </w:r>
      <w:r>
        <w:rPr>
          <w:rFonts w:ascii="Times New Roman"/>
          <w:b w:val="false"/>
          <w:i w:val="false"/>
          <w:color w:val="000000"/>
          <w:sz w:val="28"/>
        </w:rPr>
        <w:t xml:space="preserve"> = a</w:t>
      </w:r>
      <w:r>
        <w:rPr>
          <w:rFonts w:ascii="Times New Roman"/>
          <w:b w:val="false"/>
          <w:i w:val="false"/>
          <w:color w:val="000000"/>
          <w:vertAlign w:val="subscript"/>
        </w:rPr>
        <w:t>k</w:t>
      </w:r>
      <w:r>
        <w:rPr>
          <w:rFonts w:ascii="Times New Roman"/>
          <w:b w:val="false"/>
          <w:i w:val="false"/>
          <w:color w:val="000000"/>
          <w:sz w:val="28"/>
        </w:rPr>
        <w:t>p</w:t>
      </w:r>
      <w:r>
        <w:rPr>
          <w:rFonts w:ascii="Times New Roman"/>
          <w:b w:val="false"/>
          <w:i w:val="false"/>
          <w:color w:val="000000"/>
          <w:vertAlign w:val="subscript"/>
        </w:rPr>
        <w:t>AI</w:t>
      </w:r>
      <w:r>
        <w:rPr>
          <w:rFonts w:ascii="Times New Roman"/>
          <w:b w:val="false"/>
          <w:i w:val="false"/>
          <w:color w:val="000000"/>
          <w:sz w:val="28"/>
        </w:rPr>
        <w:t>,                       (351)</w:t>
      </w:r>
    </w:p>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AI</w:t>
      </w:r>
      <w:r>
        <w:rPr>
          <w:rFonts w:ascii="Times New Roman"/>
          <w:b w:val="false"/>
          <w:i w:val="false"/>
          <w:color w:val="000000"/>
          <w:sz w:val="28"/>
        </w:rPr>
        <w:t xml:space="preserve"> — подпункт 1) настоящего пункта;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k</w:t>
      </w:r>
      <w:r>
        <w:rPr>
          <w:rFonts w:ascii="Times New Roman"/>
          <w:b w:val="false"/>
          <w:i w:val="false"/>
          <w:color w:val="000000"/>
          <w:sz w:val="28"/>
        </w:rPr>
        <w:t xml:space="preserve"> — коэффициент, определяемый по приложению 148 настоящих Правил в зависимости от района ледовых усилений и категории буксира;</w:t>
      </w:r>
    </w:p>
    <w:p>
      <w:pPr>
        <w:spacing w:after="0"/>
        <w:ind w:left="0"/>
        <w:jc w:val="both"/>
      </w:pPr>
      <w:r>
        <w:rPr>
          <w:rFonts w:ascii="Times New Roman"/>
          <w:b w:val="false"/>
          <w:i w:val="false"/>
          <w:color w:val="000000"/>
          <w:sz w:val="28"/>
        </w:rPr>
        <w:t>
      k = А</w:t>
      </w:r>
      <w:r>
        <w:rPr>
          <w:rFonts w:ascii="Times New Roman"/>
          <w:b w:val="false"/>
          <w:i w:val="false"/>
          <w:color w:val="000000"/>
          <w:vertAlign w:val="subscript"/>
        </w:rPr>
        <w:t>1</w:t>
      </w:r>
      <w:r>
        <w:rPr>
          <w:rFonts w:ascii="Times New Roman"/>
          <w:b w:val="false"/>
          <w:i w:val="false"/>
          <w:color w:val="000000"/>
          <w:sz w:val="28"/>
        </w:rPr>
        <w:t>, В, С;</w:t>
      </w:r>
    </w:p>
    <w:bookmarkStart w:name="z3381" w:id="3397"/>
    <w:p>
      <w:pPr>
        <w:spacing w:after="0"/>
        <w:ind w:left="0"/>
        <w:jc w:val="both"/>
      </w:pPr>
      <w:r>
        <w:rPr>
          <w:rFonts w:ascii="Times New Roman"/>
          <w:b w:val="false"/>
          <w:i w:val="false"/>
          <w:color w:val="000000"/>
          <w:sz w:val="28"/>
        </w:rPr>
        <w:t>
      3) в районах II, III и IV интенсивность ледовой нагрузки принимается согласно подпункта 5) пункта 826 настоящих Правил как для соответствующей категории ледовых усилений транспортных судов.</w:t>
      </w:r>
    </w:p>
    <w:bookmarkEnd w:id="3397"/>
    <w:bookmarkStart w:name="z3382" w:id="3398"/>
    <w:p>
      <w:pPr>
        <w:spacing w:after="0"/>
        <w:ind w:left="0"/>
        <w:jc w:val="both"/>
      </w:pPr>
      <w:r>
        <w:rPr>
          <w:rFonts w:ascii="Times New Roman"/>
          <w:b w:val="false"/>
          <w:i w:val="false"/>
          <w:color w:val="000000"/>
          <w:sz w:val="28"/>
        </w:rPr>
        <w:t>
      848. Высота распределения ледовой нагрузки для буксиров принимается одинаковой во всех районах и определяется согласно подпункту 1) пункта 809 настоящих Правил как для носового района транспортного судна, категория ледовых усилений которого совпадает с категорией ледовых усилений буксира. При определении u</w:t>
      </w:r>
      <w:r>
        <w:rPr>
          <w:rFonts w:ascii="Times New Roman"/>
          <w:b w:val="false"/>
          <w:i w:val="false"/>
          <w:color w:val="000000"/>
          <w:vertAlign w:val="subscript"/>
        </w:rPr>
        <w:t>m</w:t>
      </w:r>
      <w:r>
        <w:rPr>
          <w:rFonts w:ascii="Times New Roman"/>
          <w:b w:val="false"/>
          <w:i w:val="false"/>
          <w:color w:val="000000"/>
          <w:sz w:val="28"/>
        </w:rPr>
        <w:t xml:space="preserve"> значения u определяются только для сечений, попадающих в носовой район ледовых усилений буксира.</w:t>
      </w:r>
    </w:p>
    <w:bookmarkEnd w:id="3398"/>
    <w:bookmarkStart w:name="z3383" w:id="3399"/>
    <w:p>
      <w:pPr>
        <w:spacing w:after="0"/>
        <w:ind w:left="0"/>
        <w:jc w:val="both"/>
      </w:pPr>
      <w:r>
        <w:rPr>
          <w:rFonts w:ascii="Times New Roman"/>
          <w:b w:val="false"/>
          <w:i w:val="false"/>
          <w:color w:val="000000"/>
          <w:sz w:val="28"/>
        </w:rPr>
        <w:t xml:space="preserve">
      849. Длина распределения ледовой нагрузки для буксиров принимается одинаковой во всех районах и определяется согласно подпункта 1) пункта 828 настоящих Правил как для носового района транспортного судна, категория ледовых усилений которого совпадает с категорией ледовых усилений буксира. При определении </w:t>
      </w:r>
    </w:p>
    <w:bookmarkEnd w:id="3399"/>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рассматриваются только сечения, попадающие в носовой район ледовых усилений буксира.</w:t>
      </w:r>
      <w:r>
        <w:br/>
      </w:r>
      <w:r>
        <w:rPr>
          <w:rFonts w:ascii="Times New Roman"/>
          <w:b w:val="false"/>
          <w:i w:val="false"/>
          <w:color w:val="000000"/>
          <w:sz w:val="28"/>
        </w:rPr>
        <w:t>
</w:t>
      </w:r>
    </w:p>
    <w:bookmarkStart w:name="z3384" w:id="3400"/>
    <w:p>
      <w:pPr>
        <w:spacing w:after="0"/>
        <w:ind w:left="0"/>
        <w:jc w:val="left"/>
      </w:pPr>
      <w:r>
        <w:rPr>
          <w:rFonts w:ascii="Times New Roman"/>
          <w:b/>
          <w:i w:val="false"/>
          <w:color w:val="000000"/>
        </w:rPr>
        <w:t xml:space="preserve"> Параграф 3. Размеры конструкций ледовых усилений</w:t>
      </w:r>
    </w:p>
    <w:bookmarkEnd w:id="3400"/>
    <w:bookmarkStart w:name="z3385" w:id="3401"/>
    <w:p>
      <w:pPr>
        <w:spacing w:after="0"/>
        <w:ind w:left="0"/>
        <w:jc w:val="both"/>
      </w:pPr>
      <w:r>
        <w:rPr>
          <w:rFonts w:ascii="Times New Roman"/>
          <w:b w:val="false"/>
          <w:i w:val="false"/>
          <w:color w:val="000000"/>
          <w:sz w:val="28"/>
        </w:rPr>
        <w:t>
      850. Размеры конструкций ледовых усилений буксиров определяются согласно параграфу 4 главы 38 настоящих Правил как для транспортных судов соответствующей категории, если ниже нет специальных указаний.</w:t>
      </w:r>
    </w:p>
    <w:bookmarkEnd w:id="3401"/>
    <w:bookmarkStart w:name="z3386" w:id="3402"/>
    <w:p>
      <w:pPr>
        <w:spacing w:after="0"/>
        <w:ind w:left="0"/>
        <w:jc w:val="both"/>
      </w:pPr>
      <w:r>
        <w:rPr>
          <w:rFonts w:ascii="Times New Roman"/>
          <w:b w:val="false"/>
          <w:i w:val="false"/>
          <w:color w:val="000000"/>
          <w:sz w:val="28"/>
        </w:rPr>
        <w:t xml:space="preserve">
      . При регламентации толщины наружной обшивки в районах ледовых усилений согласно пункта 832 настоящих Правил величина надбавки на износ </w:t>
      </w:r>
    </w:p>
    <w:bookmarkEnd w:id="340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по согласованию с Регистром судоходства снижают в случае выполнения специальных мероприятий по защите наружной обшивки от коррозионного износа и истирания, однако, во всех случаях величина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принимается не менее 2 мм.</w:t>
      </w:r>
      <w:r>
        <w:br/>
      </w:r>
      <w:r>
        <w:rPr>
          <w:rFonts w:ascii="Times New Roman"/>
          <w:b w:val="false"/>
          <w:i w:val="false"/>
          <w:color w:val="000000"/>
          <w:sz w:val="28"/>
        </w:rPr>
        <w:t>
</w:t>
      </w:r>
    </w:p>
    <w:bookmarkStart w:name="z3387" w:id="3403"/>
    <w:p>
      <w:pPr>
        <w:spacing w:after="0"/>
        <w:ind w:left="0"/>
        <w:jc w:val="both"/>
      </w:pPr>
      <w:r>
        <w:rPr>
          <w:rFonts w:ascii="Times New Roman"/>
          <w:b w:val="false"/>
          <w:i w:val="false"/>
          <w:color w:val="000000"/>
          <w:sz w:val="28"/>
        </w:rPr>
        <w:t>
      852. Дополнительно к требованиям пункта 841 настоящих Правил форштевень и ахтерштевень имеют площадь поперечного сечения не менее определенной по формуле:</w:t>
      </w:r>
    </w:p>
    <w:bookmarkEnd w:id="340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kS</w:t>
      </w:r>
      <w:r>
        <w:rPr>
          <w:rFonts w:ascii="Times New Roman"/>
          <w:b w:val="false"/>
          <w:i w:val="false"/>
          <w:color w:val="000000"/>
          <w:vertAlign w:val="subscript"/>
        </w:rPr>
        <w:t>0</w:t>
      </w:r>
      <w:r>
        <w:rPr>
          <w:rFonts w:ascii="Times New Roman"/>
          <w:b w:val="false"/>
          <w:i w:val="false"/>
          <w:color w:val="000000"/>
          <w:sz w:val="28"/>
        </w:rPr>
        <w:t xml:space="preserve"> ,                          (352)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коэффициент, значения которого приведены в приложении 149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площадь форштевня или ахтерштевня буксира без ледовых усилений, определенная согласно пункта 808 или 809 настоящих Правил.</w:t>
      </w:r>
    </w:p>
    <w:bookmarkStart w:name="z3388" w:id="3404"/>
    <w:p>
      <w:pPr>
        <w:spacing w:after="0"/>
        <w:ind w:left="0"/>
        <w:jc w:val="left"/>
      </w:pPr>
      <w:r>
        <w:rPr>
          <w:rFonts w:ascii="Times New Roman"/>
          <w:b/>
          <w:i w:val="false"/>
          <w:color w:val="000000"/>
        </w:rPr>
        <w:t xml:space="preserve"> Глава 40. Плавучие доки</w:t>
      </w:r>
    </w:p>
    <w:bookmarkEnd w:id="3404"/>
    <w:p>
      <w:pPr>
        <w:spacing w:after="0"/>
        <w:ind w:left="0"/>
        <w:jc w:val="both"/>
      </w:pPr>
      <w:r>
        <w:rPr>
          <w:rFonts w:ascii="Times New Roman"/>
          <w:b w:val="false"/>
          <w:i w:val="false"/>
          <w:color w:val="ff0000"/>
          <w:sz w:val="28"/>
        </w:rPr>
        <w:t xml:space="preserve">
      Сноска. Заголовок главы 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89" w:id="3405"/>
    <w:p>
      <w:pPr>
        <w:spacing w:after="0"/>
        <w:ind w:left="0"/>
        <w:jc w:val="left"/>
      </w:pPr>
      <w:r>
        <w:rPr>
          <w:rFonts w:ascii="Times New Roman"/>
          <w:b/>
          <w:i w:val="false"/>
          <w:color w:val="000000"/>
        </w:rPr>
        <w:t xml:space="preserve"> Параграф 1. Общие положения</w:t>
      </w:r>
    </w:p>
    <w:bookmarkEnd w:id="3405"/>
    <w:bookmarkStart w:name="z3390" w:id="3406"/>
    <w:p>
      <w:pPr>
        <w:spacing w:after="0"/>
        <w:ind w:left="0"/>
        <w:jc w:val="both"/>
      </w:pPr>
      <w:r>
        <w:rPr>
          <w:rFonts w:ascii="Times New Roman"/>
          <w:b w:val="false"/>
          <w:i w:val="false"/>
          <w:color w:val="000000"/>
          <w:sz w:val="28"/>
        </w:rPr>
        <w:t>
      852. Требования настоящей главы распространяются на двухбашенные (монолитные, понтонные, секционные) стальные плавучие доки.</w:t>
      </w:r>
    </w:p>
    <w:bookmarkEnd w:id="3406"/>
    <w:bookmarkStart w:name="z3391" w:id="3407"/>
    <w:p>
      <w:pPr>
        <w:spacing w:after="0"/>
        <w:ind w:left="0"/>
        <w:jc w:val="both"/>
      </w:pPr>
      <w:r>
        <w:rPr>
          <w:rFonts w:ascii="Times New Roman"/>
          <w:b w:val="false"/>
          <w:i w:val="false"/>
          <w:color w:val="000000"/>
          <w:sz w:val="28"/>
        </w:rPr>
        <w:t>
      853. Монолитные доки состоят из неразрезного понтона и двух башен, непрерывных по всей длине и конструктивно неотделимых от понтона. К монолитным также относятся доки с концевыми понтонами для докования центрального понтона.</w:t>
      </w:r>
    </w:p>
    <w:bookmarkEnd w:id="3407"/>
    <w:bookmarkStart w:name="z3392" w:id="3408"/>
    <w:p>
      <w:pPr>
        <w:spacing w:after="0"/>
        <w:ind w:left="0"/>
        <w:jc w:val="both"/>
      </w:pPr>
      <w:r>
        <w:rPr>
          <w:rFonts w:ascii="Times New Roman"/>
          <w:b w:val="false"/>
          <w:i w:val="false"/>
          <w:color w:val="000000"/>
          <w:sz w:val="28"/>
        </w:rPr>
        <w:t>
      854. Понтонные доки состоят из двух непрерывных по всей длине башен и нескольких понтонов, соединяемых с башнями болтами, заклепками, сваркой.</w:t>
      </w:r>
    </w:p>
    <w:bookmarkEnd w:id="3408"/>
    <w:bookmarkStart w:name="z3393" w:id="3409"/>
    <w:p>
      <w:pPr>
        <w:spacing w:after="0"/>
        <w:ind w:left="0"/>
        <w:jc w:val="both"/>
      </w:pPr>
      <w:r>
        <w:rPr>
          <w:rFonts w:ascii="Times New Roman"/>
          <w:b w:val="false"/>
          <w:i w:val="false"/>
          <w:color w:val="000000"/>
          <w:sz w:val="28"/>
        </w:rPr>
        <w:t>
      855. Секционные доки состоят из нескольких секций, представляющих собой монолитные или понтонные доки, соединяемые между собой болтами, приварными пластинами, шарнирными элементами.</w:t>
      </w:r>
    </w:p>
    <w:bookmarkEnd w:id="3409"/>
    <w:bookmarkStart w:name="z3394" w:id="3410"/>
    <w:p>
      <w:pPr>
        <w:spacing w:after="0"/>
        <w:ind w:left="0"/>
        <w:jc w:val="both"/>
      </w:pPr>
      <w:r>
        <w:rPr>
          <w:rFonts w:ascii="Times New Roman"/>
          <w:b w:val="false"/>
          <w:i w:val="false"/>
          <w:color w:val="000000"/>
          <w:sz w:val="28"/>
        </w:rPr>
        <w:t>
      Требования распространяются на доки, имеющие отношение длины по стапель-палубе к ширине более 3,5.</w:t>
      </w:r>
    </w:p>
    <w:bookmarkEnd w:id="3410"/>
    <w:bookmarkStart w:name="z3395" w:id="3411"/>
    <w:p>
      <w:pPr>
        <w:spacing w:after="0"/>
        <w:ind w:left="0"/>
        <w:jc w:val="both"/>
      </w:pPr>
      <w:r>
        <w:rPr>
          <w:rFonts w:ascii="Times New Roman"/>
          <w:b w:val="false"/>
          <w:i w:val="false"/>
          <w:color w:val="000000"/>
          <w:sz w:val="28"/>
        </w:rPr>
        <w:t>
      856. Корпусные конструкции плавучих доков других архитектурно-конструктивных типов и с другими соотношениями главных размерений требуют специального рассмотрения Регистра судоходства.</w:t>
      </w:r>
    </w:p>
    <w:bookmarkEnd w:id="3411"/>
    <w:bookmarkStart w:name="z3396" w:id="3412"/>
    <w:p>
      <w:pPr>
        <w:spacing w:after="0"/>
        <w:ind w:left="0"/>
        <w:jc w:val="both"/>
      </w:pPr>
      <w:r>
        <w:rPr>
          <w:rFonts w:ascii="Times New Roman"/>
          <w:b w:val="false"/>
          <w:i w:val="false"/>
          <w:color w:val="000000"/>
          <w:sz w:val="28"/>
        </w:rPr>
        <w:t>
      857. Требования к материалам:</w:t>
      </w:r>
    </w:p>
    <w:bookmarkEnd w:id="3412"/>
    <w:bookmarkStart w:name="z3397" w:id="3413"/>
    <w:p>
      <w:pPr>
        <w:spacing w:after="0"/>
        <w:ind w:left="0"/>
        <w:jc w:val="both"/>
      </w:pPr>
      <w:r>
        <w:rPr>
          <w:rFonts w:ascii="Times New Roman"/>
          <w:b w:val="false"/>
          <w:i w:val="false"/>
          <w:color w:val="000000"/>
          <w:sz w:val="28"/>
        </w:rPr>
        <w:t>
      1) при выборе стали для корпусных конструкций плавучих доков следует руководствоваться указаниями главы 9 настоящих Правил с учетом особенностей деления элементов конструкций на группы согласно приложения 150 настоящих Правил;</w:t>
      </w:r>
    </w:p>
    <w:bookmarkEnd w:id="3413"/>
    <w:bookmarkStart w:name="z3398" w:id="3414"/>
    <w:p>
      <w:pPr>
        <w:spacing w:after="0"/>
        <w:ind w:left="0"/>
        <w:jc w:val="both"/>
      </w:pPr>
      <w:r>
        <w:rPr>
          <w:rFonts w:ascii="Times New Roman"/>
          <w:b w:val="false"/>
          <w:i w:val="false"/>
          <w:color w:val="000000"/>
          <w:sz w:val="28"/>
        </w:rPr>
        <w:t>
      2) листовые и балочные элементы кринолинов, переходных мостиков и других второстепенных конструкции плавучего дока могут быть выполнены из сталей с более низкими прочностными характеристиками, чем указано в пункте 148 настоящих Правил, если их свариваемость гарантируется.</w:t>
      </w:r>
    </w:p>
    <w:bookmarkEnd w:id="3414"/>
    <w:bookmarkStart w:name="z3399" w:id="3415"/>
    <w:p>
      <w:pPr>
        <w:spacing w:after="0"/>
        <w:ind w:left="0"/>
        <w:jc w:val="both"/>
      </w:pPr>
      <w:r>
        <w:rPr>
          <w:rFonts w:ascii="Times New Roman"/>
          <w:b w:val="false"/>
          <w:i w:val="false"/>
          <w:color w:val="000000"/>
          <w:sz w:val="28"/>
        </w:rPr>
        <w:t>
      858. Учет износа и минимальная толщина элементов конструкций определяются с учетом следующего:</w:t>
      </w:r>
    </w:p>
    <w:bookmarkEnd w:id="3415"/>
    <w:bookmarkStart w:name="z3400" w:id="3416"/>
    <w:p>
      <w:pPr>
        <w:spacing w:after="0"/>
        <w:ind w:left="0"/>
        <w:jc w:val="both"/>
      </w:pPr>
      <w:r>
        <w:rPr>
          <w:rFonts w:ascii="Times New Roman"/>
          <w:b w:val="false"/>
          <w:i w:val="false"/>
          <w:color w:val="000000"/>
          <w:sz w:val="28"/>
        </w:rPr>
        <w:t>
      1) учет влияния износа на размеры элементов конструкций основан на нормировании прочности к концу срока службы дока. Коррозионные надбавки обеспечивают эксплуатацию дока в течение всего заданного срока службы при средней скорости коррозионного изнашивания элементов конструкций;</w:t>
      </w:r>
    </w:p>
    <w:bookmarkEnd w:id="3416"/>
    <w:bookmarkStart w:name="z3401" w:id="3417"/>
    <w:p>
      <w:pPr>
        <w:spacing w:after="0"/>
        <w:ind w:left="0"/>
        <w:jc w:val="both"/>
      </w:pPr>
      <w:r>
        <w:rPr>
          <w:rFonts w:ascii="Times New Roman"/>
          <w:b w:val="false"/>
          <w:i w:val="false"/>
          <w:color w:val="000000"/>
          <w:sz w:val="28"/>
        </w:rPr>
        <w:t xml:space="preserve">
      ) определение требуемых размеров и прочностных характеристик элементов конструкции с учетом износа выполняется в соответствии с параграфом 5 главы 8 настоящих Правил при запасе на износ </w:t>
      </w:r>
    </w:p>
    <w:bookmarkEnd w:id="341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мм,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s = </w:t>
      </w:r>
      <w:r>
        <w:rPr>
          <w:rFonts w:ascii="Times New Roman"/>
          <w:b w:val="false"/>
          <w:i/>
          <w:color w:val="000000"/>
          <w:sz w:val="28"/>
        </w:rPr>
        <w:t>kuT</w:t>
      </w:r>
      <w:r>
        <w:rPr>
          <w:rFonts w:ascii="Times New Roman"/>
          <w:b w:val="false"/>
          <w:i w:val="false"/>
          <w:color w:val="000000"/>
          <w:sz w:val="28"/>
        </w:rPr>
        <w:t>,                         (353)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 — коэффициент, учитывающий зональные условия эксплуатации плавучих доков, равный:</w:t>
      </w:r>
    </w:p>
    <w:p>
      <w:pPr>
        <w:spacing w:after="0"/>
        <w:ind w:left="0"/>
        <w:jc w:val="both"/>
      </w:pPr>
      <w:r>
        <w:rPr>
          <w:rFonts w:ascii="Times New Roman"/>
          <w:b w:val="false"/>
          <w:i w:val="false"/>
          <w:color w:val="000000"/>
          <w:sz w:val="28"/>
        </w:rPr>
        <w:t>
      1,1 — для Черноморско-Азовского и Каспийско-Волжского и Аральского бассейнов;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среднегодовое уменьшение толщины элементов конструкций согласно приложению 151 настоящих Правил, мм/год;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расчетный срок службы дока, годы; если срок службы дока специально не устанавливается, следует принять </w:t>
      </w:r>
      <w:r>
        <w:rPr>
          <w:rFonts w:ascii="Times New Roman"/>
          <w:b w:val="false"/>
          <w:i/>
          <w:color w:val="000000"/>
          <w:sz w:val="28"/>
        </w:rPr>
        <w:t>Т</w:t>
      </w:r>
      <w:r>
        <w:rPr>
          <w:rFonts w:ascii="Times New Roman"/>
          <w:b w:val="false"/>
          <w:i w:val="false"/>
          <w:color w:val="000000"/>
          <w:sz w:val="28"/>
        </w:rPr>
        <w:t xml:space="preserve"> = 50;</w:t>
      </w:r>
    </w:p>
    <w:bookmarkStart w:name="z3402" w:id="3418"/>
    <w:p>
      <w:pPr>
        <w:spacing w:after="0"/>
        <w:ind w:left="0"/>
        <w:jc w:val="both"/>
      </w:pPr>
      <w:r>
        <w:rPr>
          <w:rFonts w:ascii="Times New Roman"/>
          <w:b w:val="false"/>
          <w:i w:val="false"/>
          <w:color w:val="000000"/>
          <w:sz w:val="28"/>
        </w:rPr>
        <w:t>
      3) среднегодовое уменьшение толщины листовых и балочных элементов доковых конструкций, приведенное в приложении 151 настоящих Правил, принимается, когда конструкции дока имеют соответствующие защитные покрасочные покрытия.</w:t>
      </w:r>
    </w:p>
    <w:bookmarkEnd w:id="3418"/>
    <w:bookmarkStart w:name="z3403" w:id="3419"/>
    <w:p>
      <w:pPr>
        <w:spacing w:after="0"/>
        <w:ind w:left="0"/>
        <w:jc w:val="both"/>
      </w:pPr>
      <w:r>
        <w:rPr>
          <w:rFonts w:ascii="Times New Roman"/>
          <w:b w:val="false"/>
          <w:i w:val="false"/>
          <w:color w:val="000000"/>
          <w:sz w:val="28"/>
        </w:rPr>
        <w:t>
      Нормативная скорость коррозионного изнашивания уменьшается при использовании специальных средств защиты по согласованию с Регистром судоходства;</w:t>
      </w:r>
    </w:p>
    <w:bookmarkEnd w:id="3419"/>
    <w:bookmarkStart w:name="z3404" w:id="3420"/>
    <w:p>
      <w:pPr>
        <w:spacing w:after="0"/>
        <w:ind w:left="0"/>
        <w:jc w:val="both"/>
      </w:pPr>
      <w:r>
        <w:rPr>
          <w:rFonts w:ascii="Times New Roman"/>
          <w:b w:val="false"/>
          <w:i w:val="false"/>
          <w:color w:val="000000"/>
          <w:sz w:val="28"/>
        </w:rPr>
        <w:t>
      4) толщина основных связей (включая запас на износ) не менее толщины, указанной в приложении 152 настоящих Правил, определяемой в зависимости от принятой шпации а.</w:t>
      </w:r>
    </w:p>
    <w:bookmarkEnd w:id="3420"/>
    <w:bookmarkStart w:name="z3405" w:id="3421"/>
    <w:p>
      <w:pPr>
        <w:spacing w:after="0"/>
        <w:ind w:left="0"/>
        <w:jc w:val="both"/>
      </w:pPr>
      <w:r>
        <w:rPr>
          <w:rFonts w:ascii="Times New Roman"/>
          <w:b w:val="false"/>
          <w:i w:val="false"/>
          <w:color w:val="000000"/>
          <w:sz w:val="28"/>
        </w:rPr>
        <w:t>
      859. Для проектирования конструкций плавучих доков рекомендуется такая последовательность:</w:t>
      </w:r>
    </w:p>
    <w:bookmarkEnd w:id="3421"/>
    <w:bookmarkStart w:name="z3406" w:id="3422"/>
    <w:p>
      <w:pPr>
        <w:spacing w:after="0"/>
        <w:ind w:left="0"/>
        <w:jc w:val="both"/>
      </w:pPr>
      <w:r>
        <w:rPr>
          <w:rFonts w:ascii="Times New Roman"/>
          <w:b w:val="false"/>
          <w:i w:val="false"/>
          <w:color w:val="000000"/>
          <w:sz w:val="28"/>
        </w:rPr>
        <w:t>
      Для проектирования конструкций плавучих доков рекомендуется такая последовательность:</w:t>
      </w:r>
    </w:p>
    <w:bookmarkEnd w:id="3422"/>
    <w:bookmarkStart w:name="z3407" w:id="3423"/>
    <w:p>
      <w:pPr>
        <w:spacing w:after="0"/>
        <w:ind w:left="0"/>
        <w:jc w:val="both"/>
      </w:pPr>
      <w:r>
        <w:rPr>
          <w:rFonts w:ascii="Times New Roman"/>
          <w:b w:val="false"/>
          <w:i w:val="false"/>
          <w:color w:val="000000"/>
          <w:sz w:val="28"/>
        </w:rPr>
        <w:t>
      1) выполнение конструктивной компоновки понтона (понтонов) и башен (параграф 2 главы 50 настоящих Правил);</w:t>
      </w:r>
    </w:p>
    <w:bookmarkEnd w:id="3423"/>
    <w:bookmarkStart w:name="z3408" w:id="3424"/>
    <w:p>
      <w:pPr>
        <w:spacing w:after="0"/>
        <w:ind w:left="0"/>
        <w:jc w:val="both"/>
      </w:pPr>
      <w:r>
        <w:rPr>
          <w:rFonts w:ascii="Times New Roman"/>
          <w:b w:val="false"/>
          <w:i w:val="false"/>
          <w:color w:val="000000"/>
          <w:sz w:val="28"/>
        </w:rPr>
        <w:t>
      2) определение расчетных нагрузок, вызывающих местные и общие деформации корпусных конструкций дока (параграф 3 главы 40 настоящих Правил);</w:t>
      </w:r>
    </w:p>
    <w:bookmarkEnd w:id="3424"/>
    <w:bookmarkStart w:name="z3409" w:id="3425"/>
    <w:p>
      <w:pPr>
        <w:spacing w:after="0"/>
        <w:ind w:left="0"/>
        <w:jc w:val="both"/>
      </w:pPr>
      <w:r>
        <w:rPr>
          <w:rFonts w:ascii="Times New Roman"/>
          <w:b w:val="false"/>
          <w:i w:val="false"/>
          <w:color w:val="000000"/>
          <w:sz w:val="28"/>
        </w:rPr>
        <w:t>
      3) проектирование листовых элементов и балок набора конструкций дока из условий обеспечения местной прочности, устойчивости с учетом ограничений по минимальной толщине;</w:t>
      </w:r>
    </w:p>
    <w:bookmarkEnd w:id="3425"/>
    <w:bookmarkStart w:name="z3410" w:id="3426"/>
    <w:p>
      <w:pPr>
        <w:spacing w:after="0"/>
        <w:ind w:left="0"/>
        <w:jc w:val="both"/>
      </w:pPr>
      <w:r>
        <w:rPr>
          <w:rFonts w:ascii="Times New Roman"/>
          <w:b w:val="false"/>
          <w:i w:val="false"/>
          <w:color w:val="000000"/>
          <w:sz w:val="28"/>
        </w:rPr>
        <w:t>
      4) проектирование конструкций, обеспечивающих общую поперечную и продольную прочность понтона дока. Значения конструктивных параметров, полученные при выполнении подпункта 3) пункта 859 настоящих Правил, используются здесь в качестве исходных;</w:t>
      </w:r>
    </w:p>
    <w:bookmarkEnd w:id="3426"/>
    <w:bookmarkStart w:name="z3411" w:id="3427"/>
    <w:p>
      <w:pPr>
        <w:spacing w:after="0"/>
        <w:ind w:left="0"/>
        <w:jc w:val="both"/>
      </w:pPr>
      <w:r>
        <w:rPr>
          <w:rFonts w:ascii="Times New Roman"/>
          <w:b w:val="false"/>
          <w:i w:val="false"/>
          <w:color w:val="000000"/>
          <w:sz w:val="28"/>
        </w:rPr>
        <w:t>
      5) проектирование элементов конструкций корпуса дока, обеспечивающих его общую продольную прочность в расчетных случаях эксплуатации (при доковых операциях). Значения конструктивных параметров, полученные при выполнении подпунктов 3) и 4) пункта 859 настоящих Правил, используются здесь в качестве исходных;</w:t>
      </w:r>
    </w:p>
    <w:bookmarkEnd w:id="3427"/>
    <w:bookmarkStart w:name="z3412" w:id="3428"/>
    <w:p>
      <w:pPr>
        <w:spacing w:after="0"/>
        <w:ind w:left="0"/>
        <w:jc w:val="both"/>
      </w:pPr>
      <w:r>
        <w:rPr>
          <w:rFonts w:ascii="Times New Roman"/>
          <w:b w:val="false"/>
          <w:i w:val="false"/>
          <w:color w:val="000000"/>
          <w:sz w:val="28"/>
        </w:rPr>
        <w:t>
      6) проектирование конструкций с учетом требований к усилениям конструкций в отдельных районах (например, палубы и стенки башен в районе вырезов, машинного отделения и т. д.);</w:t>
      </w:r>
    </w:p>
    <w:bookmarkEnd w:id="3428"/>
    <w:bookmarkStart w:name="z3413" w:id="3429"/>
    <w:p>
      <w:pPr>
        <w:spacing w:after="0"/>
        <w:ind w:left="0"/>
        <w:jc w:val="both"/>
      </w:pPr>
      <w:r>
        <w:rPr>
          <w:rFonts w:ascii="Times New Roman"/>
          <w:b w:val="false"/>
          <w:i w:val="false"/>
          <w:color w:val="000000"/>
          <w:sz w:val="28"/>
        </w:rPr>
        <w:t>
      7) проверочные расчеты общей и местной прочности конструкций корпуса при постановке в док реальных судов;</w:t>
      </w:r>
    </w:p>
    <w:bookmarkEnd w:id="3429"/>
    <w:bookmarkStart w:name="z3414" w:id="3430"/>
    <w:p>
      <w:pPr>
        <w:spacing w:after="0"/>
        <w:ind w:left="0"/>
        <w:jc w:val="both"/>
      </w:pPr>
      <w:r>
        <w:rPr>
          <w:rFonts w:ascii="Times New Roman"/>
          <w:b w:val="false"/>
          <w:i w:val="false"/>
          <w:color w:val="000000"/>
          <w:sz w:val="28"/>
        </w:rPr>
        <w:t>
      8) проверочные расчеты общей и местной прочности конструкций дока в условиях перегона от места постройки к месту эксплуатации. Разработка рекомендаций по подкреплению доковых конструкций.</w:t>
      </w:r>
    </w:p>
    <w:bookmarkEnd w:id="3430"/>
    <w:bookmarkStart w:name="z3415" w:id="3431"/>
    <w:p>
      <w:pPr>
        <w:spacing w:after="0"/>
        <w:ind w:left="0"/>
        <w:jc w:val="left"/>
      </w:pPr>
      <w:r>
        <w:rPr>
          <w:rFonts w:ascii="Times New Roman"/>
          <w:b/>
          <w:i w:val="false"/>
          <w:color w:val="000000"/>
        </w:rPr>
        <w:t xml:space="preserve"> Параграф 2. Конструкция</w:t>
      </w:r>
    </w:p>
    <w:bookmarkEnd w:id="3431"/>
    <w:bookmarkStart w:name="z3416" w:id="3432"/>
    <w:p>
      <w:pPr>
        <w:spacing w:after="0"/>
        <w:ind w:left="0"/>
        <w:jc w:val="both"/>
      </w:pPr>
      <w:r>
        <w:rPr>
          <w:rFonts w:ascii="Times New Roman"/>
          <w:b w:val="false"/>
          <w:i w:val="false"/>
          <w:color w:val="000000"/>
          <w:sz w:val="28"/>
        </w:rPr>
        <w:t>
      860. Для понтона (понтонов) монолитных, понтонных и секционных доков и башен предпочтительна поперечная система набора.</w:t>
      </w:r>
    </w:p>
    <w:bookmarkEnd w:id="3432"/>
    <w:bookmarkStart w:name="z3417" w:id="3433"/>
    <w:p>
      <w:pPr>
        <w:spacing w:after="0"/>
        <w:ind w:left="0"/>
        <w:jc w:val="both"/>
      </w:pPr>
      <w:r>
        <w:rPr>
          <w:rFonts w:ascii="Times New Roman"/>
          <w:b w:val="false"/>
          <w:i w:val="false"/>
          <w:color w:val="000000"/>
          <w:sz w:val="28"/>
        </w:rPr>
        <w:t>
      Стенки и палубы башен понтонных доков грузоподъемностью 10000 т и более имеют продольную систему набора;</w:t>
      </w:r>
    </w:p>
    <w:bookmarkEnd w:id="3433"/>
    <w:bookmarkStart w:name="z3418" w:id="3434"/>
    <w:p>
      <w:pPr>
        <w:spacing w:after="0"/>
        <w:ind w:left="0"/>
        <w:jc w:val="both"/>
      </w:pPr>
      <w:r>
        <w:rPr>
          <w:rFonts w:ascii="Times New Roman"/>
          <w:b w:val="false"/>
          <w:i w:val="false"/>
          <w:color w:val="000000"/>
          <w:sz w:val="28"/>
        </w:rPr>
        <w:t>
      для доков грузоподъемностью менее 10000 т допускается применение поперечной системы набора.</w:t>
      </w:r>
    </w:p>
    <w:bookmarkEnd w:id="3434"/>
    <w:bookmarkStart w:name="z3419" w:id="3435"/>
    <w:p>
      <w:pPr>
        <w:spacing w:after="0"/>
        <w:ind w:left="0"/>
        <w:jc w:val="both"/>
      </w:pPr>
      <w:r>
        <w:rPr>
          <w:rFonts w:ascii="Times New Roman"/>
          <w:b w:val="false"/>
          <w:i w:val="false"/>
          <w:color w:val="000000"/>
          <w:sz w:val="28"/>
        </w:rPr>
        <w:t>
      Стенки и палубы башен монолитных доков выше палубы безопасности имеют продольную систему набора, стенки башен ниже палубы безопасности могут иметь поперечную систему набора.</w:t>
      </w:r>
    </w:p>
    <w:bookmarkEnd w:id="3435"/>
    <w:bookmarkStart w:name="z3420" w:id="3436"/>
    <w:p>
      <w:pPr>
        <w:spacing w:after="0"/>
        <w:ind w:left="0"/>
        <w:jc w:val="both"/>
      </w:pPr>
      <w:r>
        <w:rPr>
          <w:rFonts w:ascii="Times New Roman"/>
          <w:b w:val="false"/>
          <w:i w:val="false"/>
          <w:color w:val="000000"/>
          <w:sz w:val="28"/>
        </w:rPr>
        <w:t>
      Для участков днищевой обшивки понтона монолитных доков в районе башен допускается применение продольной системы набора.</w:t>
      </w:r>
    </w:p>
    <w:bookmarkEnd w:id="3436"/>
    <w:bookmarkStart w:name="z3421" w:id="3437"/>
    <w:p>
      <w:pPr>
        <w:spacing w:after="0"/>
        <w:ind w:left="0"/>
        <w:jc w:val="both"/>
      </w:pPr>
      <w:r>
        <w:rPr>
          <w:rFonts w:ascii="Times New Roman"/>
          <w:b w:val="false"/>
          <w:i w:val="false"/>
          <w:color w:val="000000"/>
          <w:sz w:val="28"/>
        </w:rPr>
        <w:t>
      Для поперечных и продольных переборок понтона и башен допускается применение конструкций с горизонтальными и вертикальными балками основного набора.</w:t>
      </w:r>
    </w:p>
    <w:bookmarkEnd w:id="3437"/>
    <w:bookmarkStart w:name="z3422" w:id="3438"/>
    <w:p>
      <w:pPr>
        <w:spacing w:after="0"/>
        <w:ind w:left="0"/>
        <w:jc w:val="both"/>
      </w:pPr>
      <w:r>
        <w:rPr>
          <w:rFonts w:ascii="Times New Roman"/>
          <w:b w:val="false"/>
          <w:i w:val="false"/>
          <w:color w:val="000000"/>
          <w:sz w:val="28"/>
        </w:rPr>
        <w:t>
      В понтоне (понтонах) и башнях дока допускается применение ферменных конструкций.</w:t>
      </w:r>
    </w:p>
    <w:bookmarkEnd w:id="3438"/>
    <w:bookmarkStart w:name="z3423" w:id="3439"/>
    <w:p>
      <w:pPr>
        <w:spacing w:after="0"/>
        <w:ind w:left="0"/>
        <w:jc w:val="both"/>
      </w:pPr>
      <w:r>
        <w:rPr>
          <w:rFonts w:ascii="Times New Roman"/>
          <w:b w:val="false"/>
          <w:i w:val="false"/>
          <w:color w:val="000000"/>
          <w:sz w:val="28"/>
        </w:rPr>
        <w:t>
      861. Конструктивная компоновка понтонов, под которыми понимаются листовые и балочные элементы понтона, обеспечивают местную прочность соответствующих конструкций понтона (стапель-палубы, днища, продольных и поперечных переборок), а также общую прочность понтона.</w:t>
      </w:r>
    </w:p>
    <w:bookmarkEnd w:id="3439"/>
    <w:bookmarkStart w:name="z3424" w:id="3440"/>
    <w:p>
      <w:pPr>
        <w:spacing w:after="0"/>
        <w:ind w:left="0"/>
        <w:jc w:val="both"/>
      </w:pPr>
      <w:r>
        <w:rPr>
          <w:rFonts w:ascii="Times New Roman"/>
          <w:b w:val="false"/>
          <w:i w:val="false"/>
          <w:color w:val="000000"/>
          <w:sz w:val="28"/>
        </w:rPr>
        <w:t xml:space="preserve">
      Шпация основного продольного и поперечного набора понтона определяется согласно параграфу 3 главы 8 настоящих Правил при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cп.</w:t>
      </w:r>
    </w:p>
    <w:bookmarkEnd w:id="3440"/>
    <w:bookmarkStart w:name="z3425" w:id="3441"/>
    <w:p>
      <w:pPr>
        <w:spacing w:after="0"/>
        <w:ind w:left="0"/>
        <w:jc w:val="both"/>
      </w:pPr>
      <w:r>
        <w:rPr>
          <w:rFonts w:ascii="Times New Roman"/>
          <w:b w:val="false"/>
          <w:i w:val="false"/>
          <w:color w:val="000000"/>
          <w:sz w:val="28"/>
        </w:rPr>
        <w:t>
      Главные поперечные связи понтона (понтонов) — проницаемые переборки следует устанавливать через 3 — 7 шпаций, однако расстояние между ними не должно превышать (</w:t>
      </w:r>
      <w:r>
        <w:rPr>
          <w:rFonts w:ascii="Times New Roman"/>
          <w:b w:val="false"/>
          <w:i/>
          <w:color w:val="000000"/>
          <w:sz w:val="28"/>
        </w:rPr>
        <w:t>В</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сп</w:t>
      </w:r>
      <w:r>
        <w:rPr>
          <w:rFonts w:ascii="Times New Roman"/>
          <w:b w:val="false"/>
          <w:i w:val="false"/>
          <w:color w:val="000000"/>
          <w:sz w:val="28"/>
        </w:rPr>
        <w:t>)/6.</w:t>
      </w:r>
    </w:p>
    <w:bookmarkEnd w:id="3441"/>
    <w:bookmarkStart w:name="z3426" w:id="3442"/>
    <w:p>
      <w:pPr>
        <w:spacing w:after="0"/>
        <w:ind w:left="0"/>
        <w:jc w:val="both"/>
      </w:pPr>
      <w:r>
        <w:rPr>
          <w:rFonts w:ascii="Times New Roman"/>
          <w:b w:val="false"/>
          <w:i w:val="false"/>
          <w:color w:val="000000"/>
          <w:sz w:val="28"/>
        </w:rPr>
        <w:t>
      Под центральной килевой дорожкой устанавливается продольная переборка. Вместо продольной переборки допускается применение коробчатой конструкции, образуемой двумя продольными переборками, установленными симметрично относительно диаметральной плоскости.</w:t>
      </w:r>
    </w:p>
    <w:bookmarkEnd w:id="3442"/>
    <w:bookmarkStart w:name="z3427" w:id="3443"/>
    <w:p>
      <w:pPr>
        <w:spacing w:after="0"/>
        <w:ind w:left="0"/>
        <w:jc w:val="both"/>
      </w:pPr>
      <w:r>
        <w:rPr>
          <w:rFonts w:ascii="Times New Roman"/>
          <w:b w:val="false"/>
          <w:i w:val="false"/>
          <w:color w:val="000000"/>
          <w:sz w:val="28"/>
        </w:rPr>
        <w:t>
      В плоскости внутренних стенок башен устанавливают переборки или продольные рамные связи.</w:t>
      </w:r>
    </w:p>
    <w:bookmarkEnd w:id="3443"/>
    <w:bookmarkStart w:name="z3428" w:id="3444"/>
    <w:p>
      <w:pPr>
        <w:spacing w:after="0"/>
        <w:ind w:left="0"/>
        <w:jc w:val="both"/>
      </w:pPr>
      <w:r>
        <w:rPr>
          <w:rFonts w:ascii="Times New Roman"/>
          <w:b w:val="false"/>
          <w:i w:val="false"/>
          <w:color w:val="000000"/>
          <w:sz w:val="28"/>
        </w:rPr>
        <w:t>
      При поперечной системе набора понтона (понтонов) устанавливают дополнительные продольные рамные связи, предназначенные для ограничения пролета балок основного набора днища и стапель-палубы. Расстояние между ними не превышает 3 — 5 шпаций.</w:t>
      </w:r>
    </w:p>
    <w:bookmarkEnd w:id="3444"/>
    <w:bookmarkStart w:name="z3429" w:id="3445"/>
    <w:p>
      <w:pPr>
        <w:spacing w:after="0"/>
        <w:ind w:left="0"/>
        <w:jc w:val="both"/>
      </w:pPr>
      <w:r>
        <w:rPr>
          <w:rFonts w:ascii="Times New Roman"/>
          <w:b w:val="false"/>
          <w:i w:val="false"/>
          <w:color w:val="000000"/>
          <w:sz w:val="28"/>
        </w:rPr>
        <w:t>
      862. Шпация основного продольного и поперечного набора башен определяется согласно параграфу 3 главы 8 настоящих Правил.</w:t>
      </w:r>
    </w:p>
    <w:bookmarkEnd w:id="3445"/>
    <w:bookmarkStart w:name="z3430" w:id="3446"/>
    <w:p>
      <w:pPr>
        <w:spacing w:after="0"/>
        <w:ind w:left="0"/>
        <w:jc w:val="both"/>
      </w:pPr>
      <w:r>
        <w:rPr>
          <w:rFonts w:ascii="Times New Roman"/>
          <w:b w:val="false"/>
          <w:i w:val="false"/>
          <w:color w:val="000000"/>
          <w:sz w:val="28"/>
        </w:rPr>
        <w:t>
      При продольной системе набора стенок и палуб башен поперечные рамные связи (рамные бимсы и шпангоуты) располагаются в плоскости главных поперечных связей понтона (понтонов) (пункт 841 настоящих Правил).</w:t>
      </w:r>
    </w:p>
    <w:bookmarkEnd w:id="3446"/>
    <w:bookmarkStart w:name="z3431" w:id="3447"/>
    <w:p>
      <w:pPr>
        <w:spacing w:after="0"/>
        <w:ind w:left="0"/>
        <w:jc w:val="both"/>
      </w:pPr>
      <w:r>
        <w:rPr>
          <w:rFonts w:ascii="Times New Roman"/>
          <w:b w:val="false"/>
          <w:i w:val="false"/>
          <w:color w:val="000000"/>
          <w:sz w:val="28"/>
        </w:rPr>
        <w:t>
      При поперечной системе набора стенок башен устанавливают бортовые стрингеры. Расстояние между стрингерами, а также между стрингерами и палубой, как правило, не превышает 3,5 м.</w:t>
      </w:r>
    </w:p>
    <w:bookmarkEnd w:id="3447"/>
    <w:bookmarkStart w:name="z3432" w:id="3448"/>
    <w:p>
      <w:pPr>
        <w:spacing w:after="0"/>
        <w:ind w:left="0"/>
        <w:jc w:val="both"/>
      </w:pPr>
      <w:r>
        <w:rPr>
          <w:rFonts w:ascii="Times New Roman"/>
          <w:b w:val="false"/>
          <w:i w:val="false"/>
          <w:color w:val="000000"/>
          <w:sz w:val="28"/>
        </w:rPr>
        <w:t>
      При поперечной системе набора башен ниже палубы безопасности по стенкам башен в плоскости главных поперечных связей понтона желательно установить рамные шпангоуты, а по настилу палубы безопасности — рамные бимсы.</w:t>
      </w:r>
    </w:p>
    <w:bookmarkEnd w:id="3448"/>
    <w:bookmarkStart w:name="z3433" w:id="3449"/>
    <w:p>
      <w:pPr>
        <w:spacing w:after="0"/>
        <w:ind w:left="0"/>
        <w:jc w:val="both"/>
      </w:pPr>
      <w:r>
        <w:rPr>
          <w:rFonts w:ascii="Times New Roman"/>
          <w:b w:val="false"/>
          <w:i w:val="false"/>
          <w:color w:val="000000"/>
          <w:sz w:val="28"/>
        </w:rPr>
        <w:t>
      Рамные связи наружных и внутренних стенок башен ниже палубы безопасности (рамные шпангоуты — при продольной системе набора; стрингеры — при поперечной системе набора) соединяют между собой распорными бимсами (распорками), которые следует устанавливать в плоскости каждой главной поперечной связи понтона (пункт 861 настоящих Правил).</w:t>
      </w:r>
    </w:p>
    <w:bookmarkEnd w:id="3449"/>
    <w:bookmarkStart w:name="z3434" w:id="3450"/>
    <w:p>
      <w:pPr>
        <w:spacing w:after="0"/>
        <w:ind w:left="0"/>
        <w:jc w:val="both"/>
      </w:pPr>
      <w:r>
        <w:rPr>
          <w:rFonts w:ascii="Times New Roman"/>
          <w:b w:val="false"/>
          <w:i w:val="false"/>
          <w:color w:val="000000"/>
          <w:sz w:val="28"/>
        </w:rPr>
        <w:t>
      863. Допускается применение нахлесточных соединений балок набора понтона (понтонов) и башен.</w:t>
      </w:r>
    </w:p>
    <w:bookmarkEnd w:id="3450"/>
    <w:bookmarkStart w:name="z3435" w:id="3451"/>
    <w:p>
      <w:pPr>
        <w:spacing w:after="0"/>
        <w:ind w:left="0"/>
        <w:jc w:val="both"/>
      </w:pPr>
      <w:r>
        <w:rPr>
          <w:rFonts w:ascii="Times New Roman"/>
          <w:b w:val="false"/>
          <w:i w:val="false"/>
          <w:color w:val="000000"/>
          <w:sz w:val="28"/>
        </w:rPr>
        <w:t>
      Допускается применение совмещенных в одной плоскости монтажных стыков по листовым конструкциям и балкам набора, если обеспечен необходимый контроль качества сварных соединений.</w:t>
      </w:r>
    </w:p>
    <w:bookmarkEnd w:id="3451"/>
    <w:bookmarkStart w:name="z3436" w:id="3452"/>
    <w:p>
      <w:pPr>
        <w:spacing w:after="0"/>
        <w:ind w:left="0"/>
        <w:jc w:val="both"/>
      </w:pPr>
      <w:r>
        <w:rPr>
          <w:rFonts w:ascii="Times New Roman"/>
          <w:b w:val="false"/>
          <w:i w:val="false"/>
          <w:color w:val="000000"/>
          <w:sz w:val="28"/>
        </w:rPr>
        <w:t>
      В балластных отсеках и других цистернах не допускается применение пустотелых квадратных и трубчатых распорок и стоек.</w:t>
      </w:r>
    </w:p>
    <w:bookmarkEnd w:id="3452"/>
    <w:bookmarkStart w:name="z3437" w:id="3453"/>
    <w:p>
      <w:pPr>
        <w:spacing w:after="0"/>
        <w:ind w:left="0"/>
        <w:jc w:val="left"/>
      </w:pPr>
      <w:r>
        <w:rPr>
          <w:rFonts w:ascii="Times New Roman"/>
          <w:b/>
          <w:i w:val="false"/>
          <w:color w:val="000000"/>
        </w:rPr>
        <w:t xml:space="preserve"> Параграф 3. Расчетные нагрузки</w:t>
      </w:r>
    </w:p>
    <w:bookmarkEnd w:id="3453"/>
    <w:bookmarkStart w:name="z3438" w:id="3454"/>
    <w:p>
      <w:pPr>
        <w:spacing w:after="0"/>
        <w:ind w:left="0"/>
        <w:jc w:val="both"/>
      </w:pPr>
      <w:r>
        <w:rPr>
          <w:rFonts w:ascii="Times New Roman"/>
          <w:b w:val="false"/>
          <w:i w:val="false"/>
          <w:color w:val="000000"/>
          <w:sz w:val="28"/>
        </w:rPr>
        <w:t>
      864. Нагрузки для проектирования конструкций из условий обеспечения местной прочности определяются с учетом следующего:</w:t>
      </w:r>
    </w:p>
    <w:bookmarkEnd w:id="3454"/>
    <w:bookmarkStart w:name="z3439" w:id="3455"/>
    <w:p>
      <w:pPr>
        <w:spacing w:after="0"/>
        <w:ind w:left="0"/>
        <w:jc w:val="both"/>
      </w:pPr>
      <w:r>
        <w:rPr>
          <w:rFonts w:ascii="Times New Roman"/>
          <w:b w:val="false"/>
          <w:i w:val="false"/>
          <w:color w:val="000000"/>
          <w:sz w:val="28"/>
        </w:rPr>
        <w:t xml:space="preserve">
      1) расчетное давление </w:t>
      </w:r>
      <w:r>
        <w:rPr>
          <w:rFonts w:ascii="Times New Roman"/>
          <w:b w:val="false"/>
          <w:i/>
          <w:color w:val="000000"/>
          <w:sz w:val="28"/>
        </w:rPr>
        <w:t>р</w:t>
      </w:r>
      <w:r>
        <w:rPr>
          <w:rFonts w:ascii="Times New Roman"/>
          <w:b w:val="false"/>
          <w:i w:val="false"/>
          <w:color w:val="000000"/>
          <w:sz w:val="28"/>
        </w:rPr>
        <w:t>, кПа, для листовых и балочных элементов днищевых конструкций определяется по следующим формулам:</w:t>
      </w:r>
    </w:p>
    <w:bookmarkEnd w:id="3455"/>
    <w:p>
      <w:pPr>
        <w:spacing w:after="0"/>
        <w:ind w:left="0"/>
        <w:jc w:val="both"/>
      </w:pPr>
      <w:r>
        <w:rPr>
          <w:rFonts w:ascii="Times New Roman"/>
          <w:b w:val="false"/>
          <w:i w:val="false"/>
          <w:color w:val="000000"/>
          <w:sz w:val="28"/>
        </w:rPr>
        <w:t>
      в районе сухих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(354)</w:t>
      </w:r>
    </w:p>
    <w:p>
      <w:pPr>
        <w:spacing w:after="0"/>
        <w:ind w:left="0"/>
        <w:jc w:val="both"/>
      </w:pPr>
      <w:r>
        <w:rPr>
          <w:rFonts w:ascii="Times New Roman"/>
          <w:b w:val="false"/>
          <w:i w:val="false"/>
          <w:color w:val="000000"/>
          <w:sz w:val="28"/>
        </w:rPr>
        <w:t>
      в районе балластных отсеков, не сообщающихся с башнями,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10(d</w:t>
      </w:r>
      <w:r>
        <w:rPr>
          <w:rFonts w:ascii="Times New Roman"/>
          <w:b w:val="false"/>
          <w:i w:val="false"/>
          <w:color w:val="000000"/>
          <w:vertAlign w:val="subscript"/>
        </w:rPr>
        <w:t>пр</w:t>
      </w:r>
      <w:r>
        <w:rPr>
          <w:rFonts w:ascii="Times New Roman"/>
          <w:b w:val="false"/>
          <w:i w:val="false"/>
          <w:color w:val="000000"/>
          <w:sz w:val="28"/>
        </w:rPr>
        <w:t xml:space="preserve"> – D</w:t>
      </w:r>
      <w:r>
        <w:rPr>
          <w:rFonts w:ascii="Times New Roman"/>
          <w:b w:val="false"/>
          <w:i w:val="false"/>
          <w:color w:val="000000"/>
          <w:vertAlign w:val="subscript"/>
        </w:rPr>
        <w:t>п</w:t>
      </w:r>
      <w:r>
        <w:rPr>
          <w:rFonts w:ascii="Times New Roman"/>
          <w:b w:val="false"/>
          <w:i w:val="false"/>
          <w:color w:val="000000"/>
          <w:sz w:val="28"/>
        </w:rPr>
        <w:t>)                   (355)</w:t>
      </w:r>
    </w:p>
    <w:p>
      <w:pPr>
        <w:spacing w:after="0"/>
        <w:ind w:left="0"/>
        <w:jc w:val="both"/>
      </w:pPr>
      <w:r>
        <w:rPr>
          <w:rFonts w:ascii="Times New Roman"/>
          <w:b w:val="false"/>
          <w:i w:val="false"/>
          <w:color w:val="000000"/>
          <w:sz w:val="28"/>
        </w:rPr>
        <w:t>
      и сообщающихся с башнями,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10(d</w:t>
      </w:r>
      <w:r>
        <w:rPr>
          <w:rFonts w:ascii="Times New Roman"/>
          <w:b w:val="false"/>
          <w:i w:val="false"/>
          <w:color w:val="000000"/>
          <w:vertAlign w:val="subscript"/>
        </w:rPr>
        <w:t>пр</w:t>
      </w:r>
      <w:r>
        <w:rPr>
          <w:rFonts w:ascii="Times New Roman"/>
          <w:b w:val="false"/>
          <w:i w:val="false"/>
          <w:color w:val="000000"/>
          <w:sz w:val="28"/>
        </w:rPr>
        <w:t xml:space="preserve"> – z</w:t>
      </w:r>
      <w:r>
        <w:rPr>
          <w:rFonts w:ascii="Times New Roman"/>
          <w:b w:val="false"/>
          <w:i w:val="false"/>
          <w:color w:val="000000"/>
          <w:vertAlign w:val="subscript"/>
        </w:rPr>
        <w:t>п.б</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z),           (356)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п.б</w:t>
      </w:r>
      <w:r>
        <w:rPr>
          <w:rFonts w:ascii="Times New Roman"/>
          <w:b w:val="false"/>
          <w:i w:val="false"/>
          <w:color w:val="000000"/>
          <w:sz w:val="28"/>
        </w:rPr>
        <w:t xml:space="preserve"> — отстояние палубы безопасности от основной линии,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z — толщина воздушной подушки, м.;</w:t>
      </w:r>
      <w:r>
        <w:br/>
      </w:r>
      <w:r>
        <w:rPr>
          <w:rFonts w:ascii="Times New Roman"/>
          <w:b w:val="false"/>
          <w:i w:val="false"/>
          <w:color w:val="000000"/>
          <w:sz w:val="28"/>
        </w:rPr>
        <w:t>
</w:t>
      </w:r>
    </w:p>
    <w:bookmarkStart w:name="z3440" w:id="3456"/>
    <w:p>
      <w:pPr>
        <w:spacing w:after="0"/>
        <w:ind w:left="0"/>
        <w:jc w:val="both"/>
      </w:pPr>
      <w:r>
        <w:rPr>
          <w:rFonts w:ascii="Times New Roman"/>
          <w:b w:val="false"/>
          <w:i w:val="false"/>
          <w:color w:val="000000"/>
          <w:sz w:val="28"/>
        </w:rPr>
        <w:t>
      2) расчетное давление р, кПа, для листовых и балочных элементов стапель-палубы в районе сухих и балластных отсеков определяется по формуле (355) настоящих Правил.</w:t>
      </w:r>
    </w:p>
    <w:bookmarkEnd w:id="3456"/>
    <w:bookmarkStart w:name="z3441" w:id="3457"/>
    <w:p>
      <w:pPr>
        <w:spacing w:after="0"/>
        <w:ind w:left="0"/>
        <w:jc w:val="both"/>
      </w:pPr>
      <w:r>
        <w:rPr>
          <w:rFonts w:ascii="Times New Roman"/>
          <w:b w:val="false"/>
          <w:i w:val="false"/>
          <w:color w:val="000000"/>
          <w:sz w:val="28"/>
        </w:rPr>
        <w:t>
      3) расчетное давление р, кПа, для листовых и балочных элементов бортов и концевых переборок понтона (понтонов) определяется последующим формулам:</w:t>
      </w:r>
    </w:p>
    <w:bookmarkEnd w:id="3457"/>
    <w:p>
      <w:pPr>
        <w:spacing w:after="0"/>
        <w:ind w:left="0"/>
        <w:jc w:val="both"/>
      </w:pPr>
      <w:r>
        <w:rPr>
          <w:rFonts w:ascii="Times New Roman"/>
          <w:b w:val="false"/>
          <w:i w:val="false"/>
          <w:color w:val="000000"/>
          <w:sz w:val="28"/>
        </w:rPr>
        <w:t>
      в районе сухих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10(d</w:t>
      </w:r>
      <w:r>
        <w:rPr>
          <w:rFonts w:ascii="Times New Roman"/>
          <w:b w:val="false"/>
          <w:i w:val="false"/>
          <w:color w:val="000000"/>
          <w:vertAlign w:val="subscript"/>
        </w:rPr>
        <w:t>пр</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(357)</w:t>
      </w:r>
    </w:p>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i</w:t>
      </w:r>
      <w:r>
        <w:rPr>
          <w:rFonts w:ascii="Times New Roman"/>
          <w:b w:val="false"/>
          <w:i w:val="false"/>
          <w:color w:val="000000"/>
          <w:sz w:val="28"/>
        </w:rPr>
        <w:t xml:space="preserve"> — отстояние нижней кромки листа или середины пролета балки набора от основной линии, м;</w:t>
      </w:r>
    </w:p>
    <w:p>
      <w:pPr>
        <w:spacing w:after="0"/>
        <w:ind w:left="0"/>
        <w:jc w:val="both"/>
      </w:pPr>
      <w:r>
        <w:rPr>
          <w:rFonts w:ascii="Times New Roman"/>
          <w:b w:val="false"/>
          <w:i w:val="false"/>
          <w:color w:val="000000"/>
          <w:sz w:val="28"/>
        </w:rPr>
        <w:t>
      в районе балластных отсеков</w:t>
      </w:r>
    </w:p>
    <w:p>
      <w:pPr>
        <w:spacing w:after="0"/>
        <w:ind w:left="0"/>
        <w:jc w:val="both"/>
      </w:pPr>
      <w:r>
        <w:rPr>
          <w:rFonts w:ascii="Times New Roman"/>
          <w:b w:val="false"/>
          <w:i w:val="false"/>
          <w:color w:val="000000"/>
          <w:sz w:val="28"/>
        </w:rPr>
        <w:t>
                                    р = 10(d</w:t>
      </w:r>
      <w:r>
        <w:rPr>
          <w:rFonts w:ascii="Times New Roman"/>
          <w:b w:val="false"/>
          <w:i w:val="false"/>
          <w:color w:val="000000"/>
          <w:vertAlign w:val="subscript"/>
        </w:rPr>
        <w:t>0</w:t>
      </w:r>
      <w:r>
        <w:rPr>
          <w:rFonts w:ascii="Times New Roman"/>
          <w:b w:val="false"/>
          <w:i w:val="false"/>
          <w:color w:val="000000"/>
          <w:sz w:val="28"/>
        </w:rPr>
        <w:t xml:space="preserve"> – D</w:t>
      </w:r>
      <w:r>
        <w:rPr>
          <w:rFonts w:ascii="Times New Roman"/>
          <w:b w:val="false"/>
          <w:i w:val="false"/>
          <w:color w:val="000000"/>
          <w:vertAlign w:val="subscript"/>
        </w:rPr>
        <w:t>п</w:t>
      </w:r>
      <w:r>
        <w:rPr>
          <w:rFonts w:ascii="Times New Roman"/>
          <w:b w:val="false"/>
          <w:i w:val="false"/>
          <w:color w:val="000000"/>
          <w:sz w:val="28"/>
        </w:rPr>
        <w:t>),                   (358)</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осадка дока, соответствующая заполнению бортового балластного отсека по уровень стапель-палубы, м. d</w:t>
      </w:r>
      <w:r>
        <w:rPr>
          <w:rFonts w:ascii="Times New Roman"/>
          <w:b w:val="false"/>
          <w:i w:val="false"/>
          <w:color w:val="000000"/>
          <w:vertAlign w:val="subscript"/>
        </w:rPr>
        <w:t>0</w:t>
      </w:r>
      <w:r>
        <w:rPr>
          <w:rFonts w:ascii="Times New Roman"/>
          <w:b w:val="false"/>
          <w:i w:val="false"/>
          <w:color w:val="000000"/>
          <w:sz w:val="28"/>
        </w:rPr>
        <w:t xml:space="preserve"> не принимается более d</w:t>
      </w:r>
      <w:r>
        <w:rPr>
          <w:rFonts w:ascii="Times New Roman"/>
          <w:b w:val="false"/>
          <w:i w:val="false"/>
          <w:color w:val="000000"/>
          <w:vertAlign w:val="subscript"/>
        </w:rPr>
        <w:t>пр</w:t>
      </w:r>
      <w:r>
        <w:rPr>
          <w:rFonts w:ascii="Times New Roman"/>
          <w:b w:val="false"/>
          <w:i w:val="false"/>
          <w:color w:val="000000"/>
          <w:sz w:val="28"/>
        </w:rPr>
        <w:t>.</w:t>
      </w:r>
    </w:p>
    <w:bookmarkStart w:name="z3442" w:id="3458"/>
    <w:p>
      <w:pPr>
        <w:spacing w:after="0"/>
        <w:ind w:left="0"/>
        <w:jc w:val="both"/>
      </w:pPr>
      <w:r>
        <w:rPr>
          <w:rFonts w:ascii="Times New Roman"/>
          <w:b w:val="false"/>
          <w:i w:val="false"/>
          <w:color w:val="000000"/>
          <w:sz w:val="28"/>
        </w:rPr>
        <w:t>
      В первом приближении, если нет специальных данных, возможно принять  d</w:t>
      </w:r>
      <w:r>
        <w:rPr>
          <w:rFonts w:ascii="Times New Roman"/>
          <w:b w:val="false"/>
          <w:i w:val="false"/>
          <w:color w:val="000000"/>
          <w:vertAlign w:val="subscript"/>
        </w:rPr>
        <w:t>0</w:t>
      </w:r>
      <w:r>
        <w:rPr>
          <w:rFonts w:ascii="Times New Roman"/>
          <w:b w:val="false"/>
          <w:i w:val="false"/>
          <w:color w:val="000000"/>
          <w:sz w:val="28"/>
        </w:rPr>
        <w:t xml:space="preserve"> = D</w:t>
      </w:r>
      <w:r>
        <w:rPr>
          <w:rFonts w:ascii="Times New Roman"/>
          <w:b w:val="false"/>
          <w:i w:val="false"/>
          <w:color w:val="000000"/>
          <w:vertAlign w:val="subscript"/>
        </w:rPr>
        <w:t>п</w:t>
      </w:r>
      <w:r>
        <w:rPr>
          <w:rFonts w:ascii="Times New Roman"/>
          <w:b w:val="false"/>
          <w:i w:val="false"/>
          <w:color w:val="000000"/>
          <w:sz w:val="28"/>
        </w:rPr>
        <w:t xml:space="preserve"> + G/2L</w:t>
      </w:r>
      <w:r>
        <w:rPr>
          <w:rFonts w:ascii="Times New Roman"/>
          <w:b w:val="false"/>
          <w:i w:val="false"/>
          <w:color w:val="000000"/>
          <w:vertAlign w:val="subscript"/>
        </w:rPr>
        <w:t>cп</w:t>
      </w:r>
      <w:r>
        <w:rPr>
          <w:rFonts w:ascii="Times New Roman"/>
          <w:b w:val="false"/>
          <w:i w:val="false"/>
          <w:color w:val="000000"/>
          <w:sz w:val="28"/>
        </w:rPr>
        <w:t>b</w:t>
      </w:r>
      <w:r>
        <w:rPr>
          <w:rFonts w:ascii="Times New Roman"/>
          <w:b w:val="false"/>
          <w:i w:val="false"/>
          <w:color w:val="000000"/>
          <w:vertAlign w:val="subscript"/>
        </w:rPr>
        <w:t>cп</w:t>
      </w:r>
      <w:r>
        <w:rPr>
          <w:rFonts w:ascii="Times New Roman"/>
          <w:b w:val="false"/>
          <w:i/>
          <w:color w:val="000000"/>
          <w:sz w:val="28"/>
        </w:rPr>
        <w:t>p</w:t>
      </w:r>
      <w:r>
        <w:rPr>
          <w:rFonts w:ascii="Times New Roman"/>
          <w:b w:val="false"/>
          <w:i w:val="false"/>
          <w:color w:val="000000"/>
          <w:sz w:val="28"/>
        </w:rPr>
        <w:t>;</w:t>
      </w:r>
    </w:p>
    <w:bookmarkEnd w:id="3458"/>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масса дока без остаточного и выравнивающего балласта;</w:t>
      </w:r>
    </w:p>
    <w:p>
      <w:pPr>
        <w:spacing w:after="0"/>
        <w:ind w:left="0"/>
        <w:jc w:val="both"/>
      </w:pPr>
      <w:r>
        <w:rPr>
          <w:rFonts w:ascii="Times New Roman"/>
          <w:b w:val="false"/>
          <w:i w:val="false"/>
          <w:color w:val="000000"/>
          <w:sz w:val="28"/>
        </w:rPr>
        <w:t>
      р — плотность морской воды (параграф 3 главы 8 настоящих Правил);</w:t>
      </w:r>
    </w:p>
    <w:bookmarkStart w:name="z3443" w:id="3459"/>
    <w:p>
      <w:pPr>
        <w:spacing w:after="0"/>
        <w:ind w:left="0"/>
        <w:jc w:val="both"/>
      </w:pPr>
      <w:r>
        <w:rPr>
          <w:rFonts w:ascii="Times New Roman"/>
          <w:b w:val="false"/>
          <w:i w:val="false"/>
          <w:color w:val="000000"/>
          <w:sz w:val="28"/>
        </w:rPr>
        <w:t>
      4) расчетное давление р, кПа, для листовых и балочных элементов стенок и концевых переборок башен определяется по следующим формулам:</w:t>
      </w:r>
    </w:p>
    <w:bookmarkEnd w:id="3459"/>
    <w:p>
      <w:pPr>
        <w:spacing w:after="0"/>
        <w:ind w:left="0"/>
        <w:jc w:val="both"/>
      </w:pPr>
      <w:r>
        <w:rPr>
          <w:rFonts w:ascii="Times New Roman"/>
          <w:b w:val="false"/>
          <w:i w:val="false"/>
          <w:color w:val="000000"/>
          <w:sz w:val="28"/>
        </w:rPr>
        <w:t>
      в районе сухих отсеков — по формуле (357) настоящих Правил;</w:t>
      </w:r>
    </w:p>
    <w:p>
      <w:pPr>
        <w:spacing w:after="0"/>
        <w:ind w:left="0"/>
        <w:jc w:val="both"/>
      </w:pPr>
      <w:r>
        <w:rPr>
          <w:rFonts w:ascii="Times New Roman"/>
          <w:b w:val="false"/>
          <w:i w:val="false"/>
          <w:color w:val="000000"/>
          <w:sz w:val="28"/>
        </w:rPr>
        <w:t>
      в районе балластных отсеков</w:t>
      </w:r>
    </w:p>
    <w:p>
      <w:pPr>
        <w:spacing w:after="0"/>
        <w:ind w:left="0"/>
        <w:jc w:val="both"/>
      </w:pPr>
      <w:r>
        <w:rPr>
          <w:rFonts w:ascii="Times New Roman"/>
          <w:b w:val="false"/>
          <w:i w:val="false"/>
          <w:color w:val="000000"/>
          <w:sz w:val="28"/>
        </w:rPr>
        <w:t>
                                    р = 10(d</w:t>
      </w:r>
      <w:r>
        <w:rPr>
          <w:rFonts w:ascii="Times New Roman"/>
          <w:b w:val="false"/>
          <w:i w:val="false"/>
          <w:color w:val="000000"/>
          <w:vertAlign w:val="subscript"/>
        </w:rPr>
        <w:t>0</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(359)</w:t>
      </w:r>
    </w:p>
    <w:bookmarkStart w:name="z3444" w:id="3460"/>
    <w:p>
      <w:pPr>
        <w:spacing w:after="0"/>
        <w:ind w:left="0"/>
        <w:jc w:val="both"/>
      </w:pPr>
      <w:r>
        <w:rPr>
          <w:rFonts w:ascii="Times New Roman"/>
          <w:b w:val="false"/>
          <w:i w:val="false"/>
          <w:color w:val="000000"/>
          <w:sz w:val="28"/>
        </w:rPr>
        <w:t>
      5) расчетное давление р, кПа, для листовых и балочных элементов палубы безопасности в районе сухих отсеков принимается равным 5 кПа, в районе балластных отсековопределяется по формуле:</w:t>
      </w:r>
    </w:p>
    <w:bookmarkEnd w:id="3460"/>
    <w:p>
      <w:pPr>
        <w:spacing w:after="0"/>
        <w:ind w:left="0"/>
        <w:jc w:val="both"/>
      </w:pPr>
      <w:r>
        <w:rPr>
          <w:rFonts w:ascii="Times New Roman"/>
          <w:b w:val="false"/>
          <w:i w:val="false"/>
          <w:color w:val="000000"/>
          <w:sz w:val="28"/>
        </w:rPr>
        <w:t>
      p = 10(d</w:t>
      </w:r>
      <w:r>
        <w:rPr>
          <w:rFonts w:ascii="Times New Roman"/>
          <w:b w:val="false"/>
          <w:i w:val="false"/>
          <w:color w:val="000000"/>
          <w:vertAlign w:val="subscript"/>
        </w:rPr>
        <w:t>пр</w:t>
      </w:r>
      <w:r>
        <w:rPr>
          <w:rFonts w:ascii="Times New Roman"/>
          <w:b w:val="false"/>
          <w:i w:val="false"/>
          <w:color w:val="000000"/>
          <w:sz w:val="28"/>
        </w:rPr>
        <w:t xml:space="preserve"> – z</w:t>
      </w:r>
      <w:r>
        <w:rPr>
          <w:rFonts w:ascii="Times New Roman"/>
          <w:b w:val="false"/>
          <w:i w:val="false"/>
          <w:color w:val="000000"/>
          <w:vertAlign w:val="subscript"/>
        </w:rPr>
        <w:t>п.б</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z),              (360)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п.б</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z — подпункт 1) пункта 864 настоящих Правил;</w:t>
      </w:r>
      <w:r>
        <w:br/>
      </w:r>
      <w:r>
        <w:rPr>
          <w:rFonts w:ascii="Times New Roman"/>
          <w:b w:val="false"/>
          <w:i w:val="false"/>
          <w:color w:val="000000"/>
          <w:sz w:val="28"/>
        </w:rPr>
        <w:t>
</w:t>
      </w:r>
    </w:p>
    <w:bookmarkStart w:name="z3445" w:id="3461"/>
    <w:p>
      <w:pPr>
        <w:spacing w:after="0"/>
        <w:ind w:left="0"/>
        <w:jc w:val="both"/>
      </w:pPr>
      <w:r>
        <w:rPr>
          <w:rFonts w:ascii="Times New Roman"/>
          <w:b w:val="false"/>
          <w:i w:val="false"/>
          <w:color w:val="000000"/>
          <w:sz w:val="28"/>
        </w:rPr>
        <w:t>
      6) расчетное давление р, кПа, для листовых и балочных элементов внутренних водонепроницаемых переборок балластных отсеков определяется по формуле:</w:t>
      </w:r>
    </w:p>
    <w:bookmarkEnd w:id="3461"/>
    <w:p>
      <w:pPr>
        <w:spacing w:after="0"/>
        <w:ind w:left="0"/>
        <w:jc w:val="both"/>
      </w:pPr>
      <w:r>
        <w:rPr>
          <w:rFonts w:ascii="Times New Roman"/>
          <w:b w:val="false"/>
          <w:i w:val="false"/>
          <w:color w:val="000000"/>
          <w:sz w:val="28"/>
        </w:rPr>
        <w:t>
      p = 10(d</w:t>
      </w:r>
      <w:r>
        <w:rPr>
          <w:rFonts w:ascii="Times New Roman"/>
          <w:b w:val="false"/>
          <w:i w:val="false"/>
          <w:color w:val="000000"/>
          <w:vertAlign w:val="subscript"/>
        </w:rPr>
        <w:t>пр</w:t>
      </w:r>
      <w:r>
        <w:rPr>
          <w:rFonts w:ascii="Times New Roman"/>
          <w:b w:val="false"/>
          <w:i w:val="false"/>
          <w:color w:val="000000"/>
          <w:sz w:val="28"/>
        </w:rPr>
        <w:t xml:space="preserve"> – z</w:t>
      </w:r>
      <w:r>
        <w:rPr>
          <w:rFonts w:ascii="Times New Roman"/>
          <w:b w:val="false"/>
          <w:i w:val="false"/>
          <w:color w:val="000000"/>
          <w:vertAlign w:val="subscript"/>
        </w:rPr>
        <w:t>к</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z),               (361)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z</w:t>
      </w:r>
      <w:r>
        <w:rPr>
          <w:rFonts w:ascii="Times New Roman"/>
          <w:b w:val="false"/>
          <w:i w:val="false"/>
          <w:color w:val="000000"/>
          <w:vertAlign w:val="subscript"/>
        </w:rPr>
        <w:t>к</w:t>
      </w:r>
      <w:r>
        <w:rPr>
          <w:rFonts w:ascii="Times New Roman"/>
          <w:b w:val="false"/>
          <w:i w:val="false"/>
          <w:color w:val="000000"/>
          <w:sz w:val="28"/>
        </w:rPr>
        <w:t xml:space="preserve"> — отстояние крыши балластного отсека от основной линии,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z — подпункт 1) пункта 864 настоящих Правил;</w:t>
      </w:r>
      <w:r>
        <w:br/>
      </w:r>
      <w:r>
        <w:rPr>
          <w:rFonts w:ascii="Times New Roman"/>
          <w:b w:val="false"/>
          <w:i w:val="false"/>
          <w:color w:val="000000"/>
          <w:sz w:val="28"/>
        </w:rPr>
        <w:t>
</w:t>
      </w:r>
    </w:p>
    <w:bookmarkStart w:name="z3446" w:id="3462"/>
    <w:p>
      <w:pPr>
        <w:spacing w:after="0"/>
        <w:ind w:left="0"/>
        <w:jc w:val="both"/>
      </w:pPr>
      <w:r>
        <w:rPr>
          <w:rFonts w:ascii="Times New Roman"/>
          <w:b w:val="false"/>
          <w:i w:val="false"/>
          <w:color w:val="000000"/>
          <w:sz w:val="28"/>
        </w:rPr>
        <w:t>
      7) расчетное давление р, кПа, для листовых и балочных элементов аварийных водонепроницаемых переборок определяется по формуле (357) настоящих Правил;</w:t>
      </w:r>
    </w:p>
    <w:bookmarkEnd w:id="3462"/>
    <w:bookmarkStart w:name="z3447" w:id="3463"/>
    <w:p>
      <w:pPr>
        <w:spacing w:after="0"/>
        <w:ind w:left="0"/>
        <w:jc w:val="both"/>
      </w:pPr>
      <w:r>
        <w:rPr>
          <w:rFonts w:ascii="Times New Roman"/>
          <w:b w:val="false"/>
          <w:i w:val="false"/>
          <w:color w:val="000000"/>
          <w:sz w:val="28"/>
        </w:rPr>
        <w:t>
      8) расчетное давление для листовых и балочных элементов топ-палубы принимается равным 5 кПа;</w:t>
      </w:r>
    </w:p>
    <w:bookmarkEnd w:id="3463"/>
    <w:bookmarkStart w:name="z3448" w:id="3464"/>
    <w:p>
      <w:pPr>
        <w:spacing w:after="0"/>
        <w:ind w:left="0"/>
        <w:jc w:val="both"/>
      </w:pPr>
      <w:r>
        <w:rPr>
          <w:rFonts w:ascii="Times New Roman"/>
          <w:b w:val="false"/>
          <w:i w:val="false"/>
          <w:color w:val="000000"/>
          <w:sz w:val="28"/>
        </w:rPr>
        <w:t>
      9) расчетное давление р, кПа, для листовых и балочных элементов топливных, масляных, водяных и прочих цистерн определяется по следующим формулам:</w:t>
      </w:r>
    </w:p>
    <w:bookmarkEnd w:id="3464"/>
    <w:p>
      <w:pPr>
        <w:spacing w:after="0"/>
        <w:ind w:left="0"/>
        <w:jc w:val="both"/>
      </w:pPr>
      <w:r>
        <w:rPr>
          <w:rFonts w:ascii="Times New Roman"/>
          <w:b w:val="false"/>
          <w:i w:val="false"/>
          <w:color w:val="000000"/>
          <w:sz w:val="28"/>
        </w:rPr>
        <w:t>
      при расчете на внутреннее давление</w:t>
      </w:r>
    </w:p>
    <w:p>
      <w:pPr>
        <w:spacing w:after="0"/>
        <w:ind w:left="0"/>
        <w:jc w:val="both"/>
      </w:pPr>
      <w:r>
        <w:rPr>
          <w:rFonts w:ascii="Times New Roman"/>
          <w:b w:val="false"/>
          <w:i w:val="false"/>
          <w:color w:val="000000"/>
          <w:sz w:val="28"/>
        </w:rPr>
        <w:t>
      р = 10</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(z</w:t>
      </w:r>
      <w:r>
        <w:rPr>
          <w:rFonts w:ascii="Times New Roman"/>
          <w:b w:val="false"/>
          <w:i w:val="false"/>
          <w:color w:val="000000"/>
          <w:vertAlign w:val="subscript"/>
        </w:rPr>
        <w:t>в.т</w:t>
      </w:r>
      <w:r>
        <w:rPr>
          <w:rFonts w:ascii="Times New Roman"/>
          <w:b w:val="false"/>
          <w:i w:val="false"/>
          <w:color w:val="000000"/>
          <w:sz w:val="28"/>
        </w:rPr>
        <w:t xml:space="preserve"> – z</w:t>
      </w:r>
      <w:r>
        <w:rPr>
          <w:rFonts w:ascii="Times New Roman"/>
          <w:b w:val="false"/>
          <w:i w:val="false"/>
          <w:color w:val="000000"/>
          <w:vertAlign w:val="subscript"/>
        </w:rPr>
        <w:t>i</w:t>
      </w:r>
      <w:r>
        <w:rPr>
          <w:rFonts w:ascii="Times New Roman"/>
          <w:b w:val="false"/>
          <w:i w:val="false"/>
          <w:color w:val="000000"/>
          <w:sz w:val="28"/>
        </w:rPr>
        <w:t>),               (362)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плотность жидкости в цистерне,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в.т</w:t>
      </w:r>
      <w:r>
        <w:rPr>
          <w:rFonts w:ascii="Times New Roman"/>
          <w:b w:val="false"/>
          <w:i w:val="false"/>
          <w:color w:val="000000"/>
          <w:sz w:val="28"/>
        </w:rPr>
        <w:t xml:space="preserve"> — отстояние верхней кромки воздушной трубы от основной линии, м;</w:t>
      </w:r>
    </w:p>
    <w:p>
      <w:pPr>
        <w:spacing w:after="0"/>
        <w:ind w:left="0"/>
        <w:jc w:val="both"/>
      </w:pPr>
      <w:r>
        <w:rPr>
          <w:rFonts w:ascii="Times New Roman"/>
          <w:b w:val="false"/>
          <w:i w:val="false"/>
          <w:color w:val="000000"/>
          <w:sz w:val="28"/>
        </w:rPr>
        <w:t>
      при расчете на внешнее давление — по формуле (357) настоящих Правил.</w:t>
      </w:r>
    </w:p>
    <w:bookmarkStart w:name="z3449" w:id="3465"/>
    <w:p>
      <w:pPr>
        <w:spacing w:after="0"/>
        <w:ind w:left="0"/>
        <w:jc w:val="both"/>
      </w:pPr>
      <w:r>
        <w:rPr>
          <w:rFonts w:ascii="Times New Roman"/>
          <w:b w:val="false"/>
          <w:i w:val="false"/>
          <w:color w:val="000000"/>
          <w:sz w:val="28"/>
        </w:rPr>
        <w:t>
      Для листовых конструкций, расположенных параллельно основной плоскости, z</w:t>
      </w:r>
      <w:r>
        <w:rPr>
          <w:rFonts w:ascii="Times New Roman"/>
          <w:b w:val="false"/>
          <w:i w:val="false"/>
          <w:color w:val="000000"/>
          <w:vertAlign w:val="subscript"/>
        </w:rPr>
        <w:t>i</w:t>
      </w:r>
      <w:r>
        <w:rPr>
          <w:rFonts w:ascii="Times New Roman"/>
          <w:b w:val="false"/>
          <w:i w:val="false"/>
          <w:color w:val="000000"/>
          <w:sz w:val="28"/>
        </w:rPr>
        <w:t xml:space="preserve"> — отстояние листовой конструкции от основной линии;</w:t>
      </w:r>
    </w:p>
    <w:bookmarkEnd w:id="3465"/>
    <w:bookmarkStart w:name="z3450" w:id="3466"/>
    <w:p>
      <w:pPr>
        <w:spacing w:after="0"/>
        <w:ind w:left="0"/>
        <w:jc w:val="both"/>
      </w:pPr>
      <w:r>
        <w:rPr>
          <w:rFonts w:ascii="Times New Roman"/>
          <w:b w:val="false"/>
          <w:i w:val="false"/>
          <w:color w:val="000000"/>
          <w:sz w:val="28"/>
        </w:rPr>
        <w:t>
      10) расчетное давление на конструкции кринолинов принимается равным 5 кПа;</w:t>
      </w:r>
    </w:p>
    <w:bookmarkEnd w:id="3466"/>
    <w:bookmarkStart w:name="z3451" w:id="3467"/>
    <w:p>
      <w:pPr>
        <w:spacing w:after="0"/>
        <w:ind w:left="0"/>
        <w:jc w:val="both"/>
      </w:pPr>
      <w:r>
        <w:rPr>
          <w:rFonts w:ascii="Times New Roman"/>
          <w:b w:val="false"/>
          <w:i w:val="false"/>
          <w:color w:val="000000"/>
          <w:sz w:val="28"/>
        </w:rPr>
        <w:t>
      11) расчетное давление на конструкции переходных мостиков принимается равным 3,5 кПа;</w:t>
      </w:r>
    </w:p>
    <w:bookmarkEnd w:id="3467"/>
    <w:bookmarkStart w:name="z3452" w:id="3468"/>
    <w:p>
      <w:pPr>
        <w:spacing w:after="0"/>
        <w:ind w:left="0"/>
        <w:jc w:val="both"/>
      </w:pPr>
      <w:r>
        <w:rPr>
          <w:rFonts w:ascii="Times New Roman"/>
          <w:b w:val="false"/>
          <w:i w:val="false"/>
          <w:color w:val="000000"/>
          <w:sz w:val="28"/>
        </w:rPr>
        <w:t>
      12) расчетное давление на конструкции палубы безопасности, промежуточных палуб и платформ в районе расположения оборудования электроэнергетической установки принимается равным 18 кПа, в районах жилых и служебных помещений — 5 кПа.</w:t>
      </w:r>
    </w:p>
    <w:bookmarkEnd w:id="3468"/>
    <w:bookmarkStart w:name="z3453" w:id="3469"/>
    <w:p>
      <w:pPr>
        <w:spacing w:after="0"/>
        <w:ind w:left="0"/>
        <w:jc w:val="both"/>
      </w:pPr>
      <w:r>
        <w:rPr>
          <w:rFonts w:ascii="Times New Roman"/>
          <w:b w:val="false"/>
          <w:i w:val="false"/>
          <w:color w:val="000000"/>
          <w:sz w:val="28"/>
        </w:rPr>
        <w:t>
      865. Нагрузки для проектирования конструкций из условия обеспечения общей поперечной и продольной прочности понтона (понтонов) определяются с учетом следующего:</w:t>
      </w:r>
    </w:p>
    <w:bookmarkEnd w:id="3469"/>
    <w:bookmarkStart w:name="z3454" w:id="3470"/>
    <w:p>
      <w:pPr>
        <w:spacing w:after="0"/>
        <w:ind w:left="0"/>
        <w:jc w:val="both"/>
      </w:pPr>
      <w:r>
        <w:rPr>
          <w:rFonts w:ascii="Times New Roman"/>
          <w:b w:val="false"/>
          <w:i w:val="false"/>
          <w:color w:val="000000"/>
          <w:sz w:val="28"/>
        </w:rPr>
        <w:t xml:space="preserve">
      1) расчетные нагрузки для проектирования конструкций понтона (понтонов) монолитных, понтонных и секционных доков определяются для случаев постановки в док на центральную килевую дорожку симметрично относительно миделевого сечения дока судна, имеющего длину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и массу, равную максимальной грузоподъемности дока Д. Осадка дока при этом соответствует расчетной (пункт 853 настоящих Правил); балластная вода считается равномерно распределенной по длине и ширине дока;</w:t>
      </w:r>
    </w:p>
    <w:bookmarkEnd w:id="3470"/>
    <w:bookmarkStart w:name="z3455" w:id="3471"/>
    <w:p>
      <w:pPr>
        <w:spacing w:after="0"/>
        <w:ind w:left="0"/>
        <w:jc w:val="both"/>
      </w:pPr>
      <w:r>
        <w:rPr>
          <w:rFonts w:ascii="Times New Roman"/>
          <w:b w:val="false"/>
          <w:i w:val="false"/>
          <w:color w:val="000000"/>
          <w:sz w:val="28"/>
        </w:rPr>
        <w:t>
      2) для понтонных и секционных доков дополнительно рассматривают случай загрузки понтонов только силами поддержания, интенсивность которых соответствует случаю, указанному в подпункте 1) настоящего пункта, откорректированных с учетом противодавления остаточного балласта и противоположно направленных сил тяжести составляющих массы дока порожнем.</w:t>
      </w:r>
    </w:p>
    <w:bookmarkEnd w:id="3471"/>
    <w:bookmarkStart w:name="z3456" w:id="3472"/>
    <w:p>
      <w:pPr>
        <w:spacing w:after="0"/>
        <w:ind w:left="0"/>
        <w:jc w:val="both"/>
      </w:pPr>
      <w:r>
        <w:rPr>
          <w:rFonts w:ascii="Times New Roman"/>
          <w:b w:val="false"/>
          <w:i w:val="false"/>
          <w:color w:val="000000"/>
          <w:sz w:val="28"/>
        </w:rPr>
        <w:t>
      При отсутствии необходимых исходных данных интенсивность сил поддержания р, кПа, определяется по формуле:</w:t>
      </w:r>
    </w:p>
    <w:bookmarkEnd w:id="34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BL</w:t>
      </w:r>
      <w:r>
        <w:rPr>
          <w:rFonts w:ascii="Times New Roman"/>
          <w:b w:val="false"/>
          <w:i w:val="false"/>
          <w:color w:val="000000"/>
          <w:vertAlign w:val="subscript"/>
        </w:rPr>
        <w:t>cп</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sz w:val="28"/>
        </w:rPr>
        <w:t xml:space="preserve"> – 1)</w:t>
      </w:r>
      <w:r>
        <w:rPr>
          <w:rFonts w:ascii="Times New Roman"/>
          <w:b w:val="false"/>
          <w:i/>
          <w:color w:val="000000"/>
          <w:sz w:val="28"/>
        </w:rPr>
        <w:t>Ba</w:t>
      </w:r>
      <w:r>
        <w:rPr>
          <w:rFonts w:ascii="Times New Roman"/>
          <w:b w:val="false"/>
          <w:i w:val="false"/>
          <w:color w:val="000000"/>
          <w:vertAlign w:val="subscript"/>
        </w:rPr>
        <w:t>0</w:t>
      </w:r>
      <w:r>
        <w:rPr>
          <w:rFonts w:ascii="Times New Roman"/>
          <w:b w:val="false"/>
          <w:i w:val="false"/>
          <w:color w:val="000000"/>
          <w:sz w:val="28"/>
        </w:rPr>
        <w:t>],              (363)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число понтонов понтонных доков или число секций секционных доков;</w:t>
      </w:r>
    </w:p>
    <w:p>
      <w:pPr>
        <w:spacing w:after="0"/>
        <w:ind w:left="0"/>
        <w:jc w:val="both"/>
      </w:pPr>
      <w:r>
        <w:rPr>
          <w:rFonts w:ascii="Times New Roman"/>
          <w:b w:val="false"/>
          <w:i w:val="false"/>
          <w:color w:val="000000"/>
          <w:sz w:val="28"/>
        </w:rPr>
        <w:t>
      а0 — расстояние между понтонами или секциями, м.;</w:t>
      </w:r>
    </w:p>
    <w:bookmarkStart w:name="z3457" w:id="3473"/>
    <w:p>
      <w:pPr>
        <w:spacing w:after="0"/>
        <w:ind w:left="0"/>
        <w:jc w:val="both"/>
      </w:pPr>
      <w:r>
        <w:rPr>
          <w:rFonts w:ascii="Times New Roman"/>
          <w:b w:val="false"/>
          <w:i w:val="false"/>
          <w:color w:val="000000"/>
          <w:sz w:val="28"/>
        </w:rPr>
        <w:t xml:space="preserve">
      3) расчетная длина судна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принимается равной длине самого короткого судна, доковая масса которого равна максимальной грузоподъемности дока, но не более 0,9</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Для доков грузоподъемностью более 40000 т расчетную длину судна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не следует принимать менее 0,9</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w:t>
      </w:r>
    </w:p>
    <w:bookmarkEnd w:id="3473"/>
    <w:bookmarkStart w:name="z3458" w:id="3474"/>
    <w:p>
      <w:pPr>
        <w:spacing w:after="0"/>
        <w:ind w:left="0"/>
        <w:jc w:val="both"/>
      </w:pPr>
      <w:r>
        <w:rPr>
          <w:rFonts w:ascii="Times New Roman"/>
          <w:b w:val="false"/>
          <w:i w:val="false"/>
          <w:color w:val="000000"/>
          <w:sz w:val="28"/>
        </w:rPr>
        <w:t xml:space="preserve">
      4) эпюру распределения доковой массы судна следует представлять в виде фигуры, состоящей из прямоугольника и сегмента квадратичной параболы. Погонная доковая нагрузка </w:t>
      </w:r>
      <w:r>
        <w:rPr>
          <w:rFonts w:ascii="Times New Roman"/>
          <w:b w:val="false"/>
          <w:i/>
          <w:color w:val="000000"/>
          <w:sz w:val="28"/>
        </w:rPr>
        <w:t>q</w:t>
      </w:r>
      <w:r>
        <w:rPr>
          <w:rFonts w:ascii="Times New Roman"/>
          <w:b w:val="false"/>
          <w:i w:val="false"/>
          <w:color w:val="000000"/>
          <w:vertAlign w:val="subscript"/>
        </w:rPr>
        <w:t>x</w:t>
      </w:r>
      <w:r>
        <w:rPr>
          <w:rFonts w:ascii="Times New Roman"/>
          <w:b w:val="false"/>
          <w:i w:val="false"/>
          <w:color w:val="000000"/>
          <w:sz w:val="28"/>
        </w:rPr>
        <w:t xml:space="preserve">, кН/м, в сечении, отстоящем на величину </w:t>
      </w:r>
      <w:r>
        <w:rPr>
          <w:rFonts w:ascii="Times New Roman"/>
          <w:b w:val="false"/>
          <w:i/>
          <w:color w:val="000000"/>
          <w:sz w:val="28"/>
        </w:rPr>
        <w:t>х</w:t>
      </w:r>
      <w:r>
        <w:rPr>
          <w:rFonts w:ascii="Times New Roman"/>
          <w:b w:val="false"/>
          <w:i w:val="false"/>
          <w:color w:val="000000"/>
          <w:sz w:val="28"/>
        </w:rPr>
        <w:t xml:space="preserve"> в нос и в корму от миделя, определяется по формуле:</w:t>
      </w:r>
    </w:p>
    <w:bookmarkEnd w:id="3474"/>
    <w:p>
      <w:pPr>
        <w:spacing w:after="0"/>
        <w:ind w:left="0"/>
        <w:jc w:val="both"/>
      </w:pPr>
      <w:r>
        <w:rPr>
          <w:rFonts w:ascii="Times New Roman"/>
          <w:b w:val="false"/>
          <w:i w:val="false"/>
          <w:color w:val="000000"/>
          <w:sz w:val="28"/>
        </w:rPr>
        <w:t>
      q</w:t>
      </w:r>
      <w:r>
        <w:rPr>
          <w:rFonts w:ascii="Times New Roman"/>
          <w:b w:val="false"/>
          <w:i w:val="false"/>
          <w:color w:val="000000"/>
          <w:vertAlign w:val="subscript"/>
        </w:rPr>
        <w:t>x</w:t>
      </w:r>
      <w:r>
        <w:rPr>
          <w:rFonts w:ascii="Times New Roman"/>
          <w:b w:val="false"/>
          <w:i w:val="false"/>
          <w:color w:val="000000"/>
          <w:sz w:val="28"/>
        </w:rPr>
        <w:t xml:space="preserve"> = </w:t>
      </w:r>
    </w:p>
    <w:p>
      <w:pPr>
        <w:spacing w:after="0"/>
        <w:ind w:left="0"/>
        <w:jc w:val="both"/>
      </w:pPr>
      <w:r>
        <w:drawing>
          <wp:inline distT="0" distB="0" distL="0" distR="0">
            <wp:extent cx="355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355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 3(1 –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)(2</w:t>
      </w:r>
      <w:r>
        <w:rPr>
          <w:rFonts w:ascii="Times New Roman"/>
          <w:b w:val="false"/>
          <w:i/>
          <w:color w:val="000000"/>
          <w:sz w:val="28"/>
        </w:rPr>
        <w:t>x</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)2],          (364)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полноты эпюры доковой массы судна.</w:t>
      </w:r>
      <w:r>
        <w:br/>
      </w:r>
      <w:r>
        <w:rPr>
          <w:rFonts w:ascii="Times New Roman"/>
          <w:b w:val="false"/>
          <w:i w:val="false"/>
          <w:color w:val="000000"/>
          <w:sz w:val="28"/>
        </w:rPr>
        <w:t>
</w:t>
      </w:r>
    </w:p>
    <w:bookmarkStart w:name="z3459" w:id="3475"/>
    <w:p>
      <w:pPr>
        <w:spacing w:after="0"/>
        <w:ind w:left="0"/>
        <w:jc w:val="both"/>
      </w:pPr>
      <w:r>
        <w:rPr>
          <w:rFonts w:ascii="Times New Roman"/>
          <w:b w:val="false"/>
          <w:i w:val="false"/>
          <w:color w:val="000000"/>
          <w:sz w:val="28"/>
        </w:rPr>
        <w:t>
      Для доков грузоподъемностью 40000 т и менее следует принимать коэффициент полноты эпюры доковой массы в зависимости от типа расчетного судна по приложению 153 настоящих Правил.</w:t>
      </w:r>
    </w:p>
    <w:bookmarkEnd w:id="3475"/>
    <w:bookmarkStart w:name="z3460" w:id="3476"/>
    <w:p>
      <w:pPr>
        <w:spacing w:after="0"/>
        <w:ind w:left="0"/>
        <w:jc w:val="both"/>
      </w:pPr>
      <w:r>
        <w:rPr>
          <w:rFonts w:ascii="Times New Roman"/>
          <w:b w:val="false"/>
          <w:i w:val="false"/>
          <w:color w:val="000000"/>
          <w:sz w:val="28"/>
        </w:rPr>
        <w:t xml:space="preserve">
      Для доков грузоподъемностью более 40000 т следует принимать </w:t>
      </w:r>
    </w:p>
    <w:bookmarkEnd w:id="3476"/>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0,8;</w:t>
      </w:r>
      <w:r>
        <w:br/>
      </w:r>
      <w:r>
        <w:rPr>
          <w:rFonts w:ascii="Times New Roman"/>
          <w:b w:val="false"/>
          <w:i w:val="false"/>
          <w:color w:val="000000"/>
          <w:sz w:val="28"/>
        </w:rPr>
        <w:t>
</w:t>
      </w:r>
    </w:p>
    <w:bookmarkStart w:name="z3461" w:id="3477"/>
    <w:p>
      <w:pPr>
        <w:spacing w:after="0"/>
        <w:ind w:left="0"/>
        <w:jc w:val="both"/>
      </w:pPr>
      <w:r>
        <w:rPr>
          <w:rFonts w:ascii="Times New Roman"/>
          <w:b w:val="false"/>
          <w:i w:val="false"/>
          <w:color w:val="000000"/>
          <w:sz w:val="28"/>
        </w:rPr>
        <w:t>
      5) если возможны доковые постановки судов одновременно на три дорожки или систему доковых клеток, а также различные случаи постановок одновременно нескольких судов, они должны учитываться при проектировании конструкций, обеспечивающих общую прочность понтона. Расчетные нагрузки при этом следует определять по методикам, согласованным с Регистром судоходства;</w:t>
      </w:r>
    </w:p>
    <w:bookmarkEnd w:id="3477"/>
    <w:bookmarkStart w:name="z3462" w:id="3478"/>
    <w:p>
      <w:pPr>
        <w:spacing w:after="0"/>
        <w:ind w:left="0"/>
        <w:jc w:val="both"/>
      </w:pPr>
      <w:r>
        <w:rPr>
          <w:rFonts w:ascii="Times New Roman"/>
          <w:b w:val="false"/>
          <w:i w:val="false"/>
          <w:color w:val="000000"/>
          <w:sz w:val="28"/>
        </w:rPr>
        <w:t>
      6) расчетные нагрузки на концевые понтоны понтонных и секционных доков или наконцевые участки монолитных доков и при постановке судов со свешивающимися оконечностями требуют согласования с Регистром судоходства.</w:t>
      </w:r>
    </w:p>
    <w:bookmarkEnd w:id="3478"/>
    <w:bookmarkStart w:name="z3463" w:id="3479"/>
    <w:p>
      <w:pPr>
        <w:spacing w:after="0"/>
        <w:ind w:left="0"/>
        <w:jc w:val="both"/>
      </w:pPr>
      <w:r>
        <w:rPr>
          <w:rFonts w:ascii="Times New Roman"/>
          <w:b w:val="false"/>
          <w:i w:val="false"/>
          <w:color w:val="000000"/>
          <w:sz w:val="28"/>
        </w:rPr>
        <w:t>
      866. Нагрузки для проектирования конструкций из условия обеспечения общей продольной прочности дока определяются с учетом следующего:</w:t>
      </w:r>
    </w:p>
    <w:bookmarkEnd w:id="3479"/>
    <w:bookmarkStart w:name="z3464" w:id="3480"/>
    <w:p>
      <w:pPr>
        <w:spacing w:after="0"/>
        <w:ind w:left="0"/>
        <w:jc w:val="both"/>
      </w:pPr>
      <w:r>
        <w:rPr>
          <w:rFonts w:ascii="Times New Roman"/>
          <w:b w:val="false"/>
          <w:i w:val="false"/>
          <w:color w:val="000000"/>
          <w:sz w:val="28"/>
        </w:rPr>
        <w:t>
      1) расчетные нагрузки определяют для следующих случаев:</w:t>
      </w:r>
    </w:p>
    <w:bookmarkEnd w:id="3480"/>
    <w:p>
      <w:pPr>
        <w:spacing w:after="0"/>
        <w:ind w:left="0"/>
        <w:jc w:val="both"/>
      </w:pPr>
      <w:r>
        <w:rPr>
          <w:rFonts w:ascii="Times New Roman"/>
          <w:b w:val="false"/>
          <w:i w:val="false"/>
          <w:color w:val="000000"/>
          <w:sz w:val="28"/>
        </w:rPr>
        <w:t xml:space="preserve">
      прогиба дока при постановке судна наименьшей возможной длиной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имеющего массу, равную максимальной грузоподъемности дока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перегиба дока при постановке судна наибольшей возможной длиной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имеющего массу, равную максимальной грузоподъемности дока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либо двух или более судов, расположенных в кильватер, имеющих суммарную массу, равную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Балласт считается равномерно распределенным по длине дока;</w:t>
      </w:r>
    </w:p>
    <w:bookmarkStart w:name="z3465" w:id="3481"/>
    <w:p>
      <w:pPr>
        <w:spacing w:after="0"/>
        <w:ind w:left="0"/>
        <w:jc w:val="both"/>
      </w:pPr>
      <w:r>
        <w:rPr>
          <w:rFonts w:ascii="Times New Roman"/>
          <w:b w:val="false"/>
          <w:i w:val="false"/>
          <w:color w:val="000000"/>
          <w:sz w:val="28"/>
        </w:rPr>
        <w:t>
      2) форма эпюры расчетной доковой нагрузки определяется зависимостью (подпункт 4) пункта 865 настоящих Правил).</w:t>
      </w:r>
    </w:p>
    <w:bookmarkEnd w:id="3481"/>
    <w:bookmarkStart w:name="z3466" w:id="3482"/>
    <w:p>
      <w:pPr>
        <w:spacing w:after="0"/>
        <w:ind w:left="0"/>
        <w:jc w:val="both"/>
      </w:pPr>
      <w:r>
        <w:rPr>
          <w:rFonts w:ascii="Times New Roman"/>
          <w:b w:val="false"/>
          <w:i w:val="false"/>
          <w:color w:val="000000"/>
          <w:sz w:val="28"/>
        </w:rPr>
        <w:t>
      Расчетная длина самого короткого судна соответствует подпункту 3) пункта 865 настоящих Правил.</w:t>
      </w:r>
    </w:p>
    <w:bookmarkEnd w:id="3482"/>
    <w:bookmarkStart w:name="z3467" w:id="3483"/>
    <w:p>
      <w:pPr>
        <w:spacing w:after="0"/>
        <w:ind w:left="0"/>
        <w:jc w:val="both"/>
      </w:pPr>
      <w:r>
        <w:rPr>
          <w:rFonts w:ascii="Times New Roman"/>
          <w:b w:val="false"/>
          <w:i w:val="false"/>
          <w:color w:val="000000"/>
          <w:sz w:val="28"/>
        </w:rPr>
        <w:t>
      Расчетная длина самого длинного судна или суммарная длина нескольких судов, расположенных в кильватер, не меньше 1,</w:t>
      </w:r>
      <w:r>
        <w:rPr>
          <w:rFonts w:ascii="Times New Roman"/>
          <w:b w:val="false"/>
          <w:i/>
          <w:color w:val="000000"/>
          <w:sz w:val="28"/>
        </w:rPr>
        <w:t>3L</w:t>
      </w:r>
      <w:r>
        <w:rPr>
          <w:rFonts w:ascii="Times New Roman"/>
          <w:b w:val="false"/>
          <w:i w:val="false"/>
          <w:color w:val="000000"/>
          <w:vertAlign w:val="subscript"/>
        </w:rPr>
        <w:t>cп</w:t>
      </w:r>
      <w:r>
        <w:rPr>
          <w:rFonts w:ascii="Times New Roman"/>
          <w:b w:val="false"/>
          <w:i w:val="false"/>
          <w:color w:val="000000"/>
          <w:sz w:val="28"/>
        </w:rPr>
        <w:t>.;</w:t>
      </w:r>
    </w:p>
    <w:bookmarkEnd w:id="3483"/>
    <w:bookmarkStart w:name="z3468" w:id="3484"/>
    <w:p>
      <w:pPr>
        <w:spacing w:after="0"/>
        <w:ind w:left="0"/>
        <w:jc w:val="both"/>
      </w:pPr>
      <w:r>
        <w:rPr>
          <w:rFonts w:ascii="Times New Roman"/>
          <w:b w:val="false"/>
          <w:i w:val="false"/>
          <w:color w:val="000000"/>
          <w:sz w:val="28"/>
        </w:rPr>
        <w:t>
      4) расчетный коэффициент полноты эпюры доковой массы для случая прогиба дока следует назначать по указаниям в подпункте 4) пункта 865 настоящих Правил;</w:t>
      </w:r>
    </w:p>
    <w:bookmarkEnd w:id="3484"/>
    <w:bookmarkStart w:name="z3469" w:id="3485"/>
    <w:p>
      <w:pPr>
        <w:spacing w:after="0"/>
        <w:ind w:left="0"/>
        <w:jc w:val="both"/>
      </w:pPr>
      <w:r>
        <w:rPr>
          <w:rFonts w:ascii="Times New Roman"/>
          <w:b w:val="false"/>
          <w:i w:val="false"/>
          <w:color w:val="000000"/>
          <w:sz w:val="28"/>
        </w:rPr>
        <w:t xml:space="preserve">
      для случая перегиба, если нет специальных указаний, следует принимать </w:t>
      </w:r>
    </w:p>
    <w:bookmarkEnd w:id="3485"/>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3470" w:id="3486"/>
    <w:p>
      <w:pPr>
        <w:spacing w:after="0"/>
        <w:ind w:left="0"/>
        <w:jc w:val="left"/>
      </w:pPr>
      <w:r>
        <w:rPr>
          <w:rFonts w:ascii="Times New Roman"/>
          <w:b/>
          <w:i w:val="false"/>
          <w:color w:val="000000"/>
        </w:rPr>
        <w:t xml:space="preserve"> Параграф 4. Размеры конструктивных элементов</w:t>
      </w:r>
    </w:p>
    <w:bookmarkEnd w:id="3486"/>
    <w:bookmarkStart w:name="z3471" w:id="3487"/>
    <w:p>
      <w:pPr>
        <w:spacing w:after="0"/>
        <w:ind w:left="0"/>
        <w:jc w:val="both"/>
      </w:pPr>
      <w:r>
        <w:rPr>
          <w:rFonts w:ascii="Times New Roman"/>
          <w:b w:val="false"/>
          <w:i w:val="false"/>
          <w:color w:val="000000"/>
          <w:sz w:val="28"/>
        </w:rPr>
        <w:t xml:space="preserve">
      867. Толщина листовых элементов наружной обшивки понтона (понтонов), стенок башен, полотнища внутренних и наружных водонепроницаемых переборок, настилов палуб и платформ определяются по формуле (57) настоящих Правил при </w:t>
      </w:r>
      <w:r>
        <w:rPr>
          <w:rFonts w:ascii="Times New Roman"/>
          <w:b w:val="false"/>
          <w:i/>
          <w:color w:val="000000"/>
          <w:sz w:val="28"/>
        </w:rPr>
        <w:t>m</w:t>
      </w:r>
      <w:r>
        <w:rPr>
          <w:rFonts w:ascii="Times New Roman"/>
          <w:b w:val="false"/>
          <w:i w:val="false"/>
          <w:color w:val="000000"/>
          <w:sz w:val="28"/>
        </w:rPr>
        <w:t xml:space="preserve"> = 22,4 и </w:t>
      </w:r>
    </w:p>
    <w:bookmarkEnd w:id="348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 Запас на износ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определяется по рекомендациям пункта 858 настоящих Правил. Расчетная интенсивность поперечной нагрузки р указана в пункте 864 настоящих Правил.</w:t>
      </w:r>
      <w:r>
        <w:br/>
      </w:r>
      <w:r>
        <w:rPr>
          <w:rFonts w:ascii="Times New Roman"/>
          <w:b w:val="false"/>
          <w:i w:val="false"/>
          <w:color w:val="000000"/>
          <w:sz w:val="28"/>
        </w:rPr>
        <w:t>
</w:t>
      </w:r>
    </w:p>
    <w:bookmarkStart w:name="z3472" w:id="3488"/>
    <w:p>
      <w:pPr>
        <w:spacing w:after="0"/>
        <w:ind w:left="0"/>
        <w:jc w:val="both"/>
      </w:pPr>
      <w:r>
        <w:rPr>
          <w:rFonts w:ascii="Times New Roman"/>
          <w:b w:val="false"/>
          <w:i w:val="false"/>
          <w:color w:val="000000"/>
          <w:sz w:val="28"/>
        </w:rPr>
        <w:t>
      868. Требования к размерам балок основного и рамного набора из условий обеспечения местной прочности определяется с учетом следующего:</w:t>
      </w:r>
    </w:p>
    <w:bookmarkEnd w:id="3488"/>
    <w:bookmarkStart w:name="z3473" w:id="3489"/>
    <w:p>
      <w:pPr>
        <w:spacing w:after="0"/>
        <w:ind w:left="0"/>
        <w:jc w:val="both"/>
      </w:pPr>
      <w:r>
        <w:rPr>
          <w:rFonts w:ascii="Times New Roman"/>
          <w:b w:val="false"/>
          <w:i w:val="false"/>
          <w:color w:val="000000"/>
          <w:sz w:val="28"/>
        </w:rPr>
        <w:t>
      1) момент сопротивления балок основного и рамного набора определяется согласно пункту 246 настоящих Правил;</w:t>
      </w:r>
    </w:p>
    <w:bookmarkEnd w:id="3489"/>
    <w:bookmarkStart w:name="z3474" w:id="3490"/>
    <w:p>
      <w:pPr>
        <w:spacing w:after="0"/>
        <w:ind w:left="0"/>
        <w:jc w:val="both"/>
      </w:pPr>
      <w:r>
        <w:rPr>
          <w:rFonts w:ascii="Times New Roman"/>
          <w:b w:val="false"/>
          <w:i w:val="false"/>
          <w:color w:val="000000"/>
          <w:sz w:val="28"/>
        </w:rPr>
        <w:t xml:space="preserve">
      2) площадь сечения стенки балок рамного набора с учетом наличия вырезов в стенке балки нетто, а также балок основного набора, имеющих отношение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 xml:space="preserve">h </w:t>
      </w:r>
      <w:r>
        <w:rPr>
          <w:rFonts w:ascii="Times New Roman"/>
          <w:b w:val="false"/>
          <w:i w:val="false"/>
          <w:color w:val="000000"/>
          <w:sz w:val="28"/>
          <w:u w:val="single"/>
        </w:rPr>
        <w:t>&lt;</w:t>
      </w:r>
      <w:r>
        <w:rPr>
          <w:rFonts w:ascii="Times New Roman"/>
          <w:b w:val="false"/>
          <w:i w:val="false"/>
          <w:color w:val="000000"/>
          <w:sz w:val="28"/>
        </w:rPr>
        <w:t xml:space="preserve"> 10 (где </w:t>
      </w:r>
      <w:r>
        <w:rPr>
          <w:rFonts w:ascii="Times New Roman"/>
          <w:b w:val="false"/>
          <w:i/>
          <w:color w:val="000000"/>
          <w:sz w:val="28"/>
        </w:rPr>
        <w:t>l</w:t>
      </w:r>
      <w:r>
        <w:rPr>
          <w:rFonts w:ascii="Times New Roman"/>
          <w:b w:val="false"/>
          <w:i w:val="false"/>
          <w:color w:val="000000"/>
          <w:sz w:val="28"/>
        </w:rPr>
        <w:t xml:space="preserve"> — расчетный пролет, м;</w:t>
      </w:r>
    </w:p>
    <w:bookmarkEnd w:id="349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балки основного набора, см, определяется согласно пункту 248 настоящих Правил;</w:t>
      </w:r>
    </w:p>
    <w:bookmarkStart w:name="z3475" w:id="3491"/>
    <w:p>
      <w:pPr>
        <w:spacing w:after="0"/>
        <w:ind w:left="0"/>
        <w:jc w:val="both"/>
      </w:pPr>
      <w:r>
        <w:rPr>
          <w:rFonts w:ascii="Times New Roman"/>
          <w:b w:val="false"/>
          <w:i w:val="false"/>
          <w:color w:val="000000"/>
          <w:sz w:val="28"/>
        </w:rPr>
        <w:t>
      3) интенсивность расчетной нагрузки р определяется на уровне середины пролета балок согласно пункту 864 настоящих Правил;</w:t>
      </w:r>
    </w:p>
    <w:bookmarkEnd w:id="3491"/>
    <w:bookmarkStart w:name="z3476" w:id="3492"/>
    <w:p>
      <w:pPr>
        <w:spacing w:after="0"/>
        <w:ind w:left="0"/>
        <w:jc w:val="both"/>
      </w:pPr>
      <w:r>
        <w:rPr>
          <w:rFonts w:ascii="Times New Roman"/>
          <w:b w:val="false"/>
          <w:i w:val="false"/>
          <w:color w:val="000000"/>
          <w:sz w:val="28"/>
        </w:rPr>
        <w:t>
      4) расчетный пролет балок l выбирается согласно пункту 238 настоящих Правил;</w:t>
      </w:r>
    </w:p>
    <w:bookmarkEnd w:id="3492"/>
    <w:bookmarkStart w:name="z3477" w:id="3493"/>
    <w:p>
      <w:pPr>
        <w:spacing w:after="0"/>
        <w:ind w:left="0"/>
        <w:jc w:val="both"/>
      </w:pPr>
      <w:r>
        <w:rPr>
          <w:rFonts w:ascii="Times New Roman"/>
          <w:b w:val="false"/>
          <w:i w:val="false"/>
          <w:color w:val="000000"/>
          <w:sz w:val="28"/>
        </w:rPr>
        <w:t xml:space="preserve">
      5) коэффициенты допускаемых нормальных </w:t>
      </w:r>
    </w:p>
    <w:bookmarkEnd w:id="349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касательных </w:t>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напряжений в пункте 246 и 247 настоящих Правил принимаются равными 0,8;</w:t>
      </w:r>
      <w:r>
        <w:br/>
      </w:r>
      <w:r>
        <w:rPr>
          <w:rFonts w:ascii="Times New Roman"/>
          <w:b w:val="false"/>
          <w:i w:val="false"/>
          <w:color w:val="000000"/>
          <w:sz w:val="28"/>
        </w:rPr>
        <w:t>
</w:t>
      </w:r>
    </w:p>
    <w:bookmarkStart w:name="z3478" w:id="3494"/>
    <w:p>
      <w:pPr>
        <w:spacing w:after="0"/>
        <w:ind w:left="0"/>
        <w:jc w:val="both"/>
      </w:pPr>
      <w:r>
        <w:rPr>
          <w:rFonts w:ascii="Times New Roman"/>
          <w:b w:val="false"/>
          <w:i w:val="false"/>
          <w:color w:val="000000"/>
          <w:sz w:val="28"/>
        </w:rPr>
        <w:t xml:space="preserve">
      6) коэффициент </w:t>
      </w:r>
    </w:p>
    <w:bookmarkEnd w:id="3494"/>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учитывающий поправку на износ элементов балок набора, определяется согласно пункту 141 при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согласно пункту 858 настоящих Правил;</w:t>
      </w:r>
      <w:r>
        <w:br/>
      </w:r>
      <w:r>
        <w:rPr>
          <w:rFonts w:ascii="Times New Roman"/>
          <w:b w:val="false"/>
          <w:i w:val="false"/>
          <w:color w:val="000000"/>
          <w:sz w:val="28"/>
        </w:rPr>
        <w:t>
</w:t>
      </w:r>
    </w:p>
    <w:bookmarkStart w:name="z3479" w:id="3495"/>
    <w:p>
      <w:pPr>
        <w:spacing w:after="0"/>
        <w:ind w:left="0"/>
        <w:jc w:val="both"/>
      </w:pPr>
      <w:r>
        <w:rPr>
          <w:rFonts w:ascii="Times New Roman"/>
          <w:b w:val="false"/>
          <w:i w:val="false"/>
          <w:color w:val="000000"/>
          <w:sz w:val="28"/>
        </w:rPr>
        <w:t xml:space="preserve">
      7) коэффициенты расчетных изгибающих моментов </w:t>
      </w:r>
      <w:r>
        <w:rPr>
          <w:rFonts w:ascii="Times New Roman"/>
          <w:b w:val="false"/>
          <w:i/>
          <w:color w:val="000000"/>
          <w:sz w:val="28"/>
        </w:rPr>
        <w:t>m</w:t>
      </w:r>
      <w:r>
        <w:rPr>
          <w:rFonts w:ascii="Times New Roman"/>
          <w:b w:val="false"/>
          <w:i w:val="false"/>
          <w:color w:val="000000"/>
          <w:sz w:val="28"/>
        </w:rPr>
        <w:t xml:space="preserve"> и перерезывающих сил п принимают следующими:</w:t>
      </w:r>
    </w:p>
    <w:bookmarkEnd w:id="349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 и </w:t>
      </w:r>
      <w:r>
        <w:rPr>
          <w:rFonts w:ascii="Times New Roman"/>
          <w:b w:val="false"/>
          <w:i/>
          <w:color w:val="000000"/>
          <w:sz w:val="28"/>
        </w:rPr>
        <w:t>n</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для поперечных и продольных балок основного набора днища, стапель-палубы;</w:t>
      </w:r>
    </w:p>
    <w:p>
      <w:pPr>
        <w:spacing w:after="0"/>
        <w:ind w:left="0"/>
        <w:jc w:val="both"/>
      </w:pPr>
      <w:r>
        <w:rPr>
          <w:rFonts w:ascii="Times New Roman"/>
          <w:b w:val="false"/>
          <w:i w:val="false"/>
          <w:color w:val="000000"/>
          <w:sz w:val="28"/>
        </w:rPr>
        <w:t>
      для стоек водонепроницаемых поперечных переборок при продольной системе набора днища и стапель-палубы;</w:t>
      </w:r>
    </w:p>
    <w:p>
      <w:pPr>
        <w:spacing w:after="0"/>
        <w:ind w:left="0"/>
        <w:jc w:val="both"/>
      </w:pPr>
      <w:r>
        <w:rPr>
          <w:rFonts w:ascii="Times New Roman"/>
          <w:b w:val="false"/>
          <w:i w:val="false"/>
          <w:color w:val="000000"/>
          <w:sz w:val="28"/>
        </w:rPr>
        <w:t>
      для стоек внутренних водонепроницаемых продольных переборок при поперечной системе набора днища и стапель-палубы;</w:t>
      </w:r>
    </w:p>
    <w:p>
      <w:pPr>
        <w:spacing w:after="0"/>
        <w:ind w:left="0"/>
        <w:jc w:val="both"/>
      </w:pPr>
      <w:r>
        <w:rPr>
          <w:rFonts w:ascii="Times New Roman"/>
          <w:b w:val="false"/>
          <w:i w:val="false"/>
          <w:color w:val="000000"/>
          <w:sz w:val="28"/>
        </w:rPr>
        <w:t>
      для балок продольного основного набора стенок и палуб башен; для бимсов палубы безопасности при поперечной системе набора стенок башен ниже палубы безопасности;</w:t>
      </w:r>
    </w:p>
    <w:p>
      <w:pPr>
        <w:spacing w:after="0"/>
        <w:ind w:left="0"/>
        <w:jc w:val="both"/>
      </w:pPr>
      <w:r>
        <w:rPr>
          <w:rFonts w:ascii="Times New Roman"/>
          <w:b w:val="false"/>
          <w:i w:val="false"/>
          <w:color w:val="000000"/>
          <w:sz w:val="28"/>
        </w:rPr>
        <w:t>
      для продольных и поперечных рамных балок днища и стапель-палубы и для стрингеров наружных и внутренних стенок башен;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8 и </w:t>
      </w:r>
      <w:r>
        <w:rPr>
          <w:rFonts w:ascii="Times New Roman"/>
          <w:b w:val="false"/>
          <w:i/>
          <w:color w:val="000000"/>
          <w:sz w:val="28"/>
        </w:rPr>
        <w:t>р</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для стоек водонепроницаемых поперечных переборок при поперечной системе набора днища и стапель-палубы;</w:t>
      </w:r>
    </w:p>
    <w:p>
      <w:pPr>
        <w:spacing w:after="0"/>
        <w:ind w:left="0"/>
        <w:jc w:val="both"/>
      </w:pPr>
      <w:r>
        <w:rPr>
          <w:rFonts w:ascii="Times New Roman"/>
          <w:b w:val="false"/>
          <w:i w:val="false"/>
          <w:color w:val="000000"/>
          <w:sz w:val="28"/>
        </w:rPr>
        <w:t>
      для стоек внутренних продольных переборок при продольной системе набора днища и стапель-палубы;</w:t>
      </w:r>
    </w:p>
    <w:p>
      <w:pPr>
        <w:spacing w:after="0"/>
        <w:ind w:left="0"/>
        <w:jc w:val="both"/>
      </w:pPr>
      <w:r>
        <w:rPr>
          <w:rFonts w:ascii="Times New Roman"/>
          <w:b w:val="false"/>
          <w:i w:val="false"/>
          <w:color w:val="000000"/>
          <w:sz w:val="28"/>
        </w:rPr>
        <w:t>
      для горизонтальных балок водонепроницаемых поперечных переборок башен при поперечной системе набора стенок башен;</w:t>
      </w:r>
    </w:p>
    <w:p>
      <w:pPr>
        <w:spacing w:after="0"/>
        <w:ind w:left="0"/>
        <w:jc w:val="both"/>
      </w:pPr>
      <w:r>
        <w:rPr>
          <w:rFonts w:ascii="Times New Roman"/>
          <w:b w:val="false"/>
          <w:i w:val="false"/>
          <w:color w:val="000000"/>
          <w:sz w:val="28"/>
        </w:rPr>
        <w:t>
      для бимсов палубы безопасности при продольной системе набора стенок башен;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13 и </w:t>
      </w:r>
      <w:r>
        <w:rPr>
          <w:rFonts w:ascii="Times New Roman"/>
          <w:b w:val="false"/>
          <w:i/>
          <w:color w:val="000000"/>
          <w:sz w:val="28"/>
        </w:rPr>
        <w:t>n</w:t>
      </w:r>
      <w:r>
        <w:rPr>
          <w:rFonts w:ascii="Times New Roman"/>
          <w:b w:val="false"/>
          <w:i w:val="false"/>
          <w:color w:val="000000"/>
          <w:sz w:val="28"/>
        </w:rPr>
        <w:t xml:space="preserve"> = 0,5</w:t>
      </w:r>
    </w:p>
    <w:p>
      <w:pPr>
        <w:spacing w:after="0"/>
        <w:ind w:left="0"/>
        <w:jc w:val="both"/>
      </w:pPr>
      <w:r>
        <w:rPr>
          <w:rFonts w:ascii="Times New Roman"/>
          <w:b w:val="false"/>
          <w:i w:val="false"/>
          <w:color w:val="000000"/>
          <w:sz w:val="28"/>
        </w:rPr>
        <w:t>
      для бимсов палуб и платформ башен при поперечной системе набора стенок ниже рассматриваемой палубы или платформы;</w:t>
      </w:r>
    </w:p>
    <w:p>
      <w:pPr>
        <w:spacing w:after="0"/>
        <w:ind w:left="0"/>
        <w:jc w:val="both"/>
      </w:pPr>
      <w:r>
        <w:rPr>
          <w:rFonts w:ascii="Times New Roman"/>
          <w:b w:val="false"/>
          <w:i w:val="false"/>
          <w:color w:val="000000"/>
          <w:sz w:val="28"/>
        </w:rPr>
        <w:t>
      рамных бимсов топ-палубы и палубы безопасности;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11 и </w:t>
      </w:r>
      <w:r>
        <w:rPr>
          <w:rFonts w:ascii="Times New Roman"/>
          <w:b w:val="false"/>
          <w:i/>
          <w:color w:val="000000"/>
          <w:sz w:val="28"/>
        </w:rPr>
        <w:t>n</w:t>
      </w:r>
      <w:r>
        <w:rPr>
          <w:rFonts w:ascii="Times New Roman"/>
          <w:b w:val="false"/>
          <w:i w:val="false"/>
          <w:color w:val="000000"/>
          <w:sz w:val="28"/>
        </w:rPr>
        <w:t xml:space="preserve"> = 0,6 — для шпангоутов и рамных шпангоутов понтона (понтонов), наружных и внутренних стенок башен;</w:t>
      </w:r>
    </w:p>
    <w:bookmarkStart w:name="z3480" w:id="3496"/>
    <w:p>
      <w:pPr>
        <w:spacing w:after="0"/>
        <w:ind w:left="0"/>
        <w:jc w:val="both"/>
      </w:pPr>
      <w:r>
        <w:rPr>
          <w:rFonts w:ascii="Times New Roman"/>
          <w:b w:val="false"/>
          <w:i w:val="false"/>
          <w:color w:val="000000"/>
          <w:sz w:val="28"/>
        </w:rPr>
        <w:t>
      8) размеры и конструкции рамных балок понтона и башен отвечают требованиям пункта 282 настоящих Правил. Для рамных балок башен выше палубы безопасности допускается применять требования к рамным балкам набора сухогрузных судов.</w:t>
      </w:r>
    </w:p>
    <w:bookmarkEnd w:id="3496"/>
    <w:bookmarkStart w:name="z3481" w:id="3497"/>
    <w:p>
      <w:pPr>
        <w:spacing w:after="0"/>
        <w:ind w:left="0"/>
        <w:jc w:val="both"/>
      </w:pPr>
      <w:r>
        <w:rPr>
          <w:rFonts w:ascii="Times New Roman"/>
          <w:b w:val="false"/>
          <w:i w:val="false"/>
          <w:color w:val="000000"/>
          <w:sz w:val="28"/>
        </w:rPr>
        <w:t>
      869. Требования к размерам распорок, стоек и раскосов:</w:t>
      </w:r>
    </w:p>
    <w:bookmarkEnd w:id="3497"/>
    <w:bookmarkStart w:name="z3482" w:id="3498"/>
    <w:p>
      <w:pPr>
        <w:spacing w:after="0"/>
        <w:ind w:left="0"/>
        <w:jc w:val="both"/>
      </w:pPr>
      <w:r>
        <w:rPr>
          <w:rFonts w:ascii="Times New Roman"/>
          <w:b w:val="false"/>
          <w:i w:val="false"/>
          <w:color w:val="000000"/>
          <w:sz w:val="28"/>
        </w:rPr>
        <w:t xml:space="preserve">
      1) площадь сечения распорок и стоек </w:t>
      </w:r>
      <w:r>
        <w:rPr>
          <w:rFonts w:ascii="Times New Roman"/>
          <w:b w:val="false"/>
          <w:i/>
          <w:color w:val="000000"/>
          <w:sz w:val="28"/>
        </w:rPr>
        <w:t>S</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не менее определенной методом последовательных приближений по формуле (149) настоящих Правил при расчетной нагрузке </w:t>
      </w:r>
      <w:r>
        <w:rPr>
          <w:rFonts w:ascii="Times New Roman"/>
          <w:b w:val="false"/>
          <w:i/>
          <w:color w:val="000000"/>
          <w:sz w:val="28"/>
        </w:rPr>
        <w:t>Р</w:t>
      </w:r>
      <w:r>
        <w:rPr>
          <w:rFonts w:ascii="Times New Roman"/>
          <w:b w:val="false"/>
          <w:i w:val="false"/>
          <w:color w:val="000000"/>
          <w:sz w:val="28"/>
        </w:rPr>
        <w:t xml:space="preserve"> = 0,5(P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кН, и </w:t>
      </w:r>
      <w:r>
        <w:rPr>
          <w:rFonts w:ascii="Times New Roman"/>
          <w:b w:val="false"/>
          <w:i/>
          <w:color w:val="000000"/>
          <w:sz w:val="28"/>
        </w:rPr>
        <w:t>k</w:t>
      </w:r>
      <w:r>
        <w:rPr>
          <w:rFonts w:ascii="Times New Roman"/>
          <w:b w:val="false"/>
          <w:i w:val="false"/>
          <w:color w:val="000000"/>
          <w:sz w:val="28"/>
        </w:rPr>
        <w:t xml:space="preserve"> = 1,15</w:t>
      </w:r>
    </w:p>
    <w:bookmarkEnd w:id="3498"/>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1</w:t>
      </w:r>
      <w:r>
        <w:rPr>
          <w:rFonts w:ascii="Times New Roman"/>
          <w:b w:val="false"/>
          <w:i w:val="false"/>
          <w:color w:val="000000"/>
          <w:sz w:val="28"/>
        </w:rPr>
        <w:t xml:space="preserve"> = р</w:t>
      </w:r>
      <w:r>
        <w:rPr>
          <w:rFonts w:ascii="Times New Roman"/>
          <w:b w:val="false"/>
          <w:i w:val="false"/>
          <w:color w:val="000000"/>
          <w:vertAlign w:val="subscript"/>
        </w:rPr>
        <w:t>1</w:t>
      </w:r>
      <w:r>
        <w:rPr>
          <w:rFonts w:ascii="Times New Roman"/>
          <w:b w:val="false"/>
          <w:i w:val="false"/>
          <w:color w:val="000000"/>
          <w:sz w:val="28"/>
        </w:rPr>
        <w:t>ас, Р</w:t>
      </w:r>
      <w:r>
        <w:rPr>
          <w:rFonts w:ascii="Times New Roman"/>
          <w:b w:val="false"/>
          <w:i w:val="false"/>
          <w:color w:val="000000"/>
          <w:vertAlign w:val="subscript"/>
        </w:rPr>
        <w:t>2</w:t>
      </w:r>
      <w:r>
        <w:rPr>
          <w:rFonts w:ascii="Times New Roman"/>
          <w:b w:val="false"/>
          <w:i w:val="false"/>
          <w:color w:val="000000"/>
          <w:sz w:val="28"/>
        </w:rPr>
        <w:t xml:space="preserve"> = р</w:t>
      </w:r>
      <w:r>
        <w:rPr>
          <w:rFonts w:ascii="Times New Roman"/>
          <w:b w:val="false"/>
          <w:i w:val="false"/>
          <w:color w:val="000000"/>
          <w:vertAlign w:val="subscript"/>
        </w:rPr>
        <w:t>2</w:t>
      </w:r>
      <w:r>
        <w:rPr>
          <w:rFonts w:ascii="Times New Roman"/>
          <w:b w:val="false"/>
          <w:i w:val="false"/>
          <w:color w:val="000000"/>
          <w:sz w:val="28"/>
        </w:rPr>
        <w:t>ас — максимальные сжимающие усилия, которые действуют по концам стоек или распорок;</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интенсивность расчетной нагрузки (пункт 864 настоящих Правил),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балками, поддерживаемыми стойками или распорками,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полусумма длин пролетов балок по обе стороны от рассматриваемой стойки или распорки, м).</w:t>
      </w:r>
    </w:p>
    <w:bookmarkStart w:name="z3483" w:id="3499"/>
    <w:p>
      <w:pPr>
        <w:spacing w:after="0"/>
        <w:ind w:left="0"/>
        <w:jc w:val="both"/>
      </w:pPr>
      <w:r>
        <w:rPr>
          <w:rFonts w:ascii="Times New Roman"/>
          <w:b w:val="false"/>
          <w:i w:val="false"/>
          <w:color w:val="000000"/>
          <w:sz w:val="28"/>
        </w:rPr>
        <w:t xml:space="preserve">
      В первом приближении принимают </w:t>
      </w:r>
      <w:r>
        <w:rPr>
          <w:rFonts w:ascii="Times New Roman"/>
          <w:b w:val="false"/>
          <w:i/>
          <w:color w:val="000000"/>
          <w:sz w:val="28"/>
        </w:rPr>
        <w:t>S</w:t>
      </w:r>
      <w:r>
        <w:rPr>
          <w:rFonts w:ascii="Times New Roman"/>
          <w:b w:val="false"/>
          <w:i w:val="false"/>
          <w:color w:val="000000"/>
          <w:sz w:val="28"/>
        </w:rPr>
        <w:t xml:space="preserve"> = 0,11</w:t>
      </w:r>
      <w:r>
        <w:rPr>
          <w:rFonts w:ascii="Times New Roman"/>
          <w:b w:val="false"/>
          <w:i/>
          <w:color w:val="000000"/>
          <w:sz w:val="28"/>
        </w:rPr>
        <w:t>Р</w:t>
      </w:r>
      <w:r>
        <w:rPr>
          <w:rFonts w:ascii="Times New Roman"/>
          <w:b w:val="false"/>
          <w:i w:val="false"/>
          <w:color w:val="000000"/>
          <w:sz w:val="28"/>
        </w:rPr>
        <w:t xml:space="preserve">, а радиус инерции </w:t>
      </w:r>
      <w:r>
        <w:rPr>
          <w:rFonts w:ascii="Times New Roman"/>
          <w:b w:val="false"/>
          <w:i/>
          <w:color w:val="000000"/>
          <w:sz w:val="28"/>
        </w:rPr>
        <w:t>i</w:t>
      </w:r>
      <w:r>
        <w:rPr>
          <w:rFonts w:ascii="Times New Roman"/>
          <w:b w:val="false"/>
          <w:i w:val="false"/>
          <w:color w:val="000000"/>
          <w:sz w:val="28"/>
        </w:rPr>
        <w:t xml:space="preserve"> = </w:t>
      </w:r>
    </w:p>
    <w:bookmarkEnd w:id="3499"/>
    <w:p>
      <w:pPr>
        <w:spacing w:after="0"/>
        <w:ind w:left="0"/>
        <w:jc w:val="both"/>
      </w:pPr>
      <w:r>
        <w:drawing>
          <wp:inline distT="0" distB="0" distL="0" distR="0">
            <wp:extent cx="508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508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 можно оценить для сечения заданной формы, имеющего такую же площадь (где </w:t>
      </w:r>
      <w:r>
        <w:rPr>
          <w:rFonts w:ascii="Times New Roman"/>
          <w:b w:val="false"/>
          <w:i/>
          <w:color w:val="000000"/>
          <w:sz w:val="28"/>
        </w:rPr>
        <w:t>I</w:t>
      </w:r>
      <w:r>
        <w:rPr>
          <w:rFonts w:ascii="Times New Roman"/>
          <w:b w:val="false"/>
          <w:i w:val="false"/>
          <w:color w:val="000000"/>
          <w:sz w:val="28"/>
        </w:rPr>
        <w:t xml:space="preserve"> — минимальный центральный момент инерции поперечного сечения, см</w:t>
      </w:r>
      <w:r>
        <w:rPr>
          <w:rFonts w:ascii="Times New Roman"/>
          <w:b w:val="false"/>
          <w:i w:val="false"/>
          <w:color w:val="000000"/>
          <w:vertAlign w:val="superscript"/>
        </w:rPr>
        <w:t>4</w:t>
      </w:r>
      <w:r>
        <w:rPr>
          <w:rFonts w:ascii="Times New Roman"/>
          <w:b w:val="false"/>
          <w:i w:val="false"/>
          <w:color w:val="000000"/>
          <w:sz w:val="28"/>
        </w:rPr>
        <w:t>). В том случае, если площадь, определенная по формуле (149) настоящих Правил с использованием этого радиуса инерции, отличается более чем на 10 % от результатов первого приближения, необходимо выполнить расчеты во втором приближении. Радиус инерции при этом соответствует среднему значению площади сечения в первом и втором приближении;</w:t>
      </w:r>
      <w:r>
        <w:br/>
      </w:r>
      <w:r>
        <w:rPr>
          <w:rFonts w:ascii="Times New Roman"/>
          <w:b w:val="false"/>
          <w:i w:val="false"/>
          <w:color w:val="000000"/>
          <w:sz w:val="28"/>
        </w:rPr>
        <w:t>
</w:t>
      </w:r>
    </w:p>
    <w:bookmarkStart w:name="z3484" w:id="3500"/>
    <w:p>
      <w:pPr>
        <w:spacing w:after="0"/>
        <w:ind w:left="0"/>
        <w:jc w:val="both"/>
      </w:pPr>
      <w:r>
        <w:rPr>
          <w:rFonts w:ascii="Times New Roman"/>
          <w:b w:val="false"/>
          <w:i w:val="false"/>
          <w:color w:val="000000"/>
          <w:sz w:val="28"/>
        </w:rPr>
        <w:t>
      2) стенки распорок и стоек, имеющих форму швеллера или двутавра, выбирают такими, чтобы отношение высоты стенки к ее толщине не превышало 42</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xml:space="preserve"> или 40, в зависимости от того, что больше (где </w:t>
      </w:r>
      <w:r>
        <w:rPr>
          <w:rFonts w:ascii="Times New Roman"/>
          <w:b w:val="false"/>
          <w:i/>
          <w:color w:val="000000"/>
          <w:sz w:val="28"/>
        </w:rPr>
        <w:t>l</w:t>
      </w:r>
      <w:r>
        <w:rPr>
          <w:rFonts w:ascii="Times New Roman"/>
          <w:b w:val="false"/>
          <w:i w:val="false"/>
          <w:color w:val="000000"/>
          <w:sz w:val="28"/>
        </w:rPr>
        <w:t xml:space="preserve"> — длина распорки или стойки, м).</w:t>
      </w:r>
    </w:p>
    <w:bookmarkEnd w:id="3500"/>
    <w:bookmarkStart w:name="z3485" w:id="3501"/>
    <w:p>
      <w:pPr>
        <w:spacing w:after="0"/>
        <w:ind w:left="0"/>
        <w:jc w:val="both"/>
      </w:pPr>
      <w:r>
        <w:rPr>
          <w:rFonts w:ascii="Times New Roman"/>
          <w:b w:val="false"/>
          <w:i w:val="false"/>
          <w:color w:val="000000"/>
          <w:sz w:val="28"/>
        </w:rPr>
        <w:t>
      Для распорок или стоек из угольника или швеллера отношение ширины к толщине фланца не превышает 14</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xml:space="preserve"> или 13, в зависимости от того, что больше.</w:t>
      </w:r>
    </w:p>
    <w:bookmarkEnd w:id="3501"/>
    <w:bookmarkStart w:name="z3486" w:id="3502"/>
    <w:p>
      <w:pPr>
        <w:spacing w:after="0"/>
        <w:ind w:left="0"/>
        <w:jc w:val="both"/>
      </w:pPr>
      <w:r>
        <w:rPr>
          <w:rFonts w:ascii="Times New Roman"/>
          <w:b w:val="false"/>
          <w:i w:val="false"/>
          <w:color w:val="000000"/>
          <w:sz w:val="28"/>
        </w:rPr>
        <w:t>
      Для сварных составных распорок или распорок из двутаврового профиля отношение ширины к толщине свободных поясков не превышает 28</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xml:space="preserve"> или 25, в зависимости от того, что больше.</w:t>
      </w:r>
    </w:p>
    <w:bookmarkEnd w:id="3502"/>
    <w:bookmarkStart w:name="z3487" w:id="3503"/>
    <w:p>
      <w:pPr>
        <w:spacing w:after="0"/>
        <w:ind w:left="0"/>
        <w:jc w:val="both"/>
      </w:pPr>
      <w:r>
        <w:rPr>
          <w:rFonts w:ascii="Times New Roman"/>
          <w:b w:val="false"/>
          <w:i w:val="false"/>
          <w:color w:val="000000"/>
          <w:sz w:val="28"/>
        </w:rPr>
        <w:t>
      Толщина элементов распорок или стоек не менее 7,5 мм;</w:t>
      </w:r>
    </w:p>
    <w:bookmarkEnd w:id="3503"/>
    <w:bookmarkStart w:name="z3488" w:id="3504"/>
    <w:p>
      <w:pPr>
        <w:spacing w:after="0"/>
        <w:ind w:left="0"/>
        <w:jc w:val="both"/>
      </w:pPr>
      <w:r>
        <w:rPr>
          <w:rFonts w:ascii="Times New Roman"/>
          <w:b w:val="false"/>
          <w:i w:val="false"/>
          <w:color w:val="000000"/>
          <w:sz w:val="28"/>
        </w:rPr>
        <w:t>
      3) размеры элементов ферменных конструкций определяется по методике, согласованной с Регистром судоходства.</w:t>
      </w:r>
    </w:p>
    <w:bookmarkEnd w:id="3504"/>
    <w:bookmarkStart w:name="z3489" w:id="3505"/>
    <w:p>
      <w:pPr>
        <w:spacing w:after="0"/>
        <w:ind w:left="0"/>
        <w:jc w:val="both"/>
      </w:pPr>
      <w:r>
        <w:rPr>
          <w:rFonts w:ascii="Times New Roman"/>
          <w:b w:val="false"/>
          <w:i w:val="false"/>
          <w:color w:val="000000"/>
          <w:sz w:val="28"/>
        </w:rPr>
        <w:t>
      870. Если корпусные конструкции дока подвергаются действию нагрузок, не предусмотренных в пункте 864 настоящих Правил, размеры листовых и балочных элементов в этих случаях определяется по методикам, согласованным с Регистром судоходства.</w:t>
      </w:r>
    </w:p>
    <w:bookmarkEnd w:id="3505"/>
    <w:bookmarkStart w:name="z3490" w:id="3506"/>
    <w:p>
      <w:pPr>
        <w:spacing w:after="0"/>
        <w:ind w:left="0"/>
        <w:jc w:val="both"/>
      </w:pPr>
      <w:r>
        <w:rPr>
          <w:rFonts w:ascii="Times New Roman"/>
          <w:b w:val="false"/>
          <w:i w:val="false"/>
          <w:color w:val="000000"/>
          <w:sz w:val="28"/>
        </w:rPr>
        <w:t>
      871. Требования к размерам главных поперечных и продольных связей понтона (понтонов):</w:t>
      </w:r>
    </w:p>
    <w:bookmarkEnd w:id="3506"/>
    <w:bookmarkStart w:name="z3491" w:id="3507"/>
    <w:p>
      <w:pPr>
        <w:spacing w:after="0"/>
        <w:ind w:left="0"/>
        <w:jc w:val="both"/>
      </w:pPr>
      <w:r>
        <w:rPr>
          <w:rFonts w:ascii="Times New Roman"/>
          <w:b w:val="false"/>
          <w:i w:val="false"/>
          <w:color w:val="000000"/>
          <w:sz w:val="28"/>
        </w:rPr>
        <w:t xml:space="preserve">
      1) момент сопротивления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главных поперечных и продольных связей понтона (понтонов) определяется по формуле:</w:t>
      </w:r>
    </w:p>
    <w:bookmarkEnd w:id="350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sz w:val="28"/>
        </w:rPr>
        <w:t>,                      (365)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 нормативный момент сопротивления поперечного сечения к концу срока службы дока,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(366)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расчетный изгибающий момент, кН/м (подпункт 6) пункта 871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sz w:val="28"/>
        </w:rPr>
        <w:t xml:space="preserve"> — добавка к моменту сопротивления, учитывающая запас на износ элементов связей, определяется по формуле А/ст</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sz w:val="28"/>
        </w:rPr>
        <w:t xml:space="preserve"> = 100</w:t>
      </w:r>
      <w:r>
        <w:rPr>
          <w:rFonts w:ascii="Times New Roman"/>
          <w:b w:val="false"/>
          <w:i/>
          <w:color w:val="000000"/>
          <w:sz w:val="28"/>
        </w:rPr>
        <w:t>h</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w:t>
      </w:r>
    </w:p>
    <w:p>
      <w:pPr>
        <w:spacing w:after="0"/>
        <w:ind w:left="0"/>
        <w:jc w:val="both"/>
      </w:pPr>
      <w:r>
        <w:drawing>
          <wp:inline distT="0" distB="0" distL="0" distR="0">
            <wp:extent cx="393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393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(367)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высота стенки связей в рассматриваемом сечении,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добавки к площади верхнего пояска и к площади стенки связей, соответственно, включающие запасы на износ их элементов из расчета на весь срок службы дока, см</w:t>
      </w:r>
      <w:r>
        <w:rPr>
          <w:rFonts w:ascii="Times New Roman"/>
          <w:b w:val="false"/>
          <w:i w:val="false"/>
          <w:color w:val="000000"/>
          <w:vertAlign w:val="superscript"/>
        </w:rPr>
        <w:t>2</w:t>
      </w:r>
      <w:r>
        <w:rPr>
          <w:rFonts w:ascii="Times New Roman"/>
          <w:b w:val="false"/>
          <w:i w:val="false"/>
          <w:color w:val="000000"/>
          <w:sz w:val="28"/>
        </w:rPr>
        <w:t>, определяемые по формулам:</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10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п</w:t>
      </w:r>
      <w:r>
        <w:rPr>
          <w:rFonts w:ascii="Times New Roman"/>
          <w:b w:val="false"/>
          <w:i/>
          <w:color w:val="000000"/>
          <w:sz w:val="28"/>
        </w:rPr>
        <w:t>b</w:t>
      </w:r>
      <w:r>
        <w:rPr>
          <w:rFonts w:ascii="Times New Roman"/>
          <w:b w:val="false"/>
          <w:i w:val="false"/>
          <w:color w:val="000000"/>
          <w:vertAlign w:val="subscript"/>
        </w:rPr>
        <w:t>пр</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10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ст</w:t>
      </w:r>
      <w:r>
        <w:rPr>
          <w:rFonts w:ascii="Times New Roman"/>
          <w:b w:val="false"/>
          <w:i/>
          <w:color w:val="000000"/>
          <w:sz w:val="28"/>
        </w:rPr>
        <w:t>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п(ст)</w:t>
      </w:r>
      <w:r>
        <w:rPr>
          <w:rFonts w:ascii="Times New Roman"/>
          <w:b w:val="false"/>
          <w:i w:val="false"/>
          <w:color w:val="000000"/>
          <w:sz w:val="28"/>
        </w:rPr>
        <w:t xml:space="preserve"> = </w:t>
      </w:r>
      <w:r>
        <w:rPr>
          <w:rFonts w:ascii="Times New Roman"/>
          <w:b w:val="false"/>
          <w:i/>
          <w:color w:val="000000"/>
          <w:sz w:val="28"/>
        </w:rPr>
        <w:t>u</w:t>
      </w:r>
      <w:r>
        <w:rPr>
          <w:rFonts w:ascii="Times New Roman"/>
          <w:b w:val="false"/>
          <w:i w:val="false"/>
          <w:color w:val="000000"/>
          <w:vertAlign w:val="subscript"/>
        </w:rPr>
        <w:t>п(ст)</w:t>
      </w:r>
      <w:r>
        <w:rPr>
          <w:rFonts w:ascii="Times New Roman"/>
          <w:b w:val="false"/>
          <w:i/>
          <w:color w:val="000000"/>
          <w:sz w:val="28"/>
        </w:rPr>
        <w:t>Т</w:t>
      </w:r>
      <w:r>
        <w:rPr>
          <w:rFonts w:ascii="Times New Roman"/>
          <w:b w:val="false"/>
          <w:i w:val="false"/>
          <w:color w:val="000000"/>
          <w:sz w:val="28"/>
        </w:rPr>
        <w:t xml:space="preserve"> — уменьшение, мм, толщины настила стапель-палубы (стенки связи) вследствие износа за срок службы дока </w:t>
      </w:r>
      <w:r>
        <w:rPr>
          <w:rFonts w:ascii="Times New Roman"/>
          <w:b w:val="false"/>
          <w:i/>
          <w:color w:val="000000"/>
          <w:sz w:val="28"/>
        </w:rPr>
        <w:t>Т</w:t>
      </w:r>
      <w:r>
        <w:rPr>
          <w:rFonts w:ascii="Times New Roman"/>
          <w:b w:val="false"/>
          <w:i w:val="false"/>
          <w:color w:val="000000"/>
          <w:sz w:val="28"/>
        </w:rPr>
        <w:t xml:space="preserve"> (годы) при скорости коррозионного изнашивания </w:t>
      </w:r>
      <w:r>
        <w:rPr>
          <w:rFonts w:ascii="Times New Roman"/>
          <w:b w:val="false"/>
          <w:i/>
          <w:color w:val="000000"/>
          <w:sz w:val="28"/>
        </w:rPr>
        <w:t>u</w:t>
      </w:r>
      <w:r>
        <w:rPr>
          <w:rFonts w:ascii="Times New Roman"/>
          <w:b w:val="false"/>
          <w:i w:val="false"/>
          <w:color w:val="000000"/>
          <w:vertAlign w:val="subscript"/>
        </w:rPr>
        <w:t>п(ст)</w:t>
      </w:r>
      <w:r>
        <w:rPr>
          <w:rFonts w:ascii="Times New Roman"/>
          <w:b w:val="false"/>
          <w:i w:val="false"/>
          <w:color w:val="000000"/>
          <w:sz w:val="28"/>
        </w:rPr>
        <w:t>, мм/год согласно приложению 151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пр</w:t>
      </w:r>
      <w:r>
        <w:rPr>
          <w:rFonts w:ascii="Times New Roman"/>
          <w:b w:val="false"/>
          <w:i w:val="false"/>
          <w:color w:val="000000"/>
          <w:sz w:val="28"/>
        </w:rPr>
        <w:t xml:space="preserve"> — ширина присоединенного пояска согласно подпункту 5) пункта 871 настоящих Правил),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добавка к площади верхнего пояска связи, учитывающая запас на износ балок основного набора, принимаемая: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таврового профиля или полосового 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0,1</w:t>
      </w:r>
      <w:r>
        <w:rPr>
          <w:rFonts w:ascii="Times New Roman"/>
          <w:b w:val="false"/>
          <w:i/>
          <w:color w:val="000000"/>
          <w:sz w:val="28"/>
        </w:rPr>
        <w:t>n</w:t>
      </w:r>
      <w:r>
        <w:rPr>
          <w:rFonts w:ascii="Times New Roman"/>
          <w:b w:val="false"/>
          <w:i w:val="false"/>
          <w:color w:val="000000"/>
          <w:sz w:val="28"/>
        </w:rPr>
        <w:t>(b</w:t>
      </w:r>
      <w:r>
        <w:rPr>
          <w:rFonts w:ascii="Times New Roman"/>
          <w:b w:val="false"/>
          <w:i w:val="false"/>
          <w:color w:val="000000"/>
          <w:vertAlign w:val="subscript"/>
        </w:rPr>
        <w:t>0</w:t>
      </w:r>
      <w:r>
        <w:rPr>
          <w:rFonts w:ascii="Times New Roman"/>
          <w:b w:val="false"/>
          <w:i w:val="false"/>
          <w:color w:val="000000"/>
          <w:sz w:val="28"/>
        </w:rPr>
        <w:t xml:space="preserve"> + h</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u</w:t>
      </w:r>
      <w:r>
        <w:rPr>
          <w:rFonts w:ascii="Times New Roman"/>
          <w:b w:val="false"/>
          <w:i w:val="false"/>
          <w:color w:val="000000"/>
          <w:vertAlign w:val="subscript"/>
        </w:rPr>
        <w:t>н</w:t>
      </w:r>
      <w:r>
        <w:rPr>
          <w:rFonts w:ascii="Times New Roman"/>
          <w:b w:val="false"/>
          <w:i/>
          <w:color w:val="000000"/>
          <w:sz w:val="28"/>
        </w:rPr>
        <w:t>Т</w:t>
      </w:r>
      <w:r>
        <w:rPr>
          <w:rFonts w:ascii="Times New Roman"/>
          <w:b w:val="false"/>
          <w:i w:val="false"/>
          <w:color w:val="000000"/>
          <w:sz w:val="28"/>
        </w:rPr>
        <w:t>;               (368)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полособульбового 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0,86</w:t>
      </w:r>
      <w:r>
        <w:rPr>
          <w:rFonts w:ascii="Times New Roman"/>
          <w:b w:val="false"/>
          <w:i/>
          <w:color w:val="000000"/>
          <w:sz w:val="28"/>
        </w:rPr>
        <w:t>n</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u</w:t>
      </w:r>
      <w:r>
        <w:rPr>
          <w:rFonts w:ascii="Times New Roman"/>
          <w:b w:val="false"/>
          <w:i w:val="false"/>
          <w:color w:val="000000"/>
          <w:vertAlign w:val="subscript"/>
        </w:rPr>
        <w:t>н</w:t>
      </w:r>
      <w:r>
        <w:rPr>
          <w:rFonts w:ascii="Times New Roman"/>
          <w:b w:val="false"/>
          <w:i w:val="false"/>
          <w:color w:val="000000"/>
          <w:sz w:val="28"/>
        </w:rPr>
        <w:t>Т/s</w:t>
      </w:r>
      <w:r>
        <w:rPr>
          <w:rFonts w:ascii="Times New Roman"/>
          <w:b w:val="false"/>
          <w:i w:val="false"/>
          <w:color w:val="000000"/>
          <w:vertAlign w:val="subscript"/>
        </w:rPr>
        <w:t>0</w:t>
      </w:r>
      <w:r>
        <w:rPr>
          <w:rFonts w:ascii="Times New Roman"/>
          <w:b w:val="false"/>
          <w:i w:val="false"/>
          <w:color w:val="000000"/>
          <w:sz w:val="28"/>
        </w:rPr>
        <w:t xml:space="preserve"> ;               (369)</w:t>
      </w:r>
      <w:r>
        <w:br/>
      </w:r>
      <w:r>
        <w:rPr>
          <w:rFonts w:ascii="Times New Roman"/>
          <w:b w:val="false"/>
          <w:i w:val="false"/>
          <w:color w:val="000000"/>
          <w:sz w:val="28"/>
        </w:rPr>
        <w:t>
</w:t>
      </w:r>
    </w:p>
    <w:bookmarkStart w:name="z3492" w:id="3508"/>
    <w:p>
      <w:pPr>
        <w:spacing w:after="0"/>
        <w:ind w:left="0"/>
        <w:jc w:val="both"/>
      </w:pPr>
      <w:r>
        <w:rPr>
          <w:rFonts w:ascii="Times New Roman"/>
          <w:b w:val="false"/>
          <w:i w:val="false"/>
          <w:color w:val="000000"/>
          <w:sz w:val="28"/>
        </w:rPr>
        <w:t xml:space="preserve">
      при определении добавки </w:t>
      </w:r>
    </w:p>
    <w:bookmarkEnd w:id="3508"/>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используются результаты проектирования балок основного набора из условий обеспечения местной прочности (пункт 868 настоящих Правил). Если в состав поперечного сечения связей не входят балки основного набора, то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балок основного набора на ширине b</w:t>
      </w:r>
      <w:r>
        <w:rPr>
          <w:rFonts w:ascii="Times New Roman"/>
          <w:b w:val="false"/>
          <w:i w:val="false"/>
          <w:color w:val="000000"/>
          <w:vertAlign w:val="subscript"/>
        </w:rPr>
        <w:t>пр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0</w:t>
      </w:r>
      <w:r>
        <w:rPr>
          <w:rFonts w:ascii="Times New Roman"/>
          <w:b w:val="false"/>
          <w:i w:val="false"/>
          <w:color w:val="000000"/>
          <w:sz w:val="28"/>
        </w:rPr>
        <w:t xml:space="preserve"> и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ширина пояска и высота стенки тавровой балки соответственно (для балки из полосового профиля </w:t>
      </w:r>
      <w:r>
        <w:rPr>
          <w:rFonts w:ascii="Times New Roman"/>
          <w:b w:val="false"/>
          <w:i/>
          <w:color w:val="000000"/>
          <w:sz w:val="28"/>
        </w:rPr>
        <w:t>b</w:t>
      </w:r>
      <w:r>
        <w:rPr>
          <w:rFonts w:ascii="Times New Roman"/>
          <w:b w:val="false"/>
          <w:i w:val="false"/>
          <w:color w:val="000000"/>
          <w:vertAlign w:val="subscript"/>
        </w:rPr>
        <w:t>0</w:t>
      </w:r>
      <w:r>
        <w:rPr>
          <w:rFonts w:ascii="Times New Roman"/>
          <w:b w:val="false"/>
          <w:i w:val="false"/>
          <w:color w:val="000000"/>
          <w:sz w:val="28"/>
        </w:rPr>
        <w:t xml:space="preserve"> = 0),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площадь сечения изолированного профиля,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толщина стенки полособульба;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н</w:t>
      </w:r>
      <w:r>
        <w:rPr>
          <w:rFonts w:ascii="Times New Roman"/>
          <w:b w:val="false"/>
          <w:i w:val="false"/>
          <w:color w:val="000000"/>
          <w:sz w:val="28"/>
        </w:rPr>
        <w:t xml:space="preserve"> — нормативная скорость коррозионного изнашивания для элементов набора балластных отсеков (приложение 151 настоящих Правил), мм/год;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зависящий от площадей стенки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верхнего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 xml:space="preserve"> и нижнего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д</w:t>
      </w:r>
      <w:r>
        <w:rPr>
          <w:rFonts w:ascii="Times New Roman"/>
          <w:b w:val="false"/>
          <w:i w:val="false"/>
          <w:color w:val="000000"/>
          <w:sz w:val="28"/>
        </w:rPr>
        <w:t xml:space="preserve"> поясков связей с учетом износа к концу срока службы,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)/(2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д</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(370)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первом приближении можно принять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bookmarkStart w:name="z3493" w:id="3509"/>
    <w:p>
      <w:pPr>
        <w:spacing w:after="0"/>
        <w:ind w:left="0"/>
        <w:jc w:val="both"/>
      </w:pPr>
      <w:r>
        <w:rPr>
          <w:rFonts w:ascii="Times New Roman"/>
          <w:b w:val="false"/>
          <w:i w:val="false"/>
          <w:color w:val="000000"/>
          <w:sz w:val="28"/>
        </w:rPr>
        <w:t xml:space="preserve">
      2) площадь сечения стенки </w:t>
      </w:r>
    </w:p>
    <w:bookmarkEnd w:id="3509"/>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главных поперечных связей понтона (понтонов)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(371)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 нормативная площадь сечения, см</w:t>
      </w:r>
      <w:r>
        <w:rPr>
          <w:rFonts w:ascii="Times New Roman"/>
          <w:b w:val="false"/>
          <w:i w:val="false"/>
          <w:color w:val="000000"/>
          <w:vertAlign w:val="superscript"/>
        </w:rPr>
        <w:t>2</w:t>
      </w:r>
      <w:r>
        <w:rPr>
          <w:rFonts w:ascii="Times New Roman"/>
          <w:b w:val="false"/>
          <w:i w:val="false"/>
          <w:color w:val="000000"/>
          <w:sz w:val="28"/>
        </w:rPr>
        <w:t>, стенки к концу срока службы дока, определяемая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 10N</w:t>
      </w:r>
      <w:r>
        <w:rPr>
          <w:rFonts w:ascii="Times New Roman"/>
          <w:b w:val="false"/>
          <w:i w:val="false"/>
          <w:color w:val="000000"/>
          <w:vertAlign w:val="subscript"/>
        </w:rPr>
        <w:t>x</w:t>
      </w: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(372)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расчетная перерезывающая сила (подпункт 7) пункта 861 настоящих Правил), кН;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подпункт1) пункта 861 настоящих Правил;</w:t>
      </w:r>
      <w:r>
        <w:br/>
      </w:r>
      <w:r>
        <w:rPr>
          <w:rFonts w:ascii="Times New Roman"/>
          <w:b w:val="false"/>
          <w:i w:val="false"/>
          <w:color w:val="000000"/>
          <w:sz w:val="28"/>
        </w:rPr>
        <w:t>
</w:t>
      </w:r>
    </w:p>
    <w:bookmarkStart w:name="z3494" w:id="3510"/>
    <w:p>
      <w:pPr>
        <w:spacing w:after="0"/>
        <w:ind w:left="0"/>
        <w:jc w:val="both"/>
      </w:pPr>
      <w:r>
        <w:rPr>
          <w:rFonts w:ascii="Times New Roman"/>
          <w:b w:val="false"/>
          <w:i w:val="false"/>
          <w:color w:val="000000"/>
          <w:sz w:val="28"/>
        </w:rPr>
        <w:t>
      3) размеры элементов ферменных конструкций (стоек и раскосов) понтона (понтонов) достаточные для восприятия перерезывающих сил, возникающих при общем изгибе понтона;</w:t>
      </w:r>
    </w:p>
    <w:bookmarkEnd w:id="3510"/>
    <w:bookmarkStart w:name="z3495" w:id="3511"/>
    <w:p>
      <w:pPr>
        <w:spacing w:after="0"/>
        <w:ind w:left="0"/>
        <w:jc w:val="both"/>
      </w:pPr>
      <w:r>
        <w:rPr>
          <w:rFonts w:ascii="Times New Roman"/>
          <w:b w:val="false"/>
          <w:i w:val="false"/>
          <w:color w:val="000000"/>
          <w:sz w:val="28"/>
        </w:rPr>
        <w:t>
      4) в расчетное сечение главных поперечных связей понтона (понтонов) включаются все конструктивные элементы, непрерывные между бортами понтона; в расчетное сечение главных продольных связей включаются все конструктивные элементы, непрерывные между торцевыми переборками понтона;</w:t>
      </w:r>
    </w:p>
    <w:bookmarkEnd w:id="3511"/>
    <w:bookmarkStart w:name="z3496" w:id="3512"/>
    <w:p>
      <w:pPr>
        <w:spacing w:after="0"/>
        <w:ind w:left="0"/>
        <w:jc w:val="both"/>
      </w:pPr>
      <w:r>
        <w:rPr>
          <w:rFonts w:ascii="Times New Roman"/>
          <w:b w:val="false"/>
          <w:i w:val="false"/>
          <w:color w:val="000000"/>
          <w:sz w:val="28"/>
        </w:rPr>
        <w:t xml:space="preserve">
      5) ширина присоединенных поясков главных поперечных связей </w:t>
      </w:r>
      <w:r>
        <w:rPr>
          <w:rFonts w:ascii="Times New Roman"/>
          <w:b w:val="false"/>
          <w:i/>
          <w:color w:val="000000"/>
          <w:sz w:val="28"/>
        </w:rPr>
        <w:t>b</w:t>
      </w:r>
      <w:r>
        <w:rPr>
          <w:rFonts w:ascii="Times New Roman"/>
          <w:b w:val="false"/>
          <w:i w:val="false"/>
          <w:color w:val="000000"/>
          <w:vertAlign w:val="subscript"/>
        </w:rPr>
        <w:t>пр</w:t>
      </w:r>
      <w:r>
        <w:rPr>
          <w:rFonts w:ascii="Times New Roman"/>
          <w:b w:val="false"/>
          <w:i w:val="false"/>
          <w:color w:val="000000"/>
          <w:sz w:val="28"/>
        </w:rPr>
        <w:t>, м, днищевой обшивки и настила стапель-палубы принимается:</w:t>
      </w:r>
    </w:p>
    <w:bookmarkEnd w:id="351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пp</w:t>
      </w:r>
      <w:r>
        <w:rPr>
          <w:rFonts w:ascii="Times New Roman"/>
          <w:b w:val="false"/>
          <w:i w:val="false"/>
          <w:color w:val="000000"/>
          <w:sz w:val="28"/>
        </w:rPr>
        <w:t xml:space="preserve"> = min{(</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)/6; с},         (373)</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с</w:t>
      </w:r>
      <w:r>
        <w:rPr>
          <w:rFonts w:ascii="Times New Roman"/>
          <w:b w:val="false"/>
          <w:i w:val="false"/>
          <w:color w:val="000000"/>
          <w:sz w:val="28"/>
        </w:rPr>
        <w:t xml:space="preserve"> — среднее расстояние между рассматриваемой связью и связями, расположенными слева и справа от нее, м.;</w:t>
      </w:r>
    </w:p>
    <w:bookmarkStart w:name="z3497" w:id="3513"/>
    <w:p>
      <w:pPr>
        <w:spacing w:after="0"/>
        <w:ind w:left="0"/>
        <w:jc w:val="both"/>
      </w:pPr>
      <w:r>
        <w:rPr>
          <w:rFonts w:ascii="Times New Roman"/>
          <w:b w:val="false"/>
          <w:i w:val="false"/>
          <w:color w:val="000000"/>
          <w:sz w:val="28"/>
        </w:rPr>
        <w:t xml:space="preserve">
      6) расчетные изгибающие моменты М, кН•м, для поперечных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и продольных Му связей в середине неразрезного понтона монолитного дока (приложение 154 настоящих Правил) для случаев, указанных в пункте 865 настоящих Правил, определяются по формулам:</w:t>
      </w:r>
    </w:p>
    <w:bookmarkEnd w:id="3513"/>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x</w:t>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(374)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у</w:t>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(375)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с</w:t>
      </w:r>
      <w:r>
        <w:rPr>
          <w:rFonts w:ascii="Times New Roman"/>
          <w:b w:val="false"/>
          <w:i w:val="false"/>
          <w:color w:val="000000"/>
          <w:sz w:val="28"/>
        </w:rPr>
        <w:t xml:space="preserve"> — средняя величина погонной доковой нагрузки, кН/м (</w:t>
      </w:r>
      <w:r>
        <w:rPr>
          <w:rFonts w:ascii="Times New Roman"/>
          <w:b w:val="false"/>
          <w:i/>
          <w:color w:val="000000"/>
          <w:sz w:val="28"/>
        </w:rPr>
        <w:t>L</w:t>
      </w:r>
      <w:r>
        <w:rPr>
          <w:rFonts w:ascii="Times New Roman"/>
          <w:b w:val="false"/>
          <w:i w:val="false"/>
          <w:color w:val="000000"/>
          <w:vertAlign w:val="subscript"/>
        </w:rPr>
        <w:t>с</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пункт 865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 xml:space="preserve"> — ширина дока и башни на уровне стапель-палубы;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х</w:t>
      </w:r>
      <w:r>
        <w:rPr>
          <w:rFonts w:ascii="Times New Roman"/>
          <w:b w:val="false"/>
          <w:i w:val="false"/>
          <w:color w:val="000000"/>
          <w:sz w:val="28"/>
        </w:rPr>
        <w:t xml:space="preserve"> и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 расстояние между главными поперечными с</w:t>
      </w:r>
      <w:r>
        <w:rPr>
          <w:rFonts w:ascii="Times New Roman"/>
          <w:b w:val="false"/>
          <w:i w:val="false"/>
          <w:color w:val="000000"/>
          <w:vertAlign w:val="subscript"/>
        </w:rPr>
        <w:t>х</w:t>
      </w:r>
      <w:r>
        <w:rPr>
          <w:rFonts w:ascii="Times New Roman"/>
          <w:b w:val="false"/>
          <w:i w:val="false"/>
          <w:color w:val="000000"/>
          <w:sz w:val="28"/>
        </w:rPr>
        <w:t xml:space="preserve"> и продольными с</w:t>
      </w:r>
      <w:r>
        <w:rPr>
          <w:rFonts w:ascii="Times New Roman"/>
          <w:b w:val="false"/>
          <w:i w:val="false"/>
          <w:color w:val="000000"/>
          <w:vertAlign w:val="subscript"/>
        </w:rPr>
        <w:t>у</w:t>
      </w:r>
      <w:r>
        <w:rPr>
          <w:rFonts w:ascii="Times New Roman"/>
          <w:b w:val="false"/>
          <w:i w:val="false"/>
          <w:color w:val="000000"/>
          <w:sz w:val="28"/>
        </w:rPr>
        <w:t xml:space="preserve"> связями понтона, соответственно, как указано в приложении 154 настоящих Правил,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коэффициенты, определяемые по графикам приложений 155 и 156 настоящих Правил в зависимости от параметров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 xml:space="preserve">) и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498" w:id="3514"/>
    <w:p>
      <w:pPr>
        <w:spacing w:after="0"/>
        <w:ind w:left="0"/>
        <w:jc w:val="both"/>
      </w:pPr>
      <w:r>
        <w:rPr>
          <w:rFonts w:ascii="Times New Roman"/>
          <w:b w:val="false"/>
          <w:i w:val="false"/>
          <w:color w:val="000000"/>
          <w:sz w:val="28"/>
        </w:rPr>
        <w:t xml:space="preserve">
      Для понтонных и секционных доков расчетный изгибающий момент при проектировании главных поперечных связей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кН•м, принимается равным:</w:t>
      </w:r>
    </w:p>
    <w:bookmarkEnd w:id="3514"/>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 0,25</w:t>
      </w:r>
      <w:r>
        <w:rPr>
          <w:rFonts w:ascii="Times New Roman"/>
          <w:b w:val="false"/>
          <w:i/>
          <w:color w:val="000000"/>
          <w:sz w:val="28"/>
        </w:rPr>
        <w:t>q</w:t>
      </w:r>
    </w:p>
    <w:p>
      <w:pPr>
        <w:spacing w:after="0"/>
        <w:ind w:left="0"/>
        <w:jc w:val="both"/>
      </w:pPr>
      <w:r>
        <w:drawing>
          <wp:inline distT="0" distB="0" distL="0" distR="0">
            <wp:extent cx="215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159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)(1 – 0,5</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101600" cy="127000"/>
                    </a:xfrm>
                    <a:prstGeom prst="rect">
                      <a:avLst/>
                    </a:prstGeom>
                  </pic:spPr>
                </pic:pic>
              </a:graphicData>
            </a:graphic>
          </wp:inline>
        </w:drawing>
      </w:r>
    </w:p>
    <w:p>
      <w:pPr>
        <w:spacing w:after="0"/>
        <w:ind w:left="0"/>
        <w:jc w:val="both"/>
      </w:pPr>
      <w:r>
        <w:drawing>
          <wp:inline distT="0" distB="0" distL="0" distR="0">
            <wp:extent cx="86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863600" cy="495300"/>
                    </a:xfrm>
                    <a:prstGeom prst="rect">
                      <a:avLst/>
                    </a:prstGeom>
                  </pic:spPr>
                </pic:pic>
              </a:graphicData>
            </a:graphic>
          </wp:inline>
        </w:drawing>
      </w:r>
    </w:p>
    <w:p>
      <w:pPr>
        <w:spacing w:after="0"/>
        <w:ind w:left="0"/>
        <w:jc w:val="left"/>
      </w:pPr>
      <w:r>
        <w:rPr>
          <w:rFonts w:ascii="Times New Roman"/>
          <w:b w:val="false"/>
          <w:i w:val="false"/>
          <w:color w:val="000000"/>
          <w:sz w:val="28"/>
        </w:rPr>
        <w:t>);        (376)       или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Мх = 0,125</w:t>
      </w:r>
      <w:r>
        <w:rPr>
          <w:rFonts w:ascii="Times New Roman"/>
          <w:b w:val="false"/>
          <w:i/>
          <w:color w:val="000000"/>
          <w:sz w:val="28"/>
        </w:rPr>
        <w:t>рс</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(377)</w:t>
      </w:r>
    </w:p>
    <w:p>
      <w:pPr>
        <w:spacing w:after="0"/>
        <w:ind w:left="0"/>
        <w:jc w:val="both"/>
      </w:pPr>
      <w:r>
        <w:rPr>
          <w:rFonts w:ascii="Times New Roman"/>
          <w:b w:val="false"/>
          <w:i w:val="false"/>
          <w:color w:val="000000"/>
          <w:sz w:val="28"/>
        </w:rPr>
        <w:t>
      в зависимости от того, что больше,</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подпункт 2) пункта 865 настоящих Правил;</w:t>
      </w:r>
    </w:p>
    <w:bookmarkStart w:name="z3499" w:id="3515"/>
    <w:p>
      <w:pPr>
        <w:spacing w:after="0"/>
        <w:ind w:left="0"/>
        <w:jc w:val="both"/>
      </w:pPr>
      <w:r>
        <w:rPr>
          <w:rFonts w:ascii="Times New Roman"/>
          <w:b w:val="false"/>
          <w:i w:val="false"/>
          <w:color w:val="000000"/>
          <w:sz w:val="28"/>
        </w:rPr>
        <w:t xml:space="preserve">
      7) расчетная перерезывающая сила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кН, воспринимаемая поперечной связью дока (главной поперечной связью или стойками и раскосами понтонной фермы), определяется по формуле:</w:t>
      </w:r>
    </w:p>
    <w:bookmarkEnd w:id="3515"/>
    <w:p>
      <w:pPr>
        <w:spacing w:after="0"/>
        <w:ind w:left="0"/>
        <w:jc w:val="both"/>
      </w:pP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0,75</w:t>
      </w:r>
    </w:p>
    <w:p>
      <w:pPr>
        <w:spacing w:after="0"/>
        <w:ind w:left="0"/>
        <w:jc w:val="both"/>
      </w:pPr>
      <w:r>
        <w:drawing>
          <wp:inline distT="0" distB="0" distL="0" distR="0">
            <wp:extent cx="140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1409700" cy="482600"/>
                    </a:xfrm>
                    <a:prstGeom prst="rect">
                      <a:avLst/>
                    </a:prstGeom>
                  </pic:spPr>
                </pic:pic>
              </a:graphicData>
            </a:graphic>
          </wp:inline>
        </w:drawing>
      </w:r>
    </w:p>
    <w:p>
      <w:pPr>
        <w:spacing w:after="0"/>
        <w:ind w:left="0"/>
        <w:jc w:val="left"/>
      </w:pPr>
      <w:r>
        <w:rPr>
          <w:rFonts w:ascii="Times New Roman"/>
          <w:b w:val="false"/>
          <w:i w:val="false"/>
          <w:color w:val="000000"/>
          <w:sz w:val="28"/>
        </w:rPr>
        <w:t>,                   (378)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у</w:t>
      </w:r>
      <w:r>
        <w:rPr>
          <w:rFonts w:ascii="Times New Roman"/>
          <w:b w:val="false"/>
          <w:i w:val="false"/>
          <w:color w:val="000000"/>
          <w:sz w:val="28"/>
        </w:rPr>
        <w:t xml:space="preserve"> — отстояние рассматриваемого сечения от диаметральной плоскости дока,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расстояние между рассматриваемыми связями, м.</w:t>
      </w:r>
    </w:p>
    <w:bookmarkStart w:name="z3500" w:id="3516"/>
    <w:p>
      <w:pPr>
        <w:spacing w:after="0"/>
        <w:ind w:left="0"/>
        <w:jc w:val="both"/>
      </w:pPr>
      <w:r>
        <w:rPr>
          <w:rFonts w:ascii="Times New Roman"/>
          <w:b w:val="false"/>
          <w:i w:val="false"/>
          <w:color w:val="000000"/>
          <w:sz w:val="28"/>
        </w:rPr>
        <w:t xml:space="preserve">
      При проектировании главных поперечных связей или стоек и раскосов понтонных ферм понтонных и секционных доков расчетная перерезывающая сила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кН, не принимается менее:</w:t>
      </w:r>
    </w:p>
    <w:bookmarkEnd w:id="351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рсу</w:t>
      </w:r>
      <w:r>
        <w:rPr>
          <w:rFonts w:ascii="Times New Roman"/>
          <w:b w:val="false"/>
          <w:i w:val="false"/>
          <w:color w:val="000000"/>
          <w:sz w:val="28"/>
        </w:rPr>
        <w:t xml:space="preserve"> ,                   (379)</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подпункт 2) пункта 865 настоящих Правил;</w:t>
      </w:r>
    </w:p>
    <w:bookmarkStart w:name="z3501" w:id="3517"/>
    <w:p>
      <w:pPr>
        <w:spacing w:after="0"/>
        <w:ind w:left="0"/>
        <w:jc w:val="both"/>
      </w:pPr>
      <w:r>
        <w:rPr>
          <w:rFonts w:ascii="Times New Roman"/>
          <w:b w:val="false"/>
          <w:i w:val="false"/>
          <w:color w:val="000000"/>
          <w:sz w:val="28"/>
        </w:rPr>
        <w:t>
      8) коэффициенты допускаемых напряжений в формулах (366) и (372) настоящих Правил при проектировании главных поперечных связей понтона (понтонов) принимают следующими:</w:t>
      </w:r>
    </w:p>
    <w:bookmarkEnd w:id="35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w:t>
      </w:r>
      <w:r>
        <w:br/>
      </w: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w:t>
      </w:r>
      <w:r>
        <w:br/>
      </w:r>
      <w:r>
        <w:rPr>
          <w:rFonts w:ascii="Times New Roman"/>
          <w:b w:val="false"/>
          <w:i w:val="false"/>
          <w:color w:val="000000"/>
          <w:sz w:val="28"/>
        </w:rPr>
        <w:t>
</w:t>
      </w:r>
    </w:p>
    <w:bookmarkStart w:name="z3502" w:id="3518"/>
    <w:p>
      <w:pPr>
        <w:spacing w:after="0"/>
        <w:ind w:left="0"/>
        <w:jc w:val="both"/>
      </w:pPr>
      <w:r>
        <w:rPr>
          <w:rFonts w:ascii="Times New Roman"/>
          <w:b w:val="false"/>
          <w:i w:val="false"/>
          <w:color w:val="000000"/>
          <w:sz w:val="28"/>
        </w:rPr>
        <w:t>
      Указания по выбору допускаемых нормальных напряжений в главных продольных связях понтона монолитных доков даны в подпункте 5) пункта 872 настоящих Правил;</w:t>
      </w:r>
    </w:p>
    <w:bookmarkEnd w:id="3518"/>
    <w:bookmarkStart w:name="z3503" w:id="3519"/>
    <w:p>
      <w:pPr>
        <w:spacing w:after="0"/>
        <w:ind w:left="0"/>
        <w:jc w:val="both"/>
      </w:pPr>
      <w:r>
        <w:rPr>
          <w:rFonts w:ascii="Times New Roman"/>
          <w:b w:val="false"/>
          <w:i w:val="false"/>
          <w:color w:val="000000"/>
          <w:sz w:val="28"/>
        </w:rPr>
        <w:t>
      9) толщина листовых элементов стенок главных поперечных связей должна отвечать требованиям к устойчивости при действии касательных и нормальных напряжений, возникающих при поперечном изгибе понтона (понтонов).</w:t>
      </w:r>
    </w:p>
    <w:bookmarkEnd w:id="3519"/>
    <w:bookmarkStart w:name="z3504" w:id="3520"/>
    <w:p>
      <w:pPr>
        <w:spacing w:after="0"/>
        <w:ind w:left="0"/>
        <w:jc w:val="both"/>
      </w:pPr>
      <w:r>
        <w:rPr>
          <w:rFonts w:ascii="Times New Roman"/>
          <w:b w:val="false"/>
          <w:i w:val="false"/>
          <w:color w:val="000000"/>
          <w:sz w:val="28"/>
        </w:rPr>
        <w:t>
      Толщина листовых элементов настила стапель-палубы и днищевой обшивки отвечает требованиям к устойчивости при действии сжимающих напряжений, возникающих при поперечном изгибе понтона (понтонов);</w:t>
      </w:r>
    </w:p>
    <w:bookmarkEnd w:id="3520"/>
    <w:bookmarkStart w:name="z3505" w:id="3521"/>
    <w:p>
      <w:pPr>
        <w:spacing w:after="0"/>
        <w:ind w:left="0"/>
        <w:jc w:val="both"/>
      </w:pPr>
      <w:r>
        <w:rPr>
          <w:rFonts w:ascii="Times New Roman"/>
          <w:b w:val="false"/>
          <w:i w:val="false"/>
          <w:color w:val="000000"/>
          <w:sz w:val="28"/>
        </w:rPr>
        <w:t>
      10) условия устойчивости соответствуют пунктам 253 и 254 настоящих Правил. Коэффициент к в формуле (66) настоящих Правил принимается равным 0,75.</w:t>
      </w:r>
    </w:p>
    <w:bookmarkEnd w:id="3521"/>
    <w:bookmarkStart w:name="z3506" w:id="3522"/>
    <w:p>
      <w:pPr>
        <w:spacing w:after="0"/>
        <w:ind w:left="0"/>
        <w:jc w:val="both"/>
      </w:pPr>
      <w:r>
        <w:rPr>
          <w:rFonts w:ascii="Times New Roman"/>
          <w:b w:val="false"/>
          <w:i w:val="false"/>
          <w:color w:val="000000"/>
          <w:sz w:val="28"/>
        </w:rPr>
        <w:t xml:space="preserve">
      При определении эйлеровых напряжений по формулам в пункте 256 настоящих Правил следует принять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sz w:val="28"/>
        </w:rPr>
        <w:t xml:space="preserve"> — </w:t>
      </w:r>
    </w:p>
    <w:bookmarkEnd w:id="352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определяется согласно пункту 858 настоящих Правил.</w:t>
      </w:r>
      <w:r>
        <w:br/>
      </w:r>
      <w:r>
        <w:rPr>
          <w:rFonts w:ascii="Times New Roman"/>
          <w:b w:val="false"/>
          <w:i w:val="false"/>
          <w:color w:val="000000"/>
          <w:sz w:val="28"/>
        </w:rPr>
        <w:t>
</w:t>
      </w:r>
    </w:p>
    <w:bookmarkStart w:name="z3507" w:id="3523"/>
    <w:p>
      <w:pPr>
        <w:spacing w:after="0"/>
        <w:ind w:left="0"/>
        <w:jc w:val="both"/>
      </w:pPr>
      <w:r>
        <w:rPr>
          <w:rFonts w:ascii="Times New Roman"/>
          <w:b w:val="false"/>
          <w:i w:val="false"/>
          <w:color w:val="000000"/>
          <w:sz w:val="28"/>
        </w:rPr>
        <w:t>
      872. Требования к размерам элементов конструкций из условий обеспечения прочности и устойчивости при общем продольном изгибе:</w:t>
      </w:r>
    </w:p>
    <w:bookmarkEnd w:id="3523"/>
    <w:bookmarkStart w:name="z3508" w:id="3524"/>
    <w:p>
      <w:pPr>
        <w:spacing w:after="0"/>
        <w:ind w:left="0"/>
        <w:jc w:val="both"/>
      </w:pPr>
      <w:r>
        <w:rPr>
          <w:rFonts w:ascii="Times New Roman"/>
          <w:b w:val="false"/>
          <w:i w:val="false"/>
          <w:color w:val="000000"/>
          <w:sz w:val="28"/>
        </w:rPr>
        <w:t>
      1) принятые размеры продольных связей корпусных конструкций дока (с учетом указаний в подпункте 2) настоящего пункта) обеспечивают требуемый момент сопротивления поперечного сечения корпуса плавучего дока.</w:t>
      </w:r>
    </w:p>
    <w:bookmarkEnd w:id="3524"/>
    <w:bookmarkStart w:name="z3509" w:id="3525"/>
    <w:p>
      <w:pPr>
        <w:spacing w:after="0"/>
        <w:ind w:left="0"/>
        <w:jc w:val="both"/>
      </w:pPr>
      <w:r>
        <w:rPr>
          <w:rFonts w:ascii="Times New Roman"/>
          <w:b w:val="false"/>
          <w:i w:val="false"/>
          <w:color w:val="000000"/>
          <w:sz w:val="28"/>
        </w:rPr>
        <w:t xml:space="preserve">
      Момент сопротивления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поперечного сечения корпуса плавучего дока не менее:</w:t>
      </w:r>
    </w:p>
    <w:bookmarkEnd w:id="352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к .                   (380)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W'</w:t>
      </w:r>
      <w:r>
        <w:rPr>
          <w:rFonts w:ascii="Times New Roman"/>
          <w:b w:val="false"/>
          <w:i w:val="false"/>
          <w:color w:val="000000"/>
          <w:sz w:val="28"/>
        </w:rPr>
        <w:t xml:space="preserve"> — нормативный момент сопротивления поперечного сечения к концу срока службы дока, см</w:t>
      </w:r>
      <w:r>
        <w:rPr>
          <w:rFonts w:ascii="Times New Roman"/>
          <w:b w:val="false"/>
          <w:i w:val="false"/>
          <w:color w:val="000000"/>
          <w:vertAlign w:val="superscript"/>
        </w:rPr>
        <w:t>3</w:t>
      </w:r>
      <w:r>
        <w:rPr>
          <w:rFonts w:ascii="Times New Roman"/>
          <w:b w:val="false"/>
          <w:i w:val="false"/>
          <w:color w:val="000000"/>
          <w:sz w:val="28"/>
        </w:rPr>
        <w:t>,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(381)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sz w:val="28"/>
        </w:rPr>
        <w:t xml:space="preserve"> — наибольший изгибающий момент, определяемый по формуле (387) настоящих Правил), кН•м;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коэффициент, учитывающий поправку к моменту сопротивления на износ элементов конструкций,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[1 — </w:t>
      </w:r>
      <w:r>
        <w:rPr>
          <w:rFonts w:ascii="Times New Roman"/>
          <w:b w:val="false"/>
          <w:i/>
          <w:color w:val="000000"/>
          <w:sz w:val="28"/>
        </w:rPr>
        <w:t>F</w:t>
      </w:r>
      <w:r>
        <w:rPr>
          <w:rFonts w:ascii="Times New Roman"/>
          <w:b w:val="false"/>
          <w:i w:val="false"/>
          <w:color w:val="000000"/>
          <w:vertAlign w:val="superscript"/>
        </w:rPr>
        <w:t>-1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152400" cy="1524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152400" cy="1651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perscript"/>
        </w:rPr>
        <w:t>-1</w:t>
      </w:r>
      <w:r>
        <w:rPr>
          <w:rFonts w:ascii="Times New Roman"/>
          <w:b w:val="false"/>
          <w:i w:val="false"/>
          <w:color w:val="000000"/>
          <w:sz w:val="28"/>
        </w:rPr>
        <w:t xml:space="preserve"> ,             (382)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площадь поперечного сечения корпуса плавучего дока, см</w:t>
      </w:r>
      <w:r>
        <w:rPr>
          <w:rFonts w:ascii="Times New Roman"/>
          <w:b w:val="false"/>
          <w:i w:val="false"/>
          <w:color w:val="000000"/>
          <w:vertAlign w:val="superscript"/>
        </w:rPr>
        <w:t>2</w:t>
      </w:r>
      <w:r>
        <w:rPr>
          <w:rFonts w:ascii="Times New Roman"/>
          <w:b w:val="false"/>
          <w:i w:val="false"/>
          <w:color w:val="000000"/>
          <w:sz w:val="28"/>
        </w:rPr>
        <w:t>, соответствующая требуемому моменту сопротивления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добавка к площади сечения </w:t>
      </w:r>
      <w:r>
        <w:rPr>
          <w:rFonts w:ascii="Times New Roman"/>
          <w:b w:val="false"/>
          <w:i/>
          <w:color w:val="000000"/>
          <w:sz w:val="28"/>
        </w:rPr>
        <w:t>i</w:t>
      </w:r>
      <w:r>
        <w:rPr>
          <w:rFonts w:ascii="Times New Roman"/>
          <w:b w:val="false"/>
          <w:i w:val="false"/>
          <w:color w:val="000000"/>
          <w:sz w:val="28"/>
        </w:rPr>
        <w:t>-го листового пояса, учитывающая запас на его коррозионный износ,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10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(383)</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u</w:t>
      </w:r>
      <w:r>
        <w:rPr>
          <w:rFonts w:ascii="Times New Roman"/>
          <w:b w:val="false"/>
          <w:i w:val="false"/>
          <w:color w:val="000000"/>
          <w:vertAlign w:val="subscript"/>
        </w:rPr>
        <w:t>i</w:t>
      </w:r>
      <w:r>
        <w:rPr>
          <w:rFonts w:ascii="Times New Roman"/>
          <w:b w:val="false"/>
          <w:i/>
          <w:color w:val="000000"/>
          <w:sz w:val="28"/>
        </w:rPr>
        <w:t>T</w:t>
      </w:r>
      <w:r>
        <w:rPr>
          <w:rFonts w:ascii="Times New Roman"/>
          <w:b w:val="false"/>
          <w:i w:val="false"/>
          <w:color w:val="000000"/>
          <w:sz w:val="28"/>
        </w:rPr>
        <w:t xml:space="preserve"> — уменьшение толщины i-й листовой связи вследствие износа за срок службы </w:t>
      </w:r>
      <w:r>
        <w:rPr>
          <w:rFonts w:ascii="Times New Roman"/>
          <w:b w:val="false"/>
          <w:i/>
          <w:color w:val="000000"/>
          <w:sz w:val="28"/>
        </w:rPr>
        <w:t>Т</w:t>
      </w:r>
      <w:r>
        <w:rPr>
          <w:rFonts w:ascii="Times New Roman"/>
          <w:b w:val="false"/>
          <w:i w:val="false"/>
          <w:color w:val="000000"/>
          <w:sz w:val="28"/>
        </w:rPr>
        <w:t xml:space="preserve">, годы, при скорости коррозионного изнашивания </w:t>
      </w:r>
      <w:r>
        <w:rPr>
          <w:rFonts w:ascii="Times New Roman"/>
          <w:b w:val="false"/>
          <w:i/>
          <w:color w:val="000000"/>
          <w:sz w:val="28"/>
        </w:rPr>
        <w:t>u</w:t>
      </w:r>
      <w:r>
        <w:rPr>
          <w:rFonts w:ascii="Times New Roman"/>
          <w:b w:val="false"/>
          <w:i w:val="false"/>
          <w:color w:val="000000"/>
          <w:vertAlign w:val="subscript"/>
        </w:rPr>
        <w:t>i</w:t>
      </w:r>
      <w:r>
        <w:rPr>
          <w:rFonts w:ascii="Times New Roman"/>
          <w:b w:val="false"/>
          <w:i w:val="false"/>
          <w:color w:val="000000"/>
          <w:sz w:val="28"/>
        </w:rPr>
        <w:t xml:space="preserve"> мм/год, принимаемой согласно приложению 151 настоящих Правил,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i</w:t>
      </w:r>
      <w:r>
        <w:rPr>
          <w:rFonts w:ascii="Times New Roman"/>
          <w:b w:val="false"/>
          <w:i w:val="false"/>
          <w:color w:val="000000"/>
          <w:sz w:val="28"/>
        </w:rPr>
        <w:t xml:space="preserve"> — ширина </w:t>
      </w:r>
      <w:r>
        <w:rPr>
          <w:rFonts w:ascii="Times New Roman"/>
          <w:b w:val="false"/>
          <w:i/>
          <w:color w:val="000000"/>
          <w:sz w:val="28"/>
        </w:rPr>
        <w:t>i</w:t>
      </w:r>
      <w:r>
        <w:rPr>
          <w:rFonts w:ascii="Times New Roman"/>
          <w:b w:val="false"/>
          <w:i w:val="false"/>
          <w:color w:val="000000"/>
          <w:sz w:val="28"/>
        </w:rPr>
        <w:t>-й связи, м.</w:t>
      </w:r>
    </w:p>
    <w:bookmarkStart w:name="z3510" w:id="3526"/>
    <w:p>
      <w:pPr>
        <w:spacing w:after="0"/>
        <w:ind w:left="0"/>
        <w:jc w:val="both"/>
      </w:pPr>
      <w:r>
        <w:rPr>
          <w:rFonts w:ascii="Times New Roman"/>
          <w:b w:val="false"/>
          <w:i w:val="false"/>
          <w:color w:val="000000"/>
          <w:sz w:val="28"/>
        </w:rPr>
        <w:t>
      Добавки к площади поперечного сечения корпуса дока, учитывающие коррозионный износ балок набора, принимается не менее определенных по следующим формулам:</w:t>
      </w:r>
    </w:p>
    <w:bookmarkEnd w:id="3526"/>
    <w:p>
      <w:pPr>
        <w:spacing w:after="0"/>
        <w:ind w:left="0"/>
        <w:jc w:val="both"/>
      </w:pPr>
      <w:r>
        <w:rPr>
          <w:rFonts w:ascii="Times New Roman"/>
          <w:b w:val="false"/>
          <w:i w:val="false"/>
          <w:color w:val="000000"/>
          <w:sz w:val="28"/>
        </w:rPr>
        <w:t>
      для набора из таврового профиля или полосового 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152400" cy="165100"/>
                    </a:xfrm>
                    <a:prstGeom prst="rect">
                      <a:avLst/>
                    </a:prstGeom>
                  </pic:spPr>
                </pic:pic>
              </a:graphicData>
            </a:graphic>
          </wp:inline>
        </w:drawing>
      </w:r>
    </w:p>
    <w:p>
      <w:pPr>
        <w:spacing w:after="0"/>
        <w:ind w:left="0"/>
        <w:jc w:val="both"/>
      </w:pPr>
      <w:r>
        <w:t>[MISSING IMAGE: ,  ]</w:t>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0,1</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0i</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0i</w:t>
      </w:r>
      <w:r>
        <w:rPr>
          <w:rFonts w:ascii="Times New Roman"/>
          <w:b w:val="false"/>
          <w:i w:val="false"/>
          <w:color w:val="000000"/>
          <w:sz w:val="28"/>
        </w:rPr>
        <w:t>)u</w:t>
      </w:r>
      <w:r>
        <w:rPr>
          <w:rFonts w:ascii="Times New Roman"/>
          <w:b w:val="false"/>
          <w:i w:val="false"/>
          <w:color w:val="000000"/>
          <w:vertAlign w:val="subscript"/>
        </w:rPr>
        <w:t>н</w:t>
      </w:r>
      <w:r>
        <w:rPr>
          <w:rFonts w:ascii="Times New Roman"/>
          <w:b w:val="false"/>
          <w:i w:val="false"/>
          <w:color w:val="000000"/>
          <w:vertAlign w:val="subscript"/>
        </w:rPr>
        <w:t>i</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число балок набора в </w:t>
      </w:r>
      <w:r>
        <w:rPr>
          <w:rFonts w:ascii="Times New Roman"/>
          <w:b w:val="false"/>
          <w:i/>
          <w:color w:val="000000"/>
          <w:sz w:val="28"/>
        </w:rPr>
        <w:t>i</w:t>
      </w:r>
      <w:r>
        <w:rPr>
          <w:rFonts w:ascii="Times New Roman"/>
          <w:b w:val="false"/>
          <w:i w:val="false"/>
          <w:color w:val="000000"/>
          <w:sz w:val="28"/>
        </w:rPr>
        <w:t>-й группе;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0i</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0i</w:t>
      </w:r>
      <w:r>
        <w:rPr>
          <w:rFonts w:ascii="Times New Roman"/>
          <w:b w:val="false"/>
          <w:i w:val="false"/>
          <w:color w:val="000000"/>
          <w:sz w:val="28"/>
        </w:rPr>
        <w:t xml:space="preserve"> —ширина пояска и высота стенки тавровой балки, см (для балок из полосового проката </w:t>
      </w:r>
      <w:r>
        <w:rPr>
          <w:rFonts w:ascii="Times New Roman"/>
          <w:b w:val="false"/>
          <w:i/>
          <w:color w:val="000000"/>
          <w:sz w:val="28"/>
        </w:rPr>
        <w:t>b</w:t>
      </w:r>
      <w:r>
        <w:rPr>
          <w:rFonts w:ascii="Times New Roman"/>
          <w:b w:val="false"/>
          <w:i w:val="false"/>
          <w:color w:val="000000"/>
          <w:vertAlign w:val="subscript"/>
        </w:rPr>
        <w:t>0i</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для набора из полособульбового проката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152400" cy="1651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0,86</w:t>
      </w:r>
      <w:r>
        <w:rPr>
          <w:rFonts w:ascii="Times New Roman"/>
          <w:b w:val="false"/>
          <w:i/>
          <w:color w:val="000000"/>
          <w:sz w:val="28"/>
        </w:rPr>
        <w:t>n</w:t>
      </w:r>
      <w:r>
        <w:rPr>
          <w:rFonts w:ascii="Times New Roman"/>
          <w:b w:val="false"/>
          <w:i w:val="false"/>
          <w:color w:val="000000"/>
          <w:vertAlign w:val="subscript"/>
        </w:rPr>
        <w:t>i</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0i</w:t>
      </w:r>
      <w:r>
        <w:rPr>
          <w:rFonts w:ascii="Times New Roman"/>
          <w:b w:val="false"/>
          <w:i w:val="false"/>
          <w:color w:val="000000"/>
          <w:sz w:val="28"/>
        </w:rPr>
        <w:t>u</w:t>
      </w:r>
      <w:r>
        <w:rPr>
          <w:rFonts w:ascii="Times New Roman"/>
          <w:b w:val="false"/>
          <w:i w:val="false"/>
          <w:color w:val="000000"/>
          <w:vertAlign w:val="subscript"/>
        </w:rPr>
        <w:t>нi</w:t>
      </w:r>
      <w:r>
        <w:rPr>
          <w:rFonts w:ascii="Times New Roman"/>
          <w:b w:val="false"/>
          <w:i/>
          <w:color w:val="000000"/>
          <w:sz w:val="28"/>
        </w:rPr>
        <w:t>Т</w:t>
      </w:r>
      <w:r>
        <w:rPr>
          <w:rFonts w:ascii="Times New Roman"/>
          <w:b w:val="false"/>
          <w:i w:val="false"/>
          <w:color w:val="000000"/>
          <w:sz w:val="28"/>
        </w:rPr>
        <w:t>/s</w:t>
      </w:r>
      <w:r>
        <w:rPr>
          <w:rFonts w:ascii="Times New Roman"/>
          <w:b w:val="false"/>
          <w:i w:val="false"/>
          <w:color w:val="000000"/>
          <w:vertAlign w:val="subscript"/>
        </w:rPr>
        <w:t>0i</w:t>
      </w:r>
      <w:r>
        <w:rPr>
          <w:rFonts w:ascii="Times New Roman"/>
          <w:b w:val="false"/>
          <w:i w:val="false"/>
          <w:color w:val="000000"/>
          <w:sz w:val="28"/>
        </w:rPr>
        <w:t>,                 (385)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0i</w:t>
      </w:r>
      <w:r>
        <w:rPr>
          <w:rFonts w:ascii="Times New Roman"/>
          <w:b w:val="false"/>
          <w:i w:val="false"/>
          <w:color w:val="000000"/>
          <w:sz w:val="28"/>
        </w:rPr>
        <w:t xml:space="preserve"> — площадь сечения изолированного полособульбового профиля,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нi</w:t>
      </w:r>
      <w:r>
        <w:rPr>
          <w:rFonts w:ascii="Times New Roman"/>
          <w:b w:val="false"/>
          <w:i w:val="false"/>
          <w:color w:val="000000"/>
          <w:sz w:val="28"/>
        </w:rPr>
        <w:t xml:space="preserve"> —скорость коррозионного изнашивания балок набора </w:t>
      </w:r>
      <w:r>
        <w:rPr>
          <w:rFonts w:ascii="Times New Roman"/>
          <w:b w:val="false"/>
          <w:i/>
          <w:color w:val="000000"/>
          <w:sz w:val="28"/>
        </w:rPr>
        <w:t>i</w:t>
      </w:r>
      <w:r>
        <w:rPr>
          <w:rFonts w:ascii="Times New Roman"/>
          <w:b w:val="false"/>
          <w:i w:val="false"/>
          <w:color w:val="000000"/>
          <w:sz w:val="28"/>
        </w:rPr>
        <w:t>-й группы, мм/год;</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0i</w:t>
      </w:r>
      <w:r>
        <w:rPr>
          <w:rFonts w:ascii="Times New Roman"/>
          <w:b w:val="false"/>
          <w:i w:val="false"/>
          <w:color w:val="000000"/>
          <w:sz w:val="28"/>
        </w:rPr>
        <w:t xml:space="preserve"> — толщина стенки полособульба;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множитель, учитывающий влияние изменения площади сечения </w:t>
      </w:r>
      <w:r>
        <w:rPr>
          <w:rFonts w:ascii="Times New Roman"/>
          <w:b w:val="false"/>
          <w:i/>
          <w:color w:val="000000"/>
          <w:sz w:val="28"/>
        </w:rPr>
        <w:t>i</w:t>
      </w:r>
      <w:r>
        <w:rPr>
          <w:rFonts w:ascii="Times New Roman"/>
          <w:b w:val="false"/>
          <w:i w:val="false"/>
          <w:color w:val="000000"/>
          <w:sz w:val="28"/>
        </w:rPr>
        <w:t xml:space="preserve">-го элемента на момент сопротивления </w:t>
      </w:r>
      <w:r>
        <w:rPr>
          <w:rFonts w:ascii="Times New Roman"/>
          <w:b w:val="false"/>
          <w:i/>
          <w:color w:val="000000"/>
          <w:sz w:val="28"/>
        </w:rPr>
        <w:t>W</w:t>
      </w:r>
      <w:r>
        <w:rPr>
          <w:rFonts w:ascii="Times New Roman"/>
          <w:b w:val="false"/>
          <w:i w:val="false"/>
          <w:color w:val="000000"/>
          <w:sz w:val="28"/>
        </w:rPr>
        <w:t>,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c</w:t>
      </w:r>
    </w:p>
    <w:p>
      <w:pPr>
        <w:spacing w:after="0"/>
        <w:ind w:left="0"/>
        <w:jc w:val="both"/>
      </w:pPr>
      <w:r>
        <w:drawing>
          <wp:inline distT="0" distB="0" distL="0" distR="0">
            <wp:extent cx="8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889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F/I</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i</w:t>
      </w:r>
      <w:r>
        <w:rPr>
          <w:rFonts w:ascii="Times New Roman"/>
          <w:b w:val="false"/>
          <w:i w:val="false"/>
          <w:color w:val="000000"/>
          <w:sz w:val="28"/>
        </w:rPr>
        <w:t>/z</w:t>
      </w:r>
      <w:r>
        <w:rPr>
          <w:rFonts w:ascii="Times New Roman"/>
          <w:b w:val="false"/>
          <w:i w:val="false"/>
          <w:color w:val="000000"/>
          <w:vertAlign w:val="subscript"/>
        </w:rPr>
        <w:t>0</w:t>
      </w:r>
      <w:r>
        <w:rPr>
          <w:rFonts w:ascii="Times New Roman"/>
          <w:b w:val="false"/>
          <w:i w:val="false"/>
          <w:color w:val="000000"/>
          <w:sz w:val="28"/>
        </w:rPr>
        <w:t xml:space="preserve"> ,                (386)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 момент инерции поперечного сечения корпуса, см</w:t>
      </w:r>
      <w:r>
        <w:rPr>
          <w:rFonts w:ascii="Times New Roman"/>
          <w:b w:val="false"/>
          <w:i w:val="false"/>
          <w:color w:val="000000"/>
          <w:vertAlign w:val="superscript"/>
        </w:rPr>
        <w:t>2</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 дока, соответствующий требуемому моменту сопротивления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 отстояние точки, на уровне которой определяется момент сопротивления, и центра тяжести площади сечения </w:t>
      </w:r>
      <w:r>
        <w:rPr>
          <w:rFonts w:ascii="Times New Roman"/>
          <w:b w:val="false"/>
          <w:i/>
          <w:color w:val="000000"/>
          <w:sz w:val="28"/>
        </w:rPr>
        <w:t>i</w:t>
      </w:r>
      <w:r>
        <w:rPr>
          <w:rFonts w:ascii="Times New Roman"/>
          <w:b w:val="false"/>
          <w:i w:val="false"/>
          <w:color w:val="000000"/>
          <w:sz w:val="28"/>
        </w:rPr>
        <w:t>-й связи (</w:t>
      </w:r>
      <w:r>
        <w:rPr>
          <w:rFonts w:ascii="Times New Roman"/>
          <w:b w:val="false"/>
          <w:i/>
          <w:color w:val="000000"/>
          <w:sz w:val="28"/>
        </w:rPr>
        <w:t>i</w:t>
      </w:r>
      <w:r>
        <w:rPr>
          <w:rFonts w:ascii="Times New Roman"/>
          <w:b w:val="false"/>
          <w:i w:val="false"/>
          <w:color w:val="000000"/>
          <w:sz w:val="28"/>
        </w:rPr>
        <w:t xml:space="preserve">-й группы продольных балок) от нейтральной оси, положение которой соответствует </w:t>
      </w:r>
      <w:r>
        <w:rPr>
          <w:rFonts w:ascii="Times New Roman"/>
          <w:b w:val="false"/>
          <w:i/>
          <w:color w:val="000000"/>
          <w:sz w:val="28"/>
        </w:rPr>
        <w:t>W</w:t>
      </w:r>
      <w:r>
        <w:rPr>
          <w:rFonts w:ascii="Times New Roman"/>
          <w:b w:val="false"/>
          <w:i w:val="false"/>
          <w:color w:val="000000"/>
          <w:sz w:val="28"/>
        </w:rPr>
        <w:t xml:space="preserve"> и </w:t>
      </w:r>
      <w:r>
        <w:rPr>
          <w:rFonts w:ascii="Times New Roman"/>
          <w:b w:val="false"/>
          <w:i/>
          <w:color w:val="000000"/>
          <w:sz w:val="28"/>
        </w:rPr>
        <w:t>I</w:t>
      </w:r>
      <w:r>
        <w:rPr>
          <w:rFonts w:ascii="Times New Roman"/>
          <w:b w:val="false"/>
          <w:i w:val="false"/>
          <w:color w:val="000000"/>
          <w:sz w:val="28"/>
        </w:rPr>
        <w:t>. При определении z</w:t>
      </w:r>
      <w:r>
        <w:rPr>
          <w:rFonts w:ascii="Times New Roman"/>
          <w:b w:val="false"/>
          <w:i w:val="false"/>
          <w:color w:val="000000"/>
          <w:vertAlign w:val="subscript"/>
        </w:rPr>
        <w:t>0</w:t>
      </w:r>
      <w:r>
        <w:rPr>
          <w:rFonts w:ascii="Times New Roman"/>
          <w:b w:val="false"/>
          <w:i w:val="false"/>
          <w:color w:val="000000"/>
          <w:sz w:val="28"/>
        </w:rPr>
        <w:t xml:space="preserve"> и с</w:t>
      </w:r>
      <w:r>
        <w:rPr>
          <w:rFonts w:ascii="Times New Roman"/>
          <w:b w:val="false"/>
          <w:i w:val="false"/>
          <w:color w:val="000000"/>
          <w:vertAlign w:val="subscript"/>
        </w:rPr>
        <w:t>i</w:t>
      </w:r>
      <w:r>
        <w:rPr>
          <w:rFonts w:ascii="Times New Roman"/>
          <w:b w:val="false"/>
          <w:i w:val="false"/>
          <w:color w:val="000000"/>
          <w:sz w:val="28"/>
        </w:rPr>
        <w:t xml:space="preserve"> учитывается их знак: положительные вниз и отрицательные — вверх от нейтральной оси;</w:t>
      </w:r>
    </w:p>
    <w:bookmarkStart w:name="z3511" w:id="3527"/>
    <w:p>
      <w:pPr>
        <w:spacing w:after="0"/>
        <w:ind w:left="0"/>
        <w:jc w:val="both"/>
      </w:pPr>
      <w:r>
        <w:rPr>
          <w:rFonts w:ascii="Times New Roman"/>
          <w:b w:val="false"/>
          <w:i w:val="false"/>
          <w:color w:val="000000"/>
          <w:sz w:val="28"/>
        </w:rPr>
        <w:t>
      2) в расчетное поперечное сечение корпуса монолитного плавучего дока включаются продольные связи башен и понтона, непрерывные в средней части дока.</w:t>
      </w:r>
    </w:p>
    <w:bookmarkEnd w:id="3527"/>
    <w:bookmarkStart w:name="z3512" w:id="3528"/>
    <w:p>
      <w:pPr>
        <w:spacing w:after="0"/>
        <w:ind w:left="0"/>
        <w:jc w:val="both"/>
      </w:pPr>
      <w:r>
        <w:rPr>
          <w:rFonts w:ascii="Times New Roman"/>
          <w:b w:val="false"/>
          <w:i w:val="false"/>
          <w:color w:val="000000"/>
          <w:sz w:val="28"/>
        </w:rPr>
        <w:t>
      В расчетное поперечное сечение корпуса понтонного дока включаются продольные связи башен, непрерывные в средней части дока;</w:t>
      </w:r>
    </w:p>
    <w:bookmarkEnd w:id="3528"/>
    <w:bookmarkStart w:name="z3513" w:id="3529"/>
    <w:p>
      <w:pPr>
        <w:spacing w:after="0"/>
        <w:ind w:left="0"/>
        <w:jc w:val="both"/>
      </w:pPr>
      <w:r>
        <w:rPr>
          <w:rFonts w:ascii="Times New Roman"/>
          <w:b w:val="false"/>
          <w:i w:val="false"/>
          <w:color w:val="000000"/>
          <w:sz w:val="28"/>
        </w:rPr>
        <w:t>
      3) расчетный изгибающий момент М, кН•м, определяют для случаев, указанных в пункте 866, по формуле:</w:t>
      </w:r>
    </w:p>
    <w:bookmarkEnd w:id="352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 0,125</w:t>
      </w:r>
      <w:r>
        <w:rPr>
          <w:rFonts w:ascii="Times New Roman"/>
          <w:b w:val="false"/>
          <w:i/>
          <w:color w:val="000000"/>
          <w:sz w:val="28"/>
        </w:rPr>
        <w:t>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w:t>
      </w:r>
    </w:p>
    <w:p>
      <w:pPr>
        <w:spacing w:after="0"/>
        <w:ind w:left="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723900" cy="482600"/>
                    </a:xfrm>
                    <a:prstGeom prst="rect">
                      <a:avLst/>
                    </a:prstGeom>
                  </pic:spPr>
                </pic:pic>
              </a:graphicData>
            </a:graphic>
          </wp:inline>
        </w:drawing>
      </w:r>
    </w:p>
    <w:p>
      <w:pPr>
        <w:spacing w:after="0"/>
        <w:ind w:left="0"/>
        <w:jc w:val="left"/>
      </w:pPr>
      <w:r>
        <w:rPr>
          <w:rFonts w:ascii="Times New Roman"/>
          <w:b w:val="false"/>
          <w:i w:val="false"/>
          <w:color w:val="000000"/>
          <w:sz w:val="28"/>
        </w:rPr>
        <w:t>).            (387)</w:t>
      </w:r>
      <w:r>
        <w:br/>
      </w:r>
      <w:r>
        <w:rPr>
          <w:rFonts w:ascii="Times New Roman"/>
          <w:b w:val="false"/>
          <w:i w:val="false"/>
          <w:color w:val="000000"/>
          <w:sz w:val="28"/>
        </w:rPr>
        <w:t>
</w:t>
      </w:r>
    </w:p>
    <w:bookmarkStart w:name="z3514" w:id="3530"/>
    <w:p>
      <w:pPr>
        <w:spacing w:after="0"/>
        <w:ind w:left="0"/>
        <w:jc w:val="both"/>
      </w:pPr>
      <w:r>
        <w:rPr>
          <w:rFonts w:ascii="Times New Roman"/>
          <w:b w:val="false"/>
          <w:i w:val="false"/>
          <w:color w:val="000000"/>
          <w:sz w:val="28"/>
        </w:rPr>
        <w:t xml:space="preserve">
      Рекомендации по выбору расчетных значений </w:t>
      </w:r>
    </w:p>
    <w:bookmarkEnd w:id="3530"/>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даны в подпункте 2) пункта 866 настоящих Правил;</w:t>
      </w:r>
      <w:r>
        <w:br/>
      </w:r>
      <w:r>
        <w:rPr>
          <w:rFonts w:ascii="Times New Roman"/>
          <w:b w:val="false"/>
          <w:i w:val="false"/>
          <w:color w:val="000000"/>
          <w:sz w:val="28"/>
        </w:rPr>
        <w:t>
</w:t>
      </w:r>
    </w:p>
    <w:bookmarkStart w:name="z3515" w:id="3531"/>
    <w:p>
      <w:pPr>
        <w:spacing w:after="0"/>
        <w:ind w:left="0"/>
        <w:jc w:val="both"/>
      </w:pPr>
      <w:r>
        <w:rPr>
          <w:rFonts w:ascii="Times New Roman"/>
          <w:b w:val="false"/>
          <w:i w:val="false"/>
          <w:color w:val="000000"/>
          <w:sz w:val="28"/>
        </w:rPr>
        <w:t xml:space="preserve">
      4) коэффициент </w:t>
      </w:r>
    </w:p>
    <w:bookmarkEnd w:id="353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допускаемых напряжений от общего продольного изгиба в формуле (381) настоящих Правил принимают равным 1,0;</w:t>
      </w:r>
      <w:r>
        <w:br/>
      </w:r>
      <w:r>
        <w:rPr>
          <w:rFonts w:ascii="Times New Roman"/>
          <w:b w:val="false"/>
          <w:i w:val="false"/>
          <w:color w:val="000000"/>
          <w:sz w:val="28"/>
        </w:rPr>
        <w:t>
</w:t>
      </w:r>
    </w:p>
    <w:bookmarkStart w:name="z3516" w:id="3532"/>
    <w:p>
      <w:pPr>
        <w:spacing w:after="0"/>
        <w:ind w:left="0"/>
        <w:jc w:val="both"/>
      </w:pPr>
      <w:r>
        <w:rPr>
          <w:rFonts w:ascii="Times New Roman"/>
          <w:b w:val="false"/>
          <w:i w:val="false"/>
          <w:color w:val="000000"/>
          <w:sz w:val="28"/>
        </w:rPr>
        <w:t>
      5) для монолитных доков выполняется условие:</w:t>
      </w:r>
    </w:p>
    <w:bookmarkEnd w:id="3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напряжения в главных продольных связях понтона от общего продольного изгиба дока;</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напряжения в главных продольных связях понтона от общего изгиба понтона.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Напряжения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МПа, следует определять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1 = 10</w:t>
      </w:r>
      <w:r>
        <w:rPr>
          <w:rFonts w:ascii="Times New Roman"/>
          <w:b w:val="false"/>
          <w:i w:val="false"/>
          <w:color w:val="000000"/>
          <w:vertAlign w:val="superscript"/>
        </w:rPr>
        <w:t>5</w:t>
      </w:r>
      <w:r>
        <w:rPr>
          <w:rFonts w:ascii="Times New Roman"/>
          <w:b w:val="false"/>
          <w:i/>
          <w:color w:val="000000"/>
          <w:sz w:val="28"/>
        </w:rPr>
        <w:t>Мz/I'</w:t>
      </w:r>
      <w:r>
        <w:rPr>
          <w:rFonts w:ascii="Times New Roman"/>
          <w:b w:val="false"/>
          <w:i w:val="false"/>
          <w:color w:val="000000"/>
          <w:sz w:val="28"/>
        </w:rPr>
        <w:t>,                 (388)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sz w:val="28"/>
        </w:rPr>
        <w:t xml:space="preserve"> — подпункт 3)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отстояние рассматриваемой точки от нейтральной оси дока,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момент инерции поперечного сечения к концу срока службы дока,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Напряжения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МПа, определяются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10</w:t>
      </w:r>
      <w:r>
        <w:rPr>
          <w:rFonts w:ascii="Times New Roman"/>
          <w:b w:val="false"/>
          <w:i w:val="false"/>
          <w:color w:val="000000"/>
          <w:vertAlign w:val="superscript"/>
        </w:rPr>
        <w:t>5</w:t>
      </w:r>
      <w:r>
        <w:rPr>
          <w:rFonts w:ascii="Times New Roman"/>
          <w:b w:val="false"/>
          <w:i/>
          <w:color w:val="000000"/>
          <w:sz w:val="28"/>
        </w:rPr>
        <w:t>М</w:t>
      </w:r>
      <w:r>
        <w:rPr>
          <w:rFonts w:ascii="Times New Roman"/>
          <w:b w:val="false"/>
          <w:i w:val="false"/>
          <w:color w:val="000000"/>
          <w:vertAlign w:val="subscript"/>
        </w:rPr>
        <w:t>у</w:t>
      </w:r>
      <w:r>
        <w:rPr>
          <w:rFonts w:ascii="Times New Roman"/>
          <w:b w:val="false"/>
          <w:i/>
          <w:color w:val="000000"/>
          <w:sz w:val="28"/>
        </w:rPr>
        <w:t>z'</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у</w:t>
      </w:r>
      <w:r>
        <w:rPr>
          <w:rFonts w:ascii="Times New Roman"/>
          <w:b w:val="false"/>
          <w:i w:val="false"/>
          <w:color w:val="000000"/>
          <w:sz w:val="28"/>
        </w:rPr>
        <w:t>,                  (389)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y</w:t>
      </w:r>
      <w:r>
        <w:rPr>
          <w:rFonts w:ascii="Times New Roman"/>
          <w:b w:val="false"/>
          <w:i w:val="false"/>
          <w:color w:val="000000"/>
          <w:sz w:val="28"/>
        </w:rPr>
        <w:t xml:space="preserve"> — подпункт 6) пункта 871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 отстояние рассматриваемой точки от нейтральной оси сечения главной продольной связи,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у</w:t>
      </w:r>
      <w:r>
        <w:rPr>
          <w:rFonts w:ascii="Times New Roman"/>
          <w:b w:val="false"/>
          <w:i w:val="false"/>
          <w:color w:val="000000"/>
          <w:sz w:val="28"/>
        </w:rPr>
        <w:t xml:space="preserve"> — момент инерции поперечного сечения главных продольных связей, определяемый с учетом износа элементов связей к концу срока службы дока и указаний в подпункте 4) пункта 871 настоящих Правил, см</w:t>
      </w:r>
      <w:r>
        <w:rPr>
          <w:rFonts w:ascii="Times New Roman"/>
          <w:b w:val="false"/>
          <w:i w:val="false"/>
          <w:color w:val="000000"/>
          <w:vertAlign w:val="superscript"/>
        </w:rPr>
        <w:t>4</w:t>
      </w:r>
      <w:r>
        <w:rPr>
          <w:rFonts w:ascii="Times New Roman"/>
          <w:b w:val="false"/>
          <w:i w:val="false"/>
          <w:color w:val="000000"/>
          <w:sz w:val="28"/>
        </w:rPr>
        <w:t>;</w:t>
      </w:r>
    </w:p>
    <w:bookmarkStart w:name="z3517" w:id="3533"/>
    <w:p>
      <w:pPr>
        <w:spacing w:after="0"/>
        <w:ind w:left="0"/>
        <w:jc w:val="both"/>
      </w:pPr>
      <w:r>
        <w:rPr>
          <w:rFonts w:ascii="Times New Roman"/>
          <w:b w:val="false"/>
          <w:i w:val="false"/>
          <w:color w:val="000000"/>
          <w:sz w:val="28"/>
        </w:rPr>
        <w:t>
      6) при проектировании конструкций корпуса дока в средней части на длине 0,4</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выполняют требования к устойчивости при общем продольном изгибе листовых элементов и продольных балок основного и рамного набора:</w:t>
      </w:r>
    </w:p>
    <w:bookmarkEnd w:id="3533"/>
    <w:bookmarkStart w:name="z3518" w:id="3534"/>
    <w:p>
      <w:pPr>
        <w:spacing w:after="0"/>
        <w:ind w:left="0"/>
        <w:jc w:val="both"/>
      </w:pPr>
      <w:r>
        <w:rPr>
          <w:rFonts w:ascii="Times New Roman"/>
          <w:b w:val="false"/>
          <w:i w:val="false"/>
          <w:color w:val="000000"/>
          <w:sz w:val="28"/>
        </w:rPr>
        <w:t>
      стенок и настилов палуб башен понтонных и монолитных доков;</w:t>
      </w:r>
    </w:p>
    <w:bookmarkEnd w:id="3534"/>
    <w:bookmarkStart w:name="z3519" w:id="3535"/>
    <w:p>
      <w:pPr>
        <w:spacing w:after="0"/>
        <w:ind w:left="0"/>
        <w:jc w:val="both"/>
      </w:pPr>
      <w:r>
        <w:rPr>
          <w:rFonts w:ascii="Times New Roman"/>
          <w:b w:val="false"/>
          <w:i w:val="false"/>
          <w:color w:val="000000"/>
          <w:sz w:val="28"/>
        </w:rPr>
        <w:t>
      наружной обшивки, полотнищ продольных переборок понтона и настила стапель-палубы монолитных доков;</w:t>
      </w:r>
    </w:p>
    <w:bookmarkEnd w:id="3535"/>
    <w:bookmarkStart w:name="z3520" w:id="3536"/>
    <w:p>
      <w:pPr>
        <w:spacing w:after="0"/>
        <w:ind w:left="0"/>
        <w:jc w:val="both"/>
      </w:pPr>
      <w:r>
        <w:rPr>
          <w:rFonts w:ascii="Times New Roman"/>
          <w:b w:val="false"/>
          <w:i w:val="false"/>
          <w:color w:val="000000"/>
          <w:sz w:val="28"/>
        </w:rPr>
        <w:t>
      обшивки днища башен понтонных доков.</w:t>
      </w:r>
    </w:p>
    <w:bookmarkEnd w:id="3536"/>
    <w:bookmarkStart w:name="z3521" w:id="3537"/>
    <w:p>
      <w:pPr>
        <w:spacing w:after="0"/>
        <w:ind w:left="0"/>
        <w:jc w:val="both"/>
      </w:pPr>
      <w:r>
        <w:rPr>
          <w:rFonts w:ascii="Times New Roman"/>
          <w:b w:val="false"/>
          <w:i w:val="false"/>
          <w:color w:val="000000"/>
          <w:sz w:val="28"/>
        </w:rPr>
        <w:t>
      Размеры бимсов топ-палубы при поперечной системе набора, рамных бимсов топ-палубы при продольной системе набора достаточны для обеспечения устойчивости участков палубных конструкций между карлингсами, карлингсами и стенками башен или между стенками башен при отсутствии карлингсов;</w:t>
      </w:r>
    </w:p>
    <w:bookmarkEnd w:id="3537"/>
    <w:bookmarkStart w:name="z3522" w:id="3538"/>
    <w:p>
      <w:pPr>
        <w:spacing w:after="0"/>
        <w:ind w:left="0"/>
        <w:jc w:val="both"/>
      </w:pPr>
      <w:r>
        <w:rPr>
          <w:rFonts w:ascii="Times New Roman"/>
          <w:b w:val="false"/>
          <w:i w:val="false"/>
          <w:color w:val="000000"/>
          <w:sz w:val="28"/>
        </w:rPr>
        <w:t xml:space="preserve">
      7) расчетные сжимающие напряжения </w:t>
      </w:r>
    </w:p>
    <w:bookmarkEnd w:id="3538"/>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МПа, при проверке устойчивости не менее определяемых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сi</w:t>
      </w:r>
      <w:r>
        <w:rPr>
          <w:rFonts w:ascii="Times New Roman"/>
          <w:b w:val="false"/>
          <w:i w:val="false"/>
          <w:color w:val="000000"/>
          <w:sz w:val="28"/>
        </w:rPr>
        <w:t xml:space="preserve"> = </w:t>
      </w:r>
    </w:p>
    <w:p>
      <w:pPr>
        <w:spacing w:after="0"/>
        <w:ind w:left="0"/>
        <w:jc w:val="both"/>
      </w:pPr>
      <w:r>
        <w:drawing>
          <wp:inline distT="0" distB="0" distL="0" distR="0">
            <wp:extent cx="673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673100" cy="431800"/>
                    </a:xfrm>
                    <a:prstGeom prst="rect">
                      <a:avLst/>
                    </a:prstGeom>
                  </pic:spPr>
                </pic:pic>
              </a:graphicData>
            </a:graphic>
          </wp:inline>
        </w:drawing>
      </w:r>
    </w:p>
    <w:p>
      <w:pPr>
        <w:spacing w:after="0"/>
        <w:ind w:left="0"/>
        <w:jc w:val="left"/>
      </w:pPr>
      <w:r>
        <w:rPr>
          <w:rFonts w:ascii="Times New Roman"/>
          <w:b w:val="false"/>
          <w:i w:val="false"/>
          <w:color w:val="000000"/>
          <w:sz w:val="28"/>
        </w:rPr>
        <w:t>,                     (390)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sz w:val="28"/>
        </w:rPr>
        <w:t xml:space="preserve"> — расчетный изгибающий момент, вызывающий сжатие рассматриваемой связи </w:t>
      </w:r>
      <w:r>
        <w:rPr>
          <w:rFonts w:ascii="Times New Roman"/>
          <w:b w:val="false"/>
          <w:i/>
          <w:color w:val="000000"/>
          <w:sz w:val="28"/>
        </w:rPr>
        <w:t>i</w:t>
      </w:r>
      <w:r>
        <w:rPr>
          <w:rFonts w:ascii="Times New Roman"/>
          <w:b w:val="false"/>
          <w:i w:val="false"/>
          <w:color w:val="000000"/>
          <w:sz w:val="28"/>
        </w:rPr>
        <w:t>; (подпункт 3) пункта 872 настоящих Правил),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фактический центральный момент инерции поперечного сечения эквивалентного бруса с учетом износа к концу срока службы дока, см</w:t>
      </w:r>
      <w:r>
        <w:rPr>
          <w:rFonts w:ascii="Times New Roman"/>
          <w:b w:val="false"/>
          <w:i w:val="false"/>
          <w:color w:val="000000"/>
          <w:vertAlign w:val="superscript"/>
        </w:rPr>
        <w:t>4</w:t>
      </w:r>
      <w:r>
        <w:rPr>
          <w:rFonts w:ascii="Times New Roman"/>
          <w:b w:val="false"/>
          <w:i w:val="false"/>
          <w:color w:val="000000"/>
          <w:sz w:val="28"/>
        </w:rPr>
        <w:t>;</w:t>
      </w:r>
    </w:p>
    <w:bookmarkStart w:name="z3523" w:id="3539"/>
    <w:p>
      <w:pPr>
        <w:spacing w:after="0"/>
        <w:ind w:left="0"/>
        <w:jc w:val="both"/>
      </w:pPr>
      <w:r>
        <w:rPr>
          <w:rFonts w:ascii="Times New Roman"/>
          <w:b w:val="false"/>
          <w:i w:val="false"/>
          <w:color w:val="000000"/>
          <w:sz w:val="28"/>
        </w:rPr>
        <w:t xml:space="preserve">
      В первом приближении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может быть определен по формуле:</w:t>
      </w:r>
    </w:p>
    <w:bookmarkEnd w:id="353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е)•10</w:t>
      </w:r>
      <w:r>
        <w:rPr>
          <w:rFonts w:ascii="Times New Roman"/>
          <w:b w:val="false"/>
          <w:i w:val="false"/>
          <w:color w:val="000000"/>
          <w:vertAlign w:val="superscript"/>
        </w:rPr>
        <w:t>2</w:t>
      </w:r>
      <w:r>
        <w:rPr>
          <w:rFonts w:ascii="Times New Roman"/>
          <w:b w:val="false"/>
          <w:i w:val="false"/>
          <w:color w:val="000000"/>
          <w:sz w:val="28"/>
        </w:rPr>
        <w:t xml:space="preserve"> ,             (391)</w:t>
      </w:r>
      <w:r>
        <w:br/>
      </w:r>
      <w:r>
        <w:rPr>
          <w:rFonts w:ascii="Times New Roman"/>
          <w:b w:val="false"/>
          <w:i w:val="false"/>
          <w:color w:val="000000"/>
          <w:sz w:val="28"/>
        </w:rPr>
        <w:t>
</w:t>
      </w:r>
      <w:r>
        <w:br/>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требуемый момент сопротивления поперечного сечения эквивалентного бруса на уровне нижней кромки настила топ-палубы, определяемый согласно требованиям пункта (подпункт 1) пункта 872 настоящих Правил), см</w:t>
      </w:r>
      <w:r>
        <w:rPr>
          <w:rFonts w:ascii="Times New Roman"/>
          <w:b w:val="false"/>
          <w:i w:val="false"/>
          <w:color w:val="000000"/>
          <w:vertAlign w:val="superscript"/>
        </w:rPr>
        <w:t>3</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sz w:val="28"/>
        </w:rPr>
        <w:t xml:space="preserve"> — высота башен (для понтонных доков), 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sz w:val="28"/>
        </w:rPr>
        <w:t xml:space="preserve"> = D — для монолитных доков;</w:t>
      </w:r>
    </w:p>
    <w:p>
      <w:pPr>
        <w:spacing w:after="0"/>
        <w:ind w:left="0"/>
        <w:jc w:val="both"/>
      </w:pPr>
      <w:r>
        <w:rPr>
          <w:rFonts w:ascii="Times New Roman"/>
          <w:b w:val="false"/>
          <w:i w:val="false"/>
          <w:color w:val="000000"/>
          <w:sz w:val="28"/>
        </w:rPr>
        <w:t>
      е — отстояние нейтральной оси от основной плоскости — для монолитных доков и отстояние нейтральной оси от линии притыкания стапель-палубы к внутренним стенкам башен — для понтонных доков, м.</w:t>
      </w:r>
    </w:p>
    <w:bookmarkStart w:name="z3524" w:id="3540"/>
    <w:p>
      <w:pPr>
        <w:spacing w:after="0"/>
        <w:ind w:left="0"/>
        <w:jc w:val="both"/>
      </w:pPr>
      <w:r>
        <w:rPr>
          <w:rFonts w:ascii="Times New Roman"/>
          <w:b w:val="false"/>
          <w:i w:val="false"/>
          <w:color w:val="000000"/>
          <w:sz w:val="28"/>
        </w:rPr>
        <w:t>
      В первом приближении можно принять:</w:t>
      </w:r>
    </w:p>
    <w:bookmarkEnd w:id="3540"/>
    <w:p>
      <w:pPr>
        <w:spacing w:after="0"/>
        <w:ind w:left="0"/>
        <w:jc w:val="both"/>
      </w:pPr>
      <w:r>
        <w:rPr>
          <w:rFonts w:ascii="Times New Roman"/>
          <w:b w:val="false"/>
          <w:i w:val="false"/>
          <w:color w:val="000000"/>
          <w:sz w:val="28"/>
        </w:rPr>
        <w:t>
      е = 0,32D — для монолитных доков;</w:t>
      </w:r>
    </w:p>
    <w:p>
      <w:pPr>
        <w:spacing w:after="0"/>
        <w:ind w:left="0"/>
        <w:jc w:val="both"/>
      </w:pPr>
      <w:r>
        <w:rPr>
          <w:rFonts w:ascii="Times New Roman"/>
          <w:b w:val="false"/>
          <w:i w:val="false"/>
          <w:color w:val="000000"/>
          <w:sz w:val="28"/>
        </w:rPr>
        <w:t>
      е = 0,5D — для понтонных доков.</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отстояние рассматриваемой связи от нейтральной оси, м (z</w:t>
      </w:r>
      <w:r>
        <w:rPr>
          <w:rFonts w:ascii="Times New Roman"/>
          <w:b w:val="false"/>
          <w:i w:val="false"/>
          <w:color w:val="000000"/>
          <w:vertAlign w:val="subscript"/>
        </w:rPr>
        <w:t>i</w:t>
      </w:r>
      <w:r>
        <w:rPr>
          <w:rFonts w:ascii="Times New Roman"/>
          <w:b w:val="false"/>
          <w:i w:val="false"/>
          <w:color w:val="000000"/>
          <w:sz w:val="28"/>
        </w:rPr>
        <w:t xml:space="preserve"> измеряется следующим образом: для листового элемента — от кромки наиболее удаленной от нейтральной оси; для балочного элемента палубы и днищевой обшивки — от середины толщины присоединенного пояска; для балочного элемента стенки башни, бортовой обшивки и продольной переборки понтона — от середины толщины стенки балки);</w:t>
      </w:r>
    </w:p>
    <w:bookmarkStart w:name="z3525" w:id="3541"/>
    <w:p>
      <w:pPr>
        <w:spacing w:after="0"/>
        <w:ind w:left="0"/>
        <w:jc w:val="both"/>
      </w:pPr>
      <w:r>
        <w:rPr>
          <w:rFonts w:ascii="Times New Roman"/>
          <w:b w:val="false"/>
          <w:i w:val="false"/>
          <w:color w:val="000000"/>
          <w:sz w:val="28"/>
        </w:rPr>
        <w:t xml:space="preserve">
      8) условия устойчивости соответствуют пунктам 253 и 254 настоящих Правил. При этом коэффициент </w:t>
      </w:r>
      <w:r>
        <w:rPr>
          <w:rFonts w:ascii="Times New Roman"/>
          <w:b w:val="false"/>
          <w:i/>
          <w:color w:val="000000"/>
          <w:sz w:val="28"/>
        </w:rPr>
        <w:t>k</w:t>
      </w:r>
      <w:r>
        <w:rPr>
          <w:rFonts w:ascii="Times New Roman"/>
          <w:b w:val="false"/>
          <w:i w:val="false"/>
          <w:color w:val="000000"/>
          <w:sz w:val="28"/>
        </w:rPr>
        <w:t xml:space="preserve"> в формуле (66) настоящих Правил следует принять 0,8 для настила топ-палубы и стенок башен;</w:t>
      </w:r>
    </w:p>
    <w:bookmarkEnd w:id="3541"/>
    <w:bookmarkStart w:name="z3526" w:id="3542"/>
    <w:p>
      <w:pPr>
        <w:spacing w:after="0"/>
        <w:ind w:left="0"/>
        <w:jc w:val="both"/>
      </w:pPr>
      <w:r>
        <w:rPr>
          <w:rFonts w:ascii="Times New Roman"/>
          <w:b w:val="false"/>
          <w:i w:val="false"/>
          <w:color w:val="000000"/>
          <w:sz w:val="28"/>
        </w:rPr>
        <w:t>
      для днищевой и бортовой обшивки понтона и настила стапель-палубы монолитных доков;</w:t>
      </w:r>
    </w:p>
    <w:bookmarkEnd w:id="3542"/>
    <w:bookmarkStart w:name="z3527" w:id="3543"/>
    <w:p>
      <w:pPr>
        <w:spacing w:after="0"/>
        <w:ind w:left="0"/>
        <w:jc w:val="both"/>
      </w:pPr>
      <w:r>
        <w:rPr>
          <w:rFonts w:ascii="Times New Roman"/>
          <w:b w:val="false"/>
          <w:i w:val="false"/>
          <w:color w:val="000000"/>
          <w:sz w:val="28"/>
        </w:rPr>
        <w:t>
      для продольных балок основного и рамного набора;</w:t>
      </w:r>
    </w:p>
    <w:bookmarkEnd w:id="3543"/>
    <w:bookmarkStart w:name="z3528" w:id="3544"/>
    <w:p>
      <w:pPr>
        <w:spacing w:after="0"/>
        <w:ind w:left="0"/>
        <w:jc w:val="both"/>
      </w:pPr>
      <w:r>
        <w:rPr>
          <w:rFonts w:ascii="Times New Roman"/>
          <w:b w:val="false"/>
          <w:i w:val="false"/>
          <w:color w:val="000000"/>
          <w:sz w:val="28"/>
        </w:rPr>
        <w:t xml:space="preserve">
      ) эйлеровы напряжения для листовых элементов определяются согласно пункту 256 настоящих Правил, а для продольных балок основного и рамного набора — согласно пункту 255 настоящих Правил, принимая s' = s — </w:t>
      </w:r>
    </w:p>
    <w:bookmarkEnd w:id="3544"/>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s,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s определяется согласно пункту 858 настоящих Правил;</w:t>
      </w:r>
      <w:r>
        <w:br/>
      </w:r>
      <w:r>
        <w:rPr>
          <w:rFonts w:ascii="Times New Roman"/>
          <w:b w:val="false"/>
          <w:i w:val="false"/>
          <w:color w:val="000000"/>
          <w:sz w:val="28"/>
        </w:rPr>
        <w:t>
</w:t>
      </w:r>
    </w:p>
    <w:bookmarkStart w:name="z3529" w:id="3545"/>
    <w:p>
      <w:pPr>
        <w:spacing w:after="0"/>
        <w:ind w:left="0"/>
        <w:jc w:val="both"/>
      </w:pPr>
      <w:r>
        <w:rPr>
          <w:rFonts w:ascii="Times New Roman"/>
          <w:b w:val="false"/>
          <w:i w:val="false"/>
          <w:color w:val="000000"/>
          <w:sz w:val="28"/>
        </w:rPr>
        <w:t>
      10) момент инерции бимсов топ-палубы при поперечной системе набора отвечает требованиям пункта 437 настоящих Правил.</w:t>
      </w:r>
    </w:p>
    <w:bookmarkEnd w:id="3545"/>
    <w:bookmarkStart w:name="z3530" w:id="3546"/>
    <w:p>
      <w:pPr>
        <w:spacing w:after="0"/>
        <w:ind w:left="0"/>
        <w:jc w:val="both"/>
      </w:pPr>
      <w:r>
        <w:rPr>
          <w:rFonts w:ascii="Times New Roman"/>
          <w:b w:val="false"/>
          <w:i w:val="false"/>
          <w:color w:val="000000"/>
          <w:sz w:val="28"/>
        </w:rPr>
        <w:t>
      Момент инерции рамных бимсов топ-палубы отвечает требованиям пункта 437 настоящих Правил;</w:t>
      </w:r>
    </w:p>
    <w:bookmarkEnd w:id="3546"/>
    <w:bookmarkStart w:name="z3531" w:id="3547"/>
    <w:p>
      <w:pPr>
        <w:spacing w:after="0"/>
        <w:ind w:left="0"/>
        <w:jc w:val="both"/>
      </w:pPr>
      <w:r>
        <w:rPr>
          <w:rFonts w:ascii="Times New Roman"/>
          <w:b w:val="false"/>
          <w:i w:val="false"/>
          <w:color w:val="000000"/>
          <w:sz w:val="28"/>
        </w:rPr>
        <w:t>
      11) принятые размеры элементов конструкций башен обеспечивают устойчивость плоской формы изгиба башни в расчетных случаях прогиба дока. Методика обоснования устойчивости плоской формы изгиба согласовывается с Регистром судоходства.</w:t>
      </w:r>
    </w:p>
    <w:bookmarkEnd w:id="3547"/>
    <w:bookmarkStart w:name="z3532" w:id="3548"/>
    <w:p>
      <w:pPr>
        <w:spacing w:after="0"/>
        <w:ind w:left="0"/>
        <w:jc w:val="both"/>
      </w:pPr>
      <w:r>
        <w:rPr>
          <w:rFonts w:ascii="Times New Roman"/>
          <w:b w:val="false"/>
          <w:i w:val="false"/>
          <w:color w:val="000000"/>
          <w:sz w:val="28"/>
        </w:rPr>
        <w:t>
      873. Изгиб корпуса дока контролируется в соответствии с методикой, одобренной Регистром судоходства.</w:t>
      </w:r>
    </w:p>
    <w:bookmarkEnd w:id="3548"/>
    <w:bookmarkStart w:name="z3533" w:id="3549"/>
    <w:p>
      <w:pPr>
        <w:spacing w:after="0"/>
        <w:ind w:left="0"/>
        <w:jc w:val="both"/>
      </w:pPr>
      <w:r>
        <w:rPr>
          <w:rFonts w:ascii="Times New Roman"/>
          <w:b w:val="false"/>
          <w:i w:val="false"/>
          <w:color w:val="000000"/>
          <w:sz w:val="28"/>
        </w:rPr>
        <w:t>
      На доках длиной более 80 м предусматриваютне менее двух приборов для контроля за деформациями корпуса, различающихся по принципу действия.</w:t>
      </w:r>
    </w:p>
    <w:bookmarkEnd w:id="3549"/>
    <w:bookmarkStart w:name="z3534" w:id="3550"/>
    <w:p>
      <w:pPr>
        <w:spacing w:after="0"/>
        <w:ind w:left="0"/>
        <w:jc w:val="both"/>
      </w:pPr>
      <w:r>
        <w:rPr>
          <w:rFonts w:ascii="Times New Roman"/>
          <w:b w:val="false"/>
          <w:i w:val="false"/>
          <w:color w:val="000000"/>
          <w:sz w:val="28"/>
        </w:rPr>
        <w:t>
      Максимальная стрелка прогиба дока, указанная в инструкции по докованию, согласовывается с Регистром судоходства. Прогибы дока не превышают значений, соответствующих напряжениям, определяемым по формуле:</w:t>
      </w:r>
    </w:p>
    <w:bookmarkEnd w:id="35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(Т) = (0,6 + 0,003Т)</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(392)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Т</w:t>
      </w:r>
      <w:r>
        <w:rPr>
          <w:rFonts w:ascii="Times New Roman"/>
          <w:b w:val="false"/>
          <w:i w:val="false"/>
          <w:color w:val="000000"/>
          <w:sz w:val="28"/>
        </w:rPr>
        <w:t xml:space="preserve"> — срок эксплуатации дока на момент контроля, годы;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согласно пункту 133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874. Требования к перегону плавучего дока:</w:t>
      </w:r>
    </w:p>
    <w:bookmarkStart w:name="z3535" w:id="3551"/>
    <w:p>
      <w:pPr>
        <w:spacing w:after="0"/>
        <w:ind w:left="0"/>
        <w:jc w:val="both"/>
      </w:pPr>
      <w:r>
        <w:rPr>
          <w:rFonts w:ascii="Times New Roman"/>
          <w:b w:val="false"/>
          <w:i w:val="false"/>
          <w:color w:val="000000"/>
          <w:sz w:val="28"/>
        </w:rPr>
        <w:t>
      1) минимальный момент сопротивления Wmin, см</w:t>
      </w:r>
      <w:r>
        <w:rPr>
          <w:rFonts w:ascii="Times New Roman"/>
          <w:b w:val="false"/>
          <w:i w:val="false"/>
          <w:color w:val="000000"/>
          <w:vertAlign w:val="superscript"/>
        </w:rPr>
        <w:t>3</w:t>
      </w:r>
      <w:r>
        <w:rPr>
          <w:rFonts w:ascii="Times New Roman"/>
          <w:b w:val="false"/>
          <w:i w:val="false"/>
          <w:color w:val="000000"/>
          <w:sz w:val="28"/>
        </w:rPr>
        <w:t>, необходимый для обеспечения прочности дока при океанской буксировке, определяется по формуле:</w:t>
      </w:r>
    </w:p>
    <w:bookmarkEnd w:id="3551"/>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xml:space="preserve"> =</w:t>
      </w:r>
    </w:p>
    <w:p>
      <w:pPr>
        <w:spacing w:after="0"/>
        <w:ind w:left="0"/>
        <w:jc w:val="both"/>
      </w:pPr>
      <w:r>
        <w:drawing>
          <wp:inline distT="0" distB="0" distL="0" distR="0">
            <wp:extent cx="66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660400" cy="469900"/>
                    </a:xfrm>
                    <a:prstGeom prst="rect">
                      <a:avLst/>
                    </a:prstGeom>
                  </pic:spPr>
                </pic:pic>
              </a:graphicData>
            </a:graphic>
          </wp:inline>
        </w:drawing>
      </w:r>
    </w:p>
    <w:p>
      <w:pPr>
        <w:spacing w:after="0"/>
        <w:ind w:left="0"/>
        <w:jc w:val="left"/>
      </w:pPr>
      <w:r>
        <w:rPr>
          <w:rFonts w:ascii="Times New Roman"/>
          <w:b w:val="false"/>
          <w:i w:val="false"/>
          <w:color w:val="000000"/>
          <w:sz w:val="28"/>
        </w:rPr>
        <w:t>,                       (393)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М</w:t>
      </w:r>
      <w:r>
        <w:rPr>
          <w:rFonts w:ascii="Times New Roman"/>
          <w:b w:val="false"/>
          <w:i w:val="false"/>
          <w:color w:val="000000"/>
          <w:sz w:val="28"/>
        </w:rPr>
        <w:t xml:space="preserve"> — расчетный изгибающий момент, кН•м,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5,03k</w:t>
      </w:r>
      <w:r>
        <w:rPr>
          <w:rFonts w:ascii="Times New Roman"/>
          <w:b w:val="false"/>
          <w:i w:val="false"/>
          <w:color w:val="000000"/>
          <w:vertAlign w:val="subscript"/>
        </w:rPr>
        <w:t>w</w:t>
      </w:r>
      <w:r>
        <w:rPr>
          <w:rFonts w:ascii="Times New Roman"/>
          <w:b w:val="false"/>
          <w:i w:val="false"/>
          <w:color w:val="000000"/>
          <w:sz w:val="28"/>
        </w:rPr>
        <w:t>h</w:t>
      </w:r>
      <w:r>
        <w:rPr>
          <w:rFonts w:ascii="Times New Roman"/>
          <w:b w:val="false"/>
          <w:i w:val="false"/>
          <w:color w:val="000000"/>
          <w:vertAlign w:val="subscript"/>
        </w:rPr>
        <w:t>р</w:t>
      </w:r>
      <w:r>
        <w:rPr>
          <w:rFonts w:ascii="Times New Roman"/>
          <w:b w:val="false"/>
          <w:i w:val="false"/>
          <w:color w:val="000000"/>
          <w:sz w:val="28"/>
        </w:rPr>
        <w:t>ВL</w:t>
      </w:r>
    </w:p>
    <w:p>
      <w:pPr>
        <w:spacing w:after="0"/>
        <w:ind w:left="0"/>
        <w:jc w:val="both"/>
      </w:pPr>
      <w:r>
        <w:drawing>
          <wp:inline distT="0" distB="0" distL="0" distR="0">
            <wp:extent cx="203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203200" cy="368300"/>
                    </a:xfrm>
                    <a:prstGeom prst="rect">
                      <a:avLst/>
                    </a:prstGeom>
                  </pic:spPr>
                </pic:pic>
              </a:graphicData>
            </a:graphic>
          </wp:inline>
        </w:drawing>
      </w:r>
    </w:p>
    <w:p>
      <w:pPr>
        <w:spacing w:after="0"/>
        <w:ind w:left="0"/>
        <w:jc w:val="left"/>
      </w:pPr>
      <w:r>
        <w:rPr>
          <w:rFonts w:ascii="Times New Roman"/>
          <w:b w:val="false"/>
          <w:i w:val="false"/>
          <w:color w:val="000000"/>
          <w:sz w:val="28"/>
        </w:rPr>
        <w:t>;                  (394)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w:t>
      </w:r>
      <w:r>
        <w:rPr>
          <w:rFonts w:ascii="Times New Roman"/>
          <w:b w:val="false"/>
          <w:i w:val="false"/>
          <w:color w:val="000000"/>
          <w:sz w:val="28"/>
        </w:rPr>
        <w:t xml:space="preserve"> — коэффициент волнового изгибающего момента, определяемый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w:t>
      </w:r>
      <w:r>
        <w:rPr>
          <w:rFonts w:ascii="Times New Roman"/>
          <w:b w:val="false"/>
          <w:i w:val="false"/>
          <w:color w:val="000000"/>
          <w:sz w:val="28"/>
        </w:rPr>
        <w:t xml:space="preserve"> = 7,93•10</w:t>
      </w:r>
      <w:r>
        <w:rPr>
          <w:rFonts w:ascii="Times New Roman"/>
          <w:b w:val="false"/>
          <w:i w:val="false"/>
          <w:color w:val="000000"/>
          <w:vertAlign w:val="superscript"/>
        </w:rPr>
        <w:t>-3</w:t>
      </w:r>
      <w:r>
        <w:rPr>
          <w:rFonts w:ascii="Times New Roman"/>
          <w:b w:val="false"/>
          <w:i w:val="false"/>
          <w:color w:val="000000"/>
          <w:sz w:val="28"/>
        </w:rPr>
        <w:t xml:space="preserve"> + 4,13•10</w:t>
      </w:r>
      <w:r>
        <w:rPr>
          <w:rFonts w:ascii="Times New Roman"/>
          <w:b w:val="false"/>
          <w:i w:val="false"/>
          <w:color w:val="000000"/>
          <w:vertAlign w:val="superscript"/>
        </w:rPr>
        <w:t>-3</w:t>
      </w:r>
      <w:r>
        <w:rPr>
          <w:rFonts w:ascii="Times New Roman"/>
          <w:b w:val="false"/>
          <w:i w:val="false"/>
          <w:color w:val="000000"/>
          <w:sz w:val="28"/>
        </w:rPr>
        <w:t>(L</w:t>
      </w:r>
      <w:r>
        <w:rPr>
          <w:rFonts w:ascii="Times New Roman"/>
          <w:b w:val="false"/>
          <w:i w:val="false"/>
          <w:color w:val="000000"/>
          <w:vertAlign w:val="subscript"/>
        </w:rPr>
        <w:t>сп</w:t>
      </w:r>
      <w:r>
        <w:rPr>
          <w:rFonts w:ascii="Times New Roman"/>
          <w:b w:val="false"/>
          <w:i w:val="false"/>
          <w:color w:val="000000"/>
          <w:sz w:val="28"/>
        </w:rPr>
        <w:t>/В) – 0,125(d</w:t>
      </w:r>
      <w:r>
        <w:rPr>
          <w:rFonts w:ascii="Times New Roman"/>
          <w:b w:val="false"/>
          <w:i w:val="false"/>
          <w:color w:val="000000"/>
          <w:vertAlign w:val="subscript"/>
        </w:rPr>
        <w:t>пер</w:t>
      </w:r>
      <w:r>
        <w:rPr>
          <w:rFonts w:ascii="Times New Roman"/>
          <w:b w:val="false"/>
          <w:i w:val="false"/>
          <w:color w:val="000000"/>
          <w:sz w:val="28"/>
        </w:rPr>
        <w:t>/L</w:t>
      </w:r>
      <w:r>
        <w:rPr>
          <w:rFonts w:ascii="Times New Roman"/>
          <w:b w:val="false"/>
          <w:i w:val="false"/>
          <w:color w:val="000000"/>
          <w:vertAlign w:val="subscript"/>
        </w:rPr>
        <w:t>сп</w:t>
      </w:r>
      <w:r>
        <w:rPr>
          <w:rFonts w:ascii="Times New Roman"/>
          <w:b w:val="false"/>
          <w:i w:val="false"/>
          <w:color w:val="000000"/>
          <w:sz w:val="28"/>
        </w:rPr>
        <w:t>);   (395)</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пер</w:t>
      </w:r>
      <w:r>
        <w:rPr>
          <w:rFonts w:ascii="Times New Roman"/>
          <w:b w:val="false"/>
          <w:i w:val="false"/>
          <w:color w:val="000000"/>
          <w:sz w:val="28"/>
        </w:rPr>
        <w:t xml:space="preserve"> — осадка дока на миделе при перегоне,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р</w:t>
      </w:r>
      <w:r>
        <w:rPr>
          <w:rFonts w:ascii="Times New Roman"/>
          <w:b w:val="false"/>
          <w:i w:val="false"/>
          <w:color w:val="000000"/>
          <w:sz w:val="28"/>
        </w:rPr>
        <w:t xml:space="preserve"> — расчетная высота волны, м, определяется в зависимости от длины дока;</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р</w:t>
      </w:r>
      <w:r>
        <w:rPr>
          <w:rFonts w:ascii="Times New Roman"/>
          <w:b w:val="false"/>
          <w:i w:val="false"/>
          <w:color w:val="000000"/>
          <w:sz w:val="28"/>
        </w:rPr>
        <w:t xml:space="preserve"> = 10,9 – (</w:t>
      </w:r>
    </w:p>
    <w:p>
      <w:pPr>
        <w:spacing w:after="0"/>
        <w:ind w:left="0"/>
        <w:jc w:val="both"/>
      </w:pPr>
      <w:r>
        <w:drawing>
          <wp:inline distT="0" distB="0" distL="0" distR="0">
            <wp:extent cx="69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698500" cy="431800"/>
                    </a:xfrm>
                    <a:prstGeom prst="rect">
                      <a:avLst/>
                    </a:prstGeom>
                  </pic:spPr>
                </pic:pic>
              </a:graphicData>
            </a:graphic>
          </wp:inline>
        </w:drawing>
      </w:r>
    </w:p>
    <w:p>
      <w:pPr>
        <w:spacing w:after="0"/>
        <w:ind w:left="0"/>
        <w:jc w:val="left"/>
      </w:pPr>
      <w:r>
        <w:rPr>
          <w:rFonts w:ascii="Times New Roman"/>
          <w:b w:val="false"/>
          <w:i w:val="false"/>
          <w:color w:val="000000"/>
          <w:sz w:val="28"/>
        </w:rPr>
        <w:t>)2 при L</w:t>
      </w:r>
      <w:r>
        <w:rPr>
          <w:rFonts w:ascii="Times New Roman"/>
          <w:b w:val="false"/>
          <w:i w:val="false"/>
          <w:color w:val="000000"/>
          <w:vertAlign w:val="subscript"/>
        </w:rPr>
        <w:t>сп</w:t>
      </w:r>
      <w:r>
        <w:rPr>
          <w:rFonts w:ascii="Times New Roman"/>
          <w:b w:val="false"/>
          <w:i w:val="false"/>
          <w:color w:val="000000"/>
          <w:sz w:val="28"/>
        </w:rPr>
        <w:t xml:space="preserve"> &lt; 300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(395)</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р</w:t>
      </w:r>
      <w:r>
        <w:rPr>
          <w:rFonts w:ascii="Times New Roman"/>
          <w:b w:val="false"/>
          <w:i w:val="false"/>
          <w:color w:val="000000"/>
          <w:sz w:val="28"/>
        </w:rPr>
        <w:t xml:space="preserve"> = 10,9 L</w:t>
      </w:r>
      <w:r>
        <w:rPr>
          <w:rFonts w:ascii="Times New Roman"/>
          <w:b w:val="false"/>
          <w:i w:val="false"/>
          <w:color w:val="000000"/>
          <w:vertAlign w:val="subscript"/>
        </w:rPr>
        <w:t>cп</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val="false"/>
          <w:color w:val="000000"/>
          <w:sz w:val="28"/>
        </w:rPr>
        <w:t xml:space="preserve"> 300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доп</w:t>
      </w:r>
      <w:r>
        <w:rPr>
          <w:rFonts w:ascii="Times New Roman"/>
          <w:b w:val="false"/>
          <w:i w:val="false"/>
          <w:color w:val="000000"/>
          <w:sz w:val="28"/>
        </w:rPr>
        <w:t xml:space="preserve"> — допускаемые нормальные напряжения при общем продольном изгибе дока, МПа, принимаемые равными: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150 — для доков длиной менее 100 м;</w:t>
      </w:r>
    </w:p>
    <w:p>
      <w:pPr>
        <w:spacing w:after="0"/>
        <w:ind w:left="0"/>
        <w:jc w:val="both"/>
      </w:pPr>
      <w:r>
        <w:rPr>
          <w:rFonts w:ascii="Times New Roman"/>
          <w:b w:val="false"/>
          <w:i w:val="false"/>
          <w:color w:val="000000"/>
          <w:sz w:val="28"/>
        </w:rPr>
        <w:t>
      150 + 0,75 (L</w:t>
      </w:r>
      <w:r>
        <w:rPr>
          <w:rFonts w:ascii="Times New Roman"/>
          <w:b w:val="false"/>
          <w:i w:val="false"/>
          <w:color w:val="000000"/>
          <w:vertAlign w:val="subscript"/>
        </w:rPr>
        <w:t>cп</w:t>
      </w:r>
      <w:r>
        <w:rPr>
          <w:rFonts w:ascii="Times New Roman"/>
          <w:b w:val="false"/>
          <w:i w:val="false"/>
          <w:color w:val="000000"/>
          <w:sz w:val="28"/>
        </w:rPr>
        <w:t xml:space="preserve"> — 100) — для доков длиной от 100 до 200 м;</w:t>
      </w:r>
    </w:p>
    <w:p>
      <w:pPr>
        <w:spacing w:after="0"/>
        <w:ind w:left="0"/>
        <w:jc w:val="both"/>
      </w:pPr>
      <w:r>
        <w:rPr>
          <w:rFonts w:ascii="Times New Roman"/>
          <w:b w:val="false"/>
          <w:i w:val="false"/>
          <w:color w:val="000000"/>
          <w:sz w:val="28"/>
        </w:rPr>
        <w:t>
      225 — для доков длиной более 200 м;</w:t>
      </w:r>
    </w:p>
    <w:bookmarkStart w:name="z3536" w:id="3552"/>
    <w:p>
      <w:pPr>
        <w:spacing w:after="0"/>
        <w:ind w:left="0"/>
        <w:jc w:val="both"/>
      </w:pPr>
      <w:r>
        <w:rPr>
          <w:rFonts w:ascii="Times New Roman"/>
          <w:b w:val="false"/>
          <w:i w:val="false"/>
          <w:color w:val="000000"/>
          <w:sz w:val="28"/>
        </w:rPr>
        <w:t>
      2) изгибающий момент М, кН•м, на тихой воде в миделевом сечении для дока в условиях перегона уменьшают до минимально возможного уровня надлежащей балластировкой;</w:t>
      </w:r>
    </w:p>
    <w:bookmarkEnd w:id="3552"/>
    <w:bookmarkStart w:name="z3537" w:id="3553"/>
    <w:p>
      <w:pPr>
        <w:spacing w:after="0"/>
        <w:ind w:left="0"/>
        <w:jc w:val="both"/>
      </w:pPr>
      <w:r>
        <w:rPr>
          <w:rFonts w:ascii="Times New Roman"/>
          <w:b w:val="false"/>
          <w:i w:val="false"/>
          <w:color w:val="000000"/>
          <w:sz w:val="28"/>
        </w:rPr>
        <w:t>
      3) допустимой для перегона дока считается балльность волнения, соответствующая, высоте волны 3-процентной обеспеченности h</w:t>
      </w:r>
      <w:r>
        <w:rPr>
          <w:rFonts w:ascii="Times New Roman"/>
          <w:b w:val="false"/>
          <w:i w:val="false"/>
          <w:color w:val="000000"/>
          <w:vertAlign w:val="subscript"/>
        </w:rPr>
        <w:t>3%</w:t>
      </w:r>
      <w:r>
        <w:rPr>
          <w:rFonts w:ascii="Times New Roman"/>
          <w:b w:val="false"/>
          <w:i w:val="false"/>
          <w:color w:val="000000"/>
          <w:sz w:val="28"/>
        </w:rPr>
        <w:t>, м, определяемой по формуле:</w:t>
      </w:r>
    </w:p>
    <w:bookmarkEnd w:id="35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1816100" cy="317500"/>
                    </a:xfrm>
                    <a:prstGeom prst="rect">
                      <a:avLst/>
                    </a:prstGeom>
                  </pic:spPr>
                </pic:pic>
              </a:graphicData>
            </a:graphic>
          </wp:inline>
        </w:drawing>
      </w:r>
    </w:p>
    <w:p>
      <w:pPr>
        <w:spacing w:after="0"/>
        <w:ind w:left="0"/>
        <w:jc w:val="left"/>
      </w:pPr>
      <w:r>
        <w:rPr>
          <w:rFonts w:ascii="Times New Roman"/>
          <w:b w:val="false"/>
          <w:i w:val="false"/>
          <w:color w:val="000000"/>
          <w:sz w:val="28"/>
        </w:rPr>
        <w:t>,                         (396)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расчетная высота волны, м, допускаемая при перегоне плавучего дока с L</w:t>
      </w:r>
      <w:r>
        <w:rPr>
          <w:rFonts w:ascii="Times New Roman"/>
          <w:b w:val="false"/>
          <w:i w:val="false"/>
          <w:color w:val="000000"/>
          <w:vertAlign w:val="subscript"/>
        </w:rPr>
        <w:t>сп</w:t>
      </w:r>
      <w:r>
        <w:rPr>
          <w:rFonts w:ascii="Times New Roman"/>
          <w:b w:val="false"/>
          <w:i w:val="false"/>
          <w:color w:val="000000"/>
          <w:sz w:val="28"/>
        </w:rPr>
        <w:t>/B = 4,25, определяемая по формулам:</w:t>
      </w:r>
      <w:r>
        <w:br/>
      </w:r>
      <w:r>
        <w:rPr>
          <w:rFonts w:ascii="Times New Roman"/>
          <w:b w:val="false"/>
          <w:i w:val="false"/>
          <w:color w:val="000000"/>
          <w:sz w:val="28"/>
        </w:rPr>
        <w:t>
</w:t>
      </w:r>
      <w:r>
        <w:br/>
      </w:r>
    </w:p>
    <w:p>
      <w:pPr>
        <w:spacing w:after="0"/>
        <w:ind w:left="0"/>
        <w:jc w:val="both"/>
      </w:pPr>
      <w:r>
        <w:drawing>
          <wp:inline distT="0" distB="0" distL="0" distR="0">
            <wp:extent cx="5791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5791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коэффициент, определяемый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6108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и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коэффициенты, определяемые по формулам:</w:t>
      </w:r>
      <w:r>
        <w:br/>
      </w: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М/М</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1,276 – 0,065(L</w:t>
      </w:r>
      <w:r>
        <w:rPr>
          <w:rFonts w:ascii="Times New Roman"/>
          <w:b w:val="false"/>
          <w:i w:val="false"/>
          <w:color w:val="000000"/>
          <w:vertAlign w:val="subscript"/>
        </w:rPr>
        <w:t>cп</w:t>
      </w:r>
      <w:r>
        <w:rPr>
          <w:rFonts w:ascii="Times New Roman"/>
          <w:b w:val="false"/>
          <w:i w:val="false"/>
          <w:color w:val="000000"/>
          <w:sz w:val="28"/>
        </w:rPr>
        <w:t>/В);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0</w:t>
      </w:r>
      <w:r>
        <w:rPr>
          <w:rFonts w:ascii="Times New Roman"/>
          <w:b w:val="false"/>
          <w:i w:val="false"/>
          <w:color w:val="000000"/>
          <w:sz w:val="28"/>
        </w:rPr>
        <w:t xml:space="preserve"> — базисный изгибающий момент, кН•м, определяемый по формуле:</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0</w:t>
      </w:r>
      <w:r>
        <w:rPr>
          <w:rFonts w:ascii="Times New Roman"/>
          <w:b w:val="false"/>
          <w:i w:val="false"/>
          <w:color w:val="000000"/>
          <w:sz w:val="28"/>
        </w:rPr>
        <w:t xml:space="preserve"> = 0,77•10</w:t>
      </w:r>
      <w:r>
        <w:rPr>
          <w:rFonts w:ascii="Times New Roman"/>
          <w:b w:val="false"/>
          <w:i w:val="false"/>
          <w:color w:val="000000"/>
          <w:vertAlign w:val="superscript"/>
        </w:rPr>
        <w:t>-2</w:t>
      </w:r>
      <w:r>
        <w:rPr>
          <w:rFonts w:ascii="Times New Roman"/>
          <w:b w:val="false"/>
          <w:i w:val="false"/>
          <w:color w:val="000000"/>
          <w:sz w:val="28"/>
        </w:rPr>
        <w:t>L</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(400)</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133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изгибающий момент, кН•м, соответствующий фактическому ресурсу общей продольной прочности корпуса плавучего дока,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W10</w:t>
      </w:r>
      <w:r>
        <w:rPr>
          <w:rFonts w:ascii="Times New Roman"/>
          <w:b w:val="false"/>
          <w:i w:val="false"/>
          <w:color w:val="000000"/>
          <w:vertAlign w:val="superscript"/>
        </w:rPr>
        <w:t>-3</w:t>
      </w:r>
      <w:r>
        <w:rPr>
          <w:rFonts w:ascii="Times New Roman"/>
          <w:b w:val="false"/>
          <w:i w:val="false"/>
          <w:color w:val="000000"/>
          <w:sz w:val="28"/>
        </w:rPr>
        <w:t>;                     (401)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фактический минимальный момент сопротивления поперечного сечения корпуса дока на момент перегона;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 коэффициент допускаемых нормальных напряжений;</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пункт 133 настоящих Правил;</w:t>
      </w:r>
      <w:r>
        <w:br/>
      </w:r>
      <w:r>
        <w:rPr>
          <w:rFonts w:ascii="Times New Roman"/>
          <w:b w:val="false"/>
          <w:i w:val="false"/>
          <w:color w:val="000000"/>
          <w:sz w:val="28"/>
        </w:rPr>
        <w:t>
</w:t>
      </w:r>
    </w:p>
    <w:bookmarkStart w:name="z3538" w:id="3554"/>
    <w:p>
      <w:pPr>
        <w:spacing w:after="0"/>
        <w:ind w:left="0"/>
        <w:jc w:val="both"/>
      </w:pPr>
      <w:r>
        <w:rPr>
          <w:rFonts w:ascii="Times New Roman"/>
          <w:b w:val="false"/>
          <w:i w:val="false"/>
          <w:color w:val="000000"/>
          <w:sz w:val="28"/>
        </w:rPr>
        <w:t>
      4) соответствие между допустимой балльностью волнения при перегоне и высотойволны 3-процентной обеспеченности устанавливается по приложению 157 настоящих Правил;</w:t>
      </w:r>
    </w:p>
    <w:bookmarkEnd w:id="3554"/>
    <w:bookmarkStart w:name="z3539" w:id="3555"/>
    <w:p>
      <w:pPr>
        <w:spacing w:after="0"/>
        <w:ind w:left="0"/>
        <w:jc w:val="both"/>
      </w:pPr>
      <w:r>
        <w:rPr>
          <w:rFonts w:ascii="Times New Roman"/>
          <w:b w:val="false"/>
          <w:i w:val="false"/>
          <w:color w:val="000000"/>
          <w:sz w:val="28"/>
        </w:rPr>
        <w:t>
      5) обоснование возможности перегона дока, архитектурно-конструктивные особенности и соотношение главных размерений которого отличаются от указанных в пункте 852 настоящих Правил, выполняется по методике, согласованной с Регистром судоходства.</w:t>
      </w:r>
    </w:p>
    <w:bookmarkEnd w:id="3555"/>
    <w:bookmarkStart w:name="z3540" w:id="3556"/>
    <w:p>
      <w:pPr>
        <w:spacing w:after="0"/>
        <w:ind w:left="0"/>
        <w:jc w:val="both"/>
      </w:pPr>
      <w:r>
        <w:rPr>
          <w:rFonts w:ascii="Times New Roman"/>
          <w:b w:val="false"/>
          <w:i w:val="false"/>
          <w:color w:val="000000"/>
          <w:sz w:val="28"/>
        </w:rPr>
        <w:t>
      6) перегон дока в пределах одного моря допускается при прогнозировании внешних условий (балльность волнения), соответствующих требованиям подпунктов 3) – 5) настоящего пункта Правил.</w:t>
      </w:r>
    </w:p>
    <w:bookmarkEnd w:id="3556"/>
    <w:bookmarkStart w:name="z3541" w:id="3557"/>
    <w:p>
      <w:pPr>
        <w:spacing w:after="0"/>
        <w:ind w:left="0"/>
        <w:jc w:val="left"/>
      </w:pPr>
      <w:r>
        <w:rPr>
          <w:rFonts w:ascii="Times New Roman"/>
          <w:b/>
          <w:i w:val="false"/>
          <w:color w:val="000000"/>
        </w:rPr>
        <w:t xml:space="preserve"> Раздел 5. Устройства, оборудование и снабжение</w:t>
      </w:r>
      <w:r>
        <w:br/>
      </w:r>
      <w:r>
        <w:rPr>
          <w:rFonts w:ascii="Times New Roman"/>
          <w:b/>
          <w:i w:val="false"/>
          <w:color w:val="000000"/>
        </w:rPr>
        <w:t>Подраздел 1. Общие требования на устройства,</w:t>
      </w:r>
      <w:r>
        <w:br/>
      </w:r>
      <w:r>
        <w:rPr>
          <w:rFonts w:ascii="Times New Roman"/>
          <w:b/>
          <w:i w:val="false"/>
          <w:color w:val="000000"/>
        </w:rPr>
        <w:t>оборудование и снабжение</w:t>
      </w:r>
      <w:r>
        <w:br/>
      </w:r>
      <w:r>
        <w:rPr>
          <w:rFonts w:ascii="Times New Roman"/>
          <w:b/>
          <w:i w:val="false"/>
          <w:color w:val="000000"/>
        </w:rPr>
        <w:t>Глава 41. Общие положения</w:t>
      </w:r>
    </w:p>
    <w:bookmarkEnd w:id="3557"/>
    <w:p>
      <w:pPr>
        <w:spacing w:after="0"/>
        <w:ind w:left="0"/>
        <w:jc w:val="both"/>
      </w:pPr>
      <w:r>
        <w:rPr>
          <w:rFonts w:ascii="Times New Roman"/>
          <w:b w:val="false"/>
          <w:i w:val="false"/>
          <w:color w:val="ff0000"/>
          <w:sz w:val="28"/>
        </w:rPr>
        <w:t xml:space="preserve">
      Сноска. Заголовок главы 41 -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44" w:id="3558"/>
    <w:p>
      <w:pPr>
        <w:spacing w:after="0"/>
        <w:ind w:left="0"/>
        <w:jc w:val="left"/>
      </w:pPr>
      <w:r>
        <w:rPr>
          <w:rFonts w:ascii="Times New Roman"/>
          <w:b/>
          <w:i w:val="false"/>
          <w:color w:val="000000"/>
        </w:rPr>
        <w:t xml:space="preserve"> Параграф 1. Размерения и осадка судна</w:t>
      </w:r>
    </w:p>
    <w:bookmarkEnd w:id="3558"/>
    <w:bookmarkStart w:name="z3545" w:id="3559"/>
    <w:p>
      <w:pPr>
        <w:spacing w:after="0"/>
        <w:ind w:left="0"/>
        <w:jc w:val="both"/>
      </w:pPr>
      <w:r>
        <w:rPr>
          <w:rFonts w:ascii="Times New Roman"/>
          <w:b w:val="false"/>
          <w:i w:val="false"/>
          <w:color w:val="000000"/>
          <w:sz w:val="28"/>
        </w:rPr>
        <w:t>
      875. Требования настоящего раздела Правил распространяется на устройства, оборудование и снабжение морских судов, плавающих в водоизмещающем состоянии. На суда на подводных крыльях, на воздушной подушке, на глиссеры и на другие подобные суда требования настоящего раздела, кроме случаев, конкретно оговоренных ниже, распространяются в той мере, в какой это целесообразно и осуществимо, а сами устройства, оборудование и снабжение этих судов являются в каждом случае предметом специального рассмотрения Регистром судоходства.</w:t>
      </w:r>
    </w:p>
    <w:bookmarkEnd w:id="3559"/>
    <w:bookmarkStart w:name="z3546" w:id="3560"/>
    <w:p>
      <w:pPr>
        <w:spacing w:after="0"/>
        <w:ind w:left="0"/>
        <w:jc w:val="both"/>
      </w:pPr>
      <w:r>
        <w:rPr>
          <w:rFonts w:ascii="Times New Roman"/>
          <w:b w:val="false"/>
          <w:i w:val="false"/>
          <w:color w:val="000000"/>
          <w:sz w:val="28"/>
        </w:rPr>
        <w:t>
      876. Устройства, оборудование и снабжение, предназначенные для специальных целей (например, авантовое и папильонажное устройства дноуглубительных снарядов, глубоководное якорное устройство на судах специального назначения и им подобные), наблюдению Регистра судоходства не подлежат.</w:t>
      </w:r>
    </w:p>
    <w:bookmarkEnd w:id="3560"/>
    <w:bookmarkStart w:name="z3547" w:id="3561"/>
    <w:p>
      <w:pPr>
        <w:spacing w:after="0"/>
        <w:ind w:left="0"/>
        <w:jc w:val="both"/>
      </w:pPr>
      <w:r>
        <w:rPr>
          <w:rFonts w:ascii="Times New Roman"/>
          <w:b w:val="false"/>
          <w:i w:val="false"/>
          <w:color w:val="000000"/>
          <w:sz w:val="28"/>
        </w:rPr>
        <w:t>
      877. Настоящий раздел Правил распространяется на плавучие металлические двухбашенные доки, кроме случаев конкретно оговоренных, в той мере, в какой это целесообразно и осуществимо. Условия раскрепления плавучих доков в конкретном пункте его эксплуатации, а также выбор типа и характеристик устройств, оборудования и снабжения (якорного, швартовного), применяемых для этих целей, настоящими Правилами не устанавливаются.</w:t>
      </w:r>
    </w:p>
    <w:bookmarkEnd w:id="3561"/>
    <w:bookmarkStart w:name="z3548" w:id="3562"/>
    <w:p>
      <w:pPr>
        <w:spacing w:after="0"/>
        <w:ind w:left="0"/>
        <w:jc w:val="both"/>
      </w:pPr>
      <w:r>
        <w:rPr>
          <w:rFonts w:ascii="Times New Roman"/>
          <w:b w:val="false"/>
          <w:i w:val="false"/>
          <w:color w:val="000000"/>
          <w:sz w:val="28"/>
        </w:rPr>
        <w:t>
      878. Определения и пояснения, относящиеся к общей терминологии Правил, указаны в части 1 настоящих Правил.</w:t>
      </w:r>
    </w:p>
    <w:bookmarkEnd w:id="3562"/>
    <w:bookmarkStart w:name="z3549" w:id="3563"/>
    <w:p>
      <w:pPr>
        <w:spacing w:after="0"/>
        <w:ind w:left="0"/>
        <w:jc w:val="both"/>
      </w:pPr>
      <w:r>
        <w:rPr>
          <w:rFonts w:ascii="Times New Roman"/>
          <w:b w:val="false"/>
          <w:i w:val="false"/>
          <w:color w:val="000000"/>
          <w:sz w:val="28"/>
        </w:rPr>
        <w:t>
      879. Если форштевень имеет вогнутую форму выше ватерлинии, длина судна измеряется от точки, лежащей на этой ватерлинии и являющейся проекцией крайней (на участке выше ватерлинии) кормовой точки форштевня на эту же ватерлинию.</w:t>
      </w:r>
    </w:p>
    <w:bookmarkEnd w:id="3563"/>
    <w:bookmarkStart w:name="z3550" w:id="3564"/>
    <w:p>
      <w:pPr>
        <w:spacing w:after="0"/>
        <w:ind w:left="0"/>
        <w:jc w:val="both"/>
      </w:pPr>
      <w:r>
        <w:rPr>
          <w:rFonts w:ascii="Times New Roman"/>
          <w:b w:val="false"/>
          <w:i w:val="false"/>
          <w:color w:val="000000"/>
          <w:sz w:val="28"/>
        </w:rPr>
        <w:t>
      На судах, спроектированных с дифферентом, ватерлиния, по которой измеряется длина судна, параллельна конструктивной ватерлинии.</w:t>
      </w:r>
    </w:p>
    <w:bookmarkEnd w:id="3564"/>
    <w:bookmarkStart w:name="z3551" w:id="3565"/>
    <w:p>
      <w:pPr>
        <w:spacing w:after="0"/>
        <w:ind w:left="0"/>
        <w:jc w:val="both"/>
      </w:pPr>
      <w:r>
        <w:rPr>
          <w:rFonts w:ascii="Times New Roman"/>
          <w:b w:val="false"/>
          <w:i w:val="false"/>
          <w:color w:val="000000"/>
          <w:sz w:val="28"/>
        </w:rPr>
        <w:t>
      880. На судах, имеющих закругленное соединение указанной палубы с бортом, теоретическая высота борта измеряется до точки пересечения продолженных теоретических линий палубы надводного борта и борта, как если бы это соединение было угловым.</w:t>
      </w:r>
    </w:p>
    <w:bookmarkEnd w:id="3565"/>
    <w:bookmarkStart w:name="z3552" w:id="3566"/>
    <w:p>
      <w:pPr>
        <w:spacing w:after="0"/>
        <w:ind w:left="0"/>
        <w:jc w:val="both"/>
      </w:pPr>
      <w:r>
        <w:rPr>
          <w:rFonts w:ascii="Times New Roman"/>
          <w:b w:val="false"/>
          <w:i w:val="false"/>
          <w:color w:val="000000"/>
          <w:sz w:val="28"/>
        </w:rPr>
        <w:t>
      Если палуба надводного борта в продольном направлении имеет уступ и возвышенная часть палубы простирается над точкой измерения высоты борта, то высота борта должна измеряться до условной линии, являющейся продолжением нижней части палубы параллельно возвышенной части.</w:t>
      </w:r>
    </w:p>
    <w:bookmarkEnd w:id="3566"/>
    <w:bookmarkStart w:name="z3553" w:id="3567"/>
    <w:p>
      <w:pPr>
        <w:spacing w:after="0"/>
        <w:ind w:left="0"/>
        <w:jc w:val="left"/>
      </w:pPr>
      <w:r>
        <w:rPr>
          <w:rFonts w:ascii="Times New Roman"/>
          <w:b/>
          <w:i w:val="false"/>
          <w:color w:val="000000"/>
        </w:rPr>
        <w:t xml:space="preserve"> Параграф 2. Непроницаемость, палубы, перпендикуляры</w:t>
      </w:r>
    </w:p>
    <w:bookmarkEnd w:id="3567"/>
    <w:bookmarkStart w:name="z3554" w:id="3568"/>
    <w:p>
      <w:pPr>
        <w:spacing w:after="0"/>
        <w:ind w:left="0"/>
        <w:jc w:val="both"/>
      </w:pPr>
      <w:r>
        <w:rPr>
          <w:rFonts w:ascii="Times New Roman"/>
          <w:b w:val="false"/>
          <w:i w:val="false"/>
          <w:color w:val="000000"/>
          <w:sz w:val="28"/>
        </w:rPr>
        <w:t>
      881. Непроницаемый при воздействии моря — термин, относящийся к закрытиям отверстий в надводной части судна и означающий, что при накате волн и других возможных воздействиях моря вода через эти отверстия внутрь судна не проникает.</w:t>
      </w:r>
    </w:p>
    <w:bookmarkEnd w:id="3568"/>
    <w:bookmarkStart w:name="z3555" w:id="3569"/>
    <w:p>
      <w:pPr>
        <w:spacing w:after="0"/>
        <w:ind w:left="0"/>
        <w:jc w:val="both"/>
      </w:pPr>
      <w:r>
        <w:rPr>
          <w:rFonts w:ascii="Times New Roman"/>
          <w:b w:val="false"/>
          <w:i w:val="false"/>
          <w:color w:val="000000"/>
          <w:sz w:val="28"/>
        </w:rPr>
        <w:t>
      Указанные закрытия выдерживают испытания в соответствии с требованиями пункта 5 приложения 3 настоящих Правил.</w:t>
      </w:r>
    </w:p>
    <w:bookmarkEnd w:id="3569"/>
    <w:bookmarkStart w:name="z3556" w:id="3570"/>
    <w:p>
      <w:pPr>
        <w:spacing w:after="0"/>
        <w:ind w:left="0"/>
        <w:jc w:val="both"/>
      </w:pPr>
      <w:r>
        <w:rPr>
          <w:rFonts w:ascii="Times New Roman"/>
          <w:b w:val="false"/>
          <w:i w:val="false"/>
          <w:color w:val="000000"/>
          <w:sz w:val="28"/>
        </w:rPr>
        <w:t>
      Допускается проведение испытаний специализированными организациями, признанными Регистром судоходства, с использованием ультразвукового оборудования, а также использование других, одобренных Регистром судоходства, методов испытаний.</w:t>
      </w:r>
    </w:p>
    <w:bookmarkEnd w:id="3570"/>
    <w:bookmarkStart w:name="z3557" w:id="3571"/>
    <w:p>
      <w:pPr>
        <w:spacing w:after="0"/>
        <w:ind w:left="0"/>
        <w:jc w:val="both"/>
      </w:pPr>
      <w:r>
        <w:rPr>
          <w:rFonts w:ascii="Times New Roman"/>
          <w:b w:val="false"/>
          <w:i w:val="false"/>
          <w:color w:val="000000"/>
          <w:sz w:val="28"/>
        </w:rPr>
        <w:t>
      882. Палуба надстройки, рубки или ящика — палуба, покрывающая соответственно надстройку, рубку или ящик.</w:t>
      </w:r>
    </w:p>
    <w:bookmarkEnd w:id="3571"/>
    <w:bookmarkStart w:name="z3558" w:id="3572"/>
    <w:p>
      <w:pPr>
        <w:spacing w:after="0"/>
        <w:ind w:left="0"/>
        <w:jc w:val="both"/>
      </w:pPr>
      <w:r>
        <w:rPr>
          <w:rFonts w:ascii="Times New Roman"/>
          <w:b w:val="false"/>
          <w:i w:val="false"/>
          <w:color w:val="000000"/>
          <w:sz w:val="28"/>
        </w:rPr>
        <w:t>
      883. Палубы нижние — палубы, расположенные ниже верхней палубы.</w:t>
      </w:r>
    </w:p>
    <w:bookmarkEnd w:id="3572"/>
    <w:bookmarkStart w:name="z3559" w:id="3573"/>
    <w:p>
      <w:pPr>
        <w:spacing w:after="0"/>
        <w:ind w:left="0"/>
        <w:jc w:val="both"/>
      </w:pPr>
      <w:r>
        <w:rPr>
          <w:rFonts w:ascii="Times New Roman"/>
          <w:b w:val="false"/>
          <w:i w:val="false"/>
          <w:color w:val="000000"/>
          <w:sz w:val="28"/>
        </w:rPr>
        <w:t xml:space="preserve">
      884. Носовой и кормовой перпендикуляры — вертикальные линии в диаметральной плоскости, проходящие соответственно через носовой и кормовой конец длины судна </w:t>
      </w:r>
      <w:r>
        <w:rPr>
          <w:rFonts w:ascii="Times New Roman"/>
          <w:b w:val="false"/>
          <w:i/>
          <w:color w:val="000000"/>
          <w:sz w:val="28"/>
        </w:rPr>
        <w:t>L</w:t>
      </w:r>
      <w:r>
        <w:rPr>
          <w:rFonts w:ascii="Times New Roman"/>
          <w:b w:val="false"/>
          <w:i w:val="false"/>
          <w:color w:val="000000"/>
          <w:sz w:val="28"/>
        </w:rPr>
        <w:t>.</w:t>
      </w:r>
    </w:p>
    <w:bookmarkEnd w:id="3573"/>
    <w:bookmarkStart w:name="z3560" w:id="3574"/>
    <w:p>
      <w:pPr>
        <w:spacing w:after="0"/>
        <w:ind w:left="0"/>
        <w:jc w:val="left"/>
      </w:pPr>
      <w:r>
        <w:rPr>
          <w:rFonts w:ascii="Times New Roman"/>
          <w:b/>
          <w:i w:val="false"/>
          <w:color w:val="000000"/>
        </w:rPr>
        <w:t xml:space="preserve"> Параграф 3. Суда</w:t>
      </w:r>
    </w:p>
    <w:bookmarkEnd w:id="3574"/>
    <w:bookmarkStart w:name="z3561" w:id="3575"/>
    <w:p>
      <w:pPr>
        <w:spacing w:after="0"/>
        <w:ind w:left="0"/>
        <w:jc w:val="both"/>
      </w:pPr>
      <w:r>
        <w:rPr>
          <w:rFonts w:ascii="Times New Roman"/>
          <w:b w:val="false"/>
          <w:i w:val="false"/>
          <w:color w:val="000000"/>
          <w:sz w:val="28"/>
        </w:rPr>
        <w:t>
      885. Судно типа "А" — судно для перевозки только жидких грузов наливом. Грузовые отсеки судна "А" имеют лишь небольшие отверстия для доступа, закрытые крышками на прокладках, непроницаемыми под соответствующим внутренним напором жидкости, которая перевозится в отсеках. Кроме того, судно типа "А" должно иметь ряд других особенностей, подробности о которых приведены в Правилах о грузовой марке и которые позволяют назначить этому судну надводный борт по приложениям 16, 42 или 44 указанных Правил.</w:t>
      </w:r>
    </w:p>
    <w:bookmarkEnd w:id="3575"/>
    <w:bookmarkStart w:name="z3562" w:id="3576"/>
    <w:p>
      <w:pPr>
        <w:spacing w:after="0"/>
        <w:ind w:left="0"/>
        <w:jc w:val="both"/>
      </w:pPr>
      <w:r>
        <w:rPr>
          <w:rFonts w:ascii="Times New Roman"/>
          <w:b w:val="false"/>
          <w:i w:val="false"/>
          <w:color w:val="000000"/>
          <w:sz w:val="28"/>
        </w:rPr>
        <w:t>
      Судно типа "В" — судно, которое не соответствует требованиям, предъявляемым к судам типа "А", и которому надводный борт назначается по приложениям 15, 41 или 43 Правил о грузовой марке.</w:t>
      </w:r>
    </w:p>
    <w:bookmarkEnd w:id="3576"/>
    <w:bookmarkStart w:name="z3563" w:id="3577"/>
    <w:p>
      <w:pPr>
        <w:spacing w:after="0"/>
        <w:ind w:left="0"/>
        <w:jc w:val="both"/>
      </w:pPr>
      <w:r>
        <w:rPr>
          <w:rFonts w:ascii="Times New Roman"/>
          <w:b w:val="false"/>
          <w:i w:val="false"/>
          <w:color w:val="000000"/>
          <w:sz w:val="28"/>
        </w:rPr>
        <w:t>
      Если судну типа "В" в результате его особенностей, подробности о которых приведены в Правилах о грузовой марке, разрешено уменьшение табличного надводного борта вплоть до полной разницы между величинами приложений 16, 42, 44 указанных Правил, то даже эти особенности не могут служить основанием для отнесения судна к типу "А";</w:t>
      </w:r>
    </w:p>
    <w:bookmarkEnd w:id="3577"/>
    <w:bookmarkStart w:name="z3564" w:id="3578"/>
    <w:p>
      <w:pPr>
        <w:spacing w:after="0"/>
        <w:ind w:left="0"/>
        <w:jc w:val="both"/>
      </w:pPr>
      <w:r>
        <w:rPr>
          <w:rFonts w:ascii="Times New Roman"/>
          <w:b w:val="false"/>
          <w:i w:val="false"/>
          <w:color w:val="000000"/>
          <w:sz w:val="28"/>
        </w:rPr>
        <w:t>
      886. САУС являются поворотные винтовые колонки, включая откидные и выдвижные винторулевые колонки, активные рули, крыльчатые движители, водометы, движители в поперечном канале (подруливающие устройства), раздельные поворотные насадки и другие устройства подобного назначения.</w:t>
      </w:r>
    </w:p>
    <w:bookmarkEnd w:id="3578"/>
    <w:bookmarkStart w:name="z3565" w:id="3579"/>
    <w:p>
      <w:pPr>
        <w:spacing w:after="0"/>
        <w:ind w:left="0"/>
        <w:jc w:val="both"/>
      </w:pPr>
      <w:r>
        <w:rPr>
          <w:rFonts w:ascii="Times New Roman"/>
          <w:b w:val="false"/>
          <w:i w:val="false"/>
          <w:color w:val="000000"/>
          <w:sz w:val="28"/>
        </w:rPr>
        <w:t>
      Требования к конструкции и проектированию САУС, исключая раздельные поворотные насадки и рулевую часть активных рулей, изложены в разделе 9 настоящих Правил.</w:t>
      </w:r>
    </w:p>
    <w:bookmarkEnd w:id="3579"/>
    <w:bookmarkStart w:name="z3566" w:id="3580"/>
    <w:p>
      <w:pPr>
        <w:spacing w:after="0"/>
        <w:ind w:left="0"/>
        <w:jc w:val="left"/>
      </w:pPr>
      <w:r>
        <w:rPr>
          <w:rFonts w:ascii="Times New Roman"/>
          <w:b/>
          <w:i w:val="false"/>
          <w:color w:val="000000"/>
        </w:rPr>
        <w:t xml:space="preserve"> Глава 42. Объем освидетельствований</w:t>
      </w:r>
    </w:p>
    <w:bookmarkEnd w:id="3580"/>
    <w:p>
      <w:pPr>
        <w:spacing w:after="0"/>
        <w:ind w:left="0"/>
        <w:jc w:val="both"/>
      </w:pPr>
      <w:r>
        <w:rPr>
          <w:rFonts w:ascii="Times New Roman"/>
          <w:b w:val="false"/>
          <w:i w:val="false"/>
          <w:color w:val="ff0000"/>
          <w:sz w:val="28"/>
        </w:rPr>
        <w:t xml:space="preserve">
      Сноска. Заголовок главы 42 -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67" w:id="3581"/>
    <w:p>
      <w:pPr>
        <w:spacing w:after="0"/>
        <w:ind w:left="0"/>
        <w:jc w:val="both"/>
      </w:pPr>
      <w:r>
        <w:rPr>
          <w:rFonts w:ascii="Times New Roman"/>
          <w:b w:val="false"/>
          <w:i w:val="false"/>
          <w:color w:val="000000"/>
          <w:sz w:val="28"/>
        </w:rPr>
        <w:t>
      887. Освидетельствованию Регистром судоходства подлежат при изготовлении изделия предусмотренные пунктами 888- 895 настоящих Правил, входящие в состав судовых устройств.</w:t>
      </w:r>
    </w:p>
    <w:bookmarkEnd w:id="3581"/>
    <w:bookmarkStart w:name="z3578" w:id="3582"/>
    <w:p>
      <w:pPr>
        <w:spacing w:after="0"/>
        <w:ind w:left="0"/>
        <w:jc w:val="both"/>
      </w:pPr>
      <w:r>
        <w:rPr>
          <w:rFonts w:ascii="Times New Roman"/>
          <w:b w:val="false"/>
          <w:i w:val="false"/>
          <w:color w:val="000000"/>
          <w:sz w:val="28"/>
        </w:rPr>
        <w:t>
      888. Рулевое устройство:</w:t>
      </w:r>
    </w:p>
    <w:bookmarkEnd w:id="3582"/>
    <w:bookmarkStart w:name="z3579" w:id="3583"/>
    <w:p>
      <w:pPr>
        <w:spacing w:after="0"/>
        <w:ind w:left="0"/>
        <w:jc w:val="both"/>
      </w:pPr>
      <w:r>
        <w:rPr>
          <w:rFonts w:ascii="Times New Roman"/>
          <w:b w:val="false"/>
          <w:i w:val="false"/>
          <w:color w:val="000000"/>
          <w:sz w:val="28"/>
        </w:rPr>
        <w:t>
      1) баллеры;</w:t>
      </w:r>
    </w:p>
    <w:bookmarkEnd w:id="3583"/>
    <w:bookmarkStart w:name="z3580" w:id="3584"/>
    <w:p>
      <w:pPr>
        <w:spacing w:after="0"/>
        <w:ind w:left="0"/>
        <w:jc w:val="both"/>
      </w:pPr>
      <w:r>
        <w:rPr>
          <w:rFonts w:ascii="Times New Roman"/>
          <w:b w:val="false"/>
          <w:i w:val="false"/>
          <w:color w:val="000000"/>
          <w:sz w:val="28"/>
        </w:rPr>
        <w:t>
      2) перо руля;</w:t>
      </w:r>
    </w:p>
    <w:bookmarkEnd w:id="3584"/>
    <w:bookmarkStart w:name="z3581" w:id="3585"/>
    <w:p>
      <w:pPr>
        <w:spacing w:after="0"/>
        <w:ind w:left="0"/>
        <w:jc w:val="both"/>
      </w:pPr>
      <w:r>
        <w:rPr>
          <w:rFonts w:ascii="Times New Roman"/>
          <w:b w:val="false"/>
          <w:i w:val="false"/>
          <w:color w:val="000000"/>
          <w:sz w:val="28"/>
        </w:rPr>
        <w:t>
      3) поворотные насадки;</w:t>
      </w:r>
    </w:p>
    <w:bookmarkEnd w:id="3585"/>
    <w:bookmarkStart w:name="z3582" w:id="3586"/>
    <w:p>
      <w:pPr>
        <w:spacing w:after="0"/>
        <w:ind w:left="0"/>
        <w:jc w:val="both"/>
      </w:pPr>
      <w:r>
        <w:rPr>
          <w:rFonts w:ascii="Times New Roman"/>
          <w:b w:val="false"/>
          <w:i w:val="false"/>
          <w:color w:val="000000"/>
          <w:sz w:val="28"/>
        </w:rPr>
        <w:t>
      4) съемные рудерпосты;</w:t>
      </w:r>
    </w:p>
    <w:bookmarkEnd w:id="3586"/>
    <w:bookmarkStart w:name="z3583" w:id="3587"/>
    <w:p>
      <w:pPr>
        <w:spacing w:after="0"/>
        <w:ind w:left="0"/>
        <w:jc w:val="both"/>
      </w:pPr>
      <w:r>
        <w:rPr>
          <w:rFonts w:ascii="Times New Roman"/>
          <w:b w:val="false"/>
          <w:i w:val="false"/>
          <w:color w:val="000000"/>
          <w:sz w:val="28"/>
        </w:rPr>
        <w:t>
      5) штыри рулей и поворотных насадок;</w:t>
      </w:r>
    </w:p>
    <w:bookmarkEnd w:id="3587"/>
    <w:bookmarkStart w:name="z3584" w:id="3588"/>
    <w:p>
      <w:pPr>
        <w:spacing w:after="0"/>
        <w:ind w:left="0"/>
        <w:jc w:val="both"/>
      </w:pPr>
      <w:r>
        <w:rPr>
          <w:rFonts w:ascii="Times New Roman"/>
          <w:b w:val="false"/>
          <w:i w:val="false"/>
          <w:color w:val="000000"/>
          <w:sz w:val="28"/>
        </w:rPr>
        <w:t>
      6) втулки штырей;</w:t>
      </w:r>
    </w:p>
    <w:bookmarkEnd w:id="3588"/>
    <w:bookmarkStart w:name="z3585" w:id="3589"/>
    <w:p>
      <w:pPr>
        <w:spacing w:after="0"/>
        <w:ind w:left="0"/>
        <w:jc w:val="both"/>
      </w:pPr>
      <w:r>
        <w:rPr>
          <w:rFonts w:ascii="Times New Roman"/>
          <w:b w:val="false"/>
          <w:i w:val="false"/>
          <w:color w:val="000000"/>
          <w:sz w:val="28"/>
        </w:rPr>
        <w:t>
      7) детали соединений баллеров, баллера с пером руля и поворотной насадкой, соединений съемного рудерпоста с ахтерштевнем (например, муфты, шпонки, болты, гайки);</w:t>
      </w:r>
    </w:p>
    <w:bookmarkEnd w:id="3589"/>
    <w:bookmarkStart w:name="z3586" w:id="3590"/>
    <w:p>
      <w:pPr>
        <w:spacing w:after="0"/>
        <w:ind w:left="0"/>
        <w:jc w:val="both"/>
      </w:pPr>
      <w:r>
        <w:rPr>
          <w:rFonts w:ascii="Times New Roman"/>
          <w:b w:val="false"/>
          <w:i w:val="false"/>
          <w:color w:val="000000"/>
          <w:sz w:val="28"/>
        </w:rPr>
        <w:t>
      8) детали системы ограничителей перекладки пера руля и поворотной насадки;</w:t>
      </w:r>
    </w:p>
    <w:bookmarkEnd w:id="3590"/>
    <w:bookmarkStart w:name="z3587" w:id="3591"/>
    <w:p>
      <w:pPr>
        <w:spacing w:after="0"/>
        <w:ind w:left="0"/>
        <w:jc w:val="both"/>
      </w:pPr>
      <w:r>
        <w:rPr>
          <w:rFonts w:ascii="Times New Roman"/>
          <w:b w:val="false"/>
          <w:i w:val="false"/>
          <w:color w:val="000000"/>
          <w:sz w:val="28"/>
        </w:rPr>
        <w:t>
      9) подшипники баллеров;</w:t>
      </w:r>
    </w:p>
    <w:bookmarkEnd w:id="3591"/>
    <w:bookmarkStart w:name="z3588" w:id="3592"/>
    <w:p>
      <w:pPr>
        <w:spacing w:after="0"/>
        <w:ind w:left="0"/>
        <w:jc w:val="both"/>
      </w:pPr>
      <w:r>
        <w:rPr>
          <w:rFonts w:ascii="Times New Roman"/>
          <w:b w:val="false"/>
          <w:i w:val="false"/>
          <w:color w:val="000000"/>
          <w:sz w:val="28"/>
        </w:rPr>
        <w:t>
      10) средства активного управления судами (только в случае, указанном в подпункте 2) пункта 918 настоящих Правил).</w:t>
      </w:r>
    </w:p>
    <w:bookmarkEnd w:id="3592"/>
    <w:bookmarkStart w:name="z3589" w:id="3593"/>
    <w:p>
      <w:pPr>
        <w:spacing w:after="0"/>
        <w:ind w:left="0"/>
        <w:jc w:val="both"/>
      </w:pPr>
      <w:r>
        <w:rPr>
          <w:rFonts w:ascii="Times New Roman"/>
          <w:b w:val="false"/>
          <w:i w:val="false"/>
          <w:color w:val="000000"/>
          <w:sz w:val="28"/>
        </w:rPr>
        <w:t>
      889. Якорное устройство:</w:t>
      </w:r>
    </w:p>
    <w:bookmarkEnd w:id="3593"/>
    <w:bookmarkStart w:name="z3590" w:id="3594"/>
    <w:p>
      <w:pPr>
        <w:spacing w:after="0"/>
        <w:ind w:left="0"/>
        <w:jc w:val="both"/>
      </w:pPr>
      <w:r>
        <w:rPr>
          <w:rFonts w:ascii="Times New Roman"/>
          <w:b w:val="false"/>
          <w:i w:val="false"/>
          <w:color w:val="000000"/>
          <w:sz w:val="28"/>
        </w:rPr>
        <w:t>
      1) якоря;</w:t>
      </w:r>
    </w:p>
    <w:bookmarkEnd w:id="3594"/>
    <w:bookmarkStart w:name="z3591" w:id="3595"/>
    <w:p>
      <w:pPr>
        <w:spacing w:after="0"/>
        <w:ind w:left="0"/>
        <w:jc w:val="both"/>
      </w:pPr>
      <w:r>
        <w:rPr>
          <w:rFonts w:ascii="Times New Roman"/>
          <w:b w:val="false"/>
          <w:i w:val="false"/>
          <w:color w:val="000000"/>
          <w:sz w:val="28"/>
        </w:rPr>
        <w:t>
      2) якорные цепи или тросы;</w:t>
      </w:r>
    </w:p>
    <w:bookmarkEnd w:id="3595"/>
    <w:bookmarkStart w:name="z3592" w:id="3596"/>
    <w:p>
      <w:pPr>
        <w:spacing w:after="0"/>
        <w:ind w:left="0"/>
        <w:jc w:val="both"/>
      </w:pPr>
      <w:r>
        <w:rPr>
          <w:rFonts w:ascii="Times New Roman"/>
          <w:b w:val="false"/>
          <w:i w:val="false"/>
          <w:color w:val="000000"/>
          <w:sz w:val="28"/>
        </w:rPr>
        <w:t>
      3) якорные стопоры;</w:t>
      </w:r>
    </w:p>
    <w:bookmarkEnd w:id="3596"/>
    <w:bookmarkStart w:name="z3593" w:id="3597"/>
    <w:p>
      <w:pPr>
        <w:spacing w:after="0"/>
        <w:ind w:left="0"/>
        <w:jc w:val="both"/>
      </w:pPr>
      <w:r>
        <w:rPr>
          <w:rFonts w:ascii="Times New Roman"/>
          <w:b w:val="false"/>
          <w:i w:val="false"/>
          <w:color w:val="000000"/>
          <w:sz w:val="28"/>
        </w:rPr>
        <w:t>
      4) устройства для отдачи коренного конца якорной цепи или троса;</w:t>
      </w:r>
    </w:p>
    <w:bookmarkEnd w:id="3597"/>
    <w:bookmarkStart w:name="z3594" w:id="3598"/>
    <w:p>
      <w:pPr>
        <w:spacing w:after="0"/>
        <w:ind w:left="0"/>
        <w:jc w:val="both"/>
      </w:pPr>
      <w:r>
        <w:rPr>
          <w:rFonts w:ascii="Times New Roman"/>
          <w:b w:val="false"/>
          <w:i w:val="false"/>
          <w:color w:val="000000"/>
          <w:sz w:val="28"/>
        </w:rPr>
        <w:t>
      5) якорные клюзы.</w:t>
      </w:r>
    </w:p>
    <w:bookmarkEnd w:id="3598"/>
    <w:bookmarkStart w:name="z3595" w:id="3599"/>
    <w:p>
      <w:pPr>
        <w:spacing w:after="0"/>
        <w:ind w:left="0"/>
        <w:jc w:val="both"/>
      </w:pPr>
      <w:r>
        <w:rPr>
          <w:rFonts w:ascii="Times New Roman"/>
          <w:b w:val="false"/>
          <w:i w:val="false"/>
          <w:color w:val="000000"/>
          <w:sz w:val="28"/>
        </w:rPr>
        <w:t>
      890. Швартовное устройство:</w:t>
      </w:r>
    </w:p>
    <w:bookmarkEnd w:id="3599"/>
    <w:bookmarkStart w:name="z3596" w:id="3600"/>
    <w:p>
      <w:pPr>
        <w:spacing w:after="0"/>
        <w:ind w:left="0"/>
        <w:jc w:val="both"/>
      </w:pPr>
      <w:r>
        <w:rPr>
          <w:rFonts w:ascii="Times New Roman"/>
          <w:b w:val="false"/>
          <w:i w:val="false"/>
          <w:color w:val="000000"/>
          <w:sz w:val="28"/>
        </w:rPr>
        <w:t>
      1) швартовные тросы;</w:t>
      </w:r>
    </w:p>
    <w:bookmarkEnd w:id="3600"/>
    <w:bookmarkStart w:name="z3597" w:id="3601"/>
    <w:p>
      <w:pPr>
        <w:spacing w:after="0"/>
        <w:ind w:left="0"/>
        <w:jc w:val="both"/>
      </w:pPr>
      <w:r>
        <w:rPr>
          <w:rFonts w:ascii="Times New Roman"/>
          <w:b w:val="false"/>
          <w:i w:val="false"/>
          <w:color w:val="000000"/>
          <w:sz w:val="28"/>
        </w:rPr>
        <w:t>
      2) швартовные кнехты, утки, киповые планки, клюзы, роульсы и стопоры.</w:t>
      </w:r>
    </w:p>
    <w:bookmarkEnd w:id="3601"/>
    <w:bookmarkStart w:name="z3598" w:id="3602"/>
    <w:p>
      <w:pPr>
        <w:spacing w:after="0"/>
        <w:ind w:left="0"/>
        <w:jc w:val="both"/>
      </w:pPr>
      <w:r>
        <w:rPr>
          <w:rFonts w:ascii="Times New Roman"/>
          <w:b w:val="false"/>
          <w:i w:val="false"/>
          <w:color w:val="000000"/>
          <w:sz w:val="28"/>
        </w:rPr>
        <w:t>
      891. Буксирное устройство:</w:t>
      </w:r>
    </w:p>
    <w:bookmarkEnd w:id="3602"/>
    <w:bookmarkStart w:name="z3599" w:id="3603"/>
    <w:p>
      <w:pPr>
        <w:spacing w:after="0"/>
        <w:ind w:left="0"/>
        <w:jc w:val="both"/>
      </w:pPr>
      <w:r>
        <w:rPr>
          <w:rFonts w:ascii="Times New Roman"/>
          <w:b w:val="false"/>
          <w:i w:val="false"/>
          <w:color w:val="000000"/>
          <w:sz w:val="28"/>
        </w:rPr>
        <w:t>
      1) буксирные тросы;</w:t>
      </w:r>
    </w:p>
    <w:bookmarkEnd w:id="3603"/>
    <w:bookmarkStart w:name="z3600" w:id="3604"/>
    <w:p>
      <w:pPr>
        <w:spacing w:after="0"/>
        <w:ind w:left="0"/>
        <w:jc w:val="both"/>
      </w:pPr>
      <w:r>
        <w:rPr>
          <w:rFonts w:ascii="Times New Roman"/>
          <w:b w:val="false"/>
          <w:i w:val="false"/>
          <w:color w:val="000000"/>
          <w:sz w:val="28"/>
        </w:rPr>
        <w:t>
      2) буксирные битенги, кнехты, киповые планки, клюзы и стопоры;</w:t>
      </w:r>
    </w:p>
    <w:bookmarkEnd w:id="3604"/>
    <w:bookmarkStart w:name="z3601" w:id="3605"/>
    <w:p>
      <w:pPr>
        <w:spacing w:after="0"/>
        <w:ind w:left="0"/>
        <w:jc w:val="both"/>
      </w:pPr>
      <w:r>
        <w:rPr>
          <w:rFonts w:ascii="Times New Roman"/>
          <w:b w:val="false"/>
          <w:i w:val="false"/>
          <w:color w:val="000000"/>
          <w:sz w:val="28"/>
        </w:rPr>
        <w:t>
      3) буксирные гаки и дуги с деталями их крепления к корпусу;</w:t>
      </w:r>
    </w:p>
    <w:bookmarkEnd w:id="3605"/>
    <w:bookmarkStart w:name="z3602" w:id="3606"/>
    <w:p>
      <w:pPr>
        <w:spacing w:after="0"/>
        <w:ind w:left="0"/>
        <w:jc w:val="both"/>
      </w:pPr>
      <w:r>
        <w:rPr>
          <w:rFonts w:ascii="Times New Roman"/>
          <w:b w:val="false"/>
          <w:i w:val="false"/>
          <w:color w:val="000000"/>
          <w:sz w:val="28"/>
        </w:rPr>
        <w:t>
      4)буксирные канифас-блоки;</w:t>
      </w:r>
    </w:p>
    <w:bookmarkEnd w:id="3606"/>
    <w:bookmarkStart w:name="z3603" w:id="3607"/>
    <w:p>
      <w:pPr>
        <w:spacing w:after="0"/>
        <w:ind w:left="0"/>
        <w:jc w:val="both"/>
      </w:pPr>
      <w:r>
        <w:rPr>
          <w:rFonts w:ascii="Times New Roman"/>
          <w:b w:val="false"/>
          <w:i w:val="false"/>
          <w:color w:val="000000"/>
          <w:sz w:val="28"/>
        </w:rPr>
        <w:t>
      892. Мачты и их такелаж:</w:t>
      </w:r>
    </w:p>
    <w:bookmarkEnd w:id="3607"/>
    <w:bookmarkStart w:name="z3604" w:id="3608"/>
    <w:p>
      <w:pPr>
        <w:spacing w:after="0"/>
        <w:ind w:left="0"/>
        <w:jc w:val="both"/>
      </w:pPr>
      <w:r>
        <w:rPr>
          <w:rFonts w:ascii="Times New Roman"/>
          <w:b w:val="false"/>
          <w:i w:val="false"/>
          <w:color w:val="000000"/>
          <w:sz w:val="28"/>
        </w:rPr>
        <w:t>
      1) металлический и деревянный рангоут, рангоут из стеклопластика;</w:t>
      </w:r>
    </w:p>
    <w:bookmarkEnd w:id="3608"/>
    <w:bookmarkStart w:name="z3605" w:id="3609"/>
    <w:p>
      <w:pPr>
        <w:spacing w:after="0"/>
        <w:ind w:left="0"/>
        <w:jc w:val="both"/>
      </w:pPr>
      <w:r>
        <w:rPr>
          <w:rFonts w:ascii="Times New Roman"/>
          <w:b w:val="false"/>
          <w:i w:val="false"/>
          <w:color w:val="000000"/>
          <w:sz w:val="28"/>
        </w:rPr>
        <w:t>
      2) тросы стоячего такелажа;</w:t>
      </w:r>
    </w:p>
    <w:bookmarkEnd w:id="3609"/>
    <w:bookmarkStart w:name="z3606" w:id="3610"/>
    <w:p>
      <w:pPr>
        <w:spacing w:after="0"/>
        <w:ind w:left="0"/>
        <w:jc w:val="both"/>
      </w:pPr>
      <w:r>
        <w:rPr>
          <w:rFonts w:ascii="Times New Roman"/>
          <w:b w:val="false"/>
          <w:i w:val="false"/>
          <w:color w:val="000000"/>
          <w:sz w:val="28"/>
        </w:rPr>
        <w:t>
      3) несъемные детали мачт и их стоячего такелажа (например, обухи, бугели);</w:t>
      </w:r>
    </w:p>
    <w:bookmarkEnd w:id="3610"/>
    <w:bookmarkStart w:name="z3607" w:id="3611"/>
    <w:p>
      <w:pPr>
        <w:spacing w:after="0"/>
        <w:ind w:left="0"/>
        <w:jc w:val="both"/>
      </w:pPr>
      <w:r>
        <w:rPr>
          <w:rFonts w:ascii="Times New Roman"/>
          <w:b w:val="false"/>
          <w:i w:val="false"/>
          <w:color w:val="000000"/>
          <w:sz w:val="28"/>
        </w:rPr>
        <w:t>
      4) съемные детали стоячего такелажа (например, скобы, талрепы);</w:t>
      </w:r>
    </w:p>
    <w:bookmarkEnd w:id="3611"/>
    <w:bookmarkStart w:name="z3608" w:id="3612"/>
    <w:p>
      <w:pPr>
        <w:spacing w:after="0"/>
        <w:ind w:left="0"/>
        <w:jc w:val="both"/>
      </w:pPr>
      <w:r>
        <w:rPr>
          <w:rFonts w:ascii="Times New Roman"/>
          <w:b w:val="false"/>
          <w:i w:val="false"/>
          <w:color w:val="000000"/>
          <w:sz w:val="28"/>
        </w:rPr>
        <w:t>
      893. Закрытия отверстий в корпусе, надстройках и рубках:</w:t>
      </w:r>
    </w:p>
    <w:bookmarkEnd w:id="3612"/>
    <w:bookmarkStart w:name="z3609" w:id="3613"/>
    <w:p>
      <w:pPr>
        <w:spacing w:after="0"/>
        <w:ind w:left="0"/>
        <w:jc w:val="both"/>
      </w:pPr>
      <w:r>
        <w:rPr>
          <w:rFonts w:ascii="Times New Roman"/>
          <w:b w:val="false"/>
          <w:i w:val="false"/>
          <w:color w:val="000000"/>
          <w:sz w:val="28"/>
        </w:rPr>
        <w:t>
      1) бортовые и палубные иллюминаторы;</w:t>
      </w:r>
    </w:p>
    <w:bookmarkEnd w:id="3613"/>
    <w:bookmarkStart w:name="z3610" w:id="3614"/>
    <w:p>
      <w:pPr>
        <w:spacing w:after="0"/>
        <w:ind w:left="0"/>
        <w:jc w:val="both"/>
      </w:pPr>
      <w:r>
        <w:rPr>
          <w:rFonts w:ascii="Times New Roman"/>
          <w:b w:val="false"/>
          <w:i w:val="false"/>
          <w:color w:val="000000"/>
          <w:sz w:val="28"/>
        </w:rPr>
        <w:t>
      2) двери носовых, бортовых и кормовых отверстий в наружной обшивке корпуса;</w:t>
      </w:r>
    </w:p>
    <w:bookmarkEnd w:id="3614"/>
    <w:bookmarkStart w:name="z3611" w:id="3615"/>
    <w:p>
      <w:pPr>
        <w:spacing w:after="0"/>
        <w:ind w:left="0"/>
        <w:jc w:val="both"/>
      </w:pPr>
      <w:r>
        <w:rPr>
          <w:rFonts w:ascii="Times New Roman"/>
          <w:b w:val="false"/>
          <w:i w:val="false"/>
          <w:color w:val="000000"/>
          <w:sz w:val="28"/>
        </w:rPr>
        <w:t>
      3) двери в надстройки и рубки;</w:t>
      </w:r>
    </w:p>
    <w:bookmarkEnd w:id="3615"/>
    <w:bookmarkStart w:name="z3612" w:id="3616"/>
    <w:p>
      <w:pPr>
        <w:spacing w:after="0"/>
        <w:ind w:left="0"/>
        <w:jc w:val="both"/>
      </w:pPr>
      <w:r>
        <w:rPr>
          <w:rFonts w:ascii="Times New Roman"/>
          <w:b w:val="false"/>
          <w:i w:val="false"/>
          <w:color w:val="000000"/>
          <w:sz w:val="28"/>
        </w:rPr>
        <w:t>
      4) сходные, световые и вентиляционные люки;</w:t>
      </w:r>
    </w:p>
    <w:bookmarkEnd w:id="3616"/>
    <w:bookmarkStart w:name="z3613" w:id="3617"/>
    <w:p>
      <w:pPr>
        <w:spacing w:after="0"/>
        <w:ind w:left="0"/>
        <w:jc w:val="both"/>
      </w:pPr>
      <w:r>
        <w:rPr>
          <w:rFonts w:ascii="Times New Roman"/>
          <w:b w:val="false"/>
          <w:i w:val="false"/>
          <w:color w:val="000000"/>
          <w:sz w:val="28"/>
        </w:rPr>
        <w:t>
      5) вентиляционные трубы;</w:t>
      </w:r>
    </w:p>
    <w:bookmarkEnd w:id="3617"/>
    <w:bookmarkStart w:name="z3614" w:id="3618"/>
    <w:p>
      <w:pPr>
        <w:spacing w:after="0"/>
        <w:ind w:left="0"/>
        <w:jc w:val="both"/>
      </w:pPr>
      <w:r>
        <w:rPr>
          <w:rFonts w:ascii="Times New Roman"/>
          <w:b w:val="false"/>
          <w:i w:val="false"/>
          <w:color w:val="000000"/>
          <w:sz w:val="28"/>
        </w:rPr>
        <w:t>
      6) горловины глубоких и других цистерн;</w:t>
      </w:r>
    </w:p>
    <w:bookmarkEnd w:id="3618"/>
    <w:bookmarkStart w:name="z3615" w:id="3619"/>
    <w:p>
      <w:pPr>
        <w:spacing w:after="0"/>
        <w:ind w:left="0"/>
        <w:jc w:val="both"/>
      </w:pPr>
      <w:r>
        <w:rPr>
          <w:rFonts w:ascii="Times New Roman"/>
          <w:b w:val="false"/>
          <w:i w:val="false"/>
          <w:color w:val="000000"/>
          <w:sz w:val="28"/>
        </w:rPr>
        <w:t>
      7) крышки грузовых люков на сухогрузных и наливных судах;</w:t>
      </w:r>
    </w:p>
    <w:bookmarkEnd w:id="3619"/>
    <w:bookmarkStart w:name="z3616" w:id="3620"/>
    <w:p>
      <w:pPr>
        <w:spacing w:after="0"/>
        <w:ind w:left="0"/>
        <w:jc w:val="both"/>
      </w:pPr>
      <w:r>
        <w:rPr>
          <w:rFonts w:ascii="Times New Roman"/>
          <w:b w:val="false"/>
          <w:i w:val="false"/>
          <w:color w:val="000000"/>
          <w:sz w:val="28"/>
        </w:rPr>
        <w:t>
      8) крышки люков грузовых отсеков на наливных судах;</w:t>
      </w:r>
    </w:p>
    <w:bookmarkEnd w:id="3620"/>
    <w:bookmarkStart w:name="z3617" w:id="3621"/>
    <w:p>
      <w:pPr>
        <w:spacing w:after="0"/>
        <w:ind w:left="0"/>
        <w:jc w:val="both"/>
      </w:pPr>
      <w:r>
        <w:rPr>
          <w:rFonts w:ascii="Times New Roman"/>
          <w:b w:val="false"/>
          <w:i w:val="false"/>
          <w:color w:val="000000"/>
          <w:sz w:val="28"/>
        </w:rPr>
        <w:t>
      9) двери в переборках деления судна на отсеки;</w:t>
      </w:r>
    </w:p>
    <w:bookmarkEnd w:id="3621"/>
    <w:bookmarkStart w:name="z3618" w:id="3622"/>
    <w:p>
      <w:pPr>
        <w:spacing w:after="0"/>
        <w:ind w:left="0"/>
        <w:jc w:val="both"/>
      </w:pPr>
      <w:r>
        <w:rPr>
          <w:rFonts w:ascii="Times New Roman"/>
          <w:b w:val="false"/>
          <w:i w:val="false"/>
          <w:color w:val="000000"/>
          <w:sz w:val="28"/>
        </w:rPr>
        <w:t>
      894. Оборудование помещений:</w:t>
      </w:r>
    </w:p>
    <w:bookmarkEnd w:id="3622"/>
    <w:bookmarkStart w:name="z3619" w:id="3623"/>
    <w:p>
      <w:pPr>
        <w:spacing w:after="0"/>
        <w:ind w:left="0"/>
        <w:jc w:val="both"/>
      </w:pPr>
      <w:r>
        <w:rPr>
          <w:rFonts w:ascii="Times New Roman"/>
          <w:b w:val="false"/>
          <w:i w:val="false"/>
          <w:color w:val="000000"/>
          <w:sz w:val="28"/>
        </w:rPr>
        <w:t>
      1) настил и обшивка в грузовых трюмах;</w:t>
      </w:r>
    </w:p>
    <w:bookmarkEnd w:id="3623"/>
    <w:bookmarkStart w:name="z3620" w:id="3624"/>
    <w:p>
      <w:pPr>
        <w:spacing w:after="0"/>
        <w:ind w:left="0"/>
        <w:jc w:val="both"/>
      </w:pPr>
      <w:r>
        <w:rPr>
          <w:rFonts w:ascii="Times New Roman"/>
          <w:b w:val="false"/>
          <w:i w:val="false"/>
          <w:color w:val="000000"/>
          <w:sz w:val="28"/>
        </w:rPr>
        <w:t>
      2) двери судовых помещений на путях эвакуации;</w:t>
      </w:r>
    </w:p>
    <w:bookmarkEnd w:id="3624"/>
    <w:bookmarkStart w:name="z3621" w:id="3625"/>
    <w:p>
      <w:pPr>
        <w:spacing w:after="0"/>
        <w:ind w:left="0"/>
        <w:jc w:val="both"/>
      </w:pPr>
      <w:r>
        <w:rPr>
          <w:rFonts w:ascii="Times New Roman"/>
          <w:b w:val="false"/>
          <w:i w:val="false"/>
          <w:color w:val="000000"/>
          <w:sz w:val="28"/>
        </w:rPr>
        <w:t>
      3) наклонные и вертикальные трапы;</w:t>
      </w:r>
    </w:p>
    <w:bookmarkEnd w:id="3625"/>
    <w:bookmarkStart w:name="z3622" w:id="3626"/>
    <w:p>
      <w:pPr>
        <w:spacing w:after="0"/>
        <w:ind w:left="0"/>
        <w:jc w:val="both"/>
      </w:pPr>
      <w:r>
        <w:rPr>
          <w:rFonts w:ascii="Times New Roman"/>
          <w:b w:val="false"/>
          <w:i w:val="false"/>
          <w:color w:val="000000"/>
          <w:sz w:val="28"/>
        </w:rPr>
        <w:t>
      4) леерное ограждение, фальшборт и переходные мостики;</w:t>
      </w:r>
    </w:p>
    <w:bookmarkEnd w:id="3626"/>
    <w:bookmarkStart w:name="z3623" w:id="3627"/>
    <w:p>
      <w:pPr>
        <w:spacing w:after="0"/>
        <w:ind w:left="0"/>
        <w:jc w:val="both"/>
      </w:pPr>
      <w:r>
        <w:rPr>
          <w:rFonts w:ascii="Times New Roman"/>
          <w:b w:val="false"/>
          <w:i w:val="false"/>
          <w:color w:val="000000"/>
          <w:sz w:val="28"/>
        </w:rPr>
        <w:t>
      5) направляющие элементы в трюмах контейнеровозов;</w:t>
      </w:r>
    </w:p>
    <w:bookmarkEnd w:id="3627"/>
    <w:bookmarkStart w:name="z3624" w:id="3628"/>
    <w:p>
      <w:pPr>
        <w:spacing w:after="0"/>
        <w:ind w:left="0"/>
        <w:jc w:val="both"/>
      </w:pPr>
      <w:r>
        <w:rPr>
          <w:rFonts w:ascii="Times New Roman"/>
          <w:b w:val="false"/>
          <w:i w:val="false"/>
          <w:color w:val="000000"/>
          <w:sz w:val="28"/>
        </w:rPr>
        <w:t>
      895. Аварийное снабжение:</w:t>
      </w:r>
    </w:p>
    <w:bookmarkEnd w:id="3628"/>
    <w:bookmarkStart w:name="z3625" w:id="3629"/>
    <w:p>
      <w:pPr>
        <w:spacing w:after="0"/>
        <w:ind w:left="0"/>
        <w:jc w:val="both"/>
      </w:pPr>
      <w:r>
        <w:rPr>
          <w:rFonts w:ascii="Times New Roman"/>
          <w:b w:val="false"/>
          <w:i w:val="false"/>
          <w:color w:val="000000"/>
          <w:sz w:val="28"/>
        </w:rPr>
        <w:t>
      1) пластыри;</w:t>
      </w:r>
    </w:p>
    <w:bookmarkEnd w:id="3629"/>
    <w:bookmarkStart w:name="z3626" w:id="3630"/>
    <w:p>
      <w:pPr>
        <w:spacing w:after="0"/>
        <w:ind w:left="0"/>
        <w:jc w:val="both"/>
      </w:pPr>
      <w:r>
        <w:rPr>
          <w:rFonts w:ascii="Times New Roman"/>
          <w:b w:val="false"/>
          <w:i w:val="false"/>
          <w:color w:val="000000"/>
          <w:sz w:val="28"/>
        </w:rPr>
        <w:t>
      2) инструменты аварийного снабжения;</w:t>
      </w:r>
    </w:p>
    <w:bookmarkEnd w:id="3630"/>
    <w:bookmarkStart w:name="z3627" w:id="3631"/>
    <w:p>
      <w:pPr>
        <w:spacing w:after="0"/>
        <w:ind w:left="0"/>
        <w:jc w:val="both"/>
      </w:pPr>
      <w:r>
        <w:rPr>
          <w:rFonts w:ascii="Times New Roman"/>
          <w:b w:val="false"/>
          <w:i w:val="false"/>
          <w:color w:val="000000"/>
          <w:sz w:val="28"/>
        </w:rPr>
        <w:t>
      3) материалы аварийного снабжения.</w:t>
      </w:r>
    </w:p>
    <w:bookmarkEnd w:id="3631"/>
    <w:bookmarkStart w:name="z3628" w:id="3632"/>
    <w:p>
      <w:pPr>
        <w:spacing w:after="0"/>
        <w:ind w:left="0"/>
        <w:jc w:val="both"/>
      </w:pPr>
      <w:r>
        <w:rPr>
          <w:rFonts w:ascii="Times New Roman"/>
          <w:b w:val="false"/>
          <w:i w:val="false"/>
          <w:color w:val="000000"/>
          <w:sz w:val="28"/>
        </w:rPr>
        <w:t>
      896. Освидетельствование Регистром судоходства изготовления изделий, указанных в подпунктах 7), 8) пунктов 888, 892, подпунктах 1), 5) пункта 894, подпунктах 2) и 3) пункта 895 настоящих Правил ограничивается только рассмотрением соответствующей технической документации.</w:t>
      </w:r>
    </w:p>
    <w:bookmarkEnd w:id="3632"/>
    <w:bookmarkStart w:name="z3629" w:id="3633"/>
    <w:p>
      <w:pPr>
        <w:spacing w:after="0"/>
        <w:ind w:left="0"/>
        <w:jc w:val="both"/>
      </w:pPr>
      <w:r>
        <w:rPr>
          <w:rFonts w:ascii="Times New Roman"/>
          <w:b w:val="false"/>
          <w:i w:val="false"/>
          <w:color w:val="000000"/>
          <w:sz w:val="28"/>
        </w:rPr>
        <w:t>
      897. На все изделия, указанные в пункте 887 настоящих Правил, Регистру судоходства должны быть представлены:</w:t>
      </w:r>
    </w:p>
    <w:bookmarkEnd w:id="3633"/>
    <w:bookmarkStart w:name="z3630" w:id="3634"/>
    <w:p>
      <w:pPr>
        <w:spacing w:after="0"/>
        <w:ind w:left="0"/>
        <w:jc w:val="both"/>
      </w:pPr>
      <w:r>
        <w:rPr>
          <w:rFonts w:ascii="Times New Roman"/>
          <w:b w:val="false"/>
          <w:i w:val="false"/>
          <w:color w:val="000000"/>
          <w:sz w:val="28"/>
        </w:rPr>
        <w:t>
      1) сборочный чертеж;</w:t>
      </w:r>
    </w:p>
    <w:bookmarkEnd w:id="3634"/>
    <w:bookmarkStart w:name="z3631" w:id="3635"/>
    <w:p>
      <w:pPr>
        <w:spacing w:after="0"/>
        <w:ind w:left="0"/>
        <w:jc w:val="both"/>
      </w:pPr>
      <w:r>
        <w:rPr>
          <w:rFonts w:ascii="Times New Roman"/>
          <w:b w:val="false"/>
          <w:i w:val="false"/>
          <w:color w:val="000000"/>
          <w:sz w:val="28"/>
        </w:rPr>
        <w:t>
      2) расчеты (штампы об одобрении не ставятся);</w:t>
      </w:r>
    </w:p>
    <w:bookmarkEnd w:id="3635"/>
    <w:bookmarkStart w:name="z3632" w:id="3636"/>
    <w:p>
      <w:pPr>
        <w:spacing w:after="0"/>
        <w:ind w:left="0"/>
        <w:jc w:val="both"/>
      </w:pPr>
      <w:r>
        <w:rPr>
          <w:rFonts w:ascii="Times New Roman"/>
          <w:b w:val="false"/>
          <w:i w:val="false"/>
          <w:color w:val="000000"/>
          <w:sz w:val="28"/>
        </w:rPr>
        <w:t>
      3) чертежи узлов и деталей, если они изготавливаются не по стандартам или техническим условиям, одобренным Регистром судоходства.</w:t>
      </w:r>
    </w:p>
    <w:bookmarkEnd w:id="3636"/>
    <w:bookmarkStart w:name="z3633" w:id="3637"/>
    <w:p>
      <w:pPr>
        <w:spacing w:after="0"/>
        <w:ind w:left="0"/>
        <w:jc w:val="both"/>
      </w:pPr>
      <w:r>
        <w:rPr>
          <w:rFonts w:ascii="Times New Roman"/>
          <w:b w:val="false"/>
          <w:i w:val="false"/>
          <w:color w:val="000000"/>
          <w:sz w:val="28"/>
        </w:rPr>
        <w:t>
      898. Материалы, применяемые для изделий, указанных в подпунктах 1)-5) пункта 888, 1)-2) пункта 889, 3) пункта 891, 2) и 7) - 9) пункта 893 настоящих Правил, при изготовлении подлежат освидетельствованию Регистром судоходства.</w:t>
      </w:r>
    </w:p>
    <w:bookmarkEnd w:id="3637"/>
    <w:bookmarkStart w:name="z3634" w:id="3638"/>
    <w:p>
      <w:pPr>
        <w:spacing w:after="0"/>
        <w:ind w:left="0"/>
        <w:jc w:val="both"/>
      </w:pPr>
      <w:r>
        <w:rPr>
          <w:rFonts w:ascii="Times New Roman"/>
          <w:b w:val="false"/>
          <w:i w:val="false"/>
          <w:color w:val="000000"/>
          <w:sz w:val="28"/>
        </w:rPr>
        <w:t>
      899. В процессе постройки судна Регистром судоходства подлежат освидетельствованию следующие устройства, оборудование и снабжение:</w:t>
      </w:r>
    </w:p>
    <w:bookmarkEnd w:id="3638"/>
    <w:bookmarkStart w:name="z3635" w:id="3639"/>
    <w:p>
      <w:pPr>
        <w:spacing w:after="0"/>
        <w:ind w:left="0"/>
        <w:jc w:val="both"/>
      </w:pPr>
      <w:r>
        <w:rPr>
          <w:rFonts w:ascii="Times New Roman"/>
          <w:b w:val="false"/>
          <w:i w:val="false"/>
          <w:color w:val="000000"/>
          <w:sz w:val="28"/>
        </w:rPr>
        <w:t>
      1) рулевое устройство;</w:t>
      </w:r>
    </w:p>
    <w:bookmarkEnd w:id="3639"/>
    <w:bookmarkStart w:name="z3636" w:id="3640"/>
    <w:p>
      <w:pPr>
        <w:spacing w:after="0"/>
        <w:ind w:left="0"/>
        <w:jc w:val="both"/>
      </w:pPr>
      <w:r>
        <w:rPr>
          <w:rFonts w:ascii="Times New Roman"/>
          <w:b w:val="false"/>
          <w:i w:val="false"/>
          <w:color w:val="000000"/>
          <w:sz w:val="28"/>
        </w:rPr>
        <w:t>
      2) якорное устройство;</w:t>
      </w:r>
    </w:p>
    <w:bookmarkEnd w:id="3640"/>
    <w:bookmarkStart w:name="z3637" w:id="3641"/>
    <w:p>
      <w:pPr>
        <w:spacing w:after="0"/>
        <w:ind w:left="0"/>
        <w:jc w:val="both"/>
      </w:pPr>
      <w:r>
        <w:rPr>
          <w:rFonts w:ascii="Times New Roman"/>
          <w:b w:val="false"/>
          <w:i w:val="false"/>
          <w:color w:val="000000"/>
          <w:sz w:val="28"/>
        </w:rPr>
        <w:t>
      3) швартовное устройство;</w:t>
      </w:r>
    </w:p>
    <w:bookmarkEnd w:id="3641"/>
    <w:bookmarkStart w:name="z3638" w:id="3642"/>
    <w:p>
      <w:pPr>
        <w:spacing w:after="0"/>
        <w:ind w:left="0"/>
        <w:jc w:val="both"/>
      </w:pPr>
      <w:r>
        <w:rPr>
          <w:rFonts w:ascii="Times New Roman"/>
          <w:b w:val="false"/>
          <w:i w:val="false"/>
          <w:color w:val="000000"/>
          <w:sz w:val="28"/>
        </w:rPr>
        <w:t>
      4) буксирное устройство;</w:t>
      </w:r>
    </w:p>
    <w:bookmarkEnd w:id="3642"/>
    <w:bookmarkStart w:name="z3639" w:id="3643"/>
    <w:p>
      <w:pPr>
        <w:spacing w:after="0"/>
        <w:ind w:left="0"/>
        <w:jc w:val="both"/>
      </w:pPr>
      <w:r>
        <w:rPr>
          <w:rFonts w:ascii="Times New Roman"/>
          <w:b w:val="false"/>
          <w:i w:val="false"/>
          <w:color w:val="000000"/>
          <w:sz w:val="28"/>
        </w:rPr>
        <w:t>
      5) мачты и их такелаж;</w:t>
      </w:r>
    </w:p>
    <w:bookmarkEnd w:id="3643"/>
    <w:bookmarkStart w:name="z3640" w:id="3644"/>
    <w:p>
      <w:pPr>
        <w:spacing w:after="0"/>
        <w:ind w:left="0"/>
        <w:jc w:val="both"/>
      </w:pPr>
      <w:r>
        <w:rPr>
          <w:rFonts w:ascii="Times New Roman"/>
          <w:b w:val="false"/>
          <w:i w:val="false"/>
          <w:color w:val="000000"/>
          <w:sz w:val="28"/>
        </w:rPr>
        <w:t>
      6) устройство и закрытие отверстий в корпусе, надстройках и рубках;</w:t>
      </w:r>
    </w:p>
    <w:bookmarkEnd w:id="3644"/>
    <w:bookmarkStart w:name="z3641" w:id="3645"/>
    <w:p>
      <w:pPr>
        <w:spacing w:after="0"/>
        <w:ind w:left="0"/>
        <w:jc w:val="both"/>
      </w:pPr>
      <w:r>
        <w:rPr>
          <w:rFonts w:ascii="Times New Roman"/>
          <w:b w:val="false"/>
          <w:i w:val="false"/>
          <w:color w:val="000000"/>
          <w:sz w:val="28"/>
        </w:rPr>
        <w:t>
      7) устройство и оборудование помещений;</w:t>
      </w:r>
    </w:p>
    <w:bookmarkEnd w:id="3645"/>
    <w:bookmarkStart w:name="z3642" w:id="3646"/>
    <w:p>
      <w:pPr>
        <w:spacing w:after="0"/>
        <w:ind w:left="0"/>
        <w:jc w:val="both"/>
      </w:pPr>
      <w:r>
        <w:rPr>
          <w:rFonts w:ascii="Times New Roman"/>
          <w:b w:val="false"/>
          <w:i w:val="false"/>
          <w:color w:val="000000"/>
          <w:sz w:val="28"/>
        </w:rPr>
        <w:t>
      8) аварийное снабжение;</w:t>
      </w:r>
    </w:p>
    <w:bookmarkEnd w:id="3646"/>
    <w:bookmarkStart w:name="z3643" w:id="3647"/>
    <w:p>
      <w:pPr>
        <w:spacing w:after="0"/>
        <w:ind w:left="0"/>
        <w:jc w:val="both"/>
      </w:pPr>
      <w:r>
        <w:rPr>
          <w:rFonts w:ascii="Times New Roman"/>
          <w:b w:val="false"/>
          <w:i w:val="false"/>
          <w:color w:val="000000"/>
          <w:sz w:val="28"/>
        </w:rPr>
        <w:t>
      9) направляющие элементы в трюмах контейнеровозов;</w:t>
      </w:r>
    </w:p>
    <w:bookmarkEnd w:id="3647"/>
    <w:bookmarkStart w:name="z3644" w:id="3648"/>
    <w:p>
      <w:pPr>
        <w:spacing w:after="0"/>
        <w:ind w:left="0"/>
        <w:jc w:val="both"/>
      </w:pPr>
      <w:r>
        <w:rPr>
          <w:rFonts w:ascii="Times New Roman"/>
          <w:b w:val="false"/>
          <w:i w:val="false"/>
          <w:color w:val="000000"/>
          <w:sz w:val="28"/>
        </w:rPr>
        <w:t>
      10) средства активного управления судном (пункты 917-923 настоящих Правил).</w:t>
      </w:r>
    </w:p>
    <w:bookmarkEnd w:id="3648"/>
    <w:bookmarkStart w:name="z3568" w:id="3649"/>
    <w:p>
      <w:pPr>
        <w:spacing w:after="0"/>
        <w:ind w:left="0"/>
        <w:jc w:val="left"/>
      </w:pPr>
      <w:r>
        <w:rPr>
          <w:rFonts w:ascii="Times New Roman"/>
          <w:b/>
          <w:i w:val="false"/>
          <w:color w:val="000000"/>
        </w:rPr>
        <w:t xml:space="preserve"> Глава 43. Общие указания. Возникающие и допускаемые напряжения</w:t>
      </w:r>
    </w:p>
    <w:bookmarkEnd w:id="3649"/>
    <w:p>
      <w:pPr>
        <w:spacing w:after="0"/>
        <w:ind w:left="0"/>
        <w:jc w:val="both"/>
      </w:pPr>
      <w:r>
        <w:rPr>
          <w:rFonts w:ascii="Times New Roman"/>
          <w:b w:val="false"/>
          <w:i w:val="false"/>
          <w:color w:val="ff0000"/>
          <w:sz w:val="28"/>
        </w:rPr>
        <w:t xml:space="preserve">
      Сноска. Заголовок главы 43 -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70" w:id="3650"/>
    <w:p>
      <w:pPr>
        <w:spacing w:after="0"/>
        <w:ind w:left="0"/>
        <w:jc w:val="both"/>
      </w:pPr>
      <w:r>
        <w:rPr>
          <w:rFonts w:ascii="Times New Roman"/>
          <w:b w:val="false"/>
          <w:i w:val="false"/>
          <w:color w:val="000000"/>
          <w:sz w:val="28"/>
        </w:rPr>
        <w:t>
      900. На судах, перевозящих наливом воспламеняющиеся жидкости с температурой вспышки 60</w:t>
      </w:r>
      <w:r>
        <w:rPr>
          <w:rFonts w:ascii="Times New Roman"/>
          <w:b w:val="false"/>
          <w:i w:val="false"/>
          <w:color w:val="000000"/>
          <w:vertAlign w:val="superscript"/>
        </w:rPr>
        <w:t>о</w:t>
      </w:r>
      <w:r>
        <w:rPr>
          <w:rFonts w:ascii="Times New Roman"/>
          <w:b w:val="false"/>
          <w:i w:val="false"/>
          <w:color w:val="000000"/>
          <w:sz w:val="28"/>
        </w:rPr>
        <w:t xml:space="preserve"> С и ниже, установка механизмов непосредственно на палубах, являющихся верхом грузовых отсеков и топливных цистерн, не допускается. В этом случае механизмы устанавливаются на специальные фундаменты, конструкция которых обеспечивает беспрепятственную циркуляцию воздуха под механизмами.</w:t>
      </w:r>
    </w:p>
    <w:bookmarkEnd w:id="3650"/>
    <w:bookmarkStart w:name="z3571" w:id="3651"/>
    <w:p>
      <w:pPr>
        <w:spacing w:after="0"/>
        <w:ind w:left="0"/>
        <w:jc w:val="both"/>
      </w:pPr>
      <w:r>
        <w:rPr>
          <w:rFonts w:ascii="Times New Roman"/>
          <w:b w:val="false"/>
          <w:i w:val="false"/>
          <w:color w:val="000000"/>
          <w:sz w:val="28"/>
        </w:rPr>
        <w:t>
      901. Необходимо чтобы план расположения швартовных и буксирных устройств с соответствующей информацией находился на борту судна как руководство для капитана.</w:t>
      </w:r>
    </w:p>
    <w:bookmarkEnd w:id="3651"/>
    <w:bookmarkStart w:name="z3572" w:id="3652"/>
    <w:p>
      <w:pPr>
        <w:spacing w:after="0"/>
        <w:ind w:left="0"/>
        <w:jc w:val="both"/>
      </w:pPr>
      <w:r>
        <w:rPr>
          <w:rFonts w:ascii="Times New Roman"/>
          <w:b w:val="false"/>
          <w:i w:val="false"/>
          <w:color w:val="000000"/>
          <w:sz w:val="28"/>
        </w:rPr>
        <w:t>
      Информация, предусмотренная в плане в отношении применяемого судового оборудования, включает следующее:</w:t>
      </w:r>
    </w:p>
    <w:bookmarkEnd w:id="3652"/>
    <w:bookmarkStart w:name="z3573" w:id="3653"/>
    <w:p>
      <w:pPr>
        <w:spacing w:after="0"/>
        <w:ind w:left="0"/>
        <w:jc w:val="both"/>
      </w:pPr>
      <w:r>
        <w:rPr>
          <w:rFonts w:ascii="Times New Roman"/>
          <w:b w:val="false"/>
          <w:i w:val="false"/>
          <w:color w:val="000000"/>
          <w:sz w:val="28"/>
        </w:rPr>
        <w:t>
      1) тип и месторасположение на судне;</w:t>
      </w:r>
    </w:p>
    <w:bookmarkEnd w:id="3653"/>
    <w:bookmarkStart w:name="z3574" w:id="3654"/>
    <w:p>
      <w:pPr>
        <w:spacing w:after="0"/>
        <w:ind w:left="0"/>
        <w:jc w:val="both"/>
      </w:pPr>
      <w:r>
        <w:rPr>
          <w:rFonts w:ascii="Times New Roman"/>
          <w:b w:val="false"/>
          <w:i w:val="false"/>
          <w:color w:val="000000"/>
          <w:sz w:val="28"/>
        </w:rPr>
        <w:t>
      2) безопасную рабочую нагрузку;</w:t>
      </w:r>
    </w:p>
    <w:bookmarkEnd w:id="3654"/>
    <w:bookmarkStart w:name="z3575" w:id="3655"/>
    <w:p>
      <w:pPr>
        <w:spacing w:after="0"/>
        <w:ind w:left="0"/>
        <w:jc w:val="both"/>
      </w:pPr>
      <w:r>
        <w:rPr>
          <w:rFonts w:ascii="Times New Roman"/>
          <w:b w:val="false"/>
          <w:i w:val="false"/>
          <w:color w:val="000000"/>
          <w:sz w:val="28"/>
        </w:rPr>
        <w:t>
      3) назначение (швартовка/буксировка в порту/экспортные операции);</w:t>
      </w:r>
    </w:p>
    <w:bookmarkEnd w:id="3655"/>
    <w:bookmarkStart w:name="z3576" w:id="3656"/>
    <w:p>
      <w:pPr>
        <w:spacing w:after="0"/>
        <w:ind w:left="0"/>
        <w:jc w:val="both"/>
      </w:pPr>
      <w:r>
        <w:rPr>
          <w:rFonts w:ascii="Times New Roman"/>
          <w:b w:val="false"/>
          <w:i w:val="false"/>
          <w:color w:val="000000"/>
          <w:sz w:val="28"/>
        </w:rPr>
        <w:t>
      4) способ применения нагрузки на швартовные и буксирные канаты, включая регламентируемые углы наклона.</w:t>
      </w:r>
    </w:p>
    <w:bookmarkEnd w:id="3656"/>
    <w:bookmarkStart w:name="z3577" w:id="3657"/>
    <w:p>
      <w:pPr>
        <w:spacing w:after="0"/>
        <w:ind w:left="0"/>
        <w:jc w:val="both"/>
      </w:pPr>
      <w:r>
        <w:rPr>
          <w:rFonts w:ascii="Times New Roman"/>
          <w:b w:val="false"/>
          <w:i w:val="false"/>
          <w:color w:val="000000"/>
          <w:sz w:val="28"/>
        </w:rPr>
        <w:t>
      Также указывают количество швартовных канатов и их разрывная нагрузка.</w:t>
      </w:r>
    </w:p>
    <w:bookmarkEnd w:id="3657"/>
    <w:bookmarkStart w:name="z3645" w:id="3658"/>
    <w:p>
      <w:pPr>
        <w:spacing w:after="0"/>
        <w:ind w:left="0"/>
        <w:jc w:val="both"/>
      </w:pPr>
      <w:r>
        <w:rPr>
          <w:rFonts w:ascii="Times New Roman"/>
          <w:b w:val="false"/>
          <w:i w:val="false"/>
          <w:color w:val="000000"/>
          <w:sz w:val="28"/>
        </w:rPr>
        <w:t>
      Данная информация включается в карточку лоцмана для того, чтобы предоставить лоцману соответствующую информацию в отношении операций в порту/эскорт.</w:t>
      </w:r>
    </w:p>
    <w:bookmarkEnd w:id="3658"/>
    <w:bookmarkStart w:name="z3646" w:id="3659"/>
    <w:p>
      <w:pPr>
        <w:spacing w:after="0"/>
        <w:ind w:left="0"/>
        <w:jc w:val="both"/>
      </w:pPr>
      <w:r>
        <w:rPr>
          <w:rFonts w:ascii="Times New Roman"/>
          <w:b w:val="false"/>
          <w:i w:val="false"/>
          <w:color w:val="000000"/>
          <w:sz w:val="28"/>
        </w:rPr>
        <w:t xml:space="preserve">
      902. Там, где в тексте настоящем подразделе Правил упоминаются возникающие напряжения, под ними понимаются приведенные напряжения </w:t>
      </w:r>
    </w:p>
    <w:bookmarkEnd w:id="3659"/>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МПа, вычисляемые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xml:space="preserve"> = </w:t>
      </w:r>
    </w:p>
    <w:p>
      <w:pPr>
        <w:spacing w:after="0"/>
        <w:ind w:left="0"/>
        <w:jc w:val="both"/>
      </w:pPr>
      <w:r>
        <w:drawing>
          <wp:inline distT="0" distB="0" distL="0" distR="0">
            <wp:extent cx="774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774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нормальные напряжения в рассматриваемом сечении, МПа;</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касательные напряжения в рассматриваемом сечении, МПа.</w:t>
      </w:r>
      <w:r>
        <w:br/>
      </w:r>
      <w:r>
        <w:rPr>
          <w:rFonts w:ascii="Times New Roman"/>
          <w:b w:val="false"/>
          <w:i w:val="false"/>
          <w:color w:val="000000"/>
          <w:sz w:val="28"/>
        </w:rPr>
        <w:t>
</w:t>
      </w:r>
    </w:p>
    <w:bookmarkStart w:name="z3647" w:id="3660"/>
    <w:p>
      <w:pPr>
        <w:spacing w:after="0"/>
        <w:ind w:left="0"/>
        <w:jc w:val="both"/>
      </w:pPr>
      <w:r>
        <w:rPr>
          <w:rFonts w:ascii="Times New Roman"/>
          <w:b w:val="false"/>
          <w:i w:val="false"/>
          <w:color w:val="000000"/>
          <w:sz w:val="28"/>
        </w:rPr>
        <w:t>
      По этим напряжениям производится проверка условий прочности.</w:t>
      </w:r>
    </w:p>
    <w:bookmarkEnd w:id="3660"/>
    <w:bookmarkStart w:name="z3648" w:id="3661"/>
    <w:p>
      <w:pPr>
        <w:spacing w:after="0"/>
        <w:ind w:left="0"/>
        <w:jc w:val="both"/>
      </w:pPr>
      <w:r>
        <w:rPr>
          <w:rFonts w:ascii="Times New Roman"/>
          <w:b w:val="false"/>
          <w:i w:val="false"/>
          <w:color w:val="000000"/>
          <w:sz w:val="28"/>
        </w:rPr>
        <w:t>
      903. Допускаемые напряжения, с которыми сравниваются приведенные при проверке условий прочности, регламентированы настоящей частью в долях предела текучести применяемого материала;</w:t>
      </w:r>
    </w:p>
    <w:bookmarkEnd w:id="3661"/>
    <w:bookmarkStart w:name="z3649" w:id="3662"/>
    <w:p>
      <w:pPr>
        <w:spacing w:after="0"/>
        <w:ind w:left="0"/>
        <w:jc w:val="both"/>
      </w:pPr>
      <w:r>
        <w:rPr>
          <w:rFonts w:ascii="Times New Roman"/>
          <w:b w:val="false"/>
          <w:i w:val="false"/>
          <w:color w:val="000000"/>
          <w:sz w:val="28"/>
        </w:rPr>
        <w:t>
      при этом (если иное особо не оговорено) предел текучести принимается не более 0,7 предела прочности того же материала.</w:t>
      </w:r>
    </w:p>
    <w:bookmarkEnd w:id="3662"/>
    <w:bookmarkStart w:name="z3650" w:id="3663"/>
    <w:p>
      <w:pPr>
        <w:spacing w:after="0"/>
        <w:ind w:left="0"/>
        <w:jc w:val="left"/>
      </w:pPr>
      <w:r>
        <w:rPr>
          <w:rFonts w:ascii="Times New Roman"/>
          <w:b/>
          <w:i w:val="false"/>
          <w:color w:val="000000"/>
        </w:rPr>
        <w:t xml:space="preserve"> Глава 44. Материалы и сварка</w:t>
      </w:r>
    </w:p>
    <w:bookmarkEnd w:id="3663"/>
    <w:p>
      <w:pPr>
        <w:spacing w:after="0"/>
        <w:ind w:left="0"/>
        <w:jc w:val="both"/>
      </w:pPr>
      <w:r>
        <w:rPr>
          <w:rFonts w:ascii="Times New Roman"/>
          <w:b w:val="false"/>
          <w:i w:val="false"/>
          <w:color w:val="ff0000"/>
          <w:sz w:val="28"/>
        </w:rPr>
        <w:t xml:space="preserve">
      Сноска. Заголовок главы 44 -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51" w:id="3664"/>
    <w:p>
      <w:pPr>
        <w:spacing w:after="0"/>
        <w:ind w:left="0"/>
        <w:jc w:val="both"/>
      </w:pPr>
      <w:r>
        <w:rPr>
          <w:rFonts w:ascii="Times New Roman"/>
          <w:b w:val="false"/>
          <w:i w:val="false"/>
          <w:color w:val="000000"/>
          <w:sz w:val="28"/>
        </w:rPr>
        <w:t>
      904. Необходимо чтобы стальные поковки и отливки, листовая, профильная и сортовая сталь, сталь для цепей, применяемые для изделий, указанных в подпунктах 1) – 5), 7) пункта 888, 1) – 2) пункта 889, 3) пункта 891, 2), 7) и 9) пункта 893 настоящих Правил соответствовали требованиям раздела 15 настоящих Правил. Материалы для остальных изделий устройств, оборудования и снабжения, если иное не оговорено в Правилах особо, должны соответствововать требованиям, указанным в документации одобренного Регистром судоходства проекта.</w:t>
      </w:r>
    </w:p>
    <w:bookmarkEnd w:id="3664"/>
    <w:bookmarkStart w:name="z3652" w:id="3665"/>
    <w:p>
      <w:pPr>
        <w:spacing w:after="0"/>
        <w:ind w:left="0"/>
        <w:jc w:val="both"/>
      </w:pPr>
      <w:r>
        <w:rPr>
          <w:rFonts w:ascii="Times New Roman"/>
          <w:b w:val="false"/>
          <w:i w:val="false"/>
          <w:color w:val="000000"/>
          <w:sz w:val="28"/>
        </w:rPr>
        <w:t>
      905. Выбор категорий листовой и профильной стали (приложения 528 и 529 настоящих Правил) для изделий, указанных в подпунктах 2) и 3) пункта 888 настоящих Правил, производится в соответствии с пунктом 183 настоящих Правил как для группы II;</w:t>
      </w:r>
    </w:p>
    <w:bookmarkEnd w:id="3665"/>
    <w:bookmarkStart w:name="z3653" w:id="3666"/>
    <w:p>
      <w:pPr>
        <w:spacing w:after="0"/>
        <w:ind w:left="0"/>
        <w:jc w:val="both"/>
      </w:pPr>
      <w:r>
        <w:rPr>
          <w:rFonts w:ascii="Times New Roman"/>
          <w:b w:val="false"/>
          <w:i w:val="false"/>
          <w:color w:val="000000"/>
          <w:sz w:val="28"/>
        </w:rPr>
        <w:t>
      для ледоколов применяется сталь не ниже категории В, а для пера руля ледоколов — не ниже категории D. Для изделий, указанных в подпункте 2) пункта 893 настоящих Правил, выбор категорий листовой и профильной стали основных несущих связей набора и настила секций, конструкций, обеспечивающих фиксацию изделий в походном положении, а также ответственных деталей приводов изделий, предназначенных для открывания в море, производится в соответствии с пунктом 151 настоящих Правил как для группы II.</w:t>
      </w:r>
    </w:p>
    <w:bookmarkEnd w:id="3666"/>
    <w:bookmarkStart w:name="z3654" w:id="3667"/>
    <w:p>
      <w:pPr>
        <w:spacing w:after="0"/>
        <w:ind w:left="0"/>
        <w:jc w:val="both"/>
      </w:pPr>
      <w:r>
        <w:rPr>
          <w:rFonts w:ascii="Times New Roman"/>
          <w:b w:val="false"/>
          <w:i w:val="false"/>
          <w:color w:val="000000"/>
          <w:sz w:val="28"/>
        </w:rPr>
        <w:t>
      906. Сварка элементов конструкции судовых устройств, оборудования и снабжения выполняется в соответствии с требованиями раздела 16 настоящих Правил;</w:t>
      </w:r>
    </w:p>
    <w:bookmarkEnd w:id="3667"/>
    <w:bookmarkStart w:name="z3655" w:id="3668"/>
    <w:p>
      <w:pPr>
        <w:spacing w:after="0"/>
        <w:ind w:left="0"/>
        <w:jc w:val="both"/>
      </w:pPr>
      <w:r>
        <w:rPr>
          <w:rFonts w:ascii="Times New Roman"/>
          <w:b w:val="false"/>
          <w:i w:val="false"/>
          <w:color w:val="000000"/>
          <w:sz w:val="28"/>
        </w:rPr>
        <w:t>
      сварные конструкции и соединения изделий, указанных в подпунктах 2), 7) и 9) пункта 893 настоящих Правил, кроме того, соответствуют применимым требованиям главы 14 настоящих Правил.</w:t>
      </w:r>
    </w:p>
    <w:bookmarkEnd w:id="3668"/>
    <w:bookmarkStart w:name="z3656" w:id="3669"/>
    <w:p>
      <w:pPr>
        <w:spacing w:after="0"/>
        <w:ind w:left="0"/>
        <w:jc w:val="left"/>
      </w:pPr>
      <w:r>
        <w:rPr>
          <w:rFonts w:ascii="Times New Roman"/>
          <w:b/>
          <w:i w:val="false"/>
          <w:color w:val="000000"/>
        </w:rPr>
        <w:t xml:space="preserve"> Глава 45. Расчетные коэффициенты ускорений вследствие волнения</w:t>
      </w:r>
    </w:p>
    <w:bookmarkEnd w:id="3669"/>
    <w:p>
      <w:pPr>
        <w:spacing w:after="0"/>
        <w:ind w:left="0"/>
        <w:jc w:val="both"/>
      </w:pPr>
      <w:r>
        <w:rPr>
          <w:rFonts w:ascii="Times New Roman"/>
          <w:b w:val="false"/>
          <w:i w:val="false"/>
          <w:color w:val="ff0000"/>
          <w:sz w:val="28"/>
        </w:rPr>
        <w:t xml:space="preserve">
      Сноска. Заголовок главы 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57" w:id="3670"/>
    <w:p>
      <w:pPr>
        <w:spacing w:after="0"/>
        <w:ind w:left="0"/>
        <w:jc w:val="both"/>
      </w:pPr>
      <w:r>
        <w:rPr>
          <w:rFonts w:ascii="Times New Roman"/>
          <w:b w:val="false"/>
          <w:i w:val="false"/>
          <w:color w:val="000000"/>
          <w:sz w:val="28"/>
        </w:rPr>
        <w:t>
      907. Указанные в этой главе расчетные безразмерные, отнесенные к ускорению силы тяжести коэффициенты ускорения, следует применять для расчета нагрузок в оборудовании, устройствах и комплектах грузовых единиц на судах неограниченного района плавания и ограниченного района плавания R1.</w:t>
      </w:r>
    </w:p>
    <w:bookmarkEnd w:id="3670"/>
    <w:bookmarkStart w:name="z3658" w:id="3671"/>
    <w:p>
      <w:pPr>
        <w:spacing w:after="0"/>
        <w:ind w:left="0"/>
        <w:jc w:val="both"/>
      </w:pPr>
      <w:r>
        <w:rPr>
          <w:rFonts w:ascii="Times New Roman"/>
          <w:b w:val="false"/>
          <w:i w:val="false"/>
          <w:color w:val="000000"/>
          <w:sz w:val="28"/>
        </w:rPr>
        <w:t>
      908. Для судов других районов плавания допускается применять коэффициенты ускорения, отличающиеся от данных требований, которые необходимо доказать соответствующими расчетами, признанными Регистром судоходства.</w:t>
      </w:r>
    </w:p>
    <w:bookmarkEnd w:id="3671"/>
    <w:bookmarkStart w:name="z3659" w:id="3672"/>
    <w:p>
      <w:pPr>
        <w:spacing w:after="0"/>
        <w:ind w:left="0"/>
        <w:jc w:val="both"/>
      </w:pPr>
      <w:r>
        <w:rPr>
          <w:rFonts w:ascii="Times New Roman"/>
          <w:b w:val="false"/>
          <w:i w:val="false"/>
          <w:color w:val="000000"/>
          <w:sz w:val="28"/>
        </w:rPr>
        <w:t>
      909. Безразмерный коэффициент ускорения вследствие вертикальной, килевой и бортовой качки a</w:t>
      </w:r>
      <w:r>
        <w:rPr>
          <w:rFonts w:ascii="Times New Roman"/>
          <w:b w:val="false"/>
          <w:i w:val="false"/>
          <w:color w:val="000000"/>
          <w:vertAlign w:val="subscript"/>
        </w:rPr>
        <w:t>z</w:t>
      </w:r>
      <w:r>
        <w:rPr>
          <w:rFonts w:ascii="Times New Roman"/>
          <w:b w:val="false"/>
          <w:i w:val="false"/>
          <w:color w:val="000000"/>
          <w:sz w:val="28"/>
        </w:rPr>
        <w:t>, действующий перпендикулярно к плоскостям ватерлиний судна, определяется по формуле:</w:t>
      </w:r>
    </w:p>
    <w:bookmarkEnd w:id="3672"/>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a</w:t>
      </w:r>
      <w:r>
        <w:rPr>
          <w:rFonts w:ascii="Times New Roman"/>
          <w:b w:val="false"/>
          <w:i w:val="false"/>
          <w:color w:val="000000"/>
          <w:vertAlign w:val="subscript"/>
        </w:rPr>
        <w:t>0</w:t>
      </w:r>
    </w:p>
    <w:p>
      <w:pPr>
        <w:spacing w:after="0"/>
        <w:ind w:left="0"/>
        <w:jc w:val="both"/>
      </w:pPr>
      <w:r>
        <w:drawing>
          <wp:inline distT="0" distB="0" distL="0" distR="0">
            <wp:extent cx="2400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2400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0</w:t>
      </w:r>
      <w:r>
        <w:rPr>
          <w:rFonts w:ascii="Times New Roman"/>
          <w:b w:val="false"/>
          <w:i w:val="false"/>
          <w:color w:val="000000"/>
          <w:sz w:val="28"/>
        </w:rPr>
        <w:t xml:space="preserve"> = 0,2</w:t>
      </w:r>
    </w:p>
    <w:p>
      <w:pPr>
        <w:spacing w:after="0"/>
        <w:ind w:left="0"/>
        <w:jc w:val="both"/>
      </w:pPr>
      <w:r>
        <w:drawing>
          <wp:inline distT="0" distB="0" distL="0" distR="0">
            <wp:extent cx="1346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1346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наибольшая скорость судна при переднем ходе и осадке по летнюю грузовую ватерлинию на тихой воде, уз.;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судна,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отстояние центра масс данного оборудования, устройства или комплекта грузовых единиц от кормового перпендикуляра, м;</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В</w:t>
      </w:r>
      <w:r>
        <w:rPr>
          <w:rFonts w:ascii="Times New Roman"/>
          <w:b w:val="false"/>
          <w:i w:val="false"/>
          <w:color w:val="000000"/>
          <w:sz w:val="28"/>
        </w:rPr>
        <w:t xml:space="preserve"> — коэффициент полноты водоизмещения при осадке по летнюю грузовую ватерлинию.</w:t>
      </w:r>
    </w:p>
    <w:bookmarkStart w:name="z3660" w:id="3673"/>
    <w:p>
      <w:pPr>
        <w:spacing w:after="0"/>
        <w:ind w:left="0"/>
        <w:jc w:val="both"/>
      </w:pPr>
      <w:r>
        <w:rPr>
          <w:rFonts w:ascii="Times New Roman"/>
          <w:b w:val="false"/>
          <w:i w:val="false"/>
          <w:color w:val="000000"/>
          <w:sz w:val="28"/>
        </w:rPr>
        <w:t>
      Коэффициент a</w:t>
      </w:r>
      <w:r>
        <w:rPr>
          <w:rFonts w:ascii="Times New Roman"/>
          <w:b w:val="false"/>
          <w:i w:val="false"/>
          <w:color w:val="000000"/>
          <w:vertAlign w:val="subscript"/>
        </w:rPr>
        <w:t>z</w:t>
      </w:r>
      <w:r>
        <w:rPr>
          <w:rFonts w:ascii="Times New Roman"/>
          <w:b w:val="false"/>
          <w:i w:val="false"/>
          <w:color w:val="000000"/>
          <w:sz w:val="28"/>
        </w:rPr>
        <w:t xml:space="preserve"> не содержит составляющей силы тяжести.</w:t>
      </w:r>
    </w:p>
    <w:bookmarkEnd w:id="3673"/>
    <w:bookmarkStart w:name="z3661" w:id="3674"/>
    <w:p>
      <w:pPr>
        <w:spacing w:after="0"/>
        <w:ind w:left="0"/>
        <w:jc w:val="both"/>
      </w:pPr>
      <w:r>
        <w:rPr>
          <w:rFonts w:ascii="Times New Roman"/>
          <w:b w:val="false"/>
          <w:i w:val="false"/>
          <w:color w:val="000000"/>
          <w:sz w:val="28"/>
        </w:rPr>
        <w:t>
      910. Безразмерный коэффициент ускорения вследствие поперечного перемещения, рысканья и бортовой качки а</w:t>
      </w:r>
      <w:r>
        <w:rPr>
          <w:rFonts w:ascii="Times New Roman"/>
          <w:b w:val="false"/>
          <w:i w:val="false"/>
          <w:color w:val="000000"/>
          <w:vertAlign w:val="subscript"/>
        </w:rPr>
        <w:t>у</w:t>
      </w:r>
      <w:r>
        <w:rPr>
          <w:rFonts w:ascii="Times New Roman"/>
          <w:b w:val="false"/>
          <w:i w:val="false"/>
          <w:color w:val="000000"/>
          <w:sz w:val="28"/>
        </w:rPr>
        <w:t>, действующий перпендикулярно к диаметральной плоскости судна, определяется по формуле:</w:t>
      </w:r>
    </w:p>
    <w:bookmarkEnd w:id="3674"/>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а</w:t>
      </w:r>
      <w:r>
        <w:rPr>
          <w:rFonts w:ascii="Times New Roman"/>
          <w:b w:val="false"/>
          <w:i w:val="false"/>
          <w:color w:val="000000"/>
          <w:vertAlign w:val="subscript"/>
        </w:rPr>
        <w:t xml:space="preserve">0 </w:t>
      </w:r>
    </w:p>
    <w:p>
      <w:pPr>
        <w:spacing w:after="0"/>
        <w:ind w:left="0"/>
        <w:jc w:val="both"/>
      </w:pPr>
      <w:r>
        <w:drawing>
          <wp:inline distT="0" distB="0" distL="0" distR="0">
            <wp:extent cx="2527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2527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1</w:t>
      </w:r>
      <w:r>
        <w:rPr>
          <w:rFonts w:ascii="Times New Roman"/>
          <w:b w:val="false"/>
          <w:i w:val="false"/>
          <w:color w:val="000000"/>
          <w:sz w:val="28"/>
        </w:rPr>
        <w:t xml:space="preserve"> — коэффициент остойчивости, определяемый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(406)</w:t>
      </w:r>
      <w:r>
        <w:br/>
      </w:r>
      <w:r>
        <w:rPr>
          <w:rFonts w:ascii="Times New Roman"/>
          <w:b w:val="false"/>
          <w:i w:val="false"/>
          <w:color w:val="000000"/>
          <w:sz w:val="28"/>
        </w:rPr>
        <w:t>
</w:t>
      </w:r>
    </w:p>
    <w:bookmarkStart w:name="z3662" w:id="3675"/>
    <w:p>
      <w:pPr>
        <w:spacing w:after="0"/>
        <w:ind w:left="0"/>
        <w:jc w:val="both"/>
      </w:pPr>
      <w:r>
        <w:rPr>
          <w:rFonts w:ascii="Times New Roman"/>
          <w:b w:val="false"/>
          <w:i w:val="false"/>
          <w:color w:val="000000"/>
          <w:sz w:val="28"/>
        </w:rPr>
        <w:t>
      Если согласно формуле (406) настоящих Правил k</w:t>
      </w:r>
      <w:r>
        <w:rPr>
          <w:rFonts w:ascii="Times New Roman"/>
          <w:b w:val="false"/>
          <w:i w:val="false"/>
          <w:color w:val="000000"/>
          <w:vertAlign w:val="subscript"/>
        </w:rPr>
        <w:t>1</w:t>
      </w:r>
      <w:r>
        <w:rPr>
          <w:rFonts w:ascii="Times New Roman"/>
          <w:b w:val="false"/>
          <w:i w:val="false"/>
          <w:color w:val="000000"/>
          <w:sz w:val="28"/>
        </w:rPr>
        <w:t xml:space="preserve"> &lt; 1,0, то для расчета а</w:t>
      </w:r>
      <w:r>
        <w:rPr>
          <w:rFonts w:ascii="Times New Roman"/>
          <w:b w:val="false"/>
          <w:i w:val="false"/>
          <w:color w:val="000000"/>
          <w:vertAlign w:val="subscript"/>
        </w:rPr>
        <w:t>у</w:t>
      </w:r>
      <w:r>
        <w:rPr>
          <w:rFonts w:ascii="Times New Roman"/>
          <w:b w:val="false"/>
          <w:i w:val="false"/>
          <w:color w:val="000000"/>
          <w:sz w:val="28"/>
        </w:rPr>
        <w:t xml:space="preserve"> принимается k</w:t>
      </w:r>
      <w:r>
        <w:rPr>
          <w:rFonts w:ascii="Times New Roman"/>
          <w:b w:val="false"/>
          <w:i w:val="false"/>
          <w:color w:val="000000"/>
          <w:vertAlign w:val="subscript"/>
        </w:rPr>
        <w:t>1</w:t>
      </w:r>
      <w:r>
        <w:rPr>
          <w:rFonts w:ascii="Times New Roman"/>
          <w:b w:val="false"/>
          <w:i w:val="false"/>
          <w:color w:val="000000"/>
          <w:sz w:val="28"/>
        </w:rPr>
        <w:t xml:space="preserve"> = 1,0;</w:t>
      </w:r>
    </w:p>
    <w:bookmarkEnd w:id="36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304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поперечная метацентрическая высота нагруженного судна с объемом и распределением запасов, дающими наибольшее значение для </w:t>
      </w:r>
    </w:p>
    <w:p>
      <w:pPr>
        <w:spacing w:after="0"/>
        <w:ind w:left="0"/>
        <w:jc w:val="both"/>
      </w:pPr>
      <w:r>
        <w:drawing>
          <wp:inline distT="0" distB="0" distL="0" distR="0">
            <wp:extent cx="304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304800" cy="203200"/>
                    </a:xfrm>
                    <a:prstGeom prst="rect">
                      <a:avLst/>
                    </a:prstGeom>
                  </pic:spPr>
                </pic:pic>
              </a:graphicData>
            </a:graphic>
          </wp:inline>
        </w:drawing>
      </w:r>
    </w:p>
    <w:p>
      <w:pPr>
        <w:spacing w:after="0"/>
        <w:ind w:left="0"/>
        <w:jc w:val="left"/>
      </w:pPr>
      <w:r>
        <w:rPr>
          <w:rFonts w:ascii="Times New Roman"/>
          <w:b w:val="false"/>
          <w:i w:val="false"/>
          <w:color w:val="000000"/>
          <w:sz w:val="28"/>
        </w:rPr>
        <w:t>,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ширина судна,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вертикальное отстояние центра масс данного оборудования, устройства или комплекта грузовых единиц от летней грузовой ватерлинии,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принимается положительным над летней грузовой ватерлинией и отрицательным под летней грузовой ватерлинией.</w:t>
      </w:r>
    </w:p>
    <w:bookmarkStart w:name="z3663" w:id="3676"/>
    <w:p>
      <w:pPr>
        <w:spacing w:after="0"/>
        <w:ind w:left="0"/>
        <w:jc w:val="both"/>
      </w:pPr>
      <w:r>
        <w:rPr>
          <w:rFonts w:ascii="Times New Roman"/>
          <w:b w:val="false"/>
          <w:i w:val="false"/>
          <w:color w:val="000000"/>
          <w:sz w:val="28"/>
        </w:rPr>
        <w:t>
      Коэффициент а</w:t>
      </w:r>
      <w:r>
        <w:rPr>
          <w:rFonts w:ascii="Times New Roman"/>
          <w:b w:val="false"/>
          <w:i w:val="false"/>
          <w:color w:val="000000"/>
          <w:vertAlign w:val="subscript"/>
        </w:rPr>
        <w:t>у</w:t>
      </w:r>
      <w:r>
        <w:rPr>
          <w:rFonts w:ascii="Times New Roman"/>
          <w:b w:val="false"/>
          <w:i w:val="false"/>
          <w:color w:val="000000"/>
          <w:sz w:val="28"/>
        </w:rPr>
        <w:t xml:space="preserve"> содержит составляющую силу тяжести вследствие бортовой качки.</w:t>
      </w:r>
    </w:p>
    <w:bookmarkEnd w:id="3676"/>
    <w:bookmarkStart w:name="z3664" w:id="3677"/>
    <w:p>
      <w:pPr>
        <w:spacing w:after="0"/>
        <w:ind w:left="0"/>
        <w:jc w:val="both"/>
      </w:pPr>
      <w:r>
        <w:rPr>
          <w:rFonts w:ascii="Times New Roman"/>
          <w:b w:val="false"/>
          <w:i w:val="false"/>
          <w:color w:val="000000"/>
          <w:sz w:val="28"/>
        </w:rPr>
        <w:t>
      911. Безразмерный коэффициент ускорения вследствие продольного перемещения и килевой качки а</w:t>
      </w:r>
      <w:r>
        <w:rPr>
          <w:rFonts w:ascii="Times New Roman"/>
          <w:b w:val="false"/>
          <w:i w:val="false"/>
          <w:color w:val="000000"/>
          <w:vertAlign w:val="subscript"/>
        </w:rPr>
        <w:t>x</w:t>
      </w:r>
      <w:r>
        <w:rPr>
          <w:rFonts w:ascii="Times New Roman"/>
          <w:b w:val="false"/>
          <w:i w:val="false"/>
          <w:color w:val="000000"/>
          <w:sz w:val="28"/>
        </w:rPr>
        <w:t>, действующий перпендикулярно к плоскости мидель-шпангоута судна, определяется по формуле:</w:t>
      </w:r>
    </w:p>
    <w:bookmarkEnd w:id="3677"/>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а</w:t>
      </w:r>
      <w:r>
        <w:rPr>
          <w:rFonts w:ascii="Times New Roman"/>
          <w:b w:val="false"/>
          <w:i w:val="false"/>
          <w:color w:val="000000"/>
          <w:vertAlign w:val="subscript"/>
        </w:rPr>
        <w:t>О</w:t>
      </w:r>
    </w:p>
    <w:p>
      <w:pPr>
        <w:spacing w:after="0"/>
        <w:ind w:left="0"/>
        <w:jc w:val="both"/>
      </w:pPr>
      <w:r>
        <w:drawing>
          <wp:inline distT="0" distB="0" distL="0" distR="0">
            <wp:extent cx="146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1460500" cy="317500"/>
                    </a:xfrm>
                    <a:prstGeom prst="rect">
                      <a:avLst/>
                    </a:prstGeom>
                  </pic:spPr>
                </pic:pic>
              </a:graphicData>
            </a:graphic>
          </wp:inline>
        </w:drawing>
      </w:r>
    </w:p>
    <w:p>
      <w:pPr>
        <w:spacing w:after="0"/>
        <w:ind w:left="0"/>
        <w:jc w:val="left"/>
      </w:pPr>
      <w:r>
        <w:rPr>
          <w:rFonts w:ascii="Times New Roman"/>
          <w:b w:val="false"/>
          <w:i w:val="false"/>
          <w:color w:val="000000"/>
          <w:sz w:val="28"/>
        </w:rPr>
        <w:t>,                   (407)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2</w:t>
      </w:r>
      <w:r>
        <w:rPr>
          <w:rFonts w:ascii="Times New Roman"/>
          <w:b w:val="false"/>
          <w:i w:val="false"/>
          <w:color w:val="000000"/>
          <w:sz w:val="28"/>
        </w:rPr>
        <w:t xml:space="preserve"> — коэффициент, определяемый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(0,7-</w:t>
      </w:r>
    </w:p>
    <w:p>
      <w:pPr>
        <w:spacing w:after="0"/>
        <w:ind w:left="0"/>
        <w:jc w:val="both"/>
      </w:pPr>
      <w:r>
        <w:drawing>
          <wp:inline distT="0" distB="0" distL="0" distR="0">
            <wp:extent cx="107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079500" cy="469900"/>
                    </a:xfrm>
                    <a:prstGeom prst="rect">
                      <a:avLst/>
                    </a:prstGeom>
                  </pic:spPr>
                </pic:pic>
              </a:graphicData>
            </a:graphic>
          </wp:inline>
        </w:drawing>
      </w:r>
    </w:p>
    <w:p>
      <w:pPr>
        <w:spacing w:after="0"/>
        <w:ind w:left="0"/>
        <w:jc w:val="left"/>
      </w:pPr>
      <w:r>
        <w:rPr>
          <w:rFonts w:ascii="Times New Roman"/>
          <w:b w:val="false"/>
          <w:i w:val="false"/>
          <w:color w:val="000000"/>
          <w:sz w:val="28"/>
        </w:rPr>
        <w:t>),                    (408)</w:t>
      </w:r>
      <w:r>
        <w:br/>
      </w:r>
      <w:r>
        <w:rPr>
          <w:rFonts w:ascii="Times New Roman"/>
          <w:b w:val="false"/>
          <w:i w:val="false"/>
          <w:color w:val="000000"/>
          <w:sz w:val="28"/>
        </w:rPr>
        <w:t>
</w:t>
      </w:r>
    </w:p>
    <w:bookmarkStart w:name="z3665" w:id="3678"/>
    <w:p>
      <w:pPr>
        <w:spacing w:after="0"/>
        <w:ind w:left="0"/>
        <w:jc w:val="both"/>
      </w:pPr>
      <w:r>
        <w:rPr>
          <w:rFonts w:ascii="Times New Roman"/>
          <w:b w:val="false"/>
          <w:i w:val="false"/>
          <w:color w:val="000000"/>
          <w:sz w:val="28"/>
        </w:rPr>
        <w:t>
      Коэффициент а</w:t>
      </w:r>
      <w:r>
        <w:rPr>
          <w:rFonts w:ascii="Times New Roman"/>
          <w:b w:val="false"/>
          <w:i w:val="false"/>
          <w:color w:val="000000"/>
          <w:vertAlign w:val="subscript"/>
        </w:rPr>
        <w:t>х</w:t>
      </w:r>
      <w:r>
        <w:rPr>
          <w:rFonts w:ascii="Times New Roman"/>
          <w:b w:val="false"/>
          <w:i w:val="false"/>
          <w:color w:val="000000"/>
          <w:sz w:val="28"/>
        </w:rPr>
        <w:t xml:space="preserve"> содержит составляющую силы тяжести вследствие килевой качки.</w:t>
      </w:r>
    </w:p>
    <w:bookmarkEnd w:id="3678"/>
    <w:bookmarkStart w:name="z3666" w:id="3679"/>
    <w:p>
      <w:pPr>
        <w:spacing w:after="0"/>
        <w:ind w:left="0"/>
        <w:jc w:val="both"/>
      </w:pPr>
      <w:r>
        <w:rPr>
          <w:rFonts w:ascii="Times New Roman"/>
          <w:b w:val="false"/>
          <w:i w:val="false"/>
          <w:color w:val="000000"/>
          <w:sz w:val="28"/>
        </w:rPr>
        <w:t>
      912. Для определения нагрузок следует принимать, что ускорения, рассчитанные с помощью коэффициентов а</w:t>
      </w:r>
      <w:r>
        <w:rPr>
          <w:rFonts w:ascii="Times New Roman"/>
          <w:b w:val="false"/>
          <w:i w:val="false"/>
          <w:color w:val="000000"/>
          <w:vertAlign w:val="subscript"/>
        </w:rPr>
        <w:t>х</w:t>
      </w:r>
      <w:r>
        <w:rPr>
          <w:rFonts w:ascii="Times New Roman"/>
          <w:b w:val="false"/>
          <w:i w:val="false"/>
          <w:color w:val="000000"/>
          <w:sz w:val="28"/>
        </w:rPr>
        <w:t>, а</w:t>
      </w:r>
      <w:r>
        <w:rPr>
          <w:rFonts w:ascii="Times New Roman"/>
          <w:b w:val="false"/>
          <w:i w:val="false"/>
          <w:color w:val="000000"/>
          <w:vertAlign w:val="subscript"/>
        </w:rPr>
        <w:t>у</w:t>
      </w:r>
      <w:r>
        <w:rPr>
          <w:rFonts w:ascii="Times New Roman"/>
          <w:b w:val="false"/>
          <w:i w:val="false"/>
          <w:color w:val="000000"/>
          <w:sz w:val="28"/>
        </w:rPr>
        <w:t xml:space="preserve"> и a</w:t>
      </w:r>
      <w:r>
        <w:rPr>
          <w:rFonts w:ascii="Times New Roman"/>
          <w:b w:val="false"/>
          <w:i w:val="false"/>
          <w:color w:val="000000"/>
          <w:vertAlign w:val="subscript"/>
        </w:rPr>
        <w:t>z</w:t>
      </w:r>
      <w:r>
        <w:rPr>
          <w:rFonts w:ascii="Times New Roman"/>
          <w:b w:val="false"/>
          <w:i w:val="false"/>
          <w:color w:val="000000"/>
          <w:sz w:val="28"/>
        </w:rPr>
        <w:t>, действуют независимо друг от друга.</w:t>
      </w:r>
    </w:p>
    <w:bookmarkEnd w:id="3679"/>
    <w:bookmarkStart w:name="z3667" w:id="3680"/>
    <w:p>
      <w:pPr>
        <w:spacing w:after="0"/>
        <w:ind w:left="0"/>
        <w:jc w:val="left"/>
      </w:pPr>
      <w:r>
        <w:rPr>
          <w:rFonts w:ascii="Times New Roman"/>
          <w:b/>
          <w:i w:val="false"/>
          <w:color w:val="000000"/>
        </w:rPr>
        <w:t xml:space="preserve"> Подраздел 2. Рулевое устройство</w:t>
      </w:r>
      <w:r>
        <w:br/>
      </w:r>
      <w:r>
        <w:rPr>
          <w:rFonts w:ascii="Times New Roman"/>
          <w:b/>
          <w:i w:val="false"/>
          <w:color w:val="000000"/>
        </w:rPr>
        <w:t>Глава 46. Общие положения, средства активного управления судами</w:t>
      </w:r>
    </w:p>
    <w:bookmarkEnd w:id="3680"/>
    <w:p>
      <w:pPr>
        <w:spacing w:after="0"/>
        <w:ind w:left="0"/>
        <w:jc w:val="both"/>
      </w:pPr>
      <w:r>
        <w:rPr>
          <w:rFonts w:ascii="Times New Roman"/>
          <w:b w:val="false"/>
          <w:i w:val="false"/>
          <w:color w:val="ff0000"/>
          <w:sz w:val="28"/>
        </w:rPr>
        <w:t xml:space="preserve">
      Сноска. Заголовок главы 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69" w:id="3681"/>
    <w:p>
      <w:pPr>
        <w:spacing w:after="0"/>
        <w:ind w:left="0"/>
        <w:jc w:val="both"/>
      </w:pPr>
      <w:r>
        <w:rPr>
          <w:rFonts w:ascii="Times New Roman"/>
          <w:b w:val="false"/>
          <w:i w:val="false"/>
          <w:color w:val="000000"/>
          <w:sz w:val="28"/>
        </w:rPr>
        <w:t>
      913. Каждое судно, за исключением судовых барж, имеет надежное устройство, обеспечивающее его поворотливость и устойчивость на курсе. Такими устройствами являются: рулевое устройство, устройство с поворотной насадкой и другие, одобренные Регистром судоходства.</w:t>
      </w:r>
    </w:p>
    <w:bookmarkEnd w:id="3681"/>
    <w:bookmarkStart w:name="z3670" w:id="3682"/>
    <w:p>
      <w:pPr>
        <w:spacing w:after="0"/>
        <w:ind w:left="0"/>
        <w:jc w:val="both"/>
      </w:pPr>
      <w:r>
        <w:rPr>
          <w:rFonts w:ascii="Times New Roman"/>
          <w:b w:val="false"/>
          <w:i w:val="false"/>
          <w:color w:val="000000"/>
          <w:sz w:val="28"/>
        </w:rPr>
        <w:t>
      914. На несамоходных судах технического флота с учетом района плавания и условий эксплуатации Регистр судоходства допускает не устанавливать такое устройство, либо ограничиться установкой стабилизатора. Район плавания и условия эксплуатации, при которых допускается не устанавливать такое устройство либо устанавливать только стабилизаторы, являются в каждом случае предметом специального рассмотрения Регистром судоходства.</w:t>
      </w:r>
    </w:p>
    <w:bookmarkEnd w:id="3682"/>
    <w:bookmarkStart w:name="z3671" w:id="3683"/>
    <w:p>
      <w:pPr>
        <w:spacing w:after="0"/>
        <w:ind w:left="0"/>
        <w:jc w:val="both"/>
      </w:pPr>
      <w:r>
        <w:rPr>
          <w:rFonts w:ascii="Times New Roman"/>
          <w:b w:val="false"/>
          <w:i w:val="false"/>
          <w:color w:val="000000"/>
          <w:sz w:val="28"/>
        </w:rPr>
        <w:t>
      915. Настоящий подраздел распространяется только на рулевые устройства, которые имеют обычные рули или поворотные насадки с обтекаемыми профилями с жестко закрепленными стабилизаторами.</w:t>
      </w:r>
    </w:p>
    <w:bookmarkEnd w:id="3683"/>
    <w:bookmarkStart w:name="z3672" w:id="3684"/>
    <w:p>
      <w:pPr>
        <w:spacing w:after="0"/>
        <w:ind w:left="0"/>
        <w:jc w:val="both"/>
      </w:pPr>
      <w:r>
        <w:rPr>
          <w:rFonts w:ascii="Times New Roman"/>
          <w:b w:val="false"/>
          <w:i w:val="false"/>
          <w:color w:val="000000"/>
          <w:sz w:val="28"/>
        </w:rPr>
        <w:t>
      916. Рулевые устройства с необычными рулями, а также поворотные насадки с поворотными стабилизаторами и другие являются в каждом случае предметом специального рассмотрения Регистром судоходства.</w:t>
      </w:r>
    </w:p>
    <w:bookmarkEnd w:id="3684"/>
    <w:bookmarkStart w:name="z3673" w:id="3685"/>
    <w:p>
      <w:pPr>
        <w:spacing w:after="0"/>
        <w:ind w:left="0"/>
        <w:jc w:val="both"/>
      </w:pPr>
      <w:r>
        <w:rPr>
          <w:rFonts w:ascii="Times New Roman"/>
          <w:b w:val="false"/>
          <w:i w:val="false"/>
          <w:color w:val="000000"/>
          <w:sz w:val="28"/>
        </w:rPr>
        <w:t>
      917. САУС могут быть как дополняющими регламентируемый минимум средств (пункт 913 настоящих Правил), так и основными средствами управления судном;</w:t>
      </w:r>
    </w:p>
    <w:bookmarkEnd w:id="3685"/>
    <w:bookmarkStart w:name="z3674" w:id="3686"/>
    <w:p>
      <w:pPr>
        <w:spacing w:after="0"/>
        <w:ind w:left="0"/>
        <w:jc w:val="both"/>
      </w:pPr>
      <w:r>
        <w:rPr>
          <w:rFonts w:ascii="Times New Roman"/>
          <w:b w:val="false"/>
          <w:i w:val="false"/>
          <w:color w:val="000000"/>
          <w:sz w:val="28"/>
        </w:rPr>
        <w:t>
      918. С учетом назначения, особенностей судна и предполагаемых режимов его эксплуатации по согласованию с Регистром судоходства допускается, чтобы регламентируемая управляемость судна на малых ходах обеспечивалась совместным действием средств, указанных в пункте 913 настоящих Правил, и средств активного управления судном.</w:t>
      </w:r>
    </w:p>
    <w:bookmarkEnd w:id="3686"/>
    <w:bookmarkStart w:name="z3675" w:id="3687"/>
    <w:p>
      <w:pPr>
        <w:spacing w:after="0"/>
        <w:ind w:left="0"/>
        <w:jc w:val="both"/>
      </w:pPr>
      <w:r>
        <w:rPr>
          <w:rFonts w:ascii="Times New Roman"/>
          <w:b w:val="false"/>
          <w:i w:val="false"/>
          <w:color w:val="000000"/>
          <w:sz w:val="28"/>
        </w:rPr>
        <w:t>
      919. В случае, если САУС являются основными средствами управления судном, регламентируемая управляемость обеспечивается на тех режимах хода судна, для которых они предназначены.</w:t>
      </w:r>
    </w:p>
    <w:bookmarkEnd w:id="3687"/>
    <w:bookmarkStart w:name="z3676" w:id="3688"/>
    <w:p>
      <w:pPr>
        <w:spacing w:after="0"/>
        <w:ind w:left="0"/>
        <w:jc w:val="both"/>
      </w:pPr>
      <w:r>
        <w:rPr>
          <w:rFonts w:ascii="Times New Roman"/>
          <w:b w:val="false"/>
          <w:i w:val="false"/>
          <w:color w:val="000000"/>
          <w:sz w:val="28"/>
        </w:rPr>
        <w:t>
      В любом случае необходимо доказывать способом, признанным Регистром судоходства, что управляемость судна при этом будет, по крайней мере, не хуже той, которая обеспечивается при выполнении требований главы 55 настоящих Правил.</w:t>
      </w:r>
    </w:p>
    <w:bookmarkEnd w:id="3688"/>
    <w:bookmarkStart w:name="z3677" w:id="3689"/>
    <w:p>
      <w:pPr>
        <w:spacing w:after="0"/>
        <w:ind w:left="0"/>
        <w:jc w:val="both"/>
      </w:pPr>
      <w:r>
        <w:rPr>
          <w:rFonts w:ascii="Times New Roman"/>
          <w:b w:val="false"/>
          <w:i w:val="false"/>
          <w:color w:val="000000"/>
          <w:sz w:val="28"/>
        </w:rPr>
        <w:t>
      920. Число штырей руля, являющихся опорами его пера, Регистром судоходства не регламентируется, за исключением ледоколов, для которых это число не менее приведенного в приложении 158 настоящих Правил.</w:t>
      </w:r>
    </w:p>
    <w:bookmarkEnd w:id="3689"/>
    <w:bookmarkStart w:name="z3678" w:id="3690"/>
    <w:p>
      <w:pPr>
        <w:spacing w:after="0"/>
        <w:ind w:left="0"/>
        <w:jc w:val="both"/>
      </w:pPr>
      <w:r>
        <w:rPr>
          <w:rFonts w:ascii="Times New Roman"/>
          <w:b w:val="false"/>
          <w:i w:val="false"/>
          <w:color w:val="000000"/>
          <w:sz w:val="28"/>
        </w:rPr>
        <w:t>
      921. Там, где в формулы настоящего раздела входит верхний предел текучести применяемого материала R</w:t>
      </w:r>
      <w:r>
        <w:rPr>
          <w:rFonts w:ascii="Times New Roman"/>
          <w:b w:val="false"/>
          <w:i w:val="false"/>
          <w:color w:val="000000"/>
          <w:vertAlign w:val="subscript"/>
        </w:rPr>
        <w:t>е</w:t>
      </w:r>
      <w:r>
        <w:rPr>
          <w:rFonts w:ascii="Times New Roman"/>
          <w:b w:val="false"/>
          <w:i w:val="false"/>
          <w:color w:val="000000"/>
          <w:sz w:val="28"/>
        </w:rPr>
        <w:t>н, следует учитывать указание пункта 903 настоящих Правил, однако во всех случаях R</w:t>
      </w:r>
      <w:r>
        <w:rPr>
          <w:rFonts w:ascii="Times New Roman"/>
          <w:b w:val="false"/>
          <w:i w:val="false"/>
          <w:color w:val="000000"/>
          <w:vertAlign w:val="subscript"/>
        </w:rPr>
        <w:t>e</w:t>
      </w:r>
      <w:r>
        <w:rPr>
          <w:rFonts w:ascii="Times New Roman"/>
          <w:b w:val="false"/>
          <w:i w:val="false"/>
          <w:color w:val="000000"/>
          <w:sz w:val="28"/>
        </w:rPr>
        <w:t>H не принимается более 390 МПа.</w:t>
      </w:r>
    </w:p>
    <w:bookmarkEnd w:id="3690"/>
    <w:bookmarkStart w:name="z3679" w:id="3691"/>
    <w:p>
      <w:pPr>
        <w:spacing w:after="0"/>
        <w:ind w:left="0"/>
        <w:jc w:val="both"/>
      </w:pPr>
      <w:r>
        <w:rPr>
          <w:rFonts w:ascii="Times New Roman"/>
          <w:b w:val="false"/>
          <w:i w:val="false"/>
          <w:color w:val="000000"/>
          <w:sz w:val="28"/>
        </w:rPr>
        <w:t>
      922. При проверке штырей руля или поворотной насадки и подшипников баллера по удельному давлению последнее не превышает значений, приведенных в приложении 159 настоящих Правил.</w:t>
      </w:r>
    </w:p>
    <w:bookmarkEnd w:id="3691"/>
    <w:bookmarkStart w:name="z3680" w:id="3692"/>
    <w:p>
      <w:pPr>
        <w:spacing w:after="0"/>
        <w:ind w:left="0"/>
        <w:jc w:val="both"/>
      </w:pPr>
      <w:r>
        <w:rPr>
          <w:rFonts w:ascii="Times New Roman"/>
          <w:b w:val="false"/>
          <w:i w:val="false"/>
          <w:color w:val="000000"/>
          <w:sz w:val="28"/>
        </w:rPr>
        <w:t>
      923. На на рыболовных судах, предназначенных для систематического промысла в ледовых условиях, конструктивные мероприятия по ледовой защите устройств с поворотной насадкой являются в каждом конкретном случае предметом специального рассмотрения Регистром судоходства.</w:t>
      </w:r>
    </w:p>
    <w:bookmarkEnd w:id="3692"/>
    <w:bookmarkStart w:name="z3681" w:id="3693"/>
    <w:p>
      <w:pPr>
        <w:spacing w:after="0"/>
        <w:ind w:left="0"/>
        <w:jc w:val="left"/>
      </w:pPr>
      <w:r>
        <w:rPr>
          <w:rFonts w:ascii="Times New Roman"/>
          <w:b/>
          <w:i w:val="false"/>
          <w:color w:val="000000"/>
        </w:rPr>
        <w:t xml:space="preserve"> Глава 47. Исходные расчетные параметры</w:t>
      </w:r>
    </w:p>
    <w:bookmarkEnd w:id="3693"/>
    <w:p>
      <w:pPr>
        <w:spacing w:after="0"/>
        <w:ind w:left="0"/>
        <w:jc w:val="both"/>
      </w:pPr>
      <w:r>
        <w:rPr>
          <w:rFonts w:ascii="Times New Roman"/>
          <w:b w:val="false"/>
          <w:i w:val="false"/>
          <w:color w:val="ff0000"/>
          <w:sz w:val="28"/>
        </w:rPr>
        <w:t xml:space="preserve">
      Сноска. Заголовок главы 47 -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2" w:id="3694"/>
    <w:p>
      <w:pPr>
        <w:spacing w:after="0"/>
        <w:ind w:left="0"/>
        <w:jc w:val="left"/>
      </w:pPr>
      <w:r>
        <w:rPr>
          <w:rFonts w:ascii="Times New Roman"/>
          <w:b/>
          <w:i w:val="false"/>
          <w:color w:val="000000"/>
        </w:rPr>
        <w:t xml:space="preserve"> Параграф 1. Расчетные нагрузки и крутящие моменты для рулей</w:t>
      </w:r>
    </w:p>
    <w:bookmarkEnd w:id="3694"/>
    <w:bookmarkStart w:name="z3683" w:id="3695"/>
    <w:p>
      <w:pPr>
        <w:spacing w:after="0"/>
        <w:ind w:left="0"/>
        <w:jc w:val="both"/>
      </w:pPr>
      <w:r>
        <w:rPr>
          <w:rFonts w:ascii="Times New Roman"/>
          <w:b w:val="false"/>
          <w:i w:val="false"/>
          <w:color w:val="000000"/>
          <w:sz w:val="28"/>
        </w:rPr>
        <w:t>
      924. Исходные расчетные параметры, установленные в настоящей главе, действительны только для выбора конструктивных элементов обычных рулей и поворотных насадок с жестко закрепленными стабилизаторами и не используются для определения выходных характеристик рулевых приводов.</w:t>
      </w:r>
    </w:p>
    <w:bookmarkEnd w:id="3695"/>
    <w:bookmarkStart w:name="z3684" w:id="3696"/>
    <w:p>
      <w:pPr>
        <w:spacing w:after="0"/>
        <w:ind w:left="0"/>
        <w:jc w:val="both"/>
      </w:pPr>
      <w:r>
        <w:rPr>
          <w:rFonts w:ascii="Times New Roman"/>
          <w:b w:val="false"/>
          <w:i w:val="false"/>
          <w:color w:val="000000"/>
          <w:sz w:val="28"/>
        </w:rPr>
        <w:t>
      Методы установления этих характеристик Регистром судоходства не регламентируются, а соответствующие расчеты согласованию с ним не подлежат. Указанные характеристики приводов, Регистр судоходства проверяет только во время ходовых испытаний судна на предмет их соответствия требованиям пунктов 1029, 1030 и 1035 настоящих Правил.</w:t>
      </w:r>
    </w:p>
    <w:bookmarkEnd w:id="3696"/>
    <w:bookmarkStart w:name="z3685" w:id="3697"/>
    <w:p>
      <w:pPr>
        <w:spacing w:after="0"/>
        <w:ind w:left="0"/>
        <w:jc w:val="both"/>
      </w:pPr>
      <w:r>
        <w:rPr>
          <w:rFonts w:ascii="Times New Roman"/>
          <w:b w:val="false"/>
          <w:i w:val="false"/>
          <w:color w:val="000000"/>
          <w:sz w:val="28"/>
        </w:rPr>
        <w:t xml:space="preserve">
      925. Условная расчетная нагрузка </w:t>
      </w:r>
      <w:r>
        <w:rPr>
          <w:rFonts w:ascii="Times New Roman"/>
          <w:b w:val="false"/>
          <w:i/>
          <w:color w:val="000000"/>
          <w:sz w:val="28"/>
        </w:rPr>
        <w:t>F</w:t>
      </w:r>
      <w:r>
        <w:rPr>
          <w:rFonts w:ascii="Times New Roman"/>
          <w:b w:val="false"/>
          <w:i w:val="false"/>
          <w:color w:val="000000"/>
          <w:sz w:val="28"/>
        </w:rPr>
        <w:t>, кН, действующая на перо руля на переднем ходу, определяется по формуле:</w:t>
      </w:r>
    </w:p>
    <w:bookmarkEnd w:id="369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=F</w:t>
      </w:r>
      <w:r>
        <w:rPr>
          <w:rFonts w:ascii="Times New Roman"/>
          <w:b w:val="false"/>
          <w:i w:val="false"/>
          <w:color w:val="000000"/>
          <w:vertAlign w:val="subscript"/>
        </w:rPr>
        <w:t>1</w:t>
      </w:r>
      <w:r>
        <w:rPr>
          <w:rFonts w:ascii="Times New Roman"/>
          <w:b w:val="false"/>
          <w:i w:val="false"/>
          <w:color w:val="000000"/>
          <w:sz w:val="28"/>
        </w:rPr>
        <w:t>+F</w:t>
      </w:r>
      <w:r>
        <w:rPr>
          <w:rFonts w:ascii="Times New Roman"/>
          <w:b w:val="false"/>
          <w:i w:val="false"/>
          <w:color w:val="000000"/>
          <w:vertAlign w:val="subscript"/>
        </w:rPr>
        <w:t>2</w:t>
      </w:r>
      <w:r>
        <w:rPr>
          <w:rFonts w:ascii="Times New Roman"/>
          <w:b w:val="false"/>
          <w:i w:val="false"/>
          <w:color w:val="000000"/>
          <w:sz w:val="28"/>
        </w:rPr>
        <w:t>,                           (409)</w:t>
      </w:r>
    </w:p>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1</w:t>
      </w:r>
      <w:r>
        <w:rPr>
          <w:rFonts w:ascii="Times New Roman"/>
          <w:b w:val="false"/>
          <w:i w:val="false"/>
          <w:color w:val="000000"/>
          <w:sz w:val="28"/>
        </w:rPr>
        <w:t xml:space="preserve"> и F</w:t>
      </w:r>
      <w:r>
        <w:rPr>
          <w:rFonts w:ascii="Times New Roman"/>
          <w:b w:val="false"/>
          <w:i w:val="false"/>
          <w:color w:val="000000"/>
          <w:vertAlign w:val="subscript"/>
        </w:rPr>
        <w:t>2</w:t>
      </w:r>
      <w:r>
        <w:rPr>
          <w:rFonts w:ascii="Times New Roman"/>
          <w:b w:val="false"/>
          <w:i w:val="false"/>
          <w:color w:val="000000"/>
          <w:sz w:val="28"/>
        </w:rPr>
        <w:t>, кН, определяются по формулам: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5,59-10</w:t>
      </w:r>
      <w:r>
        <w:rPr>
          <w:rFonts w:ascii="Times New Roman"/>
          <w:b w:val="false"/>
          <w:i w:val="false"/>
          <w:color w:val="000000"/>
          <w:vertAlign w:val="superscript"/>
        </w:rPr>
        <w:t>-3</w:t>
      </w:r>
      <w:r>
        <w:rPr>
          <w:rFonts w:ascii="Times New Roman"/>
          <w:b w:val="false"/>
          <w:i w:val="false"/>
          <w:color w:val="000000"/>
          <w:sz w:val="28"/>
        </w:rPr>
        <w:t>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(6,5+</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-C</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AV            (410)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=0,177k</w:t>
      </w:r>
      <w:r>
        <w:rPr>
          <w:rFonts w:ascii="Times New Roman"/>
          <w:b w:val="false"/>
          <w:i w:val="false"/>
          <w:color w:val="000000"/>
          <w:vertAlign w:val="subscript"/>
        </w:rPr>
        <w:t>1</w:t>
      </w:r>
      <w:r>
        <w:rPr>
          <w:rFonts w:ascii="Times New Roman"/>
          <w:b w:val="false"/>
          <w:i w:val="false"/>
          <w:color w:val="000000"/>
          <w:sz w:val="28"/>
        </w:rPr>
        <w:t>(6,5+</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5207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1</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1,0 — для прямоугольных и трапецеидальных рулей, кроме рулей, устанавливаемых за рудерпостом;</w:t>
      </w:r>
    </w:p>
    <w:p>
      <w:pPr>
        <w:spacing w:after="0"/>
        <w:ind w:left="0"/>
        <w:jc w:val="both"/>
      </w:pPr>
      <w:r>
        <w:rPr>
          <w:rFonts w:ascii="Times New Roman"/>
          <w:b w:val="false"/>
          <w:i w:val="false"/>
          <w:color w:val="000000"/>
          <w:sz w:val="28"/>
        </w:rPr>
        <w:t>
      0,95 — для полуподвесных рулей (рули типов I, II, VII и III в приложении 161 настоящих Правил);</w:t>
      </w:r>
    </w:p>
    <w:p>
      <w:pPr>
        <w:spacing w:after="0"/>
        <w:ind w:left="0"/>
        <w:jc w:val="both"/>
      </w:pPr>
      <w:r>
        <w:rPr>
          <w:rFonts w:ascii="Times New Roman"/>
          <w:b w:val="false"/>
          <w:i w:val="false"/>
          <w:color w:val="000000"/>
          <w:sz w:val="28"/>
        </w:rPr>
        <w:t>
      0,89 — для рулей, устанавливаемых за рудерпостом (рули типов IV, X и IX в приложении 161 настоящих Правил);</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1,0 — для рулей, работающих непосредственно за гребным винтом;</w:t>
      </w:r>
    </w:p>
    <w:p>
      <w:pPr>
        <w:spacing w:after="0"/>
        <w:ind w:left="0"/>
        <w:jc w:val="both"/>
      </w:pPr>
      <w:r>
        <w:rPr>
          <w:rFonts w:ascii="Times New Roman"/>
          <w:b w:val="false"/>
          <w:i w:val="false"/>
          <w:color w:val="000000"/>
          <w:sz w:val="28"/>
        </w:rPr>
        <w:t>
      1,25 — для рулей, не работающих непосредственно за гребным винтом;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величина, определяемая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h</w:t>
      </w:r>
      <w:r>
        <w:rPr>
          <w:rFonts w:ascii="Times New Roman"/>
          <w:b w:val="false"/>
          <w:i w:val="false"/>
          <w:color w:val="000000"/>
          <w:vertAlign w:val="superscript"/>
        </w:rPr>
        <w:t>2</w:t>
      </w:r>
      <w:r>
        <w:rPr>
          <w:rFonts w:ascii="Times New Roman"/>
          <w:b w:val="false"/>
          <w:i w:val="false"/>
          <w:color w:val="000000"/>
          <w:vertAlign w:val="subscript"/>
        </w:rPr>
        <w:t>p</w:t>
      </w:r>
      <w:r>
        <w:rPr>
          <w:rFonts w:ascii="Times New Roman"/>
          <w:b w:val="false"/>
          <w:i w:val="false"/>
          <w:color w:val="000000"/>
          <w:sz w:val="28"/>
        </w:rPr>
        <w:t>/A</w:t>
      </w:r>
      <w:r>
        <w:rPr>
          <w:rFonts w:ascii="Times New Roman"/>
          <w:b w:val="false"/>
          <w:i w:val="false"/>
          <w:color w:val="000000"/>
          <w:vertAlign w:val="subscript"/>
        </w:rPr>
        <w:t>K</w:t>
      </w:r>
      <w:r>
        <w:rPr>
          <w:rFonts w:ascii="Times New Roman"/>
          <w:b w:val="false"/>
          <w:i w:val="false"/>
          <w:color w:val="000000"/>
          <w:sz w:val="28"/>
        </w:rPr>
        <w:t>,                        (412)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p</w:t>
      </w:r>
      <w:r>
        <w:rPr>
          <w:rFonts w:ascii="Times New Roman"/>
          <w:b w:val="false"/>
          <w:i w:val="false"/>
          <w:color w:val="000000"/>
          <w:sz w:val="28"/>
        </w:rPr>
        <w:t xml:space="preserve"> — средняя высота части пера руля, расположенной в корму от оси его вращения, м;</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к</w:t>
      </w:r>
      <w:r>
        <w:rPr>
          <w:rFonts w:ascii="Times New Roman"/>
          <w:b w:val="false"/>
          <w:i w:val="false"/>
          <w:color w:val="000000"/>
          <w:sz w:val="28"/>
        </w:rPr>
        <w:t xml:space="preserve"> — сумма площади пера руля и боковой площади кронштейна руля или рудерпоста (если последние имеются), расположенной в пределах высоты h</w:t>
      </w:r>
      <w:r>
        <w:rPr>
          <w:rFonts w:ascii="Times New Roman"/>
          <w:b w:val="false"/>
          <w:i w:val="false"/>
          <w:color w:val="000000"/>
          <w:vertAlign w:val="subscript"/>
        </w:rPr>
        <w:t>p</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w:t>
      </w:r>
    </w:p>
    <w:bookmarkStart w:name="z3686" w:id="3698"/>
    <w:p>
      <w:pPr>
        <w:spacing w:after="0"/>
        <w:ind w:left="0"/>
        <w:jc w:val="both"/>
      </w:pPr>
      <w:r>
        <w:rPr>
          <w:rFonts w:ascii="Times New Roman"/>
          <w:b w:val="false"/>
          <w:i w:val="false"/>
          <w:color w:val="000000"/>
          <w:sz w:val="28"/>
        </w:rPr>
        <w:t>
      Если кронштейна руля и рудерпоста нет, в качестве А</w:t>
      </w:r>
      <w:r>
        <w:rPr>
          <w:rFonts w:ascii="Times New Roman"/>
          <w:b w:val="false"/>
          <w:i w:val="false"/>
          <w:color w:val="000000"/>
          <w:vertAlign w:val="subscript"/>
        </w:rPr>
        <w:t>к</w:t>
      </w:r>
      <w:r>
        <w:rPr>
          <w:rFonts w:ascii="Times New Roman"/>
          <w:b w:val="false"/>
          <w:i w:val="false"/>
          <w:color w:val="000000"/>
          <w:sz w:val="28"/>
        </w:rPr>
        <w:t xml:space="preserve"> в расчетах принимается А;</w:t>
      </w:r>
    </w:p>
    <w:bookmarkEnd w:id="3698"/>
    <w:p>
      <w:pPr>
        <w:spacing w:after="0"/>
        <w:ind w:left="0"/>
        <w:jc w:val="both"/>
      </w:pPr>
      <w:r>
        <w:rPr>
          <w:rFonts w:ascii="Times New Roman"/>
          <w:b w:val="false"/>
          <w:i w:val="false"/>
          <w:color w:val="000000"/>
          <w:sz w:val="28"/>
        </w:rPr>
        <w:t>
      А — площадь пера руля, м;</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в</w:t>
      </w:r>
      <w:r>
        <w:rPr>
          <w:rFonts w:ascii="Times New Roman"/>
          <w:b w:val="false"/>
          <w:i w:val="false"/>
          <w:color w:val="000000"/>
          <w:sz w:val="28"/>
        </w:rPr>
        <w:t xml:space="preserve"> — часть площади руля, находящаяся в непереложенном положении в струе гребного винта,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величина, равная:</w:t>
      </w:r>
    </w:p>
    <w:p>
      <w:pPr>
        <w:spacing w:after="0"/>
        <w:ind w:left="0"/>
        <w:jc w:val="both"/>
      </w:pPr>
      <w:r>
        <w:rPr>
          <w:rFonts w:ascii="Times New Roman"/>
          <w:b w:val="false"/>
          <w:i w:val="false"/>
          <w:color w:val="000000"/>
          <w:sz w:val="28"/>
        </w:rPr>
        <w:t>
      2,2 — для рулей, расположенных в диаметральной плоскости судна;</w:t>
      </w:r>
    </w:p>
    <w:p>
      <w:pPr>
        <w:spacing w:after="0"/>
        <w:ind w:left="0"/>
        <w:jc w:val="both"/>
      </w:pPr>
      <w:r>
        <w:rPr>
          <w:rFonts w:ascii="Times New Roman"/>
          <w:b w:val="false"/>
          <w:i w:val="false"/>
          <w:color w:val="000000"/>
          <w:sz w:val="28"/>
        </w:rPr>
        <w:t>
      2,32 — для бортовых рулей;</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w:t>
      </w:r>
      <w:r>
        <w:rPr>
          <w:rFonts w:ascii="Times New Roman"/>
          <w:b w:val="false"/>
          <w:i w:val="false"/>
          <w:color w:val="000000"/>
          <w:sz w:val="28"/>
        </w:rPr>
        <w:t xml:space="preserve"> — коэффициент общей полноты судна при осадке по летнюю грузовую ватерлинию;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наибольшая скорость переднего хода судна при осадке по летнюю грузовую ватерлинию, уз;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упор гребного винта при скорости V, кН (пункт 930 настоящих Правил);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 диаметр гребного винта, м.</w:t>
      </w:r>
    </w:p>
    <w:bookmarkStart w:name="z3687" w:id="3699"/>
    <w:p>
      <w:pPr>
        <w:spacing w:after="0"/>
        <w:ind w:left="0"/>
        <w:jc w:val="both"/>
      </w:pPr>
      <w:r>
        <w:rPr>
          <w:rFonts w:ascii="Times New Roman"/>
          <w:b w:val="false"/>
          <w:i w:val="false"/>
          <w:color w:val="000000"/>
          <w:sz w:val="28"/>
        </w:rPr>
        <w:t xml:space="preserve">
      926. Условная расчетная нагрузка </w:t>
      </w:r>
      <w:r>
        <w:rPr>
          <w:rFonts w:ascii="Times New Roman"/>
          <w:b w:val="false"/>
          <w:i/>
          <w:color w:val="000000"/>
          <w:sz w:val="28"/>
        </w:rPr>
        <w:t>F</w:t>
      </w:r>
      <w:r>
        <w:rPr>
          <w:rFonts w:ascii="Times New Roman"/>
          <w:b w:val="false"/>
          <w:i w:val="false"/>
          <w:color w:val="000000"/>
          <w:sz w:val="28"/>
        </w:rPr>
        <w:t>, указанная в пункте 925 настоящих Правил, не принимается меньше нагрузки F</w:t>
      </w:r>
      <w:r>
        <w:rPr>
          <w:rFonts w:ascii="Times New Roman"/>
          <w:b w:val="false"/>
          <w:i w:val="false"/>
          <w:color w:val="000000"/>
          <w:vertAlign w:val="subscript"/>
        </w:rPr>
        <w:t>3</w:t>
      </w:r>
      <w:r>
        <w:rPr>
          <w:rFonts w:ascii="Times New Roman"/>
          <w:b w:val="false"/>
          <w:i w:val="false"/>
          <w:color w:val="000000"/>
          <w:sz w:val="28"/>
        </w:rPr>
        <w:t>, кН, определенной по формуле:</w:t>
      </w:r>
    </w:p>
    <w:bookmarkEnd w:id="3699"/>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А,                           (413)</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3</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171 — для ледоколов категории Icebreaker 9;</w:t>
      </w:r>
    </w:p>
    <w:p>
      <w:pPr>
        <w:spacing w:after="0"/>
        <w:ind w:left="0"/>
        <w:jc w:val="both"/>
      </w:pPr>
      <w:r>
        <w:rPr>
          <w:rFonts w:ascii="Times New Roman"/>
          <w:b w:val="false"/>
          <w:i w:val="false"/>
          <w:color w:val="000000"/>
          <w:sz w:val="28"/>
        </w:rPr>
        <w:t>
      150 — для ледоколов категории Icebreaker 8;</w:t>
      </w:r>
    </w:p>
    <w:p>
      <w:pPr>
        <w:spacing w:after="0"/>
        <w:ind w:left="0"/>
        <w:jc w:val="both"/>
      </w:pPr>
      <w:r>
        <w:rPr>
          <w:rFonts w:ascii="Times New Roman"/>
          <w:b w:val="false"/>
          <w:i w:val="false"/>
          <w:color w:val="000000"/>
          <w:sz w:val="28"/>
        </w:rPr>
        <w:t>
      130 — для ледоколов категории Icebreaker 7;</w:t>
      </w:r>
    </w:p>
    <w:p>
      <w:pPr>
        <w:spacing w:after="0"/>
        <w:ind w:left="0"/>
        <w:jc w:val="both"/>
      </w:pPr>
      <w:r>
        <w:rPr>
          <w:rFonts w:ascii="Times New Roman"/>
          <w:b w:val="false"/>
          <w:i w:val="false"/>
          <w:color w:val="000000"/>
          <w:sz w:val="28"/>
        </w:rPr>
        <w:t>
      110 — для ледоколов категории Icebreaker 6;</w:t>
      </w:r>
    </w:p>
    <w:p>
      <w:pPr>
        <w:spacing w:after="0"/>
        <w:ind w:left="0"/>
        <w:jc w:val="both"/>
      </w:pPr>
      <w:r>
        <w:rPr>
          <w:rFonts w:ascii="Times New Roman"/>
          <w:b w:val="false"/>
          <w:i w:val="false"/>
          <w:color w:val="000000"/>
          <w:sz w:val="28"/>
        </w:rPr>
        <w:t>
      18 — для остальных судов.</w:t>
      </w:r>
    </w:p>
    <w:bookmarkStart w:name="z3688" w:id="3700"/>
    <w:p>
      <w:pPr>
        <w:spacing w:after="0"/>
        <w:ind w:left="0"/>
        <w:jc w:val="both"/>
      </w:pPr>
      <w:r>
        <w:rPr>
          <w:rFonts w:ascii="Times New Roman"/>
          <w:b w:val="false"/>
          <w:i w:val="false"/>
          <w:color w:val="000000"/>
          <w:sz w:val="28"/>
        </w:rPr>
        <w:t>
      Если нагрузка F</w:t>
      </w:r>
      <w:r>
        <w:rPr>
          <w:rFonts w:ascii="Times New Roman"/>
          <w:b w:val="false"/>
          <w:i w:val="false"/>
          <w:color w:val="000000"/>
          <w:vertAlign w:val="subscript"/>
        </w:rPr>
        <w:t>3</w:t>
      </w:r>
      <w:r>
        <w:rPr>
          <w:rFonts w:ascii="Times New Roman"/>
          <w:b w:val="false"/>
          <w:i w:val="false"/>
          <w:color w:val="000000"/>
          <w:sz w:val="28"/>
        </w:rPr>
        <w:t xml:space="preserve"> больше нагрузки F, указанной в пункте 925 настоящих Правил, в дальнейших расчетах вместо нагрузки F принимается F</w:t>
      </w:r>
      <w:r>
        <w:rPr>
          <w:rFonts w:ascii="Times New Roman"/>
          <w:b w:val="false"/>
          <w:i w:val="false"/>
          <w:color w:val="000000"/>
          <w:vertAlign w:val="subscript"/>
        </w:rPr>
        <w:t>3</w:t>
      </w:r>
      <w:r>
        <w:rPr>
          <w:rFonts w:ascii="Times New Roman"/>
          <w:b w:val="false"/>
          <w:i w:val="false"/>
          <w:color w:val="000000"/>
          <w:sz w:val="28"/>
        </w:rPr>
        <w:t>, а значение F</w:t>
      </w:r>
      <w:r>
        <w:rPr>
          <w:rFonts w:ascii="Times New Roman"/>
          <w:b w:val="false"/>
          <w:i w:val="false"/>
          <w:color w:val="000000"/>
          <w:vertAlign w:val="subscript"/>
        </w:rPr>
        <w:t>2</w:t>
      </w:r>
      <w:r>
        <w:rPr>
          <w:rFonts w:ascii="Times New Roman"/>
          <w:b w:val="false"/>
          <w:i w:val="false"/>
          <w:color w:val="000000"/>
          <w:sz w:val="28"/>
        </w:rPr>
        <w:t xml:space="preserve"> принимается равным нулю.</w:t>
      </w:r>
    </w:p>
    <w:bookmarkEnd w:id="3700"/>
    <w:bookmarkStart w:name="z3689" w:id="3701"/>
    <w:p>
      <w:pPr>
        <w:spacing w:after="0"/>
        <w:ind w:left="0"/>
        <w:jc w:val="both"/>
      </w:pPr>
      <w:r>
        <w:rPr>
          <w:rFonts w:ascii="Times New Roman"/>
          <w:b w:val="false"/>
          <w:i w:val="false"/>
          <w:color w:val="000000"/>
          <w:sz w:val="28"/>
        </w:rPr>
        <w:t>
      927. Условный расчетный крутящий момент М</w:t>
      </w:r>
      <w:r>
        <w:rPr>
          <w:rFonts w:ascii="Times New Roman"/>
          <w:b w:val="false"/>
          <w:i w:val="false"/>
          <w:color w:val="000000"/>
          <w:vertAlign w:val="subscript"/>
        </w:rPr>
        <w:t>к</w:t>
      </w:r>
      <w:r>
        <w:rPr>
          <w:rFonts w:ascii="Times New Roman"/>
          <w:b w:val="false"/>
          <w:i w:val="false"/>
          <w:color w:val="000000"/>
          <w:sz w:val="28"/>
        </w:rPr>
        <w:t>, кН·м, действующий на рулевое устройство на переднем ходу, принимается не менее определенного по формуле:</w:t>
      </w:r>
    </w:p>
    <w:bookmarkEnd w:id="370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w:t>
      </w:r>
    </w:p>
    <w:p>
      <w:pPr>
        <w:spacing w:after="0"/>
        <w:ind w:left="0"/>
        <w:jc w:val="both"/>
      </w:pPr>
      <w:r>
        <w:drawing>
          <wp:inline distT="0" distB="0" distL="0" distR="0">
            <wp:extent cx="63500" cy="6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63500" cy="63500"/>
                    </a:xfrm>
                    <a:prstGeom prst="rect">
                      <a:avLst/>
                    </a:prstGeom>
                  </pic:spPr>
                </pic:pic>
              </a:graphicData>
            </a:graphic>
          </wp:inline>
        </w:drawing>
      </w:r>
    </w:p>
    <w:p>
      <w:pPr>
        <w:spacing w:after="0"/>
        <w:ind w:left="0"/>
        <w:jc w:val="both"/>
      </w:pPr>
      <w:r>
        <w:drawing>
          <wp:inline distT="0" distB="0" distL="0" distR="0">
            <wp:extent cx="1066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1066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1</w:t>
      </w:r>
      <w:r>
        <w:rPr>
          <w:rFonts w:ascii="Times New Roman"/>
          <w:b w:val="false"/>
          <w:i w:val="false"/>
          <w:color w:val="000000"/>
          <w:sz w:val="28"/>
        </w:rPr>
        <w:t xml:space="preserve"> — часть площади пера руля, расположенная в нос от оси его вращения, м</w:t>
      </w:r>
      <w:r>
        <w:rPr>
          <w:rFonts w:ascii="Times New Roman"/>
          <w:b w:val="false"/>
          <w:i w:val="false"/>
          <w:color w:val="000000"/>
          <w:vertAlign w:val="superscript"/>
        </w:rPr>
        <w:t>2</w:t>
      </w:r>
      <w:r>
        <w:rPr>
          <w:rFonts w:ascii="Times New Roman"/>
          <w:b w:val="false"/>
          <w:i w:val="false"/>
          <w:color w:val="000000"/>
          <w:sz w:val="28"/>
        </w:rPr>
        <w:t>.</w:t>
      </w:r>
    </w:p>
    <w:bookmarkStart w:name="z3690" w:id="3702"/>
    <w:p>
      <w:pPr>
        <w:spacing w:after="0"/>
        <w:ind w:left="0"/>
        <w:jc w:val="both"/>
      </w:pPr>
      <w:r>
        <w:rPr>
          <w:rFonts w:ascii="Times New Roman"/>
          <w:b w:val="false"/>
          <w:i w:val="false"/>
          <w:color w:val="000000"/>
          <w:sz w:val="28"/>
        </w:rPr>
        <w:t>
      Для однослойных цельнолитых рулей, передняя кромка которых расположена в корму от оси баллера, в качестве А</w:t>
      </w:r>
      <w:r>
        <w:rPr>
          <w:rFonts w:ascii="Times New Roman"/>
          <w:b w:val="false"/>
          <w:i w:val="false"/>
          <w:color w:val="000000"/>
          <w:vertAlign w:val="subscript"/>
        </w:rPr>
        <w:t>1</w:t>
      </w:r>
      <w:r>
        <w:rPr>
          <w:rFonts w:ascii="Times New Roman"/>
          <w:b w:val="false"/>
          <w:i w:val="false"/>
          <w:color w:val="000000"/>
          <w:sz w:val="28"/>
        </w:rPr>
        <w:t xml:space="preserve"> принимается площадь, образованная передней кромкой пера руля и осью баллера, с отрицательным знаком.</w:t>
      </w:r>
    </w:p>
    <w:bookmarkEnd w:id="3702"/>
    <w:bookmarkStart w:name="z3691" w:id="3703"/>
    <w:p>
      <w:pPr>
        <w:spacing w:after="0"/>
        <w:ind w:left="0"/>
        <w:jc w:val="both"/>
      </w:pPr>
      <w:r>
        <w:rPr>
          <w:rFonts w:ascii="Times New Roman"/>
          <w:b w:val="false"/>
          <w:i w:val="false"/>
          <w:color w:val="000000"/>
          <w:sz w:val="28"/>
        </w:rPr>
        <w:t>
      Для ледоколов условный расчетный крутящий момент М</w:t>
      </w:r>
      <w:r>
        <w:rPr>
          <w:rFonts w:ascii="Times New Roman"/>
          <w:b w:val="false"/>
          <w:i w:val="false"/>
          <w:color w:val="000000"/>
          <w:vertAlign w:val="subscript"/>
        </w:rPr>
        <w:t>к</w:t>
      </w:r>
      <w:r>
        <w:rPr>
          <w:rFonts w:ascii="Times New Roman"/>
          <w:b w:val="false"/>
          <w:i w:val="false"/>
          <w:color w:val="000000"/>
          <w:sz w:val="28"/>
        </w:rPr>
        <w:t>, кН·м, от нагрузки F</w:t>
      </w:r>
      <w:r>
        <w:rPr>
          <w:rFonts w:ascii="Times New Roman"/>
          <w:b w:val="false"/>
          <w:i w:val="false"/>
          <w:color w:val="000000"/>
          <w:vertAlign w:val="subscript"/>
        </w:rPr>
        <w:t>3</w:t>
      </w:r>
      <w:r>
        <w:rPr>
          <w:rFonts w:ascii="Times New Roman"/>
          <w:b w:val="false"/>
          <w:i w:val="false"/>
          <w:color w:val="000000"/>
          <w:sz w:val="28"/>
        </w:rPr>
        <w:t>, указанной в пункте 926 настоящих Правил, принимается не менее, определенного по формуле:</w:t>
      </w:r>
    </w:p>
    <w:bookmarkEnd w:id="370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0,35F</w:t>
      </w:r>
      <w:r>
        <w:rPr>
          <w:rFonts w:ascii="Times New Roman"/>
          <w:b w:val="false"/>
          <w:i w:val="false"/>
          <w:color w:val="000000"/>
          <w:vertAlign w:val="subscript"/>
        </w:rPr>
        <w:t>3</w:t>
      </w:r>
      <w:r>
        <w:rPr>
          <w:rFonts w:ascii="Times New Roman"/>
          <w:b w:val="false"/>
          <w:i w:val="false"/>
          <w:color w:val="000000"/>
          <w:sz w:val="28"/>
        </w:rPr>
        <w:t>b</w:t>
      </w:r>
      <w:r>
        <w:rPr>
          <w:rFonts w:ascii="Times New Roman"/>
          <w:b w:val="false"/>
          <w:i w:val="false"/>
          <w:color w:val="000000"/>
          <w:vertAlign w:val="subscript"/>
        </w:rPr>
        <w:t>p</w:t>
      </w:r>
      <w:r>
        <w:rPr>
          <w:rFonts w:ascii="Times New Roman"/>
          <w:b w:val="false"/>
          <w:i w:val="false"/>
          <w:color w:val="000000"/>
          <w:sz w:val="28"/>
        </w:rPr>
        <w:t>,                     (415)</w:t>
      </w:r>
    </w:p>
    <w:p>
      <w:pPr>
        <w:spacing w:after="0"/>
        <w:ind w:left="0"/>
        <w:jc w:val="both"/>
      </w:pPr>
      <w:r>
        <w:rPr>
          <w:rFonts w:ascii="Times New Roman"/>
          <w:b w:val="false"/>
          <w:i w:val="false"/>
          <w:color w:val="000000"/>
          <w:sz w:val="28"/>
        </w:rPr>
        <w:t>
      где b</w:t>
      </w:r>
      <w:r>
        <w:rPr>
          <w:rFonts w:ascii="Times New Roman"/>
          <w:b w:val="false"/>
          <w:i w:val="false"/>
          <w:color w:val="000000"/>
          <w:vertAlign w:val="subscript"/>
        </w:rPr>
        <w:t>p</w:t>
      </w:r>
      <w:r>
        <w:rPr>
          <w:rFonts w:ascii="Times New Roman"/>
          <w:b w:val="false"/>
          <w:i w:val="false"/>
          <w:color w:val="000000"/>
          <w:sz w:val="28"/>
        </w:rPr>
        <w:t xml:space="preserve"> — расстояние от оси вращения до задней кромки пера руля на уровне середины высоты пера руля, м.</w:t>
      </w:r>
    </w:p>
    <w:bookmarkStart w:name="z3692" w:id="3704"/>
    <w:p>
      <w:pPr>
        <w:spacing w:after="0"/>
        <w:ind w:left="0"/>
        <w:jc w:val="both"/>
      </w:pPr>
      <w:r>
        <w:rPr>
          <w:rFonts w:ascii="Times New Roman"/>
          <w:b w:val="false"/>
          <w:i w:val="false"/>
          <w:color w:val="000000"/>
          <w:sz w:val="28"/>
        </w:rPr>
        <w:t>
      928. Условный расчетный крутящий момент М</w:t>
      </w:r>
      <w:r>
        <w:rPr>
          <w:rFonts w:ascii="Times New Roman"/>
          <w:b w:val="false"/>
          <w:i w:val="false"/>
          <w:color w:val="000000"/>
          <w:vertAlign w:val="subscript"/>
        </w:rPr>
        <w:t>з.х</w:t>
      </w:r>
      <w:r>
        <w:rPr>
          <w:rFonts w:ascii="Times New Roman"/>
          <w:b w:val="false"/>
          <w:i w:val="false"/>
          <w:color w:val="000000"/>
          <w:sz w:val="28"/>
        </w:rPr>
        <w:t>, кН·м, действующий на рулевое устройство на заднем ходу, принимается не менее определенного по формуле:</w:t>
      </w:r>
    </w:p>
    <w:bookmarkEnd w:id="370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з.х</w:t>
      </w:r>
      <w:r>
        <w:rPr>
          <w:rFonts w:ascii="Times New Roman"/>
          <w:b w:val="false"/>
          <w:i w:val="false"/>
          <w:color w:val="000000"/>
          <w:sz w:val="28"/>
        </w:rPr>
        <w:t xml:space="preserve"> = k</w:t>
      </w:r>
      <w:r>
        <w:rPr>
          <w:rFonts w:ascii="Times New Roman"/>
          <w:b w:val="false"/>
          <w:i w:val="false"/>
          <w:color w:val="000000"/>
          <w:vertAlign w:val="subscript"/>
        </w:rPr>
        <w:t>4</w:t>
      </w:r>
    </w:p>
    <w:p>
      <w:pPr>
        <w:spacing w:after="0"/>
        <w:ind w:left="0"/>
        <w:jc w:val="both"/>
      </w:pPr>
      <w:r>
        <w:drawing>
          <wp:inline distT="0" distB="0" distL="0" distR="0">
            <wp:extent cx="1409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409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4</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0,185 — для рулей, работающих непосредственно за гребным винтом;</w:t>
      </w:r>
    </w:p>
    <w:p>
      <w:pPr>
        <w:spacing w:after="0"/>
        <w:ind w:left="0"/>
        <w:jc w:val="both"/>
      </w:pPr>
      <w:r>
        <w:rPr>
          <w:rFonts w:ascii="Times New Roman"/>
          <w:b w:val="false"/>
          <w:i w:val="false"/>
          <w:color w:val="000000"/>
          <w:sz w:val="28"/>
        </w:rPr>
        <w:t>
      0,139 — для рулей, не работающих непосредственно за гребным винтом;</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2</w:t>
      </w:r>
      <w:r>
        <w:rPr>
          <w:rFonts w:ascii="Times New Roman"/>
          <w:b w:val="false"/>
          <w:i w:val="false"/>
          <w:color w:val="000000"/>
          <w:vertAlign w:val="subscript"/>
        </w:rPr>
        <w:t>з.х</w:t>
      </w:r>
      <w:r>
        <w:rPr>
          <w:rFonts w:ascii="Times New Roman"/>
          <w:b w:val="false"/>
          <w:i w:val="false"/>
          <w:color w:val="000000"/>
          <w:sz w:val="28"/>
        </w:rPr>
        <w:t>—максимальная спецификационная скорость судна на заднем ходу, но не менее 0,5 V, уз.</w:t>
      </w:r>
    </w:p>
    <w:bookmarkStart w:name="z3693" w:id="3705"/>
    <w:p>
      <w:pPr>
        <w:spacing w:after="0"/>
        <w:ind w:left="0"/>
        <w:jc w:val="both"/>
      </w:pPr>
      <w:r>
        <w:rPr>
          <w:rFonts w:ascii="Times New Roman"/>
          <w:b w:val="false"/>
          <w:i w:val="false"/>
          <w:color w:val="000000"/>
          <w:sz w:val="28"/>
        </w:rPr>
        <w:t>
      929. Условная расчетная нагрузка F</w:t>
      </w:r>
      <w:r>
        <w:rPr>
          <w:rFonts w:ascii="Times New Roman"/>
          <w:b w:val="false"/>
          <w:i w:val="false"/>
          <w:color w:val="000000"/>
          <w:vertAlign w:val="subscript"/>
        </w:rPr>
        <w:t>3.X</w:t>
      </w:r>
      <w:r>
        <w:rPr>
          <w:rFonts w:ascii="Times New Roman"/>
          <w:b w:val="false"/>
          <w:i w:val="false"/>
          <w:color w:val="000000"/>
          <w:sz w:val="28"/>
        </w:rPr>
        <w:t>, кН, действующая на перо руля на заднем ходу, определяется по формуле:</w:t>
      </w:r>
    </w:p>
    <w:bookmarkEnd w:id="3705"/>
    <w:p>
      <w:pPr>
        <w:spacing w:after="0"/>
        <w:ind w:left="0"/>
        <w:jc w:val="both"/>
      </w:pPr>
      <w:r>
        <w:rPr>
          <w:rFonts w:ascii="Times New Roman"/>
          <w:b w:val="false"/>
          <w:i w:val="false"/>
          <w:color w:val="000000"/>
          <w:sz w:val="28"/>
        </w:rPr>
        <w:t>
      F</w:t>
      </w:r>
      <w:r>
        <w:rPr>
          <w:rFonts w:ascii="Times New Roman"/>
          <w:b w:val="false"/>
          <w:i w:val="false"/>
          <w:color w:val="000000"/>
          <w:vertAlign w:val="subscript"/>
        </w:rPr>
        <w:t>з.х</w:t>
      </w:r>
      <w:r>
        <w:rPr>
          <w:rFonts w:ascii="Times New Roman"/>
          <w:b w:val="false"/>
          <w:i w:val="false"/>
          <w:color w:val="000000"/>
          <w:sz w:val="28"/>
        </w:rPr>
        <w:t>= М</w:t>
      </w:r>
      <w:r>
        <w:rPr>
          <w:rFonts w:ascii="Times New Roman"/>
          <w:b w:val="false"/>
          <w:i w:val="false"/>
          <w:color w:val="000000"/>
          <w:vertAlign w:val="subscript"/>
        </w:rPr>
        <w:t>з.х</w:t>
      </w:r>
      <w:r>
        <w:rPr>
          <w:rFonts w:ascii="Times New Roman"/>
          <w:b w:val="false"/>
          <w:i w:val="false"/>
          <w:color w:val="000000"/>
          <w:sz w:val="28"/>
        </w:rPr>
        <w:t xml:space="preserve"> </w:t>
      </w:r>
    </w:p>
    <w:p>
      <w:pPr>
        <w:spacing w:after="0"/>
        <w:ind w:left="0"/>
        <w:jc w:val="both"/>
      </w:pPr>
      <w:r>
        <w:drawing>
          <wp:inline distT="0" distB="0" distL="0" distR="0">
            <wp:extent cx="812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8128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(417)</w:t>
      </w:r>
      <w:r>
        <w:br/>
      </w:r>
      <w:r>
        <w:rPr>
          <w:rFonts w:ascii="Times New Roman"/>
          <w:b w:val="false"/>
          <w:i w:val="false"/>
          <w:color w:val="000000"/>
          <w:sz w:val="28"/>
        </w:rPr>
        <w:t>
</w:t>
      </w:r>
    </w:p>
    <w:bookmarkStart w:name="z3694" w:id="3706"/>
    <w:p>
      <w:pPr>
        <w:spacing w:after="0"/>
        <w:ind w:left="0"/>
        <w:jc w:val="both"/>
      </w:pPr>
      <w:r>
        <w:rPr>
          <w:rFonts w:ascii="Times New Roman"/>
          <w:b w:val="false"/>
          <w:i w:val="false"/>
          <w:color w:val="000000"/>
          <w:sz w:val="28"/>
        </w:rPr>
        <w:t>
      При определении изгибающих моментов и реакций опор в соответствии с указаниями параграфов 2-6 настоящей главы Правил для режима заднего хода нагрузка F</w:t>
      </w:r>
      <w:r>
        <w:rPr>
          <w:rFonts w:ascii="Times New Roman"/>
          <w:b w:val="false"/>
          <w:i w:val="false"/>
          <w:color w:val="000000"/>
          <w:vertAlign w:val="subscript"/>
        </w:rPr>
        <w:t>3.x</w:t>
      </w:r>
      <w:r>
        <w:rPr>
          <w:rFonts w:ascii="Times New Roman"/>
          <w:b w:val="false"/>
          <w:i w:val="false"/>
          <w:color w:val="000000"/>
          <w:sz w:val="28"/>
        </w:rPr>
        <w:t xml:space="preserve"> рассматривается как нагрузка F</w:t>
      </w:r>
      <w:r>
        <w:rPr>
          <w:rFonts w:ascii="Times New Roman"/>
          <w:b w:val="false"/>
          <w:i w:val="false"/>
          <w:color w:val="000000"/>
          <w:vertAlign w:val="subscript"/>
        </w:rPr>
        <w:t>1</w:t>
      </w:r>
      <w:r>
        <w:rPr>
          <w:rFonts w:ascii="Times New Roman"/>
          <w:b w:val="false"/>
          <w:i w:val="false"/>
          <w:color w:val="000000"/>
          <w:sz w:val="28"/>
        </w:rPr>
        <w:t>, при этом значение нагрузки F</w:t>
      </w:r>
      <w:r>
        <w:rPr>
          <w:rFonts w:ascii="Times New Roman"/>
          <w:b w:val="false"/>
          <w:i w:val="false"/>
          <w:color w:val="000000"/>
          <w:vertAlign w:val="subscript"/>
        </w:rPr>
        <w:t>2</w:t>
      </w:r>
      <w:r>
        <w:rPr>
          <w:rFonts w:ascii="Times New Roman"/>
          <w:b w:val="false"/>
          <w:i w:val="false"/>
          <w:color w:val="000000"/>
          <w:sz w:val="28"/>
        </w:rPr>
        <w:t xml:space="preserve"> принимается равным нулю.</w:t>
      </w:r>
    </w:p>
    <w:bookmarkEnd w:id="3706"/>
    <w:bookmarkStart w:name="z3695" w:id="3707"/>
    <w:p>
      <w:pPr>
        <w:spacing w:after="0"/>
        <w:ind w:left="0"/>
        <w:jc w:val="both"/>
      </w:pPr>
      <w:r>
        <w:rPr>
          <w:rFonts w:ascii="Times New Roman"/>
          <w:b w:val="false"/>
          <w:i w:val="false"/>
          <w:color w:val="000000"/>
          <w:sz w:val="28"/>
        </w:rPr>
        <w:t xml:space="preserve">
      930. При отсутствии достоверных данных по величине упора гребного винта, упомянутого в пункте 925 настоящих Правил, допускается значение </w:t>
      </w:r>
      <w:r>
        <w:rPr>
          <w:rFonts w:ascii="Times New Roman"/>
          <w:b w:val="false"/>
          <w:i/>
          <w:color w:val="000000"/>
          <w:sz w:val="28"/>
        </w:rPr>
        <w:t>Т</w:t>
      </w:r>
      <w:r>
        <w:rPr>
          <w:rFonts w:ascii="Times New Roman"/>
          <w:b w:val="false"/>
          <w:i w:val="false"/>
          <w:color w:val="000000"/>
          <w:sz w:val="28"/>
        </w:rPr>
        <w:t>, кН, определять по следующим формулам:</w:t>
      </w:r>
    </w:p>
    <w:bookmarkEnd w:id="3707"/>
    <w:p>
      <w:pPr>
        <w:spacing w:after="0"/>
        <w:ind w:left="0"/>
        <w:jc w:val="both"/>
      </w:pPr>
      <w:r>
        <w:rPr>
          <w:rFonts w:ascii="Times New Roman"/>
          <w:b w:val="false"/>
          <w:i w:val="false"/>
          <w:color w:val="000000"/>
          <w:sz w:val="28"/>
        </w:rPr>
        <w:t>
      для винта с фиксированным шагом</w:t>
      </w:r>
    </w:p>
    <w:p>
      <w:pPr>
        <w:spacing w:after="0"/>
        <w:ind w:left="0"/>
        <w:jc w:val="both"/>
      </w:pPr>
      <w:r>
        <w:rPr>
          <w:rFonts w:ascii="Times New Roman"/>
          <w:b w:val="false"/>
          <w:i w:val="false"/>
          <w:color w:val="000000"/>
          <w:sz w:val="28"/>
        </w:rPr>
        <w:t>
      Т = 0,0441(</w:t>
      </w:r>
    </w:p>
    <w:p>
      <w:pPr>
        <w:spacing w:after="0"/>
        <w:ind w:left="0"/>
        <w:jc w:val="both"/>
      </w:pPr>
      <w:r>
        <w:drawing>
          <wp:inline distT="0" distB="0" distL="0" distR="0">
            <wp:extent cx="1244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1244600" cy="533400"/>
                    </a:xfrm>
                    <a:prstGeom prst="rect">
                      <a:avLst/>
                    </a:prstGeom>
                  </pic:spPr>
                </pic:pic>
              </a:graphicData>
            </a:graphic>
          </wp:inline>
        </w:drawing>
      </w:r>
    </w:p>
    <w:p>
      <w:pPr>
        <w:spacing w:after="0"/>
        <w:ind w:left="0"/>
        <w:jc w:val="left"/>
      </w:pPr>
      <w:r>
        <w:rPr>
          <w:rFonts w:ascii="Times New Roman"/>
          <w:b w:val="false"/>
          <w:i w:val="false"/>
          <w:color w:val="000000"/>
          <w:sz w:val="28"/>
        </w:rPr>
        <w:t>),                 (418)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винта регулируемого шага</w:t>
      </w:r>
    </w:p>
    <w:p>
      <w:pPr>
        <w:spacing w:after="0"/>
        <w:ind w:left="0"/>
        <w:jc w:val="both"/>
      </w:pPr>
      <w:r>
        <w:rPr>
          <w:rFonts w:ascii="Times New Roman"/>
          <w:b w:val="false"/>
          <w:i w:val="false"/>
          <w:color w:val="000000"/>
          <w:sz w:val="28"/>
        </w:rPr>
        <w:t>
      Т = 0,0441</w:t>
      </w:r>
    </w:p>
    <w:p>
      <w:pPr>
        <w:spacing w:after="0"/>
        <w:ind w:left="0"/>
        <w:jc w:val="both"/>
      </w:pPr>
      <w:r>
        <w:drawing>
          <wp:inline distT="0" distB="0" distL="0" distR="0">
            <wp:extent cx="157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5748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e</w:t>
      </w:r>
      <w:r>
        <w:rPr>
          <w:rFonts w:ascii="Times New Roman"/>
          <w:b w:val="false"/>
          <w:i w:val="false"/>
          <w:color w:val="000000"/>
          <w:sz w:val="28"/>
        </w:rPr>
        <w:t xml:space="preserve"> — номинальная суммарная мощность силовой установки судна, разделенная на число гребных винтов, кВт;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частота вращения гребного винта, с</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1</w:t>
      </w:r>
      <w:r>
        <w:rPr>
          <w:rFonts w:ascii="Times New Roman"/>
          <w:b w:val="false"/>
          <w:i w:val="false"/>
          <w:color w:val="000000"/>
          <w:sz w:val="28"/>
        </w:rPr>
        <w:t xml:space="preserve"> — шаг винта, м, при нулевом упоре, определяемый по формуле:</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1</w:t>
      </w:r>
      <w:r>
        <w:rPr>
          <w:rFonts w:ascii="Times New Roman"/>
          <w:b w:val="false"/>
          <w:i w:val="false"/>
          <w:color w:val="000000"/>
          <w:sz w:val="28"/>
        </w:rPr>
        <w:t>= Н+</w:t>
      </w:r>
    </w:p>
    <w:p>
      <w:pPr>
        <w:spacing w:after="0"/>
        <w:ind w:left="0"/>
        <w:jc w:val="both"/>
      </w:pPr>
      <w:r>
        <w:drawing>
          <wp:inline distT="0" distB="0" distL="0" distR="0">
            <wp:extent cx="584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584200" cy="533400"/>
                    </a:xfrm>
                    <a:prstGeom prst="rect">
                      <a:avLst/>
                    </a:prstGeom>
                  </pic:spPr>
                </pic:pic>
              </a:graphicData>
            </a:graphic>
          </wp:inline>
        </w:drawing>
      </w:r>
    </w:p>
    <w:p>
      <w:pPr>
        <w:spacing w:after="0"/>
        <w:ind w:left="0"/>
        <w:jc w:val="left"/>
      </w:pPr>
      <w:r>
        <w:rPr>
          <w:rFonts w:ascii="Times New Roman"/>
          <w:b w:val="false"/>
          <w:i w:val="false"/>
          <w:color w:val="000000"/>
          <w:sz w:val="28"/>
        </w:rPr>
        <w:t>,                       (420)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 — конструктивный шаг винта,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 </w:t>
      </w:r>
      <w:r>
        <w:rPr>
          <w:rFonts w:ascii="Times New Roman"/>
          <w:b w:val="false"/>
          <w:i w:val="false"/>
          <w:color w:val="000000"/>
          <w:sz w:val="28"/>
        </w:rPr>
        <w:t>—дисковое отношение гребного винта;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число лопастей гребного винта.</w:t>
      </w:r>
    </w:p>
    <w:bookmarkStart w:name="z3696" w:id="3708"/>
    <w:p>
      <w:pPr>
        <w:spacing w:after="0"/>
        <w:ind w:left="0"/>
        <w:jc w:val="left"/>
      </w:pPr>
      <w:r>
        <w:rPr>
          <w:rFonts w:ascii="Times New Roman"/>
          <w:b/>
          <w:i w:val="false"/>
          <w:color w:val="000000"/>
        </w:rPr>
        <w:t xml:space="preserve"> Параграф 2. Расчетные нагрузки и крутящие моменты</w:t>
      </w:r>
      <w:r>
        <w:br/>
      </w:r>
      <w:r>
        <w:rPr>
          <w:rFonts w:ascii="Times New Roman"/>
          <w:b/>
          <w:i w:val="false"/>
          <w:color w:val="000000"/>
        </w:rPr>
        <w:t>для поворотных насадок</w:t>
      </w:r>
    </w:p>
    <w:bookmarkEnd w:id="3708"/>
    <w:bookmarkStart w:name="z3697" w:id="3709"/>
    <w:p>
      <w:pPr>
        <w:spacing w:after="0"/>
        <w:ind w:left="0"/>
        <w:jc w:val="both"/>
      </w:pPr>
      <w:r>
        <w:rPr>
          <w:rFonts w:ascii="Times New Roman"/>
          <w:b w:val="false"/>
          <w:i w:val="false"/>
          <w:color w:val="000000"/>
          <w:sz w:val="28"/>
        </w:rPr>
        <w:t>
      931. Суммарная расчетная нагрузка F, кН, действующая на поворотную насадку и стабилизатор, принимается не менее определенной по формуле:</w:t>
      </w:r>
    </w:p>
    <w:bookmarkEnd w:id="3709"/>
    <w:p>
      <w:pPr>
        <w:spacing w:after="0"/>
        <w:ind w:left="0"/>
        <w:jc w:val="both"/>
      </w:pPr>
      <w:r>
        <w:rPr>
          <w:rFonts w:ascii="Times New Roman"/>
          <w:b w:val="false"/>
          <w:i w:val="false"/>
          <w:color w:val="000000"/>
          <w:sz w:val="28"/>
        </w:rPr>
        <w:t>
                                    F=F</w:t>
      </w:r>
      <w:r>
        <w:rPr>
          <w:rFonts w:ascii="Times New Roman"/>
          <w:b w:val="false"/>
          <w:i w:val="false"/>
          <w:color w:val="000000"/>
          <w:vertAlign w:val="subscript"/>
        </w:rPr>
        <w:t>H</w:t>
      </w:r>
      <w:r>
        <w:rPr>
          <w:rFonts w:ascii="Times New Roman"/>
          <w:b w:val="false"/>
          <w:i w:val="false"/>
          <w:color w:val="000000"/>
          <w:sz w:val="28"/>
        </w:rPr>
        <w:t>+F</w:t>
      </w:r>
      <w:r>
        <w:rPr>
          <w:rFonts w:ascii="Times New Roman"/>
          <w:b w:val="false"/>
          <w:i w:val="false"/>
          <w:color w:val="000000"/>
          <w:vertAlign w:val="subscript"/>
        </w:rPr>
        <w:t>CT</w:t>
      </w:r>
      <w:r>
        <w:rPr>
          <w:rFonts w:ascii="Times New Roman"/>
          <w:b w:val="false"/>
          <w:i w:val="false"/>
          <w:color w:val="000000"/>
          <w:sz w:val="28"/>
        </w:rPr>
        <w:t>,                          (421)</w:t>
      </w:r>
    </w:p>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Н</w:t>
      </w:r>
      <w:r>
        <w:rPr>
          <w:rFonts w:ascii="Times New Roman"/>
          <w:b w:val="false"/>
          <w:i w:val="false"/>
          <w:color w:val="000000"/>
          <w:sz w:val="28"/>
        </w:rPr>
        <w:t xml:space="preserve"> — расчетная нагрузка, действующая на насадку, кН;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CT</w:t>
      </w:r>
      <w:r>
        <w:rPr>
          <w:rFonts w:ascii="Times New Roman"/>
          <w:b w:val="false"/>
          <w:i w:val="false"/>
          <w:color w:val="000000"/>
          <w:sz w:val="28"/>
        </w:rPr>
        <w:t xml:space="preserve"> — расчетная нагрузка, действующая на стабилизатор, кН;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Н</w:t>
      </w:r>
      <w:r>
        <w:rPr>
          <w:rFonts w:ascii="Times New Roman"/>
          <w:b w:val="false"/>
          <w:i w:val="false"/>
          <w:color w:val="000000"/>
          <w:sz w:val="28"/>
        </w:rPr>
        <w:t xml:space="preserve"> и F</w:t>
      </w:r>
      <w:r>
        <w:rPr>
          <w:rFonts w:ascii="Times New Roman"/>
          <w:b w:val="false"/>
          <w:i w:val="false"/>
          <w:color w:val="000000"/>
          <w:vertAlign w:val="subscript"/>
        </w:rPr>
        <w:t>CT</w:t>
      </w:r>
      <w:r>
        <w:rPr>
          <w:rFonts w:ascii="Times New Roman"/>
          <w:b w:val="false"/>
          <w:i w:val="false"/>
          <w:color w:val="000000"/>
          <w:sz w:val="28"/>
        </w:rPr>
        <w:t xml:space="preserve"> — определяются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6108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Н</w:t>
      </w:r>
      <w:r>
        <w:rPr>
          <w:rFonts w:ascii="Times New Roman"/>
          <w:b w:val="false"/>
          <w:i w:val="false"/>
          <w:color w:val="000000"/>
          <w:sz w:val="28"/>
        </w:rPr>
        <w:t xml:space="preserve"> — внутренний диаметр насадки в свету,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H</w:t>
      </w:r>
      <w:r>
        <w:rPr>
          <w:rFonts w:ascii="Times New Roman"/>
          <w:b w:val="false"/>
          <w:i w:val="false"/>
          <w:color w:val="000000"/>
          <w:sz w:val="28"/>
        </w:rPr>
        <w:t xml:space="preserve"> — длина насадки, м;</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сТ</w:t>
      </w:r>
      <w:r>
        <w:rPr>
          <w:rFonts w:ascii="Times New Roman"/>
          <w:b w:val="false"/>
          <w:i w:val="false"/>
          <w:color w:val="000000"/>
          <w:sz w:val="28"/>
        </w:rPr>
        <w:t xml:space="preserve"> — площадь стабилизатора насадки,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скорость, уз, определяемая по формуле: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V(1 — W);                    (424)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средний коэффициент попутного потока. При отсутствии надежных экспериментальных данных допускается коэффициент попутного потока определять по формуле:</w:t>
      </w:r>
    </w:p>
    <w:p>
      <w:pPr>
        <w:spacing w:after="0"/>
        <w:ind w:left="0"/>
        <w:jc w:val="both"/>
      </w:pPr>
      <w:r>
        <w:rPr>
          <w:rFonts w:ascii="Times New Roman"/>
          <w:b w:val="false"/>
          <w:i w:val="false"/>
          <w:color w:val="000000"/>
          <w:sz w:val="28"/>
        </w:rPr>
        <w:t>
      W=0,165С</w:t>
      </w:r>
      <w:r>
        <w:rPr>
          <w:rFonts w:ascii="Times New Roman"/>
          <w:b w:val="false"/>
          <w:i w:val="false"/>
          <w:color w:val="000000"/>
          <w:vertAlign w:val="superscript"/>
        </w:rPr>
        <w:t>n</w:t>
      </w:r>
      <w:r>
        <w:rPr>
          <w:rFonts w:ascii="Times New Roman"/>
          <w:b w:val="false"/>
          <w:i w:val="false"/>
          <w:color w:val="000000"/>
          <w:vertAlign w:val="subscript"/>
        </w:rPr>
        <w:t>В</w:t>
      </w:r>
    </w:p>
    <w:p>
      <w:pPr>
        <w:spacing w:after="0"/>
        <w:ind w:left="0"/>
        <w:jc w:val="both"/>
      </w:pPr>
      <w:r>
        <w:drawing>
          <wp:inline distT="0" distB="0" distL="0" distR="0">
            <wp:extent cx="698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698500" cy="419100"/>
                    </a:xfrm>
                    <a:prstGeom prst="rect">
                      <a:avLst/>
                    </a:prstGeom>
                  </pic:spPr>
                </pic:pic>
              </a:graphicData>
            </a:graphic>
          </wp:inline>
        </w:drawing>
      </w:r>
    </w:p>
    <w:p>
      <w:pPr>
        <w:spacing w:after="0"/>
        <w:ind w:left="0"/>
        <w:jc w:val="left"/>
      </w:pPr>
      <w:r>
        <w:rPr>
          <w:rFonts w:ascii="Times New Roman"/>
          <w:b w:val="false"/>
          <w:i w:val="false"/>
          <w:color w:val="000000"/>
          <w:sz w:val="28"/>
        </w:rPr>
        <w:t>,                        (425)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B</w:t>
      </w:r>
      <w:r>
        <w:rPr>
          <w:rFonts w:ascii="Times New Roman"/>
          <w:b w:val="false"/>
          <w:i w:val="false"/>
          <w:color w:val="000000"/>
          <w:sz w:val="28"/>
        </w:rPr>
        <w:t xml:space="preserve"> — коэффициент общей полноты судна;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объемное водоизмещение судна при осадке по летнюю грузовую ватерлинию,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винтов;</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 диаметр винта, м;</w:t>
      </w:r>
    </w:p>
    <w:p>
      <w:pPr>
        <w:spacing w:after="0"/>
        <w:ind w:left="0"/>
        <w:jc w:val="both"/>
      </w:pPr>
      <w:r>
        <w:rPr>
          <w:rFonts w:ascii="Times New Roman"/>
          <w:b w:val="false"/>
          <w:i w:val="false"/>
          <w:color w:val="000000"/>
          <w:sz w:val="28"/>
        </w:rPr>
        <w:t>
      V — наибольшая скорость переднего хода судна, уз, при осадке по летнюю грузовую ватерлинию, но не менее:</w:t>
      </w:r>
    </w:p>
    <w:p>
      <w:pPr>
        <w:spacing w:after="0"/>
        <w:ind w:left="0"/>
        <w:jc w:val="both"/>
      </w:pPr>
      <w:r>
        <w:rPr>
          <w:rFonts w:ascii="Times New Roman"/>
          <w:b w:val="false"/>
          <w:i w:val="false"/>
          <w:color w:val="000000"/>
          <w:sz w:val="28"/>
        </w:rPr>
        <w:t>
      11 узлов для остальных судов с ледовыми усилениями категорий;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коэффициенты, определяемые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53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5753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нв</w:t>
      </w:r>
      <w:r>
        <w:rPr>
          <w:rFonts w:ascii="Times New Roman"/>
          <w:b w:val="false"/>
          <w:i w:val="false"/>
          <w:color w:val="000000"/>
          <w:sz w:val="28"/>
        </w:rPr>
        <w:t xml:space="preserve"> определяется по формуле: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нв</w:t>
      </w:r>
      <w:r>
        <w:rPr>
          <w:rFonts w:ascii="Times New Roman"/>
          <w:b w:val="false"/>
          <w:i w:val="false"/>
          <w:color w:val="000000"/>
          <w:sz w:val="28"/>
        </w:rPr>
        <w:t xml:space="preserve"> =9,38T/(D</w:t>
      </w:r>
      <w:r>
        <w:rPr>
          <w:rFonts w:ascii="Times New Roman"/>
          <w:b w:val="false"/>
          <w:i w:val="false"/>
          <w:color w:val="000000"/>
          <w:vertAlign w:val="superscript"/>
        </w:rPr>
        <w:t>2</w:t>
      </w:r>
      <w:r>
        <w:rPr>
          <w:rFonts w:ascii="Times New Roman"/>
          <w:b w:val="false"/>
          <w:i w:val="false"/>
          <w:color w:val="000000"/>
          <w:vertAlign w:val="subscript"/>
        </w:rPr>
        <w:t>B</w:t>
      </w:r>
      <w:r>
        <w:rPr>
          <w:rFonts w:ascii="Times New Roman"/>
          <w:b w:val="false"/>
          <w:i w:val="false"/>
          <w:color w:val="000000"/>
          <w:sz w:val="28"/>
        </w:rPr>
        <w:t>V</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(428)</w:t>
      </w:r>
    </w:p>
    <w:p>
      <w:pPr>
        <w:spacing w:after="0"/>
        <w:ind w:left="0"/>
        <w:jc w:val="both"/>
      </w:pPr>
      <w:r>
        <w:rPr>
          <w:rFonts w:ascii="Times New Roman"/>
          <w:b w:val="false"/>
          <w:i w:val="false"/>
          <w:color w:val="000000"/>
          <w:sz w:val="28"/>
        </w:rPr>
        <w:t>
      где Т— упор винта, кН, при скорости V;</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 диаметр винта,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D</w:t>
      </w:r>
      <w:r>
        <w:rPr>
          <w:rFonts w:ascii="Times New Roman"/>
          <w:b w:val="false"/>
          <w:i w:val="false"/>
          <w:color w:val="000000"/>
          <w:vertAlign w:val="subscript"/>
        </w:rPr>
        <w:t>H</w:t>
      </w:r>
      <w:r>
        <w:rPr>
          <w:rFonts w:ascii="Times New Roman"/>
          <w:b w:val="false"/>
          <w:i w:val="false"/>
          <w:color w:val="000000"/>
          <w:sz w:val="28"/>
        </w:rPr>
        <w:t>;                    (429)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коэффициент,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4,5 — 0,12(</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5,43)</w:t>
      </w:r>
      <w:r>
        <w:rPr>
          <w:rFonts w:ascii="Times New Roman"/>
          <w:b w:val="false"/>
          <w:i w:val="false"/>
          <w:color w:val="000000"/>
          <w:vertAlign w:val="superscript"/>
        </w:rPr>
        <w:t>2</w:t>
      </w:r>
      <w:r>
        <w:rPr>
          <w:rFonts w:ascii="Times New Roman"/>
          <w:b w:val="false"/>
          <w:i w:val="false"/>
          <w:color w:val="000000"/>
          <w:sz w:val="28"/>
        </w:rPr>
        <w:t>;           (430)</w:t>
      </w:r>
      <w:r>
        <w:br/>
      </w: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hст/lст,                    (431)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ст</w:t>
      </w:r>
      <w:r>
        <w:rPr>
          <w:rFonts w:ascii="Times New Roman"/>
          <w:b w:val="false"/>
          <w:i w:val="false"/>
          <w:color w:val="000000"/>
          <w:sz w:val="28"/>
        </w:rPr>
        <w:t xml:space="preserve"> — высота стабилизатора насадки,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ст</w:t>
      </w:r>
      <w:r>
        <w:rPr>
          <w:rFonts w:ascii="Times New Roman"/>
          <w:b w:val="false"/>
          <w:i w:val="false"/>
          <w:color w:val="000000"/>
          <w:sz w:val="28"/>
        </w:rPr>
        <w:t xml:space="preserve"> — длина стабилизатора насадки, м.</w:t>
      </w:r>
    </w:p>
    <w:bookmarkStart w:name="z3698" w:id="3710"/>
    <w:p>
      <w:pPr>
        <w:spacing w:after="0"/>
        <w:ind w:left="0"/>
        <w:jc w:val="both"/>
      </w:pPr>
      <w:r>
        <w:rPr>
          <w:rFonts w:ascii="Times New Roman"/>
          <w:b w:val="false"/>
          <w:i w:val="false"/>
          <w:color w:val="000000"/>
          <w:sz w:val="28"/>
        </w:rPr>
        <w:t xml:space="preserve">
      932. Точкой приложения расчетной нагрузки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следует считать точку, расположенную на уровне продольной оси насадки, на расстоянии r</w:t>
      </w:r>
      <w:r>
        <w:rPr>
          <w:rFonts w:ascii="Times New Roman"/>
          <w:b w:val="false"/>
          <w:i w:val="false"/>
          <w:color w:val="000000"/>
          <w:vertAlign w:val="subscript"/>
        </w:rPr>
        <w:t>н</w:t>
      </w:r>
      <w:r>
        <w:rPr>
          <w:rFonts w:ascii="Times New Roman"/>
          <w:b w:val="false"/>
          <w:i w:val="false"/>
          <w:color w:val="000000"/>
          <w:sz w:val="28"/>
        </w:rPr>
        <w:t xml:space="preserve"> от передней кромки насадки на этом уровне. Это расстояние r</w:t>
      </w:r>
      <w:r>
        <w:rPr>
          <w:rFonts w:ascii="Times New Roman"/>
          <w:b w:val="false"/>
          <w:i w:val="false"/>
          <w:color w:val="000000"/>
          <w:vertAlign w:val="subscript"/>
        </w:rPr>
        <w:t>н</w:t>
      </w:r>
      <w:r>
        <w:rPr>
          <w:rFonts w:ascii="Times New Roman"/>
          <w:b w:val="false"/>
          <w:i w:val="false"/>
          <w:color w:val="000000"/>
          <w:sz w:val="28"/>
        </w:rPr>
        <w:t>, м, не менее определенного по формуле:</w:t>
      </w:r>
    </w:p>
    <w:bookmarkEnd w:id="371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bk</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sz w:val="28"/>
        </w:rPr>
        <w:t>),                    (432)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коэффициент компенсации насадки,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б</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(433)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б</w:t>
      </w:r>
      <w:r>
        <w:rPr>
          <w:rFonts w:ascii="Times New Roman"/>
          <w:b w:val="false"/>
          <w:i w:val="false"/>
          <w:color w:val="000000"/>
          <w:sz w:val="28"/>
        </w:rPr>
        <w:t xml:space="preserve"> — отстояние оси баллера от передней кромки насадки,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коэффициенты, определяемые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0,796 — 0,011(</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val="false"/>
          <w:color w:val="000000"/>
          <w:sz w:val="28"/>
        </w:rPr>
        <w:t xml:space="preserve"> — 7,18)</w:t>
      </w:r>
      <w:r>
        <w:rPr>
          <w:rFonts w:ascii="Times New Roman"/>
          <w:b w:val="false"/>
          <w:i w:val="false"/>
          <w:color w:val="000000"/>
          <w:vertAlign w:val="superscript"/>
        </w:rPr>
        <w:t>2</w:t>
      </w:r>
      <w:r>
        <w:rPr>
          <w:rFonts w:ascii="Times New Roman"/>
          <w:b w:val="false"/>
          <w:i w:val="false"/>
          <w:color w:val="000000"/>
          <w:sz w:val="28"/>
        </w:rPr>
        <w:t>,          (434)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0,1585 — 0,0916</w:t>
      </w:r>
    </w:p>
    <w:p>
      <w:pPr>
        <w:spacing w:after="0"/>
        <w:ind w:left="0"/>
        <w:jc w:val="both"/>
      </w:pPr>
      <w:r>
        <w:drawing>
          <wp:inline distT="0" distB="0" distL="0" distR="0">
            <wp:extent cx="45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457200" cy="330200"/>
                    </a:xfrm>
                    <a:prstGeom prst="rect">
                      <a:avLst/>
                    </a:prstGeom>
                  </pic:spPr>
                </pic:pic>
              </a:graphicData>
            </a:graphic>
          </wp:inline>
        </w:drawing>
      </w:r>
    </w:p>
    <w:p>
      <w:pPr>
        <w:spacing w:after="0"/>
        <w:ind w:left="0"/>
        <w:jc w:val="left"/>
      </w:pPr>
      <w:r>
        <w:rPr>
          <w:rFonts w:ascii="Times New Roman"/>
          <w:b w:val="false"/>
          <w:i w:val="false"/>
          <w:color w:val="000000"/>
          <w:sz w:val="28"/>
        </w:rPr>
        <w:t>,                 (435)</w:t>
      </w:r>
      <w:r>
        <w:br/>
      </w:r>
      <w:r>
        <w:rPr>
          <w:rFonts w:ascii="Times New Roman"/>
          <w:b w:val="false"/>
          <w:i w:val="false"/>
          <w:color w:val="000000"/>
          <w:sz w:val="28"/>
        </w:rPr>
        <w:t>
</w:t>
      </w:r>
    </w:p>
    <w:bookmarkStart w:name="z3699" w:id="3711"/>
    <w:p>
      <w:pPr>
        <w:spacing w:after="0"/>
        <w:ind w:left="0"/>
        <w:jc w:val="both"/>
      </w:pPr>
      <w:r>
        <w:rPr>
          <w:rFonts w:ascii="Times New Roman"/>
          <w:b w:val="false"/>
          <w:i w:val="false"/>
          <w:color w:val="000000"/>
          <w:sz w:val="28"/>
        </w:rPr>
        <w:t>
      Точкой приложения расчетной нагрузки F</w:t>
      </w:r>
      <w:r>
        <w:rPr>
          <w:rFonts w:ascii="Times New Roman"/>
          <w:b w:val="false"/>
          <w:i w:val="false"/>
          <w:color w:val="000000"/>
          <w:vertAlign w:val="subscript"/>
        </w:rPr>
        <w:t>CT</w:t>
      </w:r>
      <w:r>
        <w:rPr>
          <w:rFonts w:ascii="Times New Roman"/>
          <w:b w:val="false"/>
          <w:i w:val="false"/>
          <w:color w:val="000000"/>
          <w:sz w:val="28"/>
        </w:rPr>
        <w:t xml:space="preserve"> следует считать точку, расположенную на уровне продольной оси насадки, на расстоянии r</w:t>
      </w:r>
      <w:r>
        <w:rPr>
          <w:rFonts w:ascii="Times New Roman"/>
          <w:b w:val="false"/>
          <w:i w:val="false"/>
          <w:color w:val="000000"/>
          <w:vertAlign w:val="subscript"/>
        </w:rPr>
        <w:t>СТ</w:t>
      </w:r>
      <w:r>
        <w:rPr>
          <w:rFonts w:ascii="Times New Roman"/>
          <w:b w:val="false"/>
          <w:i w:val="false"/>
          <w:color w:val="000000"/>
          <w:sz w:val="28"/>
        </w:rPr>
        <w:t xml:space="preserve"> от передней кромки стабилизатора на этом уровне. Это расстояние r</w:t>
      </w:r>
      <w:r>
        <w:rPr>
          <w:rFonts w:ascii="Times New Roman"/>
          <w:b w:val="false"/>
          <w:i w:val="false"/>
          <w:color w:val="000000"/>
          <w:vertAlign w:val="subscript"/>
        </w:rPr>
        <w:t>СТ</w:t>
      </w:r>
      <w:r>
        <w:rPr>
          <w:rFonts w:ascii="Times New Roman"/>
          <w:b w:val="false"/>
          <w:i w:val="false"/>
          <w:color w:val="000000"/>
          <w:sz w:val="28"/>
        </w:rPr>
        <w:t>, м, не менее определенного по формуле:</w:t>
      </w:r>
    </w:p>
    <w:bookmarkEnd w:id="3711"/>
    <w:p>
      <w:pPr>
        <w:spacing w:after="0"/>
        <w:ind w:left="0"/>
        <w:jc w:val="both"/>
      </w:pPr>
      <w:r>
        <w:rPr>
          <w:rFonts w:ascii="Times New Roman"/>
          <w:b w:val="false"/>
          <w:i w:val="false"/>
          <w:color w:val="000000"/>
          <w:sz w:val="28"/>
        </w:rPr>
        <w:t>
                                    r</w:t>
      </w:r>
      <w:r>
        <w:rPr>
          <w:rFonts w:ascii="Times New Roman"/>
          <w:b w:val="false"/>
          <w:i w:val="false"/>
          <w:color w:val="000000"/>
          <w:vertAlign w:val="subscript"/>
        </w:rPr>
        <w:t>СТ</w:t>
      </w:r>
      <w:r>
        <w:rPr>
          <w:rFonts w:ascii="Times New Roman"/>
          <w:b w:val="false"/>
          <w:i w:val="false"/>
          <w:color w:val="000000"/>
          <w:sz w:val="28"/>
        </w:rPr>
        <w:t xml:space="preserve"> = 0,25</w:t>
      </w:r>
      <w:r>
        <w:rPr>
          <w:rFonts w:ascii="Times New Roman"/>
          <w:b w:val="false"/>
          <w:i/>
          <w:color w:val="000000"/>
          <w:sz w:val="28"/>
        </w:rPr>
        <w:t>l</w:t>
      </w:r>
      <w:r>
        <w:rPr>
          <w:rFonts w:ascii="Times New Roman"/>
          <w:b w:val="false"/>
          <w:i w:val="false"/>
          <w:color w:val="000000"/>
          <w:vertAlign w:val="subscript"/>
        </w:rPr>
        <w:t>сm</w:t>
      </w:r>
      <w:r>
        <w:rPr>
          <w:rFonts w:ascii="Times New Roman"/>
          <w:b w:val="false"/>
          <w:i w:val="false"/>
          <w:color w:val="000000"/>
          <w:sz w:val="28"/>
        </w:rPr>
        <w:t>,                     (436)</w:t>
      </w:r>
    </w:p>
    <w:bookmarkStart w:name="z3700" w:id="3712"/>
    <w:p>
      <w:pPr>
        <w:spacing w:after="0"/>
        <w:ind w:left="0"/>
        <w:jc w:val="both"/>
      </w:pPr>
      <w:r>
        <w:rPr>
          <w:rFonts w:ascii="Times New Roman"/>
          <w:b w:val="false"/>
          <w:i w:val="false"/>
          <w:color w:val="000000"/>
          <w:sz w:val="28"/>
        </w:rPr>
        <w:t>
      933. Расчетный суммарный крутящий момент М</w:t>
      </w:r>
      <w:r>
        <w:rPr>
          <w:rFonts w:ascii="Times New Roman"/>
          <w:b w:val="false"/>
          <w:i w:val="false"/>
          <w:color w:val="000000"/>
          <w:vertAlign w:val="subscript"/>
        </w:rPr>
        <w:t>к</w:t>
      </w:r>
      <w:r>
        <w:rPr>
          <w:rFonts w:ascii="Times New Roman"/>
          <w:b w:val="false"/>
          <w:i w:val="false"/>
          <w:color w:val="000000"/>
          <w:sz w:val="28"/>
        </w:rPr>
        <w:t>, кН·м, действующий на устройство с поворотной насадкой, определяется по формуле:</w:t>
      </w:r>
    </w:p>
    <w:bookmarkEnd w:id="371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М</w:t>
      </w:r>
      <w:r>
        <w:rPr>
          <w:rFonts w:ascii="Times New Roman"/>
          <w:b w:val="false"/>
          <w:i w:val="false"/>
          <w:color w:val="000000"/>
          <w:vertAlign w:val="subscript"/>
        </w:rPr>
        <w:t>н</w:t>
      </w:r>
      <w:r>
        <w:rPr>
          <w:rFonts w:ascii="Times New Roman"/>
          <w:b w:val="false"/>
          <w:i w:val="false"/>
          <w:color w:val="000000"/>
          <w:sz w:val="28"/>
        </w:rPr>
        <w:t xml:space="preserve"> — М</w:t>
      </w:r>
      <w:r>
        <w:rPr>
          <w:rFonts w:ascii="Times New Roman"/>
          <w:b w:val="false"/>
          <w:i w:val="false"/>
          <w:color w:val="000000"/>
          <w:vertAlign w:val="subscript"/>
        </w:rPr>
        <w:t>СТ</w:t>
      </w:r>
      <w:r>
        <w:rPr>
          <w:rFonts w:ascii="Times New Roman"/>
          <w:b w:val="false"/>
          <w:i w:val="false"/>
          <w:color w:val="000000"/>
          <w:sz w:val="28"/>
        </w:rPr>
        <w:t>,                     (437)</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н</w:t>
      </w:r>
      <w:r>
        <w:rPr>
          <w:rFonts w:ascii="Times New Roman"/>
          <w:b w:val="false"/>
          <w:i w:val="false"/>
          <w:color w:val="000000"/>
          <w:sz w:val="28"/>
        </w:rPr>
        <w:t xml:space="preserve"> — расчетный крутящий момент нагрузки F</w:t>
      </w:r>
      <w:r>
        <w:rPr>
          <w:rFonts w:ascii="Times New Roman"/>
          <w:b w:val="false"/>
          <w:i w:val="false"/>
          <w:color w:val="000000"/>
          <w:vertAlign w:val="subscript"/>
        </w:rPr>
        <w:t>Н</w:t>
      </w:r>
      <w:r>
        <w:rPr>
          <w:rFonts w:ascii="Times New Roman"/>
          <w:b w:val="false"/>
          <w:i w:val="false"/>
          <w:color w:val="000000"/>
          <w:sz w:val="28"/>
        </w:rPr>
        <w:t>, кН·м;</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СТ</w:t>
      </w:r>
      <w:r>
        <w:rPr>
          <w:rFonts w:ascii="Times New Roman"/>
          <w:b w:val="false"/>
          <w:i w:val="false"/>
          <w:color w:val="000000"/>
          <w:sz w:val="28"/>
        </w:rPr>
        <w:t xml:space="preserve"> — расчетный крутящий момент нагрузки F</w:t>
      </w:r>
      <w:r>
        <w:rPr>
          <w:rFonts w:ascii="Times New Roman"/>
          <w:b w:val="false"/>
          <w:i w:val="false"/>
          <w:color w:val="000000"/>
          <w:vertAlign w:val="subscript"/>
        </w:rPr>
        <w:t>СТ</w:t>
      </w:r>
      <w:r>
        <w:rPr>
          <w:rFonts w:ascii="Times New Roman"/>
          <w:b w:val="false"/>
          <w:i w:val="false"/>
          <w:color w:val="000000"/>
          <w:sz w:val="28"/>
        </w:rPr>
        <w:t>, кН·м;</w:t>
      </w:r>
    </w:p>
    <w:p>
      <w:pPr>
        <w:spacing w:after="0"/>
        <w:ind w:left="0"/>
        <w:jc w:val="both"/>
      </w:pPr>
      <w:r>
        <w:rPr>
          <w:rFonts w:ascii="Times New Roman"/>
          <w:b w:val="false"/>
          <w:i w:val="false"/>
          <w:color w:val="000000"/>
          <w:sz w:val="28"/>
        </w:rPr>
        <w:t xml:space="preserve">
      Мн </w:t>
      </w:r>
      <w:r>
        <w:rPr>
          <w:rFonts w:ascii="Times New Roman"/>
          <w:b w:val="false"/>
          <w:i/>
          <w:color w:val="000000"/>
          <w:sz w:val="28"/>
        </w:rPr>
        <w:t>u</w:t>
      </w:r>
      <w:r>
        <w:rPr>
          <w:rFonts w:ascii="Times New Roman"/>
          <w:b w:val="false"/>
          <w:i w:val="false"/>
          <w:color w:val="000000"/>
          <w:sz w:val="28"/>
        </w:rPr>
        <w:t xml:space="preserve"> М</w:t>
      </w:r>
      <w:r>
        <w:rPr>
          <w:rFonts w:ascii="Times New Roman"/>
          <w:b w:val="false"/>
          <w:i w:val="false"/>
          <w:color w:val="000000"/>
          <w:vertAlign w:val="subscript"/>
        </w:rPr>
        <w:t>СТ</w:t>
      </w:r>
      <w:r>
        <w:rPr>
          <w:rFonts w:ascii="Times New Roman"/>
          <w:b w:val="false"/>
          <w:i w:val="false"/>
          <w:color w:val="000000"/>
          <w:sz w:val="28"/>
        </w:rPr>
        <w:t xml:space="preserve"> — определяются по формулам:</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w:t>
      </w:r>
      <w:r>
        <w:rPr>
          <w:rFonts w:ascii="Times New Roman"/>
          <w:b w:val="false"/>
          <w:i w:val="false"/>
          <w:color w:val="000000"/>
          <w:sz w:val="28"/>
        </w:rPr>
        <w:t xml:space="preserve"> = FН(lб — rН),                  (438)</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СТ</w:t>
      </w:r>
      <w:r>
        <w:rPr>
          <w:rFonts w:ascii="Times New Roman"/>
          <w:b w:val="false"/>
          <w:i w:val="false"/>
          <w:color w:val="000000"/>
          <w:sz w:val="28"/>
        </w:rPr>
        <w:t xml:space="preserve"> = F</w:t>
      </w:r>
      <w:r>
        <w:rPr>
          <w:rFonts w:ascii="Times New Roman"/>
          <w:b w:val="false"/>
          <w:i w:val="false"/>
          <w:color w:val="000000"/>
          <w:vertAlign w:val="subscript"/>
        </w:rPr>
        <w:t>СТ</w:t>
      </w:r>
      <w:r>
        <w:rPr>
          <w:rFonts w:ascii="Times New Roman"/>
          <w:b w:val="false"/>
          <w:i w:val="false"/>
          <w:color w:val="000000"/>
          <w:sz w:val="28"/>
        </w:rPr>
        <w:t xml:space="preserve"> (a+r</w:t>
      </w:r>
      <w:r>
        <w:rPr>
          <w:rFonts w:ascii="Times New Roman"/>
          <w:b w:val="false"/>
          <w:i w:val="false"/>
          <w:color w:val="000000"/>
          <w:vertAlign w:val="subscript"/>
        </w:rPr>
        <w:t>СT</w:t>
      </w:r>
      <w:r>
        <w:rPr>
          <w:rFonts w:ascii="Times New Roman"/>
          <w:b w:val="false"/>
          <w:i w:val="false"/>
          <w:color w:val="000000"/>
          <w:sz w:val="28"/>
        </w:rPr>
        <w:t>);                  (439)</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отстояние оси баллера от передней кромки стабилизатора, м.</w:t>
      </w:r>
    </w:p>
    <w:bookmarkStart w:name="z3701" w:id="3713"/>
    <w:p>
      <w:pPr>
        <w:spacing w:after="0"/>
        <w:ind w:left="0"/>
        <w:jc w:val="both"/>
      </w:pPr>
      <w:r>
        <w:rPr>
          <w:rFonts w:ascii="Times New Roman"/>
          <w:b w:val="false"/>
          <w:i w:val="false"/>
          <w:color w:val="000000"/>
          <w:sz w:val="28"/>
        </w:rPr>
        <w:t>
      В любом случае расчетный суммарный крутящий момент М</w:t>
      </w:r>
      <w:r>
        <w:rPr>
          <w:rFonts w:ascii="Times New Roman"/>
          <w:b w:val="false"/>
          <w:i w:val="false"/>
          <w:color w:val="000000"/>
          <w:vertAlign w:val="subscript"/>
        </w:rPr>
        <w:t>к</w:t>
      </w:r>
      <w:r>
        <w:rPr>
          <w:rFonts w:ascii="Times New Roman"/>
          <w:b w:val="false"/>
          <w:i w:val="false"/>
          <w:color w:val="000000"/>
          <w:sz w:val="28"/>
        </w:rPr>
        <w:t>, действующий на устройство с поворотной насадкой, не принимается меньше минимального расчетного крутящего момента M</w:t>
      </w:r>
      <w:r>
        <w:rPr>
          <w:rFonts w:ascii="Times New Roman"/>
          <w:b w:val="false"/>
          <w:i w:val="false"/>
          <w:color w:val="000000"/>
          <w:vertAlign w:val="subscript"/>
        </w:rPr>
        <w:t>min</w:t>
      </w:r>
      <w:r>
        <w:rPr>
          <w:rFonts w:ascii="Times New Roman"/>
          <w:b w:val="false"/>
          <w:i w:val="false"/>
          <w:color w:val="000000"/>
          <w:sz w:val="28"/>
        </w:rPr>
        <w:t>,кН·м, определяемого по формуле:</w:t>
      </w:r>
    </w:p>
    <w:bookmarkEnd w:id="3713"/>
    <w:p>
      <w:pPr>
        <w:spacing w:after="0"/>
        <w:ind w:left="0"/>
        <w:jc w:val="both"/>
      </w:pPr>
      <w:r>
        <w:rPr>
          <w:rFonts w:ascii="Times New Roman"/>
          <w:b w:val="false"/>
          <w:i w:val="false"/>
          <w:color w:val="000000"/>
          <w:sz w:val="28"/>
        </w:rPr>
        <w:t>
      M</w:t>
      </w:r>
      <w:r>
        <w:rPr>
          <w:rFonts w:ascii="Times New Roman"/>
          <w:b w:val="false"/>
          <w:i w:val="false"/>
          <w:color w:val="000000"/>
          <w:vertAlign w:val="subscript"/>
        </w:rPr>
        <w:t>min</w:t>
      </w:r>
      <w:r>
        <w:rPr>
          <w:rFonts w:ascii="Times New Roman"/>
          <w:b w:val="false"/>
          <w:i w:val="false"/>
          <w:color w:val="000000"/>
          <w:sz w:val="28"/>
        </w:rPr>
        <w:t xml:space="preserve"> = </w:t>
      </w:r>
    </w:p>
    <w:p>
      <w:pPr>
        <w:spacing w:after="0"/>
        <w:ind w:left="0"/>
        <w:jc w:val="both"/>
      </w:pPr>
      <w:r>
        <w:drawing>
          <wp:inline distT="0" distB="0" distL="0" distR="0">
            <wp:extent cx="3048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3048000" cy="419100"/>
                    </a:xfrm>
                    <a:prstGeom prst="rect">
                      <a:avLst/>
                    </a:prstGeom>
                  </pic:spPr>
                </pic:pic>
              </a:graphicData>
            </a:graphic>
          </wp:inline>
        </w:drawing>
      </w:r>
    </w:p>
    <w:p>
      <w:pPr>
        <w:spacing w:after="0"/>
        <w:ind w:left="0"/>
        <w:jc w:val="left"/>
      </w:pPr>
      <w:r>
        <w:rPr>
          <w:rFonts w:ascii="Times New Roman"/>
          <w:b w:val="false"/>
          <w:i w:val="false"/>
          <w:color w:val="000000"/>
          <w:sz w:val="28"/>
        </w:rPr>
        <w:t>,               (440)</w:t>
      </w:r>
      <w:r>
        <w:br/>
      </w:r>
      <w:r>
        <w:rPr>
          <w:rFonts w:ascii="Times New Roman"/>
          <w:b w:val="false"/>
          <w:i w:val="false"/>
          <w:color w:val="000000"/>
          <w:sz w:val="28"/>
        </w:rPr>
        <w:t>
</w:t>
      </w:r>
    </w:p>
    <w:bookmarkStart w:name="z3702" w:id="3714"/>
    <w:p>
      <w:pPr>
        <w:spacing w:after="0"/>
        <w:ind w:left="0"/>
        <w:jc w:val="left"/>
      </w:pPr>
      <w:r>
        <w:rPr>
          <w:rFonts w:ascii="Times New Roman"/>
          <w:b/>
          <w:i w:val="false"/>
          <w:color w:val="000000"/>
        </w:rPr>
        <w:t xml:space="preserve"> Параграф 3. Расчетные изгибающие моменты и реакции опор рулей</w:t>
      </w:r>
      <w:r>
        <w:br/>
      </w:r>
      <w:r>
        <w:rPr>
          <w:rFonts w:ascii="Times New Roman"/>
          <w:b/>
          <w:i w:val="false"/>
          <w:color w:val="000000"/>
        </w:rPr>
        <w:t>типов I - IV, VI - XII и поворотной насадки типа V</w:t>
      </w:r>
    </w:p>
    <w:bookmarkEnd w:id="3714"/>
    <w:p>
      <w:pPr>
        <w:spacing w:after="0"/>
        <w:ind w:left="0"/>
        <w:jc w:val="both"/>
      </w:pPr>
      <w:r>
        <w:rPr>
          <w:rFonts w:ascii="Times New Roman"/>
          <w:b w:val="false"/>
          <w:i w:val="false"/>
          <w:color w:val="000000"/>
          <w:sz w:val="28"/>
        </w:rPr>
        <w:t>
      934. Расчетные изгибающие моменты и реакции опор определются по формулам настоящей главы в зависимости от типа рулевого устройства, показанного в приложении 161 настоящих Правил, с учетом указаний, приведенных в приложении 160 настоящих Правил, типа и расположения рулевого привода, как указано в пункте 935 настоящих Правил.</w:t>
      </w:r>
    </w:p>
    <w:bookmarkStart w:name="z3703" w:id="3715"/>
    <w:p>
      <w:pPr>
        <w:spacing w:after="0"/>
        <w:ind w:left="0"/>
        <w:jc w:val="both"/>
      </w:pPr>
      <w:r>
        <w:rPr>
          <w:rFonts w:ascii="Times New Roman"/>
          <w:b w:val="false"/>
          <w:i w:val="false"/>
          <w:color w:val="000000"/>
          <w:sz w:val="28"/>
        </w:rPr>
        <w:t>
      935. Поперечная сила Р, кН, создаваемая на баллере рулевым приводом (секторным рулевым приводом, приводом с одноплечим румпелем и им подобным), определяется по формуле:</w:t>
      </w:r>
    </w:p>
    <w:bookmarkEnd w:id="3715"/>
    <w:p>
      <w:pPr>
        <w:spacing w:after="0"/>
        <w:ind w:left="0"/>
        <w:jc w:val="both"/>
      </w:pPr>
      <w:r>
        <w:rPr>
          <w:rFonts w:ascii="Times New Roman"/>
          <w:b w:val="false"/>
          <w:i w:val="false"/>
          <w:color w:val="000000"/>
          <w:sz w:val="28"/>
        </w:rPr>
        <w:t>
                                    Р = М</w:t>
      </w:r>
      <w:r>
        <w:rPr>
          <w:rFonts w:ascii="Times New Roman"/>
          <w:b w:val="false"/>
          <w:i w:val="false"/>
          <w:color w:val="000000"/>
          <w:vertAlign w:val="subscript"/>
        </w:rPr>
        <w:t>К</w:t>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(441)</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к</w:t>
      </w:r>
      <w:r>
        <w:rPr>
          <w:rFonts w:ascii="Times New Roman"/>
          <w:b w:val="false"/>
          <w:i w:val="false"/>
          <w:color w:val="000000"/>
          <w:sz w:val="28"/>
        </w:rPr>
        <w:t xml:space="preserve"> — крутящий момент, указанный в пунктах 927 или 933 настоящих Правил, кН·м., настоящих Правил </w:t>
      </w:r>
    </w:p>
    <w:bookmarkStart w:name="z3704" w:id="3716"/>
    <w:p>
      <w:pPr>
        <w:spacing w:after="0"/>
        <w:ind w:left="0"/>
        <w:jc w:val="both"/>
      </w:pPr>
      <w:r>
        <w:rPr>
          <w:rFonts w:ascii="Times New Roman"/>
          <w:b w:val="false"/>
          <w:i w:val="false"/>
          <w:color w:val="000000"/>
          <w:sz w:val="28"/>
        </w:rPr>
        <w:t>
      При рассмотрении режима работы судна на задний ход в качестве М</w:t>
      </w:r>
      <w:r>
        <w:rPr>
          <w:rFonts w:ascii="Times New Roman"/>
          <w:b w:val="false"/>
          <w:i w:val="false"/>
          <w:color w:val="000000"/>
          <w:vertAlign w:val="subscript"/>
        </w:rPr>
        <w:t>к</w:t>
      </w:r>
      <w:r>
        <w:rPr>
          <w:rFonts w:ascii="Times New Roman"/>
          <w:b w:val="false"/>
          <w:i w:val="false"/>
          <w:color w:val="000000"/>
          <w:sz w:val="28"/>
        </w:rPr>
        <w:t xml:space="preserve"> принимается значение величины М</w:t>
      </w:r>
      <w:r>
        <w:rPr>
          <w:rFonts w:ascii="Times New Roman"/>
          <w:b w:val="false"/>
          <w:i w:val="false"/>
          <w:color w:val="000000"/>
          <w:vertAlign w:val="subscript"/>
        </w:rPr>
        <w:t>з.х</w:t>
      </w:r>
      <w:r>
        <w:rPr>
          <w:rFonts w:ascii="Times New Roman"/>
          <w:b w:val="false"/>
          <w:i w:val="false"/>
          <w:color w:val="000000"/>
          <w:sz w:val="28"/>
        </w:rPr>
        <w:t>, указанное в пункте 928 настоящих Правил;</w:t>
      </w:r>
    </w:p>
    <w:bookmarkEnd w:id="3716"/>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наименьшее расстояние от оси баллера до линии действия силы от рулевого привода в секторе или румпеле, м.</w:t>
      </w:r>
    </w:p>
    <w:bookmarkStart w:name="z3705" w:id="3717"/>
    <w:p>
      <w:pPr>
        <w:spacing w:after="0"/>
        <w:ind w:left="0"/>
        <w:jc w:val="both"/>
      </w:pPr>
      <w:r>
        <w:rPr>
          <w:rFonts w:ascii="Times New Roman"/>
          <w:b w:val="false"/>
          <w:i w:val="false"/>
          <w:color w:val="000000"/>
          <w:sz w:val="28"/>
        </w:rPr>
        <w:t xml:space="preserve">
      В зависимости от расположения сектора или румпеля рулевого привода, показанного в приложении 161 настоящих Правил, для варианта </w:t>
      </w:r>
      <w:r>
        <w:rPr>
          <w:rFonts w:ascii="Times New Roman"/>
          <w:b w:val="false"/>
          <w:i/>
          <w:color w:val="000000"/>
          <w:sz w:val="28"/>
        </w:rPr>
        <w:t>I</w:t>
      </w:r>
      <w:r>
        <w:rPr>
          <w:rFonts w:ascii="Times New Roman"/>
          <w:b w:val="false"/>
          <w:i w:val="false"/>
          <w:color w:val="000000"/>
          <w:sz w:val="28"/>
        </w:rPr>
        <w:t xml:space="preserve"> усилие </w:t>
      </w:r>
      <w:r>
        <w:rPr>
          <w:rFonts w:ascii="Times New Roman"/>
          <w:b w:val="false"/>
          <w:i/>
          <w:color w:val="000000"/>
          <w:sz w:val="28"/>
        </w:rPr>
        <w:t>Р</w:t>
      </w:r>
      <w:r>
        <w:rPr>
          <w:rFonts w:ascii="Times New Roman"/>
          <w:b w:val="false"/>
          <w:i w:val="false"/>
          <w:color w:val="000000"/>
          <w:sz w:val="28"/>
        </w:rPr>
        <w:t xml:space="preserve"> обозначается как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и принимается Р</w:t>
      </w:r>
      <w:r>
        <w:rPr>
          <w:rFonts w:ascii="Times New Roman"/>
          <w:b w:val="false"/>
          <w:i w:val="false"/>
          <w:color w:val="000000"/>
          <w:vertAlign w:val="subscript"/>
        </w:rPr>
        <w:t>П</w:t>
      </w:r>
      <w:r>
        <w:rPr>
          <w:rFonts w:ascii="Times New Roman"/>
          <w:b w:val="false"/>
          <w:i w:val="false"/>
          <w:color w:val="000000"/>
          <w:sz w:val="28"/>
        </w:rPr>
        <w:t xml:space="preserve"> = 0;</w:t>
      </w:r>
    </w:p>
    <w:bookmarkEnd w:id="3717"/>
    <w:p>
      <w:pPr>
        <w:spacing w:after="0"/>
        <w:ind w:left="0"/>
        <w:jc w:val="both"/>
      </w:pPr>
      <w:r>
        <w:rPr>
          <w:rFonts w:ascii="Times New Roman"/>
          <w:b w:val="false"/>
          <w:i w:val="false"/>
          <w:color w:val="000000"/>
          <w:sz w:val="28"/>
        </w:rPr>
        <w:t xml:space="preserve">
      для варианта </w:t>
      </w:r>
      <w:r>
        <w:rPr>
          <w:rFonts w:ascii="Times New Roman"/>
          <w:b w:val="false"/>
          <w:i/>
          <w:color w:val="000000"/>
          <w:sz w:val="28"/>
        </w:rPr>
        <w:t>II</w:t>
      </w:r>
      <w:r>
        <w:rPr>
          <w:rFonts w:ascii="Times New Roman"/>
          <w:b w:val="false"/>
          <w:i w:val="false"/>
          <w:color w:val="000000"/>
          <w:sz w:val="28"/>
        </w:rPr>
        <w:t xml:space="preserve"> усилие </w:t>
      </w:r>
      <w:r>
        <w:rPr>
          <w:rFonts w:ascii="Times New Roman"/>
          <w:b w:val="false"/>
          <w:i/>
          <w:color w:val="000000"/>
          <w:sz w:val="28"/>
        </w:rPr>
        <w:t>Р</w:t>
      </w:r>
      <w:r>
        <w:rPr>
          <w:rFonts w:ascii="Times New Roman"/>
          <w:b w:val="false"/>
          <w:i w:val="false"/>
          <w:color w:val="000000"/>
          <w:sz w:val="28"/>
        </w:rPr>
        <w:t xml:space="preserve"> обозначается как </w:t>
      </w:r>
      <w:r>
        <w:rPr>
          <w:rFonts w:ascii="Times New Roman"/>
          <w:b w:val="false"/>
          <w:i/>
          <w:color w:val="000000"/>
          <w:sz w:val="28"/>
        </w:rPr>
        <w:t>Р</w:t>
      </w:r>
      <w:r>
        <w:rPr>
          <w:rFonts w:ascii="Times New Roman"/>
          <w:b w:val="false"/>
          <w:i w:val="false"/>
          <w:color w:val="000000"/>
          <w:vertAlign w:val="subscript"/>
        </w:rPr>
        <w:t>II</w:t>
      </w:r>
      <w:r>
        <w:rPr>
          <w:rFonts w:ascii="Times New Roman"/>
          <w:b w:val="false"/>
          <w:i w:val="false"/>
          <w:color w:val="000000"/>
          <w:sz w:val="28"/>
        </w:rPr>
        <w:t xml:space="preserve"> и принимается</w:t>
      </w:r>
      <w:r>
        <w:rPr>
          <w:rFonts w:ascii="Times New Roman"/>
          <w:b w:val="false"/>
          <w:i/>
          <w:color w:val="000000"/>
          <w:sz w:val="28"/>
        </w:rPr>
        <w:t xml:space="preserve"> P</w:t>
      </w:r>
      <w:r>
        <w:rPr>
          <w:rFonts w:ascii="Times New Roman"/>
          <w:b w:val="false"/>
          <w:i w:val="false"/>
          <w:color w:val="000000"/>
          <w:vertAlign w:val="subscript"/>
        </w:rPr>
        <w:t>I</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или </w:t>
      </w:r>
      <w:r>
        <w:rPr>
          <w:rFonts w:ascii="Times New Roman"/>
          <w:b w:val="false"/>
          <w:i/>
          <w:color w:val="000000"/>
          <w:sz w:val="28"/>
        </w:rPr>
        <w:t>Р</w:t>
      </w:r>
      <w:r>
        <w:rPr>
          <w:rFonts w:ascii="Times New Roman"/>
          <w:b w:val="false"/>
          <w:i w:val="false"/>
          <w:color w:val="000000"/>
          <w:vertAlign w:val="subscript"/>
        </w:rPr>
        <w:t>II</w:t>
      </w:r>
      <w:r>
        <w:rPr>
          <w:rFonts w:ascii="Times New Roman"/>
          <w:b w:val="false"/>
          <w:i w:val="false"/>
          <w:color w:val="000000"/>
          <w:sz w:val="28"/>
        </w:rPr>
        <w:t xml:space="preserve"> принимаются положительными при расположении сектора или хвостовика румпеля в нос от оси баллера и отрицательными при расположении сектора или хвостовика румпеля в корму от оси баллера.</w:t>
      </w:r>
    </w:p>
    <w:bookmarkStart w:name="z3706" w:id="3718"/>
    <w:p>
      <w:pPr>
        <w:spacing w:after="0"/>
        <w:ind w:left="0"/>
        <w:jc w:val="both"/>
      </w:pPr>
      <w:r>
        <w:rPr>
          <w:rFonts w:ascii="Times New Roman"/>
          <w:b w:val="false"/>
          <w:i w:val="false"/>
          <w:color w:val="000000"/>
          <w:sz w:val="28"/>
        </w:rPr>
        <w:t xml:space="preserve">
      Для рулевых приводов, крутящий момент от которых передается на баллер парой или парами сил (например, четырехплунжерные, лопастные), принимается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II</w:t>
      </w:r>
      <w:r>
        <w:rPr>
          <w:rFonts w:ascii="Times New Roman"/>
          <w:b w:val="false"/>
          <w:i w:val="false"/>
          <w:color w:val="000000"/>
          <w:sz w:val="28"/>
        </w:rPr>
        <w:t xml:space="preserve"> = 0.</w:t>
      </w:r>
    </w:p>
    <w:bookmarkEnd w:id="3718"/>
    <w:bookmarkStart w:name="z3707" w:id="3719"/>
    <w:p>
      <w:pPr>
        <w:spacing w:after="0"/>
        <w:ind w:left="0"/>
        <w:jc w:val="both"/>
      </w:pPr>
      <w:r>
        <w:rPr>
          <w:rFonts w:ascii="Times New Roman"/>
          <w:b w:val="false"/>
          <w:i w:val="false"/>
          <w:color w:val="000000"/>
          <w:sz w:val="28"/>
        </w:rPr>
        <w:t>
      936. В формулах настоящей главы числовые индексы в обозначении изгибающего момента (М</w:t>
      </w:r>
      <w:r>
        <w:rPr>
          <w:rFonts w:ascii="Times New Roman"/>
          <w:b w:val="false"/>
          <w:i w:val="false"/>
          <w:color w:val="000000"/>
          <w:vertAlign w:val="subscript"/>
        </w:rPr>
        <w:t>1</w:t>
      </w:r>
      <w:r>
        <w:rPr>
          <w:rFonts w:ascii="Times New Roman"/>
          <w:b w:val="false"/>
          <w:i w:val="false"/>
          <w:color w:val="000000"/>
          <w:sz w:val="28"/>
        </w:rPr>
        <w:t xml:space="preserve">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и М</w:t>
      </w:r>
      <w:r>
        <w:rPr>
          <w:rFonts w:ascii="Times New Roman"/>
          <w:b w:val="false"/>
          <w:i w:val="false"/>
          <w:color w:val="000000"/>
          <w:vertAlign w:val="subscript"/>
        </w:rPr>
        <w:t>4</w:t>
      </w:r>
      <w:r>
        <w:rPr>
          <w:rFonts w:ascii="Times New Roman"/>
          <w:b w:val="false"/>
          <w:i w:val="false"/>
          <w:color w:val="000000"/>
          <w:sz w:val="28"/>
        </w:rPr>
        <w:t>) и реакции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и R</w:t>
      </w:r>
      <w:r>
        <w:rPr>
          <w:rFonts w:ascii="Times New Roman"/>
          <w:b w:val="false"/>
          <w:i w:val="false"/>
          <w:color w:val="000000"/>
          <w:vertAlign w:val="subscript"/>
        </w:rPr>
        <w:t>4</w:t>
      </w:r>
      <w:r>
        <w:rPr>
          <w:rFonts w:ascii="Times New Roman"/>
          <w:b w:val="false"/>
          <w:i w:val="false"/>
          <w:color w:val="000000"/>
          <w:sz w:val="28"/>
        </w:rPr>
        <w:t>) соответствуют номеру опоры или сечения, указанным в приложениях 161 и 162 настоящих Правил соответствующего типа рулевого устройства.</w:t>
      </w:r>
    </w:p>
    <w:bookmarkEnd w:id="3719"/>
    <w:bookmarkStart w:name="z3708" w:id="3720"/>
    <w:p>
      <w:pPr>
        <w:spacing w:after="0"/>
        <w:ind w:left="0"/>
        <w:jc w:val="both"/>
      </w:pPr>
      <w:r>
        <w:rPr>
          <w:rFonts w:ascii="Times New Roman"/>
          <w:b w:val="false"/>
          <w:i w:val="false"/>
          <w:color w:val="000000"/>
          <w:sz w:val="28"/>
        </w:rPr>
        <w:t>
      937. Линейные размеры, показанные приложениях 161 и 162 настоящих Правил, в формулах настоящей главы (кроме специально оговоренных случаев) принимаются в метрах, а нагрузки в кН.</w:t>
      </w:r>
    </w:p>
    <w:bookmarkEnd w:id="3720"/>
    <w:bookmarkStart w:name="z3709" w:id="3721"/>
    <w:p>
      <w:pPr>
        <w:spacing w:after="0"/>
        <w:ind w:left="0"/>
        <w:jc w:val="both"/>
      </w:pPr>
      <w:r>
        <w:rPr>
          <w:rFonts w:ascii="Times New Roman"/>
          <w:b w:val="false"/>
          <w:i w:val="false"/>
          <w:color w:val="000000"/>
          <w:sz w:val="28"/>
        </w:rPr>
        <w:t>
      938. Допускается принимать расчетные значения изгибающих моментов и реакций опор меньше указанных в пункте 934 настоящих Правил, при условии представления подробного расчета, учитывающего податливость опор рулевого устройства и неравномерность распределения расчетной нагрузки по площади пера руля.</w:t>
      </w:r>
    </w:p>
    <w:bookmarkEnd w:id="3721"/>
    <w:bookmarkStart w:name="z3710" w:id="3722"/>
    <w:p>
      <w:pPr>
        <w:spacing w:after="0"/>
        <w:ind w:left="0"/>
        <w:jc w:val="both"/>
      </w:pPr>
      <w:r>
        <w:rPr>
          <w:rFonts w:ascii="Times New Roman"/>
          <w:b w:val="false"/>
          <w:i w:val="false"/>
          <w:color w:val="000000"/>
          <w:sz w:val="28"/>
        </w:rPr>
        <w:t xml:space="preserve">
      939. Расчетный изгибающий момент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кН·м, действующий в сечении </w:t>
      </w:r>
      <w:r>
        <w:rPr>
          <w:rFonts w:ascii="Times New Roman"/>
          <w:b w:val="false"/>
          <w:i/>
          <w:color w:val="000000"/>
          <w:sz w:val="28"/>
        </w:rPr>
        <w:t>1</w:t>
      </w:r>
      <w:r>
        <w:rPr>
          <w:rFonts w:ascii="Times New Roman"/>
          <w:b w:val="false"/>
          <w:i w:val="false"/>
          <w:color w:val="000000"/>
          <w:sz w:val="28"/>
        </w:rPr>
        <w:t xml:space="preserve"> баллера (у верхнего подшипника) для варианта </w:t>
      </w:r>
      <w:r>
        <w:rPr>
          <w:rFonts w:ascii="Times New Roman"/>
          <w:b w:val="false"/>
          <w:i/>
          <w:color w:val="000000"/>
          <w:sz w:val="28"/>
        </w:rPr>
        <w:t>I</w:t>
      </w:r>
      <w:r>
        <w:rPr>
          <w:rFonts w:ascii="Times New Roman"/>
          <w:b w:val="false"/>
          <w:i w:val="false"/>
          <w:color w:val="000000"/>
          <w:sz w:val="28"/>
        </w:rPr>
        <w:t xml:space="preserve"> расположения сектора или румпеля (приложение 162 настоящих Правил), определяется по формуле:</w:t>
      </w:r>
    </w:p>
    <w:bookmarkEnd w:id="3722"/>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color w:val="000000"/>
          <w:sz w:val="28"/>
        </w:rPr>
        <w:t>,l</w:t>
      </w:r>
      <w:r>
        <w:rPr>
          <w:rFonts w:ascii="Times New Roman"/>
          <w:b w:val="false"/>
          <w:i w:val="false"/>
          <w:color w:val="000000"/>
          <w:vertAlign w:val="subscript"/>
        </w:rPr>
        <w:t>7</w:t>
      </w:r>
      <w:r>
        <w:rPr>
          <w:rFonts w:ascii="Times New Roman"/>
          <w:b w:val="false"/>
          <w:i w:val="false"/>
          <w:color w:val="000000"/>
          <w:sz w:val="28"/>
        </w:rPr>
        <w:t>,                        (442)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7</w:t>
      </w:r>
      <w:r>
        <w:rPr>
          <w:rFonts w:ascii="Times New Roman"/>
          <w:b w:val="false"/>
          <w:i w:val="false"/>
          <w:color w:val="000000"/>
          <w:sz w:val="28"/>
        </w:rPr>
        <w:t xml:space="preserve"> — пункты 935 и 937 настоящих Правил.</w:t>
      </w:r>
    </w:p>
    <w:p>
      <w:pPr>
        <w:spacing w:after="0"/>
        <w:ind w:left="0"/>
        <w:jc w:val="both"/>
      </w:pPr>
      <w:r>
        <w:rPr>
          <w:rFonts w:ascii="Times New Roman"/>
          <w:b w:val="false"/>
          <w:i w:val="false"/>
          <w:color w:val="000000"/>
          <w:sz w:val="28"/>
        </w:rPr>
        <w:t xml:space="preserve">
      Для варианта II расположения сектора или румпеля принимается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 0.</w:t>
      </w:r>
    </w:p>
    <w:bookmarkStart w:name="z3711" w:id="3723"/>
    <w:p>
      <w:pPr>
        <w:spacing w:after="0"/>
        <w:ind w:left="0"/>
        <w:jc w:val="both"/>
      </w:pPr>
      <w:r>
        <w:rPr>
          <w:rFonts w:ascii="Times New Roman"/>
          <w:b w:val="false"/>
          <w:i w:val="false"/>
          <w:color w:val="000000"/>
          <w:sz w:val="28"/>
        </w:rPr>
        <w:t xml:space="preserve">
      940. Расчетный изгибающий момент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val="false"/>
          <w:color w:val="000000"/>
          <w:sz w:val="28"/>
        </w:rPr>
        <w:t>, кН·м, действующий в сечении 2 баллера (у нижнего подшипника рулей типов I — VI; в соединении баллера с пером рулей типов VII —XII), определяется по формуле:</w:t>
      </w:r>
    </w:p>
    <w:bookmarkEnd w:id="3723"/>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293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2933700" cy="482600"/>
                    </a:xfrm>
                    <a:prstGeom prst="rect">
                      <a:avLst/>
                    </a:prstGeom>
                  </pic:spPr>
                </pic:pic>
              </a:graphicData>
            </a:graphic>
          </wp:inline>
        </w:drawing>
      </w:r>
    </w:p>
    <w:p>
      <w:pPr>
        <w:spacing w:after="0"/>
        <w:ind w:left="0"/>
        <w:jc w:val="left"/>
      </w:pPr>
      <w:r>
        <w:rPr>
          <w:rFonts w:ascii="Times New Roman"/>
          <w:b w:val="false"/>
          <w:i w:val="false"/>
          <w:color w:val="000000"/>
          <w:sz w:val="28"/>
        </w:rPr>
        <w:t>,                 (443)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Q</w:t>
      </w:r>
      <w:r>
        <w:rPr>
          <w:rFonts w:ascii="Times New Roman"/>
          <w:b w:val="false"/>
          <w:i w:val="false"/>
          <w:color w:val="000000"/>
          <w:vertAlign w:val="subscript"/>
        </w:rPr>
        <w:t xml:space="preserve">2 </w:t>
      </w:r>
      <w:r>
        <w:rPr>
          <w:rFonts w:ascii="Times New Roman"/>
          <w:b w:val="false"/>
          <w:i w:val="false"/>
          <w:color w:val="000000"/>
          <w:sz w:val="28"/>
        </w:rPr>
        <w:t>— нагрузки, определяемые в соответствии с указаниями приложения 160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Р</w:t>
      </w:r>
      <w:r>
        <w:rPr>
          <w:rFonts w:ascii="Times New Roman"/>
          <w:b w:val="false"/>
          <w:i w:val="false"/>
          <w:color w:val="000000"/>
          <w:vertAlign w:val="subscript"/>
        </w:rPr>
        <w:t>II</w:t>
      </w:r>
      <w:r>
        <w:rPr>
          <w:rFonts w:ascii="Times New Roman"/>
          <w:b w:val="false"/>
          <w:i w:val="false"/>
          <w:color w:val="000000"/>
          <w:sz w:val="28"/>
        </w:rPr>
        <w:t xml:space="preserve"> — силы, определяемые в соответствии с пунктом 935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7</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8</w:t>
      </w:r>
      <w:r>
        <w:rPr>
          <w:rFonts w:ascii="Times New Roman"/>
          <w:b w:val="false"/>
          <w:i w:val="false"/>
          <w:color w:val="000000"/>
          <w:sz w:val="28"/>
        </w:rPr>
        <w:t xml:space="preserve"> — линейные размеры (пункт 937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9</w:t>
      </w:r>
      <w:r>
        <w:rPr>
          <w:rFonts w:ascii="Times New Roman"/>
          <w:b w:val="false"/>
          <w:i w:val="false"/>
          <w:color w:val="000000"/>
          <w:sz w:val="28"/>
        </w:rPr>
        <w:t xml:space="preserve"> — коэффициенты, определяемые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67183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линейные размеры (пункт 937 настоящих Правил);</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б</w:t>
      </w:r>
      <w:r>
        <w:rPr>
          <w:rFonts w:ascii="Times New Roman"/>
          <w:b w:val="false"/>
          <w:i w:val="false"/>
          <w:color w:val="000000"/>
          <w:sz w:val="28"/>
        </w:rPr>
        <w:t xml:space="preserve"> — среднее значение момента инерции поперечного сечения баллера,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р</w:t>
      </w:r>
      <w:r>
        <w:rPr>
          <w:rFonts w:ascii="Times New Roman"/>
          <w:b w:val="false"/>
          <w:i w:val="false"/>
          <w:color w:val="000000"/>
          <w:sz w:val="28"/>
        </w:rPr>
        <w:t xml:space="preserve"> — среднее значение момента инерции поперечного сечения пера руля на участке между сечениями 3 — 4 (рули типов I — VI) или между сечениями 2—4 (рули типов VII — XII),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коэффициент, определяемый в соответствии с указаниями пунктов 950 – 953 или 954 настоящих Правил, в зависимости от типа рулевого устройства,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712" w:id="3724"/>
    <w:p>
      <w:pPr>
        <w:spacing w:after="0"/>
        <w:ind w:left="0"/>
        <w:jc w:val="both"/>
      </w:pPr>
      <w:r>
        <w:rPr>
          <w:rFonts w:ascii="Times New Roman"/>
          <w:b w:val="false"/>
          <w:i w:val="false"/>
          <w:color w:val="000000"/>
          <w:sz w:val="28"/>
        </w:rPr>
        <w:t>
      941. Расчетный изгибающий момент М</w:t>
      </w:r>
      <w:r>
        <w:rPr>
          <w:rFonts w:ascii="Times New Roman"/>
          <w:b w:val="false"/>
          <w:i w:val="false"/>
          <w:color w:val="000000"/>
          <w:vertAlign w:val="subscript"/>
        </w:rPr>
        <w:t>3</w:t>
      </w:r>
      <w:r>
        <w:rPr>
          <w:rFonts w:ascii="Times New Roman"/>
          <w:b w:val="false"/>
          <w:i w:val="false"/>
          <w:color w:val="000000"/>
          <w:sz w:val="28"/>
        </w:rPr>
        <w:t>, кН·м, действующий в сечении 3 баллера (в соединении баллера с пером рулей типов I — VI), определяется по формуле:</w:t>
      </w:r>
    </w:p>
    <w:bookmarkEnd w:id="372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 М</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358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1358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(449)</w:t>
      </w:r>
      <w:r>
        <w:br/>
      </w:r>
      <w:r>
        <w:rPr>
          <w:rFonts w:ascii="Times New Roman"/>
          <w:b w:val="false"/>
          <w:i w:val="false"/>
          <w:color w:val="000000"/>
          <w:sz w:val="28"/>
        </w:rPr>
        <w:t>
</w:t>
      </w:r>
    </w:p>
    <w:bookmarkStart w:name="z3713" w:id="3725"/>
    <w:p>
      <w:pPr>
        <w:spacing w:after="0"/>
        <w:ind w:left="0"/>
        <w:jc w:val="both"/>
      </w:pPr>
      <w:r>
        <w:rPr>
          <w:rFonts w:ascii="Times New Roman"/>
          <w:b w:val="false"/>
          <w:i w:val="false"/>
          <w:color w:val="000000"/>
          <w:sz w:val="28"/>
        </w:rPr>
        <w:t>
      942. Расчетный изгибающий момент М</w:t>
      </w:r>
      <w:r>
        <w:rPr>
          <w:rFonts w:ascii="Times New Roman"/>
          <w:b w:val="false"/>
          <w:i w:val="false"/>
          <w:color w:val="000000"/>
          <w:vertAlign w:val="subscript"/>
        </w:rPr>
        <w:t>4</w:t>
      </w:r>
      <w:r>
        <w:rPr>
          <w:rFonts w:ascii="Times New Roman"/>
          <w:b w:val="false"/>
          <w:i w:val="false"/>
          <w:color w:val="000000"/>
          <w:sz w:val="28"/>
        </w:rPr>
        <w:t xml:space="preserve">, кН·м, действующий в сечении </w:t>
      </w:r>
      <w:r>
        <w:rPr>
          <w:rFonts w:ascii="Times New Roman"/>
          <w:b w:val="false"/>
          <w:i/>
          <w:color w:val="000000"/>
          <w:sz w:val="28"/>
        </w:rPr>
        <w:t>4</w:t>
      </w:r>
      <w:r>
        <w:rPr>
          <w:rFonts w:ascii="Times New Roman"/>
          <w:b w:val="false"/>
          <w:i w:val="false"/>
          <w:color w:val="000000"/>
          <w:sz w:val="28"/>
        </w:rPr>
        <w:t xml:space="preserve"> пера рулей типов I, II, VII и III, определяется по формуле:</w:t>
      </w:r>
    </w:p>
    <w:bookmarkEnd w:id="372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2</w:t>
      </w:r>
      <w:r>
        <w:rPr>
          <w:rFonts w:ascii="Times New Roman"/>
          <w:b w:val="false"/>
          <w:i/>
          <w:color w:val="000000"/>
          <w:sz w:val="28"/>
        </w:rPr>
        <w:t>c</w:t>
      </w:r>
      <w:r>
        <w:rPr>
          <w:rFonts w:ascii="Times New Roman"/>
          <w:b w:val="false"/>
          <w:i w:val="false"/>
          <w:color w:val="000000"/>
          <w:sz w:val="28"/>
        </w:rPr>
        <w:t>,                          (450)</w:t>
      </w:r>
    </w:p>
    <w:bookmarkStart w:name="z3714" w:id="3726"/>
    <w:p>
      <w:pPr>
        <w:spacing w:after="0"/>
        <w:ind w:left="0"/>
        <w:jc w:val="both"/>
      </w:pPr>
      <w:r>
        <w:rPr>
          <w:rFonts w:ascii="Times New Roman"/>
          <w:b w:val="false"/>
          <w:i w:val="false"/>
          <w:color w:val="000000"/>
          <w:sz w:val="28"/>
        </w:rPr>
        <w:t>
      Для указанных типов рулей величина М</w:t>
      </w:r>
      <w:r>
        <w:rPr>
          <w:rFonts w:ascii="Times New Roman"/>
          <w:b w:val="false"/>
          <w:i w:val="false"/>
          <w:color w:val="000000"/>
          <w:vertAlign w:val="subscript"/>
        </w:rPr>
        <w:t>4</w:t>
      </w:r>
      <w:r>
        <w:rPr>
          <w:rFonts w:ascii="Times New Roman"/>
          <w:b w:val="false"/>
          <w:i w:val="false"/>
          <w:color w:val="000000"/>
          <w:sz w:val="28"/>
        </w:rPr>
        <w:t xml:space="preserve"> принимается в качестве расчетного изгибающего момента, действующего в любом поперечном сечении пера руля, расположенном выше опоры </w:t>
      </w:r>
      <w:r>
        <w:rPr>
          <w:rFonts w:ascii="Times New Roman"/>
          <w:b w:val="false"/>
          <w:i/>
          <w:color w:val="000000"/>
          <w:sz w:val="28"/>
        </w:rPr>
        <w:t>4</w:t>
      </w:r>
      <w:r>
        <w:rPr>
          <w:rFonts w:ascii="Times New Roman"/>
          <w:b w:val="false"/>
          <w:i w:val="false"/>
          <w:color w:val="000000"/>
          <w:sz w:val="28"/>
        </w:rPr>
        <w:t xml:space="preserve"> рулевого устройства.</w:t>
      </w:r>
    </w:p>
    <w:bookmarkEnd w:id="3726"/>
    <w:bookmarkStart w:name="z3715" w:id="3727"/>
    <w:p>
      <w:pPr>
        <w:spacing w:after="0"/>
        <w:ind w:left="0"/>
        <w:jc w:val="both"/>
      </w:pPr>
      <w:r>
        <w:rPr>
          <w:rFonts w:ascii="Times New Roman"/>
          <w:b w:val="false"/>
          <w:i w:val="false"/>
          <w:color w:val="000000"/>
          <w:sz w:val="28"/>
        </w:rPr>
        <w:t>
      Для остальных рулей изгибающий момент М</w:t>
      </w:r>
      <w:r>
        <w:rPr>
          <w:rFonts w:ascii="Times New Roman"/>
          <w:b w:val="false"/>
          <w:i w:val="false"/>
          <w:color w:val="000000"/>
          <w:vertAlign w:val="subscript"/>
        </w:rPr>
        <w:t>4</w:t>
      </w:r>
      <w:r>
        <w:rPr>
          <w:rFonts w:ascii="Times New Roman"/>
          <w:b w:val="false"/>
          <w:i w:val="false"/>
          <w:color w:val="000000"/>
          <w:sz w:val="28"/>
        </w:rPr>
        <w:t xml:space="preserve"> принимается равным нулю.</w:t>
      </w:r>
    </w:p>
    <w:bookmarkEnd w:id="3727"/>
    <w:bookmarkStart w:name="z3716" w:id="3728"/>
    <w:p>
      <w:pPr>
        <w:spacing w:after="0"/>
        <w:ind w:left="0"/>
        <w:jc w:val="both"/>
      </w:pPr>
      <w:r>
        <w:rPr>
          <w:rFonts w:ascii="Times New Roman"/>
          <w:b w:val="false"/>
          <w:i w:val="false"/>
          <w:color w:val="000000"/>
          <w:sz w:val="28"/>
        </w:rPr>
        <w:t>
      943. Расчетная реакция R</w:t>
      </w:r>
      <w:r>
        <w:rPr>
          <w:rFonts w:ascii="Times New Roman"/>
          <w:b w:val="false"/>
          <w:i w:val="false"/>
          <w:color w:val="000000"/>
          <w:vertAlign w:val="subscript"/>
        </w:rPr>
        <w:t>1</w:t>
      </w:r>
      <w:r>
        <w:rPr>
          <w:rFonts w:ascii="Times New Roman"/>
          <w:b w:val="false"/>
          <w:i w:val="false"/>
          <w:color w:val="000000"/>
          <w:sz w:val="28"/>
        </w:rPr>
        <w:t xml:space="preserve"> опоры </w:t>
      </w:r>
      <w:r>
        <w:rPr>
          <w:rFonts w:ascii="Times New Roman"/>
          <w:b w:val="false"/>
          <w:i/>
          <w:color w:val="000000"/>
          <w:sz w:val="28"/>
        </w:rPr>
        <w:t>1</w:t>
      </w:r>
      <w:r>
        <w:rPr>
          <w:rFonts w:ascii="Times New Roman"/>
          <w:b w:val="false"/>
          <w:i w:val="false"/>
          <w:color w:val="000000"/>
          <w:sz w:val="28"/>
        </w:rPr>
        <w:t xml:space="preserve"> рулевого устройства (верхнего подшипника), кН, определяется по формуле:</w:t>
      </w:r>
    </w:p>
    <w:bookmarkEnd w:id="37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85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1854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(451)</w:t>
      </w:r>
      <w:r>
        <w:br/>
      </w:r>
      <w:r>
        <w:rPr>
          <w:rFonts w:ascii="Times New Roman"/>
          <w:b w:val="false"/>
          <w:i w:val="false"/>
          <w:color w:val="000000"/>
          <w:sz w:val="28"/>
        </w:rPr>
        <w:t>
</w:t>
      </w:r>
    </w:p>
    <w:bookmarkStart w:name="z3717" w:id="3729"/>
    <w:p>
      <w:pPr>
        <w:spacing w:after="0"/>
        <w:ind w:left="0"/>
        <w:jc w:val="both"/>
      </w:pPr>
      <w:r>
        <w:rPr>
          <w:rFonts w:ascii="Times New Roman"/>
          <w:b w:val="false"/>
          <w:i w:val="false"/>
          <w:color w:val="000000"/>
          <w:sz w:val="28"/>
        </w:rPr>
        <w:t>
      944. Расчетная реакция R</w:t>
      </w:r>
      <w:r>
        <w:rPr>
          <w:rFonts w:ascii="Times New Roman"/>
          <w:b w:val="false"/>
          <w:i w:val="false"/>
          <w:color w:val="000000"/>
          <w:vertAlign w:val="subscript"/>
        </w:rPr>
        <w:t>2</w:t>
      </w:r>
      <w:r>
        <w:rPr>
          <w:rFonts w:ascii="Times New Roman"/>
          <w:b w:val="false"/>
          <w:i w:val="false"/>
          <w:color w:val="000000"/>
          <w:sz w:val="28"/>
        </w:rPr>
        <w:t xml:space="preserve"> опоры </w:t>
      </w:r>
      <w:r>
        <w:rPr>
          <w:rFonts w:ascii="Times New Roman"/>
          <w:b w:val="false"/>
          <w:i/>
          <w:color w:val="000000"/>
          <w:sz w:val="28"/>
        </w:rPr>
        <w:t>2</w:t>
      </w:r>
      <w:r>
        <w:rPr>
          <w:rFonts w:ascii="Times New Roman"/>
          <w:b w:val="false"/>
          <w:i w:val="false"/>
          <w:color w:val="000000"/>
          <w:sz w:val="28"/>
        </w:rPr>
        <w:t xml:space="preserve"> рулевого устройства, кН, (нижнего подшипника рулей типов I — VI, верхнего подшипника съемного рудерпоста руля типа , верхнего штыря рулей типов VII— и XII) определяется по формуле:</w:t>
      </w:r>
    </w:p>
    <w:bookmarkEnd w:id="37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=-М</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241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2413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(452)</w:t>
      </w:r>
      <w:r>
        <w:br/>
      </w:r>
      <w:r>
        <w:rPr>
          <w:rFonts w:ascii="Times New Roman"/>
          <w:b w:val="false"/>
          <w:i w:val="false"/>
          <w:color w:val="000000"/>
          <w:sz w:val="28"/>
        </w:rPr>
        <w:t>
</w:t>
      </w:r>
    </w:p>
    <w:bookmarkStart w:name="z3718" w:id="3730"/>
    <w:p>
      <w:pPr>
        <w:spacing w:after="0"/>
        <w:ind w:left="0"/>
        <w:jc w:val="both"/>
      </w:pPr>
      <w:r>
        <w:rPr>
          <w:rFonts w:ascii="Times New Roman"/>
          <w:b w:val="false"/>
          <w:i w:val="false"/>
          <w:color w:val="000000"/>
          <w:sz w:val="28"/>
        </w:rPr>
        <w:t>
      945. Расчетная реакция R</w:t>
      </w:r>
      <w:r>
        <w:rPr>
          <w:rFonts w:ascii="Times New Roman"/>
          <w:b w:val="false"/>
          <w:i w:val="false"/>
          <w:color w:val="000000"/>
          <w:vertAlign w:val="subscript"/>
        </w:rPr>
        <w:t>4</w:t>
      </w:r>
      <w:r>
        <w:rPr>
          <w:rFonts w:ascii="Times New Roman"/>
          <w:b w:val="false"/>
          <w:i w:val="false"/>
          <w:color w:val="000000"/>
          <w:sz w:val="28"/>
        </w:rPr>
        <w:t xml:space="preserve"> опоры </w:t>
      </w:r>
      <w:r>
        <w:rPr>
          <w:rFonts w:ascii="Times New Roman"/>
          <w:b w:val="false"/>
          <w:i/>
          <w:color w:val="000000"/>
          <w:sz w:val="28"/>
        </w:rPr>
        <w:t>4</w:t>
      </w:r>
      <w:r>
        <w:rPr>
          <w:rFonts w:ascii="Times New Roman"/>
          <w:b w:val="false"/>
          <w:i w:val="false"/>
          <w:color w:val="000000"/>
          <w:sz w:val="28"/>
        </w:rPr>
        <w:t xml:space="preserve"> рулевого устройства, кН, (нижнего штыря) определяется по формуле:</w:t>
      </w:r>
    </w:p>
    <w:bookmarkEnd w:id="37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204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044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(453)</w:t>
      </w:r>
      <w:r>
        <w:br/>
      </w:r>
      <w:r>
        <w:rPr>
          <w:rFonts w:ascii="Times New Roman"/>
          <w:b w:val="false"/>
          <w:i w:val="false"/>
          <w:color w:val="000000"/>
          <w:sz w:val="28"/>
        </w:rPr>
        <w:t>
</w:t>
      </w:r>
    </w:p>
    <w:bookmarkStart w:name="z3719" w:id="3731"/>
    <w:p>
      <w:pPr>
        <w:spacing w:after="0"/>
        <w:ind w:left="0"/>
        <w:jc w:val="both"/>
      </w:pPr>
      <w:r>
        <w:rPr>
          <w:rFonts w:ascii="Times New Roman"/>
          <w:b w:val="false"/>
          <w:i w:val="false"/>
          <w:color w:val="000000"/>
          <w:sz w:val="28"/>
        </w:rPr>
        <w:t>
      946. Расчетный изгибающий момент М</w:t>
      </w:r>
      <w:r>
        <w:rPr>
          <w:rFonts w:ascii="Times New Roman"/>
          <w:b w:val="false"/>
          <w:i w:val="false"/>
          <w:color w:val="000000"/>
          <w:vertAlign w:val="subscript"/>
        </w:rPr>
        <w:t>р</w:t>
      </w:r>
      <w:r>
        <w:rPr>
          <w:rFonts w:ascii="Times New Roman"/>
          <w:b w:val="false"/>
          <w:i w:val="false"/>
          <w:color w:val="000000"/>
          <w:sz w:val="28"/>
        </w:rPr>
        <w:t>, кН·м, действующий в рассматриваемом сечении нижней части полуподвесного руля (ниже сечения 4, указанного в приложении 161 настоящих Правил, рулей типов I, II, VII и VIII), определяется по формуле:</w:t>
      </w:r>
    </w:p>
    <w:bookmarkEnd w:id="3731"/>
    <w:p>
      <w:pPr>
        <w:spacing w:after="0"/>
        <w:ind w:left="0"/>
        <w:jc w:val="both"/>
      </w:pPr>
      <w:r>
        <w:rPr>
          <w:rFonts w:ascii="Times New Roman"/>
          <w:b w:val="false"/>
          <w:i w:val="false"/>
          <w:color w:val="000000"/>
          <w:sz w:val="28"/>
        </w:rPr>
        <w:t>
      M</w:t>
      </w:r>
      <w:r>
        <w:rPr>
          <w:rFonts w:ascii="Times New Roman"/>
          <w:b w:val="false"/>
          <w:i w:val="false"/>
          <w:color w:val="000000"/>
          <w:vertAlign w:val="subscript"/>
        </w:rPr>
        <w:t>P</w:t>
      </w:r>
      <w:r>
        <w:rPr>
          <w:rFonts w:ascii="Times New Roman"/>
          <w:b w:val="false"/>
          <w:i w:val="false"/>
          <w:color w:val="000000"/>
          <w:sz w:val="28"/>
        </w:rPr>
        <w:t>=</w:t>
      </w:r>
    </w:p>
    <w:p>
      <w:pPr>
        <w:spacing w:after="0"/>
        <w:ind w:left="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546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у</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6</w:t>
      </w:r>
      <w:r>
        <w:rPr>
          <w:rFonts w:ascii="Times New Roman"/>
          <w:b w:val="false"/>
          <w:i w:val="false"/>
          <w:color w:val="000000"/>
          <w:sz w:val="28"/>
        </w:rPr>
        <w:t xml:space="preserve"> — линейные размеры, пункт 906 натсоящих Правил.</w:t>
      </w:r>
    </w:p>
    <w:bookmarkStart w:name="z3720" w:id="3732"/>
    <w:p>
      <w:pPr>
        <w:spacing w:after="0"/>
        <w:ind w:left="0"/>
        <w:jc w:val="both"/>
      </w:pPr>
      <w:r>
        <w:rPr>
          <w:rFonts w:ascii="Times New Roman"/>
          <w:b w:val="false"/>
          <w:i w:val="false"/>
          <w:color w:val="000000"/>
          <w:sz w:val="28"/>
        </w:rPr>
        <w:t>
      947. Расчетный изгибающий момент М</w:t>
      </w:r>
      <w:r>
        <w:rPr>
          <w:rFonts w:ascii="Times New Roman"/>
          <w:b w:val="false"/>
          <w:i w:val="false"/>
          <w:color w:val="000000"/>
          <w:vertAlign w:val="subscript"/>
        </w:rPr>
        <w:t>р</w:t>
      </w:r>
      <w:r>
        <w:rPr>
          <w:rFonts w:ascii="Times New Roman"/>
          <w:b w:val="false"/>
          <w:i w:val="false"/>
          <w:color w:val="000000"/>
          <w:sz w:val="28"/>
        </w:rPr>
        <w:t>, кН·м, действующий в любом поперечном сечении пера рулей типов III, IV, VI и IX — XII, определяется по формуле:</w:t>
      </w:r>
    </w:p>
    <w:bookmarkEnd w:id="373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248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2489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(455)</w:t>
      </w:r>
      <w:r>
        <w:br/>
      </w:r>
      <w:r>
        <w:rPr>
          <w:rFonts w:ascii="Times New Roman"/>
          <w:b w:val="false"/>
          <w:i w:val="false"/>
          <w:color w:val="000000"/>
          <w:sz w:val="28"/>
        </w:rPr>
        <w:t>
</w:t>
      </w:r>
    </w:p>
    <w:bookmarkStart w:name="z3721" w:id="3733"/>
    <w:p>
      <w:pPr>
        <w:spacing w:after="0"/>
        <w:ind w:left="0"/>
        <w:jc w:val="both"/>
      </w:pPr>
      <w:r>
        <w:rPr>
          <w:rFonts w:ascii="Times New Roman"/>
          <w:b w:val="false"/>
          <w:i w:val="false"/>
          <w:color w:val="000000"/>
          <w:sz w:val="28"/>
        </w:rPr>
        <w:t>
      948. Расчетный изгибающий момент М</w:t>
      </w:r>
      <w:r>
        <w:rPr>
          <w:rFonts w:ascii="Times New Roman"/>
          <w:b w:val="false"/>
          <w:i w:val="false"/>
          <w:color w:val="000000"/>
          <w:vertAlign w:val="subscript"/>
        </w:rPr>
        <w:t>рп</w:t>
      </w:r>
      <w:r>
        <w:rPr>
          <w:rFonts w:ascii="Times New Roman"/>
          <w:b w:val="false"/>
          <w:i w:val="false"/>
          <w:color w:val="000000"/>
          <w:sz w:val="28"/>
        </w:rPr>
        <w:t>, кН·м, действующий в сечении съемного рудерпоста, расположенном у его фланца, определяется по формуле:</w:t>
      </w:r>
    </w:p>
    <w:bookmarkEnd w:id="373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рп</w:t>
      </w:r>
      <w:r>
        <w:rPr>
          <w:rFonts w:ascii="Times New Roman"/>
          <w:b w:val="false"/>
          <w:i w:val="false"/>
          <w:color w:val="000000"/>
          <w:sz w:val="28"/>
        </w:rPr>
        <w:t xml:space="preserve"> = </w:t>
      </w:r>
    </w:p>
    <w:p>
      <w:pPr>
        <w:spacing w:after="0"/>
        <w:ind w:left="0"/>
        <w:jc w:val="both"/>
      </w:pPr>
      <w:r>
        <w:drawing>
          <wp:inline distT="0" distB="0" distL="0" distR="0">
            <wp:extent cx="2870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8702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3</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4</w:t>
      </w:r>
      <w:r>
        <w:rPr>
          <w:rFonts w:ascii="Times New Roman"/>
          <w:b w:val="false"/>
          <w:i w:val="false"/>
          <w:color w:val="000000"/>
          <w:sz w:val="28"/>
        </w:rPr>
        <w:t xml:space="preserve"> — линейные размеры (пункт 906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PП</w:t>
      </w:r>
      <w:r>
        <w:rPr>
          <w:rFonts w:ascii="Times New Roman"/>
          <w:b w:val="false"/>
          <w:i w:val="false"/>
          <w:color w:val="000000"/>
          <w:sz w:val="28"/>
        </w:rPr>
        <w:t xml:space="preserve"> — среднее значение момента инерции поперечного сечения</w:t>
      </w:r>
    </w:p>
    <w:p>
      <w:pPr>
        <w:spacing w:after="0"/>
        <w:ind w:left="0"/>
        <w:jc w:val="both"/>
      </w:pPr>
      <w:r>
        <w:rPr>
          <w:rFonts w:ascii="Times New Roman"/>
          <w:b w:val="false"/>
          <w:i w:val="false"/>
          <w:color w:val="000000"/>
          <w:sz w:val="28"/>
        </w:rPr>
        <w:t>
      рудерпоста,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П</w:t>
      </w:r>
      <w:r>
        <w:rPr>
          <w:rFonts w:ascii="Times New Roman"/>
          <w:b w:val="false"/>
          <w:i w:val="false"/>
          <w:color w:val="000000"/>
          <w:sz w:val="28"/>
        </w:rPr>
        <w:t xml:space="preserve"> — среднее значение момента инерции поперечного сечения подошвы ахтерштевня, см</w:t>
      </w:r>
      <w:r>
        <w:rPr>
          <w:rFonts w:ascii="Times New Roman"/>
          <w:b w:val="false"/>
          <w:i w:val="false"/>
          <w:color w:val="000000"/>
          <w:vertAlign w:val="superscript"/>
        </w:rPr>
        <w:t>4</w:t>
      </w:r>
      <w:r>
        <w:rPr>
          <w:rFonts w:ascii="Times New Roman"/>
          <w:b w:val="false"/>
          <w:i w:val="false"/>
          <w:color w:val="000000"/>
          <w:sz w:val="28"/>
        </w:rPr>
        <w:t>;</w:t>
      </w:r>
    </w:p>
    <w:bookmarkStart w:name="z3722" w:id="3734"/>
    <w:p>
      <w:pPr>
        <w:spacing w:after="0"/>
        <w:ind w:left="0"/>
        <w:jc w:val="both"/>
      </w:pPr>
      <w:r>
        <w:rPr>
          <w:rFonts w:ascii="Times New Roman"/>
          <w:b w:val="false"/>
          <w:i w:val="false"/>
          <w:color w:val="000000"/>
          <w:sz w:val="28"/>
        </w:rPr>
        <w:t>
      949. При варианте II расположения сектора или румпеля рулевого привода (приложение 162 настоящих Правил) расчетный изгибающий момент М</w:t>
      </w:r>
      <w:r>
        <w:rPr>
          <w:rFonts w:ascii="Times New Roman"/>
          <w:b w:val="false"/>
          <w:i w:val="false"/>
          <w:color w:val="000000"/>
          <w:vertAlign w:val="subscript"/>
        </w:rPr>
        <w:t>с</w:t>
      </w:r>
      <w:r>
        <w:rPr>
          <w:rFonts w:ascii="Times New Roman"/>
          <w:b w:val="false"/>
          <w:i w:val="false"/>
          <w:color w:val="000000"/>
          <w:sz w:val="28"/>
        </w:rPr>
        <w:t>, кН·м, действующий в сечении баллера в месте установки сектора или румпеля, определяется по формуле:</w:t>
      </w:r>
    </w:p>
    <w:bookmarkEnd w:id="3734"/>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с</w:t>
      </w:r>
      <w:r>
        <w:rPr>
          <w:rFonts w:ascii="Times New Roman"/>
          <w:b w:val="false"/>
          <w:i/>
          <w:color w:val="000000"/>
          <w:sz w:val="28"/>
        </w:rPr>
        <w:t xml:space="preserve"> =R</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vertAlign w:val="subscript"/>
        </w:rPr>
        <w:t>8</w:t>
      </w:r>
      <w:r>
        <w:rPr>
          <w:rFonts w:ascii="Times New Roman"/>
          <w:b w:val="false"/>
          <w:i w:val="false"/>
          <w:color w:val="000000"/>
          <w:sz w:val="28"/>
        </w:rPr>
        <w:t xml:space="preserve">                          (457)</w:t>
      </w:r>
    </w:p>
    <w:p>
      <w:pPr>
        <w:spacing w:after="0"/>
        <w:ind w:left="0"/>
        <w:jc w:val="both"/>
      </w:pPr>
      <w:r>
        <w:rPr>
          <w:rFonts w:ascii="Times New Roman"/>
          <w:b w:val="false"/>
          <w:i w:val="false"/>
          <w:color w:val="000000"/>
          <w:sz w:val="28"/>
        </w:rPr>
        <w:t>
      Для варианта I расположения сектора или румпеля принимается М</w:t>
      </w:r>
      <w:r>
        <w:rPr>
          <w:rFonts w:ascii="Times New Roman"/>
          <w:b w:val="false"/>
          <w:i w:val="false"/>
          <w:color w:val="000000"/>
          <w:vertAlign w:val="subscript"/>
        </w:rPr>
        <w:t>с</w:t>
      </w:r>
      <w:r>
        <w:rPr>
          <w:rFonts w:ascii="Times New Roman"/>
          <w:b w:val="false"/>
          <w:i w:val="false"/>
          <w:color w:val="000000"/>
          <w:sz w:val="28"/>
        </w:rPr>
        <w:t xml:space="preserve"> = 0.</w:t>
      </w:r>
    </w:p>
    <w:bookmarkStart w:name="z3723" w:id="3735"/>
    <w:p>
      <w:pPr>
        <w:spacing w:after="0"/>
        <w:ind w:left="0"/>
        <w:jc w:val="both"/>
      </w:pPr>
      <w:r>
        <w:rPr>
          <w:rFonts w:ascii="Times New Roman"/>
          <w:b w:val="false"/>
          <w:i w:val="false"/>
          <w:color w:val="000000"/>
          <w:sz w:val="28"/>
        </w:rPr>
        <w:t xml:space="preserve">
      950. Коэффициент </w:t>
      </w:r>
    </w:p>
    <w:bookmarkEnd w:id="3735"/>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для рулей типов I и VII,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(для кронштейна полуподвесного руля)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255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2552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5</w:t>
      </w:r>
      <w:r>
        <w:rPr>
          <w:rFonts w:ascii="Times New Roman"/>
          <w:b w:val="false"/>
          <w:i w:val="false"/>
          <w:color w:val="000000"/>
          <w:sz w:val="28"/>
        </w:rPr>
        <w:t xml:space="preserve"> — линейный размер (пункт 937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sz w:val="28"/>
        </w:rPr>
        <w:t>— момент инерции поперечного сечения кронштейна руля у его основания относительно оси, параллельной диаметральной плоскости судна,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ко </w:t>
      </w:r>
      <w:r>
        <w:rPr>
          <w:rFonts w:ascii="Times New Roman"/>
          <w:b w:val="false"/>
          <w:i w:val="false"/>
          <w:color w:val="000000"/>
          <w:sz w:val="28"/>
        </w:rPr>
        <w:t>— максимальная ширина горизонтального сечения кронштейна руля у нижнего штыря (сечение 4 приложения 161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к1</w:t>
      </w:r>
      <w:r>
        <w:rPr>
          <w:rFonts w:ascii="Times New Roman"/>
          <w:b w:val="false"/>
          <w:i w:val="false"/>
          <w:color w:val="000000"/>
          <w:sz w:val="28"/>
        </w:rPr>
        <w:t xml:space="preserve"> — максимальная ширина горизонтального сечения кронштейна руля у его основания,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sz w:val="28"/>
        </w:rPr>
        <w:t xml:space="preserve"> — момент инерции поперечного сечения кронштейна при кручении у его основания, см</w:t>
      </w:r>
      <w:r>
        <w:rPr>
          <w:rFonts w:ascii="Times New Roman"/>
          <w:b w:val="false"/>
          <w:i w:val="false"/>
          <w:color w:val="000000"/>
          <w:vertAlign w:val="superscript"/>
        </w:rPr>
        <w:t>4</w:t>
      </w:r>
      <w:r>
        <w:rPr>
          <w:rFonts w:ascii="Times New Roman"/>
          <w:b w:val="false"/>
          <w:i w:val="false"/>
          <w:color w:val="000000"/>
          <w:sz w:val="28"/>
        </w:rPr>
        <w:t>, определяемый по формуле:</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685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6858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кр</w:t>
      </w:r>
      <w:r>
        <w:rPr>
          <w:rFonts w:ascii="Times New Roman"/>
          <w:b w:val="false"/>
          <w:i w:val="false"/>
          <w:color w:val="000000"/>
          <w:sz w:val="28"/>
        </w:rPr>
        <w:t xml:space="preserve"> — площадь, охватываемая средней линией обшивки кронштейна руля (при поперечном сечении у основания кронштейна),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oi</w:t>
      </w:r>
      <w:r>
        <w:rPr>
          <w:rFonts w:ascii="Times New Roman"/>
          <w:b w:val="false"/>
          <w:i w:val="false"/>
          <w:color w:val="000000"/>
          <w:sz w:val="28"/>
        </w:rPr>
        <w:t xml:space="preserve"> — длина средней линии обшивки кронштейна руля (в поперечном сечении у основания кронштейна) данной толщины,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oi</w:t>
      </w:r>
      <w:r>
        <w:rPr>
          <w:rFonts w:ascii="Times New Roman"/>
          <w:b w:val="false"/>
          <w:i w:val="false"/>
          <w:color w:val="000000"/>
          <w:sz w:val="28"/>
        </w:rPr>
        <w:t xml:space="preserve">—толщина рассматриваемого участка обшивки кронштейна руля длиной </w:t>
      </w:r>
      <w:r>
        <w:rPr>
          <w:rFonts w:ascii="Times New Roman"/>
          <w:b w:val="false"/>
          <w:i/>
          <w:color w:val="000000"/>
          <w:sz w:val="28"/>
        </w:rPr>
        <w:t>l</w:t>
      </w:r>
      <w:r>
        <w:rPr>
          <w:rFonts w:ascii="Times New Roman"/>
          <w:b w:val="false"/>
          <w:i w:val="false"/>
          <w:color w:val="000000"/>
          <w:vertAlign w:val="subscript"/>
        </w:rPr>
        <w:t>oi</w:t>
      </w:r>
      <w:r>
        <w:rPr>
          <w:rFonts w:ascii="Times New Roman"/>
          <w:b w:val="false"/>
          <w:i w:val="false"/>
          <w:color w:val="000000"/>
          <w:sz w:val="28"/>
        </w:rPr>
        <w:t>,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участков обшивки кронштейна длиной </w:t>
      </w:r>
      <w:r>
        <w:rPr>
          <w:rFonts w:ascii="Times New Roman"/>
          <w:b w:val="false"/>
          <w:i/>
          <w:color w:val="000000"/>
          <w:sz w:val="28"/>
        </w:rPr>
        <w:t>l</w:t>
      </w:r>
      <w:r>
        <w:rPr>
          <w:rFonts w:ascii="Times New Roman"/>
          <w:b w:val="false"/>
          <w:i w:val="false"/>
          <w:color w:val="000000"/>
          <w:vertAlign w:val="subscript"/>
        </w:rPr>
        <w:t>oi</w:t>
      </w:r>
      <w:r>
        <w:rPr>
          <w:rFonts w:ascii="Times New Roman"/>
          <w:b w:val="false"/>
          <w:i w:val="false"/>
          <w:color w:val="000000"/>
          <w:sz w:val="28"/>
        </w:rPr>
        <w:t xml:space="preserve"> и толщиной </w:t>
      </w:r>
      <w:r>
        <w:rPr>
          <w:rFonts w:ascii="Times New Roman"/>
          <w:b w:val="false"/>
          <w:i/>
          <w:color w:val="000000"/>
          <w:sz w:val="28"/>
        </w:rPr>
        <w:t>S</w:t>
      </w:r>
      <w:r>
        <w:rPr>
          <w:rFonts w:ascii="Times New Roman"/>
          <w:b w:val="false"/>
          <w:i w:val="false"/>
          <w:color w:val="000000"/>
          <w:vertAlign w:val="subscript"/>
        </w:rPr>
        <w:t>oi</w:t>
      </w:r>
    </w:p>
    <w:bookmarkStart w:name="z3724" w:id="3736"/>
    <w:p>
      <w:pPr>
        <w:spacing w:after="0"/>
        <w:ind w:left="0"/>
        <w:jc w:val="both"/>
      </w:pPr>
      <w:r>
        <w:rPr>
          <w:rFonts w:ascii="Times New Roman"/>
          <w:b w:val="false"/>
          <w:i w:val="false"/>
          <w:color w:val="000000"/>
          <w:sz w:val="28"/>
        </w:rPr>
        <w:t xml:space="preserve">
      951. Коэффициент </w:t>
      </w:r>
    </w:p>
    <w:bookmarkEnd w:id="3736"/>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для рулей типов III, V и IX,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(для подошвы ахтерштевня)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1104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1104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vertAlign w:val="subscript"/>
        </w:rPr>
        <w:t>п1</w:t>
      </w:r>
      <w:r>
        <w:rPr>
          <w:rFonts w:ascii="Times New Roman"/>
          <w:b w:val="false"/>
          <w:i w:val="false"/>
          <w:color w:val="000000"/>
          <w:sz w:val="28"/>
        </w:rPr>
        <w:t>—момент инерции поперечного сечения подошвы ахтерштевня у его основания относительно вертикальной оси,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П0</w:t>
      </w:r>
      <w:r>
        <w:rPr>
          <w:rFonts w:ascii="Times New Roman"/>
          <w:b w:val="false"/>
          <w:i w:val="false"/>
          <w:color w:val="000000"/>
          <w:sz w:val="28"/>
        </w:rPr>
        <w:t xml:space="preserve"> — ширина поперечного сечения подошвы ахтерштевня у штыря руля или поворотной насадки,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П1</w:t>
      </w:r>
      <w:r>
        <w:rPr>
          <w:rFonts w:ascii="Times New Roman"/>
          <w:b w:val="false"/>
          <w:i w:val="false"/>
          <w:color w:val="000000"/>
          <w:sz w:val="28"/>
        </w:rPr>
        <w:t xml:space="preserve"> — ширина поперечного сечения подошвы ахтерштевня у ее основания, см.</w:t>
      </w:r>
    </w:p>
    <w:bookmarkStart w:name="z3725" w:id="3737"/>
    <w:p>
      <w:pPr>
        <w:spacing w:after="0"/>
        <w:ind w:left="0"/>
        <w:jc w:val="both"/>
      </w:pPr>
      <w:r>
        <w:rPr>
          <w:rFonts w:ascii="Times New Roman"/>
          <w:b w:val="false"/>
          <w:i w:val="false"/>
          <w:color w:val="000000"/>
          <w:sz w:val="28"/>
        </w:rPr>
        <w:t xml:space="preserve">
      952. Коэффициент </w:t>
      </w:r>
    </w:p>
    <w:bookmarkEnd w:id="3737"/>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для рулей типов IV и X,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(для рудерпоста с подошвой ахтерштевня)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1778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17780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(461)</w:t>
      </w:r>
      <w:r>
        <w:br/>
      </w:r>
      <w:r>
        <w:rPr>
          <w:rFonts w:ascii="Times New Roman"/>
          <w:b w:val="false"/>
          <w:i w:val="false"/>
          <w:color w:val="000000"/>
          <w:sz w:val="28"/>
        </w:rPr>
        <w:t>
</w:t>
      </w:r>
    </w:p>
    <w:bookmarkStart w:name="z3726" w:id="3738"/>
    <w:p>
      <w:pPr>
        <w:spacing w:after="0"/>
        <w:ind w:left="0"/>
        <w:jc w:val="both"/>
      </w:pPr>
      <w:r>
        <w:rPr>
          <w:rFonts w:ascii="Times New Roman"/>
          <w:b w:val="false"/>
          <w:i w:val="false"/>
          <w:color w:val="000000"/>
          <w:sz w:val="28"/>
        </w:rPr>
        <w:t xml:space="preserve">
      953. Коэффициент </w:t>
      </w:r>
    </w:p>
    <w:bookmarkEnd w:id="3738"/>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для руля типа XI (для съемного рудерпоста с подошвой ахтерштевня),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556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5562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(462)</w:t>
      </w:r>
      <w:r>
        <w:br/>
      </w:r>
      <w:r>
        <w:rPr>
          <w:rFonts w:ascii="Times New Roman"/>
          <w:b w:val="false"/>
          <w:i w:val="false"/>
          <w:color w:val="000000"/>
          <w:sz w:val="28"/>
        </w:rPr>
        <w:t>
</w:t>
      </w:r>
    </w:p>
    <w:bookmarkStart w:name="z3727" w:id="3739"/>
    <w:p>
      <w:pPr>
        <w:spacing w:after="0"/>
        <w:ind w:left="0"/>
        <w:jc w:val="both"/>
      </w:pPr>
      <w:r>
        <w:rPr>
          <w:rFonts w:ascii="Times New Roman"/>
          <w:b w:val="false"/>
          <w:i w:val="false"/>
          <w:color w:val="000000"/>
          <w:sz w:val="28"/>
        </w:rPr>
        <w:t xml:space="preserve">
      954. Коэффициент </w:t>
      </w:r>
    </w:p>
    <w:bookmarkEnd w:id="3739"/>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для рулей типов II, VI, VIII и XII принимается равным нулю.</w:t>
      </w:r>
      <w:r>
        <w:br/>
      </w:r>
      <w:r>
        <w:rPr>
          <w:rFonts w:ascii="Times New Roman"/>
          <w:b w:val="false"/>
          <w:i w:val="false"/>
          <w:color w:val="000000"/>
          <w:sz w:val="28"/>
        </w:rPr>
        <w:t>
</w:t>
      </w:r>
    </w:p>
    <w:bookmarkStart w:name="z3728" w:id="3740"/>
    <w:p>
      <w:pPr>
        <w:spacing w:after="0"/>
        <w:ind w:left="0"/>
        <w:jc w:val="left"/>
      </w:pPr>
      <w:r>
        <w:rPr>
          <w:rFonts w:ascii="Times New Roman"/>
          <w:b/>
          <w:i w:val="false"/>
          <w:color w:val="000000"/>
        </w:rPr>
        <w:t xml:space="preserve"> Параграф 4. Расчетные изгибающие моменты и реакции опор</w:t>
      </w:r>
      <w:r>
        <w:br/>
      </w:r>
      <w:r>
        <w:rPr>
          <w:rFonts w:ascii="Times New Roman"/>
          <w:b/>
          <w:i w:val="false"/>
          <w:color w:val="000000"/>
        </w:rPr>
        <w:t>для руля типа XIII</w:t>
      </w:r>
    </w:p>
    <w:bookmarkEnd w:id="3740"/>
    <w:bookmarkStart w:name="z3729" w:id="3741"/>
    <w:p>
      <w:pPr>
        <w:spacing w:after="0"/>
        <w:ind w:left="0"/>
        <w:jc w:val="both"/>
      </w:pPr>
      <w:r>
        <w:rPr>
          <w:rFonts w:ascii="Times New Roman"/>
          <w:b w:val="false"/>
          <w:i w:val="false"/>
          <w:color w:val="000000"/>
          <w:sz w:val="28"/>
        </w:rPr>
        <w:t>
      955. Требования пунктов 935-939 и 949 настоящих Правил распространяются также на рули типа XIII (приложение 161 настоящих Правил).</w:t>
      </w:r>
    </w:p>
    <w:bookmarkEnd w:id="3741"/>
    <w:bookmarkStart w:name="z3730" w:id="3742"/>
    <w:p>
      <w:pPr>
        <w:spacing w:after="0"/>
        <w:ind w:left="0"/>
        <w:jc w:val="both"/>
      </w:pPr>
      <w:r>
        <w:rPr>
          <w:rFonts w:ascii="Times New Roman"/>
          <w:b w:val="false"/>
          <w:i w:val="false"/>
          <w:color w:val="000000"/>
          <w:sz w:val="28"/>
        </w:rPr>
        <w:t>
      956. Расчетный изгибающий момент, действующий в месте соединения баллера с пером руля, принимается равным нулю.</w:t>
      </w:r>
    </w:p>
    <w:bookmarkEnd w:id="3742"/>
    <w:bookmarkStart w:name="z3731" w:id="3743"/>
    <w:p>
      <w:pPr>
        <w:spacing w:after="0"/>
        <w:ind w:left="0"/>
        <w:jc w:val="both"/>
      </w:pPr>
      <w:r>
        <w:rPr>
          <w:rFonts w:ascii="Times New Roman"/>
          <w:b w:val="false"/>
          <w:i w:val="false"/>
          <w:color w:val="000000"/>
          <w:sz w:val="28"/>
        </w:rPr>
        <w:t>
      957. Расчетный изгибающий момент М</w:t>
      </w:r>
      <w:r>
        <w:rPr>
          <w:rFonts w:ascii="Times New Roman"/>
          <w:b w:val="false"/>
          <w:i w:val="false"/>
          <w:color w:val="000000"/>
          <w:vertAlign w:val="subscript"/>
        </w:rPr>
        <w:t>р</w:t>
      </w:r>
      <w:r>
        <w:rPr>
          <w:rFonts w:ascii="Times New Roman"/>
          <w:b w:val="false"/>
          <w:i w:val="false"/>
          <w:color w:val="000000"/>
          <w:sz w:val="28"/>
        </w:rPr>
        <w:t>, кН·м, действующий в любом поперечном сечении пера руля, принимается по формуле:</w:t>
      </w:r>
    </w:p>
    <w:bookmarkEnd w:id="374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0,1</w:t>
      </w:r>
      <w:r>
        <w:rPr>
          <w:rFonts w:ascii="Times New Roman"/>
          <w:b w:val="false"/>
          <w:i/>
          <w:color w:val="000000"/>
          <w:sz w:val="28"/>
        </w:rPr>
        <w:t>Fh</w:t>
      </w:r>
      <w:r>
        <w:rPr>
          <w:rFonts w:ascii="Times New Roman"/>
          <w:b w:val="false"/>
          <w:i w:val="false"/>
          <w:color w:val="000000"/>
          <w:vertAlign w:val="subscript"/>
        </w:rPr>
        <w:t>i</w:t>
      </w:r>
      <w:r>
        <w:rPr>
          <w:rFonts w:ascii="Times New Roman"/>
          <w:b w:val="false"/>
          <w:i w:val="false"/>
          <w:color w:val="000000"/>
          <w:vertAlign w:val="superscript"/>
        </w:rPr>
        <w:t>2</w:t>
      </w:r>
      <w:r>
        <w:rPr>
          <w:rFonts w:ascii="Times New Roman"/>
          <w:b w:val="false"/>
          <w:i w:val="false"/>
          <w:color w:val="000000"/>
          <w:sz w:val="28"/>
        </w:rPr>
        <w:t>/h</w:t>
      </w:r>
      <w:r>
        <w:rPr>
          <w:rFonts w:ascii="Times New Roman"/>
          <w:b w:val="false"/>
          <w:i w:val="false"/>
          <w:color w:val="000000"/>
          <w:vertAlign w:val="subscript"/>
        </w:rPr>
        <w:t>p</w:t>
      </w:r>
      <w:r>
        <w:rPr>
          <w:rFonts w:ascii="Times New Roman"/>
          <w:b w:val="false"/>
          <w:i w:val="false"/>
          <w:color w:val="000000"/>
          <w:sz w:val="28"/>
        </w:rPr>
        <w:t>,                   (463)</w:t>
      </w:r>
    </w:p>
    <w:p>
      <w:pPr>
        <w:spacing w:after="0"/>
        <w:ind w:left="0"/>
        <w:jc w:val="both"/>
      </w:pPr>
      <w:r>
        <w:rPr>
          <w:rFonts w:ascii="Times New Roman"/>
          <w:b w:val="false"/>
          <w:i w:val="false"/>
          <w:color w:val="000000"/>
          <w:sz w:val="28"/>
        </w:rPr>
        <w:t>
      где F — нагрузка, определяемая в соответствии с указаниями пунктов 925, 926, и 929 настоящих Правил, кН;</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и h</w:t>
      </w:r>
      <w:r>
        <w:rPr>
          <w:rFonts w:ascii="Times New Roman"/>
          <w:b w:val="false"/>
          <w:i w:val="false"/>
          <w:color w:val="000000"/>
          <w:vertAlign w:val="subscript"/>
        </w:rPr>
        <w:t>p</w:t>
      </w:r>
      <w:r>
        <w:rPr>
          <w:rFonts w:ascii="Times New Roman"/>
          <w:b w:val="false"/>
          <w:i w:val="false"/>
          <w:color w:val="000000"/>
          <w:sz w:val="28"/>
        </w:rPr>
        <w:t xml:space="preserve"> — линейные размеры (пункт 937 настоящих Правил); при этом в качестве расчетного принимается большее из значений h</w:t>
      </w:r>
      <w:r>
        <w:rPr>
          <w:rFonts w:ascii="Times New Roman"/>
          <w:b w:val="false"/>
          <w:i w:val="false"/>
          <w:color w:val="000000"/>
          <w:vertAlign w:val="subscript"/>
        </w:rPr>
        <w:t>i</w:t>
      </w:r>
      <w:r>
        <w:rPr>
          <w:rFonts w:ascii="Times New Roman"/>
          <w:b w:val="false"/>
          <w:i w:val="false"/>
          <w:color w:val="000000"/>
          <w:sz w:val="28"/>
        </w:rPr>
        <w:t>.</w:t>
      </w:r>
    </w:p>
    <w:bookmarkStart w:name="z3732" w:id="3744"/>
    <w:p>
      <w:pPr>
        <w:spacing w:after="0"/>
        <w:ind w:left="0"/>
        <w:jc w:val="both"/>
      </w:pPr>
      <w:r>
        <w:rPr>
          <w:rFonts w:ascii="Times New Roman"/>
          <w:b w:val="false"/>
          <w:i w:val="false"/>
          <w:color w:val="000000"/>
          <w:sz w:val="28"/>
        </w:rPr>
        <w:t xml:space="preserve">
      958. Расчетная реакция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опоры </w:t>
      </w:r>
      <w:r>
        <w:rPr>
          <w:rFonts w:ascii="Times New Roman"/>
          <w:b w:val="false"/>
          <w:i/>
          <w:color w:val="000000"/>
          <w:sz w:val="28"/>
        </w:rPr>
        <w:t>1</w:t>
      </w:r>
      <w:r>
        <w:rPr>
          <w:rFonts w:ascii="Times New Roman"/>
          <w:b w:val="false"/>
          <w:i w:val="false"/>
          <w:color w:val="000000"/>
          <w:sz w:val="28"/>
        </w:rPr>
        <w:t xml:space="preserve"> рулевого устройства, кН, принимается равной нулю.</w:t>
      </w:r>
    </w:p>
    <w:bookmarkEnd w:id="3744"/>
    <w:bookmarkStart w:name="z3733" w:id="3745"/>
    <w:p>
      <w:pPr>
        <w:spacing w:after="0"/>
        <w:ind w:left="0"/>
        <w:jc w:val="both"/>
      </w:pPr>
      <w:r>
        <w:rPr>
          <w:rFonts w:ascii="Times New Roman"/>
          <w:b w:val="false"/>
          <w:i w:val="false"/>
          <w:color w:val="000000"/>
          <w:sz w:val="28"/>
        </w:rPr>
        <w:t xml:space="preserve">
      959. Расчетная реакция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опоры </w:t>
      </w:r>
      <w:r>
        <w:rPr>
          <w:rFonts w:ascii="Times New Roman"/>
          <w:b w:val="false"/>
          <w:i/>
          <w:color w:val="000000"/>
          <w:sz w:val="28"/>
        </w:rPr>
        <w:t>2</w:t>
      </w:r>
      <w:r>
        <w:rPr>
          <w:rFonts w:ascii="Times New Roman"/>
          <w:b w:val="false"/>
          <w:i w:val="false"/>
          <w:color w:val="000000"/>
          <w:sz w:val="28"/>
        </w:rPr>
        <w:t xml:space="preserve"> рулевого устройства, кН, (любого штыря) определяется по формуле:</w:t>
      </w:r>
    </w:p>
    <w:bookmarkEnd w:id="374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Fh</w:t>
      </w:r>
      <w:r>
        <w:rPr>
          <w:rFonts w:ascii="Times New Roman"/>
          <w:b w:val="false"/>
          <w:i w:val="false"/>
          <w:color w:val="000000"/>
          <w:vertAlign w:val="subscript"/>
        </w:rPr>
        <w:t>i</w:t>
      </w:r>
      <w:r>
        <w:rPr>
          <w:rFonts w:ascii="Times New Roman"/>
          <w:b w:val="false"/>
          <w:i w:val="false"/>
          <w:color w:val="000000"/>
          <w:sz w:val="28"/>
        </w:rPr>
        <w:t>/h</w:t>
      </w:r>
      <w:r>
        <w:rPr>
          <w:rFonts w:ascii="Times New Roman"/>
          <w:b w:val="false"/>
          <w:i w:val="false"/>
          <w:color w:val="000000"/>
          <w:vertAlign w:val="subscript"/>
        </w:rPr>
        <w:t>p</w:t>
      </w:r>
      <w:r>
        <w:rPr>
          <w:rFonts w:ascii="Times New Roman"/>
          <w:b w:val="false"/>
          <w:i w:val="false"/>
          <w:color w:val="000000"/>
          <w:sz w:val="28"/>
        </w:rPr>
        <w:t>,                        (464)</w:t>
      </w:r>
    </w:p>
    <w:bookmarkStart w:name="z3734" w:id="3746"/>
    <w:p>
      <w:pPr>
        <w:spacing w:after="0"/>
        <w:ind w:left="0"/>
        <w:jc w:val="left"/>
      </w:pPr>
      <w:r>
        <w:rPr>
          <w:rFonts w:ascii="Times New Roman"/>
          <w:b/>
          <w:i w:val="false"/>
          <w:color w:val="000000"/>
        </w:rPr>
        <w:t xml:space="preserve"> Параграф 5. Расчетные изгибающие моменты и</w:t>
      </w:r>
      <w:r>
        <w:br/>
      </w:r>
      <w:r>
        <w:rPr>
          <w:rFonts w:ascii="Times New Roman"/>
          <w:b/>
          <w:i w:val="false"/>
          <w:color w:val="000000"/>
        </w:rPr>
        <w:t>реакции опор руля типа XIV</w:t>
      </w:r>
    </w:p>
    <w:bookmarkEnd w:id="3746"/>
    <w:bookmarkStart w:name="z3735" w:id="3747"/>
    <w:p>
      <w:pPr>
        <w:spacing w:after="0"/>
        <w:ind w:left="0"/>
        <w:jc w:val="both"/>
      </w:pPr>
      <w:r>
        <w:rPr>
          <w:rFonts w:ascii="Times New Roman"/>
          <w:b w:val="false"/>
          <w:i w:val="false"/>
          <w:color w:val="000000"/>
          <w:sz w:val="28"/>
        </w:rPr>
        <w:t>
      960. Требования пунктов 935 – 939 и 949 настоящих Правил распространяются также на рули типа XIV (приложение 161 настоящих Правил).</w:t>
      </w:r>
    </w:p>
    <w:bookmarkEnd w:id="3747"/>
    <w:bookmarkStart w:name="z3736" w:id="3748"/>
    <w:p>
      <w:pPr>
        <w:spacing w:after="0"/>
        <w:ind w:left="0"/>
        <w:jc w:val="both"/>
      </w:pPr>
      <w:r>
        <w:rPr>
          <w:rFonts w:ascii="Times New Roman"/>
          <w:b w:val="false"/>
          <w:i w:val="false"/>
          <w:color w:val="000000"/>
          <w:sz w:val="28"/>
        </w:rPr>
        <w:t>
      961. Расчетный изгибающий момент М</w:t>
      </w:r>
      <w:r>
        <w:rPr>
          <w:rFonts w:ascii="Times New Roman"/>
          <w:b w:val="false"/>
          <w:i w:val="false"/>
          <w:color w:val="000000"/>
          <w:vertAlign w:val="subscript"/>
        </w:rPr>
        <w:t>2</w:t>
      </w:r>
      <w:r>
        <w:rPr>
          <w:rFonts w:ascii="Times New Roman"/>
          <w:b w:val="false"/>
          <w:i w:val="false"/>
          <w:color w:val="000000"/>
          <w:sz w:val="28"/>
        </w:rPr>
        <w:t>, кН·м, действующий в сечении 2 баллера (у нижнего подшипника), определяется по формуле:</w:t>
      </w:r>
    </w:p>
    <w:bookmarkEnd w:id="374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 F</w:t>
      </w:r>
      <w:r>
        <w:rPr>
          <w:rFonts w:ascii="Times New Roman"/>
          <w:b w:val="false"/>
          <w:i w:val="false"/>
          <w:color w:val="000000"/>
          <w:vertAlign w:val="subscript"/>
        </w:rPr>
        <w:t>1</w:t>
      </w:r>
      <w:r>
        <w:rPr>
          <w:rFonts w:ascii="Times New Roman"/>
          <w:b w:val="false"/>
          <w:i w:val="false"/>
          <w:color w:val="000000"/>
          <w:sz w:val="28"/>
        </w:rPr>
        <w:t xml:space="preserve"> с</w:t>
      </w:r>
      <w:r>
        <w:rPr>
          <w:rFonts w:ascii="Times New Roman"/>
          <w:b w:val="false"/>
          <w:i w:val="false"/>
          <w:color w:val="000000"/>
          <w:vertAlign w:val="subscript"/>
        </w:rPr>
        <w:t>1</w:t>
      </w:r>
      <w:r>
        <w:rPr>
          <w:rFonts w:ascii="Times New Roman"/>
          <w:b w:val="false"/>
          <w:i w:val="false"/>
          <w:color w:val="000000"/>
          <w:sz w:val="28"/>
        </w:rPr>
        <w:t>+ F</w:t>
      </w:r>
      <w:r>
        <w:rPr>
          <w:rFonts w:ascii="Times New Roman"/>
          <w:b w:val="false"/>
          <w:i w:val="false"/>
          <w:color w:val="000000"/>
          <w:vertAlign w:val="subscript"/>
        </w:rPr>
        <w:t>21</w:t>
      </w:r>
      <w:r>
        <w:rPr>
          <w:rFonts w:ascii="Times New Roman"/>
          <w:b w:val="false"/>
          <w:i w:val="false"/>
          <w:color w:val="000000"/>
          <w:sz w:val="28"/>
        </w:rPr>
        <w:t xml:space="preserve"> с</w:t>
      </w:r>
      <w:r>
        <w:rPr>
          <w:rFonts w:ascii="Times New Roman"/>
          <w:b w:val="false"/>
          <w:i w:val="false"/>
          <w:color w:val="000000"/>
          <w:vertAlign w:val="subscript"/>
        </w:rPr>
        <w:t>2</w:t>
      </w:r>
      <w:r>
        <w:rPr>
          <w:rFonts w:ascii="Times New Roman"/>
          <w:b w:val="false"/>
          <w:i w:val="false"/>
          <w:color w:val="000000"/>
          <w:sz w:val="28"/>
        </w:rPr>
        <w:t>,                     (465)</w:t>
      </w:r>
    </w:p>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1</w:t>
      </w:r>
      <w:r>
        <w:rPr>
          <w:rFonts w:ascii="Times New Roman"/>
          <w:b w:val="false"/>
          <w:i w:val="false"/>
          <w:color w:val="000000"/>
          <w:sz w:val="28"/>
        </w:rPr>
        <w:t xml:space="preserve"> и F</w:t>
      </w:r>
      <w:r>
        <w:rPr>
          <w:rFonts w:ascii="Times New Roman"/>
          <w:b w:val="false"/>
          <w:i w:val="false"/>
          <w:color w:val="000000"/>
          <w:vertAlign w:val="subscript"/>
        </w:rPr>
        <w:t>2</w:t>
      </w:r>
      <w:r>
        <w:rPr>
          <w:rFonts w:ascii="Times New Roman"/>
          <w:b w:val="false"/>
          <w:i w:val="false"/>
          <w:color w:val="000000"/>
          <w:sz w:val="28"/>
        </w:rPr>
        <w:t xml:space="preserve"> - нагрузки, определяемые в соответствии с указаниями пунктов 925, 926 и 929 настоящих Правил, кН;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и с</w:t>
      </w:r>
      <w:r>
        <w:rPr>
          <w:rFonts w:ascii="Times New Roman"/>
          <w:b w:val="false"/>
          <w:i w:val="false"/>
          <w:color w:val="000000"/>
          <w:vertAlign w:val="subscript"/>
        </w:rPr>
        <w:t>2</w:t>
      </w:r>
      <w:r>
        <w:rPr>
          <w:rFonts w:ascii="Times New Roman"/>
          <w:b w:val="false"/>
          <w:i w:val="false"/>
          <w:color w:val="000000"/>
          <w:sz w:val="28"/>
        </w:rPr>
        <w:t xml:space="preserve"> — линейные размеры (пункт 937 настоящих Правил), м.</w:t>
      </w:r>
    </w:p>
    <w:bookmarkStart w:name="z3737" w:id="3749"/>
    <w:p>
      <w:pPr>
        <w:spacing w:after="0"/>
        <w:ind w:left="0"/>
        <w:jc w:val="both"/>
      </w:pPr>
      <w:r>
        <w:rPr>
          <w:rFonts w:ascii="Times New Roman"/>
          <w:b w:val="false"/>
          <w:i w:val="false"/>
          <w:color w:val="000000"/>
          <w:sz w:val="28"/>
        </w:rPr>
        <w:t>
      962. Расчетный изгибающий момент М</w:t>
      </w:r>
      <w:r>
        <w:rPr>
          <w:rFonts w:ascii="Times New Roman"/>
          <w:b w:val="false"/>
          <w:i w:val="false"/>
          <w:color w:val="000000"/>
          <w:vertAlign w:val="subscript"/>
        </w:rPr>
        <w:t>3</w:t>
      </w:r>
      <w:r>
        <w:rPr>
          <w:rFonts w:ascii="Times New Roman"/>
          <w:b w:val="false"/>
          <w:i w:val="false"/>
          <w:color w:val="000000"/>
          <w:sz w:val="28"/>
        </w:rPr>
        <w:t xml:space="preserve">, кН·м, действующий в сечении </w:t>
      </w:r>
      <w:r>
        <w:rPr>
          <w:rFonts w:ascii="Times New Roman"/>
          <w:b w:val="false"/>
          <w:i/>
          <w:color w:val="000000"/>
          <w:sz w:val="28"/>
        </w:rPr>
        <w:t>3</w:t>
      </w:r>
      <w:r>
        <w:rPr>
          <w:rFonts w:ascii="Times New Roman"/>
          <w:b w:val="false"/>
          <w:i w:val="false"/>
          <w:color w:val="000000"/>
          <w:sz w:val="28"/>
        </w:rPr>
        <w:t xml:space="preserve"> баллера (в соединении баллера с пером руля), определяется по формуле:</w:t>
      </w:r>
    </w:p>
    <w:bookmarkEnd w:id="374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 F</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e)+F</w:t>
      </w:r>
      <w:r>
        <w:rPr>
          <w:rFonts w:ascii="Times New Roman"/>
          <w:b w:val="false"/>
          <w:i w:val="false"/>
          <w:color w:val="000000"/>
          <w:vertAlign w:val="subscript"/>
        </w:rPr>
        <w:t>2</w:t>
      </w:r>
      <w:r>
        <w:rPr>
          <w:rFonts w:ascii="Times New Roman"/>
          <w:b w:val="false"/>
          <w:i w:val="false"/>
          <w:color w:val="000000"/>
          <w:sz w:val="28"/>
        </w:rPr>
        <w:t>{c</w:t>
      </w:r>
      <w:r>
        <w:rPr>
          <w:rFonts w:ascii="Times New Roman"/>
          <w:b w:val="false"/>
          <w:i w:val="false"/>
          <w:color w:val="000000"/>
          <w:vertAlign w:val="subscript"/>
        </w:rPr>
        <w:t>2</w:t>
      </w:r>
      <w:r>
        <w:rPr>
          <w:rFonts w:ascii="Times New Roman"/>
          <w:b w:val="false"/>
          <w:i w:val="false"/>
          <w:color w:val="000000"/>
          <w:sz w:val="28"/>
        </w:rPr>
        <w:t xml:space="preserve"> — e),             (466)</w:t>
      </w:r>
    </w:p>
    <w:p>
      <w:pPr>
        <w:spacing w:after="0"/>
        <w:ind w:left="0"/>
        <w:jc w:val="both"/>
      </w:pPr>
      <w:r>
        <w:rPr>
          <w:rFonts w:ascii="Times New Roman"/>
          <w:b w:val="false"/>
          <w:i w:val="false"/>
          <w:color w:val="000000"/>
          <w:sz w:val="28"/>
        </w:rPr>
        <w:t>
      где е — линейный размер (пункт 937 настоящих Правил), м.</w:t>
      </w:r>
    </w:p>
    <w:bookmarkStart w:name="z3738" w:id="3750"/>
    <w:p>
      <w:pPr>
        <w:spacing w:after="0"/>
        <w:ind w:left="0"/>
        <w:jc w:val="both"/>
      </w:pPr>
      <w:r>
        <w:rPr>
          <w:rFonts w:ascii="Times New Roman"/>
          <w:b w:val="false"/>
          <w:i w:val="false"/>
          <w:color w:val="000000"/>
          <w:sz w:val="28"/>
        </w:rPr>
        <w:t>
      963. Расчетный изгибающий момент М</w:t>
      </w:r>
      <w:r>
        <w:rPr>
          <w:rFonts w:ascii="Times New Roman"/>
          <w:b w:val="false"/>
          <w:i w:val="false"/>
          <w:color w:val="000000"/>
          <w:vertAlign w:val="subscript"/>
        </w:rPr>
        <w:t>р</w:t>
      </w:r>
      <w:r>
        <w:rPr>
          <w:rFonts w:ascii="Times New Roman"/>
          <w:b w:val="false"/>
          <w:i w:val="false"/>
          <w:color w:val="000000"/>
          <w:sz w:val="28"/>
        </w:rPr>
        <w:t>, кН·м, действующий в рассматриваемом сечении пера руля, определяется по формулам:</w:t>
      </w:r>
    </w:p>
    <w:bookmarkEnd w:id="3750"/>
    <w:p>
      <w:pPr>
        <w:spacing w:after="0"/>
        <w:ind w:left="0"/>
        <w:jc w:val="both"/>
      </w:pPr>
      <w:r>
        <w:rPr>
          <w:rFonts w:ascii="Times New Roman"/>
          <w:b w:val="false"/>
          <w:i w:val="false"/>
          <w:color w:val="000000"/>
          <w:sz w:val="28"/>
        </w:rPr>
        <w:t xml:space="preserve">
      для сечений при </w:t>
      </w:r>
      <w:r>
        <w:rPr>
          <w:rFonts w:ascii="Times New Roman"/>
          <w:b w:val="false"/>
          <w:i/>
          <w:color w:val="000000"/>
          <w:sz w:val="28"/>
        </w:rPr>
        <w:t>y</w:t>
      </w:r>
      <w:r>
        <w:rPr>
          <w:rFonts w:ascii="Times New Roman"/>
          <w:b w:val="false"/>
          <w:i w:val="false"/>
          <w:color w:val="000000"/>
          <w:sz w:val="28"/>
        </w:rPr>
        <w:t>&lt;h</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97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977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сечений при </w:t>
      </w:r>
      <w:r>
        <w:rPr>
          <w:rFonts w:ascii="Times New Roman"/>
          <w:b w:val="false"/>
          <w:i/>
          <w:color w:val="000000"/>
          <w:sz w:val="28"/>
        </w:rPr>
        <w:t>y</w:t>
      </w:r>
      <w:r>
        <w:rPr>
          <w:rFonts w:ascii="Times New Roman"/>
          <w:b w:val="false"/>
          <w:i w:val="false"/>
          <w:color w:val="000000"/>
          <w:sz w:val="28"/>
          <w:u w:val="single"/>
        </w:rPr>
        <w:t>&gt;</w:t>
      </w:r>
      <w:r>
        <w:rPr>
          <w:rFonts w:ascii="Times New Roman"/>
          <w:b w:val="false"/>
          <w:i w:val="false"/>
          <w:color w:val="000000"/>
          <w:sz w:val="28"/>
        </w:rPr>
        <w:t>h</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1981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19812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y</w:t>
      </w:r>
      <w:r>
        <w:rPr>
          <w:rFonts w:ascii="Times New Roman"/>
          <w:b w:val="false"/>
          <w:i w:val="false"/>
          <w:color w:val="000000"/>
          <w:sz w:val="28"/>
        </w:rPr>
        <w:t>—линейные размеры (пункт 937 настоящих Правил), м.</w:t>
      </w:r>
    </w:p>
    <w:bookmarkStart w:name="z3739" w:id="3751"/>
    <w:p>
      <w:pPr>
        <w:spacing w:after="0"/>
        <w:ind w:left="0"/>
        <w:jc w:val="both"/>
      </w:pPr>
      <w:r>
        <w:rPr>
          <w:rFonts w:ascii="Times New Roman"/>
          <w:b w:val="false"/>
          <w:i w:val="false"/>
          <w:color w:val="000000"/>
          <w:sz w:val="28"/>
        </w:rPr>
        <w:t>
      964. Расчетная реакция R</w:t>
      </w:r>
      <w:r>
        <w:rPr>
          <w:rFonts w:ascii="Times New Roman"/>
          <w:b w:val="false"/>
          <w:i w:val="false"/>
          <w:color w:val="000000"/>
          <w:vertAlign w:val="subscript"/>
        </w:rPr>
        <w:t>1</w:t>
      </w:r>
      <w:r>
        <w:rPr>
          <w:rFonts w:ascii="Times New Roman"/>
          <w:b w:val="false"/>
          <w:i w:val="false"/>
          <w:color w:val="000000"/>
          <w:sz w:val="28"/>
        </w:rPr>
        <w:t xml:space="preserve"> опоры </w:t>
      </w:r>
      <w:r>
        <w:rPr>
          <w:rFonts w:ascii="Times New Roman"/>
          <w:b w:val="false"/>
          <w:i/>
          <w:color w:val="000000"/>
          <w:sz w:val="28"/>
        </w:rPr>
        <w:t>1</w:t>
      </w:r>
      <w:r>
        <w:rPr>
          <w:rFonts w:ascii="Times New Roman"/>
          <w:b w:val="false"/>
          <w:i w:val="false"/>
          <w:color w:val="000000"/>
          <w:sz w:val="28"/>
        </w:rPr>
        <w:t xml:space="preserve"> рулевого устройства, кН, (верхнего подшипника) определяется по формуле:</w:t>
      </w:r>
    </w:p>
    <w:bookmarkEnd w:id="3751"/>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3340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3340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линейный размер (пункт 937 настоящих Правил), м.</w:t>
      </w:r>
    </w:p>
    <w:bookmarkStart w:name="z3740" w:id="3752"/>
    <w:p>
      <w:pPr>
        <w:spacing w:after="0"/>
        <w:ind w:left="0"/>
        <w:jc w:val="both"/>
      </w:pPr>
      <w:r>
        <w:rPr>
          <w:rFonts w:ascii="Times New Roman"/>
          <w:b w:val="false"/>
          <w:i w:val="false"/>
          <w:color w:val="000000"/>
          <w:sz w:val="28"/>
        </w:rPr>
        <w:t>
      965. Расчетная реакция R</w:t>
      </w:r>
      <w:r>
        <w:rPr>
          <w:rFonts w:ascii="Times New Roman"/>
          <w:b w:val="false"/>
          <w:i w:val="false"/>
          <w:color w:val="000000"/>
          <w:vertAlign w:val="subscript"/>
        </w:rPr>
        <w:t xml:space="preserve">2 </w:t>
      </w:r>
      <w:r>
        <w:rPr>
          <w:rFonts w:ascii="Times New Roman"/>
          <w:b w:val="false"/>
          <w:i w:val="false"/>
          <w:color w:val="000000"/>
          <w:sz w:val="28"/>
        </w:rPr>
        <w:t>опоры 2 рулевого устройства, кН, (нижнего подшипника) определяется по формуле:</w:t>
      </w:r>
    </w:p>
    <w:bookmarkEnd w:id="37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290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2908300" cy="660400"/>
                    </a:xfrm>
                    <a:prstGeom prst="rect">
                      <a:avLst/>
                    </a:prstGeom>
                  </pic:spPr>
                </pic:pic>
              </a:graphicData>
            </a:graphic>
          </wp:inline>
        </w:drawing>
      </w:r>
    </w:p>
    <w:p>
      <w:pPr>
        <w:spacing w:after="0"/>
        <w:ind w:left="0"/>
        <w:jc w:val="left"/>
      </w:pPr>
      <w:r>
        <w:rPr>
          <w:rFonts w:ascii="Times New Roman"/>
          <w:b w:val="false"/>
          <w:i w:val="false"/>
          <w:color w:val="000000"/>
          <w:sz w:val="28"/>
        </w:rPr>
        <w:t>)         (470)</w:t>
      </w:r>
      <w:r>
        <w:br/>
      </w:r>
      <w:r>
        <w:rPr>
          <w:rFonts w:ascii="Times New Roman"/>
          <w:b w:val="false"/>
          <w:i w:val="false"/>
          <w:color w:val="000000"/>
          <w:sz w:val="28"/>
        </w:rPr>
        <w:t>
</w:t>
      </w:r>
    </w:p>
    <w:bookmarkStart w:name="z3741" w:id="3753"/>
    <w:p>
      <w:pPr>
        <w:spacing w:after="0"/>
        <w:ind w:left="0"/>
        <w:jc w:val="left"/>
      </w:pPr>
      <w:r>
        <w:rPr>
          <w:rFonts w:ascii="Times New Roman"/>
          <w:b/>
          <w:i w:val="false"/>
          <w:color w:val="000000"/>
        </w:rPr>
        <w:t xml:space="preserve"> Параграф 6. Расчетные изгибающие моменты и реакции опор</w:t>
      </w:r>
      <w:r>
        <w:br/>
      </w:r>
      <w:r>
        <w:rPr>
          <w:rFonts w:ascii="Times New Roman"/>
          <w:b/>
          <w:i w:val="false"/>
          <w:color w:val="000000"/>
        </w:rPr>
        <w:t>поворотной насадки типа XV</w:t>
      </w:r>
    </w:p>
    <w:bookmarkEnd w:id="3753"/>
    <w:bookmarkStart w:name="z3742" w:id="3754"/>
    <w:p>
      <w:pPr>
        <w:spacing w:after="0"/>
        <w:ind w:left="0"/>
        <w:jc w:val="both"/>
      </w:pPr>
      <w:r>
        <w:rPr>
          <w:rFonts w:ascii="Times New Roman"/>
          <w:b w:val="false"/>
          <w:i w:val="false"/>
          <w:color w:val="000000"/>
          <w:sz w:val="28"/>
        </w:rPr>
        <w:t>
      966. Требования пунктов 935, 936, 937, 939 и 949 настоящих Правил распространяются также и на устройства с поворотной насадкой типа XV (приложение 161 настоящих Правил).</w:t>
      </w:r>
    </w:p>
    <w:bookmarkEnd w:id="3754"/>
    <w:bookmarkStart w:name="z3743" w:id="3755"/>
    <w:p>
      <w:pPr>
        <w:spacing w:after="0"/>
        <w:ind w:left="0"/>
        <w:jc w:val="both"/>
      </w:pPr>
      <w:r>
        <w:rPr>
          <w:rFonts w:ascii="Times New Roman"/>
          <w:b w:val="false"/>
          <w:i w:val="false"/>
          <w:color w:val="000000"/>
          <w:sz w:val="28"/>
        </w:rPr>
        <w:t>
      967. Расчетный изгибающий момент М</w:t>
      </w:r>
      <w:r>
        <w:rPr>
          <w:rFonts w:ascii="Times New Roman"/>
          <w:b w:val="false"/>
          <w:i w:val="false"/>
          <w:color w:val="000000"/>
          <w:vertAlign w:val="subscript"/>
        </w:rPr>
        <w:t>2</w:t>
      </w:r>
      <w:r>
        <w:rPr>
          <w:rFonts w:ascii="Times New Roman"/>
          <w:b w:val="false"/>
          <w:i w:val="false"/>
          <w:color w:val="000000"/>
          <w:sz w:val="28"/>
        </w:rPr>
        <w:t>, кН·м, действующий в сечении 2 баллера (у нижнего подшипника), определяется по формуле:</w:t>
      </w:r>
    </w:p>
    <w:bookmarkEnd w:id="375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Fс</w:t>
      </w:r>
      <w:r>
        <w:rPr>
          <w:rFonts w:ascii="Times New Roman"/>
          <w:b w:val="false"/>
          <w:i w:val="false"/>
          <w:color w:val="000000"/>
          <w:vertAlign w:val="subscript"/>
        </w:rPr>
        <w:t>1</w:t>
      </w:r>
      <w:r>
        <w:rPr>
          <w:rFonts w:ascii="Times New Roman"/>
          <w:b w:val="false"/>
          <w:i w:val="false"/>
          <w:color w:val="000000"/>
          <w:sz w:val="28"/>
        </w:rPr>
        <w:t xml:space="preserve">                      (471)</w:t>
      </w:r>
    </w:p>
    <w:p>
      <w:pPr>
        <w:spacing w:after="0"/>
        <w:ind w:left="0"/>
        <w:jc w:val="both"/>
      </w:pPr>
      <w:r>
        <w:rPr>
          <w:rFonts w:ascii="Times New Roman"/>
          <w:b w:val="false"/>
          <w:i w:val="false"/>
          <w:color w:val="000000"/>
          <w:sz w:val="28"/>
        </w:rPr>
        <w:t>
      где F – нагрузка, определяемая в соответствии с указаниями пункта 900 настоящих Правил, кН;</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линейный размер (пункт 937 настоящих Правил), м.</w:t>
      </w:r>
    </w:p>
    <w:bookmarkStart w:name="z3744" w:id="3756"/>
    <w:p>
      <w:pPr>
        <w:spacing w:after="0"/>
        <w:ind w:left="0"/>
        <w:jc w:val="both"/>
      </w:pPr>
      <w:r>
        <w:rPr>
          <w:rFonts w:ascii="Times New Roman"/>
          <w:b w:val="false"/>
          <w:i w:val="false"/>
          <w:color w:val="000000"/>
          <w:sz w:val="28"/>
        </w:rPr>
        <w:t>
      968. Расчетный изгибающий момент М</w:t>
      </w:r>
      <w:r>
        <w:rPr>
          <w:rFonts w:ascii="Times New Roman"/>
          <w:b w:val="false"/>
          <w:i w:val="false"/>
          <w:color w:val="000000"/>
          <w:vertAlign w:val="subscript"/>
        </w:rPr>
        <w:t>3</w:t>
      </w:r>
      <w:r>
        <w:rPr>
          <w:rFonts w:ascii="Times New Roman"/>
          <w:b w:val="false"/>
          <w:i w:val="false"/>
          <w:color w:val="000000"/>
          <w:sz w:val="28"/>
        </w:rPr>
        <w:t>, кН·м, действующий в сечении 3 баллера (в соединении баллера с поворотной насадкой), определяется по формуле:</w:t>
      </w:r>
    </w:p>
    <w:bookmarkEnd w:id="3756"/>
    <w:p>
      <w:pPr>
        <w:spacing w:after="0"/>
        <w:ind w:left="0"/>
        <w:jc w:val="both"/>
      </w:pPr>
      <w:r>
        <w:rPr>
          <w:rFonts w:ascii="Times New Roman"/>
          <w:b w:val="false"/>
          <w:i w:val="false"/>
          <w:color w:val="000000"/>
          <w:sz w:val="28"/>
        </w:rPr>
        <w:t>
                                       M</w:t>
      </w:r>
      <w:r>
        <w:rPr>
          <w:rFonts w:ascii="Times New Roman"/>
          <w:b w:val="false"/>
          <w:i w:val="false"/>
          <w:color w:val="000000"/>
          <w:vertAlign w:val="subscript"/>
        </w:rPr>
        <w:t>3</w:t>
      </w:r>
      <w:r>
        <w:rPr>
          <w:rFonts w:ascii="Times New Roman"/>
          <w:b w:val="false"/>
          <w:i w:val="false"/>
          <w:color w:val="000000"/>
          <w:sz w:val="28"/>
        </w:rPr>
        <w:t xml:space="preserve"> = F(с</w:t>
      </w:r>
      <w:r>
        <w:rPr>
          <w:rFonts w:ascii="Times New Roman"/>
          <w:b w:val="false"/>
          <w:i w:val="false"/>
          <w:color w:val="000000"/>
          <w:vertAlign w:val="subscript"/>
        </w:rPr>
        <w:t>1</w:t>
      </w:r>
      <w:r>
        <w:rPr>
          <w:rFonts w:ascii="Times New Roman"/>
          <w:b w:val="false"/>
          <w:i w:val="false"/>
          <w:color w:val="000000"/>
          <w:sz w:val="28"/>
        </w:rPr>
        <w:t xml:space="preserve"> - e),                 (472)</w:t>
      </w:r>
    </w:p>
    <w:p>
      <w:pPr>
        <w:spacing w:after="0"/>
        <w:ind w:left="0"/>
        <w:jc w:val="both"/>
      </w:pPr>
      <w:r>
        <w:rPr>
          <w:rFonts w:ascii="Times New Roman"/>
          <w:b w:val="false"/>
          <w:i w:val="false"/>
          <w:color w:val="000000"/>
          <w:sz w:val="28"/>
        </w:rPr>
        <w:t>
      где е — линейный размер (пункт 937 настоящих Правил), м.</w:t>
      </w:r>
    </w:p>
    <w:bookmarkStart w:name="z3745" w:id="3757"/>
    <w:p>
      <w:pPr>
        <w:spacing w:after="0"/>
        <w:ind w:left="0"/>
        <w:jc w:val="both"/>
      </w:pPr>
      <w:r>
        <w:rPr>
          <w:rFonts w:ascii="Times New Roman"/>
          <w:b w:val="false"/>
          <w:i w:val="false"/>
          <w:color w:val="000000"/>
          <w:sz w:val="28"/>
        </w:rPr>
        <w:t>
      969. Расчетная реакция R</w:t>
      </w:r>
      <w:r>
        <w:rPr>
          <w:rFonts w:ascii="Times New Roman"/>
          <w:b w:val="false"/>
          <w:i w:val="false"/>
          <w:color w:val="000000"/>
          <w:vertAlign w:val="subscript"/>
        </w:rPr>
        <w:t>1</w:t>
      </w:r>
      <w:r>
        <w:rPr>
          <w:rFonts w:ascii="Times New Roman"/>
          <w:b w:val="false"/>
          <w:i w:val="false"/>
          <w:color w:val="000000"/>
          <w:sz w:val="28"/>
        </w:rPr>
        <w:t xml:space="preserve"> опоры 1 (верхнего подшипника), кН, определяется по формуле:</w:t>
      </w:r>
    </w:p>
    <w:bookmarkEnd w:id="37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2971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линейный размер (пункт 937 настоящих Правил), м.</w:t>
      </w:r>
    </w:p>
    <w:bookmarkStart w:name="z3746" w:id="3758"/>
    <w:p>
      <w:pPr>
        <w:spacing w:after="0"/>
        <w:ind w:left="0"/>
        <w:jc w:val="both"/>
      </w:pPr>
      <w:r>
        <w:rPr>
          <w:rFonts w:ascii="Times New Roman"/>
          <w:b w:val="false"/>
          <w:i w:val="false"/>
          <w:color w:val="000000"/>
          <w:sz w:val="28"/>
        </w:rPr>
        <w:t>
      970. Расчетная реакция R</w:t>
      </w:r>
      <w:r>
        <w:rPr>
          <w:rFonts w:ascii="Times New Roman"/>
          <w:b w:val="false"/>
          <w:i w:val="false"/>
          <w:color w:val="000000"/>
          <w:vertAlign w:val="subscript"/>
        </w:rPr>
        <w:t>2</w:t>
      </w:r>
      <w:r>
        <w:rPr>
          <w:rFonts w:ascii="Times New Roman"/>
          <w:b w:val="false"/>
          <w:i w:val="false"/>
          <w:color w:val="000000"/>
          <w:sz w:val="28"/>
        </w:rPr>
        <w:t xml:space="preserve"> опоры 2 (нижнего подшипника), кН, определяется по формуле:</w:t>
      </w:r>
    </w:p>
    <w:bookmarkEnd w:id="37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23876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(474)      971. Для рулевых устройств, отличающихся от показанных в приложении 161 настоящих Правил, расчетные изгибающие моменты и реакции опор являются предметом специального рассмотрения Регистром судоходства.</w:t>
      </w:r>
      <w:r>
        <w:br/>
      </w:r>
      <w:r>
        <w:rPr>
          <w:rFonts w:ascii="Times New Roman"/>
          <w:b w:val="false"/>
          <w:i w:val="false"/>
          <w:color w:val="000000"/>
          <w:sz w:val="28"/>
        </w:rPr>
        <w:t>
</w:t>
      </w:r>
    </w:p>
    <w:bookmarkStart w:name="z3748" w:id="3759"/>
    <w:p>
      <w:pPr>
        <w:spacing w:after="0"/>
        <w:ind w:left="0"/>
        <w:jc w:val="left"/>
      </w:pPr>
      <w:r>
        <w:rPr>
          <w:rFonts w:ascii="Times New Roman"/>
          <w:b/>
          <w:i w:val="false"/>
          <w:color w:val="000000"/>
        </w:rPr>
        <w:t xml:space="preserve"> Глава 48. Баллер руля и поворотной насадки</w:t>
      </w:r>
    </w:p>
    <w:bookmarkEnd w:id="3759"/>
    <w:p>
      <w:pPr>
        <w:spacing w:after="0"/>
        <w:ind w:left="0"/>
        <w:jc w:val="both"/>
      </w:pPr>
      <w:r>
        <w:rPr>
          <w:rFonts w:ascii="Times New Roman"/>
          <w:b w:val="false"/>
          <w:i w:val="false"/>
          <w:color w:val="ff0000"/>
          <w:sz w:val="28"/>
        </w:rPr>
        <w:t xml:space="preserve">
      Сноска. Заголовок главы 48 -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9" w:id="3760"/>
    <w:p>
      <w:pPr>
        <w:spacing w:after="0"/>
        <w:ind w:left="0"/>
        <w:jc w:val="both"/>
      </w:pPr>
      <w:r>
        <w:rPr>
          <w:rFonts w:ascii="Times New Roman"/>
          <w:b w:val="false"/>
          <w:i w:val="false"/>
          <w:color w:val="000000"/>
          <w:sz w:val="28"/>
        </w:rPr>
        <w:t>
      972. Диаметр головы баллера d</w:t>
      </w:r>
      <w:r>
        <w:rPr>
          <w:rFonts w:ascii="Times New Roman"/>
          <w:b w:val="false"/>
          <w:i w:val="false"/>
          <w:color w:val="000000"/>
          <w:vertAlign w:val="subscript"/>
        </w:rPr>
        <w:t>o</w:t>
      </w:r>
      <w:r>
        <w:rPr>
          <w:rFonts w:ascii="Times New Roman"/>
          <w:b w:val="false"/>
          <w:i w:val="false"/>
          <w:color w:val="000000"/>
          <w:sz w:val="28"/>
        </w:rPr>
        <w:t>, см, должен быть не менее большего значения, определенного по формуле:</w:t>
      </w:r>
    </w:p>
    <w:bookmarkEnd w:id="37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165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k</w:t>
      </w:r>
      <w:r>
        <w:rPr>
          <w:rFonts w:ascii="Times New Roman"/>
          <w:b w:val="false"/>
          <w:i w:val="false"/>
          <w:color w:val="000000"/>
          <w:vertAlign w:val="subscript"/>
        </w:rPr>
        <w:t>10</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26,1 — для режима переднего хода судна;</w:t>
      </w:r>
    </w:p>
    <w:p>
      <w:pPr>
        <w:spacing w:after="0"/>
        <w:ind w:left="0"/>
        <w:jc w:val="both"/>
      </w:pPr>
      <w:r>
        <w:rPr>
          <w:rFonts w:ascii="Times New Roman"/>
          <w:b w:val="false"/>
          <w:i w:val="false"/>
          <w:color w:val="000000"/>
          <w:sz w:val="28"/>
        </w:rPr>
        <w:t>
      23,3 — для режима заднего хода судна;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расчетный крутящий момент согласно пунктам 927, 928 или 933 настоящих Правил, кНм;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баллера, МПа</w:t>
      </w:r>
    </w:p>
    <w:bookmarkStart w:name="z3750" w:id="3761"/>
    <w:p>
      <w:pPr>
        <w:spacing w:after="0"/>
        <w:ind w:left="0"/>
        <w:jc w:val="both"/>
      </w:pPr>
      <w:r>
        <w:rPr>
          <w:rFonts w:ascii="Times New Roman"/>
          <w:b w:val="false"/>
          <w:i w:val="false"/>
          <w:color w:val="000000"/>
          <w:sz w:val="28"/>
        </w:rPr>
        <w:t xml:space="preserve">
      973. При совместном действии крутящего и изгибающего моментов возникающие напряжения (пункт 902 настоящих Правил) в сечениях баллера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или </w:t>
      </w:r>
      <w:r>
        <w:rPr>
          <w:rFonts w:ascii="Times New Roman"/>
          <w:b w:val="false"/>
          <w:i/>
          <w:color w:val="000000"/>
          <w:sz w:val="28"/>
        </w:rPr>
        <w:t>3</w:t>
      </w:r>
      <w:r>
        <w:rPr>
          <w:rFonts w:ascii="Times New Roman"/>
          <w:b w:val="false"/>
          <w:i w:val="false"/>
          <w:color w:val="000000"/>
          <w:sz w:val="28"/>
        </w:rPr>
        <w:t>, показанных приложении 161 настоящих Правил, для соответствующего типа руля, не превышает 0,5 верхнего предела текучести материала — для режима переднего хода и 0,7 верхнего предела текучести материала — для режима заднего хода (пункты 903 и 921 настоящих Правил). При этом нормальные (</w:t>
      </w:r>
    </w:p>
    <w:bookmarkEnd w:id="3761"/>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и касательные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напряжения, МПа, определяются по формулам:</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10,2</w:t>
      </w:r>
    </w:p>
    <w:p>
      <w:pPr>
        <w:spacing w:after="0"/>
        <w:ind w:left="0"/>
        <w:jc w:val="both"/>
      </w:pP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152400" cy="330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bscript"/>
        </w:rPr>
        <w:t>u</w:t>
      </w:r>
      <w:r>
        <w:rPr>
          <w:rFonts w:ascii="Times New Roman"/>
          <w:b w:val="false"/>
          <w:i w:val="false"/>
          <w:color w:val="000000"/>
          <w:sz w:val="28"/>
        </w:rPr>
        <w:t xml:space="preserve"> /</w:t>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(476)</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5,1</w:t>
      </w:r>
    </w:p>
    <w:p>
      <w:pPr>
        <w:spacing w:after="0"/>
        <w:ind w:left="0"/>
        <w:jc w:val="both"/>
      </w:pP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152400" cy="330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u</w:t>
      </w:r>
      <w:r>
        <w:rPr>
          <w:rFonts w:ascii="Times New Roman"/>
          <w:b w:val="false"/>
          <w:i w:val="false"/>
          <w:color w:val="000000"/>
          <w:sz w:val="28"/>
        </w:rPr>
        <w:t xml:space="preserve"> — расчетный изгибающий момент, действующий в рассматриваемом сечении баллера (М</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xml:space="preserve"> или М</w:t>
      </w:r>
      <w:r>
        <w:rPr>
          <w:rFonts w:ascii="Times New Roman"/>
          <w:b w:val="false"/>
          <w:i w:val="false"/>
          <w:color w:val="000000"/>
          <w:vertAlign w:val="subscript"/>
        </w:rPr>
        <w:t>3</w:t>
      </w:r>
      <w:r>
        <w:rPr>
          <w:rFonts w:ascii="Times New Roman"/>
          <w:b w:val="false"/>
          <w:i w:val="false"/>
          <w:color w:val="000000"/>
          <w:sz w:val="28"/>
        </w:rPr>
        <w:t>), определяемый согласно указаниям параграфов 3-6 главы 47 настоящих Правил для соответствующего типа рулевого устройства, кН·м;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диаметр баллера в рассматриваемом сечении, см.</w:t>
      </w:r>
    </w:p>
    <w:bookmarkStart w:name="z3751" w:id="3762"/>
    <w:p>
      <w:pPr>
        <w:spacing w:after="0"/>
        <w:ind w:left="0"/>
        <w:jc w:val="both"/>
      </w:pPr>
      <w:r>
        <w:rPr>
          <w:rFonts w:ascii="Times New Roman"/>
          <w:b w:val="false"/>
          <w:i w:val="false"/>
          <w:color w:val="000000"/>
          <w:sz w:val="28"/>
        </w:rPr>
        <w:t>
      974. Изменение диаметра баллера между смежными сечениями, указанными в пунктах 972 и 973 настоящих Правил, не более крутым, чем по линейному закону.</w:t>
      </w:r>
    </w:p>
    <w:bookmarkEnd w:id="3762"/>
    <w:bookmarkStart w:name="z3752" w:id="3763"/>
    <w:p>
      <w:pPr>
        <w:spacing w:after="0"/>
        <w:ind w:left="0"/>
        <w:jc w:val="both"/>
      </w:pPr>
      <w:r>
        <w:rPr>
          <w:rFonts w:ascii="Times New Roman"/>
          <w:b w:val="false"/>
          <w:i w:val="false"/>
          <w:color w:val="000000"/>
          <w:sz w:val="28"/>
        </w:rPr>
        <w:t>
      При ступенчатом изменении диаметра баллера в местах уступов должны быть предусмотрены галтели возможно большего радиуса. Переход баллера во фланец осуществляют с радиусом закругления не менее 0,12 диаметра баллера у фланца.</w:t>
      </w:r>
    </w:p>
    <w:bookmarkEnd w:id="3763"/>
    <w:bookmarkStart w:name="z3753" w:id="3764"/>
    <w:p>
      <w:pPr>
        <w:spacing w:after="0"/>
        <w:ind w:left="0"/>
        <w:jc w:val="left"/>
      </w:pPr>
      <w:r>
        <w:rPr>
          <w:rFonts w:ascii="Times New Roman"/>
          <w:b/>
          <w:i w:val="false"/>
          <w:color w:val="000000"/>
        </w:rPr>
        <w:t xml:space="preserve"> Глава 49. Перо руля и поворотная насадка</w:t>
      </w:r>
    </w:p>
    <w:bookmarkEnd w:id="3764"/>
    <w:p>
      <w:pPr>
        <w:spacing w:after="0"/>
        <w:ind w:left="0"/>
        <w:jc w:val="both"/>
      </w:pPr>
      <w:r>
        <w:rPr>
          <w:rFonts w:ascii="Times New Roman"/>
          <w:b w:val="false"/>
          <w:i w:val="false"/>
          <w:color w:val="ff0000"/>
          <w:sz w:val="28"/>
        </w:rPr>
        <w:t xml:space="preserve">
      Сноска. Заголовок главы 49 -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4" w:id="3765"/>
    <w:p>
      <w:pPr>
        <w:spacing w:after="0"/>
        <w:ind w:left="0"/>
        <w:jc w:val="both"/>
      </w:pPr>
      <w:r>
        <w:rPr>
          <w:rFonts w:ascii="Times New Roman"/>
          <w:b w:val="false"/>
          <w:i w:val="false"/>
          <w:color w:val="000000"/>
          <w:sz w:val="28"/>
        </w:rPr>
        <w:t>
      975. Толщина обшивки пера профильного руля s, мм, не менее определенной по формуле:</w:t>
      </w:r>
    </w:p>
    <w:bookmarkEnd w:id="37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3352800" cy="965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 — осадка судна, 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и F</w:t>
      </w:r>
      <w:r>
        <w:rPr>
          <w:rFonts w:ascii="Times New Roman"/>
          <w:b w:val="false"/>
          <w:i w:val="false"/>
          <w:color w:val="000000"/>
          <w:vertAlign w:val="subscript"/>
        </w:rPr>
        <w:t>2</w:t>
      </w:r>
      <w:r>
        <w:rPr>
          <w:rFonts w:ascii="Times New Roman"/>
          <w:b w:val="false"/>
          <w:i w:val="false"/>
          <w:color w:val="000000"/>
          <w:sz w:val="28"/>
        </w:rPr>
        <w:t xml:space="preserve"> — расчетные нагрузки согласно пунктов 925 и 926 настоящих Правил, кН;</w:t>
      </w:r>
    </w:p>
    <w:p>
      <w:pPr>
        <w:spacing w:after="0"/>
        <w:ind w:left="0"/>
        <w:jc w:val="both"/>
      </w:pPr>
      <w:r>
        <w:rPr>
          <w:rFonts w:ascii="Times New Roman"/>
          <w:b w:val="false"/>
          <w:i w:val="false"/>
          <w:color w:val="000000"/>
          <w:sz w:val="28"/>
        </w:rPr>
        <w:t>
      А u А</w:t>
      </w:r>
      <w:r>
        <w:rPr>
          <w:rFonts w:ascii="Times New Roman"/>
          <w:b w:val="false"/>
          <w:i w:val="false"/>
          <w:color w:val="000000"/>
          <w:vertAlign w:val="subscript"/>
        </w:rPr>
        <w:t>B</w:t>
      </w:r>
      <w:r>
        <w:rPr>
          <w:rFonts w:ascii="Times New Roman"/>
          <w:b w:val="false"/>
          <w:i w:val="false"/>
          <w:color w:val="000000"/>
          <w:sz w:val="28"/>
        </w:rPr>
        <w:t xml:space="preserve"> — пункт 925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горизонтальными ребрами или вертикальными диафрагмами, смотря по тому, что меньше, м;</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11</w:t>
      </w:r>
      <w:r>
        <w:rPr>
          <w:rFonts w:ascii="Times New Roman"/>
          <w:b w:val="false"/>
          <w:i w:val="false"/>
          <w:color w:val="000000"/>
          <w:sz w:val="28"/>
        </w:rPr>
        <w:t xml:space="preserve"> — коэффициент, определяемый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11</w:t>
      </w:r>
      <w:r>
        <w:rPr>
          <w:rFonts w:ascii="Times New Roman"/>
          <w:b w:val="false"/>
          <w:i w:val="false"/>
          <w:color w:val="000000"/>
          <w:sz w:val="28"/>
        </w:rPr>
        <w:t xml:space="preserve"> = 10,85 — 2,516(</w:t>
      </w:r>
    </w:p>
    <w:p>
      <w:pPr>
        <w:spacing w:after="0"/>
        <w:ind w:left="0"/>
        <w:jc w:val="both"/>
      </w:pPr>
      <w:r>
        <w:drawing>
          <wp:inline distT="0" distB="0" distL="0" distR="0">
            <wp:extent cx="203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2032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(479)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обшивки пера руля, МПа;</w:t>
      </w:r>
    </w:p>
    <w:p>
      <w:pPr>
        <w:spacing w:after="0"/>
        <w:ind w:left="0"/>
        <w:jc w:val="both"/>
      </w:pPr>
      <w:r>
        <w:rPr>
          <w:rFonts w:ascii="Times New Roman"/>
          <w:b w:val="false"/>
          <w:i w:val="false"/>
          <w:color w:val="000000"/>
          <w:sz w:val="28"/>
        </w:rPr>
        <w:t>
      b — расстояние между горизонтальными ребрами или вертикальными диафрагмами, смотря по тому, что больше,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12</w:t>
      </w:r>
      <w:r>
        <w:rPr>
          <w:rFonts w:ascii="Times New Roman"/>
          <w:b w:val="false"/>
          <w:i w:val="false"/>
          <w:color w:val="000000"/>
          <w:sz w:val="28"/>
        </w:rPr>
        <w:t>— коэффициент, равный:</w:t>
      </w:r>
    </w:p>
    <w:p>
      <w:pPr>
        <w:spacing w:after="0"/>
        <w:ind w:left="0"/>
        <w:jc w:val="both"/>
      </w:pPr>
      <w:r>
        <w:rPr>
          <w:rFonts w:ascii="Times New Roman"/>
          <w:b w:val="false"/>
          <w:i w:val="false"/>
          <w:color w:val="000000"/>
          <w:sz w:val="28"/>
        </w:rPr>
        <w:t>
      18,6 — для участка обшивки, расположенного в пределах 0,35 длины пера руля от его передней кромки;</w:t>
      </w:r>
    </w:p>
    <w:p>
      <w:pPr>
        <w:spacing w:after="0"/>
        <w:ind w:left="0"/>
        <w:jc w:val="both"/>
      </w:pPr>
      <w:r>
        <w:rPr>
          <w:rFonts w:ascii="Times New Roman"/>
          <w:b w:val="false"/>
          <w:i w:val="false"/>
          <w:color w:val="000000"/>
          <w:sz w:val="28"/>
        </w:rPr>
        <w:t>
      8,0 — для участка обшивки, расположенного в пределах 0,65 длины пера руля от его задней кромки;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13</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1 — для участка обшивки, расположенного в струе гребного винта (при непереложенном руле);</w:t>
      </w:r>
    </w:p>
    <w:p>
      <w:pPr>
        <w:spacing w:after="0"/>
        <w:ind w:left="0"/>
        <w:jc w:val="both"/>
      </w:pPr>
      <w:r>
        <w:rPr>
          <w:rFonts w:ascii="Times New Roman"/>
          <w:b w:val="false"/>
          <w:i w:val="false"/>
          <w:color w:val="000000"/>
          <w:sz w:val="28"/>
        </w:rPr>
        <w:t>
      0 — для участка обшивки, расположенного вне струи гребного винта (при непереложенном руле).</w:t>
      </w:r>
    </w:p>
    <w:bookmarkStart w:name="z3755" w:id="3766"/>
    <w:p>
      <w:pPr>
        <w:spacing w:after="0"/>
        <w:ind w:left="0"/>
        <w:jc w:val="both"/>
      </w:pPr>
      <w:r>
        <w:rPr>
          <w:rFonts w:ascii="Times New Roman"/>
          <w:b w:val="false"/>
          <w:i w:val="false"/>
          <w:color w:val="000000"/>
          <w:sz w:val="28"/>
        </w:rPr>
        <w:t>
      976. В любом случае толщина обшивки пера профильного руля S</w:t>
      </w:r>
      <w:r>
        <w:rPr>
          <w:rFonts w:ascii="Times New Roman"/>
          <w:b w:val="false"/>
          <w:i w:val="false"/>
          <w:color w:val="000000"/>
          <w:vertAlign w:val="subscript"/>
        </w:rPr>
        <w:t>min</w:t>
      </w:r>
      <w:r>
        <w:rPr>
          <w:rFonts w:ascii="Times New Roman"/>
          <w:b w:val="false"/>
          <w:i w:val="false"/>
          <w:color w:val="000000"/>
          <w:sz w:val="28"/>
        </w:rPr>
        <w:t>, мм, не менее оп ределенной по формулам:</w:t>
      </w:r>
    </w:p>
    <w:bookmarkEnd w:id="3766"/>
    <w:p>
      <w:pPr>
        <w:spacing w:after="0"/>
        <w:ind w:left="0"/>
        <w:jc w:val="both"/>
      </w:pPr>
      <w:r>
        <w:rPr>
          <w:rFonts w:ascii="Times New Roman"/>
          <w:b w:val="false"/>
          <w:i w:val="false"/>
          <w:color w:val="000000"/>
          <w:sz w:val="28"/>
        </w:rPr>
        <w:t>
      для судов длиной менее 80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18161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судов длиной 80 м и более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17526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L — длина судна, м.</w:t>
      </w:r>
    </w:p>
    <w:bookmarkStart w:name="z3756" w:id="3767"/>
    <w:p>
      <w:pPr>
        <w:spacing w:after="0"/>
        <w:ind w:left="0"/>
        <w:jc w:val="both"/>
      </w:pPr>
      <w:r>
        <w:rPr>
          <w:rFonts w:ascii="Times New Roman"/>
          <w:b w:val="false"/>
          <w:i w:val="false"/>
          <w:color w:val="000000"/>
          <w:sz w:val="28"/>
        </w:rPr>
        <w:t>
      977. У судов ледового плавания толщина обшивки пера руля в пределах ледового пояса равна не менее толщины ледового пояса наружной обшивки в кормовой части судна, указанной в пункте 836 настоящих Правил, при величине шпации, равной расстоянию между вертикальными диафрагмами пера руля.</w:t>
      </w:r>
    </w:p>
    <w:bookmarkEnd w:id="3767"/>
    <w:bookmarkStart w:name="z3757" w:id="3768"/>
    <w:p>
      <w:pPr>
        <w:spacing w:after="0"/>
        <w:ind w:left="0"/>
        <w:jc w:val="both"/>
      </w:pPr>
      <w:r>
        <w:rPr>
          <w:rFonts w:ascii="Times New Roman"/>
          <w:b w:val="false"/>
          <w:i w:val="false"/>
          <w:color w:val="000000"/>
          <w:sz w:val="28"/>
        </w:rPr>
        <w:t>
      Толщина обшивки пера руля ледоколов s, мм, не менее определенной по формуле:</w:t>
      </w:r>
    </w:p>
    <w:bookmarkEnd w:id="37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1892300" cy="673100"/>
                    </a:xfrm>
                    <a:prstGeom prst="rect">
                      <a:avLst/>
                    </a:prstGeom>
                  </pic:spPr>
                </pic:pic>
              </a:graphicData>
            </a:graphic>
          </wp:inline>
        </w:drawing>
      </w:r>
    </w:p>
    <w:p>
      <w:pPr>
        <w:spacing w:after="0"/>
        <w:ind w:left="0"/>
        <w:jc w:val="left"/>
      </w:pPr>
      <w:r>
        <w:rPr>
          <w:rFonts w:ascii="Times New Roman"/>
          <w:b w:val="false"/>
          <w:i w:val="false"/>
          <w:color w:val="000000"/>
          <w:sz w:val="28"/>
        </w:rPr>
        <w:t>,                  (482)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 — расстояние между горизонтальными ребрами или вертикальными диафрагмами, в зависимости от того, что меньше, для обтекаемых сварных рулей; расстояние между горизонтальными ребрами для однослойных стальных цельнолитых рулей, м. В расчетах расстояние а принимается не менее 0,6 м;</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интенсивность ледовой нагрузки в районе CI, определяемая в соответствии с подпунктом 2) пункта 829 настоящих Правил, кПа;</w:t>
      </w:r>
    </w:p>
    <w:p>
      <w:pPr>
        <w:spacing w:after="0"/>
        <w:ind w:left="0"/>
        <w:jc w:val="both"/>
      </w:pPr>
      <w:r>
        <w:rPr>
          <w:rFonts w:ascii="Times New Roman"/>
          <w:b w:val="false"/>
          <w:i w:val="false"/>
          <w:color w:val="000000"/>
          <w:sz w:val="28"/>
        </w:rPr>
        <w:t>
      ReH — верхний предел текучести материала обшивки пера руля, МПа;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16</w:t>
      </w:r>
      <w:r>
        <w:rPr>
          <w:rFonts w:ascii="Times New Roman"/>
          <w:b w:val="false"/>
          <w:i w:val="false"/>
          <w:color w:val="000000"/>
          <w:sz w:val="28"/>
        </w:rPr>
        <w:t>- коэффициент для обтекаемых сварных рулей, определяемый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16</w:t>
      </w:r>
      <w:r>
        <w:rPr>
          <w:rFonts w:ascii="Times New Roman"/>
          <w:b w:val="false"/>
          <w:i w:val="false"/>
          <w:color w:val="000000"/>
          <w:sz w:val="28"/>
        </w:rPr>
        <w:t xml:space="preserve"> = 1 — 0,38(а/b)</w:t>
      </w:r>
      <w:r>
        <w:rPr>
          <w:rFonts w:ascii="Times New Roman"/>
          <w:b w:val="false"/>
          <w:i w:val="false"/>
          <w:color w:val="000000"/>
          <w:vertAlign w:val="superscript"/>
        </w:rPr>
        <w:t>2</w:t>
      </w:r>
      <w:r>
        <w:rPr>
          <w:rFonts w:ascii="Times New Roman"/>
          <w:b w:val="false"/>
          <w:i w:val="false"/>
          <w:color w:val="000000"/>
          <w:sz w:val="28"/>
        </w:rPr>
        <w:t>,              (483)</w:t>
      </w:r>
    </w:p>
    <w:p>
      <w:pPr>
        <w:spacing w:after="0"/>
        <w:ind w:left="0"/>
        <w:jc w:val="both"/>
      </w:pPr>
      <w:r>
        <w:rPr>
          <w:rFonts w:ascii="Times New Roman"/>
          <w:b w:val="false"/>
          <w:i w:val="false"/>
          <w:color w:val="000000"/>
          <w:sz w:val="28"/>
        </w:rPr>
        <w:t>
      b — расстояние между горизонтальными ребрами или вертикальными диафрагмами, смотря по тому, что больше, м.</w:t>
      </w:r>
    </w:p>
    <w:bookmarkStart w:name="z3758" w:id="3769"/>
    <w:p>
      <w:pPr>
        <w:spacing w:after="0"/>
        <w:ind w:left="0"/>
        <w:jc w:val="both"/>
      </w:pPr>
      <w:r>
        <w:rPr>
          <w:rFonts w:ascii="Times New Roman"/>
          <w:b w:val="false"/>
          <w:i w:val="false"/>
          <w:color w:val="000000"/>
          <w:sz w:val="28"/>
        </w:rPr>
        <w:t>
      Для однослойных стальных цельнолитых рулей к</w:t>
      </w:r>
      <w:r>
        <w:rPr>
          <w:rFonts w:ascii="Times New Roman"/>
          <w:b w:val="false"/>
          <w:i w:val="false"/>
          <w:color w:val="000000"/>
          <w:vertAlign w:val="subscript"/>
        </w:rPr>
        <w:t>16</w:t>
      </w:r>
      <w:r>
        <w:rPr>
          <w:rFonts w:ascii="Times New Roman"/>
          <w:b w:val="false"/>
          <w:i w:val="false"/>
          <w:color w:val="000000"/>
          <w:sz w:val="28"/>
        </w:rPr>
        <w:t xml:space="preserve"> в расчетах принимается равным 1.</w:t>
      </w:r>
    </w:p>
    <w:bookmarkEnd w:id="3769"/>
    <w:bookmarkStart w:name="z3759" w:id="3770"/>
    <w:p>
      <w:pPr>
        <w:spacing w:after="0"/>
        <w:ind w:left="0"/>
        <w:jc w:val="both"/>
      </w:pPr>
      <w:r>
        <w:rPr>
          <w:rFonts w:ascii="Times New Roman"/>
          <w:b w:val="false"/>
          <w:i w:val="false"/>
          <w:color w:val="000000"/>
          <w:sz w:val="28"/>
        </w:rPr>
        <w:t>
      978. Обшивка пера профильного руля изнутри подкрепляют горизонтальными ребрами и вертикальными диафрагмами. Толщина ребер и диафрагм принимается не менее толщины обшивки пера руля.</w:t>
      </w:r>
    </w:p>
    <w:bookmarkEnd w:id="3770"/>
    <w:bookmarkStart w:name="z3760" w:id="3771"/>
    <w:p>
      <w:pPr>
        <w:spacing w:after="0"/>
        <w:ind w:left="0"/>
        <w:jc w:val="both"/>
      </w:pPr>
      <w:r>
        <w:rPr>
          <w:rFonts w:ascii="Times New Roman"/>
          <w:b w:val="false"/>
          <w:i w:val="false"/>
          <w:color w:val="000000"/>
          <w:sz w:val="28"/>
        </w:rPr>
        <w:t>
      Обшивка, ребра и диафрагмы соединяют между собой сваркой угловым или пробочным швом с удлиненными прорезями. Размеры элементов пробочного шва выбираются в соответствии с пунктом 304 настоящих Правил.</w:t>
      </w:r>
    </w:p>
    <w:bookmarkEnd w:id="3771"/>
    <w:bookmarkStart w:name="z3761" w:id="3772"/>
    <w:p>
      <w:pPr>
        <w:spacing w:after="0"/>
        <w:ind w:left="0"/>
        <w:jc w:val="both"/>
      </w:pPr>
      <w:r>
        <w:rPr>
          <w:rFonts w:ascii="Times New Roman"/>
          <w:b w:val="false"/>
          <w:i w:val="false"/>
          <w:color w:val="000000"/>
          <w:sz w:val="28"/>
        </w:rPr>
        <w:t>
      В горизонтальных ребрах и вертикальных диафрагмах имеется достаточное количество вырезов для беспрепятственного стока воды, попавшей в полость пера.</w:t>
      </w:r>
    </w:p>
    <w:bookmarkEnd w:id="3772"/>
    <w:bookmarkStart w:name="z3762" w:id="3773"/>
    <w:p>
      <w:pPr>
        <w:spacing w:after="0"/>
        <w:ind w:left="0"/>
        <w:jc w:val="both"/>
      </w:pPr>
      <w:r>
        <w:rPr>
          <w:rFonts w:ascii="Times New Roman"/>
          <w:b w:val="false"/>
          <w:i w:val="false"/>
          <w:color w:val="000000"/>
          <w:sz w:val="28"/>
        </w:rPr>
        <w:t>
      Задняя кромка пера руля жестко закрепляется надлежащим образом.</w:t>
      </w:r>
    </w:p>
    <w:bookmarkEnd w:id="3773"/>
    <w:bookmarkStart w:name="z3763" w:id="3774"/>
    <w:p>
      <w:pPr>
        <w:spacing w:after="0"/>
        <w:ind w:left="0"/>
        <w:jc w:val="both"/>
      </w:pPr>
      <w:r>
        <w:rPr>
          <w:rFonts w:ascii="Times New Roman"/>
          <w:b w:val="false"/>
          <w:i w:val="false"/>
          <w:color w:val="000000"/>
          <w:sz w:val="28"/>
        </w:rPr>
        <w:t>
      979. Перо профильных рулей в верхней и нижней частях замыкается торцевыми листами, толщина которых равна не менее 1,2 наибольшей толщины обшивки согласно пункту 975 настоящих Правил. В торцевых листах предусматривают спускные пробки из нержавеющего металла.</w:t>
      </w:r>
    </w:p>
    <w:bookmarkEnd w:id="3774"/>
    <w:bookmarkStart w:name="z3764" w:id="3775"/>
    <w:p>
      <w:pPr>
        <w:spacing w:after="0"/>
        <w:ind w:left="0"/>
        <w:jc w:val="both"/>
      </w:pPr>
      <w:r>
        <w:rPr>
          <w:rFonts w:ascii="Times New Roman"/>
          <w:b w:val="false"/>
          <w:i w:val="false"/>
          <w:color w:val="000000"/>
          <w:sz w:val="28"/>
        </w:rPr>
        <w:t>
      980. Обшивка пера полуподвесного руля в углах вырезов (в районе установки штырей) имеет закругления. Радиусы этих закруглений допускают не менее двукратной толщины обшивки в этом районе, а свободную кромку обшивки руля тщательно зачищают.</w:t>
      </w:r>
    </w:p>
    <w:bookmarkEnd w:id="3775"/>
    <w:bookmarkStart w:name="z3765" w:id="3776"/>
    <w:p>
      <w:pPr>
        <w:spacing w:after="0"/>
        <w:ind w:left="0"/>
        <w:jc w:val="both"/>
      </w:pPr>
      <w:r>
        <w:rPr>
          <w:rFonts w:ascii="Times New Roman"/>
          <w:b w:val="false"/>
          <w:i w:val="false"/>
          <w:color w:val="000000"/>
          <w:sz w:val="28"/>
        </w:rPr>
        <w:t>
      981. В районе оси вращения профильного руля имеется одна или несколько вертикальных диафрагм, обеспечивающих общую прочность пера руля. Момент сопротивления поперечного сечения этих диафрагм, включая условные пояски, такий, чтобы нормальные напряжения у в рассматриваемом сечении не превышали 0,5 верхнего предела текучести материала обшивки пера руля (пункт 903 настоящих Правил).</w:t>
      </w:r>
    </w:p>
    <w:bookmarkEnd w:id="3776"/>
    <w:bookmarkStart w:name="z3766" w:id="3777"/>
    <w:p>
      <w:pPr>
        <w:spacing w:after="0"/>
        <w:ind w:left="0"/>
        <w:jc w:val="both"/>
      </w:pPr>
      <w:r>
        <w:rPr>
          <w:rFonts w:ascii="Times New Roman"/>
          <w:b w:val="false"/>
          <w:i w:val="false"/>
          <w:color w:val="000000"/>
          <w:sz w:val="28"/>
        </w:rPr>
        <w:t xml:space="preserve">
      Нормальные напряжения </w:t>
      </w:r>
    </w:p>
    <w:bookmarkEnd w:id="3777"/>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МПа, вычисляются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1000 М</w:t>
      </w:r>
      <w:r>
        <w:rPr>
          <w:rFonts w:ascii="Times New Roman"/>
          <w:b w:val="false"/>
          <w:i w:val="false"/>
          <w:color w:val="000000"/>
          <w:vertAlign w:val="subscript"/>
        </w:rPr>
        <w:t>u</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(484)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u</w:t>
      </w:r>
      <w:r>
        <w:rPr>
          <w:rFonts w:ascii="Times New Roman"/>
          <w:b w:val="false"/>
          <w:i w:val="false"/>
          <w:color w:val="000000"/>
          <w:sz w:val="28"/>
        </w:rPr>
        <w:t xml:space="preserve"> – расчетный изгибающий момент, в рассматриваемом сечении пера руля (М</w:t>
      </w:r>
      <w:r>
        <w:rPr>
          <w:rFonts w:ascii="Times New Roman"/>
          <w:b w:val="false"/>
          <w:i w:val="false"/>
          <w:color w:val="000000"/>
          <w:vertAlign w:val="subscript"/>
        </w:rPr>
        <w:t>u</w:t>
      </w:r>
      <w:r>
        <w:rPr>
          <w:rFonts w:ascii="Times New Roman"/>
          <w:b w:val="false"/>
          <w:i w:val="false"/>
          <w:color w:val="000000"/>
          <w:sz w:val="28"/>
        </w:rPr>
        <w:t xml:space="preserve"> и М</w:t>
      </w:r>
      <w:r>
        <w:rPr>
          <w:rFonts w:ascii="Times New Roman"/>
          <w:b w:val="false"/>
          <w:i w:val="false"/>
          <w:color w:val="000000"/>
          <w:vertAlign w:val="subscript"/>
        </w:rPr>
        <w:t>р</w:t>
      </w:r>
      <w:r>
        <w:rPr>
          <w:rFonts w:ascii="Times New Roman"/>
          <w:b w:val="false"/>
          <w:i w:val="false"/>
          <w:color w:val="000000"/>
          <w:sz w:val="28"/>
        </w:rPr>
        <w:t>) определяемый согласно требованиям параграфов 3 – 5 главы 47 настоящих Правил для соответствующего типа рулевого устройства,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момент сопротивления рассматриваемого сечения диафрагм, включая условные пояски, относительно оси симметрии профиля пера руля, см</w:t>
      </w:r>
      <w:r>
        <w:rPr>
          <w:rFonts w:ascii="Times New Roman"/>
          <w:b w:val="false"/>
          <w:i w:val="false"/>
          <w:color w:val="000000"/>
          <w:vertAlign w:val="superscript"/>
        </w:rPr>
        <w:t>3</w:t>
      </w:r>
      <w:r>
        <w:rPr>
          <w:rFonts w:ascii="Times New Roman"/>
          <w:b w:val="false"/>
          <w:i w:val="false"/>
          <w:color w:val="000000"/>
          <w:sz w:val="28"/>
        </w:rPr>
        <w:t>.</w:t>
      </w:r>
    </w:p>
    <w:bookmarkStart w:name="z3767" w:id="3778"/>
    <w:p>
      <w:pPr>
        <w:spacing w:after="0"/>
        <w:ind w:left="0"/>
        <w:jc w:val="both"/>
      </w:pPr>
      <w:r>
        <w:rPr>
          <w:rFonts w:ascii="Times New Roman"/>
          <w:b w:val="false"/>
          <w:i w:val="false"/>
          <w:color w:val="000000"/>
          <w:sz w:val="28"/>
        </w:rPr>
        <w:t>
      Размеры условных поясков диафрагм принимаются равными:</w:t>
      </w:r>
    </w:p>
    <w:bookmarkEnd w:id="3778"/>
    <w:bookmarkStart w:name="z3768" w:id="3779"/>
    <w:p>
      <w:pPr>
        <w:spacing w:after="0"/>
        <w:ind w:left="0"/>
        <w:jc w:val="both"/>
      </w:pPr>
      <w:r>
        <w:rPr>
          <w:rFonts w:ascii="Times New Roman"/>
          <w:b w:val="false"/>
          <w:i w:val="false"/>
          <w:color w:val="000000"/>
          <w:sz w:val="28"/>
        </w:rPr>
        <w:t>
      толщина — толщине обшивки пера руля;</w:t>
      </w:r>
    </w:p>
    <w:bookmarkEnd w:id="3779"/>
    <w:bookmarkStart w:name="z3769" w:id="3780"/>
    <w:p>
      <w:pPr>
        <w:spacing w:after="0"/>
        <w:ind w:left="0"/>
        <w:jc w:val="both"/>
      </w:pPr>
      <w:r>
        <w:rPr>
          <w:rFonts w:ascii="Times New Roman"/>
          <w:b w:val="false"/>
          <w:i w:val="false"/>
          <w:color w:val="000000"/>
          <w:sz w:val="28"/>
        </w:rPr>
        <w:t>
      ширина — 1/6 высоты пера или половине расстояния между ближайшими диафрагмами, расположенными по обе стороны от рассматриваемой диафрагмы, смотря по тому, что меньше.</w:t>
      </w:r>
    </w:p>
    <w:bookmarkEnd w:id="3780"/>
    <w:bookmarkStart w:name="z3770" w:id="3781"/>
    <w:p>
      <w:pPr>
        <w:spacing w:after="0"/>
        <w:ind w:left="0"/>
        <w:jc w:val="both"/>
      </w:pPr>
      <w:r>
        <w:rPr>
          <w:rFonts w:ascii="Times New Roman"/>
          <w:b w:val="false"/>
          <w:i w:val="false"/>
          <w:color w:val="000000"/>
          <w:sz w:val="28"/>
        </w:rPr>
        <w:t>
      982. Особое внимание обращают на прочность крепления к перу руля фланца для соединения с баллером и петель штырей.</w:t>
      </w:r>
    </w:p>
    <w:bookmarkEnd w:id="3781"/>
    <w:bookmarkStart w:name="z3771" w:id="3782"/>
    <w:p>
      <w:pPr>
        <w:spacing w:after="0"/>
        <w:ind w:left="0"/>
        <w:jc w:val="both"/>
      </w:pPr>
      <w:r>
        <w:rPr>
          <w:rFonts w:ascii="Times New Roman"/>
          <w:b w:val="false"/>
          <w:i w:val="false"/>
          <w:color w:val="000000"/>
          <w:sz w:val="28"/>
        </w:rPr>
        <w:t>
      983. У передней кромки однослойных стальных цельнолитых рулей ледоколов предусматривается рудерпис, проходящий по всей высоте пера руля.</w:t>
      </w:r>
    </w:p>
    <w:bookmarkEnd w:id="3782"/>
    <w:bookmarkStart w:name="z3772" w:id="3783"/>
    <w:p>
      <w:pPr>
        <w:spacing w:after="0"/>
        <w:ind w:left="0"/>
        <w:jc w:val="both"/>
      </w:pPr>
      <w:r>
        <w:rPr>
          <w:rFonts w:ascii="Times New Roman"/>
          <w:b w:val="false"/>
          <w:i w:val="false"/>
          <w:color w:val="000000"/>
          <w:sz w:val="28"/>
        </w:rPr>
        <w:t xml:space="preserve">
      Приведенные напряжения </w:t>
      </w:r>
    </w:p>
    <w:bookmarkEnd w:id="3783"/>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МПа, возникающие в любом горизонтальном сечении рудерписа, определяемые по нижеприведенной формуле, не превышают 0,5 верхнего предела текучести материала руля:</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1000</w:t>
      </w:r>
    </w:p>
    <w:p>
      <w:pPr>
        <w:spacing w:after="0"/>
        <w:ind w:left="0"/>
        <w:jc w:val="both"/>
      </w:pPr>
      <w:r>
        <w:drawing>
          <wp:inline distT="0" distB="0" distL="0" distR="0">
            <wp:extent cx="1689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16891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р</w:t>
      </w:r>
      <w:r>
        <w:rPr>
          <w:rFonts w:ascii="Times New Roman"/>
          <w:b w:val="false"/>
          <w:i w:val="false"/>
          <w:color w:val="000000"/>
          <w:sz w:val="28"/>
        </w:rPr>
        <w:t xml:space="preserve"> — изгибающий момент, определяемый согласно указаниям пункта 957 настоящих Правил, кН-м;</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расчетный крутящий момент согласно пункту 927 настоящих Правил, кН·м;</w:t>
      </w:r>
    </w:p>
    <w:p>
      <w:pPr>
        <w:spacing w:after="0"/>
        <w:ind w:left="0"/>
        <w:jc w:val="both"/>
      </w:pPr>
      <w:r>
        <w:rPr>
          <w:rFonts w:ascii="Times New Roman"/>
          <w:b w:val="false"/>
          <w:i w:val="false"/>
          <w:color w:val="000000"/>
          <w:sz w:val="28"/>
        </w:rPr>
        <w:t>
      у — отстояние рассматриваемого сечения от нижней кромки руля (приложение 163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момент сопротивления рассматриваемого поперечного сечения рудерписа относительно оси О</w:t>
      </w:r>
      <w:r>
        <w:rPr>
          <w:rFonts w:ascii="Times New Roman"/>
          <w:b w:val="false"/>
          <w:i w:val="false"/>
          <w:color w:val="000000"/>
          <w:vertAlign w:val="subscript"/>
        </w:rPr>
        <w:t>1</w:t>
      </w:r>
      <w:r>
        <w:rPr>
          <w:rFonts w:ascii="Times New Roman"/>
          <w:b w:val="false"/>
          <w:i w:val="false"/>
          <w:color w:val="000000"/>
          <w:sz w:val="28"/>
        </w:rPr>
        <w:t xml:space="preserve"> — О</w:t>
      </w:r>
      <w:r>
        <w:rPr>
          <w:rFonts w:ascii="Times New Roman"/>
          <w:b w:val="false"/>
          <w:i w:val="false"/>
          <w:color w:val="000000"/>
          <w:vertAlign w:val="subscript"/>
        </w:rPr>
        <w:t>1</w:t>
      </w:r>
      <w:r>
        <w:rPr>
          <w:rFonts w:ascii="Times New Roman"/>
          <w:b w:val="false"/>
          <w:i w:val="false"/>
          <w:color w:val="000000"/>
          <w:sz w:val="28"/>
        </w:rPr>
        <w:t xml:space="preserve"> без учета обшивки пера руля (сечение рудерписа, учитываемое при определении W, заштриховано в приложении 163 настоящих Правил ,в сечении </w:t>
      </w:r>
      <w:r>
        <w:rPr>
          <w:rFonts w:ascii="Times New Roman"/>
          <w:b w:val="false"/>
          <w:i/>
          <w:color w:val="000000"/>
          <w:sz w:val="28"/>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площадь рассматриваемого поперечного сечения рудерписа (заштрихованную площадь в сечении </w:t>
      </w:r>
      <w:r>
        <w:rPr>
          <w:rFonts w:ascii="Times New Roman"/>
          <w:b w:val="false"/>
          <w:i/>
          <w:color w:val="000000"/>
          <w:sz w:val="28"/>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приложения 163 настоящих Правил),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расстояние между центром тяжести площади </w:t>
      </w:r>
      <w:r>
        <w:rPr>
          <w:rFonts w:ascii="Times New Roman"/>
          <w:b w:val="false"/>
          <w:i/>
          <w:color w:val="000000"/>
          <w:sz w:val="28"/>
        </w:rPr>
        <w:t>S</w:t>
      </w:r>
      <w:r>
        <w:rPr>
          <w:rFonts w:ascii="Times New Roman"/>
          <w:b w:val="false"/>
          <w:i w:val="false"/>
          <w:color w:val="000000"/>
          <w:sz w:val="28"/>
        </w:rPr>
        <w:t xml:space="preserve"> и осью вращения пера руля, см.</w:t>
      </w:r>
      <w:r>
        <w:br/>
      </w:r>
      <w:r>
        <w:rPr>
          <w:rFonts w:ascii="Times New Roman"/>
          <w:b w:val="false"/>
          <w:i w:val="false"/>
          <w:color w:val="000000"/>
          <w:sz w:val="28"/>
        </w:rPr>
        <w:t>
</w:t>
      </w:r>
    </w:p>
    <w:bookmarkStart w:name="z3773" w:id="3784"/>
    <w:p>
      <w:pPr>
        <w:spacing w:after="0"/>
        <w:ind w:left="0"/>
        <w:jc w:val="both"/>
      </w:pPr>
      <w:r>
        <w:rPr>
          <w:rFonts w:ascii="Times New Roman"/>
          <w:b w:val="false"/>
          <w:i w:val="false"/>
          <w:color w:val="000000"/>
          <w:sz w:val="28"/>
        </w:rPr>
        <w:t>
      984. Перо однослойного стального цельнолитого руля подкрепляют ребрами жесткости, отливаемыми с обеих сторон пера руля на уровне каждой петли руля (приложение 163 настоящих Правил).</w:t>
      </w:r>
    </w:p>
    <w:bookmarkEnd w:id="3784"/>
    <w:bookmarkStart w:name="z3774" w:id="3785"/>
    <w:p>
      <w:pPr>
        <w:spacing w:after="0"/>
        <w:ind w:left="0"/>
        <w:jc w:val="both"/>
      </w:pPr>
      <w:r>
        <w:rPr>
          <w:rFonts w:ascii="Times New Roman"/>
          <w:b w:val="false"/>
          <w:i w:val="false"/>
          <w:color w:val="000000"/>
          <w:sz w:val="28"/>
        </w:rPr>
        <w:t xml:space="preserve">
      Момент сопротивления рассматриваемого поперечного сечения ребер жесткости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(включая тело пера руля в пределах размера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в соответствии с сечением </w:t>
      </w:r>
      <w:r>
        <w:rPr>
          <w:rFonts w:ascii="Times New Roman"/>
          <w:b w:val="false"/>
          <w:i/>
          <w:color w:val="000000"/>
          <w:sz w:val="28"/>
        </w:rPr>
        <w:t>II-II</w:t>
      </w:r>
      <w:r>
        <w:rPr>
          <w:rFonts w:ascii="Times New Roman"/>
          <w:b w:val="false"/>
          <w:i w:val="false"/>
          <w:color w:val="000000"/>
          <w:sz w:val="28"/>
        </w:rPr>
        <w:t xml:space="preserve"> в приложении 163 настоящих Правил) относительно оси О</w:t>
      </w:r>
      <w:r>
        <w:rPr>
          <w:rFonts w:ascii="Times New Roman"/>
          <w:b w:val="false"/>
          <w:i w:val="false"/>
          <w:color w:val="000000"/>
          <w:vertAlign w:val="subscript"/>
        </w:rPr>
        <w:t>2</w:t>
      </w:r>
      <w:r>
        <w:rPr>
          <w:rFonts w:ascii="Times New Roman"/>
          <w:b w:val="false"/>
          <w:i w:val="false"/>
          <w:color w:val="000000"/>
          <w:sz w:val="28"/>
        </w:rPr>
        <w:t xml:space="preserve"> — О</w:t>
      </w:r>
      <w:r>
        <w:rPr>
          <w:rFonts w:ascii="Times New Roman"/>
          <w:b w:val="false"/>
          <w:i w:val="false"/>
          <w:color w:val="000000"/>
          <w:vertAlign w:val="subscript"/>
        </w:rPr>
        <w:t>2</w:t>
      </w:r>
      <w:r>
        <w:rPr>
          <w:rFonts w:ascii="Times New Roman"/>
          <w:b w:val="false"/>
          <w:i w:val="false"/>
          <w:color w:val="000000"/>
          <w:sz w:val="28"/>
        </w:rPr>
        <w:t xml:space="preserve"> не менее определенного по формуле:</w:t>
      </w:r>
    </w:p>
    <w:bookmarkEnd w:id="378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1066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10668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F — нагрузка, определяемая согласно указаниям пункта 926 настоящих Правил, кН;</w:t>
      </w:r>
    </w:p>
    <w:p>
      <w:pPr>
        <w:spacing w:after="0"/>
        <w:ind w:left="0"/>
        <w:jc w:val="both"/>
      </w:pPr>
      <w:r>
        <w:rPr>
          <w:rFonts w:ascii="Times New Roman"/>
          <w:b w:val="false"/>
          <w:i w:val="false"/>
          <w:color w:val="000000"/>
          <w:sz w:val="28"/>
        </w:rPr>
        <w:t>
      А — площадь руля,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 линейный размер, м (приложение 163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отстояние рассматриваемого сечения от кормовой кромки руля, м (приложение 163 настоящих Правил);</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руля, МПа.</w:t>
      </w:r>
    </w:p>
    <w:bookmarkStart w:name="z3775" w:id="3786"/>
    <w:p>
      <w:pPr>
        <w:spacing w:after="0"/>
        <w:ind w:left="0"/>
        <w:jc w:val="both"/>
      </w:pPr>
      <w:r>
        <w:rPr>
          <w:rFonts w:ascii="Times New Roman"/>
          <w:b w:val="false"/>
          <w:i w:val="false"/>
          <w:color w:val="000000"/>
          <w:sz w:val="28"/>
        </w:rPr>
        <w:t>
      985. Толщина наружной обшивки s</w:t>
      </w:r>
      <w:r>
        <w:rPr>
          <w:rFonts w:ascii="Times New Roman"/>
          <w:b w:val="false"/>
          <w:i w:val="false"/>
          <w:color w:val="000000"/>
          <w:vertAlign w:val="subscript"/>
        </w:rPr>
        <w:t>H</w:t>
      </w:r>
      <w:r>
        <w:rPr>
          <w:rFonts w:ascii="Times New Roman"/>
          <w:b w:val="false"/>
          <w:i w:val="false"/>
          <w:color w:val="000000"/>
          <w:sz w:val="28"/>
        </w:rPr>
        <w:t>, мм, поворотной насадки не менее определяемой по формуле:</w:t>
      </w:r>
    </w:p>
    <w:bookmarkEnd w:id="3786"/>
    <w:p>
      <w:pPr>
        <w:spacing w:after="0"/>
        <w:ind w:left="0"/>
        <w:jc w:val="both"/>
      </w:pPr>
      <w:r>
        <w:rPr>
          <w:rFonts w:ascii="Times New Roman"/>
          <w:b w:val="false"/>
          <w:i w:val="false"/>
          <w:color w:val="000000"/>
          <w:sz w:val="28"/>
        </w:rPr>
        <w:t>
      s</w:t>
      </w:r>
      <w:r>
        <w:rPr>
          <w:rFonts w:ascii="Times New Roman"/>
          <w:b w:val="false"/>
          <w:i w:val="false"/>
          <w:color w:val="000000"/>
          <w:vertAlign w:val="subscript"/>
        </w:rPr>
        <w:t>H</w:t>
      </w:r>
      <w:r>
        <w:rPr>
          <w:rFonts w:ascii="Times New Roman"/>
          <w:b w:val="false"/>
          <w:i w:val="false"/>
          <w:color w:val="000000"/>
          <w:sz w:val="28"/>
        </w:rPr>
        <w:t xml:space="preserve"> = k</w:t>
      </w:r>
      <w:r>
        <w:rPr>
          <w:rFonts w:ascii="Times New Roman"/>
          <w:b w:val="false"/>
          <w:i w:val="false"/>
          <w:color w:val="000000"/>
          <w:vertAlign w:val="subscript"/>
        </w:rPr>
        <w:t xml:space="preserve">14 </w:t>
      </w:r>
      <w:r>
        <w:rPr>
          <w:rFonts w:ascii="Times New Roman"/>
          <w:b w:val="false"/>
          <w:i/>
          <w:color w:val="000000"/>
          <w:sz w:val="28"/>
        </w:rPr>
        <w:t>l</w:t>
      </w:r>
      <w:r>
        <w:rPr>
          <w:rFonts w:ascii="Times New Roman"/>
          <w:b w:val="false"/>
          <w:i w:val="false"/>
          <w:color w:val="000000"/>
          <w:vertAlign w:val="subscript"/>
        </w:rPr>
        <w:t xml:space="preserve">1 </w:t>
      </w:r>
    </w:p>
    <w:p>
      <w:pPr>
        <w:spacing w:after="0"/>
        <w:ind w:left="0"/>
        <w:jc w:val="both"/>
      </w:pPr>
      <w:r>
        <w:drawing>
          <wp:inline distT="0" distB="0" distL="0" distR="0">
            <wp:extent cx="2222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22225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H</w:t>
      </w:r>
      <w:r>
        <w:rPr>
          <w:rFonts w:ascii="Times New Roman"/>
          <w:b w:val="false"/>
          <w:i w:val="false"/>
          <w:color w:val="000000"/>
          <w:sz w:val="28"/>
        </w:rPr>
        <w:t xml:space="preserve"> -  внутренний диаметр насадки в свету,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xml:space="preserve"> - длина насадки,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осадка судна, 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H</w:t>
      </w:r>
      <w:r>
        <w:rPr>
          <w:rFonts w:ascii="Times New Roman"/>
          <w:b w:val="false"/>
          <w:i w:val="false"/>
          <w:color w:val="000000"/>
          <w:sz w:val="28"/>
        </w:rPr>
        <w:t xml:space="preserve"> - расчетная нагрузка, действующая на корпус насадки согласно пункту 931 настоящих Правил, кН;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наружной обшивки насадки, МПа;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14</w:t>
      </w:r>
      <w:r>
        <w:rPr>
          <w:rFonts w:ascii="Times New Roman"/>
          <w:b w:val="false"/>
          <w:i w:val="false"/>
          <w:color w:val="000000"/>
          <w:sz w:val="28"/>
        </w:rPr>
        <w:t xml:space="preserve"> - коэффициент, определяемый по формуле: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14</w:t>
      </w:r>
      <w:r>
        <w:rPr>
          <w:rFonts w:ascii="Times New Roman"/>
          <w:b w:val="false"/>
          <w:i w:val="false"/>
          <w:color w:val="000000"/>
          <w:sz w:val="28"/>
        </w:rPr>
        <w:t xml:space="preserve"> = 7,885 — 2,221(</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(488)</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val="false"/>
          <w:color w:val="000000"/>
          <w:sz w:val="28"/>
        </w:rPr>
        <w:t xml:space="preserve"> - расстояние между поперечными диафрагмами или от поперечной диафрагмы до середины профиля, ограничивающего входное или выходное отверстие насадки, м. Это расстояние не более 600мм; расстояние между продольными диафрагмами, измеренное по длине наружной обшивки насадки, м. Это расстояние равно не более 1000 мм.</w:t>
      </w:r>
    </w:p>
    <w:bookmarkStart w:name="z3776" w:id="3787"/>
    <w:p>
      <w:pPr>
        <w:spacing w:after="0"/>
        <w:ind w:left="0"/>
        <w:jc w:val="both"/>
      </w:pPr>
      <w:r>
        <w:rPr>
          <w:rFonts w:ascii="Times New Roman"/>
          <w:b w:val="false"/>
          <w:i w:val="false"/>
          <w:color w:val="000000"/>
          <w:sz w:val="28"/>
        </w:rPr>
        <w:t>
      986. Толщина внутренней обшивки s</w:t>
      </w:r>
      <w:r>
        <w:rPr>
          <w:rFonts w:ascii="Times New Roman"/>
          <w:b w:val="false"/>
          <w:i w:val="false"/>
          <w:color w:val="000000"/>
          <w:vertAlign w:val="subscript"/>
        </w:rPr>
        <w:t>B</w:t>
      </w:r>
      <w:r>
        <w:rPr>
          <w:rFonts w:ascii="Times New Roman"/>
          <w:b w:val="false"/>
          <w:i w:val="false"/>
          <w:color w:val="000000"/>
          <w:sz w:val="28"/>
        </w:rPr>
        <w:t>, мм, поворотной насадки, кроме ее среднего пояса, равна не менее:</w:t>
      </w:r>
    </w:p>
    <w:bookmarkEnd w:id="3787"/>
    <w:p>
      <w:pPr>
        <w:spacing w:after="0"/>
        <w:ind w:left="0"/>
        <w:jc w:val="both"/>
      </w:pPr>
      <w:r>
        <w:rPr>
          <w:rFonts w:ascii="Times New Roman"/>
          <w:b w:val="false"/>
          <w:i w:val="false"/>
          <w:color w:val="000000"/>
          <w:sz w:val="28"/>
        </w:rPr>
        <w:t>
      s</w:t>
      </w:r>
      <w:r>
        <w:rPr>
          <w:rFonts w:ascii="Times New Roman"/>
          <w:b w:val="false"/>
          <w:i w:val="false"/>
          <w:color w:val="000000"/>
          <w:vertAlign w:val="subscript"/>
        </w:rPr>
        <w:t>B</w:t>
      </w:r>
      <w:r>
        <w:rPr>
          <w:rFonts w:ascii="Times New Roman"/>
          <w:b w:val="false"/>
          <w:i w:val="false"/>
          <w:color w:val="000000"/>
          <w:sz w:val="28"/>
        </w:rPr>
        <w:t xml:space="preserve"> = 6,39</w:t>
      </w:r>
    </w:p>
    <w:p>
      <w:pPr>
        <w:spacing w:after="0"/>
        <w:ind w:left="0"/>
        <w:jc w:val="both"/>
      </w:pPr>
      <w:r>
        <w:drawing>
          <wp:inline distT="0" distB="0" distL="0" distR="0">
            <wp:extent cx="711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7112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Т</w:t>
      </w:r>
      <w:r>
        <w:rPr>
          <w:rFonts w:ascii="Times New Roman"/>
          <w:b w:val="false"/>
          <w:i w:val="false"/>
          <w:color w:val="000000"/>
          <w:sz w:val="28"/>
        </w:rPr>
        <w:t>— упор винта, кН, при скорости V.</w:t>
      </w:r>
    </w:p>
    <w:bookmarkStart w:name="z3777" w:id="3788"/>
    <w:p>
      <w:pPr>
        <w:spacing w:after="0"/>
        <w:ind w:left="0"/>
        <w:jc w:val="both"/>
      </w:pPr>
      <w:r>
        <w:rPr>
          <w:rFonts w:ascii="Times New Roman"/>
          <w:b w:val="false"/>
          <w:i w:val="false"/>
          <w:color w:val="000000"/>
          <w:sz w:val="28"/>
        </w:rPr>
        <w:t>
      Толщина среднего пояса s</w:t>
      </w:r>
      <w:r>
        <w:rPr>
          <w:rFonts w:ascii="Times New Roman"/>
          <w:b w:val="false"/>
          <w:i w:val="false"/>
          <w:color w:val="000000"/>
          <w:vertAlign w:val="subscript"/>
        </w:rPr>
        <w:t>cp</w:t>
      </w:r>
      <w:r>
        <w:rPr>
          <w:rFonts w:ascii="Times New Roman"/>
          <w:b w:val="false"/>
          <w:i w:val="false"/>
          <w:color w:val="000000"/>
          <w:sz w:val="28"/>
        </w:rPr>
        <w:t>, мм, внутренней обшивки поворотной насадки не менее:</w:t>
      </w:r>
    </w:p>
    <w:bookmarkEnd w:id="3788"/>
    <w:p>
      <w:pPr>
        <w:spacing w:after="0"/>
        <w:ind w:left="0"/>
        <w:jc w:val="both"/>
      </w:pPr>
      <w:r>
        <w:rPr>
          <w:rFonts w:ascii="Times New Roman"/>
          <w:b w:val="false"/>
          <w:i w:val="false"/>
          <w:color w:val="000000"/>
          <w:sz w:val="28"/>
        </w:rPr>
        <w:t>
      s</w:t>
      </w:r>
      <w:r>
        <w:rPr>
          <w:rFonts w:ascii="Times New Roman"/>
          <w:b w:val="false"/>
          <w:i w:val="false"/>
          <w:color w:val="000000"/>
          <w:vertAlign w:val="subscript"/>
        </w:rPr>
        <w:t>cp</w:t>
      </w:r>
      <w:r>
        <w:rPr>
          <w:rFonts w:ascii="Times New Roman"/>
          <w:b w:val="false"/>
          <w:i w:val="false"/>
          <w:color w:val="000000"/>
          <w:sz w:val="28"/>
        </w:rPr>
        <w:t xml:space="preserve"> = 7,34</w:t>
      </w:r>
    </w:p>
    <w:p>
      <w:pPr>
        <w:spacing w:after="0"/>
        <w:ind w:left="0"/>
        <w:jc w:val="both"/>
      </w:pPr>
      <w:r>
        <w:drawing>
          <wp:inline distT="0" distB="0" distL="0" distR="0">
            <wp:extent cx="1866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18669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расстояние между поперечными диафрагмами, расположенными в районе среднего пояса внутренней обшивки, м.</w:t>
      </w:r>
    </w:p>
    <w:bookmarkStart w:name="z3778" w:id="3789"/>
    <w:p>
      <w:pPr>
        <w:spacing w:after="0"/>
        <w:ind w:left="0"/>
        <w:jc w:val="both"/>
      </w:pPr>
      <w:r>
        <w:rPr>
          <w:rFonts w:ascii="Times New Roman"/>
          <w:b w:val="false"/>
          <w:i w:val="false"/>
          <w:color w:val="000000"/>
          <w:sz w:val="28"/>
        </w:rPr>
        <w:t>
      При применении нержавеющей или плакированной стали величину s</w:t>
      </w:r>
      <w:r>
        <w:rPr>
          <w:rFonts w:ascii="Times New Roman"/>
          <w:b w:val="false"/>
          <w:i w:val="false"/>
          <w:color w:val="000000"/>
          <w:vertAlign w:val="subscript"/>
        </w:rPr>
        <w:t>cp</w:t>
      </w:r>
      <w:r>
        <w:rPr>
          <w:rFonts w:ascii="Times New Roman"/>
          <w:b w:val="false"/>
          <w:i w:val="false"/>
          <w:color w:val="000000"/>
          <w:sz w:val="28"/>
        </w:rPr>
        <w:t xml:space="preserve"> </w:t>
      </w:r>
      <w:r>
        <w:rPr>
          <w:rFonts w:ascii="Times New Roman"/>
          <w:b w:val="false"/>
          <w:i/>
          <w:color w:val="000000"/>
          <w:sz w:val="28"/>
        </w:rPr>
        <w:t>допускается</w:t>
      </w:r>
      <w:r>
        <w:rPr>
          <w:rFonts w:ascii="Times New Roman"/>
          <w:b w:val="false"/>
          <w:i w:val="false"/>
          <w:color w:val="000000"/>
          <w:sz w:val="28"/>
        </w:rPr>
        <w:t xml:space="preserve"> уменьшать по согласованию с Регистром судоходства.</w:t>
      </w:r>
    </w:p>
    <w:bookmarkEnd w:id="3789"/>
    <w:bookmarkStart w:name="z3779" w:id="3790"/>
    <w:p>
      <w:pPr>
        <w:spacing w:after="0"/>
        <w:ind w:left="0"/>
        <w:jc w:val="both"/>
      </w:pPr>
      <w:r>
        <w:rPr>
          <w:rFonts w:ascii="Times New Roman"/>
          <w:b w:val="false"/>
          <w:i w:val="false"/>
          <w:color w:val="000000"/>
          <w:sz w:val="28"/>
        </w:rPr>
        <w:t>
      987. Толщина наружной и внутренней обшивки поворотной насадки не должна быть меньше указанной в пункте 976 настоящих Правил.</w:t>
      </w:r>
    </w:p>
    <w:bookmarkEnd w:id="3790"/>
    <w:bookmarkStart w:name="z3780" w:id="3791"/>
    <w:p>
      <w:pPr>
        <w:spacing w:after="0"/>
        <w:ind w:left="0"/>
        <w:jc w:val="both"/>
      </w:pPr>
      <w:r>
        <w:rPr>
          <w:rFonts w:ascii="Times New Roman"/>
          <w:b w:val="false"/>
          <w:i w:val="false"/>
          <w:color w:val="000000"/>
          <w:sz w:val="28"/>
        </w:rPr>
        <w:t>
      988. Средний пояс внутренней обшивки поворотной насадки простирается не менее чем на 0,05 D</w:t>
      </w:r>
      <w:r>
        <w:rPr>
          <w:rFonts w:ascii="Times New Roman"/>
          <w:b w:val="false"/>
          <w:i w:val="false"/>
          <w:color w:val="000000"/>
          <w:vertAlign w:val="subscript"/>
        </w:rPr>
        <w:t>H</w:t>
      </w:r>
      <w:r>
        <w:rPr>
          <w:rFonts w:ascii="Times New Roman"/>
          <w:b w:val="false"/>
          <w:i w:val="false"/>
          <w:color w:val="000000"/>
          <w:sz w:val="28"/>
        </w:rPr>
        <w:t xml:space="preserve"> в нос и не менее чем на 0,1 D</w:t>
      </w:r>
      <w:r>
        <w:rPr>
          <w:rFonts w:ascii="Times New Roman"/>
          <w:b w:val="false"/>
          <w:i w:val="false"/>
          <w:color w:val="000000"/>
          <w:vertAlign w:val="subscript"/>
        </w:rPr>
        <w:t xml:space="preserve">H </w:t>
      </w:r>
      <w:r>
        <w:rPr>
          <w:rFonts w:ascii="Times New Roman"/>
          <w:b w:val="false"/>
          <w:i w:val="false"/>
          <w:color w:val="000000"/>
          <w:sz w:val="28"/>
        </w:rPr>
        <w:t>в корму от концевых кромок лопастей винта. Ширина его, по крайней мере, равняется наибольшей ширине боковой проекции лопасти винта.</w:t>
      </w:r>
    </w:p>
    <w:bookmarkEnd w:id="3791"/>
    <w:bookmarkStart w:name="z3781" w:id="3792"/>
    <w:p>
      <w:pPr>
        <w:spacing w:after="0"/>
        <w:ind w:left="0"/>
        <w:jc w:val="both"/>
      </w:pPr>
      <w:r>
        <w:rPr>
          <w:rFonts w:ascii="Times New Roman"/>
          <w:b w:val="false"/>
          <w:i w:val="false"/>
          <w:color w:val="000000"/>
          <w:sz w:val="28"/>
        </w:rPr>
        <w:t>
      989. Наружная и внутренняя обшивки насадки подкрепляют изнутри поперечными и продольными диафрагмами. Расстояние между диафрагмами соответствуют требованиям пункта 985 настоящих Правил. Следует предусматривать не менее четырех продольных диафрагм, которые равномерно распределены по окружности насадки.</w:t>
      </w:r>
    </w:p>
    <w:bookmarkEnd w:id="3792"/>
    <w:bookmarkStart w:name="z3782" w:id="3793"/>
    <w:p>
      <w:pPr>
        <w:spacing w:after="0"/>
        <w:ind w:left="0"/>
        <w:jc w:val="both"/>
      </w:pPr>
      <w:r>
        <w:rPr>
          <w:rFonts w:ascii="Times New Roman"/>
          <w:b w:val="false"/>
          <w:i w:val="false"/>
          <w:color w:val="000000"/>
          <w:sz w:val="28"/>
        </w:rPr>
        <w:t>
      Толщина диафрагм, за исключением расположенных в районе среднего пояса внутренней обшивки насадки, не менее толщины наружной обшивки согласно пунктов 954 и 956 настоящих Правил.</w:t>
      </w:r>
    </w:p>
    <w:bookmarkEnd w:id="3793"/>
    <w:bookmarkStart w:name="z3783" w:id="3794"/>
    <w:p>
      <w:pPr>
        <w:spacing w:after="0"/>
        <w:ind w:left="0"/>
        <w:jc w:val="both"/>
      </w:pPr>
      <w:r>
        <w:rPr>
          <w:rFonts w:ascii="Times New Roman"/>
          <w:b w:val="false"/>
          <w:i w:val="false"/>
          <w:color w:val="000000"/>
          <w:sz w:val="28"/>
        </w:rPr>
        <w:t>
      Поперечные и продольные диафрагмы привариваются двусторонними непрерывными швами с полным проваром к внутренней обшивке насадки со стороны внутренней полости насадки. При толщине диафрагм 10мм и более следует предусматривать разделку кромок под сварку.</w:t>
      </w:r>
    </w:p>
    <w:bookmarkEnd w:id="3794"/>
    <w:bookmarkStart w:name="z3784" w:id="3795"/>
    <w:p>
      <w:pPr>
        <w:spacing w:after="0"/>
        <w:ind w:left="0"/>
        <w:jc w:val="both"/>
      </w:pPr>
      <w:r>
        <w:rPr>
          <w:rFonts w:ascii="Times New Roman"/>
          <w:b w:val="false"/>
          <w:i w:val="false"/>
          <w:color w:val="000000"/>
          <w:sz w:val="28"/>
        </w:rPr>
        <w:t>
      Наружная обшивка соединяется с диафрагмами пробочным швом с удлиненными прорезями или сваркой на остающейся подкладке. Размеры элементов пробочного шва с удлиненными прорезями выбираются в соответствии с пунктом 304 настоящих Правил.</w:t>
      </w:r>
    </w:p>
    <w:bookmarkEnd w:id="3795"/>
    <w:bookmarkStart w:name="z3785" w:id="3796"/>
    <w:p>
      <w:pPr>
        <w:spacing w:after="0"/>
        <w:ind w:left="0"/>
        <w:jc w:val="both"/>
      </w:pPr>
      <w:r>
        <w:rPr>
          <w:rFonts w:ascii="Times New Roman"/>
          <w:b w:val="false"/>
          <w:i w:val="false"/>
          <w:color w:val="000000"/>
          <w:sz w:val="28"/>
        </w:rPr>
        <w:t>
      В поперечных и продольных диафрагмах необходимо достаточное количество вырезов для беспрепятственного стока воды, попавшей в полость насадки, а в нижней и верхней частях наружной обшивки устривают спускные пробки из нержавеющего металла. Расстояние от кромки вырезов до внутренней и наружной обшивки насадки не менее 0,25 высоты диафрагм.</w:t>
      </w:r>
    </w:p>
    <w:bookmarkEnd w:id="3796"/>
    <w:bookmarkStart w:name="z3786" w:id="3797"/>
    <w:p>
      <w:pPr>
        <w:spacing w:after="0"/>
        <w:ind w:left="0"/>
        <w:jc w:val="both"/>
      </w:pPr>
      <w:r>
        <w:rPr>
          <w:rFonts w:ascii="Times New Roman"/>
          <w:b w:val="false"/>
          <w:i w:val="false"/>
          <w:color w:val="000000"/>
          <w:sz w:val="28"/>
        </w:rPr>
        <w:t>
      Не допускается приварка накладных листов на внутренней обшивке насадки.</w:t>
      </w:r>
    </w:p>
    <w:bookmarkEnd w:id="3797"/>
    <w:bookmarkStart w:name="z3787" w:id="3798"/>
    <w:p>
      <w:pPr>
        <w:spacing w:after="0"/>
        <w:ind w:left="0"/>
        <w:jc w:val="both"/>
      </w:pPr>
      <w:r>
        <w:rPr>
          <w:rFonts w:ascii="Times New Roman"/>
          <w:b w:val="false"/>
          <w:i w:val="false"/>
          <w:color w:val="000000"/>
          <w:sz w:val="28"/>
        </w:rPr>
        <w:t>
      990. В районе среднего пояса внутренне обшивки насадки устанавливают, по крайней мере, две непрерывные поперечные диафрагмы. Толщина этих диафрагм не менее толщины внутренней обшивки вне ее среднего пояса согласно формуле (489) настоящих Правил.</w:t>
      </w:r>
    </w:p>
    <w:bookmarkEnd w:id="3798"/>
    <w:bookmarkStart w:name="z3788" w:id="3799"/>
    <w:p>
      <w:pPr>
        <w:spacing w:after="0"/>
        <w:ind w:left="0"/>
        <w:jc w:val="both"/>
      </w:pPr>
      <w:r>
        <w:rPr>
          <w:rFonts w:ascii="Times New Roman"/>
          <w:b w:val="false"/>
          <w:i w:val="false"/>
          <w:color w:val="000000"/>
          <w:sz w:val="28"/>
        </w:rPr>
        <w:t>
      991. Особое внимание обращают на прочность крепления к поворотной насадке фланца, вварной втулки и других вварных деталей для соединения насадки с баллером и штырем.</w:t>
      </w:r>
    </w:p>
    <w:bookmarkEnd w:id="3799"/>
    <w:bookmarkStart w:name="z3789" w:id="3800"/>
    <w:p>
      <w:pPr>
        <w:spacing w:after="0"/>
        <w:ind w:left="0"/>
        <w:jc w:val="both"/>
      </w:pPr>
      <w:r>
        <w:rPr>
          <w:rFonts w:ascii="Times New Roman"/>
          <w:b w:val="false"/>
          <w:i w:val="false"/>
          <w:color w:val="000000"/>
          <w:sz w:val="28"/>
        </w:rPr>
        <w:t>
      992. Толщина обшивки стабилизатора sCT, мм, не менее определяемой по формуле:</w:t>
      </w:r>
    </w:p>
    <w:bookmarkEnd w:id="380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CT</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14</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p>
    <w:p>
      <w:pPr>
        <w:spacing w:after="0"/>
        <w:ind w:left="0"/>
        <w:jc w:val="both"/>
      </w:pPr>
      <w:r>
        <w:drawing>
          <wp:inline distT="0" distB="0" distL="0" distR="0">
            <wp:extent cx="201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20193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cT</w:t>
      </w:r>
      <w:r>
        <w:rPr>
          <w:rFonts w:ascii="Times New Roman"/>
          <w:b w:val="false"/>
          <w:i w:val="false"/>
          <w:color w:val="000000"/>
          <w:sz w:val="28"/>
        </w:rPr>
        <w:t xml:space="preserve"> — площадь стабилизатора насадки, 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CT</w:t>
      </w:r>
      <w:r>
        <w:rPr>
          <w:rFonts w:ascii="Times New Roman"/>
          <w:b w:val="false"/>
          <w:i w:val="false"/>
          <w:color w:val="000000"/>
          <w:sz w:val="28"/>
        </w:rPr>
        <w:t xml:space="preserve"> — расчетная нагрузка, действующая на стабилизатор, согласно формуле (423) настоящих Правил, кН;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14</w:t>
      </w:r>
      <w:r>
        <w:rPr>
          <w:rFonts w:ascii="Times New Roman"/>
          <w:b w:val="false"/>
          <w:i w:val="false"/>
          <w:color w:val="000000"/>
          <w:sz w:val="28"/>
        </w:rPr>
        <w:t xml:space="preserve"> —коэффициент согласно пункту 985 настоящих Правил,</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val="false"/>
          <w:color w:val="000000"/>
          <w:sz w:val="28"/>
        </w:rPr>
        <w:t xml:space="preserve"> — расстояние между горизонтальными ребрами,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—расстояние между вертикальными диафрагмами или между диафрагмой и передней или задней кромкой стабилизатора,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обшивки стабилизатора, МПа.</w:t>
      </w:r>
    </w:p>
    <w:bookmarkStart w:name="z3790" w:id="3801"/>
    <w:p>
      <w:pPr>
        <w:spacing w:after="0"/>
        <w:ind w:left="0"/>
        <w:jc w:val="both"/>
      </w:pPr>
      <w:r>
        <w:rPr>
          <w:rFonts w:ascii="Times New Roman"/>
          <w:b w:val="false"/>
          <w:i w:val="false"/>
          <w:color w:val="000000"/>
          <w:sz w:val="28"/>
        </w:rPr>
        <w:t>
      993. Обшивка стабилизатора насадки подкрепляется изнутри горизонтальными ребрами и вертикальными диафрагмами, толщина которых не менее толщины обшивки согласно пункту 992 настоящих Правил.</w:t>
      </w:r>
    </w:p>
    <w:bookmarkEnd w:id="3801"/>
    <w:bookmarkStart w:name="z3791" w:id="3802"/>
    <w:p>
      <w:pPr>
        <w:spacing w:after="0"/>
        <w:ind w:left="0"/>
        <w:jc w:val="both"/>
      </w:pPr>
      <w:r>
        <w:rPr>
          <w:rFonts w:ascii="Times New Roman"/>
          <w:b w:val="false"/>
          <w:i w:val="false"/>
          <w:color w:val="000000"/>
          <w:sz w:val="28"/>
        </w:rPr>
        <w:t>
      Корпус стабилизатора заканчивается вверху и внизу торцевыми листами. Толщина торцевых листов не менее 1,5 толщины обшивки согласно пункту 961 настоящих Правил. Вертикальные диафрагмы прочно соединяют с торцевыми листами.</w:t>
      </w:r>
    </w:p>
    <w:bookmarkEnd w:id="3802"/>
    <w:bookmarkStart w:name="z3792" w:id="3803"/>
    <w:p>
      <w:pPr>
        <w:spacing w:after="0"/>
        <w:ind w:left="0"/>
        <w:jc w:val="both"/>
      </w:pPr>
      <w:r>
        <w:rPr>
          <w:rFonts w:ascii="Times New Roman"/>
          <w:b w:val="false"/>
          <w:i w:val="false"/>
          <w:color w:val="000000"/>
          <w:sz w:val="28"/>
        </w:rPr>
        <w:t>
      Обшивка, ребра и диафрагмы соединяют между собой сваркой угловым или пробочным швом. Исполнение пробочного шва с удлиненными прорезями принимается в соответствии с пунктом 304 настоящих Правил.</w:t>
      </w:r>
    </w:p>
    <w:bookmarkEnd w:id="3803"/>
    <w:bookmarkStart w:name="z3793" w:id="3804"/>
    <w:p>
      <w:pPr>
        <w:spacing w:after="0"/>
        <w:ind w:left="0"/>
        <w:jc w:val="both"/>
      </w:pPr>
      <w:r>
        <w:rPr>
          <w:rFonts w:ascii="Times New Roman"/>
          <w:b w:val="false"/>
          <w:i w:val="false"/>
          <w:color w:val="000000"/>
          <w:sz w:val="28"/>
        </w:rPr>
        <w:t>
      В горизонтальных ребрах и вертикальных диафрагмах необходимо достаточное количество вырезов, а в торцевых листах предусматривают спускные пробки из нержавеющего материала.</w:t>
      </w:r>
    </w:p>
    <w:bookmarkEnd w:id="3804"/>
    <w:bookmarkStart w:name="z3794" w:id="3805"/>
    <w:p>
      <w:pPr>
        <w:spacing w:after="0"/>
        <w:ind w:left="0"/>
        <w:jc w:val="both"/>
      </w:pPr>
      <w:r>
        <w:rPr>
          <w:rFonts w:ascii="Times New Roman"/>
          <w:b w:val="false"/>
          <w:i w:val="false"/>
          <w:color w:val="000000"/>
          <w:sz w:val="28"/>
        </w:rPr>
        <w:t xml:space="preserve">
      994. В районе крепления стабилизатора с насадкой имеется одна или несколько вертикальных диафрагм, обеспечивающих общую прочность стабилизатора. Момент сопротивления </w:t>
      </w:r>
      <w:r>
        <w:rPr>
          <w:rFonts w:ascii="Times New Roman"/>
          <w:b w:val="false"/>
          <w:i/>
          <w:color w:val="000000"/>
          <w:sz w:val="28"/>
        </w:rPr>
        <w:t>W</w:t>
      </w:r>
      <w:r>
        <w:rPr>
          <w:rFonts w:ascii="Times New Roman"/>
          <w:b w:val="false"/>
          <w:i w:val="false"/>
          <w:color w:val="000000"/>
          <w:vertAlign w:val="subscript"/>
        </w:rPr>
        <w:t>CT</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этих диафрагм, включая ширину присоединенного пояска, не менее определяемого по формуле:</w:t>
      </w:r>
    </w:p>
    <w:bookmarkEnd w:id="380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CT</w:t>
      </w:r>
      <w:r>
        <w:rPr>
          <w:rFonts w:ascii="Times New Roman"/>
          <w:b w:val="false"/>
          <w:i w:val="false"/>
          <w:color w:val="000000"/>
          <w:sz w:val="28"/>
        </w:rPr>
        <w:t>= 1390 F</w:t>
      </w:r>
      <w:r>
        <w:rPr>
          <w:rFonts w:ascii="Times New Roman"/>
          <w:b w:val="false"/>
          <w:i w:val="false"/>
          <w:color w:val="000000"/>
          <w:vertAlign w:val="subscript"/>
        </w:rPr>
        <w:t>CT</w:t>
      </w:r>
      <w:r>
        <w:rPr>
          <w:rFonts w:ascii="Times New Roman"/>
          <w:b w:val="false"/>
          <w:i w:val="false"/>
          <w:color w:val="000000"/>
          <w:sz w:val="28"/>
        </w:rPr>
        <w:t xml:space="preserve"> h</w:t>
      </w:r>
      <w:r>
        <w:rPr>
          <w:rFonts w:ascii="Times New Roman"/>
          <w:b w:val="false"/>
          <w:i w:val="false"/>
          <w:color w:val="000000"/>
          <w:vertAlign w:val="subscript"/>
        </w:rPr>
        <w:t>CT</w:t>
      </w:r>
      <w:r>
        <w:rPr>
          <w:rFonts w:ascii="Times New Roman"/>
          <w:b w:val="false"/>
          <w:i w:val="false"/>
          <w:color w:val="000000"/>
          <w:sz w:val="28"/>
        </w:rPr>
        <w:t xml:space="preserve"> /R</w:t>
      </w:r>
      <w:r>
        <w:rPr>
          <w:rFonts w:ascii="Times New Roman"/>
          <w:b w:val="false"/>
          <w:i w:val="false"/>
          <w:color w:val="000000"/>
          <w:vertAlign w:val="subscript"/>
        </w:rPr>
        <w:t>eH</w:t>
      </w:r>
      <w:r>
        <w:rPr>
          <w:rFonts w:ascii="Times New Roman"/>
          <w:b w:val="false"/>
          <w:i w:val="false"/>
          <w:color w:val="000000"/>
          <w:sz w:val="28"/>
        </w:rPr>
        <w:t>,                   (492)</w:t>
      </w:r>
    </w:p>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CT</w:t>
      </w:r>
      <w:r>
        <w:rPr>
          <w:rFonts w:ascii="Times New Roman"/>
          <w:b w:val="false"/>
          <w:i w:val="false"/>
          <w:color w:val="000000"/>
          <w:sz w:val="28"/>
        </w:rPr>
        <w:t xml:space="preserve"> — расчетная нагрузка, действующая на стабилизатор, согласно формуле (423) настоящих Правил, кН;</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CT</w:t>
      </w:r>
      <w:r>
        <w:rPr>
          <w:rFonts w:ascii="Times New Roman"/>
          <w:b w:val="false"/>
          <w:i w:val="false"/>
          <w:color w:val="000000"/>
          <w:sz w:val="28"/>
        </w:rPr>
        <w:t xml:space="preserve"> — высота стабилизатора,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верхний предел текучести используемого материала, МПа.</w:t>
      </w:r>
    </w:p>
    <w:p>
      <w:pPr>
        <w:spacing w:after="0"/>
        <w:ind w:left="0"/>
        <w:jc w:val="both"/>
      </w:pPr>
      <w:r>
        <w:rPr>
          <w:rFonts w:ascii="Times New Roman"/>
          <w:b w:val="false"/>
          <w:i w:val="false"/>
          <w:color w:val="000000"/>
          <w:sz w:val="28"/>
        </w:rPr>
        <w:t>
      Размеры присоединенного пояска принимаются равными: толщина — толщине обшивки стабилизатора; ширина — 1/5 высоты стабилизатора.</w:t>
      </w:r>
    </w:p>
    <w:bookmarkStart w:name="z3795" w:id="3806"/>
    <w:p>
      <w:pPr>
        <w:spacing w:after="0"/>
        <w:ind w:left="0"/>
        <w:jc w:val="both"/>
      </w:pPr>
      <w:r>
        <w:rPr>
          <w:rFonts w:ascii="Times New Roman"/>
          <w:b w:val="false"/>
          <w:i w:val="false"/>
          <w:color w:val="000000"/>
          <w:sz w:val="28"/>
        </w:rPr>
        <w:t>
      995. Соединение насадки со стабилизатором выполняют таким образом, чтобы было обеспечено жесткое закрепление последнего.</w:t>
      </w:r>
    </w:p>
    <w:bookmarkEnd w:id="3806"/>
    <w:bookmarkStart w:name="z3796" w:id="3807"/>
    <w:p>
      <w:pPr>
        <w:spacing w:after="0"/>
        <w:ind w:left="0"/>
        <w:jc w:val="both"/>
      </w:pPr>
      <w:r>
        <w:rPr>
          <w:rFonts w:ascii="Times New Roman"/>
          <w:b w:val="false"/>
          <w:i w:val="false"/>
          <w:color w:val="000000"/>
          <w:sz w:val="28"/>
        </w:rPr>
        <w:t xml:space="preserve">
      В качестве расчетной нагрузки, действующей на стабилизатор, в расчетах прочности принимается равномерно распределенная по высоте стабилизатора нагрузка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val="false"/>
          <w:color w:val="000000"/>
          <w:sz w:val="28"/>
        </w:rPr>
        <w:t>, определяемая по формуле (423) настоящих Правил. В зависимости от типа соединения учитывается крутящий момент, действующий на соединение, от нагрузки F</w:t>
      </w:r>
      <w:r>
        <w:rPr>
          <w:rFonts w:ascii="Times New Roman"/>
          <w:b w:val="false"/>
          <w:i w:val="false"/>
          <w:color w:val="000000"/>
          <w:vertAlign w:val="subscript"/>
        </w:rPr>
        <w:t>CT</w:t>
      </w:r>
      <w:r>
        <w:rPr>
          <w:rFonts w:ascii="Times New Roman"/>
          <w:b w:val="false"/>
          <w:i w:val="false"/>
          <w:color w:val="000000"/>
          <w:sz w:val="28"/>
        </w:rPr>
        <w:t xml:space="preserve"> с учетом точки приложения этой нагрузки — формула (434) настоящих Правил. При этом возникающие в соединении напряжения (пункт 902 настоящих Правил) не превышают 0,4 верхнего предела текучести материала.</w:t>
      </w:r>
    </w:p>
    <w:bookmarkEnd w:id="3807"/>
    <w:bookmarkStart w:name="z3797" w:id="3808"/>
    <w:p>
      <w:pPr>
        <w:spacing w:after="0"/>
        <w:ind w:left="0"/>
        <w:jc w:val="left"/>
      </w:pPr>
      <w:r>
        <w:rPr>
          <w:rFonts w:ascii="Times New Roman"/>
          <w:b/>
          <w:i w:val="false"/>
          <w:color w:val="000000"/>
        </w:rPr>
        <w:t xml:space="preserve"> Глава 50. Соединение баллера с пером руля или поворотной насадкой(соединение болтовое с горизонтальными фланцами, соединение коническое со шпонкой и бесшпоночное)</w:t>
      </w:r>
    </w:p>
    <w:bookmarkEnd w:id="3808"/>
    <w:p>
      <w:pPr>
        <w:spacing w:after="0"/>
        <w:ind w:left="0"/>
        <w:jc w:val="both"/>
      </w:pPr>
      <w:r>
        <w:rPr>
          <w:rFonts w:ascii="Times New Roman"/>
          <w:b w:val="false"/>
          <w:i w:val="false"/>
          <w:color w:val="ff0000"/>
          <w:sz w:val="28"/>
        </w:rPr>
        <w:t xml:space="preserve">
      Сноска. Заголовок главы 50 -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98" w:id="3809"/>
    <w:p>
      <w:pPr>
        <w:spacing w:after="0"/>
        <w:ind w:left="0"/>
        <w:jc w:val="both"/>
      </w:pPr>
      <w:r>
        <w:rPr>
          <w:rFonts w:ascii="Times New Roman"/>
          <w:b w:val="false"/>
          <w:i w:val="false"/>
          <w:color w:val="000000"/>
          <w:sz w:val="28"/>
        </w:rPr>
        <w:t>
      996. Диаметр соединительных болтов d</w:t>
      </w:r>
      <w:r>
        <w:rPr>
          <w:rFonts w:ascii="Times New Roman"/>
          <w:b w:val="false"/>
          <w:i w:val="false"/>
          <w:color w:val="000000"/>
          <w:vertAlign w:val="subscript"/>
        </w:rPr>
        <w:t>1</w:t>
      </w:r>
      <w:r>
        <w:rPr>
          <w:rFonts w:ascii="Times New Roman"/>
          <w:b w:val="false"/>
          <w:i w:val="false"/>
          <w:color w:val="000000"/>
          <w:sz w:val="28"/>
        </w:rPr>
        <w:t>, см, не менее:</w:t>
      </w:r>
    </w:p>
    <w:bookmarkEnd w:id="3809"/>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0,62</w:t>
      </w:r>
    </w:p>
    <w:p>
      <w:pPr>
        <w:spacing w:after="0"/>
        <w:ind w:left="0"/>
        <w:jc w:val="both"/>
      </w:pPr>
      <w:r>
        <w:drawing>
          <wp:inline distT="0" distB="0" distL="0" distR="0">
            <wp:extent cx="1041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1041400" cy="81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2</w:t>
      </w:r>
      <w:r>
        <w:rPr>
          <w:rFonts w:ascii="Times New Roman"/>
          <w:b w:val="false"/>
          <w:i w:val="false"/>
          <w:color w:val="000000"/>
          <w:sz w:val="28"/>
        </w:rPr>
        <w:t xml:space="preserve"> — диаметр баллера у соединительного фланца, см;</w:t>
      </w:r>
    </w:p>
    <w:p>
      <w:pPr>
        <w:spacing w:after="0"/>
        <w:ind w:left="0"/>
        <w:jc w:val="both"/>
      </w:pPr>
      <w:r>
        <w:rPr>
          <w:rFonts w:ascii="Times New Roman"/>
          <w:b w:val="false"/>
          <w:i w:val="false"/>
          <w:color w:val="000000"/>
          <w:sz w:val="28"/>
        </w:rPr>
        <w:t>
      z, — число соединительных болтов;</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среднее расстояние от центров болтов до центра системы отверстий фланца, см;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eH1</w:t>
      </w:r>
      <w:r>
        <w:rPr>
          <w:rFonts w:ascii="Times New Roman"/>
          <w:b w:val="false"/>
          <w:i w:val="false"/>
          <w:color w:val="000000"/>
          <w:sz w:val="28"/>
        </w:rPr>
        <w:t xml:space="preserve"> — верхний предел текучести материала баллера, МПа;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eH2</w:t>
      </w:r>
      <w:r>
        <w:rPr>
          <w:rFonts w:ascii="Times New Roman"/>
          <w:b w:val="false"/>
          <w:i w:val="false"/>
          <w:color w:val="000000"/>
          <w:sz w:val="28"/>
        </w:rPr>
        <w:t xml:space="preserve"> — верхний предел текучести материала болтов, МПа.</w:t>
      </w:r>
    </w:p>
    <w:bookmarkStart w:name="z3799" w:id="3810"/>
    <w:p>
      <w:pPr>
        <w:spacing w:after="0"/>
        <w:ind w:left="0"/>
        <w:jc w:val="both"/>
      </w:pPr>
      <w:r>
        <w:rPr>
          <w:rFonts w:ascii="Times New Roman"/>
          <w:b w:val="false"/>
          <w:i w:val="false"/>
          <w:color w:val="000000"/>
          <w:sz w:val="28"/>
        </w:rPr>
        <w:t>
      Диаметр соединительного болта в его резьбовой части d</w:t>
      </w:r>
      <w:r>
        <w:rPr>
          <w:rFonts w:ascii="Times New Roman"/>
          <w:b w:val="false"/>
          <w:i w:val="false"/>
          <w:color w:val="000000"/>
          <w:vertAlign w:val="subscript"/>
        </w:rPr>
        <w:t>3</w:t>
      </w:r>
      <w:r>
        <w:rPr>
          <w:rFonts w:ascii="Times New Roman"/>
          <w:b w:val="false"/>
          <w:i w:val="false"/>
          <w:color w:val="000000"/>
          <w:sz w:val="28"/>
        </w:rPr>
        <w:t>, см, не менее определенного по формуле:</w:t>
      </w:r>
    </w:p>
    <w:bookmarkEnd w:id="3810"/>
    <w:p>
      <w:pPr>
        <w:spacing w:after="0"/>
        <w:ind w:left="0"/>
        <w:jc w:val="both"/>
      </w:pPr>
      <w:r>
        <w:rPr>
          <w:rFonts w:ascii="Times New Roman"/>
          <w:b w:val="false"/>
          <w:i w:val="false"/>
          <w:color w:val="000000"/>
          <w:sz w:val="28"/>
        </w:rPr>
        <w:t>
      d</w:t>
      </w:r>
      <w:r>
        <w:rPr>
          <w:rFonts w:ascii="Times New Roman"/>
          <w:b w:val="false"/>
          <w:i w:val="false"/>
          <w:color w:val="000000"/>
          <w:vertAlign w:val="subscript"/>
        </w:rPr>
        <w:t>3</w:t>
      </w:r>
      <w:r>
        <w:rPr>
          <w:rFonts w:ascii="Times New Roman"/>
          <w:b w:val="false"/>
          <w:i w:val="false"/>
          <w:color w:val="000000"/>
          <w:sz w:val="28"/>
        </w:rPr>
        <w:t xml:space="preserve"> = 76,84 </w:t>
      </w:r>
    </w:p>
    <w:p>
      <w:pPr>
        <w:spacing w:after="0"/>
        <w:ind w:left="0"/>
        <w:jc w:val="both"/>
      </w:pPr>
      <w:r>
        <w:drawing>
          <wp:inline distT="0" distB="0" distL="0" distR="0">
            <wp:extent cx="1016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10160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u</w:t>
      </w:r>
      <w:r>
        <w:rPr>
          <w:rFonts w:ascii="Times New Roman"/>
          <w:b w:val="false"/>
          <w:i w:val="false"/>
          <w:color w:val="000000"/>
          <w:sz w:val="28"/>
        </w:rPr>
        <w:t xml:space="preserve"> – расчетный изгибающий момент, действующий в сечении баллера у фланца (М</w:t>
      </w:r>
      <w:r>
        <w:rPr>
          <w:rFonts w:ascii="Times New Roman"/>
          <w:b w:val="false"/>
          <w:i w:val="false"/>
          <w:color w:val="000000"/>
          <w:vertAlign w:val="subscript"/>
        </w:rPr>
        <w:t>2</w:t>
      </w:r>
      <w:r>
        <w:rPr>
          <w:rFonts w:ascii="Times New Roman"/>
          <w:b w:val="false"/>
          <w:i w:val="false"/>
          <w:color w:val="000000"/>
          <w:sz w:val="28"/>
        </w:rPr>
        <w:t xml:space="preserve"> или М</w:t>
      </w:r>
      <w:r>
        <w:rPr>
          <w:rFonts w:ascii="Times New Roman"/>
          <w:b w:val="false"/>
          <w:i w:val="false"/>
          <w:color w:val="000000"/>
          <w:vertAlign w:val="subscript"/>
        </w:rPr>
        <w:t>3</w:t>
      </w:r>
      <w:r>
        <w:rPr>
          <w:rFonts w:ascii="Times New Roman"/>
          <w:b w:val="false"/>
          <w:i w:val="false"/>
          <w:color w:val="000000"/>
          <w:sz w:val="28"/>
        </w:rPr>
        <w:t>), определяемый согласно указаниям параграфов 6-6 главы 58 настоящих Правил для соответствующего типа рулевого устройства, кН·м;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3</w:t>
      </w:r>
      <w:r>
        <w:rPr>
          <w:rFonts w:ascii="Times New Roman"/>
          <w:b w:val="false"/>
          <w:i w:val="false"/>
          <w:color w:val="000000"/>
          <w:sz w:val="28"/>
        </w:rPr>
        <w:t xml:space="preserve"> — среднее расстояние от центров болтов до продольной оси симметрии фланца, см.</w:t>
      </w:r>
    </w:p>
    <w:p>
      <w:pPr>
        <w:spacing w:after="0"/>
        <w:ind w:left="0"/>
        <w:jc w:val="both"/>
      </w:pPr>
      <w:r>
        <w:rPr>
          <w:rFonts w:ascii="Times New Roman"/>
          <w:b w:val="false"/>
          <w:i w:val="false"/>
          <w:color w:val="000000"/>
          <w:sz w:val="28"/>
        </w:rPr>
        <w:t>
      Число болтов z</w:t>
      </w:r>
      <w:r>
        <w:rPr>
          <w:rFonts w:ascii="Times New Roman"/>
          <w:b w:val="false"/>
          <w:i w:val="false"/>
          <w:color w:val="000000"/>
          <w:vertAlign w:val="subscript"/>
        </w:rPr>
        <w:t>1</w:t>
      </w:r>
      <w:r>
        <w:rPr>
          <w:rFonts w:ascii="Times New Roman"/>
          <w:b w:val="false"/>
          <w:i w:val="false"/>
          <w:color w:val="000000"/>
          <w:sz w:val="28"/>
        </w:rPr>
        <w:t xml:space="preserve"> равна не менее 6.</w:t>
      </w:r>
    </w:p>
    <w:bookmarkStart w:name="z3800" w:id="3811"/>
    <w:p>
      <w:pPr>
        <w:spacing w:after="0"/>
        <w:ind w:left="0"/>
        <w:jc w:val="both"/>
      </w:pPr>
      <w:r>
        <w:rPr>
          <w:rFonts w:ascii="Times New Roman"/>
          <w:b w:val="false"/>
          <w:i w:val="false"/>
          <w:color w:val="000000"/>
          <w:sz w:val="28"/>
        </w:rPr>
        <w:t>
      Среднее расстояние от центров болтов до центра системы отверстий фланца не менее 0,9 диаметра баллера согласно пункту 972 настоящих Правил. Если соединение подвержено действию изгибающего момента, то среднее расстояние от центров болтов до продольной оси симметрии фланца не меньше 0,6 диаметра баллера у фланца.</w:t>
      </w:r>
    </w:p>
    <w:bookmarkEnd w:id="3811"/>
    <w:bookmarkStart w:name="z3801" w:id="3812"/>
    <w:p>
      <w:pPr>
        <w:spacing w:after="0"/>
        <w:ind w:left="0"/>
        <w:jc w:val="both"/>
      </w:pPr>
      <w:r>
        <w:rPr>
          <w:rFonts w:ascii="Times New Roman"/>
          <w:b w:val="false"/>
          <w:i w:val="false"/>
          <w:color w:val="000000"/>
          <w:sz w:val="28"/>
        </w:rPr>
        <w:t>
      997. Необходимо чтобы все болты были призонными, за исключением случаев постановки шпонки, когда достаточно иметь только два призонных болта. Гайки имеет нормальные размеры. Болты и гайки надежно застопаривают.</w:t>
      </w:r>
    </w:p>
    <w:bookmarkEnd w:id="3812"/>
    <w:bookmarkStart w:name="z3802" w:id="3813"/>
    <w:p>
      <w:pPr>
        <w:spacing w:after="0"/>
        <w:ind w:left="0"/>
        <w:jc w:val="both"/>
      </w:pPr>
      <w:r>
        <w:rPr>
          <w:rFonts w:ascii="Times New Roman"/>
          <w:b w:val="false"/>
          <w:i w:val="false"/>
          <w:color w:val="000000"/>
          <w:sz w:val="28"/>
        </w:rPr>
        <w:t>
      998. Толщина фланцев не менее диаметра болтов. Центры отверстий для болтов отстоят от наружных кромок фланца не менее чем на 1,15 диаметра болтов.</w:t>
      </w:r>
    </w:p>
    <w:bookmarkEnd w:id="3813"/>
    <w:bookmarkStart w:name="z3803" w:id="3814"/>
    <w:p>
      <w:pPr>
        <w:spacing w:after="0"/>
        <w:ind w:left="0"/>
        <w:jc w:val="both"/>
      </w:pPr>
      <w:r>
        <w:rPr>
          <w:rFonts w:ascii="Times New Roman"/>
          <w:b w:val="false"/>
          <w:i w:val="false"/>
          <w:color w:val="000000"/>
          <w:sz w:val="28"/>
        </w:rPr>
        <w:t>
      999. Если соединительные фланцы поворотных насадок встроены не прямо в корпус насадки, а соединены листовой конструкцией с ней, то прочность этой конструкции соответствует прочности баллера согласно пункту 973 настоящих Правил. При этом рассчитанное приведенное напряжение не превышает 0,4 верхнего предела текучести применяемого материала.</w:t>
      </w:r>
    </w:p>
    <w:bookmarkEnd w:id="3814"/>
    <w:bookmarkStart w:name="z3804" w:id="3815"/>
    <w:p>
      <w:pPr>
        <w:spacing w:after="0"/>
        <w:ind w:left="0"/>
        <w:jc w:val="both"/>
      </w:pPr>
      <w:r>
        <w:rPr>
          <w:rFonts w:ascii="Times New Roman"/>
          <w:b w:val="false"/>
          <w:i w:val="false"/>
          <w:color w:val="000000"/>
          <w:sz w:val="28"/>
        </w:rPr>
        <w:t>
      1000. Длина конической части баллера, которой он закрепляется в пере руля или поворотной насадке, не менее 1,5 диаметра баллера согласно пункту 973 настоящих Правил, причем конусность по диаметру не более 1:10. Коническая часть баллера переходит в цилиндрическую без уступа.</w:t>
      </w:r>
    </w:p>
    <w:bookmarkEnd w:id="3815"/>
    <w:bookmarkStart w:name="z3805" w:id="3816"/>
    <w:p>
      <w:pPr>
        <w:spacing w:after="0"/>
        <w:ind w:left="0"/>
        <w:jc w:val="both"/>
      </w:pPr>
      <w:r>
        <w:rPr>
          <w:rFonts w:ascii="Times New Roman"/>
          <w:b w:val="false"/>
          <w:i w:val="false"/>
          <w:color w:val="000000"/>
          <w:sz w:val="28"/>
        </w:rPr>
        <w:t>
      1001. По образующей конуса ставится шпонка. Ее концы имеют достаточные закругления. Площадь рабочего сечения шпонки А</w:t>
      </w:r>
      <w:r>
        <w:rPr>
          <w:rFonts w:ascii="Times New Roman"/>
          <w:b w:val="false"/>
          <w:i w:val="false"/>
          <w:color w:val="000000"/>
          <w:vertAlign w:val="subscript"/>
        </w:rPr>
        <w:t>F</w:t>
      </w:r>
      <w:r>
        <w:rPr>
          <w:rFonts w:ascii="Times New Roman"/>
          <w:b w:val="false"/>
          <w:i w:val="false"/>
          <w:color w:val="000000"/>
          <w:sz w:val="28"/>
        </w:rPr>
        <w:t xml:space="preserve"> (произведение длины шпонки на ширину), см</w:t>
      </w:r>
      <w:r>
        <w:rPr>
          <w:rFonts w:ascii="Times New Roman"/>
          <w:b w:val="false"/>
          <w:i w:val="false"/>
          <w:color w:val="000000"/>
          <w:vertAlign w:val="superscript"/>
        </w:rPr>
        <w:t>2</w:t>
      </w:r>
      <w:r>
        <w:rPr>
          <w:rFonts w:ascii="Times New Roman"/>
          <w:b w:val="false"/>
          <w:i w:val="false"/>
          <w:color w:val="000000"/>
          <w:sz w:val="28"/>
        </w:rPr>
        <w:t>, не менее большего значения, определенного по формуле:</w:t>
      </w:r>
    </w:p>
    <w:bookmarkEnd w:id="3816"/>
    <w:p>
      <w:pPr>
        <w:spacing w:after="0"/>
        <w:ind w:left="0"/>
        <w:jc w:val="both"/>
      </w:pPr>
      <w:r>
        <w:rPr>
          <w:rFonts w:ascii="Times New Roman"/>
          <w:b w:val="false"/>
          <w:i w:val="false"/>
          <w:color w:val="000000"/>
          <w:sz w:val="28"/>
        </w:rPr>
        <w:t>
      А</w:t>
      </w:r>
      <w:r>
        <w:rPr>
          <w:rFonts w:ascii="Times New Roman"/>
          <w:b w:val="false"/>
          <w:i w:val="false"/>
          <w:color w:val="000000"/>
          <w:vertAlign w:val="subscript"/>
        </w:rPr>
        <w:t>F</w:t>
      </w:r>
      <w:r>
        <w:rPr>
          <w:rFonts w:ascii="Times New Roman"/>
          <w:b w:val="false"/>
          <w:i w:val="false"/>
          <w:color w:val="000000"/>
          <w:sz w:val="28"/>
        </w:rPr>
        <w:t xml:space="preserve"> = </w:t>
      </w:r>
    </w:p>
    <w:p>
      <w:pPr>
        <w:spacing w:after="0"/>
        <w:ind w:left="0"/>
        <w:jc w:val="both"/>
      </w:pPr>
      <w:r>
        <w:drawing>
          <wp:inline distT="0" distB="0" distL="0" distR="0">
            <wp:extent cx="774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774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(495)</w:t>
      </w:r>
      <w:r>
        <w:br/>
      </w:r>
      <w:r>
        <w:rPr>
          <w:rFonts w:ascii="Times New Roman"/>
          <w:b w:val="false"/>
          <w:i w:val="false"/>
          <w:color w:val="000000"/>
          <w:sz w:val="28"/>
        </w:rPr>
        <w:t>
</w:t>
      </w:r>
    </w:p>
    <w:bookmarkStart w:name="z3806" w:id="3817"/>
    <w:p>
      <w:pPr>
        <w:spacing w:after="0"/>
        <w:ind w:left="0"/>
        <w:jc w:val="both"/>
      </w:pPr>
      <w:r>
        <w:rPr>
          <w:rFonts w:ascii="Times New Roman"/>
          <w:b w:val="false"/>
          <w:i w:val="false"/>
          <w:color w:val="000000"/>
          <w:sz w:val="28"/>
        </w:rPr>
        <w:t>
      Высота шпонки не менее половины ее ширины.</w:t>
      </w:r>
    </w:p>
    <w:bookmarkEnd w:id="3817"/>
    <w:bookmarkStart w:name="z3807" w:id="3818"/>
    <w:p>
      <w:pPr>
        <w:spacing w:after="0"/>
        <w:ind w:left="0"/>
        <w:jc w:val="both"/>
      </w:pPr>
      <w:r>
        <w:rPr>
          <w:rFonts w:ascii="Times New Roman"/>
          <w:b w:val="false"/>
          <w:i w:val="false"/>
          <w:color w:val="000000"/>
          <w:sz w:val="28"/>
        </w:rPr>
        <w:t>
      Шпоночный паз баллера не выходит за пределы конусного соединения.</w:t>
      </w:r>
    </w:p>
    <w:bookmarkEnd w:id="3818"/>
    <w:bookmarkStart w:name="z3808" w:id="3819"/>
    <w:p>
      <w:pPr>
        <w:spacing w:after="0"/>
        <w:ind w:left="0"/>
        <w:jc w:val="both"/>
      </w:pPr>
      <w:r>
        <w:rPr>
          <w:rFonts w:ascii="Times New Roman"/>
          <w:b w:val="false"/>
          <w:i w:val="false"/>
          <w:color w:val="000000"/>
          <w:sz w:val="28"/>
        </w:rPr>
        <w:t>
      1002. Наружный диаметр нарезной части баллера не менее 0,9 наименьшего диаметра конуса. Резьба мелкая. Наружный диаметр и высота гайки не менее соответственно 1,5 и 0,8 наружного диаметра нарезной части баллера. Для предотвращения самоотдачи гайку надежно застопаривают по крайней мере двумя приварными планками или одной приварной планкой и шплинтом.</w:t>
      </w:r>
    </w:p>
    <w:bookmarkEnd w:id="3819"/>
    <w:bookmarkStart w:name="z3809" w:id="3820"/>
    <w:p>
      <w:pPr>
        <w:spacing w:after="0"/>
        <w:ind w:left="0"/>
        <w:jc w:val="both"/>
      </w:pPr>
      <w:r>
        <w:rPr>
          <w:rFonts w:ascii="Times New Roman"/>
          <w:b w:val="false"/>
          <w:i w:val="false"/>
          <w:color w:val="000000"/>
          <w:sz w:val="28"/>
        </w:rPr>
        <w:t>
      1003. Требования пунктов 1003 – 1010 настоящих Правил распространяются на бесшпоночное соединение баллера с пером руля или поворотной насадкой, выполняемое с применением гидропрессового метода напрессовки.</w:t>
      </w:r>
    </w:p>
    <w:bookmarkEnd w:id="3820"/>
    <w:bookmarkStart w:name="z3810" w:id="3821"/>
    <w:p>
      <w:pPr>
        <w:spacing w:after="0"/>
        <w:ind w:left="0"/>
        <w:jc w:val="both"/>
      </w:pPr>
      <w:r>
        <w:rPr>
          <w:rFonts w:ascii="Times New Roman"/>
          <w:b w:val="false"/>
          <w:i w:val="false"/>
          <w:color w:val="000000"/>
          <w:sz w:val="28"/>
        </w:rPr>
        <w:t>
      1004. Длина конической части баллера, которой он закрепляется в пере руля или поворотной насадке, не менее 1,5 диаметра баллера согласно пункту 973 настоящих Правил, причем конусность по диаметру равна 1:15.</w:t>
      </w:r>
    </w:p>
    <w:bookmarkEnd w:id="3821"/>
    <w:bookmarkStart w:name="z3811" w:id="3822"/>
    <w:p>
      <w:pPr>
        <w:spacing w:after="0"/>
        <w:ind w:left="0"/>
        <w:jc w:val="both"/>
      </w:pPr>
      <w:r>
        <w:rPr>
          <w:rFonts w:ascii="Times New Roman"/>
          <w:b w:val="false"/>
          <w:i w:val="false"/>
          <w:color w:val="000000"/>
          <w:sz w:val="28"/>
        </w:rPr>
        <w:t>
      1005. До начала напрессовки обеспечивается взаимная пригонка конусов баллера и ступицы пера руля или поворотной насадки с тем, чтобы при проверке прилегания их поверхностей на краску пятна контакта составляли не менее 70 % расчетной площади сопряжения, при этом пятна контакта располагаются сплошными кольцевыми поясками.</w:t>
      </w:r>
    </w:p>
    <w:bookmarkEnd w:id="3822"/>
    <w:bookmarkStart w:name="z3812" w:id="3823"/>
    <w:p>
      <w:pPr>
        <w:spacing w:after="0"/>
        <w:ind w:left="0"/>
        <w:jc w:val="both"/>
      </w:pPr>
      <w:r>
        <w:rPr>
          <w:rFonts w:ascii="Times New Roman"/>
          <w:b w:val="false"/>
          <w:i w:val="false"/>
          <w:color w:val="000000"/>
          <w:sz w:val="28"/>
        </w:rPr>
        <w:t>
      Взаиморасположение конусов баллера и ступицы, обеспечивающее указанную выше взаимную пригонку поверхностей конусов, следует рассматривать как начальное их взаиморасположение перед напрессовкой и фиксируют специальной меткой.</w:t>
      </w:r>
    </w:p>
    <w:bookmarkEnd w:id="3823"/>
    <w:bookmarkStart w:name="z3813" w:id="3824"/>
    <w:p>
      <w:pPr>
        <w:spacing w:after="0"/>
        <w:ind w:left="0"/>
        <w:jc w:val="both"/>
      </w:pPr>
      <w:r>
        <w:rPr>
          <w:rFonts w:ascii="Times New Roman"/>
          <w:b w:val="false"/>
          <w:i w:val="false"/>
          <w:color w:val="000000"/>
          <w:sz w:val="28"/>
        </w:rPr>
        <w:t>
      В обоснованных случаях Регистром судоходства допускается способ определения начального взаиморасположения конусов баллера и ступицы, отличающихся от вышеуказанного.</w:t>
      </w:r>
    </w:p>
    <w:bookmarkEnd w:id="3824"/>
    <w:bookmarkStart w:name="z3814" w:id="3825"/>
    <w:p>
      <w:pPr>
        <w:spacing w:after="0"/>
        <w:ind w:left="0"/>
        <w:jc w:val="both"/>
      </w:pPr>
      <w:r>
        <w:rPr>
          <w:rFonts w:ascii="Times New Roman"/>
          <w:b w:val="false"/>
          <w:i w:val="false"/>
          <w:color w:val="000000"/>
          <w:sz w:val="28"/>
        </w:rPr>
        <w:t>
      1006. Для обеспечения необходимого натяга в коническом соединении осевое перемещение баллера относительно начального его положения (пункт 1005 настоящих Правил) при окончательной запрессовке его в ступицу пера руля или поворотной насадки равна не менее определяемого по формуле:</w:t>
      </w:r>
    </w:p>
    <w:bookmarkEnd w:id="38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2362200" cy="1155700"/>
                    </a:xfrm>
                    <a:prstGeom prst="rect">
                      <a:avLst/>
                    </a:prstGeom>
                  </pic:spPr>
                </pic:pic>
              </a:graphicData>
            </a:graphic>
          </wp:inline>
        </w:drawing>
      </w:r>
    </w:p>
    <w:p>
      <w:pPr>
        <w:spacing w:after="0"/>
        <w:ind w:left="0"/>
        <w:jc w:val="left"/>
      </w:pPr>
      <w:r>
        <w:rPr>
          <w:rFonts w:ascii="Times New Roman"/>
          <w:b w:val="false"/>
          <w:i w:val="false"/>
          <w:color w:val="000000"/>
          <w:sz w:val="28"/>
        </w:rPr>
        <w:t>,                     (496)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осевое перемещение баллера,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средний диаметр конуса баллера,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наружный диаметр (или наименьший наружный размер) ступицы пера руля или поворотной насадки (в среднем сечении),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модуль упругости материала баллера,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конусность соединения по диаметру;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необходимое контактное давление на сопрягаемых конических поверхностях при запрессовке, МПа, определяемое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18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5118100" cy="82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коэффициент запаса несущей способности соединения по трению относительно крутящего момента;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w:t>
      </w:r>
      <w:r>
        <w:rPr>
          <w:rFonts w:ascii="Times New Roman"/>
          <w:b w:val="false"/>
          <w:i w:val="false"/>
          <w:color w:val="000000"/>
          <w:sz w:val="28"/>
        </w:rPr>
        <w:t xml:space="preserve"> — наибольшее из значений расчетного крутящего момента согласно пунктам 937, 928 или 933 настоящих Правил, кН-м;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ф</w:t>
      </w:r>
      <w:r>
        <w:rPr>
          <w:rFonts w:ascii="Times New Roman"/>
          <w:b w:val="false"/>
          <w:i w:val="false"/>
          <w:color w:val="000000"/>
          <w:sz w:val="28"/>
        </w:rPr>
        <w:t xml:space="preserve"> — фактическая длина контакта сопрягаемых конических поверхностей (за вычетом из длин конического соединения маслораспределительных канавок, проточек)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масса пера руля или поворотной насадки, кг;</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u</w:t>
      </w:r>
      <w:r>
        <w:rPr>
          <w:rFonts w:ascii="Times New Roman"/>
          <w:b w:val="false"/>
          <w:i w:val="false"/>
          <w:color w:val="000000"/>
          <w:sz w:val="28"/>
        </w:rPr>
        <w:t xml:space="preserve"> — максимальный изгибающий момент, действующий в районе конического соединения, определяемый в соответствии с пунктами 941, 962 или 968 настоящих Правил, кH·м.</w:t>
      </w:r>
    </w:p>
    <w:bookmarkStart w:name="z3815" w:id="3826"/>
    <w:p>
      <w:pPr>
        <w:spacing w:after="0"/>
        <w:ind w:left="0"/>
        <w:jc w:val="both"/>
      </w:pPr>
      <w:r>
        <w:rPr>
          <w:rFonts w:ascii="Times New Roman"/>
          <w:b w:val="false"/>
          <w:i w:val="false"/>
          <w:color w:val="000000"/>
          <w:sz w:val="28"/>
        </w:rPr>
        <w:t xml:space="preserve">
      Для подвесных рулей и поворотных насадок типов XIV и XV (приложение 161 настоящих Правил) следует принимать </w:t>
      </w:r>
      <w:r>
        <w:rPr>
          <w:rFonts w:ascii="Times New Roman"/>
          <w:b w:val="false"/>
          <w:i/>
          <w:color w:val="000000"/>
          <w:sz w:val="28"/>
        </w:rPr>
        <w:t>n</w:t>
      </w:r>
      <w:r>
        <w:rPr>
          <w:rFonts w:ascii="Times New Roman"/>
          <w:b w:val="false"/>
          <w:i w:val="false"/>
          <w:color w:val="000000"/>
          <w:sz w:val="28"/>
        </w:rPr>
        <w:t xml:space="preserve"> не менее 2,5; для рулей и поворотных насадок остальных типов — не менее 2,0.</w:t>
      </w:r>
    </w:p>
    <w:bookmarkEnd w:id="3826"/>
    <w:bookmarkStart w:name="z3816" w:id="3827"/>
    <w:p>
      <w:pPr>
        <w:spacing w:after="0"/>
        <w:ind w:left="0"/>
        <w:jc w:val="both"/>
      </w:pPr>
      <w:r>
        <w:rPr>
          <w:rFonts w:ascii="Times New Roman"/>
          <w:b w:val="false"/>
          <w:i w:val="false"/>
          <w:color w:val="000000"/>
          <w:sz w:val="28"/>
        </w:rPr>
        <w:t xml:space="preserve">
      Если контактное давление </w:t>
      </w:r>
      <w:r>
        <w:rPr>
          <w:rFonts w:ascii="Times New Roman"/>
          <w:b w:val="false"/>
          <w:i/>
          <w:color w:val="000000"/>
          <w:sz w:val="28"/>
        </w:rPr>
        <w:t>q</w:t>
      </w:r>
      <w:r>
        <w:rPr>
          <w:rFonts w:ascii="Times New Roman"/>
          <w:b w:val="false"/>
          <w:i w:val="false"/>
          <w:color w:val="000000"/>
          <w:sz w:val="28"/>
        </w:rPr>
        <w:t xml:space="preserve">, определенное по формуле (497) настоящих Правил, получается меньше 40 МПа, для дальнейших расчетов следует принимать </w:t>
      </w:r>
      <w:r>
        <w:rPr>
          <w:rFonts w:ascii="Times New Roman"/>
          <w:b w:val="false"/>
          <w:i/>
          <w:color w:val="000000"/>
          <w:sz w:val="28"/>
        </w:rPr>
        <w:t>q</w:t>
      </w:r>
      <w:r>
        <w:rPr>
          <w:rFonts w:ascii="Times New Roman"/>
          <w:b w:val="false"/>
          <w:i w:val="false"/>
          <w:color w:val="000000"/>
          <w:sz w:val="28"/>
        </w:rPr>
        <w:t xml:space="preserve"> = 40 МПа.</w:t>
      </w:r>
    </w:p>
    <w:bookmarkEnd w:id="3827"/>
    <w:bookmarkStart w:name="z3817" w:id="3828"/>
    <w:p>
      <w:pPr>
        <w:spacing w:after="0"/>
        <w:ind w:left="0"/>
        <w:jc w:val="both"/>
      </w:pPr>
      <w:r>
        <w:rPr>
          <w:rFonts w:ascii="Times New Roman"/>
          <w:b w:val="false"/>
          <w:i w:val="false"/>
          <w:color w:val="000000"/>
          <w:sz w:val="28"/>
        </w:rPr>
        <w:t xml:space="preserve">
      1007. Проверяют прочность наиболее нагруженной детали соединения: приведенное напряжение на внутренней поверхности ступицы пера руля или поворотной насадки не превосходит 0,85 предела текучести материала ступицы. Приведенное напряжение </w:t>
      </w:r>
    </w:p>
    <w:bookmarkEnd w:id="3828"/>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МПа, на внутренней поверхности ступицы следует определять по формуле:</w:t>
      </w:r>
      <w:r>
        <w:br/>
      </w:r>
      <w:r>
        <w:rPr>
          <w:rFonts w:ascii="Times New Roman"/>
          <w:b w:val="false"/>
          <w:i w:val="false"/>
          <w:color w:val="000000"/>
          <w:sz w:val="28"/>
        </w:rPr>
        <w:t>
</w:t>
      </w:r>
      <w:r>
        <w:br/>
      </w:r>
    </w:p>
    <w:p>
      <w:pPr>
        <w:spacing w:after="0"/>
        <w:ind w:left="0"/>
        <w:jc w:val="both"/>
      </w:pPr>
      <w:r>
        <w:drawing>
          <wp:inline distT="0" distB="0" distL="0" distR="0">
            <wp:extent cx="5245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52451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контактное давление на сопрягаемых конических поверхностях в районе большего диаметра конуса баллера при совместном действии крутящего и изгибающего моментов, МПа;</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3</w:t>
      </w:r>
      <w:r>
        <w:rPr>
          <w:rFonts w:ascii="Times New Roman"/>
          <w:b w:val="false"/>
          <w:i w:val="false"/>
          <w:color w:val="000000"/>
          <w:sz w:val="28"/>
        </w:rPr>
        <w:t xml:space="preserve"> — наибольший диаметр конуса баллера, мм;</w:t>
      </w:r>
    </w:p>
    <w:p>
      <w:pPr>
        <w:spacing w:after="0"/>
        <w:ind w:left="0"/>
        <w:jc w:val="both"/>
      </w:pPr>
      <w:r>
        <w:rPr>
          <w:rFonts w:ascii="Times New Roman"/>
          <w:b w:val="false"/>
          <w:i w:val="false"/>
          <w:color w:val="000000"/>
          <w:sz w:val="28"/>
        </w:rPr>
        <w:t>
      L — длина конической части баллера, мм;</w:t>
      </w:r>
    </w:p>
    <w:bookmarkStart w:name="z3818" w:id="3829"/>
    <w:p>
      <w:pPr>
        <w:spacing w:after="0"/>
        <w:ind w:left="0"/>
        <w:jc w:val="both"/>
      </w:pPr>
      <w:r>
        <w:rPr>
          <w:rFonts w:ascii="Times New Roman"/>
          <w:b w:val="false"/>
          <w:i w:val="false"/>
          <w:color w:val="000000"/>
          <w:sz w:val="28"/>
        </w:rPr>
        <w:t>
      1008. Давление масла, подаваемого на сопрягаемые конические поверхности баллера и ступицы при сборке и разборке соединения, не превышает давления р</w:t>
      </w:r>
      <w:r>
        <w:rPr>
          <w:rFonts w:ascii="Times New Roman"/>
          <w:b w:val="false"/>
          <w:i w:val="false"/>
          <w:color w:val="000000"/>
          <w:vertAlign w:val="subscript"/>
        </w:rPr>
        <w:t>mах</w:t>
      </w:r>
      <w:r>
        <w:rPr>
          <w:rFonts w:ascii="Times New Roman"/>
          <w:b w:val="false"/>
          <w:i w:val="false"/>
          <w:color w:val="000000"/>
          <w:sz w:val="28"/>
        </w:rPr>
        <w:t>, МПа, определяемого по формуле:</w:t>
      </w:r>
    </w:p>
    <w:bookmarkEnd w:id="382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mах</w:t>
      </w:r>
      <w:r>
        <w:rPr>
          <w:rFonts w:ascii="Times New Roman"/>
          <w:b w:val="false"/>
          <w:i w:val="false"/>
          <w:color w:val="000000"/>
          <w:sz w:val="28"/>
        </w:rPr>
        <w:t xml:space="preserve"> = </w:t>
      </w:r>
    </w:p>
    <w:p>
      <w:pPr>
        <w:spacing w:after="0"/>
        <w:ind w:left="0"/>
        <w:jc w:val="both"/>
      </w:pPr>
      <w:r>
        <w:drawing>
          <wp:inline distT="0" distB="0" distL="0" distR="0">
            <wp:extent cx="2235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22352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eH</w:t>
      </w:r>
      <w:r>
        <w:rPr>
          <w:rFonts w:ascii="Times New Roman"/>
          <w:b w:val="false"/>
          <w:i w:val="false"/>
          <w:color w:val="000000"/>
          <w:sz w:val="28"/>
        </w:rPr>
        <w:t xml:space="preserve"> — предел текучести материала ступицы пера руля, или поворотной насадки, МПа.</w:t>
      </w:r>
    </w:p>
    <w:bookmarkStart w:name="z3819" w:id="3830"/>
    <w:p>
      <w:pPr>
        <w:spacing w:after="0"/>
        <w:ind w:left="0"/>
        <w:jc w:val="both"/>
      </w:pPr>
      <w:r>
        <w:rPr>
          <w:rFonts w:ascii="Times New Roman"/>
          <w:b w:val="false"/>
          <w:i w:val="false"/>
          <w:color w:val="000000"/>
          <w:sz w:val="28"/>
        </w:rPr>
        <w:t>
      1009. Конструкция и размеры хвостовика баллера и гайки, а также стопорение гайки являются предметом специального рассмотрения Регистром судоходства.</w:t>
      </w:r>
    </w:p>
    <w:bookmarkEnd w:id="3830"/>
    <w:bookmarkStart w:name="z3820" w:id="3831"/>
    <w:p>
      <w:pPr>
        <w:spacing w:after="0"/>
        <w:ind w:left="0"/>
        <w:jc w:val="both"/>
      </w:pPr>
      <w:r>
        <w:rPr>
          <w:rFonts w:ascii="Times New Roman"/>
          <w:b w:val="false"/>
          <w:i w:val="false"/>
          <w:color w:val="000000"/>
          <w:sz w:val="28"/>
        </w:rPr>
        <w:t>
      1010. Если баллер изготовлен не из цельной заготовки, его части соединяют муфтой или другим способом, который в каждом случае является предметом специального рассмотрения Регистром судоходства.</w:t>
      </w:r>
    </w:p>
    <w:bookmarkEnd w:id="3831"/>
    <w:bookmarkStart w:name="z3821" w:id="3832"/>
    <w:p>
      <w:pPr>
        <w:spacing w:after="0"/>
        <w:ind w:left="0"/>
        <w:jc w:val="left"/>
      </w:pPr>
      <w:r>
        <w:rPr>
          <w:rFonts w:ascii="Times New Roman"/>
          <w:b/>
          <w:i w:val="false"/>
          <w:color w:val="000000"/>
        </w:rPr>
        <w:t xml:space="preserve"> Глава 51. Штыри руля и поворотной насадки</w:t>
      </w:r>
    </w:p>
    <w:bookmarkEnd w:id="3832"/>
    <w:p>
      <w:pPr>
        <w:spacing w:after="0"/>
        <w:ind w:left="0"/>
        <w:jc w:val="both"/>
      </w:pPr>
      <w:r>
        <w:rPr>
          <w:rFonts w:ascii="Times New Roman"/>
          <w:b w:val="false"/>
          <w:i w:val="false"/>
          <w:color w:val="ff0000"/>
          <w:sz w:val="28"/>
        </w:rPr>
        <w:t xml:space="preserve">
      Сноска. Заголовок главы 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22" w:id="3833"/>
    <w:p>
      <w:pPr>
        <w:spacing w:after="0"/>
        <w:ind w:left="0"/>
        <w:jc w:val="both"/>
      </w:pPr>
      <w:r>
        <w:rPr>
          <w:rFonts w:ascii="Times New Roman"/>
          <w:b w:val="false"/>
          <w:i w:val="false"/>
          <w:color w:val="000000"/>
          <w:sz w:val="28"/>
        </w:rPr>
        <w:t>
      1011. Диаметр штырей, не имеющих облицовки, и штырей с облицовкой, но до ее насадки d</w:t>
      </w:r>
      <w:r>
        <w:rPr>
          <w:rFonts w:ascii="Times New Roman"/>
          <w:b w:val="false"/>
          <w:i w:val="false"/>
          <w:color w:val="000000"/>
          <w:vertAlign w:val="subscript"/>
        </w:rPr>
        <w:t>4</w:t>
      </w:r>
      <w:r>
        <w:rPr>
          <w:rFonts w:ascii="Times New Roman"/>
          <w:b w:val="false"/>
          <w:i w:val="false"/>
          <w:color w:val="000000"/>
          <w:sz w:val="28"/>
        </w:rPr>
        <w:t>, см, не менее определенного по формуле:</w:t>
      </w:r>
    </w:p>
    <w:bookmarkEnd w:id="3833"/>
    <w:p>
      <w:pPr>
        <w:spacing w:after="0"/>
        <w:ind w:left="0"/>
        <w:jc w:val="both"/>
      </w:pPr>
      <w:r>
        <w:rPr>
          <w:rFonts w:ascii="Times New Roman"/>
          <w:b w:val="false"/>
          <w:i w:val="false"/>
          <w:color w:val="000000"/>
          <w:sz w:val="28"/>
        </w:rPr>
        <w:t>
      d</w:t>
      </w:r>
      <w:r>
        <w:rPr>
          <w:rFonts w:ascii="Times New Roman"/>
          <w:b w:val="false"/>
          <w:i w:val="false"/>
          <w:color w:val="000000"/>
          <w:vertAlign w:val="subscript"/>
        </w:rPr>
        <w:t>4</w:t>
      </w:r>
      <w:r>
        <w:rPr>
          <w:rFonts w:ascii="Times New Roman"/>
          <w:b w:val="false"/>
          <w:i w:val="false"/>
          <w:color w:val="000000"/>
          <w:sz w:val="28"/>
        </w:rPr>
        <w:t>= 18</w:t>
      </w:r>
    </w:p>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i</w:t>
      </w:r>
      <w:r>
        <w:rPr>
          <w:rFonts w:ascii="Times New Roman"/>
          <w:b w:val="false"/>
          <w:i w:val="false"/>
          <w:color w:val="000000"/>
          <w:sz w:val="28"/>
        </w:rPr>
        <w:t xml:space="preserve"> — расчетная реакция рассматриваемого штыря (R</w:t>
      </w:r>
      <w:r>
        <w:rPr>
          <w:rFonts w:ascii="Times New Roman"/>
          <w:b w:val="false"/>
          <w:i w:val="false"/>
          <w:color w:val="000000"/>
          <w:vertAlign w:val="subscript"/>
        </w:rPr>
        <w:t>2</w:t>
      </w:r>
      <w:r>
        <w:rPr>
          <w:rFonts w:ascii="Times New Roman"/>
          <w:b w:val="false"/>
          <w:i w:val="false"/>
          <w:color w:val="000000"/>
          <w:sz w:val="28"/>
        </w:rPr>
        <w:t xml:space="preserve"> или R</w:t>
      </w:r>
      <w:r>
        <w:rPr>
          <w:rFonts w:ascii="Times New Roman"/>
          <w:b w:val="false"/>
          <w:i w:val="false"/>
          <w:color w:val="000000"/>
          <w:vertAlign w:val="subscript"/>
        </w:rPr>
        <w:t>4</w:t>
      </w:r>
      <w:r>
        <w:rPr>
          <w:rFonts w:ascii="Times New Roman"/>
          <w:b w:val="false"/>
          <w:i w:val="false"/>
          <w:color w:val="000000"/>
          <w:sz w:val="28"/>
        </w:rPr>
        <w:t>), определяемая согласно указаниям параграфов 3 и 4 главы 47 настоящих Правил для соответствующего типа рулевого устройства, кН;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штыря, МПа.</w:t>
      </w:r>
    </w:p>
    <w:bookmarkStart w:name="z3823" w:id="3834"/>
    <w:p>
      <w:pPr>
        <w:spacing w:after="0"/>
        <w:ind w:left="0"/>
        <w:jc w:val="both"/>
      </w:pPr>
      <w:r>
        <w:rPr>
          <w:rFonts w:ascii="Times New Roman"/>
          <w:b w:val="false"/>
          <w:i w:val="false"/>
          <w:color w:val="000000"/>
          <w:sz w:val="28"/>
        </w:rPr>
        <w:t>
      1012. Длина конической части штыря, которой он закрепляется в петле руля, в вварной втулке насадки или пятке ахтерштевня, не менее диаметра штыря согласно пункту 1011 настоящих Правил, причем конусность по диаметру не превышает 1:10. Коническая часть штыря переходит в цилиндрическую без уступа.</w:t>
      </w:r>
    </w:p>
    <w:bookmarkEnd w:id="3834"/>
    <w:bookmarkStart w:name="z3824" w:id="3835"/>
    <w:p>
      <w:pPr>
        <w:spacing w:after="0"/>
        <w:ind w:left="0"/>
        <w:jc w:val="both"/>
      </w:pPr>
      <w:r>
        <w:rPr>
          <w:rFonts w:ascii="Times New Roman"/>
          <w:b w:val="false"/>
          <w:i w:val="false"/>
          <w:color w:val="000000"/>
          <w:sz w:val="28"/>
        </w:rPr>
        <w:t>
      Наружный диаметр нарезной части штыря не менее 0,8 наименьшего диаметра конуса. Наружный диаметр и высота гайки соответственно не менее 1,5 и 0,6 наружного диаметра нарезной части штыря.</w:t>
      </w:r>
    </w:p>
    <w:bookmarkEnd w:id="3835"/>
    <w:bookmarkStart w:name="z3825" w:id="3836"/>
    <w:p>
      <w:pPr>
        <w:spacing w:after="0"/>
        <w:ind w:left="0"/>
        <w:jc w:val="both"/>
      </w:pPr>
      <w:r>
        <w:rPr>
          <w:rFonts w:ascii="Times New Roman"/>
          <w:b w:val="false"/>
          <w:i w:val="false"/>
          <w:color w:val="000000"/>
          <w:sz w:val="28"/>
        </w:rPr>
        <w:t>
      1013. Длина цилиндрической части штыря не менее диаметра штыря вместе с облицовкой, если она имеется, и не более 1,3 этого диаметра.</w:t>
      </w:r>
    </w:p>
    <w:bookmarkEnd w:id="3836"/>
    <w:bookmarkStart w:name="z3826" w:id="3837"/>
    <w:p>
      <w:pPr>
        <w:spacing w:after="0"/>
        <w:ind w:left="0"/>
        <w:jc w:val="both"/>
      </w:pPr>
      <w:r>
        <w:rPr>
          <w:rFonts w:ascii="Times New Roman"/>
          <w:b w:val="false"/>
          <w:i w:val="false"/>
          <w:color w:val="000000"/>
          <w:sz w:val="28"/>
        </w:rPr>
        <w:t>
      1014. Толщина материала петель руля и ахтерштевня и вварных втулок поворотных насадок за пределами отверстия для втулки штыря не менее 0,5 диаметра штыря без облицовки.</w:t>
      </w:r>
    </w:p>
    <w:bookmarkEnd w:id="3837"/>
    <w:bookmarkStart w:name="z3827" w:id="3838"/>
    <w:p>
      <w:pPr>
        <w:spacing w:after="0"/>
        <w:ind w:left="0"/>
        <w:jc w:val="both"/>
      </w:pPr>
      <w:r>
        <w:rPr>
          <w:rFonts w:ascii="Times New Roman"/>
          <w:b w:val="false"/>
          <w:i w:val="false"/>
          <w:color w:val="000000"/>
          <w:sz w:val="28"/>
        </w:rPr>
        <w:t>
      Для штырей диаметром 200 мм и более допускается уменьшение  указанной толщины петель 0,5 до 0,35 диаметра штыря без облицовки; если при условии выполнения требований пунктов 1012 и 1013 настоящих Правил, обеспечивается соотношение:</w:t>
      </w:r>
    </w:p>
    <w:bookmarkEnd w:id="38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1282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7</w:t>
      </w:r>
      <w:r>
        <w:rPr>
          <w:rFonts w:ascii="Times New Roman"/>
          <w:b w:val="false"/>
          <w:i w:val="false"/>
          <w:color w:val="000000"/>
          <w:sz w:val="28"/>
        </w:rPr>
        <w:t xml:space="preserve"> — высота втулки штыря, см;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4</w:t>
      </w:r>
      <w:r>
        <w:rPr>
          <w:rFonts w:ascii="Times New Roman"/>
          <w:b w:val="false"/>
          <w:i w:val="false"/>
          <w:color w:val="000000"/>
          <w:sz w:val="28"/>
        </w:rPr>
        <w:t xml:space="preserve"> — диаметр штыря, включая его облицовку, если она имеется, см;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eH(ШТ)</w:t>
      </w:r>
      <w:r>
        <w:rPr>
          <w:rFonts w:ascii="Times New Roman"/>
          <w:b w:val="false"/>
          <w:i w:val="false"/>
          <w:color w:val="000000"/>
          <w:sz w:val="28"/>
        </w:rPr>
        <w:t xml:space="preserve"> — верхний предел текучести материала штыря, МПа;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eH(ПЕТ)</w:t>
      </w:r>
      <w:r>
        <w:rPr>
          <w:rFonts w:ascii="Times New Roman"/>
          <w:b w:val="false"/>
          <w:i w:val="false"/>
          <w:color w:val="000000"/>
          <w:sz w:val="28"/>
        </w:rPr>
        <w:t xml:space="preserve"> — верхний предел текучести материала петли, МПа.</w:t>
      </w:r>
    </w:p>
    <w:bookmarkStart w:name="z3828" w:id="3839"/>
    <w:p>
      <w:pPr>
        <w:spacing w:after="0"/>
        <w:ind w:left="0"/>
        <w:jc w:val="both"/>
      </w:pPr>
      <w:r>
        <w:rPr>
          <w:rFonts w:ascii="Times New Roman"/>
          <w:b w:val="false"/>
          <w:i w:val="false"/>
          <w:color w:val="000000"/>
          <w:sz w:val="28"/>
        </w:rPr>
        <w:t>
      1015. Для предотвращения самоотдачи гайку штыря надежно застопаривают с помощью по крайней мере двух приварных планок или одной приварной планки и шплинта, а штыри надежно застопаривают в петлях руля или ахтерштевня.</w:t>
      </w:r>
    </w:p>
    <w:bookmarkEnd w:id="3839"/>
    <w:bookmarkStart w:name="z3829" w:id="3840"/>
    <w:p>
      <w:pPr>
        <w:spacing w:after="0"/>
        <w:ind w:left="0"/>
        <w:jc w:val="both"/>
      </w:pPr>
      <w:r>
        <w:rPr>
          <w:rFonts w:ascii="Times New Roman"/>
          <w:b w:val="false"/>
          <w:i w:val="false"/>
          <w:color w:val="000000"/>
          <w:sz w:val="28"/>
        </w:rPr>
        <w:t xml:space="preserve">
      1016. Производится проверка выбранных размеров штырей по удельному давлению. Под удельным давлением </w:t>
      </w:r>
      <w:r>
        <w:rPr>
          <w:rFonts w:ascii="Times New Roman"/>
          <w:b w:val="false"/>
          <w:i/>
          <w:color w:val="000000"/>
          <w:sz w:val="28"/>
        </w:rPr>
        <w:t>р</w:t>
      </w:r>
      <w:r>
        <w:rPr>
          <w:rFonts w:ascii="Times New Roman"/>
          <w:b w:val="false"/>
          <w:i w:val="false"/>
          <w:color w:val="000000"/>
          <w:sz w:val="28"/>
        </w:rPr>
        <w:t xml:space="preserve"> понимается величина, МПа, определяемая по формуле:</w:t>
      </w:r>
    </w:p>
    <w:bookmarkEnd w:id="384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10R</w:t>
      </w:r>
      <w:r>
        <w:rPr>
          <w:rFonts w:ascii="Times New Roman"/>
          <w:b w:val="false"/>
          <w:i w:val="false"/>
          <w:color w:val="000000"/>
          <w:vertAlign w:val="subscript"/>
        </w:rPr>
        <w:t>i</w:t>
      </w:r>
      <w:r>
        <w:rPr>
          <w:rFonts w:ascii="Times New Roman"/>
          <w:b w:val="false"/>
          <w:i/>
          <w:color w:val="000000"/>
          <w:sz w:val="28"/>
        </w:rPr>
        <w:t>/(d'</w:t>
      </w:r>
      <w:r>
        <w:rPr>
          <w:rFonts w:ascii="Times New Roman"/>
          <w:b w:val="false"/>
          <w:i w:val="false"/>
          <w:color w:val="000000"/>
          <w:vertAlign w:val="subscript"/>
        </w:rPr>
        <w:t>4</w:t>
      </w:r>
      <w:r>
        <w:rPr>
          <w:rFonts w:ascii="Times New Roman"/>
          <w:b w:val="false"/>
          <w:i/>
          <w:color w:val="000000"/>
          <w:sz w:val="28"/>
        </w:rPr>
        <w:t xml:space="preserve"> l</w:t>
      </w:r>
      <w:r>
        <w:rPr>
          <w:rFonts w:ascii="Times New Roman"/>
          <w:b w:val="false"/>
          <w:i w:val="false"/>
          <w:color w:val="000000"/>
          <w:vertAlign w:val="subscript"/>
        </w:rPr>
        <w:t>7</w:t>
      </w:r>
      <w:r>
        <w:rPr>
          <w:rFonts w:ascii="Times New Roman"/>
          <w:b w:val="false"/>
          <w:i/>
          <w:color w:val="000000"/>
          <w:sz w:val="28"/>
        </w:rPr>
        <w:t>)</w:t>
      </w:r>
      <w:r>
        <w:rPr>
          <w:rFonts w:ascii="Times New Roman"/>
          <w:b w:val="false"/>
          <w:i w:val="false"/>
          <w:color w:val="000000"/>
          <w:sz w:val="28"/>
        </w:rPr>
        <w:t>,                 (506)</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i</w:t>
      </w:r>
      <w:r>
        <w:rPr>
          <w:rFonts w:ascii="Times New Roman"/>
          <w:b w:val="false"/>
          <w:i w:val="false"/>
          <w:color w:val="000000"/>
          <w:sz w:val="28"/>
        </w:rPr>
        <w:t xml:space="preserve"> — пункт 1011 настоящих Правил;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4</w:t>
      </w:r>
      <w:r>
        <w:rPr>
          <w:rFonts w:ascii="Times New Roman"/>
          <w:b w:val="false"/>
          <w:i w:val="false"/>
          <w:color w:val="000000"/>
          <w:sz w:val="28"/>
        </w:rPr>
        <w:t xml:space="preserve"> — диаметр штыря, включая его облицовку, если она имеется,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7</w:t>
      </w:r>
      <w:r>
        <w:rPr>
          <w:rFonts w:ascii="Times New Roman"/>
          <w:b w:val="false"/>
          <w:i w:val="false"/>
          <w:color w:val="000000"/>
          <w:sz w:val="28"/>
        </w:rPr>
        <w:t xml:space="preserve"> — высота втулки штыря, см.</w:t>
      </w:r>
    </w:p>
    <w:bookmarkStart w:name="z3830" w:id="3841"/>
    <w:p>
      <w:pPr>
        <w:spacing w:after="0"/>
        <w:ind w:left="0"/>
        <w:jc w:val="both"/>
      </w:pPr>
      <w:r>
        <w:rPr>
          <w:rFonts w:ascii="Times New Roman"/>
          <w:b w:val="false"/>
          <w:i w:val="false"/>
          <w:color w:val="000000"/>
          <w:sz w:val="28"/>
        </w:rPr>
        <w:t>
      Удельное давление не превышает значений, приведенных в приложение 159 настоящих Правил. Применение для трущихся пар материалов, отличных от указанных в приложении 159 настоящих Правил, в каждом случае является предметом специального рассмотрения Регистром судоходства.</w:t>
      </w:r>
    </w:p>
    <w:bookmarkEnd w:id="3841"/>
    <w:bookmarkStart w:name="z3831" w:id="3842"/>
    <w:p>
      <w:pPr>
        <w:spacing w:after="0"/>
        <w:ind w:left="0"/>
        <w:jc w:val="left"/>
      </w:pPr>
      <w:r>
        <w:rPr>
          <w:rFonts w:ascii="Times New Roman"/>
          <w:b/>
          <w:i w:val="false"/>
          <w:color w:val="000000"/>
        </w:rPr>
        <w:t xml:space="preserve"> Глава 52. Съемный рудерпост</w:t>
      </w:r>
    </w:p>
    <w:bookmarkEnd w:id="3842"/>
    <w:p>
      <w:pPr>
        <w:spacing w:after="0"/>
        <w:ind w:left="0"/>
        <w:jc w:val="both"/>
      </w:pPr>
      <w:r>
        <w:rPr>
          <w:rFonts w:ascii="Times New Roman"/>
          <w:b w:val="false"/>
          <w:i w:val="false"/>
          <w:color w:val="ff0000"/>
          <w:sz w:val="28"/>
        </w:rPr>
        <w:t xml:space="preserve">
      Сноска. Заголовок главы 52 -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32" w:id="3843"/>
    <w:p>
      <w:pPr>
        <w:spacing w:after="0"/>
        <w:ind w:left="0"/>
        <w:jc w:val="both"/>
      </w:pPr>
      <w:r>
        <w:rPr>
          <w:rFonts w:ascii="Times New Roman"/>
          <w:b w:val="false"/>
          <w:i w:val="false"/>
          <w:color w:val="000000"/>
          <w:sz w:val="28"/>
        </w:rPr>
        <w:t xml:space="preserve">
      1017. Диаметр съемного рудерпоста </w:t>
      </w:r>
      <w:r>
        <w:rPr>
          <w:rFonts w:ascii="Times New Roman"/>
          <w:b w:val="false"/>
          <w:i/>
          <w:color w:val="000000"/>
          <w:sz w:val="28"/>
        </w:rPr>
        <w:t>d</w:t>
      </w:r>
      <w:r>
        <w:rPr>
          <w:rFonts w:ascii="Times New Roman"/>
          <w:b w:val="false"/>
          <w:i w:val="false"/>
          <w:color w:val="000000"/>
          <w:vertAlign w:val="subscript"/>
        </w:rPr>
        <w:t>5</w:t>
      </w:r>
      <w:r>
        <w:rPr>
          <w:rFonts w:ascii="Times New Roman"/>
          <w:b w:val="false"/>
          <w:i w:val="false"/>
          <w:color w:val="000000"/>
          <w:sz w:val="28"/>
        </w:rPr>
        <w:t xml:space="preserve"> непосредственно у фланца выбирают таким, чтобы нормальные напряжения у, возникающие в его сечении, не превышали 0,5 верхнего предела текучести материала съемного рудерпоста. Нормальное напряжение </w:t>
      </w:r>
    </w:p>
    <w:bookmarkEnd w:id="3843"/>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МПа,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rPr>
          <w:rFonts w:ascii="Times New Roman"/>
          <w:b w:val="false"/>
          <w:i w:val="false"/>
          <w:color w:val="000000"/>
          <w:vertAlign w:val="superscript"/>
        </w:rPr>
        <w:t>4</w:t>
      </w:r>
      <w:r>
        <w:rPr>
          <w:rFonts w:ascii="Times New Roman"/>
          <w:b w:val="false"/>
          <w:i w:val="false"/>
          <w:color w:val="000000"/>
          <w:sz w:val="28"/>
        </w:rPr>
        <w:t>М</w:t>
      </w:r>
      <w:r>
        <w:rPr>
          <w:rFonts w:ascii="Times New Roman"/>
          <w:b w:val="false"/>
          <w:i w:val="false"/>
          <w:color w:val="000000"/>
          <w:vertAlign w:val="subscript"/>
        </w:rPr>
        <w:t>рn</w:t>
      </w:r>
      <w:r>
        <w:rPr>
          <w:rFonts w:ascii="Times New Roman"/>
          <w:b w:val="false"/>
          <w:i w:val="false"/>
          <w:color w:val="000000"/>
          <w:sz w:val="28"/>
        </w:rPr>
        <w:t>/ d</w:t>
      </w:r>
      <w:r>
        <w:rPr>
          <w:rFonts w:ascii="Times New Roman"/>
          <w:b w:val="false"/>
          <w:i w:val="false"/>
          <w:color w:val="000000"/>
          <w:vertAlign w:val="superscript"/>
        </w:rPr>
        <w:t>3</w:t>
      </w:r>
      <w:r>
        <w:rPr>
          <w:rFonts w:ascii="Times New Roman"/>
          <w:b w:val="false"/>
          <w:i w:val="false"/>
          <w:color w:val="000000"/>
          <w:vertAlign w:val="subscript"/>
        </w:rPr>
        <w:t>5</w:t>
      </w:r>
      <w:r>
        <w:rPr>
          <w:rFonts w:ascii="Times New Roman"/>
          <w:b w:val="false"/>
          <w:i w:val="false"/>
          <w:color w:val="000000"/>
          <w:sz w:val="28"/>
        </w:rPr>
        <w:t>,                    (507)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рn</w:t>
      </w:r>
      <w:r>
        <w:rPr>
          <w:rFonts w:ascii="Times New Roman"/>
          <w:b w:val="false"/>
          <w:i w:val="false"/>
          <w:color w:val="000000"/>
          <w:sz w:val="28"/>
        </w:rPr>
        <w:t xml:space="preserve"> — расчетный изгибающий момент, определяемый согласно указаниям пункта 948 настоящих Правил, кН·м;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5</w:t>
      </w:r>
      <w:r>
        <w:rPr>
          <w:rFonts w:ascii="Times New Roman"/>
          <w:b w:val="false"/>
          <w:i w:val="false"/>
          <w:color w:val="000000"/>
          <w:sz w:val="28"/>
        </w:rPr>
        <w:t xml:space="preserve"> — диаметр съемного рудерпоста у фланца, см.</w:t>
      </w:r>
    </w:p>
    <w:bookmarkStart w:name="z3833" w:id="3844"/>
    <w:p>
      <w:pPr>
        <w:spacing w:after="0"/>
        <w:ind w:left="0"/>
        <w:jc w:val="both"/>
      </w:pPr>
      <w:r>
        <w:rPr>
          <w:rFonts w:ascii="Times New Roman"/>
          <w:b w:val="false"/>
          <w:i w:val="false"/>
          <w:color w:val="000000"/>
          <w:sz w:val="28"/>
        </w:rPr>
        <w:t>
      Диаметр съемного рудерпоста в районе подшипников пера руля не менее диаметра d</w:t>
      </w:r>
      <w:r>
        <w:rPr>
          <w:rFonts w:ascii="Times New Roman"/>
          <w:b w:val="false"/>
          <w:i w:val="false"/>
          <w:color w:val="000000"/>
          <w:vertAlign w:val="subscript"/>
        </w:rPr>
        <w:t>5</w:t>
      </w:r>
      <w:r>
        <w:rPr>
          <w:rFonts w:ascii="Times New Roman"/>
          <w:b w:val="false"/>
          <w:i w:val="false"/>
          <w:color w:val="000000"/>
          <w:sz w:val="28"/>
        </w:rPr>
        <w:t>. Диаметр съемного рудерпоста на участке между подшипниками пера руля возиожно уменьшить на 10%.</w:t>
      </w:r>
    </w:p>
    <w:bookmarkEnd w:id="3844"/>
    <w:bookmarkStart w:name="z3834" w:id="3845"/>
    <w:p>
      <w:pPr>
        <w:spacing w:after="0"/>
        <w:ind w:left="0"/>
        <w:jc w:val="both"/>
      </w:pPr>
      <w:r>
        <w:rPr>
          <w:rFonts w:ascii="Times New Roman"/>
          <w:b w:val="false"/>
          <w:i w:val="false"/>
          <w:color w:val="000000"/>
          <w:sz w:val="28"/>
        </w:rPr>
        <w:t>
      1018. В отношении конической и нарезной части съемного рудерпоста, а также его гайки требования аналогичны изложенным в пункте 1012 настоящих Правил, для штырей.</w:t>
      </w:r>
    </w:p>
    <w:bookmarkEnd w:id="3845"/>
    <w:bookmarkStart w:name="z3835" w:id="3846"/>
    <w:p>
      <w:pPr>
        <w:spacing w:after="0"/>
        <w:ind w:left="0"/>
        <w:jc w:val="both"/>
      </w:pPr>
      <w:r>
        <w:rPr>
          <w:rFonts w:ascii="Times New Roman"/>
          <w:b w:val="false"/>
          <w:i w:val="false"/>
          <w:color w:val="000000"/>
          <w:sz w:val="28"/>
        </w:rPr>
        <w:t>
      1019. Диаметр болтов фланцевого соединения съемного рудерпоста с ахтерштевнем d</w:t>
      </w:r>
      <w:r>
        <w:rPr>
          <w:rFonts w:ascii="Times New Roman"/>
          <w:b w:val="false"/>
          <w:i w:val="false"/>
          <w:color w:val="000000"/>
          <w:vertAlign w:val="subscript"/>
        </w:rPr>
        <w:t>6</w:t>
      </w:r>
      <w:r>
        <w:rPr>
          <w:rFonts w:ascii="Times New Roman"/>
          <w:b w:val="false"/>
          <w:i w:val="false"/>
          <w:color w:val="000000"/>
          <w:sz w:val="28"/>
        </w:rPr>
        <w:t>, см, не менее определенного по формуле:</w:t>
      </w:r>
    </w:p>
    <w:bookmarkEnd w:id="3846"/>
    <w:p>
      <w:pPr>
        <w:spacing w:after="0"/>
        <w:ind w:left="0"/>
        <w:jc w:val="both"/>
      </w:pPr>
      <w:r>
        <w:rPr>
          <w:rFonts w:ascii="Times New Roman"/>
          <w:b w:val="false"/>
          <w:i w:val="false"/>
          <w:color w:val="000000"/>
          <w:sz w:val="28"/>
        </w:rPr>
        <w:t>
      d</w:t>
      </w:r>
      <w:r>
        <w:rPr>
          <w:rFonts w:ascii="Times New Roman"/>
          <w:b w:val="false"/>
          <w:i w:val="false"/>
          <w:color w:val="000000"/>
          <w:vertAlign w:val="subscript"/>
        </w:rPr>
        <w:t>6</w:t>
      </w:r>
      <w:r>
        <w:rPr>
          <w:rFonts w:ascii="Times New Roman"/>
          <w:b w:val="false"/>
          <w:i w:val="false"/>
          <w:color w:val="000000"/>
          <w:sz w:val="28"/>
        </w:rPr>
        <w:t>= 6,77</w:t>
      </w:r>
    </w:p>
    <w:p>
      <w:pPr>
        <w:spacing w:after="0"/>
        <w:ind w:left="0"/>
        <w:jc w:val="both"/>
      </w:pPr>
      <w:r>
        <w:drawing>
          <wp:inline distT="0" distB="0" distL="0" distR="0">
            <wp:extent cx="3327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3327400" cy="114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2</w:t>
      </w:r>
      <w:r>
        <w:rPr>
          <w:rFonts w:ascii="Times New Roman"/>
          <w:b w:val="false"/>
          <w:i w:val="false"/>
          <w:color w:val="000000"/>
          <w:sz w:val="28"/>
        </w:rPr>
        <w:t xml:space="preserve"> — расчетная реакция верхнего подшипника съемного рудерпоста, определяемая согласно пункту 944 настоящих Правил, кН;</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рn</w:t>
      </w:r>
      <w:r>
        <w:rPr>
          <w:rFonts w:ascii="Times New Roman"/>
          <w:b w:val="false"/>
          <w:i w:val="false"/>
          <w:color w:val="000000"/>
          <w:sz w:val="28"/>
        </w:rPr>
        <w:t xml:space="preserve"> — расчетный изгибающий момент, действующий в сечении рудерпоста, расположенном у его фланца, определяемое согласно пункту 948 настоящих Правил, кН·м;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4</w:t>
      </w:r>
      <w:r>
        <w:rPr>
          <w:rFonts w:ascii="Times New Roman"/>
          <w:b w:val="false"/>
          <w:i w:val="false"/>
          <w:color w:val="000000"/>
          <w:sz w:val="28"/>
        </w:rPr>
        <w:t xml:space="preserve"> — среднее расстояние от центров болтов до центра системы отверстий фланца,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5</w:t>
      </w:r>
      <w:r>
        <w:rPr>
          <w:rFonts w:ascii="Times New Roman"/>
          <w:b w:val="false"/>
          <w:i w:val="false"/>
          <w:color w:val="000000"/>
          <w:sz w:val="28"/>
        </w:rPr>
        <w:t xml:space="preserve"> — расстояние от оси вращения пера руля до плоскости соприкосновения фланцев съемного рудерпоста и ахтерштевня, 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2</w:t>
      </w:r>
      <w:r>
        <w:rPr>
          <w:rFonts w:ascii="Times New Roman"/>
          <w:b w:val="false"/>
          <w:i w:val="false"/>
          <w:color w:val="000000"/>
          <w:sz w:val="28"/>
        </w:rPr>
        <w:t xml:space="preserve"> — число болтов фланцевого соединения;</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болтов, МПа.</w:t>
      </w:r>
    </w:p>
    <w:bookmarkStart w:name="z3836" w:id="3847"/>
    <w:p>
      <w:pPr>
        <w:spacing w:after="0"/>
        <w:ind w:left="0"/>
        <w:jc w:val="both"/>
      </w:pPr>
      <w:r>
        <w:rPr>
          <w:rFonts w:ascii="Times New Roman"/>
          <w:b w:val="false"/>
          <w:i w:val="false"/>
          <w:color w:val="000000"/>
          <w:sz w:val="28"/>
        </w:rPr>
        <w:t>
      Число болтов z</w:t>
      </w:r>
      <w:r>
        <w:rPr>
          <w:rFonts w:ascii="Times New Roman"/>
          <w:b w:val="false"/>
          <w:i w:val="false"/>
          <w:color w:val="000000"/>
          <w:vertAlign w:val="subscript"/>
        </w:rPr>
        <w:t>2</w:t>
      </w:r>
      <w:r>
        <w:rPr>
          <w:rFonts w:ascii="Times New Roman"/>
          <w:b w:val="false"/>
          <w:i w:val="false"/>
          <w:color w:val="000000"/>
          <w:sz w:val="28"/>
        </w:rPr>
        <w:t xml:space="preserve"> равно не менее 6.</w:t>
      </w:r>
    </w:p>
    <w:bookmarkEnd w:id="3847"/>
    <w:bookmarkStart w:name="z3837" w:id="3848"/>
    <w:p>
      <w:pPr>
        <w:spacing w:after="0"/>
        <w:ind w:left="0"/>
        <w:jc w:val="both"/>
      </w:pPr>
      <w:r>
        <w:rPr>
          <w:rFonts w:ascii="Times New Roman"/>
          <w:b w:val="false"/>
          <w:i w:val="false"/>
          <w:color w:val="000000"/>
          <w:sz w:val="28"/>
        </w:rPr>
        <w:t>
      Расстояние от центра любого болта до центра системы отверстий фланца не менее 0,7, а до вертикальной оси симметрии плоскости фланца не менее 0,6 диаметра съемного рудерпоста d</w:t>
      </w:r>
      <w:r>
        <w:rPr>
          <w:rFonts w:ascii="Times New Roman"/>
          <w:b w:val="false"/>
          <w:i w:val="false"/>
          <w:color w:val="000000"/>
          <w:vertAlign w:val="subscript"/>
        </w:rPr>
        <w:t>5</w:t>
      </w:r>
      <w:r>
        <w:rPr>
          <w:rFonts w:ascii="Times New Roman"/>
          <w:b w:val="false"/>
          <w:i w:val="false"/>
          <w:color w:val="000000"/>
          <w:sz w:val="28"/>
        </w:rPr>
        <w:t>, указанного в пункте 1017 настоящих Правил.</w:t>
      </w:r>
    </w:p>
    <w:bookmarkEnd w:id="3848"/>
    <w:bookmarkStart w:name="z3838" w:id="3849"/>
    <w:p>
      <w:pPr>
        <w:spacing w:after="0"/>
        <w:ind w:left="0"/>
        <w:jc w:val="both"/>
      </w:pPr>
      <w:r>
        <w:rPr>
          <w:rFonts w:ascii="Times New Roman"/>
          <w:b w:val="false"/>
          <w:i w:val="false"/>
          <w:color w:val="000000"/>
          <w:sz w:val="28"/>
        </w:rPr>
        <w:t>
      1020. Необходимо чтобы все болты были призонными, за исключением случаев постановки шпонки, когда достаточно только два призонных болта. Гайки имеют нормальные размеры и надежно застопорены шплинтами или приварными планками.</w:t>
      </w:r>
    </w:p>
    <w:bookmarkEnd w:id="3849"/>
    <w:bookmarkStart w:name="z3839" w:id="3850"/>
    <w:p>
      <w:pPr>
        <w:spacing w:after="0"/>
        <w:ind w:left="0"/>
        <w:jc w:val="both"/>
      </w:pPr>
      <w:r>
        <w:rPr>
          <w:rFonts w:ascii="Times New Roman"/>
          <w:b w:val="false"/>
          <w:i w:val="false"/>
          <w:color w:val="000000"/>
          <w:sz w:val="28"/>
        </w:rPr>
        <w:t>
      1021. Толщина фланца не менее диаметра болтов. Центры отверстий для болтов отстоят от наружных кромок фланца не менее чем на 1,15 диаметра болтов.</w:t>
      </w:r>
    </w:p>
    <w:bookmarkEnd w:id="3850"/>
    <w:bookmarkStart w:name="z3840" w:id="3851"/>
    <w:p>
      <w:pPr>
        <w:spacing w:after="0"/>
        <w:ind w:left="0"/>
        <w:jc w:val="both"/>
      </w:pPr>
      <w:r>
        <w:rPr>
          <w:rFonts w:ascii="Times New Roman"/>
          <w:b w:val="false"/>
          <w:i w:val="false"/>
          <w:color w:val="000000"/>
          <w:sz w:val="28"/>
        </w:rPr>
        <w:t>
      1022. В местах перехода съемного рудерпоста от одного диаметра к другому выполняют достаточные закругления. В месте перехода во фланец радиус заркугления не менее 0,12 диаметра съемного рудерпоста.</w:t>
      </w:r>
    </w:p>
    <w:bookmarkEnd w:id="3851"/>
    <w:bookmarkStart w:name="z3841" w:id="3852"/>
    <w:p>
      <w:pPr>
        <w:spacing w:after="0"/>
        <w:ind w:left="0"/>
        <w:jc w:val="both"/>
      </w:pPr>
      <w:r>
        <w:rPr>
          <w:rFonts w:ascii="Times New Roman"/>
          <w:b w:val="false"/>
          <w:i w:val="false"/>
          <w:color w:val="000000"/>
          <w:sz w:val="28"/>
        </w:rPr>
        <w:t>
      1023. Для предотвращения самоотдачи гайку съемного рудерпоста надежно застопаривают по крайней мере двумя приварными планками или одной приварной планкой и шплинтом.</w:t>
      </w:r>
    </w:p>
    <w:bookmarkEnd w:id="3852"/>
    <w:bookmarkStart w:name="z3842" w:id="3853"/>
    <w:p>
      <w:pPr>
        <w:spacing w:after="0"/>
        <w:ind w:left="0"/>
        <w:jc w:val="both"/>
      </w:pPr>
      <w:r>
        <w:rPr>
          <w:rFonts w:ascii="Times New Roman"/>
          <w:b w:val="false"/>
          <w:i w:val="false"/>
          <w:color w:val="000000"/>
          <w:sz w:val="28"/>
        </w:rPr>
        <w:t>
      1024. В отношении подшипников пера руля на съемном рудерпосте остаются справедливыми требования пункта 1016 настоящих Правил для штырей.</w:t>
      </w:r>
    </w:p>
    <w:bookmarkEnd w:id="3853"/>
    <w:bookmarkStart w:name="z3843" w:id="3854"/>
    <w:p>
      <w:pPr>
        <w:spacing w:after="0"/>
        <w:ind w:left="0"/>
        <w:jc w:val="left"/>
      </w:pPr>
      <w:r>
        <w:rPr>
          <w:rFonts w:ascii="Times New Roman"/>
          <w:b/>
          <w:i w:val="false"/>
          <w:color w:val="000000"/>
        </w:rPr>
        <w:t xml:space="preserve"> Глава 53. Подшипники баллера</w:t>
      </w:r>
    </w:p>
    <w:bookmarkEnd w:id="3854"/>
    <w:p>
      <w:pPr>
        <w:spacing w:after="0"/>
        <w:ind w:left="0"/>
        <w:jc w:val="both"/>
      </w:pPr>
      <w:r>
        <w:rPr>
          <w:rFonts w:ascii="Times New Roman"/>
          <w:b w:val="false"/>
          <w:i w:val="false"/>
          <w:color w:val="ff0000"/>
          <w:sz w:val="28"/>
        </w:rPr>
        <w:t xml:space="preserve">
      Сноска. Заголовок главы 53 -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4" w:id="3855"/>
    <w:p>
      <w:pPr>
        <w:spacing w:after="0"/>
        <w:ind w:left="0"/>
        <w:jc w:val="both"/>
      </w:pPr>
      <w:r>
        <w:rPr>
          <w:rFonts w:ascii="Times New Roman"/>
          <w:b w:val="false"/>
          <w:i w:val="false"/>
          <w:color w:val="000000"/>
          <w:sz w:val="28"/>
        </w:rPr>
        <w:t>
      1025. В отношении опорных подшипников баллера, воспринимающих поперечную нагрузку, остаются справедливыми требования в пункте 1016 настоящих Правил для штырей.</w:t>
      </w:r>
    </w:p>
    <w:bookmarkEnd w:id="3855"/>
    <w:bookmarkStart w:name="z3845" w:id="3856"/>
    <w:p>
      <w:pPr>
        <w:spacing w:after="0"/>
        <w:ind w:left="0"/>
        <w:jc w:val="both"/>
      </w:pPr>
      <w:r>
        <w:rPr>
          <w:rFonts w:ascii="Times New Roman"/>
          <w:b w:val="false"/>
          <w:i w:val="false"/>
          <w:color w:val="000000"/>
          <w:sz w:val="28"/>
        </w:rPr>
        <w:t>
      1026. Для того, чтобы воспринять массу руля или поворотной насадки и баллера, устанавливают упорный подшипник. Палуба в месте его установки надежно подкрепляется.</w:t>
      </w:r>
    </w:p>
    <w:bookmarkEnd w:id="3856"/>
    <w:bookmarkStart w:name="z3846" w:id="3857"/>
    <w:p>
      <w:pPr>
        <w:spacing w:after="0"/>
        <w:ind w:left="0"/>
        <w:jc w:val="both"/>
      </w:pPr>
      <w:r>
        <w:rPr>
          <w:rFonts w:ascii="Times New Roman"/>
          <w:b w:val="false"/>
          <w:i w:val="false"/>
          <w:color w:val="000000"/>
          <w:sz w:val="28"/>
        </w:rPr>
        <w:t>
      Принимают меры против аксиального смещения пера или поворотной насадки и баллера вверх более чем на величину, допускаемую конструкцией рулевого привода; для устройств с поворотными насадками, кроме того, принимают меры по обеспечению гарантированного зазора между лопастями гребного винта и насадкой в условиях эксплуатации.</w:t>
      </w:r>
    </w:p>
    <w:bookmarkEnd w:id="3857"/>
    <w:bookmarkStart w:name="z3847" w:id="3858"/>
    <w:p>
      <w:pPr>
        <w:spacing w:after="0"/>
        <w:ind w:left="0"/>
        <w:jc w:val="both"/>
      </w:pPr>
      <w:r>
        <w:rPr>
          <w:rFonts w:ascii="Times New Roman"/>
          <w:b w:val="false"/>
          <w:i w:val="false"/>
          <w:color w:val="000000"/>
          <w:sz w:val="28"/>
        </w:rPr>
        <w:t>
      1027. В месте прохода баллера через верхнюю часть гельмпортовой трубы в ней устанавливают сальник, предотвращающий попадание воды в корпус судна. Сальник располагают в месте, всегда доступном для осмотра и обслуживания.</w:t>
      </w:r>
    </w:p>
    <w:bookmarkEnd w:id="3858"/>
    <w:bookmarkStart w:name="z3848" w:id="3859"/>
    <w:p>
      <w:pPr>
        <w:spacing w:after="0"/>
        <w:ind w:left="0"/>
        <w:jc w:val="left"/>
      </w:pPr>
      <w:r>
        <w:rPr>
          <w:rFonts w:ascii="Times New Roman"/>
          <w:b/>
          <w:i w:val="false"/>
          <w:color w:val="000000"/>
        </w:rPr>
        <w:t xml:space="preserve"> Глава 54. Комплектация рулевых устройств рулевыми приводами</w:t>
      </w:r>
    </w:p>
    <w:bookmarkEnd w:id="3859"/>
    <w:p>
      <w:pPr>
        <w:spacing w:after="0"/>
        <w:ind w:left="0"/>
        <w:jc w:val="both"/>
      </w:pPr>
      <w:r>
        <w:rPr>
          <w:rFonts w:ascii="Times New Roman"/>
          <w:b w:val="false"/>
          <w:i w:val="false"/>
          <w:color w:val="ff0000"/>
          <w:sz w:val="28"/>
        </w:rPr>
        <w:t xml:space="preserve">
      Сноска. Заголовок главы 54 -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9" w:id="3860"/>
    <w:p>
      <w:pPr>
        <w:spacing w:after="0"/>
        <w:ind w:left="0"/>
        <w:jc w:val="both"/>
      </w:pPr>
      <w:r>
        <w:rPr>
          <w:rFonts w:ascii="Times New Roman"/>
          <w:b w:val="false"/>
          <w:i w:val="false"/>
          <w:color w:val="000000"/>
          <w:sz w:val="28"/>
        </w:rPr>
        <w:t>
      1028. Суда снабжают главным и вспомогательным рулевыми приводами, если специально не указано иное.</w:t>
      </w:r>
    </w:p>
    <w:bookmarkEnd w:id="3860"/>
    <w:bookmarkStart w:name="z3850" w:id="3861"/>
    <w:p>
      <w:pPr>
        <w:spacing w:after="0"/>
        <w:ind w:left="0"/>
        <w:jc w:val="both"/>
      </w:pPr>
      <w:r>
        <w:rPr>
          <w:rFonts w:ascii="Times New Roman"/>
          <w:b w:val="false"/>
          <w:i w:val="false"/>
          <w:color w:val="000000"/>
          <w:sz w:val="28"/>
        </w:rPr>
        <w:t>
      1029. Главный рулевой привод обеспечивает перекладку полностью погруженного руля или полностью погруженной поворотной насадки с 35</w:t>
      </w:r>
      <w:r>
        <w:rPr>
          <w:rFonts w:ascii="Times New Roman"/>
          <w:b w:val="false"/>
          <w:i w:val="false"/>
          <w:color w:val="000000"/>
          <w:vertAlign w:val="superscript"/>
        </w:rPr>
        <w:t>о</w:t>
      </w:r>
      <w:r>
        <w:rPr>
          <w:rFonts w:ascii="Times New Roman"/>
          <w:b w:val="false"/>
          <w:i w:val="false"/>
          <w:color w:val="000000"/>
          <w:sz w:val="28"/>
        </w:rPr>
        <w:t xml:space="preserve"> одного борта на 35</w:t>
      </w:r>
      <w:r>
        <w:rPr>
          <w:rFonts w:ascii="Times New Roman"/>
          <w:b w:val="false"/>
          <w:i w:val="false"/>
          <w:color w:val="000000"/>
          <w:vertAlign w:val="superscript"/>
        </w:rPr>
        <w:t>о</w:t>
      </w:r>
      <w:r>
        <w:rPr>
          <w:rFonts w:ascii="Times New Roman"/>
          <w:b w:val="false"/>
          <w:i w:val="false"/>
          <w:color w:val="000000"/>
          <w:sz w:val="28"/>
        </w:rPr>
        <w:t xml:space="preserve"> другого борта при максимальной эксплуатационной осадке и скорости переднего хода при тех же условиях с 35</w:t>
      </w:r>
      <w:r>
        <w:rPr>
          <w:rFonts w:ascii="Times New Roman"/>
          <w:b w:val="false"/>
          <w:i w:val="false"/>
          <w:color w:val="000000"/>
          <w:vertAlign w:val="superscript"/>
        </w:rPr>
        <w:t>о</w:t>
      </w:r>
      <w:r>
        <w:rPr>
          <w:rFonts w:ascii="Times New Roman"/>
          <w:b w:val="false"/>
          <w:i w:val="false"/>
          <w:color w:val="000000"/>
          <w:sz w:val="28"/>
        </w:rPr>
        <w:t xml:space="preserve"> одного борта на 30</w:t>
      </w:r>
      <w:r>
        <w:rPr>
          <w:rFonts w:ascii="Times New Roman"/>
          <w:b w:val="false"/>
          <w:i w:val="false"/>
          <w:color w:val="000000"/>
          <w:vertAlign w:val="superscript"/>
        </w:rPr>
        <w:t>о</w:t>
      </w:r>
      <w:r>
        <w:rPr>
          <w:rFonts w:ascii="Times New Roman"/>
          <w:b w:val="false"/>
          <w:i w:val="false"/>
          <w:color w:val="000000"/>
          <w:sz w:val="28"/>
        </w:rPr>
        <w:t xml:space="preserve"> другого борта не более чем за 28 с.</w:t>
      </w:r>
    </w:p>
    <w:bookmarkEnd w:id="3861"/>
    <w:bookmarkStart w:name="z3851" w:id="3862"/>
    <w:p>
      <w:pPr>
        <w:spacing w:after="0"/>
        <w:ind w:left="0"/>
        <w:jc w:val="both"/>
      </w:pPr>
      <w:r>
        <w:rPr>
          <w:rFonts w:ascii="Times New Roman"/>
          <w:b w:val="false"/>
          <w:i w:val="false"/>
          <w:color w:val="000000"/>
          <w:sz w:val="28"/>
        </w:rPr>
        <w:t>
      1030. Вспомогательный рулевой привод обеспечивает перекладку полностью погруженного руля или полностью погруженной поворотной насадки с 15</w:t>
      </w:r>
      <w:r>
        <w:rPr>
          <w:rFonts w:ascii="Times New Roman"/>
          <w:b w:val="false"/>
          <w:i w:val="false"/>
          <w:color w:val="000000"/>
          <w:vertAlign w:val="superscript"/>
        </w:rPr>
        <w:t>о</w:t>
      </w:r>
      <w:r>
        <w:rPr>
          <w:rFonts w:ascii="Times New Roman"/>
          <w:b w:val="false"/>
          <w:i w:val="false"/>
          <w:color w:val="000000"/>
          <w:sz w:val="28"/>
        </w:rPr>
        <w:t xml:space="preserve"> одного борта на 15</w:t>
      </w:r>
      <w:r>
        <w:rPr>
          <w:rFonts w:ascii="Times New Roman"/>
          <w:b w:val="false"/>
          <w:i w:val="false"/>
          <w:color w:val="000000"/>
          <w:vertAlign w:val="superscript"/>
        </w:rPr>
        <w:t>о</w:t>
      </w:r>
      <w:r>
        <w:rPr>
          <w:rFonts w:ascii="Times New Roman"/>
          <w:b w:val="false"/>
          <w:i w:val="false"/>
          <w:color w:val="000000"/>
          <w:sz w:val="28"/>
        </w:rPr>
        <w:t xml:space="preserve"> другого борта не более чем за 60 с, при скорости судна на переднем ходу, равной половине его максимальной, относящейся к этой осадке скорости или 7 уз, в зависимости от того, какое из значений больше.</w:t>
      </w:r>
    </w:p>
    <w:bookmarkEnd w:id="3862"/>
    <w:bookmarkStart w:name="z3852" w:id="3863"/>
    <w:p>
      <w:pPr>
        <w:spacing w:after="0"/>
        <w:ind w:left="0"/>
        <w:jc w:val="both"/>
      </w:pPr>
      <w:r>
        <w:rPr>
          <w:rFonts w:ascii="Times New Roman"/>
          <w:b w:val="false"/>
          <w:i w:val="false"/>
          <w:color w:val="000000"/>
          <w:sz w:val="28"/>
        </w:rPr>
        <w:t>
      1031. На нефтеналивных, нефтеналивных (&gt;60</w:t>
      </w:r>
      <w:r>
        <w:rPr>
          <w:rFonts w:ascii="Times New Roman"/>
          <w:b w:val="false"/>
          <w:i w:val="false"/>
          <w:color w:val="000000"/>
          <w:vertAlign w:val="superscript"/>
        </w:rPr>
        <w:t>о</w:t>
      </w:r>
      <w:r>
        <w:rPr>
          <w:rFonts w:ascii="Times New Roman"/>
          <w:b w:val="false"/>
          <w:i w:val="false"/>
          <w:color w:val="000000"/>
          <w:sz w:val="28"/>
        </w:rPr>
        <w:t>С), комбинированных судах, на газовозах и химовозах валовой вместимостью 10000 и более, а также на всех атомных и на остальных судах валовой вместимостью 70000 и более главный рулевой привод включает в себя два или более одинаковых силовых агрегата, соответствующих требованиям пункта 1032 настоящих Правил (пункты 4315 и 4316 настоящих Правил).</w:t>
      </w:r>
    </w:p>
    <w:bookmarkEnd w:id="3863"/>
    <w:bookmarkStart w:name="z3853" w:id="3864"/>
    <w:p>
      <w:pPr>
        <w:spacing w:after="0"/>
        <w:ind w:left="0"/>
        <w:jc w:val="both"/>
      </w:pPr>
      <w:r>
        <w:rPr>
          <w:rFonts w:ascii="Times New Roman"/>
          <w:b w:val="false"/>
          <w:i w:val="false"/>
          <w:color w:val="000000"/>
          <w:sz w:val="28"/>
        </w:rPr>
        <w:t>
      1032. Если главный рулевой привод включает в себя два или более силовых агрегата, вспомогательный рулевой привод не обязателен в следующих случаях:</w:t>
      </w:r>
    </w:p>
    <w:bookmarkEnd w:id="3864"/>
    <w:bookmarkStart w:name="z3854" w:id="3865"/>
    <w:p>
      <w:pPr>
        <w:spacing w:after="0"/>
        <w:ind w:left="0"/>
        <w:jc w:val="both"/>
      </w:pPr>
      <w:r>
        <w:rPr>
          <w:rFonts w:ascii="Times New Roman"/>
          <w:b w:val="false"/>
          <w:i w:val="false"/>
          <w:color w:val="000000"/>
          <w:sz w:val="28"/>
        </w:rPr>
        <w:t>
      1) на пассажирских и атомных судах и судах специального назначения, имеющих на борту более 200 человек специального персонала, главный рулевой привод обеспечивает выполнение требований пункта 1029 настоящих Правил, при бездействующем любом одном из силовых агрегатов;</w:t>
      </w:r>
    </w:p>
    <w:bookmarkEnd w:id="3865"/>
    <w:bookmarkStart w:name="z3855" w:id="3866"/>
    <w:p>
      <w:pPr>
        <w:spacing w:after="0"/>
        <w:ind w:left="0"/>
        <w:jc w:val="both"/>
      </w:pPr>
      <w:r>
        <w:rPr>
          <w:rFonts w:ascii="Times New Roman"/>
          <w:b w:val="false"/>
          <w:i w:val="false"/>
          <w:color w:val="000000"/>
          <w:sz w:val="28"/>
        </w:rPr>
        <w:t>
      2) на грузовых судах и судах специального назначения, имеющих на борту 200 и менее человек специального персонала, главный рулевой привод обеспечивает выполнение требований пункта 1029 настоящих Правил, при всех действующих силовых агрегатах;</w:t>
      </w:r>
    </w:p>
    <w:bookmarkEnd w:id="3866"/>
    <w:bookmarkStart w:name="z3856" w:id="3867"/>
    <w:p>
      <w:pPr>
        <w:spacing w:after="0"/>
        <w:ind w:left="0"/>
        <w:jc w:val="both"/>
      </w:pPr>
      <w:r>
        <w:rPr>
          <w:rFonts w:ascii="Times New Roman"/>
          <w:b w:val="false"/>
          <w:i w:val="false"/>
          <w:color w:val="000000"/>
          <w:sz w:val="28"/>
        </w:rPr>
        <w:t>
      3) главный рулевой привод устроен так, что при единичном повреждении в системе его трубопровода или в одном из силовых агрегатов это повреждение может быть изолировано для поддержания или быстрого восстановления управляемости судна.</w:t>
      </w:r>
    </w:p>
    <w:bookmarkEnd w:id="3867"/>
    <w:bookmarkStart w:name="z3857" w:id="3868"/>
    <w:p>
      <w:pPr>
        <w:spacing w:after="0"/>
        <w:ind w:left="0"/>
        <w:jc w:val="both"/>
      </w:pPr>
      <w:r>
        <w:rPr>
          <w:rFonts w:ascii="Times New Roman"/>
          <w:b w:val="false"/>
          <w:i w:val="false"/>
          <w:color w:val="000000"/>
          <w:sz w:val="28"/>
        </w:rPr>
        <w:t>
      1033. Если в соответствии с пунктом 972 настоящих Правил требуется, чтобы диаметр головы баллера без учета ледового усиления был более 230 мм, то предусматривается дополнительный источник питания согласно пункту 4995 настоящих Правил мощностью, достаточной по меньшей мере для обеспечения работы силового агрегата рулевого привода в соответствии с требованием пункта 1030 настоящих Правил.</w:t>
      </w:r>
    </w:p>
    <w:bookmarkEnd w:id="3868"/>
    <w:bookmarkStart w:name="z3858" w:id="3869"/>
    <w:p>
      <w:pPr>
        <w:spacing w:after="0"/>
        <w:ind w:left="0"/>
        <w:jc w:val="both"/>
      </w:pPr>
      <w:r>
        <w:rPr>
          <w:rFonts w:ascii="Times New Roman"/>
          <w:b w:val="false"/>
          <w:i w:val="false"/>
          <w:color w:val="000000"/>
          <w:sz w:val="28"/>
        </w:rPr>
        <w:t>
      1034. Главный рулевой привод бывает ручным, если он отвечает требованиям пункта 4238 настоящих Правил и если при этом диаметр баллера руля и поворотной насадки согласно пункту 972 настоящих Правил не превышает 120 мм (без учета ледового усиления).</w:t>
      </w:r>
    </w:p>
    <w:bookmarkEnd w:id="3869"/>
    <w:bookmarkStart w:name="z3859" w:id="3870"/>
    <w:p>
      <w:pPr>
        <w:spacing w:after="0"/>
        <w:ind w:left="0"/>
        <w:jc w:val="both"/>
      </w:pPr>
      <w:r>
        <w:rPr>
          <w:rFonts w:ascii="Times New Roman"/>
          <w:b w:val="false"/>
          <w:i w:val="false"/>
          <w:color w:val="000000"/>
          <w:sz w:val="28"/>
        </w:rPr>
        <w:t>
      Во всех остальных случаях главный рулевой привод приводится в действие от источника энергии.</w:t>
      </w:r>
    </w:p>
    <w:bookmarkEnd w:id="3870"/>
    <w:bookmarkStart w:name="z3860" w:id="3871"/>
    <w:p>
      <w:pPr>
        <w:spacing w:after="0"/>
        <w:ind w:left="0"/>
        <w:jc w:val="both"/>
      </w:pPr>
      <w:r>
        <w:rPr>
          <w:rFonts w:ascii="Times New Roman"/>
          <w:b w:val="false"/>
          <w:i w:val="false"/>
          <w:color w:val="000000"/>
          <w:sz w:val="28"/>
        </w:rPr>
        <w:t>
      1035. Вспомогательный рулевой привод бывает ручным, если он отвечает требованиям пункта 4238 настоящих Правил и если при этом диаметр баллера руля или поворотной насадки согласно пункту 972 настоящих Правил, не превышает 230 мм (без учета ледового усиления).</w:t>
      </w:r>
    </w:p>
    <w:bookmarkEnd w:id="3871"/>
    <w:bookmarkStart w:name="z3861" w:id="3872"/>
    <w:p>
      <w:pPr>
        <w:spacing w:after="0"/>
        <w:ind w:left="0"/>
        <w:jc w:val="both"/>
      </w:pPr>
      <w:r>
        <w:rPr>
          <w:rFonts w:ascii="Times New Roman"/>
          <w:b w:val="false"/>
          <w:i w:val="false"/>
          <w:color w:val="000000"/>
          <w:sz w:val="28"/>
        </w:rPr>
        <w:t>
      Во всех остальных случаях вспомогательный рулевой привод приводится в действие от источника энергии.</w:t>
      </w:r>
    </w:p>
    <w:bookmarkEnd w:id="3872"/>
    <w:bookmarkStart w:name="z3862" w:id="3873"/>
    <w:p>
      <w:pPr>
        <w:spacing w:after="0"/>
        <w:ind w:left="0"/>
        <w:jc w:val="both"/>
      </w:pPr>
      <w:r>
        <w:rPr>
          <w:rFonts w:ascii="Times New Roman"/>
          <w:b w:val="false"/>
          <w:i w:val="false"/>
          <w:color w:val="000000"/>
          <w:sz w:val="28"/>
        </w:rPr>
        <w:t>
      1036. Главный и вспомогательный рулевые приводы действуют независимо один от другого, однако допускается, чтобы главный и вспомогательный рулевые приводы имели некоторые общие части (например, румпель, сектор, редуктор, цилиндровый блок) при условии, что конструктивные размеры этих частей будут увеличены согласно пункту 4248 настоящих Правил.</w:t>
      </w:r>
    </w:p>
    <w:bookmarkEnd w:id="3873"/>
    <w:bookmarkStart w:name="z3863" w:id="3874"/>
    <w:p>
      <w:pPr>
        <w:spacing w:after="0"/>
        <w:ind w:left="0"/>
        <w:jc w:val="both"/>
      </w:pPr>
      <w:r>
        <w:rPr>
          <w:rFonts w:ascii="Times New Roman"/>
          <w:b w:val="false"/>
          <w:i w:val="false"/>
          <w:color w:val="000000"/>
          <w:sz w:val="28"/>
        </w:rPr>
        <w:t>
      1037. Возможно румпель-тали использоват как вспомогательные рулевые приводы только в следующих случаях:</w:t>
      </w:r>
    </w:p>
    <w:bookmarkEnd w:id="3874"/>
    <w:bookmarkStart w:name="z3864" w:id="3875"/>
    <w:p>
      <w:pPr>
        <w:spacing w:after="0"/>
        <w:ind w:left="0"/>
        <w:jc w:val="both"/>
      </w:pPr>
      <w:r>
        <w:rPr>
          <w:rFonts w:ascii="Times New Roman"/>
          <w:b w:val="false"/>
          <w:i w:val="false"/>
          <w:color w:val="000000"/>
          <w:sz w:val="28"/>
        </w:rPr>
        <w:t>
      1) на самоходных судах валовой вместимостью менее 500;</w:t>
      </w:r>
    </w:p>
    <w:bookmarkEnd w:id="3875"/>
    <w:bookmarkStart w:name="z3865" w:id="3876"/>
    <w:p>
      <w:pPr>
        <w:spacing w:after="0"/>
        <w:ind w:left="0"/>
        <w:jc w:val="both"/>
      </w:pPr>
      <w:r>
        <w:rPr>
          <w:rFonts w:ascii="Times New Roman"/>
          <w:b w:val="false"/>
          <w:i w:val="false"/>
          <w:color w:val="000000"/>
          <w:sz w:val="28"/>
        </w:rPr>
        <w:t>
      2) на несамоходных судах.</w:t>
      </w:r>
    </w:p>
    <w:bookmarkEnd w:id="3876"/>
    <w:bookmarkStart w:name="z3866" w:id="3877"/>
    <w:p>
      <w:pPr>
        <w:spacing w:after="0"/>
        <w:ind w:left="0"/>
        <w:jc w:val="both"/>
      </w:pPr>
      <w:r>
        <w:rPr>
          <w:rFonts w:ascii="Times New Roman"/>
          <w:b w:val="false"/>
          <w:i w:val="false"/>
          <w:color w:val="000000"/>
          <w:sz w:val="28"/>
        </w:rPr>
        <w:t>
      В остальных случаях румпель-тали за рулевой привод не признаются, и снабжение ими судов не обязательно.</w:t>
      </w:r>
    </w:p>
    <w:bookmarkEnd w:id="3877"/>
    <w:bookmarkStart w:name="z3867" w:id="3878"/>
    <w:p>
      <w:pPr>
        <w:spacing w:after="0"/>
        <w:ind w:left="0"/>
        <w:jc w:val="both"/>
      </w:pPr>
      <w:r>
        <w:rPr>
          <w:rFonts w:ascii="Times New Roman"/>
          <w:b w:val="false"/>
          <w:i w:val="false"/>
          <w:color w:val="000000"/>
          <w:sz w:val="28"/>
        </w:rPr>
        <w:t xml:space="preserve">
      1038. Рулевое устройство имеет систему ограничителей поворота руля или поворотной насадки, допускающую их перекладку на каждый борт только до угла </w:t>
      </w:r>
    </w:p>
    <w:bookmarkEnd w:id="3878"/>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80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280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perscript"/>
        </w:rPr>
        <w:t>о</w:t>
      </w:r>
      <w:r>
        <w:rPr>
          <w:rFonts w:ascii="Times New Roman"/>
          <w:b w:val="false"/>
          <w:i w:val="false"/>
          <w:color w:val="000000"/>
          <w:sz w:val="28"/>
        </w:rPr>
        <w:t xml:space="preserve"> — максимальный угол перекладки руля или поворотной насадки, на который настроена система управления рулевым приводом, но не более 35</w:t>
      </w:r>
      <w:r>
        <w:rPr>
          <w:rFonts w:ascii="Times New Roman"/>
          <w:b w:val="false"/>
          <w:i w:val="false"/>
          <w:color w:val="000000"/>
          <w:vertAlign w:val="superscript"/>
        </w:rPr>
        <w:t>о</w:t>
      </w:r>
      <w:r>
        <w:rPr>
          <w:rFonts w:ascii="Times New Roman"/>
          <w:b w:val="false"/>
          <w:i w:val="false"/>
          <w:color w:val="000000"/>
          <w:sz w:val="28"/>
        </w:rPr>
        <w:t>; больший угол перекладки является в каждом случае предметом специального рассмотрения Регистром судоходства.</w:t>
      </w:r>
      <w:r>
        <w:br/>
      </w:r>
      <w:r>
        <w:rPr>
          <w:rFonts w:ascii="Times New Roman"/>
          <w:b w:val="false"/>
          <w:i w:val="false"/>
          <w:color w:val="000000"/>
          <w:sz w:val="28"/>
        </w:rPr>
        <w:t>
</w:t>
      </w:r>
    </w:p>
    <w:bookmarkStart w:name="z3868" w:id="3879"/>
    <w:p>
      <w:pPr>
        <w:spacing w:after="0"/>
        <w:ind w:left="0"/>
        <w:jc w:val="both"/>
      </w:pPr>
      <w:r>
        <w:rPr>
          <w:rFonts w:ascii="Times New Roman"/>
          <w:b w:val="false"/>
          <w:i w:val="false"/>
          <w:color w:val="000000"/>
          <w:sz w:val="28"/>
        </w:rPr>
        <w:t>
      Все детали системы ограничения, включая и те, которые одновременно являются деталями рулевого привода, рассчитывают на усилия, соответствующие предельному обратному моменту М</w:t>
      </w:r>
      <w:r>
        <w:rPr>
          <w:rFonts w:ascii="Times New Roman"/>
          <w:b w:val="false"/>
          <w:i w:val="false"/>
          <w:color w:val="000000"/>
          <w:vertAlign w:val="subscript"/>
        </w:rPr>
        <w:t>пр</w:t>
      </w:r>
      <w:r>
        <w:rPr>
          <w:rFonts w:ascii="Times New Roman"/>
          <w:b w:val="false"/>
          <w:i w:val="false"/>
          <w:color w:val="000000"/>
          <w:sz w:val="28"/>
        </w:rPr>
        <w:t>, кН·м, от руля не менее:</w:t>
      </w:r>
    </w:p>
    <w:bookmarkEnd w:id="387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1,135 R</w:t>
      </w:r>
      <w:r>
        <w:rPr>
          <w:rFonts w:ascii="Times New Roman"/>
          <w:b w:val="false"/>
          <w:i w:val="false"/>
          <w:color w:val="000000"/>
          <w:vertAlign w:val="subscript"/>
        </w:rPr>
        <w:t>eH</w:t>
      </w:r>
      <w:r>
        <w:rPr>
          <w:rFonts w:ascii="Times New Roman"/>
          <w:b w:val="false"/>
          <w:i w:val="false"/>
          <w:color w:val="000000"/>
          <w:sz w:val="28"/>
        </w:rPr>
        <w:t xml:space="preserve"> d</w:t>
      </w:r>
      <w:r>
        <w:rPr>
          <w:rFonts w:ascii="Times New Roman"/>
          <w:b w:val="false"/>
          <w:i w:val="false"/>
          <w:color w:val="000000"/>
          <w:vertAlign w:val="superscript"/>
        </w:rPr>
        <w:t>3</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(510)</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sz w:val="28"/>
        </w:rPr>
        <w:t xml:space="preserve"> — действительный диаметр головы баллера, см;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баллера, МПа.</w:t>
      </w:r>
    </w:p>
    <w:bookmarkStart w:name="z3869" w:id="3880"/>
    <w:p>
      <w:pPr>
        <w:spacing w:after="0"/>
        <w:ind w:left="0"/>
        <w:jc w:val="both"/>
      </w:pPr>
      <w:r>
        <w:rPr>
          <w:rFonts w:ascii="Times New Roman"/>
          <w:b w:val="false"/>
          <w:i w:val="false"/>
          <w:color w:val="000000"/>
          <w:sz w:val="28"/>
        </w:rPr>
        <w:t>
      При этом напряжения в этих деталях не превышают 0,95 верхнего предела текучести их материала. Упоры системы устанавливаются на ахтерштевне, палубе, платформе, переборке или на других элементах конструкции корпуса судна.</w:t>
      </w:r>
    </w:p>
    <w:bookmarkEnd w:id="3880"/>
    <w:bookmarkStart w:name="z3870" w:id="3881"/>
    <w:p>
      <w:pPr>
        <w:spacing w:after="0"/>
        <w:ind w:left="0"/>
        <w:jc w:val="both"/>
      </w:pPr>
      <w:r>
        <w:rPr>
          <w:rFonts w:ascii="Times New Roman"/>
          <w:b w:val="false"/>
          <w:i w:val="false"/>
          <w:color w:val="000000"/>
          <w:sz w:val="28"/>
        </w:rPr>
        <w:t>
      При активном руле, когда возможно потребуется его перекладка на угол, превышающий максимальный обычный, установка ограничителей является в каждом случае предметом специального рассмотрения Регистром судоходства.</w:t>
      </w:r>
    </w:p>
    <w:bookmarkEnd w:id="3881"/>
    <w:bookmarkStart w:name="z3871" w:id="3882"/>
    <w:p>
      <w:pPr>
        <w:spacing w:after="0"/>
        <w:ind w:left="0"/>
        <w:jc w:val="both"/>
      </w:pPr>
      <w:r>
        <w:rPr>
          <w:rFonts w:ascii="Times New Roman"/>
          <w:b w:val="false"/>
          <w:i w:val="false"/>
          <w:color w:val="000000"/>
          <w:sz w:val="28"/>
        </w:rPr>
        <w:t>
      1039. Управление главным рулевым приводом предусматривается с ходового мостика и из румпельного отделения.</w:t>
      </w:r>
    </w:p>
    <w:bookmarkEnd w:id="3882"/>
    <w:bookmarkStart w:name="z3872" w:id="3883"/>
    <w:p>
      <w:pPr>
        <w:spacing w:after="0"/>
        <w:ind w:left="0"/>
        <w:jc w:val="both"/>
      </w:pPr>
      <w:r>
        <w:rPr>
          <w:rFonts w:ascii="Times New Roman"/>
          <w:b w:val="false"/>
          <w:i w:val="false"/>
          <w:color w:val="000000"/>
          <w:sz w:val="28"/>
        </w:rPr>
        <w:t>
      1040. Для главных рулевых приводов, выполняемых в соответствии с пунктами 1031 или 1032 настоящих Правил, предусматривают две независимые системы управления, каждая из которых приводится в действие с ходового мостика. Допускается, чтобы эти системы имели общий штурвал или рукоятку управления. Если в систему управления входит гидравлический телемотор, Регистр судоходства освобождает судно (за исключением нефтеналивных, нефтеналивных (&gt;60</w:t>
      </w:r>
      <w:r>
        <w:rPr>
          <w:rFonts w:ascii="Times New Roman"/>
          <w:b w:val="false"/>
          <w:i w:val="false"/>
          <w:color w:val="000000"/>
          <w:vertAlign w:val="superscript"/>
        </w:rPr>
        <w:t>о</w:t>
      </w:r>
      <w:r>
        <w:rPr>
          <w:rFonts w:ascii="Times New Roman"/>
          <w:b w:val="false"/>
          <w:i w:val="false"/>
          <w:color w:val="000000"/>
          <w:sz w:val="28"/>
        </w:rPr>
        <w:t>С), комбинированных судов, газовозов и химовозов валовой вместимостью 10000 и более, остальных судов валовой вместимостью 70000 и более) от необходимости предусматривать вторую независимую систему управления для всех этих рулевых приводов.</w:t>
      </w:r>
    </w:p>
    <w:bookmarkEnd w:id="3883"/>
    <w:bookmarkStart w:name="z3873" w:id="3884"/>
    <w:p>
      <w:pPr>
        <w:spacing w:after="0"/>
        <w:ind w:left="0"/>
        <w:jc w:val="both"/>
      </w:pPr>
      <w:r>
        <w:rPr>
          <w:rFonts w:ascii="Times New Roman"/>
          <w:b w:val="false"/>
          <w:i w:val="false"/>
          <w:color w:val="000000"/>
          <w:sz w:val="28"/>
        </w:rPr>
        <w:t>
      1041. Управление вспомогательным рулевым приводом предусматривается из румпельного отделения. Для вспомогательного рулевого привода, действующего от источника энергии, предусматривается управление также с ходового мостика. Необходимо чтобы это управление было независимым от системы управления главным рулевым приводом.</w:t>
      </w:r>
    </w:p>
    <w:bookmarkEnd w:id="3884"/>
    <w:bookmarkStart w:name="z3874" w:id="3885"/>
    <w:p>
      <w:pPr>
        <w:spacing w:after="0"/>
        <w:ind w:left="0"/>
        <w:jc w:val="both"/>
      </w:pPr>
      <w:r>
        <w:rPr>
          <w:rFonts w:ascii="Times New Roman"/>
          <w:b w:val="false"/>
          <w:i w:val="false"/>
          <w:color w:val="000000"/>
          <w:sz w:val="28"/>
        </w:rPr>
        <w:t>
      1042. Около каждого поста управления главным и вспомогательным рулевыми приводами, а также в помещении рулевых механизмов указывается угол положения руля или поворотной насадки. Разница между указанным и действительным углом положения руля или поворотной насадки не более:</w:t>
      </w:r>
    </w:p>
    <w:bookmarkEnd w:id="3885"/>
    <w:bookmarkStart w:name="z3875" w:id="3886"/>
    <w:p>
      <w:pPr>
        <w:spacing w:after="0"/>
        <w:ind w:left="0"/>
        <w:jc w:val="both"/>
      </w:pPr>
      <w:r>
        <w:rPr>
          <w:rFonts w:ascii="Times New Roman"/>
          <w:b w:val="false"/>
          <w:i w:val="false"/>
          <w:color w:val="000000"/>
          <w:sz w:val="28"/>
        </w:rPr>
        <w:t>
      1) 1</w:t>
      </w:r>
      <w:r>
        <w:rPr>
          <w:rFonts w:ascii="Times New Roman"/>
          <w:b w:val="false"/>
          <w:i w:val="false"/>
          <w:color w:val="000000"/>
          <w:vertAlign w:val="superscript"/>
        </w:rPr>
        <w:t>о</w:t>
      </w:r>
      <w:r>
        <w:rPr>
          <w:rFonts w:ascii="Times New Roman"/>
          <w:b w:val="false"/>
          <w:i w:val="false"/>
          <w:color w:val="000000"/>
          <w:sz w:val="28"/>
        </w:rPr>
        <w:t xml:space="preserve"> — при положении руля или поворотной насадки в диаметральной плоскости или параллельно к ней;</w:t>
      </w:r>
    </w:p>
    <w:bookmarkEnd w:id="3886"/>
    <w:bookmarkStart w:name="z3876" w:id="3887"/>
    <w:p>
      <w:pPr>
        <w:spacing w:after="0"/>
        <w:ind w:left="0"/>
        <w:jc w:val="both"/>
      </w:pPr>
      <w:r>
        <w:rPr>
          <w:rFonts w:ascii="Times New Roman"/>
          <w:b w:val="false"/>
          <w:i w:val="false"/>
          <w:color w:val="000000"/>
          <w:sz w:val="28"/>
        </w:rPr>
        <w:t>
      2) 1,5</w:t>
      </w:r>
      <w:r>
        <w:rPr>
          <w:rFonts w:ascii="Times New Roman"/>
          <w:b w:val="false"/>
          <w:i w:val="false"/>
          <w:color w:val="000000"/>
          <w:vertAlign w:val="superscript"/>
        </w:rPr>
        <w:t>о</w:t>
      </w:r>
      <w:r>
        <w:rPr>
          <w:rFonts w:ascii="Times New Roman"/>
          <w:b w:val="false"/>
          <w:i w:val="false"/>
          <w:color w:val="000000"/>
          <w:sz w:val="28"/>
        </w:rPr>
        <w:t xml:space="preserve"> — при углах положения руля или поворотной насадки от 0</w:t>
      </w:r>
      <w:r>
        <w:rPr>
          <w:rFonts w:ascii="Times New Roman"/>
          <w:b w:val="false"/>
          <w:i w:val="false"/>
          <w:color w:val="000000"/>
          <w:vertAlign w:val="superscript"/>
        </w:rPr>
        <w:t>о</w:t>
      </w:r>
      <w:r>
        <w:rPr>
          <w:rFonts w:ascii="Times New Roman"/>
          <w:b w:val="false"/>
          <w:i w:val="false"/>
          <w:color w:val="000000"/>
          <w:sz w:val="28"/>
        </w:rPr>
        <w:t xml:space="preserve"> до 5</w:t>
      </w:r>
      <w:r>
        <w:rPr>
          <w:rFonts w:ascii="Times New Roman"/>
          <w:b w:val="false"/>
          <w:i w:val="false"/>
          <w:color w:val="000000"/>
          <w:vertAlign w:val="superscript"/>
        </w:rPr>
        <w:t>о</w:t>
      </w:r>
      <w:r>
        <w:rPr>
          <w:rFonts w:ascii="Times New Roman"/>
          <w:b w:val="false"/>
          <w:i w:val="false"/>
          <w:color w:val="000000"/>
          <w:sz w:val="28"/>
        </w:rPr>
        <w:t>;</w:t>
      </w:r>
    </w:p>
    <w:bookmarkEnd w:id="3887"/>
    <w:bookmarkStart w:name="z3877" w:id="3888"/>
    <w:p>
      <w:pPr>
        <w:spacing w:after="0"/>
        <w:ind w:left="0"/>
        <w:jc w:val="both"/>
      </w:pPr>
      <w:r>
        <w:rPr>
          <w:rFonts w:ascii="Times New Roman"/>
          <w:b w:val="false"/>
          <w:i w:val="false"/>
          <w:color w:val="000000"/>
          <w:sz w:val="28"/>
        </w:rPr>
        <w:t>
      3) 2,5</w:t>
      </w:r>
      <w:r>
        <w:rPr>
          <w:rFonts w:ascii="Times New Roman"/>
          <w:b w:val="false"/>
          <w:i w:val="false"/>
          <w:color w:val="000000"/>
          <w:vertAlign w:val="superscript"/>
        </w:rPr>
        <w:t>о</w:t>
      </w:r>
      <w:r>
        <w:rPr>
          <w:rFonts w:ascii="Times New Roman"/>
          <w:b w:val="false"/>
          <w:i w:val="false"/>
          <w:color w:val="000000"/>
          <w:sz w:val="28"/>
        </w:rPr>
        <w:t xml:space="preserve"> — при углах положения руля или поворотной насадки от 5</w:t>
      </w:r>
      <w:r>
        <w:rPr>
          <w:rFonts w:ascii="Times New Roman"/>
          <w:b w:val="false"/>
          <w:i w:val="false"/>
          <w:color w:val="000000"/>
          <w:vertAlign w:val="superscript"/>
        </w:rPr>
        <w:t>о</w:t>
      </w:r>
      <w:r>
        <w:rPr>
          <w:rFonts w:ascii="Times New Roman"/>
          <w:b w:val="false"/>
          <w:i w:val="false"/>
          <w:color w:val="000000"/>
          <w:sz w:val="28"/>
        </w:rPr>
        <w:t xml:space="preserve"> до 35</w:t>
      </w:r>
      <w:r>
        <w:rPr>
          <w:rFonts w:ascii="Times New Roman"/>
          <w:b w:val="false"/>
          <w:i w:val="false"/>
          <w:color w:val="000000"/>
          <w:vertAlign w:val="superscript"/>
        </w:rPr>
        <w:t>о</w:t>
      </w:r>
      <w:r>
        <w:rPr>
          <w:rFonts w:ascii="Times New Roman"/>
          <w:b w:val="false"/>
          <w:i w:val="false"/>
          <w:color w:val="000000"/>
          <w:sz w:val="28"/>
        </w:rPr>
        <w:t>.</w:t>
      </w:r>
    </w:p>
    <w:bookmarkEnd w:id="3888"/>
    <w:bookmarkStart w:name="z3878" w:id="3889"/>
    <w:p>
      <w:pPr>
        <w:spacing w:after="0"/>
        <w:ind w:left="0"/>
        <w:jc w:val="both"/>
      </w:pPr>
      <w:r>
        <w:rPr>
          <w:rFonts w:ascii="Times New Roman"/>
          <w:b w:val="false"/>
          <w:i w:val="false"/>
          <w:color w:val="000000"/>
          <w:sz w:val="28"/>
        </w:rPr>
        <w:t>
      Необходимо чтобы указание положения руля или поворотной насадки было независимым от системы управления рулевым приводом.</w:t>
      </w:r>
    </w:p>
    <w:bookmarkEnd w:id="3889"/>
    <w:bookmarkStart w:name="z3879" w:id="3890"/>
    <w:p>
      <w:pPr>
        <w:spacing w:after="0"/>
        <w:ind w:left="0"/>
        <w:jc w:val="both"/>
      </w:pPr>
      <w:r>
        <w:rPr>
          <w:rFonts w:ascii="Times New Roman"/>
          <w:b w:val="false"/>
          <w:i w:val="false"/>
          <w:color w:val="000000"/>
          <w:sz w:val="28"/>
        </w:rPr>
        <w:t>
      1043. Во всем остальном рулевые приводы отвечают требованиям разделов 11 и 13 настоящих Правил.</w:t>
      </w:r>
    </w:p>
    <w:bookmarkEnd w:id="3890"/>
    <w:bookmarkStart w:name="z3880" w:id="3891"/>
    <w:p>
      <w:pPr>
        <w:spacing w:after="0"/>
        <w:ind w:left="0"/>
        <w:jc w:val="left"/>
      </w:pPr>
      <w:r>
        <w:rPr>
          <w:rFonts w:ascii="Times New Roman"/>
          <w:b/>
          <w:i w:val="false"/>
          <w:color w:val="000000"/>
        </w:rPr>
        <w:t xml:space="preserve"> Глава 55. Эффективность рулей и поворотных насадок</w:t>
      </w:r>
    </w:p>
    <w:bookmarkEnd w:id="3891"/>
    <w:p>
      <w:pPr>
        <w:spacing w:after="0"/>
        <w:ind w:left="0"/>
        <w:jc w:val="both"/>
      </w:pPr>
      <w:r>
        <w:rPr>
          <w:rFonts w:ascii="Times New Roman"/>
          <w:b w:val="false"/>
          <w:i w:val="false"/>
          <w:color w:val="ff0000"/>
          <w:sz w:val="28"/>
        </w:rPr>
        <w:t xml:space="preserve">
      Сноска. Заголовок главы 55 -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81" w:id="3892"/>
    <w:p>
      <w:pPr>
        <w:spacing w:after="0"/>
        <w:ind w:left="0"/>
        <w:jc w:val="left"/>
      </w:pPr>
      <w:r>
        <w:rPr>
          <w:rFonts w:ascii="Times New Roman"/>
          <w:b/>
          <w:i w:val="false"/>
          <w:color w:val="000000"/>
        </w:rPr>
        <w:t xml:space="preserve"> Параграф 1. Общие требования</w:t>
      </w:r>
    </w:p>
    <w:bookmarkEnd w:id="3892"/>
    <w:bookmarkStart w:name="z3882" w:id="3893"/>
    <w:p>
      <w:pPr>
        <w:spacing w:after="0"/>
        <w:ind w:left="0"/>
        <w:jc w:val="both"/>
      </w:pPr>
      <w:r>
        <w:rPr>
          <w:rFonts w:ascii="Times New Roman"/>
          <w:b w:val="false"/>
          <w:i w:val="false"/>
          <w:color w:val="000000"/>
          <w:sz w:val="28"/>
        </w:rPr>
        <w:t>
      1044. Выбор основных характеристик судна, влияющих на управляемость, характеристик рулевого устройства и устройства с поворотной насадкой производится по усмотрению проектанта и судовладельца с учетом необходимости обеспечения надлежащей управляемости судна, соответствующей его назначению и условиям эксплуатации, необходимости обеспечения соответствия относительных площадей рулей или поворотных насадок проектируемого судна и судна прототипа, при условии, однако, что суммарная эффективность выбранных рулей и (или) поворотных насадок не менее предписанной в настоящей главе Правил.</w:t>
      </w:r>
    </w:p>
    <w:bookmarkEnd w:id="3893"/>
    <w:bookmarkStart w:name="z3883" w:id="3894"/>
    <w:p>
      <w:pPr>
        <w:spacing w:after="0"/>
        <w:ind w:left="0"/>
        <w:jc w:val="both"/>
      </w:pPr>
      <w:r>
        <w:rPr>
          <w:rFonts w:ascii="Times New Roman"/>
          <w:b w:val="false"/>
          <w:i w:val="false"/>
          <w:color w:val="000000"/>
          <w:sz w:val="28"/>
        </w:rPr>
        <w:t>
      1045. Требования настоящей главы распространяются на кормовые рули и поворотные насадки (пункт 915 настоящих Правил), устанавливаемые в соответствии с указаниями пункта 913 настоящих Правил на самоходных судах (кроме ледоколов) длиной 20 м и более, плавающих в водоизмещающем состоянии, неограниченного района плавания и ограниченного района плавания I. Для судов ограниченных районов плавания II и III нормы параграфа 3 настоящей главы Правил являются рекомендуемыми.</w:t>
      </w:r>
    </w:p>
    <w:bookmarkEnd w:id="3894"/>
    <w:bookmarkStart w:name="z3884" w:id="3895"/>
    <w:p>
      <w:pPr>
        <w:spacing w:after="0"/>
        <w:ind w:left="0"/>
        <w:jc w:val="both"/>
      </w:pPr>
      <w:r>
        <w:rPr>
          <w:rFonts w:ascii="Times New Roman"/>
          <w:b w:val="false"/>
          <w:i w:val="false"/>
          <w:color w:val="000000"/>
          <w:sz w:val="28"/>
        </w:rPr>
        <w:t>
      Для судов смешанных районов плавания II СП и III СП нормы параграфа 3 настоящей главы Правил являются рекомендуемыми, причем выполнение этих норм не служит основанием для невыполнения действующих норм управляемости судов внутреннего плавания.</w:t>
      </w:r>
    </w:p>
    <w:bookmarkEnd w:id="3895"/>
    <w:bookmarkStart w:name="z3885" w:id="3896"/>
    <w:p>
      <w:pPr>
        <w:spacing w:after="0"/>
        <w:ind w:left="0"/>
        <w:jc w:val="both"/>
      </w:pPr>
      <w:r>
        <w:rPr>
          <w:rFonts w:ascii="Times New Roman"/>
          <w:b w:val="false"/>
          <w:i w:val="false"/>
          <w:color w:val="000000"/>
          <w:sz w:val="28"/>
        </w:rPr>
        <w:t>
      1046. Требования настоящей главы распространяются на суда, у которых геометрические характеристики корпуса находятся в следующих пределах:</w:t>
      </w:r>
    </w:p>
    <w:bookmarkEnd w:id="38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67691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В</w:t>
      </w:r>
      <w:r>
        <w:rPr>
          <w:rFonts w:ascii="Times New Roman"/>
          <w:b w:val="false"/>
          <w:i w:val="false"/>
          <w:color w:val="000000"/>
          <w:sz w:val="28"/>
        </w:rPr>
        <w:t xml:space="preserve"> — ширина судна, м;</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В</w:t>
      </w:r>
      <w:r>
        <w:rPr>
          <w:rFonts w:ascii="Times New Roman"/>
          <w:b w:val="false"/>
          <w:i w:val="false"/>
          <w:color w:val="000000"/>
          <w:sz w:val="28"/>
        </w:rPr>
        <w:t>, d, L</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и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пункты 925, 975 и 1054 настоящих Правил, соответственно.</w:t>
      </w:r>
      <w:r>
        <w:br/>
      </w:r>
      <w:r>
        <w:rPr>
          <w:rFonts w:ascii="Times New Roman"/>
          <w:b w:val="false"/>
          <w:i w:val="false"/>
          <w:color w:val="000000"/>
          <w:sz w:val="28"/>
        </w:rPr>
        <w:t>
</w:t>
      </w:r>
    </w:p>
    <w:bookmarkStart w:name="z3886" w:id="3897"/>
    <w:p>
      <w:pPr>
        <w:spacing w:after="0"/>
        <w:ind w:left="0"/>
        <w:jc w:val="both"/>
      </w:pPr>
      <w:r>
        <w:rPr>
          <w:rFonts w:ascii="Times New Roman"/>
          <w:b w:val="false"/>
          <w:i w:val="false"/>
          <w:color w:val="000000"/>
          <w:sz w:val="28"/>
        </w:rPr>
        <w:t>
      Для остальных судов требования настоящей главы применяются по специальному согласованию с Регистром судоходства.</w:t>
      </w:r>
    </w:p>
    <w:bookmarkEnd w:id="3897"/>
    <w:bookmarkStart w:name="z3887" w:id="3898"/>
    <w:p>
      <w:pPr>
        <w:spacing w:after="0"/>
        <w:ind w:left="0"/>
        <w:jc w:val="both"/>
      </w:pPr>
      <w:r>
        <w:rPr>
          <w:rFonts w:ascii="Times New Roman"/>
          <w:b w:val="false"/>
          <w:i w:val="false"/>
          <w:color w:val="000000"/>
          <w:sz w:val="28"/>
        </w:rPr>
        <w:t>
      1047. Требования настоящей главы Правил распространяются на суда-катамараны, которые имеют два одинаковых корпуса (симметричных относительно своей диаметральной плоскости) с главными размерениями и характеристиками каждого, соответствующими указаниям пункта 1046 настоящих Правил, и которые имеют два одинаковых руля или две поворотные насадки, расположенные в диаметральной плоскости каждого корпуса.</w:t>
      </w:r>
    </w:p>
    <w:bookmarkEnd w:id="3898"/>
    <w:bookmarkStart w:name="z3888" w:id="3899"/>
    <w:p>
      <w:pPr>
        <w:spacing w:after="0"/>
        <w:ind w:left="0"/>
        <w:jc w:val="both"/>
      </w:pPr>
      <w:r>
        <w:rPr>
          <w:rFonts w:ascii="Times New Roman"/>
          <w:b w:val="false"/>
          <w:i w:val="false"/>
          <w:color w:val="000000"/>
          <w:sz w:val="28"/>
        </w:rPr>
        <w:t>
      1048. Средства активного управления судами, не являющиеся основными средствами управления судном (подруливающие устройства, активные рули), рассматриваются как средства, дополняющие регламентируемый минимум, и при выполнении требований настоящей главы не учитываются (пункт 918 настоящих Правил).</w:t>
      </w:r>
    </w:p>
    <w:bookmarkEnd w:id="3899"/>
    <w:bookmarkStart w:name="z3889" w:id="3900"/>
    <w:p>
      <w:pPr>
        <w:spacing w:after="0"/>
        <w:ind w:left="0"/>
        <w:jc w:val="left"/>
      </w:pPr>
      <w:r>
        <w:rPr>
          <w:rFonts w:ascii="Times New Roman"/>
          <w:b/>
          <w:i w:val="false"/>
          <w:color w:val="000000"/>
        </w:rPr>
        <w:t xml:space="preserve"> Параграф 2. Определение эффективности рулей и поворотных</w:t>
      </w:r>
      <w:r>
        <w:br/>
      </w:r>
      <w:r>
        <w:rPr>
          <w:rFonts w:ascii="Times New Roman"/>
          <w:b/>
          <w:i w:val="false"/>
          <w:color w:val="000000"/>
        </w:rPr>
        <w:t>насадок</w:t>
      </w:r>
    </w:p>
    <w:bookmarkEnd w:id="3900"/>
    <w:bookmarkStart w:name="z3890" w:id="3901"/>
    <w:p>
      <w:pPr>
        <w:spacing w:after="0"/>
        <w:ind w:left="0"/>
        <w:jc w:val="both"/>
      </w:pPr>
      <w:r>
        <w:rPr>
          <w:rFonts w:ascii="Times New Roman"/>
          <w:b w:val="false"/>
          <w:i w:val="false"/>
          <w:color w:val="000000"/>
          <w:sz w:val="28"/>
        </w:rPr>
        <w:t>
      1049. Эффективность выбранного руля Е</w:t>
      </w:r>
      <w:r>
        <w:rPr>
          <w:rFonts w:ascii="Times New Roman"/>
          <w:b w:val="false"/>
          <w:i w:val="false"/>
          <w:color w:val="000000"/>
          <w:vertAlign w:val="subscript"/>
        </w:rPr>
        <w:t>р</w:t>
      </w:r>
      <w:r>
        <w:rPr>
          <w:rFonts w:ascii="Times New Roman"/>
          <w:b w:val="false"/>
          <w:i w:val="false"/>
          <w:color w:val="000000"/>
          <w:sz w:val="28"/>
        </w:rPr>
        <w:t>, кроме рулей типов IV, X и XIII (приложение 161 настоящих Правил), определяется по формуле:</w:t>
      </w:r>
    </w:p>
    <w:bookmarkEnd w:id="39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8829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16510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коэффициент:</w:t>
      </w:r>
    </w:p>
    <w:p>
      <w:pPr>
        <w:spacing w:after="0"/>
        <w:ind w:left="0"/>
        <w:jc w:val="both"/>
      </w:pPr>
      <w:r>
        <w:rPr>
          <w:rFonts w:ascii="Times New Roman"/>
          <w:b w:val="false"/>
          <w:i w:val="false"/>
          <w:color w:val="000000"/>
          <w:sz w:val="28"/>
        </w:rPr>
        <w:t>
      для руля, расположенного в диаметральной плоскости судна за гребным винтом,</w:t>
      </w:r>
    </w:p>
    <w:p>
      <w:pPr>
        <w:spacing w:after="0"/>
        <w:ind w:left="0"/>
        <w:jc w:val="both"/>
      </w:pPr>
      <w:r>
        <w:rPr>
          <w:rFonts w:ascii="Times New Roman"/>
          <w:b w:val="false"/>
          <w:i w:val="false"/>
          <w:color w:val="000000"/>
          <w:sz w:val="28"/>
        </w:rPr>
        <w:t>
                                    W= 0,3 С</w:t>
      </w:r>
      <w:r>
        <w:rPr>
          <w:rFonts w:ascii="Times New Roman"/>
          <w:b w:val="false"/>
          <w:i w:val="false"/>
          <w:color w:val="000000"/>
          <w:vertAlign w:val="subscript"/>
        </w:rPr>
        <w:t>В</w:t>
      </w:r>
      <w:r>
        <w:rPr>
          <w:rFonts w:ascii="Times New Roman"/>
          <w:b w:val="false"/>
          <w:i w:val="false"/>
          <w:color w:val="000000"/>
          <w:sz w:val="28"/>
        </w:rPr>
        <w:t>;                         (513)</w:t>
      </w:r>
    </w:p>
    <w:p>
      <w:pPr>
        <w:spacing w:after="0"/>
        <w:ind w:left="0"/>
        <w:jc w:val="both"/>
      </w:pPr>
      <w:r>
        <w:rPr>
          <w:rFonts w:ascii="Times New Roman"/>
          <w:b w:val="false"/>
          <w:i w:val="false"/>
          <w:color w:val="000000"/>
          <w:sz w:val="28"/>
        </w:rPr>
        <w:t>
      для руля, расположенного в диаметральной плоскости судна, при отсутствии перед ним гребного винта принимается:</w:t>
      </w:r>
    </w:p>
    <w:p>
      <w:pPr>
        <w:spacing w:after="0"/>
        <w:ind w:left="0"/>
        <w:jc w:val="both"/>
      </w:pPr>
      <w:r>
        <w:rPr>
          <w:rFonts w:ascii="Times New Roman"/>
          <w:b w:val="false"/>
          <w:i w:val="false"/>
          <w:color w:val="000000"/>
          <w:sz w:val="28"/>
        </w:rPr>
        <w:t>
                                        W= 0,                         (514)</w:t>
      </w:r>
    </w:p>
    <w:p>
      <w:pPr>
        <w:spacing w:after="0"/>
        <w:ind w:left="0"/>
        <w:jc w:val="both"/>
      </w:pPr>
      <w:r>
        <w:rPr>
          <w:rFonts w:ascii="Times New Roman"/>
          <w:b w:val="false"/>
          <w:i w:val="false"/>
          <w:color w:val="000000"/>
          <w:sz w:val="28"/>
        </w:rPr>
        <w:t>
      для бортовых рулей</w:t>
      </w:r>
    </w:p>
    <w:p>
      <w:pPr>
        <w:spacing w:after="0"/>
        <w:ind w:left="0"/>
        <w:jc w:val="both"/>
      </w:pPr>
      <w:r>
        <w:rPr>
          <w:rFonts w:ascii="Times New Roman"/>
          <w:b w:val="false"/>
          <w:i w:val="false"/>
          <w:color w:val="000000"/>
          <w:sz w:val="28"/>
        </w:rPr>
        <w:t>
                                    W= 0,4 С</w:t>
      </w:r>
      <w:r>
        <w:rPr>
          <w:rFonts w:ascii="Times New Roman"/>
          <w:b w:val="false"/>
          <w:i w:val="false"/>
          <w:color w:val="000000"/>
          <w:vertAlign w:val="subscript"/>
        </w:rPr>
        <w:t>В</w:t>
      </w:r>
      <w:r>
        <w:rPr>
          <w:rFonts w:ascii="Times New Roman"/>
          <w:b w:val="false"/>
          <w:i w:val="false"/>
          <w:color w:val="000000"/>
          <w:sz w:val="28"/>
        </w:rPr>
        <w:t xml:space="preserve"> —0,13,                   (515)</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площадь подводной части диаметральной плоскости судна при осадке по летнюю грузовую ватерлинию,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А, А</w:t>
      </w:r>
      <w:r>
        <w:rPr>
          <w:rFonts w:ascii="Times New Roman"/>
          <w:b w:val="false"/>
          <w:i w:val="false"/>
          <w:color w:val="000000"/>
          <w:vertAlign w:val="subscript"/>
        </w:rPr>
        <w:t>В</w:t>
      </w:r>
      <w:r>
        <w:rPr>
          <w:rFonts w:ascii="Times New Roman"/>
          <w:b w:val="false"/>
          <w:i w:val="false"/>
          <w:color w:val="000000"/>
          <w:sz w:val="28"/>
        </w:rPr>
        <w:t>, h</w:t>
      </w:r>
      <w:r>
        <w:rPr>
          <w:rFonts w:ascii="Times New Roman"/>
          <w:b w:val="false"/>
          <w:i w:val="false"/>
          <w:color w:val="000000"/>
          <w:vertAlign w:val="subscript"/>
        </w:rPr>
        <w:t>p</w:t>
      </w:r>
      <w:r>
        <w:rPr>
          <w:rFonts w:ascii="Times New Roman"/>
          <w:b w:val="false"/>
          <w:i w:val="false"/>
          <w:color w:val="000000"/>
          <w:sz w:val="28"/>
        </w:rPr>
        <w:t>, С</w:t>
      </w:r>
      <w:r>
        <w:rPr>
          <w:rFonts w:ascii="Times New Roman"/>
          <w:b w:val="false"/>
          <w:i w:val="false"/>
          <w:color w:val="000000"/>
          <w:vertAlign w:val="subscript"/>
        </w:rPr>
        <w:t>В</w:t>
      </w:r>
      <w:r>
        <w:rPr>
          <w:rFonts w:ascii="Times New Roman"/>
          <w:b w:val="false"/>
          <w:i w:val="false"/>
          <w:color w:val="000000"/>
          <w:sz w:val="28"/>
        </w:rPr>
        <w:t xml:space="preserve"> — пункт 925 настоящих Правил;</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НВ</w:t>
      </w:r>
      <w:r>
        <w:rPr>
          <w:rFonts w:ascii="Times New Roman"/>
          <w:b w:val="false"/>
          <w:i w:val="false"/>
          <w:color w:val="000000"/>
          <w:sz w:val="28"/>
        </w:rPr>
        <w:t xml:space="preserve"> — определяется по формуле (428) настоящих Правил с учетом формулы (424) настоящих Правил при значениях </w:t>
      </w:r>
      <w:r>
        <w:rPr>
          <w:rFonts w:ascii="Times New Roman"/>
          <w:b w:val="false"/>
          <w:i/>
          <w:color w:val="000000"/>
          <w:sz w:val="28"/>
        </w:rPr>
        <w:t>W</w:t>
      </w:r>
      <w:r>
        <w:rPr>
          <w:rFonts w:ascii="Times New Roman"/>
          <w:b w:val="false"/>
          <w:i w:val="false"/>
          <w:color w:val="000000"/>
          <w:sz w:val="28"/>
        </w:rPr>
        <w:t xml:space="preserve">, как указано в настоящем пункте, и с учетом пункта 930 настоящих Правил; при этом для рулей, не работающих непосредственно за гребным винтом, величина упора </w:t>
      </w:r>
      <w:r>
        <w:rPr>
          <w:rFonts w:ascii="Times New Roman"/>
          <w:b w:val="false"/>
          <w:i/>
          <w:color w:val="000000"/>
          <w:sz w:val="28"/>
        </w:rPr>
        <w:t>Т</w:t>
      </w:r>
      <w:r>
        <w:rPr>
          <w:rFonts w:ascii="Times New Roman"/>
          <w:b w:val="false"/>
          <w:i w:val="false"/>
          <w:color w:val="000000"/>
          <w:sz w:val="28"/>
        </w:rPr>
        <w:t xml:space="preserve"> принимается равной нулю.</w:t>
      </w:r>
    </w:p>
    <w:bookmarkStart w:name="z3891" w:id="3902"/>
    <w:p>
      <w:pPr>
        <w:spacing w:after="0"/>
        <w:ind w:left="0"/>
        <w:jc w:val="both"/>
      </w:pPr>
      <w:r>
        <w:rPr>
          <w:rFonts w:ascii="Times New Roman"/>
          <w:b w:val="false"/>
          <w:i w:val="false"/>
          <w:color w:val="000000"/>
          <w:sz w:val="28"/>
        </w:rPr>
        <w:t>
      1050. Эффективность выбранного руля (Е</w:t>
      </w:r>
      <w:r>
        <w:rPr>
          <w:rFonts w:ascii="Times New Roman"/>
          <w:b w:val="false"/>
          <w:i w:val="false"/>
          <w:color w:val="000000"/>
          <w:vertAlign w:val="subscript"/>
        </w:rPr>
        <w:t>рр</w:t>
      </w:r>
      <w:r>
        <w:rPr>
          <w:rFonts w:ascii="Times New Roman"/>
          <w:b w:val="false"/>
          <w:i w:val="false"/>
          <w:color w:val="000000"/>
          <w:sz w:val="28"/>
        </w:rPr>
        <w:t>) типов IV, X или XIII (приложение 161 настоящих Правил) определяется по формуле:</w:t>
      </w:r>
    </w:p>
    <w:bookmarkEnd w:id="39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22098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(516)</w:t>
      </w:r>
      <w:r>
        <w:br/>
      </w:r>
      <w:r>
        <w:rPr>
          <w:rFonts w:ascii="Times New Roman"/>
          <w:b w:val="false"/>
          <w:i w:val="false"/>
          <w:color w:val="000000"/>
          <w:sz w:val="28"/>
        </w:rPr>
        <w:t>
</w:t>
      </w:r>
      <w:r>
        <w:br/>
      </w:r>
    </w:p>
    <w:p>
      <w:pPr>
        <w:spacing w:after="0"/>
        <w:ind w:left="0"/>
        <w:jc w:val="both"/>
      </w:pPr>
      <w:r>
        <w:drawing>
          <wp:inline distT="0" distB="0" distL="0" distR="0">
            <wp:extent cx="32639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3263900" cy="127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Здесь:</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р</w:t>
      </w:r>
      <w:r>
        <w:rPr>
          <w:rFonts w:ascii="Times New Roman"/>
          <w:b w:val="false"/>
          <w:i w:val="false"/>
          <w:color w:val="000000"/>
          <w:sz w:val="28"/>
        </w:rPr>
        <w:t xml:space="preserve"> — ширина пера руля,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k</w:t>
      </w:r>
      <w:r>
        <w:rPr>
          <w:rFonts w:ascii="Times New Roman"/>
          <w:b w:val="false"/>
          <w:i w:val="false"/>
          <w:color w:val="000000"/>
          <w:sz w:val="28"/>
        </w:rPr>
        <w:t xml:space="preserve"> — суммарная ширина руля и рудерпоста, м;</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к</w:t>
      </w:r>
      <w:r>
        <w:rPr>
          <w:rFonts w:ascii="Times New Roman"/>
          <w:b w:val="false"/>
          <w:i w:val="false"/>
          <w:color w:val="000000"/>
          <w:sz w:val="28"/>
        </w:rPr>
        <w:t xml:space="preserve"> — пункт 925 настоящих Правил;</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нв</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пункт 1049 настоящих Правил.</w:t>
      </w:r>
    </w:p>
    <w:bookmarkStart w:name="z3892" w:id="3903"/>
    <w:p>
      <w:pPr>
        <w:spacing w:after="0"/>
        <w:ind w:left="0"/>
        <w:jc w:val="both"/>
      </w:pPr>
      <w:r>
        <w:rPr>
          <w:rFonts w:ascii="Times New Roman"/>
          <w:b w:val="false"/>
          <w:i w:val="false"/>
          <w:color w:val="000000"/>
          <w:sz w:val="28"/>
        </w:rPr>
        <w:t>
      1051. Эффективность выбранной поворотной насадки Е</w:t>
      </w:r>
      <w:r>
        <w:rPr>
          <w:rFonts w:ascii="Times New Roman"/>
          <w:b w:val="false"/>
          <w:i w:val="false"/>
          <w:color w:val="000000"/>
          <w:vertAlign w:val="subscript"/>
        </w:rPr>
        <w:t>рр</w:t>
      </w:r>
      <w:r>
        <w:rPr>
          <w:rFonts w:ascii="Times New Roman"/>
          <w:b w:val="false"/>
          <w:i w:val="false"/>
          <w:color w:val="000000"/>
          <w:sz w:val="28"/>
        </w:rPr>
        <w:t>, имеющей или не имеющей стабилизатор, определяется по формуле:</w:t>
      </w:r>
    </w:p>
    <w:bookmarkEnd w:id="39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5527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5994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коэффициент:</w:t>
      </w:r>
    </w:p>
    <w:p>
      <w:pPr>
        <w:spacing w:after="0"/>
        <w:ind w:left="0"/>
        <w:jc w:val="both"/>
      </w:pPr>
      <w:r>
        <w:rPr>
          <w:rFonts w:ascii="Times New Roman"/>
          <w:b w:val="false"/>
          <w:i w:val="false"/>
          <w:color w:val="000000"/>
          <w:sz w:val="28"/>
        </w:rPr>
        <w:t>
      для поворотной насадки, расположенной в диаметральной плоскости судна:</w:t>
      </w:r>
    </w:p>
    <w:p>
      <w:pPr>
        <w:spacing w:after="0"/>
        <w:ind w:left="0"/>
        <w:jc w:val="both"/>
      </w:pPr>
      <w:r>
        <w:rPr>
          <w:rFonts w:ascii="Times New Roman"/>
          <w:b w:val="false"/>
          <w:i w:val="false"/>
          <w:color w:val="000000"/>
          <w:sz w:val="28"/>
        </w:rPr>
        <w:t>
                                          W = 0,2 С</w:t>
      </w:r>
      <w:r>
        <w:rPr>
          <w:rFonts w:ascii="Times New Roman"/>
          <w:b w:val="false"/>
          <w:i w:val="false"/>
          <w:color w:val="000000"/>
          <w:vertAlign w:val="subscript"/>
        </w:rPr>
        <w:t>нв,</w:t>
      </w:r>
      <w:r>
        <w:rPr>
          <w:rFonts w:ascii="Times New Roman"/>
          <w:b w:val="false"/>
          <w:i w:val="false"/>
          <w:color w:val="000000"/>
          <w:sz w:val="28"/>
        </w:rPr>
        <w:t xml:space="preserve">                 (520)</w:t>
      </w:r>
    </w:p>
    <w:p>
      <w:pPr>
        <w:spacing w:after="0"/>
        <w:ind w:left="0"/>
        <w:jc w:val="both"/>
      </w:pPr>
      <w:r>
        <w:rPr>
          <w:rFonts w:ascii="Times New Roman"/>
          <w:b w:val="false"/>
          <w:i w:val="false"/>
          <w:color w:val="000000"/>
          <w:sz w:val="28"/>
        </w:rPr>
        <w:t>
      для бортовой поворотной насадки</w:t>
      </w:r>
    </w:p>
    <w:p>
      <w:pPr>
        <w:spacing w:after="0"/>
        <w:ind w:left="0"/>
        <w:jc w:val="both"/>
      </w:pPr>
      <w:r>
        <w:rPr>
          <w:rFonts w:ascii="Times New Roman"/>
          <w:b w:val="false"/>
          <w:i w:val="false"/>
          <w:color w:val="000000"/>
          <w:sz w:val="28"/>
        </w:rPr>
        <w:t>
                                          W = 0,1 С</w:t>
      </w:r>
      <w:r>
        <w:rPr>
          <w:rFonts w:ascii="Times New Roman"/>
          <w:b w:val="false"/>
          <w:i w:val="false"/>
          <w:color w:val="000000"/>
          <w:vertAlign w:val="subscript"/>
        </w:rPr>
        <w:t>нв;</w:t>
      </w:r>
      <w:r>
        <w:rPr>
          <w:rFonts w:ascii="Times New Roman"/>
          <w:b w:val="false"/>
          <w:i w:val="false"/>
          <w:color w:val="000000"/>
          <w:sz w:val="28"/>
        </w:rPr>
        <w:t xml:space="preserve">                 (521)</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о</w:t>
      </w:r>
      <w:r>
        <w:rPr>
          <w:rFonts w:ascii="Times New Roman"/>
          <w:b w:val="false"/>
          <w:i w:val="false"/>
          <w:color w:val="000000"/>
          <w:sz w:val="28"/>
        </w:rPr>
        <w:t xml:space="preserve"> — наружный диаметр поворотной насадки в плоскости диска гребного винта, м;</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B</w:t>
      </w:r>
      <w:r>
        <w:rPr>
          <w:rFonts w:ascii="Times New Roman"/>
          <w:b w:val="false"/>
          <w:i w:val="false"/>
          <w:color w:val="000000"/>
          <w:sz w:val="28"/>
        </w:rPr>
        <w:t xml:space="preserve">, А, </w:t>
      </w: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пункты 925, 931 и 1049 настоящих Правил соответственно;</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нв</w:t>
      </w:r>
      <w:r>
        <w:rPr>
          <w:rFonts w:ascii="Times New Roman"/>
          <w:b w:val="false"/>
          <w:i w:val="false"/>
          <w:color w:val="000000"/>
          <w:sz w:val="28"/>
        </w:rPr>
        <w:t xml:space="preserve"> — определяется по формуле (428) настоящих Правил с учетом формулы (424) настоящих Правил при значениях W, как указано в настоящем пункте, и с учетом пункта 930 настоящих Правил.</w:t>
      </w:r>
    </w:p>
    <w:bookmarkStart w:name="z3893" w:id="3904"/>
    <w:p>
      <w:pPr>
        <w:spacing w:after="0"/>
        <w:ind w:left="0"/>
        <w:jc w:val="left"/>
      </w:pPr>
      <w:r>
        <w:rPr>
          <w:rFonts w:ascii="Times New Roman"/>
          <w:b/>
          <w:i w:val="false"/>
          <w:color w:val="000000"/>
        </w:rPr>
        <w:t xml:space="preserve"> Параграф 3. Нормы эффективности рулей и поворотных насадок</w:t>
      </w:r>
    </w:p>
    <w:bookmarkEnd w:id="3904"/>
    <w:bookmarkStart w:name="z3894" w:id="3905"/>
    <w:p>
      <w:pPr>
        <w:spacing w:after="0"/>
        <w:ind w:left="0"/>
        <w:jc w:val="both"/>
      </w:pPr>
      <w:r>
        <w:rPr>
          <w:rFonts w:ascii="Times New Roman"/>
          <w:b w:val="false"/>
          <w:i w:val="false"/>
          <w:color w:val="000000"/>
          <w:sz w:val="28"/>
        </w:rPr>
        <w:t>
      1052. Сумма эффективностей всех установленных на судне рулей и поворотных насадок (кроме судов-катамаранов), определенных в соответствии с параграфом 2 главы 55 настоящих Правил, не менее большего из значений эффективностей Е</w:t>
      </w:r>
      <w:r>
        <w:rPr>
          <w:rFonts w:ascii="Times New Roman"/>
          <w:b w:val="false"/>
          <w:i w:val="false"/>
          <w:color w:val="000000"/>
          <w:vertAlign w:val="subscript"/>
        </w:rPr>
        <w:t>1</w:t>
      </w:r>
      <w:r>
        <w:rPr>
          <w:rFonts w:ascii="Times New Roman"/>
          <w:b w:val="false"/>
          <w:i w:val="false"/>
          <w:color w:val="000000"/>
          <w:sz w:val="28"/>
        </w:rPr>
        <w:t>, Е</w:t>
      </w:r>
      <w:r>
        <w:rPr>
          <w:rFonts w:ascii="Times New Roman"/>
          <w:b w:val="false"/>
          <w:i w:val="false"/>
          <w:color w:val="000000"/>
          <w:vertAlign w:val="subscript"/>
        </w:rPr>
        <w:t>2</w:t>
      </w:r>
      <w:r>
        <w:rPr>
          <w:rFonts w:ascii="Times New Roman"/>
          <w:b w:val="false"/>
          <w:i w:val="false"/>
          <w:color w:val="000000"/>
          <w:sz w:val="28"/>
        </w:rPr>
        <w:t xml:space="preserve"> или Е</w:t>
      </w:r>
      <w:r>
        <w:rPr>
          <w:rFonts w:ascii="Times New Roman"/>
          <w:b w:val="false"/>
          <w:i w:val="false"/>
          <w:color w:val="000000"/>
          <w:vertAlign w:val="subscript"/>
        </w:rPr>
        <w:t>3</w:t>
      </w:r>
      <w:r>
        <w:rPr>
          <w:rFonts w:ascii="Times New Roman"/>
          <w:b w:val="false"/>
          <w:i w:val="false"/>
          <w:color w:val="000000"/>
          <w:sz w:val="28"/>
        </w:rPr>
        <w:t>, указанных ниже.</w:t>
      </w:r>
    </w:p>
    <w:bookmarkEnd w:id="3905"/>
    <w:bookmarkStart w:name="z3895" w:id="3906"/>
    <w:p>
      <w:pPr>
        <w:spacing w:after="0"/>
        <w:ind w:left="0"/>
        <w:jc w:val="both"/>
      </w:pPr>
      <w:r>
        <w:rPr>
          <w:rFonts w:ascii="Times New Roman"/>
          <w:b w:val="false"/>
          <w:i w:val="false"/>
          <w:color w:val="000000"/>
          <w:sz w:val="28"/>
        </w:rPr>
        <w:t>
      1053. Эффективность одного руля или поворотной насадки, установленной на судне-катамаране, определенная в соответствии с параграфом 2 главы 55 настоящих Правил, не менее большего из значений Е</w:t>
      </w:r>
      <w:r>
        <w:rPr>
          <w:rFonts w:ascii="Times New Roman"/>
          <w:b w:val="false"/>
          <w:i w:val="false"/>
          <w:color w:val="000000"/>
          <w:vertAlign w:val="subscript"/>
        </w:rPr>
        <w:t>1</w:t>
      </w:r>
      <w:r>
        <w:rPr>
          <w:rFonts w:ascii="Times New Roman"/>
          <w:b w:val="false"/>
          <w:i w:val="false"/>
          <w:color w:val="000000"/>
          <w:sz w:val="28"/>
        </w:rPr>
        <w:t>, Е</w:t>
      </w:r>
      <w:r>
        <w:rPr>
          <w:rFonts w:ascii="Times New Roman"/>
          <w:b w:val="false"/>
          <w:i w:val="false"/>
          <w:color w:val="000000"/>
          <w:vertAlign w:val="subscript"/>
        </w:rPr>
        <w:t>2</w:t>
      </w:r>
      <w:r>
        <w:rPr>
          <w:rFonts w:ascii="Times New Roman"/>
          <w:b w:val="false"/>
          <w:i w:val="false"/>
          <w:color w:val="000000"/>
          <w:sz w:val="28"/>
        </w:rPr>
        <w:t xml:space="preserve"> и Е</w:t>
      </w:r>
      <w:r>
        <w:rPr>
          <w:rFonts w:ascii="Times New Roman"/>
          <w:b w:val="false"/>
          <w:i w:val="false"/>
          <w:color w:val="000000"/>
          <w:vertAlign w:val="subscript"/>
        </w:rPr>
        <w:t>3</w:t>
      </w:r>
      <w:r>
        <w:rPr>
          <w:rFonts w:ascii="Times New Roman"/>
          <w:b w:val="false"/>
          <w:i w:val="false"/>
          <w:color w:val="000000"/>
          <w:sz w:val="28"/>
        </w:rPr>
        <w:t>, определенных в соответствии с указаниями, изложенными ниже, рассматривая один корпус катамарана как самостоятельное одновинтовое судно. При определении площади боковой парусности все надводные конструкции судна-катамарана и палубный груз, если его перевозка предполагается, рассматриваются как принадлежащие одному корпусу.</w:t>
      </w:r>
    </w:p>
    <w:bookmarkEnd w:id="3906"/>
    <w:bookmarkStart w:name="z3896" w:id="3907"/>
    <w:p>
      <w:pPr>
        <w:spacing w:after="0"/>
        <w:ind w:left="0"/>
        <w:jc w:val="both"/>
      </w:pPr>
      <w:r>
        <w:rPr>
          <w:rFonts w:ascii="Times New Roman"/>
          <w:b w:val="false"/>
          <w:i w:val="false"/>
          <w:color w:val="000000"/>
          <w:sz w:val="28"/>
        </w:rPr>
        <w:t>
      1054. Для всех судов, кроме буксиров, спасательных и рыболовных судов, Е</w:t>
      </w:r>
      <w:r>
        <w:rPr>
          <w:rFonts w:ascii="Times New Roman"/>
          <w:b w:val="false"/>
          <w:i w:val="false"/>
          <w:color w:val="000000"/>
          <w:vertAlign w:val="subscript"/>
        </w:rPr>
        <w:t>1</w:t>
      </w:r>
      <w:r>
        <w:rPr>
          <w:rFonts w:ascii="Times New Roman"/>
          <w:b w:val="false"/>
          <w:i w:val="false"/>
          <w:color w:val="000000"/>
          <w:sz w:val="28"/>
        </w:rPr>
        <w:t xml:space="preserve"> определяется в зависимости от С</w:t>
      </w:r>
      <w:r>
        <w:rPr>
          <w:rFonts w:ascii="Times New Roman"/>
          <w:b w:val="false"/>
          <w:i w:val="false"/>
          <w:color w:val="000000"/>
          <w:vertAlign w:val="subscript"/>
        </w:rPr>
        <w:t>р</w:t>
      </w:r>
      <w:r>
        <w:rPr>
          <w:rFonts w:ascii="Times New Roman"/>
          <w:b w:val="false"/>
          <w:i w:val="false"/>
          <w:color w:val="000000"/>
          <w:sz w:val="28"/>
        </w:rPr>
        <w:t xml:space="preserve"> и </w:t>
      </w:r>
    </w:p>
    <w:bookmarkEnd w:id="3907"/>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w:t>
      </w:r>
      <w:r>
        <w:br/>
      </w:r>
      <w:r>
        <w:rPr>
          <w:rFonts w:ascii="Times New Roman"/>
          <w:b w:val="false"/>
          <w:i w:val="false"/>
          <w:color w:val="000000"/>
          <w:sz w:val="28"/>
        </w:rPr>
        <w:t>
</w:t>
      </w:r>
    </w:p>
    <w:bookmarkStart w:name="z3897" w:id="3908"/>
    <w:p>
      <w:pPr>
        <w:spacing w:after="0"/>
        <w:ind w:left="0"/>
        <w:jc w:val="both"/>
      </w:pPr>
      <w:r>
        <w:rPr>
          <w:rFonts w:ascii="Times New Roman"/>
          <w:b w:val="false"/>
          <w:i w:val="false"/>
          <w:color w:val="000000"/>
          <w:sz w:val="28"/>
        </w:rPr>
        <w:t>
      для одновинтовых судов — приложение 164 настоящих Правил;</w:t>
      </w:r>
    </w:p>
    <w:bookmarkEnd w:id="3908"/>
    <w:bookmarkStart w:name="z3898" w:id="3909"/>
    <w:p>
      <w:pPr>
        <w:spacing w:after="0"/>
        <w:ind w:left="0"/>
        <w:jc w:val="both"/>
      </w:pPr>
      <w:r>
        <w:rPr>
          <w:rFonts w:ascii="Times New Roman"/>
          <w:b w:val="false"/>
          <w:i w:val="false"/>
          <w:color w:val="000000"/>
          <w:sz w:val="28"/>
        </w:rPr>
        <w:t>
      для двух- и трехвинтовых судов — приложение 165 настоящих Правил.</w:t>
      </w:r>
    </w:p>
    <w:bookmarkEnd w:id="3909"/>
    <w:bookmarkStart w:name="z3899" w:id="3910"/>
    <w:p>
      <w:pPr>
        <w:spacing w:after="0"/>
        <w:ind w:left="0"/>
        <w:jc w:val="both"/>
      </w:pPr>
      <w:r>
        <w:rPr>
          <w:rFonts w:ascii="Times New Roman"/>
          <w:b w:val="false"/>
          <w:i w:val="false"/>
          <w:color w:val="000000"/>
          <w:sz w:val="28"/>
        </w:rPr>
        <w:t>
      Для промежуточных значений С</w:t>
      </w:r>
      <w:r>
        <w:rPr>
          <w:rFonts w:ascii="Times New Roman"/>
          <w:b w:val="false"/>
          <w:i w:val="false"/>
          <w:color w:val="000000"/>
          <w:vertAlign w:val="subscript"/>
        </w:rPr>
        <w:t>р</w:t>
      </w:r>
      <w:r>
        <w:rPr>
          <w:rFonts w:ascii="Times New Roman"/>
          <w:b w:val="false"/>
          <w:i w:val="false"/>
          <w:color w:val="000000"/>
          <w:sz w:val="28"/>
        </w:rPr>
        <w:t xml:space="preserve"> величина Е</w:t>
      </w:r>
      <w:r>
        <w:rPr>
          <w:rFonts w:ascii="Times New Roman"/>
          <w:b w:val="false"/>
          <w:i w:val="false"/>
          <w:color w:val="000000"/>
          <w:vertAlign w:val="subscript"/>
        </w:rPr>
        <w:t>1</w:t>
      </w:r>
      <w:r>
        <w:rPr>
          <w:rFonts w:ascii="Times New Roman"/>
          <w:b w:val="false"/>
          <w:i w:val="false"/>
          <w:color w:val="000000"/>
          <w:sz w:val="28"/>
        </w:rPr>
        <w:t xml:space="preserve"> определяется линейной интерполяцией между кривыми для двух ближайших значений С</w:t>
      </w:r>
      <w:r>
        <w:rPr>
          <w:rFonts w:ascii="Times New Roman"/>
          <w:b w:val="false"/>
          <w:i w:val="false"/>
          <w:color w:val="000000"/>
          <w:vertAlign w:val="subscript"/>
        </w:rPr>
        <w:t>р</w:t>
      </w:r>
      <w:r>
        <w:rPr>
          <w:rFonts w:ascii="Times New Roman"/>
          <w:b w:val="false"/>
          <w:i w:val="false"/>
          <w:color w:val="000000"/>
          <w:sz w:val="28"/>
        </w:rPr>
        <w:t>, указанных в приложениях 164 и 165 настоящих Правил, где С</w:t>
      </w:r>
      <w:r>
        <w:rPr>
          <w:rFonts w:ascii="Times New Roman"/>
          <w:b w:val="false"/>
          <w:i w:val="false"/>
          <w:color w:val="000000"/>
          <w:vertAlign w:val="subscript"/>
        </w:rPr>
        <w:t>р</w:t>
      </w:r>
      <w:r>
        <w:rPr>
          <w:rFonts w:ascii="Times New Roman"/>
          <w:b w:val="false"/>
          <w:i w:val="false"/>
          <w:color w:val="000000"/>
          <w:sz w:val="28"/>
        </w:rPr>
        <w:t xml:space="preserve"> — коэффициент продольной полноты подводной части корпуса судна при осадке по летнюю грузовую ватерлинию, определяемый по формуле:</w:t>
      </w:r>
    </w:p>
    <w:bookmarkEnd w:id="391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С</w:t>
      </w:r>
      <w:r>
        <w:rPr>
          <w:rFonts w:ascii="Times New Roman"/>
          <w:b w:val="false"/>
          <w:i w:val="false"/>
          <w:color w:val="000000"/>
          <w:vertAlign w:val="subscript"/>
        </w:rPr>
        <w:t>В</w:t>
      </w: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(522)</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коэффициент полноты мидель-шпангоута при осадке по летнюю грузовую ватерлинию;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коэффициент полноты подводной кормовой части диаметральной плоскости судна при осадке по летнюю грузовую ватерлинию:</w:t>
      </w:r>
      <w:r>
        <w:br/>
      </w:r>
      <w:r>
        <w:rPr>
          <w:rFonts w:ascii="Times New Roman"/>
          <w:b w:val="false"/>
          <w:i w:val="false"/>
          <w:color w:val="000000"/>
          <w:sz w:val="28"/>
        </w:rPr>
        <w:t>
</w:t>
      </w:r>
      <w:r>
        <w:br/>
      </w:r>
    </w:p>
    <w:p>
      <w:pPr>
        <w:spacing w:after="0"/>
        <w:ind w:left="0"/>
        <w:jc w:val="both"/>
      </w:pPr>
      <w:r>
        <w:drawing>
          <wp:inline distT="0" distB="0" distL="0" distR="0">
            <wp:extent cx="1676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1676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длина судна, измеренная на уровне летней грузовой ватерлинии от передней кромки форштевня до крайней кромки кормовой оконечности судна,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боковой проекции кормового подзора судна, м</w:t>
      </w:r>
      <w:r>
        <w:rPr>
          <w:rFonts w:ascii="Times New Roman"/>
          <w:b w:val="false"/>
          <w:i w:val="false"/>
          <w:color w:val="000000"/>
          <w:vertAlign w:val="superscript"/>
        </w:rPr>
        <w:t>2</w:t>
      </w:r>
      <w:r>
        <w:rPr>
          <w:rFonts w:ascii="Times New Roman"/>
          <w:b w:val="false"/>
          <w:i w:val="false"/>
          <w:color w:val="000000"/>
          <w:sz w:val="28"/>
        </w:rPr>
        <w:t>, вычисляемая как площадь фигуры, ограниченной линией продолжения нижней кромки киля, перпендикуляром, опущенным на эту линию из точки пересечения летней грузовой ватерлинии с контуром диаметрального сечения кормовой оконечности судна, и наружной кромкой ахтерштевня, проведенной без учета рудерпоста, подошвы ахтерштевня или кронштейна руля, если таковые имеются;</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o</w:t>
      </w:r>
      <w:r>
        <w:rPr>
          <w:rFonts w:ascii="Times New Roman"/>
          <w:b w:val="false"/>
          <w:i w:val="false"/>
          <w:color w:val="000000"/>
          <w:sz w:val="28"/>
        </w:rPr>
        <w:t xml:space="preserve"> — для двухвинтовых судов — площадь боковой проекции обтекателей гребных винтов (или часть ее), накладываемая на площадь фигуры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Во всех остальных случаях в расчетах принимается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o</w:t>
      </w:r>
      <w:r>
        <w:rPr>
          <w:rFonts w:ascii="Times New Roman"/>
          <w:b w:val="false"/>
          <w:i w:val="false"/>
          <w:color w:val="000000"/>
          <w:sz w:val="28"/>
        </w:rPr>
        <w:t xml:space="preserve">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пункт 975 настоящих Правил.</w:t>
      </w:r>
    </w:p>
    <w:bookmarkStart w:name="z3900" w:id="3911"/>
    <w:p>
      <w:pPr>
        <w:spacing w:after="0"/>
        <w:ind w:left="0"/>
        <w:jc w:val="both"/>
      </w:pPr>
      <w:r>
        <w:rPr>
          <w:rFonts w:ascii="Times New Roman"/>
          <w:b w:val="false"/>
          <w:i w:val="false"/>
          <w:color w:val="000000"/>
          <w:sz w:val="28"/>
        </w:rPr>
        <w:t xml:space="preserve">
      1055. Для буксиров, спасательных и рыболовных судов </w:t>
      </w:r>
      <w:r>
        <w:rPr>
          <w:rFonts w:ascii="Times New Roman"/>
          <w:b w:val="false"/>
          <w:i/>
          <w:color w:val="000000"/>
          <w:sz w:val="28"/>
        </w:rPr>
        <w:t>Е</w:t>
      </w:r>
      <w:r>
        <w:rPr>
          <w:rFonts w:ascii="Times New Roman"/>
          <w:b w:val="false"/>
          <w:i w:val="false"/>
          <w:color w:val="000000"/>
          <w:vertAlign w:val="subscript"/>
        </w:rPr>
        <w:t>1</w:t>
      </w:r>
      <w:r>
        <w:rPr>
          <w:rFonts w:ascii="Times New Roman"/>
          <w:b w:val="false"/>
          <w:i w:val="false"/>
          <w:color w:val="000000"/>
          <w:sz w:val="28"/>
        </w:rPr>
        <w:t xml:space="preserve"> определяется по приложению 166 настоящих Правил, в зависимости от </w:t>
      </w:r>
    </w:p>
    <w:bookmarkEnd w:id="3911"/>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w:t>
      </w:r>
      <w:r>
        <w:br/>
      </w:r>
      <w:r>
        <w:rPr>
          <w:rFonts w:ascii="Times New Roman"/>
          <w:b w:val="false"/>
          <w:i w:val="false"/>
          <w:color w:val="000000"/>
          <w:sz w:val="28"/>
        </w:rPr>
        <w:t>
</w:t>
      </w:r>
    </w:p>
    <w:bookmarkStart w:name="z3901" w:id="3912"/>
    <w:p>
      <w:pPr>
        <w:spacing w:after="0"/>
        <w:ind w:left="0"/>
        <w:jc w:val="both"/>
      </w:pPr>
      <w:r>
        <w:rPr>
          <w:rFonts w:ascii="Times New Roman"/>
          <w:b w:val="false"/>
          <w:i w:val="false"/>
          <w:color w:val="000000"/>
          <w:sz w:val="28"/>
        </w:rPr>
        <w:t>
      1056. Е</w:t>
      </w:r>
      <w:r>
        <w:rPr>
          <w:rFonts w:ascii="Times New Roman"/>
          <w:b w:val="false"/>
          <w:i w:val="false"/>
          <w:color w:val="000000"/>
          <w:vertAlign w:val="subscript"/>
        </w:rPr>
        <w:t>2</w:t>
      </w:r>
      <w:r>
        <w:rPr>
          <w:rFonts w:ascii="Times New Roman"/>
          <w:b w:val="false"/>
          <w:i w:val="false"/>
          <w:color w:val="000000"/>
          <w:sz w:val="28"/>
        </w:rPr>
        <w:t xml:space="preserve"> определяется по формуле:</w:t>
      </w:r>
    </w:p>
    <w:bookmarkEnd w:id="39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7378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w:t>
      </w:r>
      <w:r>
        <w:rPr>
          <w:rFonts w:ascii="Times New Roman"/>
          <w:b w:val="false"/>
          <w:i w:val="false"/>
          <w:color w:val="000000"/>
          <w:vertAlign w:val="subscript"/>
        </w:rPr>
        <w:t>з</w:t>
      </w:r>
      <w:r>
        <w:rPr>
          <w:rFonts w:ascii="Times New Roman"/>
          <w:b w:val="false"/>
          <w:i w:val="false"/>
          <w:color w:val="000000"/>
          <w:sz w:val="28"/>
        </w:rPr>
        <w:t xml:space="preserve"> — площадь боковой парусности судна при такой минимальной осадке, при которой перо руля или поворотная насадка полностью погружена в воду (при положении судна без крена и дифферента), м</w:t>
      </w:r>
      <w:r>
        <w:rPr>
          <w:rFonts w:ascii="Times New Roman"/>
          <w:b w:val="false"/>
          <w:i w:val="false"/>
          <w:color w:val="000000"/>
          <w:vertAlign w:val="superscript"/>
        </w:rPr>
        <w:t>2</w:t>
      </w:r>
      <w:r>
        <w:rPr>
          <w:rFonts w:ascii="Times New Roman"/>
          <w:b w:val="false"/>
          <w:i w:val="false"/>
          <w:color w:val="000000"/>
          <w:sz w:val="28"/>
        </w:rPr>
        <w:t>, определяемая в соответствии с параграфом 4 главы 91 настоящих Правил;</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4</w:t>
      </w:r>
      <w:r>
        <w:rPr>
          <w:rFonts w:ascii="Times New Roman"/>
          <w:b w:val="false"/>
          <w:i w:val="false"/>
          <w:color w:val="000000"/>
          <w:sz w:val="28"/>
        </w:rPr>
        <w:t xml:space="preserve"> — площадь подводной части диаметральной плоскости судна при такой минимальной осадке, при которой перо руля или поворотная насадка полностью погружена в воду (при положении судна без крена и дифферента),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0</w:t>
      </w:r>
      <w:r>
        <w:rPr>
          <w:rFonts w:ascii="Times New Roman"/>
          <w:b w:val="false"/>
          <w:i w:val="false"/>
          <w:color w:val="000000"/>
          <w:sz w:val="28"/>
        </w:rPr>
        <w:t xml:space="preserve"> — горизонтальное расстояние от мидель-шпангоута (середина длины L) до центра тяжести площади А</w:t>
      </w:r>
      <w:r>
        <w:rPr>
          <w:rFonts w:ascii="Times New Roman"/>
          <w:b w:val="false"/>
          <w:i w:val="false"/>
          <w:color w:val="000000"/>
          <w:vertAlign w:val="subscript"/>
        </w:rPr>
        <w:t>3</w:t>
      </w:r>
      <w:r>
        <w:rPr>
          <w:rFonts w:ascii="Times New Roman"/>
          <w:b w:val="false"/>
          <w:i w:val="false"/>
          <w:color w:val="000000"/>
          <w:sz w:val="28"/>
        </w:rPr>
        <w:t xml:space="preserve">, м. Величина </w:t>
      </w:r>
      <w:r>
        <w:rPr>
          <w:rFonts w:ascii="Times New Roman"/>
          <w:b w:val="false"/>
          <w:i/>
          <w:color w:val="000000"/>
          <w:sz w:val="28"/>
        </w:rPr>
        <w:t>Х</w:t>
      </w:r>
      <w:r>
        <w:rPr>
          <w:rFonts w:ascii="Times New Roman"/>
          <w:b w:val="false"/>
          <w:i w:val="false"/>
          <w:color w:val="000000"/>
          <w:vertAlign w:val="subscript"/>
        </w:rPr>
        <w:t>о</w:t>
      </w:r>
      <w:r>
        <w:rPr>
          <w:rFonts w:ascii="Times New Roman"/>
          <w:b w:val="false"/>
          <w:i w:val="false"/>
          <w:color w:val="000000"/>
          <w:sz w:val="28"/>
        </w:rPr>
        <w:t xml:space="preserve"> принимается положительной при расположении центра тяжести в нос от мидель- шпангоута и отрицательной — в корму;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всех рулей, кроме рулей типов IV, X и XIII (приложение 161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h</w:t>
      </w:r>
      <w:r>
        <w:rPr>
          <w:rFonts w:ascii="Times New Roman"/>
          <w:b w:val="false"/>
          <w:i w:val="false"/>
          <w:color w:val="000000"/>
          <w:vertAlign w:val="superscript"/>
        </w:rPr>
        <w:t>2</w:t>
      </w:r>
      <w:r>
        <w:rPr>
          <w:rFonts w:ascii="Times New Roman"/>
          <w:b w:val="false"/>
          <w:i w:val="false"/>
          <w:color w:val="000000"/>
          <w:vertAlign w:val="subscript"/>
        </w:rPr>
        <w:t>p</w:t>
      </w:r>
      <w:r>
        <w:rPr>
          <w:rFonts w:ascii="Times New Roman"/>
          <w:b w:val="false"/>
          <w:i w:val="false"/>
          <w:color w:val="000000"/>
          <w:sz w:val="28"/>
        </w:rPr>
        <w:t>/A</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рулей типов IV, X и ХШ (приложение 161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h</w:t>
      </w:r>
      <w:r>
        <w:rPr>
          <w:rFonts w:ascii="Times New Roman"/>
          <w:b w:val="false"/>
          <w:i w:val="false"/>
          <w:color w:val="000000"/>
          <w:vertAlign w:val="superscript"/>
        </w:rPr>
        <w:t>2</w:t>
      </w:r>
      <w:r>
        <w:rPr>
          <w:rFonts w:ascii="Times New Roman"/>
          <w:b w:val="false"/>
          <w:i w:val="false"/>
          <w:color w:val="000000"/>
          <w:vertAlign w:val="subscript"/>
        </w:rPr>
        <w:t>p</w:t>
      </w:r>
      <w:r>
        <w:rPr>
          <w:rFonts w:ascii="Times New Roman"/>
          <w:b w:val="false"/>
          <w:i w:val="false"/>
          <w:color w:val="000000"/>
          <w:sz w:val="28"/>
        </w:rPr>
        <w:t>/A</w:t>
      </w:r>
      <w:r>
        <w:rPr>
          <w:rFonts w:ascii="Times New Roman"/>
          <w:b w:val="false"/>
          <w:i w:val="false"/>
          <w:color w:val="000000"/>
          <w:vertAlign w:val="subscript"/>
        </w:rPr>
        <w:t>k</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поворотных насадок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D</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h</w:t>
      </w:r>
      <w:r>
        <w:rPr>
          <w:rFonts w:ascii="Times New Roman"/>
          <w:b w:val="false"/>
          <w:i w:val="false"/>
          <w:color w:val="000000"/>
          <w:vertAlign w:val="subscript"/>
        </w:rPr>
        <w:t>p</w:t>
      </w:r>
      <w:r>
        <w:rPr>
          <w:rFonts w:ascii="Times New Roman"/>
          <w:b w:val="false"/>
          <w:i w:val="false"/>
          <w:color w:val="000000"/>
          <w:sz w:val="28"/>
        </w:rPr>
        <w:t>, А, А</w:t>
      </w:r>
      <w:r>
        <w:rPr>
          <w:rFonts w:ascii="Times New Roman"/>
          <w:b w:val="false"/>
          <w:i w:val="false"/>
          <w:color w:val="000000"/>
          <w:vertAlign w:val="subscript"/>
        </w:rPr>
        <w:t>к</w:t>
      </w:r>
      <w:r>
        <w:rPr>
          <w:rFonts w:ascii="Times New Roman"/>
          <w:b w:val="false"/>
          <w:i w:val="false"/>
          <w:color w:val="000000"/>
          <w:sz w:val="28"/>
        </w:rPr>
        <w:t xml:space="preserve"> — пункт 925 настоящих Правил;</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н</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н</w:t>
      </w:r>
      <w:r>
        <w:rPr>
          <w:rFonts w:ascii="Times New Roman"/>
          <w:b w:val="false"/>
          <w:i w:val="false"/>
          <w:color w:val="000000"/>
          <w:sz w:val="28"/>
        </w:rPr>
        <w:t xml:space="preserve"> — пункт 931 настоящих Правил.</w:t>
      </w:r>
    </w:p>
    <w:bookmarkStart w:name="z3902" w:id="3913"/>
    <w:p>
      <w:pPr>
        <w:spacing w:after="0"/>
        <w:ind w:left="0"/>
        <w:jc w:val="both"/>
      </w:pPr>
      <w:r>
        <w:rPr>
          <w:rFonts w:ascii="Times New Roman"/>
          <w:b w:val="false"/>
          <w:i w:val="false"/>
          <w:color w:val="000000"/>
          <w:sz w:val="28"/>
        </w:rPr>
        <w:t>
      1057. Для судов длиной 70 м и более Е</w:t>
      </w:r>
      <w:r>
        <w:rPr>
          <w:rFonts w:ascii="Times New Roman"/>
          <w:b w:val="false"/>
          <w:i w:val="false"/>
          <w:color w:val="000000"/>
          <w:vertAlign w:val="subscript"/>
        </w:rPr>
        <w:t>3</w:t>
      </w:r>
      <w:r>
        <w:rPr>
          <w:rFonts w:ascii="Times New Roman"/>
          <w:b w:val="false"/>
          <w:i w:val="false"/>
          <w:color w:val="000000"/>
          <w:sz w:val="28"/>
        </w:rPr>
        <w:t xml:space="preserve"> определяется по формуле:</w:t>
      </w:r>
    </w:p>
    <w:bookmarkEnd w:id="3913"/>
    <w:p>
      <w:pPr>
        <w:spacing w:after="0"/>
        <w:ind w:left="0"/>
        <w:jc w:val="both"/>
      </w:pPr>
      <w:r>
        <w:rPr>
          <w:rFonts w:ascii="Times New Roman"/>
          <w:b w:val="false"/>
          <w:i w:val="false"/>
          <w:color w:val="000000"/>
          <w:sz w:val="28"/>
        </w:rPr>
        <w:t>
      Е</w:t>
      </w:r>
      <w:r>
        <w:rPr>
          <w:rFonts w:ascii="Times New Roman"/>
          <w:b w:val="false"/>
          <w:i w:val="false"/>
          <w:color w:val="000000"/>
          <w:vertAlign w:val="subscript"/>
        </w:rPr>
        <w:t>3</w:t>
      </w:r>
      <w:r>
        <w:rPr>
          <w:rFonts w:ascii="Times New Roman"/>
          <w:b w:val="false"/>
          <w:i w:val="false"/>
          <w:color w:val="000000"/>
          <w:sz w:val="28"/>
        </w:rPr>
        <w:t xml:space="preserve"> = 0,03 + 0,01(</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р— 1) + 0,01</w:t>
      </w:r>
    </w:p>
    <w:p>
      <w:pPr>
        <w:spacing w:after="0"/>
        <w:ind w:left="0"/>
        <w:jc w:val="both"/>
      </w:pPr>
      <w:r>
        <w:drawing>
          <wp:inline distT="0" distB="0" distL="0" distR="0">
            <wp:extent cx="304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304800" cy="596900"/>
                    </a:xfrm>
                    <a:prstGeom prst="rect">
                      <a:avLst/>
                    </a:prstGeom>
                  </pic:spPr>
                </pic:pic>
              </a:graphicData>
            </a:graphic>
          </wp:inline>
        </w:drawing>
      </w:r>
    </w:p>
    <w:p>
      <w:pPr>
        <w:spacing w:after="0"/>
        <w:ind w:left="0"/>
        <w:jc w:val="left"/>
      </w:pPr>
      <w:r>
        <w:rPr>
          <w:rFonts w:ascii="Times New Roman"/>
          <w:b w:val="false"/>
          <w:i w:val="false"/>
          <w:color w:val="000000"/>
          <w:sz w:val="28"/>
        </w:rPr>
        <w:t>(1 — 3</w:t>
      </w:r>
    </w:p>
    <w:p>
      <w:pPr>
        <w:spacing w:after="0"/>
        <w:ind w:left="0"/>
        <w:jc w:val="both"/>
      </w:pPr>
      <w:r>
        <w:drawing>
          <wp:inline distT="0" distB="0" distL="0" distR="0">
            <wp:extent cx="279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279400" cy="622300"/>
                    </a:xfrm>
                    <a:prstGeom prst="rect">
                      <a:avLst/>
                    </a:prstGeom>
                  </pic:spPr>
                </pic:pic>
              </a:graphicData>
            </a:graphic>
          </wp:inline>
        </w:drawing>
      </w:r>
    </w:p>
    <w:p>
      <w:pPr>
        <w:spacing w:after="0"/>
        <w:ind w:left="0"/>
        <w:jc w:val="left"/>
      </w:pPr>
      <w:r>
        <w:rPr>
          <w:rFonts w:ascii="Times New Roman"/>
          <w:b w:val="false"/>
          <w:i w:val="false"/>
          <w:color w:val="000000"/>
          <w:sz w:val="28"/>
        </w:rPr>
        <w:t>),   (525)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A</w:t>
      </w:r>
      <w:r>
        <w:rPr>
          <w:rFonts w:ascii="Times New Roman"/>
          <w:b w:val="false"/>
          <w:i w:val="false"/>
          <w:color w:val="000000"/>
          <w:vertAlign w:val="subscript"/>
        </w:rPr>
        <w:t>s</w:t>
      </w:r>
      <w:r>
        <w:rPr>
          <w:rFonts w:ascii="Times New Roman"/>
          <w:b w:val="false"/>
          <w:i w:val="false"/>
          <w:color w:val="000000"/>
          <w:sz w:val="28"/>
        </w:rPr>
        <w:t xml:space="preserve"> — площадь боковой парусности судна при осадке по летнюю грузовую ватерлинию, м</w:t>
      </w:r>
      <w:r>
        <w:rPr>
          <w:rFonts w:ascii="Times New Roman"/>
          <w:b w:val="false"/>
          <w:i w:val="false"/>
          <w:color w:val="000000"/>
          <w:vertAlign w:val="superscript"/>
        </w:rPr>
        <w:t>2</w:t>
      </w:r>
      <w:r>
        <w:rPr>
          <w:rFonts w:ascii="Times New Roman"/>
          <w:b w:val="false"/>
          <w:i w:val="false"/>
          <w:color w:val="000000"/>
          <w:sz w:val="28"/>
        </w:rPr>
        <w:t>, определяемая в соответствии с параграфом 4 главы 91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горизонтальное расстояние от мидель-шпангоута (середины длины L{) до центра тяжести площади А</w:t>
      </w:r>
      <w:r>
        <w:rPr>
          <w:rFonts w:ascii="Times New Roman"/>
          <w:b w:val="false"/>
          <w:i w:val="false"/>
          <w:color w:val="000000"/>
          <w:vertAlign w:val="subscript"/>
        </w:rPr>
        <w:t>5,</w:t>
      </w:r>
      <w:r>
        <w:rPr>
          <w:rFonts w:ascii="Times New Roman"/>
          <w:b w:val="false"/>
          <w:i w:val="false"/>
          <w:color w:val="000000"/>
          <w:sz w:val="28"/>
        </w:rPr>
        <w:t xml:space="preserve"> м. Величина </w:t>
      </w:r>
      <w:r>
        <w:rPr>
          <w:rFonts w:ascii="Times New Roman"/>
          <w:b w:val="false"/>
          <w:i/>
          <w:color w:val="000000"/>
          <w:sz w:val="28"/>
        </w:rPr>
        <w:t>х</w:t>
      </w:r>
      <w:r>
        <w:rPr>
          <w:rFonts w:ascii="Times New Roman"/>
          <w:b w:val="false"/>
          <w:i w:val="false"/>
          <w:color w:val="000000"/>
          <w:sz w:val="28"/>
        </w:rPr>
        <w:t xml:space="preserve"> принимается положительной при расположении центра тяжести в нос от мидель-шпангоута и отрицательной — в корму.</w:t>
      </w:r>
    </w:p>
    <w:bookmarkStart w:name="z3903" w:id="3914"/>
    <w:p>
      <w:pPr>
        <w:spacing w:after="0"/>
        <w:ind w:left="0"/>
        <w:jc w:val="both"/>
      </w:pPr>
      <w:r>
        <w:rPr>
          <w:rFonts w:ascii="Times New Roman"/>
          <w:b w:val="false"/>
          <w:i w:val="false"/>
          <w:color w:val="000000"/>
          <w:sz w:val="28"/>
        </w:rPr>
        <w:t>
      Для судов длиной менее 70 м в расчетах принимается Е</w:t>
      </w:r>
      <w:r>
        <w:rPr>
          <w:rFonts w:ascii="Times New Roman"/>
          <w:b w:val="false"/>
          <w:i w:val="false"/>
          <w:color w:val="000000"/>
          <w:vertAlign w:val="subscript"/>
        </w:rPr>
        <w:t>3</w:t>
      </w:r>
      <w:r>
        <w:rPr>
          <w:rFonts w:ascii="Times New Roman"/>
          <w:b w:val="false"/>
          <w:i w:val="false"/>
          <w:color w:val="000000"/>
          <w:sz w:val="28"/>
        </w:rPr>
        <w:t xml:space="preserve"> = 0.</w:t>
      </w:r>
    </w:p>
    <w:bookmarkEnd w:id="3914"/>
    <w:bookmarkStart w:name="z3904" w:id="3915"/>
    <w:p>
      <w:pPr>
        <w:spacing w:after="0"/>
        <w:ind w:left="0"/>
        <w:jc w:val="both"/>
      </w:pPr>
      <w:r>
        <w:rPr>
          <w:rFonts w:ascii="Times New Roman"/>
          <w:b w:val="false"/>
          <w:i w:val="false"/>
          <w:color w:val="000000"/>
          <w:sz w:val="28"/>
        </w:rPr>
        <w:t xml:space="preserve">
      1058. Для всех судов (кроме спасательных и рыболовных судов и буксиров, если эти суда имеют </w:t>
      </w:r>
    </w:p>
    <w:bookmarkEnd w:id="3915"/>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&gt; 0,865), если Е</w:t>
      </w:r>
      <w:r>
        <w:rPr>
          <w:rFonts w:ascii="Times New Roman"/>
          <w:b w:val="false"/>
          <w:i w:val="false"/>
          <w:color w:val="000000"/>
          <w:vertAlign w:val="subscript"/>
        </w:rPr>
        <w:t>1</w:t>
      </w:r>
      <w:r>
        <w:rPr>
          <w:rFonts w:ascii="Times New Roman"/>
          <w:b w:val="false"/>
          <w:i w:val="false"/>
          <w:color w:val="000000"/>
          <w:sz w:val="28"/>
        </w:rPr>
        <w:t xml:space="preserve"> больше любого из значений Е</w:t>
      </w:r>
      <w:r>
        <w:rPr>
          <w:rFonts w:ascii="Times New Roman"/>
          <w:b w:val="false"/>
          <w:i w:val="false"/>
          <w:color w:val="000000"/>
          <w:vertAlign w:val="subscript"/>
        </w:rPr>
        <w:t>2</w:t>
      </w:r>
      <w:r>
        <w:rPr>
          <w:rFonts w:ascii="Times New Roman"/>
          <w:b w:val="false"/>
          <w:i w:val="false"/>
          <w:color w:val="000000"/>
          <w:sz w:val="28"/>
        </w:rPr>
        <w:t xml:space="preserve"> или Е</w:t>
      </w:r>
      <w:r>
        <w:rPr>
          <w:rFonts w:ascii="Times New Roman"/>
          <w:b w:val="false"/>
          <w:i w:val="false"/>
          <w:color w:val="000000"/>
          <w:vertAlign w:val="subscript"/>
        </w:rPr>
        <w:t>3</w:t>
      </w:r>
      <w:r>
        <w:rPr>
          <w:rFonts w:ascii="Times New Roman"/>
          <w:b w:val="false"/>
          <w:i w:val="false"/>
          <w:color w:val="000000"/>
          <w:sz w:val="28"/>
        </w:rPr>
        <w:t>, допускается в расчетах принимать Е</w:t>
      </w:r>
      <w:r>
        <w:rPr>
          <w:rFonts w:ascii="Times New Roman"/>
          <w:b w:val="false"/>
          <w:i w:val="false"/>
          <w:color w:val="000000"/>
          <w:vertAlign w:val="subscript"/>
        </w:rPr>
        <w:t>1</w:t>
      </w:r>
      <w:r>
        <w:rPr>
          <w:rFonts w:ascii="Times New Roman"/>
          <w:b w:val="false"/>
          <w:i w:val="false"/>
          <w:color w:val="000000"/>
          <w:sz w:val="28"/>
        </w:rPr>
        <w:t xml:space="preserve"> = 0 при условии, что испытанием самоходной модели длиной не менее 2 м (при скорости модели, соответствующей скорости судна </w:t>
      </w:r>
      <w:r>
        <w:rPr>
          <w:rFonts w:ascii="Times New Roman"/>
          <w:b w:val="false"/>
          <w:i/>
          <w:color w:val="000000"/>
          <w:sz w:val="28"/>
        </w:rPr>
        <w:t>V</w:t>
      </w:r>
      <w:r>
        <w:rPr>
          <w:rFonts w:ascii="Times New Roman"/>
          <w:b w:val="false"/>
          <w:i w:val="false"/>
          <w:color w:val="000000"/>
          <w:sz w:val="28"/>
        </w:rPr>
        <w:t>, пункт 925 настоящих Правил) будет доказано следующее:</w:t>
      </w:r>
      <w:r>
        <w:br/>
      </w:r>
      <w:r>
        <w:rPr>
          <w:rFonts w:ascii="Times New Roman"/>
          <w:b w:val="false"/>
          <w:i w:val="false"/>
          <w:color w:val="000000"/>
          <w:sz w:val="28"/>
        </w:rPr>
        <w:t>
</w:t>
      </w:r>
    </w:p>
    <w:bookmarkStart w:name="z3905" w:id="3916"/>
    <w:p>
      <w:pPr>
        <w:spacing w:after="0"/>
        <w:ind w:left="0"/>
        <w:jc w:val="both"/>
      </w:pPr>
      <w:r>
        <w:rPr>
          <w:rFonts w:ascii="Times New Roman"/>
          <w:b w:val="false"/>
          <w:i w:val="false"/>
          <w:color w:val="000000"/>
          <w:sz w:val="28"/>
        </w:rPr>
        <w:t>
      1) диаметр установившейся циркуляции судна с рулем (рулями) или поворотной насадкой (насадками), переложенной на 35</w:t>
      </w:r>
      <w:r>
        <w:rPr>
          <w:rFonts w:ascii="Times New Roman"/>
          <w:b w:val="false"/>
          <w:i w:val="false"/>
          <w:color w:val="000000"/>
          <w:vertAlign w:val="superscript"/>
        </w:rPr>
        <w:t>о</w:t>
      </w:r>
      <w:r>
        <w:rPr>
          <w:rFonts w:ascii="Times New Roman"/>
          <w:b w:val="false"/>
          <w:i w:val="false"/>
          <w:color w:val="000000"/>
          <w:sz w:val="28"/>
        </w:rPr>
        <w:t xml:space="preserve"> на любой борт, не будет больше четырех длин судна;</w:t>
      </w:r>
    </w:p>
    <w:bookmarkEnd w:id="3916"/>
    <w:bookmarkStart w:name="z3906" w:id="3917"/>
    <w:p>
      <w:pPr>
        <w:spacing w:after="0"/>
        <w:ind w:left="0"/>
        <w:jc w:val="both"/>
      </w:pPr>
      <w:r>
        <w:rPr>
          <w:rFonts w:ascii="Times New Roman"/>
          <w:b w:val="false"/>
          <w:i w:val="false"/>
          <w:color w:val="000000"/>
          <w:sz w:val="28"/>
        </w:rPr>
        <w:t>
      2) диаметр установившейся самопроизвольной циркуляции судна с непереложенным рулем (рулями) или поворотной насадкой (насадками), D</w:t>
      </w:r>
      <w:r>
        <w:rPr>
          <w:rFonts w:ascii="Times New Roman"/>
          <w:b w:val="false"/>
          <w:i w:val="false"/>
          <w:color w:val="000000"/>
          <w:vertAlign w:val="subscript"/>
        </w:rPr>
        <w:t>c</w:t>
      </w:r>
      <w:r>
        <w:rPr>
          <w:rFonts w:ascii="Times New Roman"/>
          <w:b w:val="false"/>
          <w:i w:val="false"/>
          <w:color w:val="000000"/>
          <w:sz w:val="28"/>
        </w:rPr>
        <w:t>, вычисляемой по формуле:</w:t>
      </w:r>
    </w:p>
    <w:bookmarkEnd w:id="3917"/>
    <w:p>
      <w:pPr>
        <w:spacing w:after="0"/>
        <w:ind w:left="0"/>
        <w:jc w:val="both"/>
      </w:pPr>
      <w:r>
        <w:rPr>
          <w:rFonts w:ascii="Times New Roman"/>
          <w:b w:val="false"/>
          <w:i w:val="false"/>
          <w:color w:val="000000"/>
          <w:sz w:val="28"/>
        </w:rPr>
        <w:t>
                                    D</w:t>
      </w:r>
      <w:r>
        <w:rPr>
          <w:rFonts w:ascii="Times New Roman"/>
          <w:b w:val="false"/>
          <w:i w:val="false"/>
          <w:color w:val="000000"/>
          <w:vertAlign w:val="subscript"/>
        </w:rPr>
        <w:t>c</w:t>
      </w:r>
      <w:r>
        <w:rPr>
          <w:rFonts w:ascii="Times New Roman"/>
          <w:b w:val="false"/>
          <w:i w:val="false"/>
          <w:color w:val="000000"/>
          <w:sz w:val="28"/>
        </w:rPr>
        <w:t xml:space="preserve"> = (D</w:t>
      </w:r>
      <w:r>
        <w:rPr>
          <w:rFonts w:ascii="Times New Roman"/>
          <w:b w:val="false"/>
          <w:i w:val="false"/>
          <w:color w:val="000000"/>
          <w:vertAlign w:val="subscript"/>
        </w:rPr>
        <w:t>СП</w:t>
      </w:r>
      <w:r>
        <w:rPr>
          <w:rFonts w:ascii="Times New Roman"/>
          <w:b w:val="false"/>
          <w:i w:val="false"/>
          <w:color w:val="000000"/>
          <w:sz w:val="28"/>
        </w:rPr>
        <w:t>+D</w:t>
      </w:r>
      <w:r>
        <w:rPr>
          <w:rFonts w:ascii="Times New Roman"/>
          <w:b w:val="false"/>
          <w:i w:val="false"/>
          <w:color w:val="000000"/>
          <w:vertAlign w:val="subscript"/>
        </w:rPr>
        <w:t>CЛ</w:t>
      </w:r>
      <w:r>
        <w:rPr>
          <w:rFonts w:ascii="Times New Roman"/>
          <w:b w:val="false"/>
          <w:i w:val="false"/>
          <w:color w:val="000000"/>
          <w:sz w:val="28"/>
        </w:rPr>
        <w:t>)/2,                  (526)</w:t>
      </w:r>
    </w:p>
    <w:p>
      <w:pPr>
        <w:spacing w:after="0"/>
        <w:ind w:left="0"/>
        <w:jc w:val="both"/>
      </w:pPr>
      <w:r>
        <w:rPr>
          <w:rFonts w:ascii="Times New Roman"/>
          <w:b w:val="false"/>
          <w:i w:val="false"/>
          <w:color w:val="000000"/>
          <w:sz w:val="28"/>
        </w:rPr>
        <w:t>
      не будет меньше 3,35 (D</w:t>
      </w:r>
      <w:r>
        <w:rPr>
          <w:rFonts w:ascii="Times New Roman"/>
          <w:b w:val="false"/>
          <w:i w:val="false"/>
          <w:color w:val="000000"/>
          <w:vertAlign w:val="subscript"/>
        </w:rPr>
        <w:t>ЦП</w:t>
      </w:r>
      <w:r>
        <w:rPr>
          <w:rFonts w:ascii="Times New Roman"/>
          <w:b w:val="false"/>
          <w:i w:val="false"/>
          <w:color w:val="000000"/>
          <w:sz w:val="28"/>
        </w:rPr>
        <w:t xml:space="preserve"> + D</w:t>
      </w:r>
      <w:r>
        <w:rPr>
          <w:rFonts w:ascii="Times New Roman"/>
          <w:b w:val="false"/>
          <w:i w:val="false"/>
          <w:color w:val="000000"/>
          <w:vertAlign w:val="subscript"/>
        </w:rPr>
        <w:t>ЦЛ</w:t>
      </w:r>
      <w:r>
        <w:rPr>
          <w:rFonts w:ascii="Times New Roman"/>
          <w:b w:val="false"/>
          <w:i w:val="false"/>
          <w:color w:val="000000"/>
          <w:sz w:val="28"/>
        </w:rPr>
        <w:t>),</w:t>
      </w:r>
    </w:p>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СП</w:t>
      </w:r>
      <w:r>
        <w:rPr>
          <w:rFonts w:ascii="Times New Roman"/>
          <w:b w:val="false"/>
          <w:i w:val="false"/>
          <w:color w:val="000000"/>
          <w:sz w:val="28"/>
        </w:rPr>
        <w:t xml:space="preserve"> и D</w:t>
      </w:r>
      <w:r>
        <w:rPr>
          <w:rFonts w:ascii="Times New Roman"/>
          <w:b w:val="false"/>
          <w:i w:val="false"/>
          <w:color w:val="000000"/>
          <w:vertAlign w:val="subscript"/>
        </w:rPr>
        <w:t>CЛ</w:t>
      </w:r>
      <w:r>
        <w:rPr>
          <w:rFonts w:ascii="Times New Roman"/>
          <w:b w:val="false"/>
          <w:i w:val="false"/>
          <w:color w:val="000000"/>
          <w:sz w:val="28"/>
        </w:rPr>
        <w:t xml:space="preserve"> — диаметр установившейся самопроизвольной циркуляции, соответственно правой и левой, с непереложенным рулем или насадкой;</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ЦП</w:t>
      </w:r>
      <w:r>
        <w:rPr>
          <w:rFonts w:ascii="Times New Roman"/>
          <w:b w:val="false"/>
          <w:i w:val="false"/>
          <w:color w:val="000000"/>
          <w:sz w:val="28"/>
        </w:rPr>
        <w:t xml:space="preserve"> и D</w:t>
      </w:r>
      <w:r>
        <w:rPr>
          <w:rFonts w:ascii="Times New Roman"/>
          <w:b w:val="false"/>
          <w:i w:val="false"/>
          <w:color w:val="000000"/>
          <w:vertAlign w:val="subscript"/>
        </w:rPr>
        <w:t>ЦЛ</w:t>
      </w:r>
      <w:r>
        <w:rPr>
          <w:rFonts w:ascii="Times New Roman"/>
          <w:b w:val="false"/>
          <w:i w:val="false"/>
          <w:color w:val="000000"/>
          <w:sz w:val="28"/>
        </w:rPr>
        <w:t xml:space="preserve"> — диаметр установившейся циркуляции с рулем или насадкой, переложенной на 35</w:t>
      </w:r>
      <w:r>
        <w:rPr>
          <w:rFonts w:ascii="Times New Roman"/>
          <w:b w:val="false"/>
          <w:i w:val="false"/>
          <w:color w:val="000000"/>
          <w:vertAlign w:val="superscript"/>
        </w:rPr>
        <w:t>о</w:t>
      </w:r>
      <w:r>
        <w:rPr>
          <w:rFonts w:ascii="Times New Roman"/>
          <w:b w:val="false"/>
          <w:i w:val="false"/>
          <w:color w:val="000000"/>
          <w:sz w:val="28"/>
        </w:rPr>
        <w:t xml:space="preserve"> соответственно на правый и левый борт.</w:t>
      </w:r>
    </w:p>
    <w:bookmarkStart w:name="z3907" w:id="3918"/>
    <w:p>
      <w:pPr>
        <w:spacing w:after="0"/>
        <w:ind w:left="0"/>
        <w:jc w:val="both"/>
      </w:pPr>
      <w:r>
        <w:rPr>
          <w:rFonts w:ascii="Times New Roman"/>
          <w:b w:val="false"/>
          <w:i w:val="false"/>
          <w:color w:val="000000"/>
          <w:sz w:val="28"/>
        </w:rPr>
        <w:t>
      Если требование настоящего подпункта невозможно выполнить по конструктивным соображениям, отступление от него является предметом специального рассмотрения Регистром судоходства.</w:t>
      </w:r>
    </w:p>
    <w:bookmarkEnd w:id="3918"/>
    <w:bookmarkStart w:name="z3908" w:id="3919"/>
    <w:p>
      <w:pPr>
        <w:spacing w:after="0"/>
        <w:ind w:left="0"/>
        <w:jc w:val="both"/>
      </w:pPr>
      <w:r>
        <w:rPr>
          <w:rFonts w:ascii="Times New Roman"/>
          <w:b w:val="false"/>
          <w:i w:val="false"/>
          <w:color w:val="000000"/>
          <w:sz w:val="28"/>
        </w:rPr>
        <w:t xml:space="preserve">
      1059. Для судов, у которых при осадке по летнюю грузовую ватерлинию водоизмещение более 60000т, а коэффициент общей полноты более 0,75, независимо от выполнения требования пункта 1052 настоящих Правил путем испытаний самоходной модели длиной не менее 2м (при скорости модели, соответствующей скорости судна </w:t>
      </w:r>
      <w:r>
        <w:rPr>
          <w:rFonts w:ascii="Times New Roman"/>
          <w:b w:val="false"/>
          <w:i/>
          <w:color w:val="000000"/>
          <w:sz w:val="28"/>
        </w:rPr>
        <w:t>V</w:t>
      </w:r>
      <w:r>
        <w:rPr>
          <w:rFonts w:ascii="Times New Roman"/>
          <w:b w:val="false"/>
          <w:i w:val="false"/>
          <w:color w:val="000000"/>
          <w:sz w:val="28"/>
        </w:rPr>
        <w:t xml:space="preserve"> — пункт 925 настоящих Правил) доказывают выполнение требований подпунктов 1) и 2) пункта 1058 настоящих Правил.</w:t>
      </w:r>
    </w:p>
    <w:bookmarkEnd w:id="3919"/>
    <w:bookmarkStart w:name="z3909" w:id="3920"/>
    <w:p>
      <w:pPr>
        <w:spacing w:after="0"/>
        <w:ind w:left="0"/>
        <w:jc w:val="left"/>
      </w:pPr>
      <w:r>
        <w:rPr>
          <w:rFonts w:ascii="Times New Roman"/>
          <w:b/>
          <w:i w:val="false"/>
          <w:color w:val="000000"/>
        </w:rPr>
        <w:t xml:space="preserve"> Подраздел 3. Якорное устройство</w:t>
      </w:r>
    </w:p>
    <w:bookmarkEnd w:id="3920"/>
    <w:p>
      <w:pPr>
        <w:spacing w:after="0"/>
        <w:ind w:left="0"/>
        <w:jc w:val="both"/>
      </w:pPr>
      <w:r>
        <w:rPr>
          <w:rFonts w:ascii="Times New Roman"/>
          <w:b w:val="false"/>
          <w:i w:val="false"/>
          <w:color w:val="ff0000"/>
          <w:sz w:val="28"/>
        </w:rPr>
        <w:t xml:space="preserve">
      Сноска. Заголовок подраздела 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10" w:id="3921"/>
    <w:p>
      <w:pPr>
        <w:spacing w:after="0"/>
        <w:ind w:left="0"/>
        <w:jc w:val="left"/>
      </w:pPr>
      <w:r>
        <w:rPr>
          <w:rFonts w:ascii="Times New Roman"/>
          <w:b/>
          <w:i w:val="false"/>
          <w:color w:val="000000"/>
        </w:rPr>
        <w:t xml:space="preserve"> Глава 56. Общие указания</w:t>
      </w:r>
    </w:p>
    <w:bookmarkEnd w:id="3921"/>
    <w:p>
      <w:pPr>
        <w:spacing w:after="0"/>
        <w:ind w:left="0"/>
        <w:jc w:val="both"/>
      </w:pPr>
      <w:r>
        <w:rPr>
          <w:rFonts w:ascii="Times New Roman"/>
          <w:b w:val="false"/>
          <w:i w:val="false"/>
          <w:color w:val="ff0000"/>
          <w:sz w:val="28"/>
        </w:rPr>
        <w:t xml:space="preserve">
      Сноска. Заголовок главы 56 -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11" w:id="3922"/>
    <w:p>
      <w:pPr>
        <w:spacing w:after="0"/>
        <w:ind w:left="0"/>
        <w:jc w:val="both"/>
      </w:pPr>
      <w:r>
        <w:rPr>
          <w:rFonts w:ascii="Times New Roman"/>
          <w:b w:val="false"/>
          <w:i w:val="false"/>
          <w:color w:val="000000"/>
          <w:sz w:val="28"/>
        </w:rPr>
        <w:t>
      1060. Каждое судно имеет якорное снабжение, а также стопоры для крепления становых якорей по-походному, устройства для крепления и отдачи коренных концов якорных цепей, механизмы для отдачи и подъема становых якорей и для удержания на них судна при отданных якорях.</w:t>
      </w:r>
    </w:p>
    <w:bookmarkEnd w:id="3922"/>
    <w:bookmarkStart w:name="z3912" w:id="3923"/>
    <w:p>
      <w:pPr>
        <w:spacing w:after="0"/>
        <w:ind w:left="0"/>
        <w:jc w:val="both"/>
      </w:pPr>
      <w:r>
        <w:rPr>
          <w:rFonts w:ascii="Times New Roman"/>
          <w:b w:val="false"/>
          <w:i w:val="false"/>
          <w:color w:val="000000"/>
          <w:sz w:val="28"/>
        </w:rPr>
        <w:t>
      Кроме того, в случаях, указанных в пункте 1088 настоящих Правил, для каждой становой якорной цепи предусматривается стопор, обеспечивающий стоянку судна на якоре.</w:t>
      </w:r>
    </w:p>
    <w:bookmarkEnd w:id="3923"/>
    <w:bookmarkStart w:name="z3913" w:id="3924"/>
    <w:p>
      <w:pPr>
        <w:spacing w:after="0"/>
        <w:ind w:left="0"/>
        <w:jc w:val="both"/>
      </w:pPr>
      <w:r>
        <w:rPr>
          <w:rFonts w:ascii="Times New Roman"/>
          <w:b w:val="false"/>
          <w:i w:val="false"/>
          <w:color w:val="000000"/>
          <w:sz w:val="28"/>
        </w:rPr>
        <w:t>
      1061. Если на судне, кроме якорного устройства или снабжения, предусмотренных в пункте 1060 настоящих Правил, имеется еще какое-либо другое якорное устройство или снабжение (например, авантовые или папильонажные якоря и лебедки для них на дноуглубительных снарядах, мертвые якоря на плавмаяках), то такое якорное устройство или снабжение рассматривается как специальное и освидетельствованию Регистром судоходства не подлежит. Использование якорного устройства, предусмотренного в пункте 1060 настоящих Правил, в качестве рабочих авантовых устройств на дноуглубительных снарядах, а также для удержания дноуглубительных снарядов при производстве дноуглубительных работ грейферами в каждом случае является предметом специального рассмотрения Регистром судоходства; при этом представляют необходимые данные, характеризующие условия работы элементов якорного устройства (величину и степень динамичности действующих усилий, степень интенсивности работы и износа элементов якорного устройства.</w:t>
      </w:r>
    </w:p>
    <w:bookmarkEnd w:id="3924"/>
    <w:bookmarkStart w:name="z3914" w:id="3925"/>
    <w:p>
      <w:pPr>
        <w:spacing w:after="0"/>
        <w:ind w:left="0"/>
        <w:jc w:val="both"/>
      </w:pPr>
      <w:r>
        <w:rPr>
          <w:rFonts w:ascii="Times New Roman"/>
          <w:b w:val="false"/>
          <w:i w:val="false"/>
          <w:color w:val="000000"/>
          <w:sz w:val="28"/>
        </w:rPr>
        <w:t>
      1062. Якорное снабжение выбирается для всех судов, кроме рыболовных, по приложению 167 настоящих Правил, а для рыболовных судов — по приложению 168 настоящих Правил, по характеристике, определенной в соответствии с параграфом 2 настоящей главы для судов неограниченного района плавания и ограниченного района плавания R1, и по характеристике, уменьшенной:</w:t>
      </w:r>
    </w:p>
    <w:bookmarkEnd w:id="3925"/>
    <w:bookmarkStart w:name="z3915" w:id="3926"/>
    <w:p>
      <w:pPr>
        <w:spacing w:after="0"/>
        <w:ind w:left="0"/>
        <w:jc w:val="both"/>
      </w:pPr>
      <w:r>
        <w:rPr>
          <w:rFonts w:ascii="Times New Roman"/>
          <w:b w:val="false"/>
          <w:i w:val="false"/>
          <w:color w:val="000000"/>
          <w:sz w:val="28"/>
        </w:rPr>
        <w:t>
      на 15 % для судов ограниченных районов плавания R2, R2-RSN и R3- RSN;</w:t>
      </w:r>
    </w:p>
    <w:bookmarkEnd w:id="3926"/>
    <w:bookmarkStart w:name="z3916" w:id="3927"/>
    <w:p>
      <w:pPr>
        <w:spacing w:after="0"/>
        <w:ind w:left="0"/>
        <w:jc w:val="both"/>
      </w:pPr>
      <w:r>
        <w:rPr>
          <w:rFonts w:ascii="Times New Roman"/>
          <w:b w:val="false"/>
          <w:i w:val="false"/>
          <w:color w:val="000000"/>
          <w:sz w:val="28"/>
        </w:rPr>
        <w:t>
      на 25 % для судов ограниченного района плавания R3 с учетом указаний 1063, 1069, 1073, 1074, 1075, 1079 и 1082 настоящих Правил.</w:t>
      </w:r>
    </w:p>
    <w:bookmarkEnd w:id="3927"/>
    <w:bookmarkStart w:name="z3917" w:id="3928"/>
    <w:p>
      <w:pPr>
        <w:spacing w:after="0"/>
        <w:ind w:left="0"/>
        <w:jc w:val="both"/>
      </w:pPr>
      <w:r>
        <w:rPr>
          <w:rFonts w:ascii="Times New Roman"/>
          <w:b w:val="false"/>
          <w:i w:val="false"/>
          <w:color w:val="000000"/>
          <w:sz w:val="28"/>
        </w:rPr>
        <w:t>
      1063. Якорное снабжение несамоходных судов выбирается по характеристике, увеличенной на 25% по сравнению с рассчитанной в соответствии с указаниями, изложенными в пункте 1062 настоящих Правил. Для самоходных судов неограниченного района плавания и ограниченных районов плавания R1, R2, R2- RSN и R3 - RSN, у которых наибольшая скорость переднего хода при осадке по летнюю грузовую ватерлинию составляет не более 6 уз, и для судов ограниченного района плавания R3, у которых упомянутая скорость хода не более 5 уз., якорное снабжение выбирается как для несамоходных судов.</w:t>
      </w:r>
    </w:p>
    <w:bookmarkEnd w:id="3928"/>
    <w:bookmarkStart w:name="z3918" w:id="3929"/>
    <w:p>
      <w:pPr>
        <w:spacing w:after="0"/>
        <w:ind w:left="0"/>
        <w:jc w:val="both"/>
      </w:pPr>
      <w:r>
        <w:rPr>
          <w:rFonts w:ascii="Times New Roman"/>
          <w:b w:val="false"/>
          <w:i w:val="false"/>
          <w:color w:val="000000"/>
          <w:sz w:val="28"/>
        </w:rPr>
        <w:t>
      Якорное устройство судовых барж, а также стоечных судов отвечает требованиям настоящего подраздела Правил. В случае перегона морем стоечных судов, не имеющих штатного якорного устройства, предусматривают возможность размещения на них якорей и якорных цепей.</w:t>
      </w:r>
    </w:p>
    <w:bookmarkEnd w:id="3929"/>
    <w:bookmarkStart w:name="z3919" w:id="3930"/>
    <w:p>
      <w:pPr>
        <w:spacing w:after="0"/>
        <w:ind w:left="0"/>
        <w:jc w:val="both"/>
      </w:pPr>
      <w:r>
        <w:rPr>
          <w:rFonts w:ascii="Times New Roman"/>
          <w:b w:val="false"/>
          <w:i w:val="false"/>
          <w:color w:val="000000"/>
          <w:sz w:val="28"/>
        </w:rPr>
        <w:t>
      1064. Для систем дистанционного управления якорным устройством, если они предусматриваются, выбор их типа, степень автоматизации управления, объем операций, управляемых дистанционно, определяются судовладельцем.</w:t>
      </w:r>
    </w:p>
    <w:bookmarkEnd w:id="3930"/>
    <w:bookmarkStart w:name="z3920" w:id="3931"/>
    <w:p>
      <w:pPr>
        <w:spacing w:after="0"/>
        <w:ind w:left="0"/>
        <w:jc w:val="both"/>
      </w:pPr>
      <w:r>
        <w:rPr>
          <w:rFonts w:ascii="Times New Roman"/>
          <w:b w:val="false"/>
          <w:i w:val="false"/>
          <w:color w:val="000000"/>
          <w:sz w:val="28"/>
        </w:rPr>
        <w:t>
      Дополнительные требования к якорным устройствам с системой дистанционного управления приведены в параграфе 4 главы 61, в параграфе 5 главы 372, а также в пункте 4977 настоящих Правил.</w:t>
      </w:r>
    </w:p>
    <w:bookmarkEnd w:id="3931"/>
    <w:bookmarkStart w:name="z3921" w:id="3932"/>
    <w:p>
      <w:pPr>
        <w:spacing w:after="0"/>
        <w:ind w:left="0"/>
        <w:jc w:val="left"/>
      </w:pPr>
      <w:r>
        <w:rPr>
          <w:rFonts w:ascii="Times New Roman"/>
          <w:b/>
          <w:i w:val="false"/>
          <w:color w:val="000000"/>
        </w:rPr>
        <w:t xml:space="preserve"> Глава 57. Характеристика снабжения</w:t>
      </w:r>
    </w:p>
    <w:bookmarkEnd w:id="3932"/>
    <w:p>
      <w:pPr>
        <w:spacing w:after="0"/>
        <w:ind w:left="0"/>
        <w:jc w:val="both"/>
      </w:pPr>
      <w:r>
        <w:rPr>
          <w:rFonts w:ascii="Times New Roman"/>
          <w:b w:val="false"/>
          <w:i w:val="false"/>
          <w:color w:val="ff0000"/>
          <w:sz w:val="28"/>
        </w:rPr>
        <w:t xml:space="preserve">
      Сноска. Заголовок главы 57 -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22" w:id="3933"/>
    <w:p>
      <w:pPr>
        <w:spacing w:after="0"/>
        <w:ind w:left="0"/>
        <w:jc w:val="both"/>
      </w:pPr>
      <w:r>
        <w:rPr>
          <w:rFonts w:ascii="Times New Roman"/>
          <w:b w:val="false"/>
          <w:i w:val="false"/>
          <w:color w:val="000000"/>
          <w:sz w:val="28"/>
        </w:rPr>
        <w:t>
      1065. Характеристика снабжения N</w:t>
      </w:r>
      <w:r>
        <w:rPr>
          <w:rFonts w:ascii="Times New Roman"/>
          <w:b w:val="false"/>
          <w:i w:val="false"/>
          <w:color w:val="000000"/>
          <w:vertAlign w:val="subscript"/>
        </w:rPr>
        <w:t>c</w:t>
      </w:r>
      <w:r>
        <w:rPr>
          <w:rFonts w:ascii="Times New Roman"/>
          <w:b w:val="false"/>
          <w:i w:val="false"/>
          <w:color w:val="000000"/>
          <w:sz w:val="28"/>
        </w:rPr>
        <w:t xml:space="preserve"> всех судов, кроме плавучих кранов и буксиров, определяется по формуле:</w:t>
      </w:r>
    </w:p>
    <w:bookmarkEnd w:id="3933"/>
    <w:p>
      <w:pPr>
        <w:spacing w:after="0"/>
        <w:ind w:left="0"/>
        <w:jc w:val="both"/>
      </w:pPr>
      <w:r>
        <w:rPr>
          <w:rFonts w:ascii="Times New Roman"/>
          <w:b w:val="false"/>
          <w:i w:val="false"/>
          <w:color w:val="000000"/>
          <w:sz w:val="28"/>
        </w:rPr>
        <w:t>
      N</w:t>
      </w:r>
      <w:r>
        <w:rPr>
          <w:rFonts w:ascii="Times New Roman"/>
          <w:b w:val="false"/>
          <w:i w:val="false"/>
          <w:color w:val="000000"/>
          <w:vertAlign w:val="subscript"/>
        </w:rPr>
        <w:t>c</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perscript"/>
        </w:rPr>
        <w:t>2/3</w:t>
      </w:r>
      <w:r>
        <w:rPr>
          <w:rFonts w:ascii="Times New Roman"/>
          <w:b w:val="false"/>
          <w:i w:val="false"/>
          <w:color w:val="000000"/>
          <w:sz w:val="28"/>
        </w:rPr>
        <w:t xml:space="preserve"> + 2Bh+0,1А                     (527)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объемное водоизмещение судна при осадке по летнюю грузовую ватерлинию,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ширина судна,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от летней грузовой ватерлинии до верхней кромки настила палубы самой высокой рубки, м, которая определяется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а+</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(528)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расстояние от летней грузовой ватерлинии до верхней кромки настила верхней палубы у борта на миделе,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высота в диаметральной плоскости каждого яруса надстройки или рубки, имеющей ширину большую, чем 0,25В, м.</w:t>
      </w:r>
    </w:p>
    <w:bookmarkStart w:name="z3923" w:id="3934"/>
    <w:p>
      <w:pPr>
        <w:spacing w:after="0"/>
        <w:ind w:left="0"/>
        <w:jc w:val="both"/>
      </w:pPr>
      <w:r>
        <w:rPr>
          <w:rFonts w:ascii="Times New Roman"/>
          <w:b w:val="false"/>
          <w:i w:val="false"/>
          <w:color w:val="000000"/>
          <w:sz w:val="28"/>
        </w:rPr>
        <w:t>
      При наличии по длине судна двух или более надстроек или рубок учитывается только одна надстройка или рубка рассматриваемого яруса, имеющая большую ширину.</w:t>
      </w:r>
    </w:p>
    <w:bookmarkEnd w:id="3934"/>
    <w:bookmarkStart w:name="z3924" w:id="3935"/>
    <w:p>
      <w:pPr>
        <w:spacing w:after="0"/>
        <w:ind w:left="0"/>
        <w:jc w:val="both"/>
      </w:pPr>
      <w:r>
        <w:rPr>
          <w:rFonts w:ascii="Times New Roman"/>
          <w:b w:val="false"/>
          <w:i w:val="false"/>
          <w:color w:val="000000"/>
          <w:sz w:val="28"/>
        </w:rPr>
        <w:t xml:space="preserve">
      Для самого нижнего яруса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измеряется в диаметральной плоскости от верхней палубы или, при наличии у верхней палубы уступа, от условной линии, являющейся продолжением верхней палубы.</w:t>
      </w:r>
    </w:p>
    <w:bookmarkEnd w:id="3935"/>
    <w:bookmarkStart w:name="z3925" w:id="3936"/>
    <w:p>
      <w:pPr>
        <w:spacing w:after="0"/>
        <w:ind w:left="0"/>
        <w:jc w:val="both"/>
      </w:pPr>
      <w:r>
        <w:rPr>
          <w:rFonts w:ascii="Times New Roman"/>
          <w:b w:val="false"/>
          <w:i w:val="false"/>
          <w:color w:val="000000"/>
          <w:sz w:val="28"/>
        </w:rPr>
        <w:t xml:space="preserve">
      При определении </w:t>
      </w:r>
      <w:r>
        <w:rPr>
          <w:rFonts w:ascii="Times New Roman"/>
          <w:b w:val="false"/>
          <w:i/>
          <w:color w:val="000000"/>
          <w:sz w:val="28"/>
        </w:rPr>
        <w:t>h</w:t>
      </w:r>
      <w:r>
        <w:rPr>
          <w:rFonts w:ascii="Times New Roman"/>
          <w:b w:val="false"/>
          <w:i w:val="false"/>
          <w:color w:val="000000"/>
          <w:sz w:val="28"/>
        </w:rPr>
        <w:t xml:space="preserve"> учитывать седловатость и дифферент не требуется. Следует иметь в виду особенность, указанную в пункте 1067 настоящих Правил.</w:t>
      </w:r>
    </w:p>
    <w:bookmarkEnd w:id="3936"/>
    <w:p>
      <w:pPr>
        <w:spacing w:after="0"/>
        <w:ind w:left="0"/>
        <w:jc w:val="both"/>
      </w:pPr>
      <w:r>
        <w:rPr>
          <w:rFonts w:ascii="Times New Roman"/>
          <w:b w:val="false"/>
          <w:i w:val="false"/>
          <w:color w:val="000000"/>
          <w:sz w:val="28"/>
        </w:rPr>
        <w:t>
      А — площадь парусности в пределах длины судна L, считая от летней грузовой ватерлинии, м</w:t>
      </w:r>
      <w:r>
        <w:rPr>
          <w:rFonts w:ascii="Times New Roman"/>
          <w:b w:val="false"/>
          <w:i w:val="false"/>
          <w:color w:val="000000"/>
          <w:vertAlign w:val="superscript"/>
        </w:rPr>
        <w:t>2</w:t>
      </w:r>
      <w:r>
        <w:rPr>
          <w:rFonts w:ascii="Times New Roman"/>
          <w:b w:val="false"/>
          <w:i w:val="false"/>
          <w:color w:val="000000"/>
          <w:sz w:val="28"/>
        </w:rPr>
        <w:t xml:space="preserve">. При определении </w:t>
      </w:r>
      <w:r>
        <w:rPr>
          <w:rFonts w:ascii="Times New Roman"/>
          <w:b w:val="false"/>
          <w:i/>
          <w:color w:val="000000"/>
          <w:sz w:val="28"/>
        </w:rPr>
        <w:t>А</w:t>
      </w:r>
      <w:r>
        <w:rPr>
          <w:rFonts w:ascii="Times New Roman"/>
          <w:b w:val="false"/>
          <w:i w:val="false"/>
          <w:color w:val="000000"/>
          <w:sz w:val="28"/>
        </w:rPr>
        <w:t xml:space="preserve"> учитывается площадь парусности только корпуса, надстроек и рубок шириной более чем 0,255. Следует иметь также в виду особенность, указанную в пункте 1066 настоящих Правил.</w:t>
      </w:r>
    </w:p>
    <w:bookmarkStart w:name="z3926" w:id="3937"/>
    <w:p>
      <w:pPr>
        <w:spacing w:after="0"/>
        <w:ind w:left="0"/>
        <w:jc w:val="both"/>
      </w:pPr>
      <w:r>
        <w:rPr>
          <w:rFonts w:ascii="Times New Roman"/>
          <w:b w:val="false"/>
          <w:i w:val="false"/>
          <w:color w:val="000000"/>
          <w:sz w:val="28"/>
        </w:rPr>
        <w:t>
      1066. Характеристика снабжения N</w:t>
      </w:r>
      <w:r>
        <w:rPr>
          <w:rFonts w:ascii="Times New Roman"/>
          <w:b w:val="false"/>
          <w:i w:val="false"/>
          <w:color w:val="000000"/>
          <w:vertAlign w:val="subscript"/>
        </w:rPr>
        <w:t>c</w:t>
      </w:r>
      <w:r>
        <w:rPr>
          <w:rFonts w:ascii="Times New Roman"/>
          <w:b w:val="false"/>
          <w:i w:val="false"/>
          <w:color w:val="000000"/>
          <w:sz w:val="28"/>
        </w:rPr>
        <w:t xml:space="preserve"> для буксиров определяется по формуле:</w:t>
      </w:r>
    </w:p>
    <w:bookmarkEnd w:id="3937"/>
    <w:p>
      <w:pPr>
        <w:spacing w:after="0"/>
        <w:ind w:left="0"/>
        <w:jc w:val="both"/>
      </w:pPr>
      <w:r>
        <w:rPr>
          <w:rFonts w:ascii="Times New Roman"/>
          <w:b w:val="false"/>
          <w:i w:val="false"/>
          <w:color w:val="000000"/>
          <w:sz w:val="28"/>
        </w:rPr>
        <w:t>
      N</w:t>
      </w:r>
      <w:r>
        <w:rPr>
          <w:rFonts w:ascii="Times New Roman"/>
          <w:b w:val="false"/>
          <w:i w:val="false"/>
          <w:color w:val="000000"/>
          <w:vertAlign w:val="subscript"/>
        </w:rPr>
        <w:t>c</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perscript"/>
        </w:rPr>
        <w:t>2/3</w:t>
      </w:r>
      <w:r>
        <w:rPr>
          <w:rFonts w:ascii="Times New Roman"/>
          <w:b w:val="false"/>
          <w:i w:val="false"/>
          <w:color w:val="000000"/>
          <w:sz w:val="28"/>
        </w:rPr>
        <w:t xml:space="preserve"> +2 (B</w:t>
      </w:r>
      <w:r>
        <w:rPr>
          <w:rFonts w:ascii="Times New Roman"/>
          <w:b w:val="false"/>
          <w:i/>
          <w:color w:val="000000"/>
          <w:sz w:val="28"/>
        </w:rPr>
        <w:t>a</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i</w:t>
      </w: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sz w:val="28"/>
        </w:rPr>
        <w:t>)+0,</w:t>
      </w:r>
      <w:r>
        <w:rPr>
          <w:rFonts w:ascii="Times New Roman"/>
          <w:b w:val="false"/>
          <w:i/>
          <w:color w:val="000000"/>
          <w:sz w:val="28"/>
        </w:rPr>
        <w:t>lA</w:t>
      </w:r>
      <w:r>
        <w:rPr>
          <w:rFonts w:ascii="Times New Roman"/>
          <w:b w:val="false"/>
          <w:i w:val="false"/>
          <w:color w:val="000000"/>
          <w:sz w:val="28"/>
        </w:rPr>
        <w:t>,             (529)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w:t>
      </w:r>
      <w:r>
        <w:rPr>
          <w:rFonts w:ascii="Times New Roman"/>
          <w:b w:val="false"/>
          <w:i/>
          <w:color w:val="000000"/>
          <w:sz w:val="28"/>
        </w:rPr>
        <w:t>a</w:t>
      </w: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принимаются в соответствии с указаниями пункта 1040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ширина соответствующего яруса надстройки или рубки, м. При наличии по длине судна двух или более надстроек или рубок следует руководствоваться соответствующим указанием пункта 1065 настоящих Правил.</w:t>
      </w:r>
    </w:p>
    <w:bookmarkStart w:name="z3927" w:id="3938"/>
    <w:p>
      <w:pPr>
        <w:spacing w:after="0"/>
        <w:ind w:left="0"/>
        <w:jc w:val="both"/>
      </w:pPr>
      <w:r>
        <w:rPr>
          <w:rFonts w:ascii="Times New Roman"/>
          <w:b w:val="false"/>
          <w:i w:val="false"/>
          <w:color w:val="000000"/>
          <w:sz w:val="28"/>
        </w:rPr>
        <w:t xml:space="preserve">
      1067. Контейнеры и другие подобные грузы, перевозимые на палубе и на закрытиях грузовых люков, мачты, грузовые стрелы, такелаж, леерное ограждение и другие подобные конструкции при определении </w:t>
      </w:r>
      <w:r>
        <w:rPr>
          <w:rFonts w:ascii="Times New Roman"/>
          <w:b w:val="false"/>
          <w:i/>
          <w:color w:val="000000"/>
          <w:sz w:val="28"/>
        </w:rPr>
        <w:t>h</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sz w:val="28"/>
        </w:rPr>
        <w:t xml:space="preserve"> не учитываются, также допускается не учитывать фальшборт и комингсы люков высотой менее 1,5 м. Если высота козырьков, фальшборта и комингсов люков более 1,5 м, то они рассматриваются как рубка или надстройка.</w:t>
      </w:r>
    </w:p>
    <w:bookmarkEnd w:id="3938"/>
    <w:bookmarkStart w:name="z3928" w:id="3939"/>
    <w:p>
      <w:pPr>
        <w:spacing w:after="0"/>
        <w:ind w:left="0"/>
        <w:jc w:val="both"/>
      </w:pPr>
      <w:r>
        <w:rPr>
          <w:rFonts w:ascii="Times New Roman"/>
          <w:b w:val="false"/>
          <w:i w:val="false"/>
          <w:color w:val="000000"/>
          <w:sz w:val="28"/>
        </w:rPr>
        <w:t xml:space="preserve">
      Черпаковые башни, рамы и копры для подъема рам дноуглубительных снарядов при определении </w:t>
      </w:r>
      <w:r>
        <w:rPr>
          <w:rFonts w:ascii="Times New Roman"/>
          <w:b w:val="false"/>
          <w:i/>
          <w:color w:val="000000"/>
          <w:sz w:val="28"/>
        </w:rPr>
        <w:t>h</w:t>
      </w:r>
      <w:r>
        <w:rPr>
          <w:rFonts w:ascii="Times New Roman"/>
          <w:b w:val="false"/>
          <w:i w:val="false"/>
          <w:color w:val="000000"/>
          <w:sz w:val="28"/>
        </w:rPr>
        <w:t xml:space="preserve"> допускается не учитывать; при определении А их площадь парусности следует вычислять как площадь, ограниченную контуром конструкции.</w:t>
      </w:r>
    </w:p>
    <w:bookmarkEnd w:id="3939"/>
    <w:bookmarkStart w:name="z3929" w:id="3940"/>
    <w:p>
      <w:pPr>
        <w:spacing w:after="0"/>
        <w:ind w:left="0"/>
        <w:jc w:val="both"/>
      </w:pPr>
      <w:r>
        <w:rPr>
          <w:rFonts w:ascii="Times New Roman"/>
          <w:b w:val="false"/>
          <w:i w:val="false"/>
          <w:color w:val="000000"/>
          <w:sz w:val="28"/>
        </w:rPr>
        <w:t>
      1068. Характеристика снабжения N</w:t>
      </w:r>
      <w:r>
        <w:rPr>
          <w:rFonts w:ascii="Times New Roman"/>
          <w:b w:val="false"/>
          <w:i w:val="false"/>
          <w:color w:val="000000"/>
          <w:vertAlign w:val="subscript"/>
        </w:rPr>
        <w:t>c</w:t>
      </w:r>
      <w:r>
        <w:rPr>
          <w:rFonts w:ascii="Times New Roman"/>
          <w:b w:val="false"/>
          <w:i w:val="false"/>
          <w:color w:val="000000"/>
          <w:sz w:val="28"/>
        </w:rPr>
        <w:t xml:space="preserve"> для плавучих кранов определяется по формуле:</w:t>
      </w:r>
    </w:p>
    <w:bookmarkEnd w:id="3940"/>
    <w:p>
      <w:pPr>
        <w:spacing w:after="0"/>
        <w:ind w:left="0"/>
        <w:jc w:val="both"/>
      </w:pPr>
      <w:r>
        <w:rPr>
          <w:rFonts w:ascii="Times New Roman"/>
          <w:b w:val="false"/>
          <w:i w:val="false"/>
          <w:color w:val="000000"/>
          <w:sz w:val="28"/>
        </w:rPr>
        <w:t>
      N</w:t>
      </w:r>
      <w:r>
        <w:rPr>
          <w:rFonts w:ascii="Times New Roman"/>
          <w:b w:val="false"/>
          <w:i w:val="false"/>
          <w:color w:val="000000"/>
          <w:vertAlign w:val="subscript"/>
        </w:rPr>
        <w:t>c</w:t>
      </w:r>
      <w:r>
        <w:rPr>
          <w:rFonts w:ascii="Times New Roman"/>
          <w:b w:val="false"/>
          <w:i w:val="false"/>
          <w:color w:val="000000"/>
          <w:sz w:val="28"/>
        </w:rPr>
        <w:t xml:space="preserve"> =1,5</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perscript"/>
        </w:rPr>
        <w:t>2/3</w:t>
      </w:r>
      <w:r>
        <w:rPr>
          <w:rFonts w:ascii="Times New Roman"/>
          <w:b w:val="false"/>
          <w:i w:val="false"/>
          <w:color w:val="000000"/>
          <w:sz w:val="28"/>
        </w:rPr>
        <w:t>+</w:t>
      </w:r>
      <w:r>
        <w:rPr>
          <w:rFonts w:ascii="Times New Roman"/>
          <w:b w:val="false"/>
          <w:i/>
          <w:color w:val="000000"/>
          <w:sz w:val="28"/>
        </w:rPr>
        <w:t>2В h+2S+0,1A</w:t>
      </w:r>
      <w:r>
        <w:rPr>
          <w:rFonts w:ascii="Times New Roman"/>
          <w:b w:val="false"/>
          <w:i w:val="false"/>
          <w:color w:val="000000"/>
          <w:sz w:val="28"/>
        </w:rPr>
        <w:t>,                (530)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принимаются в соответствии с указаниями пункта 1040 настоящих Правил;</w:t>
      </w:r>
    </w:p>
    <w:bookmarkStart w:name="z3930" w:id="3941"/>
    <w:p>
      <w:pPr>
        <w:spacing w:after="0"/>
        <w:ind w:left="0"/>
        <w:jc w:val="both"/>
      </w:pPr>
      <w:r>
        <w:rPr>
          <w:rFonts w:ascii="Times New Roman"/>
          <w:b w:val="false"/>
          <w:i w:val="false"/>
          <w:color w:val="000000"/>
          <w:sz w:val="28"/>
        </w:rPr>
        <w:t>
      при определении А учитывается боковая площадь парусности верхнего строения плавучего крана (в походном положении), вычисляемая как площадь, ограниченная внешним контуром конструкции;</w:t>
      </w:r>
    </w:p>
    <w:bookmarkEnd w:id="3941"/>
    <w:p>
      <w:pPr>
        <w:spacing w:after="0"/>
        <w:ind w:left="0"/>
        <w:jc w:val="both"/>
      </w:pPr>
      <w:r>
        <w:rPr>
          <w:rFonts w:ascii="Times New Roman"/>
          <w:b w:val="false"/>
          <w:i w:val="false"/>
          <w:color w:val="000000"/>
          <w:sz w:val="28"/>
        </w:rPr>
        <w:t>
      S — проекция на плоскость мидель-шпангоута площади парусности, м, верхнего строения (в походном положении), расположенной выше настила палубы самой высокой рубки, учитываемой при определении А, при этом площадь парусности определяется как площадь, ограниченная внешним контуром конструкции.</w:t>
      </w:r>
    </w:p>
    <w:bookmarkStart w:name="z3931" w:id="3942"/>
    <w:p>
      <w:pPr>
        <w:spacing w:after="0"/>
        <w:ind w:left="0"/>
        <w:jc w:val="left"/>
      </w:pPr>
      <w:r>
        <w:rPr>
          <w:rFonts w:ascii="Times New Roman"/>
          <w:b/>
          <w:i w:val="false"/>
          <w:color w:val="000000"/>
        </w:rPr>
        <w:t xml:space="preserve"> Глава 58. Становые якоря и стоп-анкеры</w:t>
      </w:r>
    </w:p>
    <w:bookmarkEnd w:id="3942"/>
    <w:p>
      <w:pPr>
        <w:spacing w:after="0"/>
        <w:ind w:left="0"/>
        <w:jc w:val="both"/>
      </w:pPr>
      <w:r>
        <w:rPr>
          <w:rFonts w:ascii="Times New Roman"/>
          <w:b w:val="false"/>
          <w:i w:val="false"/>
          <w:color w:val="ff0000"/>
          <w:sz w:val="28"/>
        </w:rPr>
        <w:t xml:space="preserve">
      Сноска. Заголовок главы 58 -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32" w:id="3943"/>
    <w:p>
      <w:pPr>
        <w:spacing w:after="0"/>
        <w:ind w:left="0"/>
        <w:jc w:val="both"/>
      </w:pPr>
      <w:r>
        <w:rPr>
          <w:rFonts w:ascii="Times New Roman"/>
          <w:b w:val="false"/>
          <w:i w:val="false"/>
          <w:color w:val="000000"/>
          <w:sz w:val="28"/>
        </w:rPr>
        <w:t>
      1069. Если количество становых якорей, определенное в соответствии указаниями пунктов 1062 и 1063 настоящих Правил, составляет 3, то один из них предполагается запасным. По согласованию с Регистром судоходства третий (запасной) якорь допускается хранить на берегу. Третьего, то есть запасного якоря, допускается не иметь судам ограниченных районов плавания R1, R2, R2-RSN, R3-RSN и R3.</w:t>
      </w:r>
    </w:p>
    <w:bookmarkEnd w:id="3943"/>
    <w:bookmarkStart w:name="z3933" w:id="3944"/>
    <w:p>
      <w:pPr>
        <w:spacing w:after="0"/>
        <w:ind w:left="0"/>
        <w:jc w:val="both"/>
      </w:pPr>
      <w:r>
        <w:rPr>
          <w:rFonts w:ascii="Times New Roman"/>
          <w:b w:val="false"/>
          <w:i w:val="false"/>
          <w:color w:val="000000"/>
          <w:sz w:val="28"/>
        </w:rPr>
        <w:t>
      На судах с характеристикой снабжения 205 и менее разрешается, кроме того, иметь второй становой якорь в качестве запасного при условии, что предусмотрены меры для быстрого приведения его в готовность к действию.</w:t>
      </w:r>
    </w:p>
    <w:bookmarkEnd w:id="3944"/>
    <w:bookmarkStart w:name="z3934" w:id="3945"/>
    <w:p>
      <w:pPr>
        <w:spacing w:after="0"/>
        <w:ind w:left="0"/>
        <w:jc w:val="both"/>
      </w:pPr>
      <w:r>
        <w:rPr>
          <w:rFonts w:ascii="Times New Roman"/>
          <w:b w:val="false"/>
          <w:i w:val="false"/>
          <w:color w:val="000000"/>
          <w:sz w:val="28"/>
        </w:rPr>
        <w:t>
      Суда ограниченного района плавания R3 с характеристикой снабжения 35 и менее, если они не являются пассажирскими, допускается только один становой якорь.</w:t>
      </w:r>
    </w:p>
    <w:bookmarkEnd w:id="3945"/>
    <w:bookmarkStart w:name="z3935" w:id="3946"/>
    <w:p>
      <w:pPr>
        <w:spacing w:after="0"/>
        <w:ind w:left="0"/>
        <w:jc w:val="both"/>
      </w:pPr>
      <w:r>
        <w:rPr>
          <w:rFonts w:ascii="Times New Roman"/>
          <w:b w:val="false"/>
          <w:i w:val="false"/>
          <w:color w:val="000000"/>
          <w:sz w:val="28"/>
        </w:rPr>
        <w:t>
      Суда ограниченного района плавания R3 стоп-анкера разрешается не иметь.</w:t>
      </w:r>
    </w:p>
    <w:bookmarkEnd w:id="3946"/>
    <w:bookmarkStart w:name="z3936" w:id="3947"/>
    <w:p>
      <w:pPr>
        <w:spacing w:after="0"/>
        <w:ind w:left="0"/>
        <w:jc w:val="both"/>
      </w:pPr>
      <w:r>
        <w:rPr>
          <w:rFonts w:ascii="Times New Roman"/>
          <w:b w:val="false"/>
          <w:i w:val="false"/>
          <w:color w:val="000000"/>
          <w:sz w:val="28"/>
        </w:rPr>
        <w:t>
      На судах ограниченных районов плавания R2-RSN, R3-RSN с характеристикой снабжения более 205, кроме снабжения, указанного в приложении 167 настоящих Правил, предусматривается стоп-анкер, масса которого составляет не менее 75 % массы станового якоря.</w:t>
      </w:r>
    </w:p>
    <w:bookmarkEnd w:id="3947"/>
    <w:bookmarkStart w:name="z3937" w:id="3948"/>
    <w:p>
      <w:pPr>
        <w:spacing w:after="0"/>
        <w:ind w:left="0"/>
        <w:jc w:val="both"/>
      </w:pPr>
      <w:r>
        <w:rPr>
          <w:rFonts w:ascii="Times New Roman"/>
          <w:b w:val="false"/>
          <w:i w:val="false"/>
          <w:color w:val="000000"/>
          <w:sz w:val="28"/>
        </w:rPr>
        <w:t>
      1070. Для адмиралтейских якорей в величину массы якоря входит масса штока.</w:t>
      </w:r>
    </w:p>
    <w:bookmarkEnd w:id="3948"/>
    <w:bookmarkStart w:name="z3938" w:id="3949"/>
    <w:p>
      <w:pPr>
        <w:spacing w:after="0"/>
        <w:ind w:left="0"/>
        <w:jc w:val="both"/>
      </w:pPr>
      <w:r>
        <w:rPr>
          <w:rFonts w:ascii="Times New Roman"/>
          <w:b w:val="false"/>
          <w:i w:val="false"/>
          <w:color w:val="000000"/>
          <w:sz w:val="28"/>
        </w:rPr>
        <w:t>
      Масса каждого станового якоря и стоп-анкера отличается на +7 % от значений, определяемых приложениями 167 и 168 настоящих Правил, при условии, что общая масса становых якорей не менее преписываемой общей массы становых якорей.</w:t>
      </w:r>
    </w:p>
    <w:bookmarkEnd w:id="3949"/>
    <w:bookmarkStart w:name="z3939" w:id="3950"/>
    <w:p>
      <w:pPr>
        <w:spacing w:after="0"/>
        <w:ind w:left="0"/>
        <w:jc w:val="both"/>
      </w:pPr>
      <w:r>
        <w:rPr>
          <w:rFonts w:ascii="Times New Roman"/>
          <w:b w:val="false"/>
          <w:i w:val="false"/>
          <w:color w:val="000000"/>
          <w:sz w:val="28"/>
        </w:rPr>
        <w:t>
      Если применяются якоря повышенной держащей силы, то масса каждого якоря составляет 75 % массы якоря, определяемой по приложениям 167 и 168 настоящих Правил. Если применяются якоря высокой держащей силы, то масса каждого якоря составляет не менее 50% массы якоря, определяемой по приложениям 167 и 168 настоящих Правил.</w:t>
      </w:r>
    </w:p>
    <w:bookmarkEnd w:id="3950"/>
    <w:bookmarkStart w:name="z3940" w:id="3951"/>
    <w:p>
      <w:pPr>
        <w:spacing w:after="0"/>
        <w:ind w:left="0"/>
        <w:jc w:val="both"/>
      </w:pPr>
      <w:r>
        <w:rPr>
          <w:rFonts w:ascii="Times New Roman"/>
          <w:b w:val="false"/>
          <w:i w:val="false"/>
          <w:color w:val="000000"/>
          <w:sz w:val="28"/>
        </w:rPr>
        <w:t>
      1071. Для снабжения судов допускаются якоря следующих типов:</w:t>
      </w:r>
    </w:p>
    <w:bookmarkEnd w:id="3951"/>
    <w:bookmarkStart w:name="z3941" w:id="3952"/>
    <w:p>
      <w:pPr>
        <w:spacing w:after="0"/>
        <w:ind w:left="0"/>
        <w:jc w:val="both"/>
      </w:pPr>
      <w:r>
        <w:rPr>
          <w:rFonts w:ascii="Times New Roman"/>
          <w:b w:val="false"/>
          <w:i w:val="false"/>
          <w:color w:val="000000"/>
          <w:sz w:val="28"/>
        </w:rPr>
        <w:t>
      1) Холла;</w:t>
      </w:r>
    </w:p>
    <w:bookmarkEnd w:id="3952"/>
    <w:bookmarkStart w:name="z3942" w:id="3953"/>
    <w:p>
      <w:pPr>
        <w:spacing w:after="0"/>
        <w:ind w:left="0"/>
        <w:jc w:val="both"/>
      </w:pPr>
      <w:r>
        <w:rPr>
          <w:rFonts w:ascii="Times New Roman"/>
          <w:b w:val="false"/>
          <w:i w:val="false"/>
          <w:color w:val="000000"/>
          <w:sz w:val="28"/>
        </w:rPr>
        <w:t>
      2) Грузона;</w:t>
      </w:r>
    </w:p>
    <w:bookmarkEnd w:id="3953"/>
    <w:bookmarkStart w:name="z3943" w:id="3954"/>
    <w:p>
      <w:pPr>
        <w:spacing w:after="0"/>
        <w:ind w:left="0"/>
        <w:jc w:val="both"/>
      </w:pPr>
      <w:r>
        <w:rPr>
          <w:rFonts w:ascii="Times New Roman"/>
          <w:b w:val="false"/>
          <w:i w:val="false"/>
          <w:color w:val="000000"/>
          <w:sz w:val="28"/>
        </w:rPr>
        <w:t>
      3) адмиралтейские.</w:t>
      </w:r>
    </w:p>
    <w:bookmarkEnd w:id="3954"/>
    <w:bookmarkStart w:name="z3944" w:id="3955"/>
    <w:p>
      <w:pPr>
        <w:spacing w:after="0"/>
        <w:ind w:left="0"/>
        <w:jc w:val="both"/>
      </w:pPr>
      <w:r>
        <w:rPr>
          <w:rFonts w:ascii="Times New Roman"/>
          <w:b w:val="false"/>
          <w:i w:val="false"/>
          <w:color w:val="000000"/>
          <w:sz w:val="28"/>
        </w:rPr>
        <w:t>
      Масса головной части якорей Холла или Грузона, включая штыри и детали соединения, составляет не менее 60 % общей массы якоря.</w:t>
      </w:r>
    </w:p>
    <w:bookmarkEnd w:id="3955"/>
    <w:bookmarkStart w:name="z3945" w:id="3956"/>
    <w:p>
      <w:pPr>
        <w:spacing w:after="0"/>
        <w:ind w:left="0"/>
        <w:jc w:val="both"/>
      </w:pPr>
      <w:r>
        <w:rPr>
          <w:rFonts w:ascii="Times New Roman"/>
          <w:b w:val="false"/>
          <w:i w:val="false"/>
          <w:color w:val="000000"/>
          <w:sz w:val="28"/>
        </w:rPr>
        <w:t>
      У адмиралтейских якорей масса штока составляет 20 % общей массы якоря, включая якорную скобу.</w:t>
      </w:r>
    </w:p>
    <w:bookmarkEnd w:id="3956"/>
    <w:bookmarkStart w:name="z3946" w:id="3957"/>
    <w:p>
      <w:pPr>
        <w:spacing w:after="0"/>
        <w:ind w:left="0"/>
        <w:jc w:val="both"/>
      </w:pPr>
      <w:r>
        <w:rPr>
          <w:rFonts w:ascii="Times New Roman"/>
          <w:b w:val="false"/>
          <w:i w:val="false"/>
          <w:color w:val="000000"/>
          <w:sz w:val="28"/>
        </w:rPr>
        <w:t>
      Снабжение судов якорями других типов в каждом случае является предметом специального рассмотрения Регистром судоходства.</w:t>
      </w:r>
    </w:p>
    <w:bookmarkEnd w:id="3957"/>
    <w:bookmarkStart w:name="z3947" w:id="3958"/>
    <w:p>
      <w:pPr>
        <w:spacing w:after="0"/>
        <w:ind w:left="0"/>
        <w:jc w:val="both"/>
      </w:pPr>
      <w:r>
        <w:rPr>
          <w:rFonts w:ascii="Times New Roman"/>
          <w:b w:val="false"/>
          <w:i w:val="false"/>
          <w:color w:val="000000"/>
          <w:sz w:val="28"/>
        </w:rPr>
        <w:t>
      Для признания якоря якорем повышенной держащей силы необходимо провести сравнительные испытания этого якоря и якоря Холла или Грузона в паре на разных грунтах; при этом держащая сила якоря по меньшей мере, вдвое больше, чем у якоря Холла или Грузона такой же массы.</w:t>
      </w:r>
    </w:p>
    <w:bookmarkEnd w:id="3958"/>
    <w:bookmarkStart w:name="z3948" w:id="3959"/>
    <w:p>
      <w:pPr>
        <w:spacing w:after="0"/>
        <w:ind w:left="0"/>
        <w:jc w:val="both"/>
      </w:pPr>
      <w:r>
        <w:rPr>
          <w:rFonts w:ascii="Times New Roman"/>
          <w:b w:val="false"/>
          <w:i w:val="false"/>
          <w:color w:val="000000"/>
          <w:sz w:val="28"/>
        </w:rPr>
        <w:t>
      Для признания якоря якорем высокой держащей силы необходимо провести сравнительные испытания этого якоря и якоря Холла или Грузона в паре на разных грунтах, при этом необходимо чтобы держащая сила якоря была по меньшей мере вчетверо больше, чем у якоря Холла или Грузона такой же массы. Допускается проведение аналогичных сравнительных испытаний с якорем повышенной держащей силы, при этом держащая сила якоря высокой держащей силы была вдвое больше, чем у якоря повышенной держащей силы.</w:t>
      </w:r>
    </w:p>
    <w:bookmarkEnd w:id="3959"/>
    <w:bookmarkStart w:name="z3949" w:id="3960"/>
    <w:p>
      <w:pPr>
        <w:spacing w:after="0"/>
        <w:ind w:left="0"/>
        <w:jc w:val="both"/>
      </w:pPr>
      <w:r>
        <w:rPr>
          <w:rFonts w:ascii="Times New Roman"/>
          <w:b w:val="false"/>
          <w:i w:val="false"/>
          <w:color w:val="000000"/>
          <w:sz w:val="28"/>
        </w:rPr>
        <w:t>
      Объем и порядок проведения указанных испытаний в каждом случае являются предметом специального рассмотрения Регистром судоходства.</w:t>
      </w:r>
    </w:p>
    <w:bookmarkEnd w:id="3960"/>
    <w:bookmarkStart w:name="z3950" w:id="3961"/>
    <w:p>
      <w:pPr>
        <w:spacing w:after="0"/>
        <w:ind w:left="0"/>
        <w:jc w:val="both"/>
      </w:pPr>
      <w:r>
        <w:rPr>
          <w:rFonts w:ascii="Times New Roman"/>
          <w:b w:val="false"/>
          <w:i w:val="false"/>
          <w:color w:val="000000"/>
          <w:sz w:val="28"/>
        </w:rPr>
        <w:t>
      1072. Якоря высокой держащей силы допускаются для снабжения судов ограниченных районов плавания R1, R2-RSN, R3 и R3-RSN. Масса якоря высокой держащей силы не превышает 1500 кг.</w:t>
      </w:r>
    </w:p>
    <w:bookmarkEnd w:id="3961"/>
    <w:bookmarkStart w:name="z3951" w:id="3962"/>
    <w:p>
      <w:pPr>
        <w:spacing w:after="0"/>
        <w:ind w:left="0"/>
        <w:jc w:val="left"/>
      </w:pPr>
      <w:r>
        <w:rPr>
          <w:rFonts w:ascii="Times New Roman"/>
          <w:b/>
          <w:i w:val="false"/>
          <w:color w:val="000000"/>
        </w:rPr>
        <w:t xml:space="preserve"> Глава 59. Цепи и тросы для становых якорей</w:t>
      </w:r>
    </w:p>
    <w:bookmarkEnd w:id="3962"/>
    <w:p>
      <w:pPr>
        <w:spacing w:after="0"/>
        <w:ind w:left="0"/>
        <w:jc w:val="both"/>
      </w:pPr>
      <w:r>
        <w:rPr>
          <w:rFonts w:ascii="Times New Roman"/>
          <w:b w:val="false"/>
          <w:i w:val="false"/>
          <w:color w:val="ff0000"/>
          <w:sz w:val="28"/>
        </w:rPr>
        <w:t xml:space="preserve">
      Сноска. Заголовок главы 59 -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52" w:id="3963"/>
    <w:p>
      <w:pPr>
        <w:spacing w:after="0"/>
        <w:ind w:left="0"/>
        <w:jc w:val="both"/>
      </w:pPr>
      <w:r>
        <w:rPr>
          <w:rFonts w:ascii="Times New Roman"/>
          <w:b w:val="false"/>
          <w:i w:val="false"/>
          <w:color w:val="000000"/>
          <w:sz w:val="28"/>
        </w:rPr>
        <w:t>
      1073. Суда с характеристикой снабжения 205 и менее, на которых второй становой якорь допущен в качестве запасного, а также суда с характеристикой 35 и менее, которым допускается иметь только один становой якорь, согласно пункту 1069 настоящих Правил снабжаются только одной цепью длиной, уменьшенной вдвое по сравнению с требуемой соответствующей таблицей снабжения для двух цепей. Суда ограниченного района плавания R3 цепей или тросов для стоп-анкера могут не иметь.</w:t>
      </w:r>
    </w:p>
    <w:bookmarkEnd w:id="3963"/>
    <w:bookmarkStart w:name="z3953" w:id="3964"/>
    <w:p>
      <w:pPr>
        <w:spacing w:after="0"/>
        <w:ind w:left="0"/>
        <w:jc w:val="both"/>
      </w:pPr>
      <w:r>
        <w:rPr>
          <w:rFonts w:ascii="Times New Roman"/>
          <w:b w:val="false"/>
          <w:i w:val="false"/>
          <w:color w:val="000000"/>
          <w:sz w:val="28"/>
        </w:rPr>
        <w:t>
      1074. Для судов, к символу класса которых добавляется отметка "Суда обеспечения", суммарная длина обеих цепей для становых якорей принимается на 165 м больше, чем указано в приложении 167 настоящих Правил, а калибр этих цепей принимается не менее калибра, указанного в приложении 167 настоящих Правил, двумя строками ниже характеристики снабжения рассматриваемого судна (с учетом указаний пунктов 1062 и 1063 настоящих Правил).</w:t>
      </w:r>
    </w:p>
    <w:bookmarkEnd w:id="3964"/>
    <w:bookmarkStart w:name="z3954" w:id="3965"/>
    <w:p>
      <w:pPr>
        <w:spacing w:after="0"/>
        <w:ind w:left="0"/>
        <w:jc w:val="both"/>
      </w:pPr>
      <w:r>
        <w:rPr>
          <w:rFonts w:ascii="Times New Roman"/>
          <w:b w:val="false"/>
          <w:i w:val="false"/>
          <w:color w:val="000000"/>
          <w:sz w:val="28"/>
        </w:rPr>
        <w:t>
      На судах обеспечения с характеристикой снабжения более 720 при спецификационной глубине якорной стоянки более 250 м и на судах обеспечения с характеристикой снабжения 720 или менее при спецификационной глубине якорной стоянки более 200 м длина и калибр якорных цепей для становых якорей увеличивают с учетом спецификационных глубин и условий якорных стоянок по согласованию с Регистром судоходства.</w:t>
      </w:r>
    </w:p>
    <w:bookmarkEnd w:id="3965"/>
    <w:bookmarkStart w:name="z3955" w:id="3966"/>
    <w:p>
      <w:pPr>
        <w:spacing w:after="0"/>
        <w:ind w:left="0"/>
        <w:jc w:val="both"/>
      </w:pPr>
      <w:r>
        <w:rPr>
          <w:rFonts w:ascii="Times New Roman"/>
          <w:b w:val="false"/>
          <w:i w:val="false"/>
          <w:color w:val="000000"/>
          <w:sz w:val="28"/>
        </w:rPr>
        <w:t>
      1075. Калибр цепей для становых якорей грунтоотвозных шаланд и дноуглубительных снарядов, не имеющих трюмов для транспортировки грунта, принимается не менее калибра, указанного в приложении 167 настоящих Правил, двумя строками ниже, а для дноуглубительных снарядов, имеющих трюмы для транспортировки грунта, строкой ниже характеристики снабжения рассматриваемого судна (с учетом указаний пунктов 1062 и 1063 настоящих Правил).</w:t>
      </w:r>
    </w:p>
    <w:bookmarkEnd w:id="3966"/>
    <w:bookmarkStart w:name="z3956" w:id="3967"/>
    <w:p>
      <w:pPr>
        <w:spacing w:after="0"/>
        <w:ind w:left="0"/>
        <w:jc w:val="both"/>
      </w:pPr>
      <w:r>
        <w:rPr>
          <w:rFonts w:ascii="Times New Roman"/>
          <w:b w:val="false"/>
          <w:i w:val="false"/>
          <w:color w:val="000000"/>
          <w:sz w:val="28"/>
        </w:rPr>
        <w:t>
      1076. Условия принадлежности цепей становых якорей к той или другой категории прочности регламентированы в главе 614 настоящих Правил.</w:t>
      </w:r>
    </w:p>
    <w:bookmarkEnd w:id="3967"/>
    <w:bookmarkStart w:name="z3957" w:id="3968"/>
    <w:p>
      <w:pPr>
        <w:spacing w:after="0"/>
        <w:ind w:left="0"/>
        <w:jc w:val="both"/>
      </w:pPr>
      <w:r>
        <w:rPr>
          <w:rFonts w:ascii="Times New Roman"/>
          <w:b w:val="false"/>
          <w:i w:val="false"/>
          <w:color w:val="000000"/>
          <w:sz w:val="28"/>
        </w:rPr>
        <w:t>
      1077. Приложения 167 и 168 настоящих Правил, регламентируют калибры цепей в предположении обязательного наличия распорок в звеньях этих цепей, за исключением цепей калибром менее 15 мм, которые предполагаются не имеющими этих распорок. Применение вместо цепей с распорками калибром 15 мм и более цепей без распорок увеличенного калибра в каждом случае является предметом специального рассмотрения Регистром судоходства.</w:t>
      </w:r>
    </w:p>
    <w:bookmarkEnd w:id="3968"/>
    <w:bookmarkStart w:name="z3958" w:id="3969"/>
    <w:p>
      <w:pPr>
        <w:spacing w:after="0"/>
        <w:ind w:left="0"/>
        <w:jc w:val="both"/>
      </w:pPr>
      <w:r>
        <w:rPr>
          <w:rFonts w:ascii="Times New Roman"/>
          <w:b w:val="false"/>
          <w:i w:val="false"/>
          <w:color w:val="000000"/>
          <w:sz w:val="28"/>
        </w:rPr>
        <w:t>
      1078. Цепи комплектуюся из отдельных смычек. Исключением являются цепи калибром менее 15 мм, которые бывают не разделенными на смычки.</w:t>
      </w:r>
    </w:p>
    <w:bookmarkEnd w:id="3969"/>
    <w:bookmarkStart w:name="z3959" w:id="3970"/>
    <w:p>
      <w:pPr>
        <w:spacing w:after="0"/>
        <w:ind w:left="0"/>
        <w:jc w:val="both"/>
      </w:pPr>
      <w:r>
        <w:rPr>
          <w:rFonts w:ascii="Times New Roman"/>
          <w:b w:val="false"/>
          <w:i w:val="false"/>
          <w:color w:val="000000"/>
          <w:sz w:val="28"/>
        </w:rPr>
        <w:t>
      Смычки соединяются между собой соединительными звеньями. Применение вместо соединительных звеньев соединительных скоб в каждом случае является предметом специального рассмотрения Регистром судоходства.</w:t>
      </w:r>
    </w:p>
    <w:bookmarkEnd w:id="3970"/>
    <w:bookmarkStart w:name="z3960" w:id="3971"/>
    <w:p>
      <w:pPr>
        <w:spacing w:after="0"/>
        <w:ind w:left="0"/>
        <w:jc w:val="both"/>
      </w:pPr>
      <w:r>
        <w:rPr>
          <w:rFonts w:ascii="Times New Roman"/>
          <w:b w:val="false"/>
          <w:i w:val="false"/>
          <w:color w:val="000000"/>
          <w:sz w:val="28"/>
        </w:rPr>
        <w:t>
      В зависимости от расположения в цепи смычки разделяются:</w:t>
      </w:r>
    </w:p>
    <w:bookmarkEnd w:id="3971"/>
    <w:bookmarkStart w:name="z3961" w:id="3972"/>
    <w:p>
      <w:pPr>
        <w:spacing w:after="0"/>
        <w:ind w:left="0"/>
        <w:jc w:val="both"/>
      </w:pPr>
      <w:r>
        <w:rPr>
          <w:rFonts w:ascii="Times New Roman"/>
          <w:b w:val="false"/>
          <w:i w:val="false"/>
          <w:color w:val="000000"/>
          <w:sz w:val="28"/>
        </w:rPr>
        <w:t>
      1) на якорную, крепящуюся к якорю;</w:t>
      </w:r>
    </w:p>
    <w:bookmarkEnd w:id="3972"/>
    <w:bookmarkStart w:name="z3962" w:id="3973"/>
    <w:p>
      <w:pPr>
        <w:spacing w:after="0"/>
        <w:ind w:left="0"/>
        <w:jc w:val="both"/>
      </w:pPr>
      <w:r>
        <w:rPr>
          <w:rFonts w:ascii="Times New Roman"/>
          <w:b w:val="false"/>
          <w:i w:val="false"/>
          <w:color w:val="000000"/>
          <w:sz w:val="28"/>
        </w:rPr>
        <w:t>
      2) на промежуточные;</w:t>
      </w:r>
    </w:p>
    <w:bookmarkEnd w:id="3973"/>
    <w:bookmarkStart w:name="z3963" w:id="3974"/>
    <w:p>
      <w:pPr>
        <w:spacing w:after="0"/>
        <w:ind w:left="0"/>
        <w:jc w:val="both"/>
      </w:pPr>
      <w:r>
        <w:rPr>
          <w:rFonts w:ascii="Times New Roman"/>
          <w:b w:val="false"/>
          <w:i w:val="false"/>
          <w:color w:val="000000"/>
          <w:sz w:val="28"/>
        </w:rPr>
        <w:t>
      3) на коренную, крепящуюся к устройству для отдачи цепи.</w:t>
      </w:r>
    </w:p>
    <w:bookmarkEnd w:id="3974"/>
    <w:bookmarkStart w:name="z3964" w:id="3975"/>
    <w:p>
      <w:pPr>
        <w:spacing w:after="0"/>
        <w:ind w:left="0"/>
        <w:jc w:val="both"/>
      </w:pPr>
      <w:r>
        <w:rPr>
          <w:rFonts w:ascii="Times New Roman"/>
          <w:b w:val="false"/>
          <w:i w:val="false"/>
          <w:color w:val="000000"/>
          <w:sz w:val="28"/>
        </w:rPr>
        <w:t>
      1079. Якорная смычка состоит из вертлюга, концевого звена и минимального количества общих и увеличенных звеньев, необходимых для оформления отрезка цепи в самостоятельную смычку.</w:t>
      </w:r>
    </w:p>
    <w:bookmarkEnd w:id="3975"/>
    <w:bookmarkStart w:name="z3965" w:id="3976"/>
    <w:p>
      <w:pPr>
        <w:spacing w:after="0"/>
        <w:ind w:left="0"/>
        <w:jc w:val="both"/>
      </w:pPr>
      <w:r>
        <w:rPr>
          <w:rFonts w:ascii="Times New Roman"/>
          <w:b w:val="false"/>
          <w:i w:val="false"/>
          <w:color w:val="000000"/>
          <w:sz w:val="28"/>
        </w:rPr>
        <w:t>
      Если позволяет соотношение размеров узлов и деталей цепи, то якорная смычка состоит только из вертлюга, концевого звена и соединяющего их соединительного звена. У цепей, не разделенных на смычки, вертлюг включен в состав каждой цепи возможно ближе к якорю. Штыри вертлюгов во всех случаях обращены к середине цепи.</w:t>
      </w:r>
    </w:p>
    <w:bookmarkEnd w:id="3976"/>
    <w:bookmarkStart w:name="z3966" w:id="3977"/>
    <w:p>
      <w:pPr>
        <w:spacing w:after="0"/>
        <w:ind w:left="0"/>
        <w:jc w:val="both"/>
      </w:pPr>
      <w:r>
        <w:rPr>
          <w:rFonts w:ascii="Times New Roman"/>
          <w:b w:val="false"/>
          <w:i w:val="false"/>
          <w:color w:val="000000"/>
          <w:sz w:val="28"/>
        </w:rPr>
        <w:t>
      Якорная смычка соединяется со скобой якоря с помощью концевой скобы; при этом в якорную скобу закладывается штырь концевой скобы.</w:t>
      </w:r>
    </w:p>
    <w:bookmarkEnd w:id="3977"/>
    <w:bookmarkStart w:name="z3967" w:id="3978"/>
    <w:p>
      <w:pPr>
        <w:spacing w:after="0"/>
        <w:ind w:left="0"/>
        <w:jc w:val="both"/>
      </w:pPr>
      <w:r>
        <w:rPr>
          <w:rFonts w:ascii="Times New Roman"/>
          <w:b w:val="false"/>
          <w:i w:val="false"/>
          <w:color w:val="000000"/>
          <w:sz w:val="28"/>
        </w:rPr>
        <w:t>
      1080. Промежуточные смычки имеют длину не менее 25 и не более 27,5 м и состоят из нечетного количества звеньев. Общая длина двух цепей, приведенная в таблицах снабжения, представляет собой только сумму длин промежуточных смычек без якорных и коренных смычек.</w:t>
      </w:r>
    </w:p>
    <w:bookmarkEnd w:id="3978"/>
    <w:bookmarkStart w:name="z3968" w:id="3979"/>
    <w:p>
      <w:pPr>
        <w:spacing w:after="0"/>
        <w:ind w:left="0"/>
        <w:jc w:val="both"/>
      </w:pPr>
      <w:r>
        <w:rPr>
          <w:rFonts w:ascii="Times New Roman"/>
          <w:b w:val="false"/>
          <w:i w:val="false"/>
          <w:color w:val="000000"/>
          <w:sz w:val="28"/>
        </w:rPr>
        <w:t>
      Если полученное число промежуточных смычек нечетное, то цепь правого борта имеет на одну промежуточную смычку больше, чем цепь левого борта.</w:t>
      </w:r>
    </w:p>
    <w:bookmarkEnd w:id="3979"/>
    <w:bookmarkStart w:name="z3969" w:id="3980"/>
    <w:p>
      <w:pPr>
        <w:spacing w:after="0"/>
        <w:ind w:left="0"/>
        <w:jc w:val="both"/>
      </w:pPr>
      <w:r>
        <w:rPr>
          <w:rFonts w:ascii="Times New Roman"/>
          <w:b w:val="false"/>
          <w:i w:val="false"/>
          <w:color w:val="000000"/>
          <w:sz w:val="28"/>
        </w:rPr>
        <w:t>
      1081. Коренная смычка состоит из специального звена увеличенных размеров (с тем, однако, чтобы оно свободно проходило по звездочке якорного механизма), крепящегося к устройству для отдачи цепи, и минимального количества общих и увеличенных звеньев, необходимого для оформления отрезка цепи в самостоятельную смычку. Если соотношение размеров деталей цепи и устройства для ее отдачи позволяет, то коренная смычка состоит только из одного концевого звена.</w:t>
      </w:r>
    </w:p>
    <w:bookmarkEnd w:id="3980"/>
    <w:bookmarkStart w:name="z3970" w:id="3981"/>
    <w:p>
      <w:pPr>
        <w:spacing w:after="0"/>
        <w:ind w:left="0"/>
        <w:jc w:val="both"/>
      </w:pPr>
      <w:r>
        <w:rPr>
          <w:rFonts w:ascii="Times New Roman"/>
          <w:b w:val="false"/>
          <w:i w:val="false"/>
          <w:color w:val="000000"/>
          <w:sz w:val="28"/>
        </w:rPr>
        <w:t>
      1082. Во всем остальном цепи для становых якорей отвечают требованиям главы 610 настоящих Правил.</w:t>
      </w:r>
    </w:p>
    <w:bookmarkEnd w:id="3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1" w:id="3982"/>
    <w:p>
      <w:pPr>
        <w:spacing w:after="0"/>
        <w:ind w:left="0"/>
        <w:jc w:val="both"/>
      </w:pPr>
      <w:r>
        <w:rPr>
          <w:rFonts w:ascii="Times New Roman"/>
          <w:b w:val="false"/>
          <w:i w:val="false"/>
          <w:color w:val="000000"/>
          <w:sz w:val="28"/>
        </w:rPr>
        <w:t>
      1083. На рыболовных судах длиной менее 30 м и на прочих судах с характеристикой снабжения 205 и менее допускается заменять цепи стальными тросами; на рыболовных судах длиной от 30 до 40 м включительно допускается заменять одну из якорных цепей стальным тросом. Разрывное усилие в целом таких тросов не менее разрывной нагрузки соответствующих цепей, а длина — не менее 1,5 длины этих цепей.</w:t>
      </w:r>
    </w:p>
    <w:bookmarkEnd w:id="3982"/>
    <w:bookmarkStart w:name="z3972" w:id="3983"/>
    <w:p>
      <w:pPr>
        <w:spacing w:after="0"/>
        <w:ind w:left="0"/>
        <w:jc w:val="both"/>
      </w:pPr>
      <w:r>
        <w:rPr>
          <w:rFonts w:ascii="Times New Roman"/>
          <w:b w:val="false"/>
          <w:i w:val="false"/>
          <w:color w:val="000000"/>
          <w:sz w:val="28"/>
        </w:rPr>
        <w:t>
      Если ваеры отвечают этим требованиям, то их можно применять в качестве якорных тросов.</w:t>
      </w:r>
    </w:p>
    <w:bookmarkEnd w:id="3983"/>
    <w:bookmarkStart w:name="z3973" w:id="3984"/>
    <w:p>
      <w:pPr>
        <w:spacing w:after="0"/>
        <w:ind w:left="0"/>
        <w:jc w:val="both"/>
      </w:pPr>
      <w:r>
        <w:rPr>
          <w:rFonts w:ascii="Times New Roman"/>
          <w:b w:val="false"/>
          <w:i w:val="false"/>
          <w:color w:val="000000"/>
          <w:sz w:val="28"/>
        </w:rPr>
        <w:t>
      На судах с характеристикой снабжения 130 и менее по согласованию с Регистром судоходства вместо цепей или стальных тросов применяются тросы из синтетического волокна.</w:t>
      </w:r>
    </w:p>
    <w:bookmarkEnd w:id="3984"/>
    <w:bookmarkStart w:name="z3974" w:id="3985"/>
    <w:p>
      <w:pPr>
        <w:spacing w:after="0"/>
        <w:ind w:left="0"/>
        <w:jc w:val="both"/>
      </w:pPr>
      <w:r>
        <w:rPr>
          <w:rFonts w:ascii="Times New Roman"/>
          <w:b w:val="false"/>
          <w:i w:val="false"/>
          <w:color w:val="000000"/>
          <w:sz w:val="28"/>
        </w:rPr>
        <w:t>
      1084. Конец каждого стального троса заделывают в коуш, зажим или патрон и соединяется с якорем посредством отрезка цепи длиной, равной расстоянию между якорем (в положении "по- походному") и якорным механизмом или 12,5 м в зависимости от того, что меньше; разрывная нагрузка указанного отрезка цепи не менее разрывного усилия в целом стального троса. С заделкой стального троса и скобой якоря отрезок цепи соединяется скобами, также равнопрочными с тросом.</w:t>
      </w:r>
    </w:p>
    <w:bookmarkEnd w:id="3985"/>
    <w:bookmarkStart w:name="z3975" w:id="3986"/>
    <w:p>
      <w:pPr>
        <w:spacing w:after="0"/>
        <w:ind w:left="0"/>
        <w:jc w:val="both"/>
      </w:pPr>
      <w:r>
        <w:rPr>
          <w:rFonts w:ascii="Times New Roman"/>
          <w:b w:val="false"/>
          <w:i w:val="false"/>
          <w:color w:val="000000"/>
          <w:sz w:val="28"/>
        </w:rPr>
        <w:t>
      Длина отрезков цепи засчитывается в 1,5 длины тросов, регламентированной в пункте 1058 настоящих Правил.</w:t>
      </w:r>
    </w:p>
    <w:bookmarkEnd w:id="3986"/>
    <w:bookmarkStart w:name="z3976" w:id="3987"/>
    <w:p>
      <w:pPr>
        <w:spacing w:after="0"/>
        <w:ind w:left="0"/>
        <w:jc w:val="both"/>
      </w:pPr>
      <w:r>
        <w:rPr>
          <w:rFonts w:ascii="Times New Roman"/>
          <w:b w:val="false"/>
          <w:i w:val="false"/>
          <w:color w:val="000000"/>
          <w:sz w:val="28"/>
        </w:rPr>
        <w:t>
      1085. Стальные тросы для якорей имеют не менее 114 проволок и один органический сердечник. Проволоки тросов имеют цинковое покрытие в соответствии с признанными стандартами.</w:t>
      </w:r>
    </w:p>
    <w:bookmarkEnd w:id="3987"/>
    <w:p>
      <w:pPr>
        <w:spacing w:after="0"/>
        <w:ind w:left="0"/>
        <w:jc w:val="both"/>
      </w:pPr>
      <w:r>
        <w:rPr>
          <w:rFonts w:ascii="Times New Roman"/>
          <w:b w:val="false"/>
          <w:i w:val="false"/>
          <w:color w:val="000000"/>
          <w:sz w:val="28"/>
        </w:rPr>
        <w:t>
      Во всем остальном стальные тросы для якорей отвечают требованиям главы 581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8" w:id="3988"/>
    <w:p>
      <w:pPr>
        <w:spacing w:after="0"/>
        <w:ind w:left="0"/>
        <w:jc w:val="left"/>
      </w:pPr>
      <w:r>
        <w:rPr>
          <w:rFonts w:ascii="Times New Roman"/>
          <w:b/>
          <w:i w:val="false"/>
          <w:color w:val="000000"/>
        </w:rPr>
        <w:t xml:space="preserve"> Глава 60. Цепь или стальной трос для стоп-анкера</w:t>
      </w:r>
    </w:p>
    <w:bookmarkEnd w:id="3988"/>
    <w:p>
      <w:pPr>
        <w:spacing w:after="0"/>
        <w:ind w:left="0"/>
        <w:jc w:val="both"/>
      </w:pPr>
      <w:r>
        <w:rPr>
          <w:rFonts w:ascii="Times New Roman"/>
          <w:b w:val="false"/>
          <w:i w:val="false"/>
          <w:color w:val="ff0000"/>
          <w:sz w:val="28"/>
        </w:rPr>
        <w:t xml:space="preserve">
      Сноска. Заголовок главы 60 -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79" w:id="3989"/>
    <w:p>
      <w:pPr>
        <w:spacing w:after="0"/>
        <w:ind w:left="0"/>
        <w:jc w:val="both"/>
      </w:pPr>
      <w:r>
        <w:rPr>
          <w:rFonts w:ascii="Times New Roman"/>
          <w:b w:val="false"/>
          <w:i w:val="false"/>
          <w:color w:val="000000"/>
          <w:sz w:val="28"/>
        </w:rPr>
        <w:t>
      1086. Цепи для стоп-анкера должны отвечать применимым требованиям главы 610 настоящих Правил.</w:t>
      </w:r>
    </w:p>
    <w:bookmarkEnd w:id="3989"/>
    <w:p>
      <w:pPr>
        <w:spacing w:after="0"/>
        <w:ind w:left="0"/>
        <w:jc w:val="both"/>
      </w:pPr>
      <w:r>
        <w:rPr>
          <w:rFonts w:ascii="Times New Roman"/>
          <w:b w:val="false"/>
          <w:i w:val="false"/>
          <w:color w:val="000000"/>
          <w:sz w:val="28"/>
        </w:rPr>
        <w:t>
      Суда ограниченных районов плавания R2-RSN и R3-RSN с характеристикой снабжения более 205 снабжают цепью для стоп-анкера длиной не менее 60 % длины цепи, требуемой для станового якоря. Калибр цепи принимается не менее калибра, указанного в приложении 167 настоящих Правил двумя строками выше характеристики снабжения рассматриваемого судна (с учетом указаний пунктов 1062 и 1063 настоящих Правил).</w:t>
      </w:r>
    </w:p>
    <w:p>
      <w:pPr>
        <w:spacing w:after="0"/>
        <w:ind w:left="0"/>
        <w:jc w:val="both"/>
      </w:pPr>
      <w:r>
        <w:rPr>
          <w:rFonts w:ascii="Times New Roman"/>
          <w:b w:val="false"/>
          <w:i w:val="false"/>
          <w:color w:val="000000"/>
          <w:sz w:val="28"/>
        </w:rPr>
        <w:t>
      Суда с характеристикой снабжения менее 205 допускается снабжать цепями без распорок.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2" w:id="3990"/>
    <w:p>
      <w:pPr>
        <w:spacing w:after="0"/>
        <w:ind w:left="0"/>
        <w:jc w:val="both"/>
      </w:pPr>
      <w:r>
        <w:rPr>
          <w:rFonts w:ascii="Times New Roman"/>
          <w:b w:val="false"/>
          <w:i w:val="false"/>
          <w:color w:val="000000"/>
          <w:sz w:val="28"/>
        </w:rPr>
        <w:t>
      1087. На трос для стоп-анкера распространяются требования пунктов 1084 и 1085 настоящих Правил.</w:t>
      </w:r>
    </w:p>
    <w:bookmarkEnd w:id="3990"/>
    <w:bookmarkStart w:name="z3983" w:id="3991"/>
    <w:p>
      <w:pPr>
        <w:spacing w:after="0"/>
        <w:ind w:left="0"/>
        <w:jc w:val="left"/>
      </w:pPr>
      <w:r>
        <w:rPr>
          <w:rFonts w:ascii="Times New Roman"/>
          <w:b/>
          <w:i w:val="false"/>
          <w:color w:val="000000"/>
        </w:rPr>
        <w:t xml:space="preserve"> Глава 61. Якорное оборудование</w:t>
      </w:r>
    </w:p>
    <w:bookmarkEnd w:id="3991"/>
    <w:p>
      <w:pPr>
        <w:spacing w:after="0"/>
        <w:ind w:left="0"/>
        <w:jc w:val="both"/>
      </w:pPr>
      <w:r>
        <w:rPr>
          <w:rFonts w:ascii="Times New Roman"/>
          <w:b w:val="false"/>
          <w:i w:val="false"/>
          <w:color w:val="ff0000"/>
          <w:sz w:val="28"/>
        </w:rPr>
        <w:t xml:space="preserve">
      Сноска. Заголовок главы 61 -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84" w:id="3992"/>
    <w:p>
      <w:pPr>
        <w:spacing w:after="0"/>
        <w:ind w:left="0"/>
        <w:jc w:val="left"/>
      </w:pPr>
      <w:r>
        <w:rPr>
          <w:rFonts w:ascii="Times New Roman"/>
          <w:b/>
          <w:i w:val="false"/>
          <w:color w:val="000000"/>
        </w:rPr>
        <w:t xml:space="preserve"> Параграф 1. Стопоры</w:t>
      </w:r>
    </w:p>
    <w:bookmarkEnd w:id="3992"/>
    <w:bookmarkStart w:name="z3985" w:id="3993"/>
    <w:p>
      <w:pPr>
        <w:spacing w:after="0"/>
        <w:ind w:left="0"/>
        <w:jc w:val="both"/>
      </w:pPr>
      <w:r>
        <w:rPr>
          <w:rFonts w:ascii="Times New Roman"/>
          <w:b w:val="false"/>
          <w:i w:val="false"/>
          <w:color w:val="000000"/>
          <w:sz w:val="28"/>
        </w:rPr>
        <w:t>
      1088. Для каждой становой якорной цепи или троса, а также цепи для стоп-анкера массой 200 кг и более предусматривают стопор, обеспечивающий удержание якоря в клюзе "по – походному" или предназначенный, кроме того, для стоянки судна на якоре.</w:t>
      </w:r>
    </w:p>
    <w:bookmarkEnd w:id="3993"/>
    <w:bookmarkStart w:name="z3986" w:id="3994"/>
    <w:p>
      <w:pPr>
        <w:spacing w:after="0"/>
        <w:ind w:left="0"/>
        <w:jc w:val="both"/>
      </w:pPr>
      <w:r>
        <w:rPr>
          <w:rFonts w:ascii="Times New Roman"/>
          <w:b w:val="false"/>
          <w:i w:val="false"/>
          <w:color w:val="000000"/>
          <w:sz w:val="28"/>
        </w:rPr>
        <w:t>
      На судах, не имеющих якорных механизмов, и в случаях установки якорных механизмов, не отвечающих требованию подпункта 2) пункта 4257 настоящих Правил, наличие стопоров, обеспечивающих стоянку судна на якоре, является обязательным.</w:t>
      </w:r>
    </w:p>
    <w:bookmarkEnd w:id="3994"/>
    <w:bookmarkStart w:name="z3987" w:id="3995"/>
    <w:p>
      <w:pPr>
        <w:spacing w:after="0"/>
        <w:ind w:left="0"/>
        <w:jc w:val="both"/>
      </w:pPr>
      <w:r>
        <w:rPr>
          <w:rFonts w:ascii="Times New Roman"/>
          <w:b w:val="false"/>
          <w:i w:val="false"/>
          <w:color w:val="000000"/>
          <w:sz w:val="28"/>
        </w:rPr>
        <w:t>
      1089. Если стопор предназначен только для удержания якоря в клюзе по-походному, то его детали рассчитывают исходя из действия на стопор усилия в цепи, равного удвоенному весу якоря. При этом напряжения в деталях стопора не превышают 0,4 предела текучести их материала. Если в состав стопора входит цепь или трос, то при действии усилия, равного удвоенному весу якоря, обеспечивают пятикратный запас прочности по отношению к разрывной нагрузке цепи или разрывному усилию троса в целом.</w:t>
      </w:r>
    </w:p>
    <w:bookmarkEnd w:id="3995"/>
    <w:bookmarkStart w:name="z3988" w:id="3996"/>
    <w:p>
      <w:pPr>
        <w:spacing w:after="0"/>
        <w:ind w:left="0"/>
        <w:jc w:val="both"/>
      </w:pPr>
      <w:r>
        <w:rPr>
          <w:rFonts w:ascii="Times New Roman"/>
          <w:b w:val="false"/>
          <w:i w:val="false"/>
          <w:color w:val="000000"/>
          <w:sz w:val="28"/>
        </w:rPr>
        <w:t>
      1090. Если стопор предназначен для стоянки судна на якоре, то его детали рассчитывают исходя из действия на стопор усилия в цепи, равного 0,8 ее разрывной нагрузки. При этом напряжения в деталях стопора не превышают 0,95 предела текучести их материала. Если в состав стопора входит цепь или трос, то необходимо чтобы они были равнопрочными якорной цепи, для которой предназначены.</w:t>
      </w:r>
    </w:p>
    <w:bookmarkEnd w:id="3996"/>
    <w:bookmarkStart w:name="z3989" w:id="3997"/>
    <w:p>
      <w:pPr>
        <w:spacing w:after="0"/>
        <w:ind w:left="0"/>
        <w:jc w:val="both"/>
      </w:pPr>
      <w:r>
        <w:rPr>
          <w:rFonts w:ascii="Times New Roman"/>
          <w:b w:val="false"/>
          <w:i w:val="false"/>
          <w:color w:val="000000"/>
          <w:sz w:val="28"/>
        </w:rPr>
        <w:t>
      1091. На судах из стеклопластика крепление стопоров осуществляется на болтах с установкой стальных прокладок или деревянных подушек на палубе и под настилом палубы между набором. Болтовое соединение соответствует требованиям пункта 7605 настоящих Правил.</w:t>
      </w:r>
    </w:p>
    <w:bookmarkEnd w:id="3997"/>
    <w:bookmarkStart w:name="z3990" w:id="3998"/>
    <w:p>
      <w:pPr>
        <w:spacing w:after="0"/>
        <w:ind w:left="0"/>
        <w:jc w:val="left"/>
      </w:pPr>
      <w:r>
        <w:rPr>
          <w:rFonts w:ascii="Times New Roman"/>
          <w:b/>
          <w:i w:val="false"/>
          <w:color w:val="000000"/>
        </w:rPr>
        <w:t xml:space="preserve"> Параграф 2. Устройство для крепления и отдачи коренного конца</w:t>
      </w:r>
      <w:r>
        <w:br/>
      </w:r>
      <w:r>
        <w:rPr>
          <w:rFonts w:ascii="Times New Roman"/>
          <w:b/>
          <w:i w:val="false"/>
          <w:color w:val="000000"/>
        </w:rPr>
        <w:t>якорной цепи</w:t>
      </w:r>
    </w:p>
    <w:bookmarkEnd w:id="3998"/>
    <w:bookmarkStart w:name="z3991" w:id="3999"/>
    <w:p>
      <w:pPr>
        <w:spacing w:after="0"/>
        <w:ind w:left="0"/>
        <w:jc w:val="both"/>
      </w:pPr>
      <w:r>
        <w:rPr>
          <w:rFonts w:ascii="Times New Roman"/>
          <w:b w:val="false"/>
          <w:i w:val="false"/>
          <w:color w:val="000000"/>
          <w:sz w:val="28"/>
        </w:rPr>
        <w:t>
      1092. Детали устройства для крепления и отдачи коренного конца якорной цепи рассчитывают на прочность, исходя из действия на устройство усилия в цепи, равного 0,6 ее разрывной нагрузки. При этом напряжения в деталях устройств не превышают 0,95 верхнего предела текучести их материала.</w:t>
      </w:r>
    </w:p>
    <w:bookmarkEnd w:id="3999"/>
    <w:bookmarkStart w:name="z3992" w:id="4000"/>
    <w:p>
      <w:pPr>
        <w:spacing w:after="0"/>
        <w:ind w:left="0"/>
        <w:jc w:val="both"/>
      </w:pPr>
      <w:r>
        <w:rPr>
          <w:rFonts w:ascii="Times New Roman"/>
          <w:b w:val="false"/>
          <w:i w:val="false"/>
          <w:color w:val="000000"/>
          <w:sz w:val="28"/>
        </w:rPr>
        <w:t>
      1093. На судах с характеристикой снабжения более 205 устройство для крепления и отдачи коренного конца якорной цепи имеет привод с палубы, на которой установлен якорный механизм, или с другой палубы в месте, к которому обеспечен постоянный быстрый и легкий доступ. Винт привода самотормозящийся.</w:t>
      </w:r>
    </w:p>
    <w:bookmarkEnd w:id="4000"/>
    <w:bookmarkStart w:name="z3993" w:id="4001"/>
    <w:p>
      <w:pPr>
        <w:spacing w:after="0"/>
        <w:ind w:left="0"/>
        <w:jc w:val="both"/>
      </w:pPr>
      <w:r>
        <w:rPr>
          <w:rFonts w:ascii="Times New Roman"/>
          <w:b w:val="false"/>
          <w:i w:val="false"/>
          <w:color w:val="000000"/>
          <w:sz w:val="28"/>
        </w:rPr>
        <w:t>
      1094. Конструкция устройства для крепления и отдачи коренного конца якорной цепи обеспечивает надежность его срабатывания, как при действии, так и при отсутствии упомянутого в пункте 1092 настоящих Правил усилия в цепи.</w:t>
      </w:r>
    </w:p>
    <w:bookmarkEnd w:id="4001"/>
    <w:bookmarkStart w:name="z3994" w:id="4002"/>
    <w:p>
      <w:pPr>
        <w:spacing w:after="0"/>
        <w:ind w:left="0"/>
        <w:jc w:val="both"/>
      </w:pPr>
      <w:r>
        <w:rPr>
          <w:rFonts w:ascii="Times New Roman"/>
          <w:b w:val="false"/>
          <w:i w:val="false"/>
          <w:color w:val="000000"/>
          <w:sz w:val="28"/>
        </w:rPr>
        <w:t>
      1095. На судах из стеклопластика крепление устройства для крепления и отдачи коренного конца якорной цепи осуществляется на болтах с установкой стальных прокладок с обеих сторон переборки. Болтовое соединение соответствует требованиям пункта 7605 настоящих Правил.</w:t>
      </w:r>
    </w:p>
    <w:bookmarkEnd w:id="4002"/>
    <w:bookmarkStart w:name="z3995" w:id="4003"/>
    <w:p>
      <w:pPr>
        <w:spacing w:after="0"/>
        <w:ind w:left="0"/>
        <w:jc w:val="left"/>
      </w:pPr>
      <w:r>
        <w:rPr>
          <w:rFonts w:ascii="Times New Roman"/>
          <w:b/>
          <w:i w:val="false"/>
          <w:color w:val="000000"/>
        </w:rPr>
        <w:t xml:space="preserve"> Параграф 3. Проводка якорных цепей, цепные ящики</w:t>
      </w:r>
    </w:p>
    <w:bookmarkEnd w:id="4003"/>
    <w:bookmarkStart w:name="z3996" w:id="4004"/>
    <w:p>
      <w:pPr>
        <w:spacing w:after="0"/>
        <w:ind w:left="0"/>
        <w:jc w:val="both"/>
      </w:pPr>
      <w:r>
        <w:rPr>
          <w:rFonts w:ascii="Times New Roman"/>
          <w:b w:val="false"/>
          <w:i w:val="false"/>
          <w:color w:val="000000"/>
          <w:sz w:val="28"/>
        </w:rPr>
        <w:t>
      1096. Проводка якорных цепей обеспечивает их беспрепятственное движение при отдаче и подъеме якорей.</w:t>
      </w:r>
    </w:p>
    <w:bookmarkEnd w:id="4004"/>
    <w:bookmarkStart w:name="z3997" w:id="4005"/>
    <w:p>
      <w:pPr>
        <w:spacing w:after="0"/>
        <w:ind w:left="0"/>
        <w:jc w:val="both"/>
      </w:pPr>
      <w:r>
        <w:rPr>
          <w:rFonts w:ascii="Times New Roman"/>
          <w:b w:val="false"/>
          <w:i w:val="false"/>
          <w:color w:val="000000"/>
          <w:sz w:val="28"/>
        </w:rPr>
        <w:t>
      На судах с носовым бульбом проводка якорных цепей отвечает требованиям пункта 467 настоящих Правил.</w:t>
      </w:r>
    </w:p>
    <w:bookmarkEnd w:id="4005"/>
    <w:bookmarkStart w:name="z3998" w:id="4006"/>
    <w:p>
      <w:pPr>
        <w:spacing w:after="0"/>
        <w:ind w:left="0"/>
        <w:jc w:val="both"/>
      </w:pPr>
      <w:r>
        <w:rPr>
          <w:rFonts w:ascii="Times New Roman"/>
          <w:b w:val="false"/>
          <w:i w:val="false"/>
          <w:color w:val="000000"/>
          <w:sz w:val="28"/>
        </w:rPr>
        <w:t>
      1097. Веретено якоря свободно входит в клюз только под действием натяжения в якорной цепи и легко отрывается от него при прекращении действия этого натяжения.</w:t>
      </w:r>
    </w:p>
    <w:bookmarkEnd w:id="4006"/>
    <w:bookmarkStart w:name="z3999" w:id="4007"/>
    <w:p>
      <w:pPr>
        <w:spacing w:after="0"/>
        <w:ind w:left="0"/>
        <w:jc w:val="both"/>
      </w:pPr>
      <w:r>
        <w:rPr>
          <w:rFonts w:ascii="Times New Roman"/>
          <w:b w:val="false"/>
          <w:i w:val="false"/>
          <w:color w:val="000000"/>
          <w:sz w:val="28"/>
        </w:rPr>
        <w:t>
      1098. Толщина стенки трубы клюза не менее 0,4 калибра якорной цепи, проходящей через клюз.</w:t>
      </w:r>
    </w:p>
    <w:bookmarkEnd w:id="4007"/>
    <w:bookmarkStart w:name="z4000" w:id="4008"/>
    <w:p>
      <w:pPr>
        <w:spacing w:after="0"/>
        <w:ind w:left="0"/>
        <w:jc w:val="both"/>
      </w:pPr>
      <w:r>
        <w:rPr>
          <w:rFonts w:ascii="Times New Roman"/>
          <w:b w:val="false"/>
          <w:i w:val="false"/>
          <w:color w:val="000000"/>
          <w:sz w:val="28"/>
        </w:rPr>
        <w:t>
      1099. На судах из стеклопластика на наружной обшивке под якорными клюзами устанавливаются стальные оцинкованные листы или листы из нержавеющей стали; крепление листов осуществляется на болтах с потайной головкой. Болтовое соединение соответствует требованиям пункта 7605 настоящих Правил.</w:t>
      </w:r>
    </w:p>
    <w:bookmarkEnd w:id="4008"/>
    <w:bookmarkStart w:name="z4001" w:id="4009"/>
    <w:p>
      <w:pPr>
        <w:spacing w:after="0"/>
        <w:ind w:left="0"/>
        <w:jc w:val="both"/>
      </w:pPr>
      <w:r>
        <w:rPr>
          <w:rFonts w:ascii="Times New Roman"/>
          <w:b w:val="false"/>
          <w:i w:val="false"/>
          <w:color w:val="000000"/>
          <w:sz w:val="28"/>
        </w:rPr>
        <w:t>
      1100. Для укладки каждой становой якорной цепи оборудуют цепной ящик.</w:t>
      </w:r>
    </w:p>
    <w:bookmarkEnd w:id="4009"/>
    <w:bookmarkStart w:name="z4002" w:id="4010"/>
    <w:p>
      <w:pPr>
        <w:spacing w:after="0"/>
        <w:ind w:left="0"/>
        <w:jc w:val="both"/>
      </w:pPr>
      <w:r>
        <w:rPr>
          <w:rFonts w:ascii="Times New Roman"/>
          <w:b w:val="false"/>
          <w:i w:val="false"/>
          <w:color w:val="000000"/>
          <w:sz w:val="28"/>
        </w:rPr>
        <w:t>
      Если один цепной ящик предназначается для двух цепей, то в нем предусматривается внутренняя разделительная переборка, обеспечивающая раздельную укладку каждой цепи.</w:t>
      </w:r>
    </w:p>
    <w:bookmarkEnd w:id="4010"/>
    <w:bookmarkStart w:name="z4003" w:id="4011"/>
    <w:p>
      <w:pPr>
        <w:spacing w:after="0"/>
        <w:ind w:left="0"/>
        <w:jc w:val="both"/>
      </w:pPr>
      <w:r>
        <w:rPr>
          <w:rFonts w:ascii="Times New Roman"/>
          <w:b w:val="false"/>
          <w:i w:val="false"/>
          <w:color w:val="000000"/>
          <w:sz w:val="28"/>
        </w:rPr>
        <w:t>
      1101. Форма, вместимость и глубина цепного ящика обеспечивают свободное прохождение цепей через клюзы, самоукладку цепей и беспрепятственное вытравливание их при отдаче якорей.</w:t>
      </w:r>
    </w:p>
    <w:bookmarkEnd w:id="4011"/>
    <w:bookmarkStart w:name="z4004" w:id="4012"/>
    <w:p>
      <w:pPr>
        <w:spacing w:after="0"/>
        <w:ind w:left="0"/>
        <w:jc w:val="both"/>
      </w:pPr>
      <w:r>
        <w:rPr>
          <w:rFonts w:ascii="Times New Roman"/>
          <w:b w:val="false"/>
          <w:i w:val="false"/>
          <w:color w:val="000000"/>
          <w:sz w:val="28"/>
        </w:rPr>
        <w:t>
      1102. Конструкция цепного ящика, а также трубы цепного и палубного клюзов водонепроницаемы до верхней открытой палубы. Верхние отверстия таких труб снабжают постоянно навешенными крышками. Такие крышки изготавливаются как стальные, с соответствующими вырезами под калибр цепи, так и изготовленные из брезента с соответствующими креплениями, поддерживающими крышку в задраенном состоянии.</w:t>
      </w:r>
    </w:p>
    <w:bookmarkEnd w:id="4012"/>
    <w:bookmarkStart w:name="z4005" w:id="4013"/>
    <w:p>
      <w:pPr>
        <w:spacing w:after="0"/>
        <w:ind w:left="0"/>
        <w:jc w:val="both"/>
      </w:pPr>
      <w:r>
        <w:rPr>
          <w:rFonts w:ascii="Times New Roman"/>
          <w:b w:val="false"/>
          <w:i w:val="false"/>
          <w:color w:val="000000"/>
          <w:sz w:val="28"/>
        </w:rPr>
        <w:t>
      Отверстия для доступа в цепной ящик оборудуют крышками, крепление которых осуществляется с помощью близко расположенных болтов.</w:t>
      </w:r>
    </w:p>
    <w:bookmarkEnd w:id="4013"/>
    <w:bookmarkStart w:name="z4006" w:id="4014"/>
    <w:p>
      <w:pPr>
        <w:spacing w:after="0"/>
        <w:ind w:left="0"/>
        <w:jc w:val="both"/>
      </w:pPr>
      <w:r>
        <w:rPr>
          <w:rFonts w:ascii="Times New Roman"/>
          <w:b w:val="false"/>
          <w:i w:val="false"/>
          <w:color w:val="000000"/>
          <w:sz w:val="28"/>
        </w:rPr>
        <w:t>
      1103. Осушение цепных ящиков отвечает требованиям пункта 3379; освещение - требованиям главы 457 настоящих Правил.</w:t>
      </w:r>
    </w:p>
    <w:bookmarkEnd w:id="4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7" w:id="4015"/>
    <w:p>
      <w:pPr>
        <w:spacing w:after="0"/>
        <w:ind w:left="0"/>
        <w:jc w:val="left"/>
      </w:pPr>
      <w:r>
        <w:rPr>
          <w:rFonts w:ascii="Times New Roman"/>
          <w:b/>
          <w:i w:val="false"/>
          <w:color w:val="000000"/>
        </w:rPr>
        <w:t xml:space="preserve"> Параграф 4. Дополнительные требования к якорному оборудованию с</w:t>
      </w:r>
      <w:r>
        <w:br/>
      </w:r>
      <w:r>
        <w:rPr>
          <w:rFonts w:ascii="Times New Roman"/>
          <w:b/>
          <w:i w:val="false"/>
          <w:color w:val="000000"/>
        </w:rPr>
        <w:t>системой дистанционного управления</w:t>
      </w:r>
    </w:p>
    <w:bookmarkEnd w:id="4015"/>
    <w:bookmarkStart w:name="z4008" w:id="4016"/>
    <w:p>
      <w:pPr>
        <w:spacing w:after="0"/>
        <w:ind w:left="0"/>
        <w:jc w:val="both"/>
      </w:pPr>
      <w:r>
        <w:rPr>
          <w:rFonts w:ascii="Times New Roman"/>
          <w:b w:val="false"/>
          <w:i w:val="false"/>
          <w:color w:val="000000"/>
          <w:sz w:val="28"/>
        </w:rPr>
        <w:t>
      1104. Стопоры и другое якорное оборудование, для которых предусматривается дистанционное управление (пункт 1064 настоящих Правил), должны иметь местное ручное управление.</w:t>
      </w:r>
    </w:p>
    <w:bookmarkEnd w:id="4016"/>
    <w:bookmarkStart w:name="z4009" w:id="4017"/>
    <w:p>
      <w:pPr>
        <w:spacing w:after="0"/>
        <w:ind w:left="0"/>
        <w:jc w:val="both"/>
      </w:pPr>
      <w:r>
        <w:rPr>
          <w:rFonts w:ascii="Times New Roman"/>
          <w:b w:val="false"/>
          <w:i w:val="false"/>
          <w:color w:val="000000"/>
          <w:sz w:val="28"/>
        </w:rPr>
        <w:t>
      1105. Конструкция якорного оборудования и узлов его местного ручного управления обеспечивает нормальную работу при выходе из строя отдельных узлов или всей системы дистанционного управления (пункт 4977 настоящих Правил).</w:t>
      </w:r>
    </w:p>
    <w:bookmarkEnd w:id="4017"/>
    <w:bookmarkStart w:name="z4010" w:id="4018"/>
    <w:p>
      <w:pPr>
        <w:spacing w:after="0"/>
        <w:ind w:left="0"/>
        <w:jc w:val="left"/>
      </w:pPr>
      <w:r>
        <w:rPr>
          <w:rFonts w:ascii="Times New Roman"/>
          <w:b/>
          <w:i w:val="false"/>
          <w:color w:val="000000"/>
        </w:rPr>
        <w:t xml:space="preserve"> Глава 62. Якорные механизмы, запасные части</w:t>
      </w:r>
    </w:p>
    <w:bookmarkEnd w:id="4018"/>
    <w:p>
      <w:pPr>
        <w:spacing w:after="0"/>
        <w:ind w:left="0"/>
        <w:jc w:val="both"/>
      </w:pPr>
      <w:r>
        <w:rPr>
          <w:rFonts w:ascii="Times New Roman"/>
          <w:b w:val="false"/>
          <w:i w:val="false"/>
          <w:color w:val="ff0000"/>
          <w:sz w:val="28"/>
        </w:rPr>
        <w:t xml:space="preserve">
      Сноска. Заголовок главы 62 -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11" w:id="4019"/>
    <w:p>
      <w:pPr>
        <w:spacing w:after="0"/>
        <w:ind w:left="0"/>
        <w:jc w:val="both"/>
      </w:pPr>
      <w:r>
        <w:rPr>
          <w:rFonts w:ascii="Times New Roman"/>
          <w:b w:val="false"/>
          <w:i w:val="false"/>
          <w:color w:val="000000"/>
          <w:sz w:val="28"/>
        </w:rPr>
        <w:t>
      1106. Для отдачи и подъема становых якорей, а также для удержания судна при отданных становых якорях на палубе судна в носовой части устанавливают якорные механизмы, если масса якоря превышает 35 кг.</w:t>
      </w:r>
    </w:p>
    <w:bookmarkEnd w:id="4019"/>
    <w:bookmarkStart w:name="z4012" w:id="4020"/>
    <w:p>
      <w:pPr>
        <w:spacing w:after="0"/>
        <w:ind w:left="0"/>
        <w:jc w:val="both"/>
      </w:pPr>
      <w:r>
        <w:rPr>
          <w:rFonts w:ascii="Times New Roman"/>
          <w:b w:val="false"/>
          <w:i w:val="false"/>
          <w:color w:val="000000"/>
          <w:sz w:val="28"/>
        </w:rPr>
        <w:t>
      На судах ограниченного района плавания R2-RSN и R3-RSN R3, если масса стоп-анкера превышает 200 кг, то для его отдачи и подъема предусматривают якорный механизм.</w:t>
      </w:r>
    </w:p>
    <w:bookmarkEnd w:id="4020"/>
    <w:bookmarkStart w:name="z4013" w:id="4021"/>
    <w:p>
      <w:pPr>
        <w:spacing w:after="0"/>
        <w:ind w:left="0"/>
        <w:jc w:val="both"/>
      </w:pPr>
      <w:r>
        <w:rPr>
          <w:rFonts w:ascii="Times New Roman"/>
          <w:b w:val="false"/>
          <w:i w:val="false"/>
          <w:color w:val="000000"/>
          <w:sz w:val="28"/>
        </w:rPr>
        <w:t>
      На судах с характеристикой снабжения 205 и менее допускается установка ручных якорных механизмов, а также использование для отдачи и подъема якорей других палубных механизмов.</w:t>
      </w:r>
    </w:p>
    <w:bookmarkEnd w:id="4021"/>
    <w:bookmarkStart w:name="z4014" w:id="4022"/>
    <w:p>
      <w:pPr>
        <w:spacing w:after="0"/>
        <w:ind w:left="0"/>
        <w:jc w:val="both"/>
      </w:pPr>
      <w:r>
        <w:rPr>
          <w:rFonts w:ascii="Times New Roman"/>
          <w:b w:val="false"/>
          <w:i w:val="false"/>
          <w:color w:val="000000"/>
          <w:sz w:val="28"/>
        </w:rPr>
        <w:t>
      Требования к конструкции и мощности якорных механизмов приведены в главы 372 настоящих Правил.</w:t>
      </w:r>
    </w:p>
    <w:bookmarkEnd w:id="4022"/>
    <w:bookmarkStart w:name="z4015" w:id="4023"/>
    <w:p>
      <w:pPr>
        <w:spacing w:after="0"/>
        <w:ind w:left="0"/>
        <w:jc w:val="both"/>
      </w:pPr>
      <w:r>
        <w:rPr>
          <w:rFonts w:ascii="Times New Roman"/>
          <w:b w:val="false"/>
          <w:i w:val="false"/>
          <w:color w:val="000000"/>
          <w:sz w:val="28"/>
        </w:rPr>
        <w:t>
      1107. На каждом судне, имеющем в соответствии с указаниями пункта 1069 и главы 59 настоящих Правил, запасной якорь на борту и цепь (или цепи) для станового якоря (или якорей), предусматриваются:</w:t>
      </w:r>
    </w:p>
    <w:bookmarkEnd w:id="4023"/>
    <w:p>
      <w:pPr>
        <w:spacing w:after="0"/>
        <w:ind w:left="0"/>
        <w:jc w:val="both"/>
      </w:pPr>
      <w:r>
        <w:rPr>
          <w:rFonts w:ascii="Times New Roman"/>
          <w:b w:val="false"/>
          <w:i w:val="false"/>
          <w:color w:val="000000"/>
          <w:sz w:val="28"/>
        </w:rPr>
        <w:t>
      запасная якорная смычка — 1 штука;</w:t>
      </w:r>
    </w:p>
    <w:p>
      <w:pPr>
        <w:spacing w:after="0"/>
        <w:ind w:left="0"/>
        <w:jc w:val="both"/>
      </w:pPr>
      <w:r>
        <w:rPr>
          <w:rFonts w:ascii="Times New Roman"/>
          <w:b w:val="false"/>
          <w:i w:val="false"/>
          <w:color w:val="000000"/>
          <w:sz w:val="28"/>
        </w:rPr>
        <w:t>
      запасные соединительные звенья — 2 штуки;</w:t>
      </w:r>
    </w:p>
    <w:p>
      <w:pPr>
        <w:spacing w:after="0"/>
        <w:ind w:left="0"/>
        <w:jc w:val="both"/>
      </w:pPr>
      <w:r>
        <w:rPr>
          <w:rFonts w:ascii="Times New Roman"/>
          <w:b w:val="false"/>
          <w:i w:val="false"/>
          <w:color w:val="000000"/>
          <w:sz w:val="28"/>
        </w:rPr>
        <w:t>
      запасная концевая скоба — 1 штука.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19" w:id="4024"/>
    <w:p>
      <w:pPr>
        <w:spacing w:after="0"/>
        <w:ind w:left="0"/>
        <w:jc w:val="both"/>
      </w:pPr>
      <w:r>
        <w:rPr>
          <w:rFonts w:ascii="Times New Roman"/>
          <w:b w:val="false"/>
          <w:i w:val="false"/>
          <w:color w:val="000000"/>
          <w:sz w:val="28"/>
        </w:rPr>
        <w:t>
      1108. На каждом судне, имеющем в соответствии с пунктами 1069 и 1083 настоящих Правил, запасной якорь и стальной трос (или тросы) для станового якоря (или якорей), предусматривают один запасной комплект деталей, обеспечивающих соединение стального троса с якорной скобой.</w:t>
      </w:r>
    </w:p>
    <w:bookmarkEnd w:id="4024"/>
    <w:bookmarkStart w:name="z4020" w:id="4025"/>
    <w:p>
      <w:pPr>
        <w:spacing w:after="0"/>
        <w:ind w:left="0"/>
        <w:jc w:val="left"/>
      </w:pPr>
      <w:r>
        <w:rPr>
          <w:rFonts w:ascii="Times New Roman"/>
          <w:b/>
          <w:i w:val="false"/>
          <w:color w:val="000000"/>
        </w:rPr>
        <w:t xml:space="preserve"> Глава 63. Швартовное устройство</w:t>
      </w:r>
    </w:p>
    <w:bookmarkEnd w:id="4025"/>
    <w:p>
      <w:pPr>
        <w:spacing w:after="0"/>
        <w:ind w:left="0"/>
        <w:jc w:val="both"/>
      </w:pPr>
      <w:r>
        <w:rPr>
          <w:rFonts w:ascii="Times New Roman"/>
          <w:b w:val="false"/>
          <w:i w:val="false"/>
          <w:color w:val="ff0000"/>
          <w:sz w:val="28"/>
        </w:rPr>
        <w:t xml:space="preserve">
      Сноска. Заголовок главы 63 -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21" w:id="4026"/>
    <w:p>
      <w:pPr>
        <w:spacing w:after="0"/>
        <w:ind w:left="0"/>
        <w:jc w:val="left"/>
      </w:pPr>
      <w:r>
        <w:rPr>
          <w:rFonts w:ascii="Times New Roman"/>
          <w:b/>
          <w:i w:val="false"/>
          <w:color w:val="000000"/>
        </w:rPr>
        <w:t xml:space="preserve"> Параграф 1. Общие положения</w:t>
      </w:r>
    </w:p>
    <w:bookmarkEnd w:id="4026"/>
    <w:bookmarkStart w:name="z4022" w:id="4027"/>
    <w:p>
      <w:pPr>
        <w:spacing w:after="0"/>
        <w:ind w:left="0"/>
        <w:jc w:val="both"/>
      </w:pPr>
      <w:r>
        <w:rPr>
          <w:rFonts w:ascii="Times New Roman"/>
          <w:b w:val="false"/>
          <w:i w:val="false"/>
          <w:color w:val="000000"/>
          <w:sz w:val="28"/>
        </w:rPr>
        <w:t>
      1109. На каждом судне имеется швартовное устройство, обеспечивающее подтягивание судна к береговым или плавучим причальным сооружениям и надежное крепление судна к ним.</w:t>
      </w:r>
    </w:p>
    <w:bookmarkEnd w:id="4027"/>
    <w:bookmarkStart w:name="z4023" w:id="4028"/>
    <w:p>
      <w:pPr>
        <w:spacing w:after="0"/>
        <w:ind w:left="0"/>
        <w:jc w:val="both"/>
      </w:pPr>
      <w:r>
        <w:rPr>
          <w:rFonts w:ascii="Times New Roman"/>
          <w:b w:val="false"/>
          <w:i w:val="false"/>
          <w:color w:val="000000"/>
          <w:sz w:val="28"/>
        </w:rPr>
        <w:t xml:space="preserve">
      Швартовное устройство судовых барж отвечает требованиям части 4  </w:t>
      </w:r>
      <w:r>
        <w:rPr>
          <w:rFonts w:ascii="Times New Roman"/>
          <w:b w:val="false"/>
          <w:i w:val="false"/>
          <w:color w:val="000000"/>
          <w:sz w:val="28"/>
        </w:rPr>
        <w:t xml:space="preserve"> Правил</w:t>
      </w:r>
      <w:r>
        <w:rPr>
          <w:rFonts w:ascii="Times New Roman"/>
          <w:b w:val="false"/>
          <w:i w:val="false"/>
          <w:color w:val="000000"/>
          <w:sz w:val="28"/>
        </w:rPr>
        <w:t xml:space="preserve">  постройки судов внутреннего плавания, утвержденные приказом Министра транспорта и коммуникаций Республики Казахстан от 5 апреля 2011 года № 127 (зарегистрированный в Реестре государственной регистрации нормативных правовых актов за № 6873, далее - ПСВП).</w:t>
      </w:r>
    </w:p>
    <w:bookmarkEnd w:id="4028"/>
    <w:bookmarkStart w:name="z4024" w:id="4029"/>
    <w:p>
      <w:pPr>
        <w:spacing w:after="0"/>
        <w:ind w:left="0"/>
        <w:jc w:val="both"/>
      </w:pPr>
      <w:r>
        <w:rPr>
          <w:rFonts w:ascii="Times New Roman"/>
          <w:b w:val="false"/>
          <w:i w:val="false"/>
          <w:color w:val="000000"/>
          <w:sz w:val="28"/>
        </w:rPr>
        <w:t>
      1110. Число, длина и разрывное усилие в целом швартовных тросов определяется для всех судов, кроме рыболовных, приложение 167 настоящих Правил, а для рыболовных судов по приложению 168 настоящих Правил по характеристике, определяемой в соответствии с параграфом 2 главы 57 настоящих Правил.</w:t>
      </w:r>
    </w:p>
    <w:bookmarkEnd w:id="4029"/>
    <w:bookmarkStart w:name="z4025" w:id="4030"/>
    <w:p>
      <w:pPr>
        <w:spacing w:after="0"/>
        <w:ind w:left="0"/>
        <w:jc w:val="both"/>
      </w:pPr>
      <w:r>
        <w:rPr>
          <w:rFonts w:ascii="Times New Roman"/>
          <w:b w:val="false"/>
          <w:i w:val="false"/>
          <w:color w:val="000000"/>
          <w:sz w:val="28"/>
        </w:rPr>
        <w:t>
      1111. Для судов, у которых отношение A/N</w:t>
      </w:r>
      <w:r>
        <w:rPr>
          <w:rFonts w:ascii="Times New Roman"/>
          <w:b w:val="false"/>
          <w:i w:val="false"/>
          <w:color w:val="000000"/>
          <w:vertAlign w:val="subscript"/>
        </w:rPr>
        <w:t>c</w:t>
      </w:r>
      <w:r>
        <w:rPr>
          <w:rFonts w:ascii="Times New Roman"/>
          <w:b w:val="false"/>
          <w:i w:val="false"/>
          <w:color w:val="000000"/>
          <w:sz w:val="28"/>
        </w:rPr>
        <w:t xml:space="preserve"> более 0,9, число швартовных тросов увеличивают по сравнению с предписанным приложения 167 настоящих Правил:</w:t>
      </w:r>
    </w:p>
    <w:bookmarkEnd w:id="4030"/>
    <w:bookmarkStart w:name="z4026" w:id="4031"/>
    <w:p>
      <w:pPr>
        <w:spacing w:after="0"/>
        <w:ind w:left="0"/>
        <w:jc w:val="both"/>
      </w:pPr>
      <w:r>
        <w:rPr>
          <w:rFonts w:ascii="Times New Roman"/>
          <w:b w:val="false"/>
          <w:i w:val="false"/>
          <w:color w:val="000000"/>
          <w:sz w:val="28"/>
        </w:rPr>
        <w:t>
      на 1 шт. — для судов, у которых 0,9&lt;A/N</w:t>
      </w: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1,1;</w:t>
      </w:r>
    </w:p>
    <w:bookmarkEnd w:id="4031"/>
    <w:bookmarkStart w:name="z4027" w:id="4032"/>
    <w:p>
      <w:pPr>
        <w:spacing w:after="0"/>
        <w:ind w:left="0"/>
        <w:jc w:val="both"/>
      </w:pPr>
      <w:r>
        <w:rPr>
          <w:rFonts w:ascii="Times New Roman"/>
          <w:b w:val="false"/>
          <w:i w:val="false"/>
          <w:color w:val="000000"/>
          <w:sz w:val="28"/>
        </w:rPr>
        <w:t>
      на 2 шт. — для судов, у которых 1,1 &lt;A/N</w:t>
      </w: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1,2;</w:t>
      </w:r>
    </w:p>
    <w:bookmarkEnd w:id="4032"/>
    <w:bookmarkStart w:name="z4028" w:id="4033"/>
    <w:p>
      <w:pPr>
        <w:spacing w:after="0"/>
        <w:ind w:left="0"/>
        <w:jc w:val="both"/>
      </w:pPr>
      <w:r>
        <w:rPr>
          <w:rFonts w:ascii="Times New Roman"/>
          <w:b w:val="false"/>
          <w:i w:val="false"/>
          <w:color w:val="000000"/>
          <w:sz w:val="28"/>
        </w:rPr>
        <w:t>
      на 3 шт. — для судов, у которых A/N</w:t>
      </w:r>
      <w:r>
        <w:rPr>
          <w:rFonts w:ascii="Times New Roman"/>
          <w:b w:val="false"/>
          <w:i w:val="false"/>
          <w:color w:val="000000"/>
          <w:vertAlign w:val="subscript"/>
        </w:rPr>
        <w:t>c</w:t>
      </w:r>
      <w:r>
        <w:rPr>
          <w:rFonts w:ascii="Times New Roman"/>
          <w:b w:val="false"/>
          <w:i w:val="false"/>
          <w:color w:val="000000"/>
          <w:sz w:val="28"/>
        </w:rPr>
        <w:t>&gt; 1,2,</w:t>
      </w:r>
    </w:p>
    <w:bookmarkEnd w:id="4033"/>
    <w:bookmarkStart w:name="z4029" w:id="4034"/>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c</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sz w:val="28"/>
        </w:rPr>
        <w:t xml:space="preserve"> — характеристика снабжения и площадь парусности соответственно, указанные в параграфе 2 главы 57 настоящих Правил.</w:t>
      </w:r>
    </w:p>
    <w:bookmarkEnd w:id="4034"/>
    <w:bookmarkStart w:name="z4030" w:id="4035"/>
    <w:p>
      <w:pPr>
        <w:spacing w:after="0"/>
        <w:ind w:left="0"/>
        <w:jc w:val="both"/>
      </w:pPr>
      <w:r>
        <w:rPr>
          <w:rFonts w:ascii="Times New Roman"/>
          <w:b w:val="false"/>
          <w:i w:val="false"/>
          <w:color w:val="000000"/>
          <w:sz w:val="28"/>
        </w:rPr>
        <w:t>
      1112. Для судов, у которых согласно приложения 167 настоящих Правил разрывное усилие единичного швартовного троса превышает 490 кН, допускается применять тросы: с меньшим разрывным усилием при соответствующем увеличении числа тросов либо с большим разрывным усилием при соответствующем уменьшении числа тросов.</w:t>
      </w:r>
    </w:p>
    <w:bookmarkEnd w:id="4035"/>
    <w:bookmarkStart w:name="z4031" w:id="4036"/>
    <w:p>
      <w:pPr>
        <w:spacing w:after="0"/>
        <w:ind w:left="0"/>
        <w:jc w:val="both"/>
      </w:pPr>
      <w:r>
        <w:rPr>
          <w:rFonts w:ascii="Times New Roman"/>
          <w:b w:val="false"/>
          <w:i w:val="false"/>
          <w:color w:val="000000"/>
          <w:sz w:val="28"/>
        </w:rPr>
        <w:t>
      При этом суммарное разрывное усилие всех швартовных тросов должно быть не менее, суммарного усилия, предусмотренного приложением 167 настоящих Правил с учетом пунктов 1111 и 1114 настоящих Правил, число тросов не менее 6 и разрывное усилие единичного троса не мене 490 кН.</w:t>
      </w:r>
    </w:p>
    <w:bookmarkEnd w:id="4036"/>
    <w:bookmarkStart w:name="z4032" w:id="4037"/>
    <w:p>
      <w:pPr>
        <w:spacing w:after="0"/>
        <w:ind w:left="0"/>
        <w:jc w:val="both"/>
      </w:pPr>
      <w:r>
        <w:rPr>
          <w:rFonts w:ascii="Times New Roman"/>
          <w:b w:val="false"/>
          <w:i w:val="false"/>
          <w:color w:val="000000"/>
          <w:sz w:val="28"/>
        </w:rPr>
        <w:t>
      1113. Допускается уменьшение длины отдельного швартовного троса до 7 % по сравнению с предписанной при условии, что общая длина всех швартовных тросов будет не менее определяемой приложением 167 и пунктом 1111 или приложением 168 настоящих Правил.</w:t>
      </w:r>
    </w:p>
    <w:bookmarkEnd w:id="4037"/>
    <w:bookmarkStart w:name="z4033" w:id="4038"/>
    <w:p>
      <w:pPr>
        <w:spacing w:after="0"/>
        <w:ind w:left="0"/>
        <w:jc w:val="both"/>
      </w:pPr>
      <w:r>
        <w:rPr>
          <w:rFonts w:ascii="Times New Roman"/>
          <w:b w:val="false"/>
          <w:i w:val="false"/>
          <w:color w:val="000000"/>
          <w:sz w:val="28"/>
        </w:rPr>
        <w:t>
      1114. При применении швартовных тросов из синтетического волокна их разрывное усилие в целом F</w:t>
      </w:r>
      <w:r>
        <w:rPr>
          <w:rFonts w:ascii="Times New Roman"/>
          <w:b w:val="false"/>
          <w:i w:val="false"/>
          <w:color w:val="000000"/>
          <w:vertAlign w:val="subscript"/>
        </w:rPr>
        <w:t>c</w:t>
      </w:r>
      <w:r>
        <w:rPr>
          <w:rFonts w:ascii="Times New Roman"/>
          <w:b w:val="false"/>
          <w:i w:val="false"/>
          <w:color w:val="000000"/>
          <w:sz w:val="28"/>
        </w:rPr>
        <w:t>, кН, не менее определенного по формуле:</w:t>
      </w:r>
    </w:p>
    <w:bookmarkEnd w:id="4038"/>
    <w:p>
      <w:pPr>
        <w:spacing w:after="0"/>
        <w:ind w:left="0"/>
        <w:jc w:val="both"/>
      </w:pPr>
      <w:r>
        <w:rPr>
          <w:rFonts w:ascii="Times New Roman"/>
          <w:b w:val="false"/>
          <w:i w:val="false"/>
          <w:color w:val="000000"/>
          <w:sz w:val="28"/>
        </w:rPr>
        <w:t>
      F</w:t>
      </w:r>
      <w:r>
        <w:rPr>
          <w:rFonts w:ascii="Times New Roman"/>
          <w:b w:val="false"/>
          <w:i w:val="false"/>
          <w:color w:val="000000"/>
          <w:vertAlign w:val="subscript"/>
        </w:rPr>
        <w:t>c</w:t>
      </w:r>
      <w:r>
        <w:rPr>
          <w:rFonts w:ascii="Times New Roman"/>
          <w:b w:val="false"/>
          <w:i w:val="false"/>
          <w:color w:val="000000"/>
          <w:sz w:val="28"/>
        </w:rPr>
        <w:t xml:space="preserve"> = 0,07425</w:t>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F</w:t>
      </w:r>
      <w:r>
        <w:rPr>
          <w:rFonts w:ascii="Times New Roman"/>
          <w:b w:val="false"/>
          <w:i w:val="false"/>
          <w:color w:val="000000"/>
          <w:vertAlign w:val="subscript"/>
        </w:rPr>
        <w:t>T</w:t>
      </w:r>
      <w:r>
        <w:rPr>
          <w:rFonts w:ascii="Times New Roman"/>
          <w:b w:val="false"/>
          <w:i w:val="false"/>
          <w:color w:val="000000"/>
          <w:vertAlign w:val="superscript"/>
        </w:rPr>
        <w:t>8/9</w:t>
      </w:r>
      <w:r>
        <w:rPr>
          <w:rFonts w:ascii="Times New Roman"/>
          <w:b w:val="false"/>
          <w:i w:val="false"/>
          <w:color w:val="000000"/>
          <w:sz w:val="28"/>
        </w:rPr>
        <w:t>,                     (531)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 xml:space="preserve">, — среднее относительное удлинение при разрыве троса из синтетического волокна в процентах, но не менее 30 %. При отсутствии данных о величине </w:t>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 принимается: для капроновых канатов — 45 %; для полипропиленовых канатов — 35 %;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val="false"/>
          <w:color w:val="000000"/>
          <w:sz w:val="28"/>
        </w:rPr>
        <w:t xml:space="preserve"> — разрывное усилие швартовного троса в целом, регламентированное приложениями 167 или 168, кН, настоящих Правил.</w:t>
      </w:r>
    </w:p>
    <w:bookmarkStart w:name="z4034" w:id="4039"/>
    <w:p>
      <w:pPr>
        <w:spacing w:after="0"/>
        <w:ind w:left="0"/>
        <w:jc w:val="left"/>
      </w:pPr>
      <w:r>
        <w:rPr>
          <w:rFonts w:ascii="Times New Roman"/>
          <w:b/>
          <w:i w:val="false"/>
          <w:color w:val="000000"/>
        </w:rPr>
        <w:t xml:space="preserve"> Параграф 2. Швартовные тросы</w:t>
      </w:r>
    </w:p>
    <w:bookmarkEnd w:id="4039"/>
    <w:bookmarkStart w:name="z4035" w:id="4040"/>
    <w:p>
      <w:pPr>
        <w:spacing w:after="0"/>
        <w:ind w:left="0"/>
        <w:jc w:val="both"/>
      </w:pPr>
      <w:r>
        <w:rPr>
          <w:rFonts w:ascii="Times New Roman"/>
          <w:b w:val="false"/>
          <w:i w:val="false"/>
          <w:color w:val="000000"/>
          <w:sz w:val="28"/>
        </w:rPr>
        <w:t>
      1115. Швартовные тросы бывают стальными, растительными или из синтетического волокна, за исключением тросов судов, перевозящих воспламеняющиеся жидкости с температурой вспышки 60</w:t>
      </w:r>
      <w:r>
        <w:rPr>
          <w:rFonts w:ascii="Times New Roman"/>
          <w:b w:val="false"/>
          <w:i w:val="false"/>
          <w:color w:val="000000"/>
          <w:vertAlign w:val="superscript"/>
        </w:rPr>
        <w:t>о</w:t>
      </w:r>
      <w:r>
        <w:rPr>
          <w:rFonts w:ascii="Times New Roman"/>
          <w:b w:val="false"/>
          <w:i w:val="false"/>
          <w:color w:val="000000"/>
          <w:sz w:val="28"/>
        </w:rPr>
        <w:t>С и ниже наливом. На этих судах операции со стальными тросами разрешаются только на палубах надстроек, не являющихся верхом грузовых наливных отсеков, если по этим палубам не проходят трубопроводы приема и выдачи груза.</w:t>
      </w:r>
    </w:p>
    <w:bookmarkEnd w:id="4040"/>
    <w:bookmarkStart w:name="z4036" w:id="4041"/>
    <w:p>
      <w:pPr>
        <w:spacing w:after="0"/>
        <w:ind w:left="0"/>
        <w:jc w:val="both"/>
      </w:pPr>
      <w:r>
        <w:rPr>
          <w:rFonts w:ascii="Times New Roman"/>
          <w:b w:val="false"/>
          <w:i w:val="false"/>
          <w:color w:val="000000"/>
          <w:sz w:val="28"/>
        </w:rPr>
        <w:t>
      Независимо от разрывного усилия, регламентированного приложениями 167 или 168 или формулой (531) настоящих Правил, швартовные тросы из растительного и синтетического волокна не применяются диаметром менее 20 мм.</w:t>
      </w:r>
    </w:p>
    <w:bookmarkEnd w:id="4041"/>
    <w:bookmarkStart w:name="z4037" w:id="4042"/>
    <w:p>
      <w:pPr>
        <w:spacing w:after="0"/>
        <w:ind w:left="0"/>
        <w:jc w:val="both"/>
      </w:pPr>
      <w:r>
        <w:rPr>
          <w:rFonts w:ascii="Times New Roman"/>
          <w:b w:val="false"/>
          <w:i w:val="false"/>
          <w:color w:val="000000"/>
          <w:sz w:val="28"/>
        </w:rPr>
        <w:t>
      1116. Стальные тросы имеют не менее 144 проволок и не менее 7 органических сердечников. Исключением являются тросы на автоматических швартовных лебедках, которые имеют только один органический сердечник, однако число проволок в таких тросах не менее 216. Проволоки тросов имеют цинковое покрытие в соответствии с признанными стандартами.</w:t>
      </w:r>
    </w:p>
    <w:bookmarkEnd w:id="4042"/>
    <w:bookmarkStart w:name="z4038" w:id="4043"/>
    <w:p>
      <w:pPr>
        <w:spacing w:after="0"/>
        <w:ind w:left="0"/>
        <w:jc w:val="both"/>
      </w:pPr>
      <w:r>
        <w:rPr>
          <w:rFonts w:ascii="Times New Roman"/>
          <w:b w:val="false"/>
          <w:i w:val="false"/>
          <w:color w:val="000000"/>
          <w:sz w:val="28"/>
        </w:rPr>
        <w:t>
      Во всем остальном стальные тросы соответствуют требованиям главы 356 настоящих Правил.</w:t>
      </w:r>
    </w:p>
    <w:bookmarkEnd w:id="4043"/>
    <w:bookmarkStart w:name="z4039" w:id="4044"/>
    <w:p>
      <w:pPr>
        <w:spacing w:after="0"/>
        <w:ind w:left="0"/>
        <w:jc w:val="both"/>
      </w:pPr>
      <w:r>
        <w:rPr>
          <w:rFonts w:ascii="Times New Roman"/>
          <w:b w:val="false"/>
          <w:i w:val="false"/>
          <w:color w:val="000000"/>
          <w:sz w:val="28"/>
        </w:rPr>
        <w:t>
      1117. Растительные тросы бывают манильскими или сизальскими. На судах, характеристика снабжения которых составляет 205 и менее, допускается применение пеньковых тросов. На судах с характеристикой снабжения более 205 применение пеньковых тросов в каждом случае является предметом специального рассмотрения Регистром судоходства.</w:t>
      </w:r>
    </w:p>
    <w:bookmarkEnd w:id="4044"/>
    <w:p>
      <w:pPr>
        <w:spacing w:after="0"/>
        <w:ind w:left="0"/>
        <w:jc w:val="both"/>
      </w:pPr>
      <w:r>
        <w:rPr>
          <w:rFonts w:ascii="Times New Roman"/>
          <w:b w:val="false"/>
          <w:i w:val="false"/>
          <w:color w:val="000000"/>
          <w:sz w:val="28"/>
        </w:rPr>
        <w:t>
      Во всем остальном растительные тросы должны отвечать требованиям главы 607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1" w:id="4045"/>
    <w:p>
      <w:pPr>
        <w:spacing w:after="0"/>
        <w:ind w:left="0"/>
        <w:jc w:val="both"/>
      </w:pPr>
      <w:r>
        <w:rPr>
          <w:rFonts w:ascii="Times New Roman"/>
          <w:b w:val="false"/>
          <w:i w:val="false"/>
          <w:color w:val="000000"/>
          <w:sz w:val="28"/>
        </w:rPr>
        <w:t>
      1118. Тросы из синтетического волокна изготавливаются из однородных одобренных материалов (полипропилена, капрона, нейлона).</w:t>
      </w:r>
    </w:p>
    <w:bookmarkEnd w:id="4045"/>
    <w:p>
      <w:pPr>
        <w:spacing w:after="0"/>
        <w:ind w:left="0"/>
        <w:jc w:val="both"/>
      </w:pPr>
      <w:r>
        <w:rPr>
          <w:rFonts w:ascii="Times New Roman"/>
          <w:b w:val="false"/>
          <w:i w:val="false"/>
          <w:color w:val="000000"/>
          <w:sz w:val="28"/>
        </w:rPr>
        <w:t>
      Комбинации одобренных разнородных синтетических волокон в одном тросе в каждом случае являются предметом специального рассмотрения Регистром судоходства.</w:t>
      </w:r>
    </w:p>
    <w:p>
      <w:pPr>
        <w:spacing w:after="0"/>
        <w:ind w:left="0"/>
        <w:jc w:val="both"/>
      </w:pPr>
      <w:r>
        <w:rPr>
          <w:rFonts w:ascii="Times New Roman"/>
          <w:b w:val="false"/>
          <w:i w:val="false"/>
          <w:color w:val="000000"/>
          <w:sz w:val="28"/>
        </w:rPr>
        <w:t>
      Во всем остальном тросы из синтетического волокна отвечают требованиям главы 607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44" w:id="4046"/>
    <w:p>
      <w:pPr>
        <w:spacing w:after="0"/>
        <w:ind w:left="0"/>
        <w:jc w:val="left"/>
      </w:pPr>
      <w:r>
        <w:rPr>
          <w:rFonts w:ascii="Times New Roman"/>
          <w:b/>
          <w:i w:val="false"/>
          <w:color w:val="000000"/>
        </w:rPr>
        <w:t xml:space="preserve"> Параграф 3. Швартовное оборудование</w:t>
      </w:r>
    </w:p>
    <w:bookmarkEnd w:id="4046"/>
    <w:bookmarkStart w:name="z4045" w:id="4047"/>
    <w:p>
      <w:pPr>
        <w:spacing w:after="0"/>
        <w:ind w:left="0"/>
        <w:jc w:val="both"/>
      </w:pPr>
      <w:r>
        <w:rPr>
          <w:rFonts w:ascii="Times New Roman"/>
          <w:b w:val="false"/>
          <w:i w:val="false"/>
          <w:color w:val="000000"/>
          <w:sz w:val="28"/>
        </w:rPr>
        <w:t>
      1119. Количество и расположение швартовных кнехтов, киповых планок и другого швартовного оборудования принимается исходя из конструктивных особенностей, назначения и общего расположения судна.</w:t>
      </w:r>
    </w:p>
    <w:bookmarkEnd w:id="4047"/>
    <w:bookmarkStart w:name="z4046" w:id="4048"/>
    <w:p>
      <w:pPr>
        <w:spacing w:after="0"/>
        <w:ind w:left="0"/>
        <w:jc w:val="both"/>
      </w:pPr>
      <w:r>
        <w:rPr>
          <w:rFonts w:ascii="Times New Roman"/>
          <w:b w:val="false"/>
          <w:i w:val="false"/>
          <w:color w:val="000000"/>
          <w:sz w:val="28"/>
        </w:rPr>
        <w:t>
      1120. Кнехты бывают стальными или чугунными. Для малых судов, имеющих на снабжении только растительные тросы или тросы из синтетического волокна, допускается изготовление кнехтов из легких сплавов. По способу изготовления кнехты бывают сварными и литыми.</w:t>
      </w:r>
    </w:p>
    <w:bookmarkEnd w:id="4048"/>
    <w:bookmarkStart w:name="z4047" w:id="4049"/>
    <w:p>
      <w:pPr>
        <w:spacing w:after="0"/>
        <w:ind w:left="0"/>
        <w:jc w:val="both"/>
      </w:pPr>
      <w:r>
        <w:rPr>
          <w:rFonts w:ascii="Times New Roman"/>
          <w:b w:val="false"/>
          <w:i w:val="false"/>
          <w:color w:val="000000"/>
          <w:sz w:val="28"/>
        </w:rPr>
        <w:t>
      Не допускается установка врезных кнехтов непосредственно на палубах, являющихся верхом отсеков для перевозки или хранения наливом воспламеняющихся жидкостей с температурой вспышки 60</w:t>
      </w:r>
      <w:r>
        <w:rPr>
          <w:rFonts w:ascii="Times New Roman"/>
          <w:b w:val="false"/>
          <w:i w:val="false"/>
          <w:color w:val="000000"/>
          <w:vertAlign w:val="superscript"/>
        </w:rPr>
        <w:t>о</w:t>
      </w:r>
      <w:r>
        <w:rPr>
          <w:rFonts w:ascii="Times New Roman"/>
          <w:b w:val="false"/>
          <w:i w:val="false"/>
          <w:color w:val="000000"/>
          <w:sz w:val="28"/>
        </w:rPr>
        <w:t>С и ниже.</w:t>
      </w:r>
    </w:p>
    <w:bookmarkEnd w:id="4049"/>
    <w:bookmarkStart w:name="z4048" w:id="4050"/>
    <w:p>
      <w:pPr>
        <w:spacing w:after="0"/>
        <w:ind w:left="0"/>
        <w:jc w:val="both"/>
      </w:pPr>
      <w:r>
        <w:rPr>
          <w:rFonts w:ascii="Times New Roman"/>
          <w:b w:val="false"/>
          <w:i w:val="false"/>
          <w:color w:val="000000"/>
          <w:sz w:val="28"/>
        </w:rPr>
        <w:t>
      1121. Наружный диаметр тумбы кнехта не менее 10 диаметров стального троса и не менее 5,5 диаметров троса из синтетического волокна, а также не менее одной длины окружности растительного троса, для которых предназначен кнехт. Расстояние между осями тумб кнехтов не менее 25 диаметров стального троса или трех окружностей растительного троса.</w:t>
      </w:r>
    </w:p>
    <w:bookmarkEnd w:id="4050"/>
    <w:bookmarkStart w:name="z4049" w:id="4051"/>
    <w:p>
      <w:pPr>
        <w:spacing w:after="0"/>
        <w:ind w:left="0"/>
        <w:jc w:val="both"/>
      </w:pPr>
      <w:r>
        <w:rPr>
          <w:rFonts w:ascii="Times New Roman"/>
          <w:b w:val="false"/>
          <w:i w:val="false"/>
          <w:color w:val="000000"/>
          <w:sz w:val="28"/>
        </w:rPr>
        <w:t>
      1122. Несущие элементы швартовного устройства для эффективного восприятия нагрузок, возникающих при швартовке судна, располагаются на палубных стрингерах, бимсах или других ребрах жесткости, которые являются частью палубной конструкции.</w:t>
      </w:r>
    </w:p>
    <w:bookmarkEnd w:id="4051"/>
    <w:bookmarkStart w:name="z4050" w:id="4052"/>
    <w:p>
      <w:pPr>
        <w:spacing w:after="0"/>
        <w:ind w:left="0"/>
        <w:jc w:val="both"/>
      </w:pPr>
      <w:r>
        <w:rPr>
          <w:rFonts w:ascii="Times New Roman"/>
          <w:b w:val="false"/>
          <w:i w:val="false"/>
          <w:color w:val="000000"/>
          <w:sz w:val="28"/>
        </w:rPr>
        <w:t>
      Расчетная нагрузка, действующая на швартовное оборудование, а также их опорные конструкции корпуса, принимается равной 1,25 разрывной нагрузки швартовного троса, выбираемого согласно приложению 167 настоящих Правил, исходя из величины характеристики снабжения.</w:t>
      </w:r>
    </w:p>
    <w:bookmarkEnd w:id="4052"/>
    <w:bookmarkStart w:name="z4051" w:id="4053"/>
    <w:p>
      <w:pPr>
        <w:spacing w:after="0"/>
        <w:ind w:left="0"/>
        <w:jc w:val="both"/>
      </w:pPr>
      <w:r>
        <w:rPr>
          <w:rFonts w:ascii="Times New Roman"/>
          <w:b w:val="false"/>
          <w:i w:val="false"/>
          <w:color w:val="000000"/>
          <w:sz w:val="28"/>
        </w:rPr>
        <w:t>
      Расчетная нагрузка, применяемая к опорным конструкциям корпуса для лебедки, составляет 1,25 от максимальной нагрузки удержания тормоза лебедки; для шпиля - 1,25 максимального тягового усилия.</w:t>
      </w:r>
    </w:p>
    <w:bookmarkEnd w:id="4053"/>
    <w:bookmarkStart w:name="z4052" w:id="4054"/>
    <w:p>
      <w:pPr>
        <w:spacing w:after="0"/>
        <w:ind w:left="0"/>
        <w:jc w:val="both"/>
      </w:pPr>
      <w:r>
        <w:rPr>
          <w:rFonts w:ascii="Times New Roman"/>
          <w:b w:val="false"/>
          <w:i w:val="false"/>
          <w:color w:val="000000"/>
          <w:sz w:val="28"/>
        </w:rPr>
        <w:t>
      1123. Допускаемые напряжения в опорных конструкциях корпуса от действия расчетной нагрузки, указанной в пункте 1122 настоящих Правил, определяются следующим образом:</w:t>
      </w:r>
    </w:p>
    <w:bookmarkEnd w:id="4054"/>
    <w:bookmarkStart w:name="z4053" w:id="4055"/>
    <w:p>
      <w:pPr>
        <w:spacing w:after="0"/>
        <w:ind w:left="0"/>
        <w:jc w:val="both"/>
      </w:pPr>
      <w:r>
        <w:rPr>
          <w:rFonts w:ascii="Times New Roman"/>
          <w:b w:val="false"/>
          <w:i w:val="false"/>
          <w:color w:val="000000"/>
          <w:sz w:val="28"/>
        </w:rPr>
        <w:t>
      1) нормальные напряжения - 100 % установленного предела текучести материала;</w:t>
      </w:r>
    </w:p>
    <w:bookmarkEnd w:id="4055"/>
    <w:bookmarkStart w:name="z4054" w:id="4056"/>
    <w:p>
      <w:pPr>
        <w:spacing w:after="0"/>
        <w:ind w:left="0"/>
        <w:jc w:val="both"/>
      </w:pPr>
      <w:r>
        <w:rPr>
          <w:rFonts w:ascii="Times New Roman"/>
          <w:b w:val="false"/>
          <w:i w:val="false"/>
          <w:color w:val="000000"/>
          <w:sz w:val="28"/>
        </w:rPr>
        <w:t>
      2) касательные напряжения - 60 % установленного предела текучести материала.</w:t>
      </w:r>
    </w:p>
    <w:bookmarkEnd w:id="4056"/>
    <w:bookmarkStart w:name="z4055" w:id="4057"/>
    <w:p>
      <w:pPr>
        <w:spacing w:after="0"/>
        <w:ind w:left="0"/>
        <w:jc w:val="both"/>
      </w:pPr>
      <w:r>
        <w:rPr>
          <w:rFonts w:ascii="Times New Roman"/>
          <w:b w:val="false"/>
          <w:i w:val="false"/>
          <w:color w:val="000000"/>
          <w:sz w:val="28"/>
        </w:rPr>
        <w:t>
      Факторы концентрации напряжений в расчет не принимаются. Нормальные напряжения представляют собой сумму напряжения при изгибе и осевого напряжения с соответствующим касательным напряжением, действующим перпендикулярно нормальному напряжению.</w:t>
      </w:r>
    </w:p>
    <w:bookmarkEnd w:id="4057"/>
    <w:bookmarkStart w:name="z4056" w:id="4058"/>
    <w:p>
      <w:pPr>
        <w:spacing w:after="0"/>
        <w:ind w:left="0"/>
        <w:jc w:val="both"/>
      </w:pPr>
      <w:r>
        <w:rPr>
          <w:rFonts w:ascii="Times New Roman"/>
          <w:b w:val="false"/>
          <w:i w:val="false"/>
          <w:color w:val="000000"/>
          <w:sz w:val="28"/>
        </w:rPr>
        <w:t>
      Общий допуск на коррозию, мм, для обеих сторон опорной конструкции корпуса составляет не менее следующих значений:</w:t>
      </w:r>
    </w:p>
    <w:bookmarkEnd w:id="4058"/>
    <w:bookmarkStart w:name="z4057" w:id="4059"/>
    <w:p>
      <w:pPr>
        <w:spacing w:after="0"/>
        <w:ind w:left="0"/>
        <w:jc w:val="both"/>
      </w:pPr>
      <w:r>
        <w:rPr>
          <w:rFonts w:ascii="Times New Roman"/>
          <w:b w:val="false"/>
          <w:i w:val="false"/>
          <w:color w:val="000000"/>
          <w:sz w:val="28"/>
        </w:rPr>
        <w:t>
      1) для судов, указанных в требованиях Регистра судоходства;</w:t>
      </w:r>
    </w:p>
    <w:bookmarkEnd w:id="4059"/>
    <w:bookmarkStart w:name="z4058" w:id="4060"/>
    <w:p>
      <w:pPr>
        <w:spacing w:after="0"/>
        <w:ind w:left="0"/>
        <w:jc w:val="both"/>
      </w:pPr>
      <w:r>
        <w:rPr>
          <w:rFonts w:ascii="Times New Roman"/>
          <w:b w:val="false"/>
          <w:i w:val="false"/>
          <w:color w:val="000000"/>
          <w:sz w:val="28"/>
        </w:rPr>
        <w:t>
      2) для остальных судов - 2 мм.</w:t>
      </w:r>
    </w:p>
    <w:bookmarkEnd w:id="4060"/>
    <w:bookmarkStart w:name="z4059" w:id="4061"/>
    <w:p>
      <w:pPr>
        <w:spacing w:after="0"/>
        <w:ind w:left="0"/>
        <w:jc w:val="both"/>
      </w:pPr>
      <w:r>
        <w:rPr>
          <w:rFonts w:ascii="Times New Roman"/>
          <w:b w:val="false"/>
          <w:i w:val="false"/>
          <w:color w:val="000000"/>
          <w:sz w:val="28"/>
        </w:rPr>
        <w:t>
      1124. Безопасная рабочая нагрузка (SWL) деталей швартовного оборудования не превышает 0,8 расчетной нагрузки, определяемой согласно пункту 1122 настоящих Правил. На всех элементах швартовного оборудования посредством сварки или другим эквивалентным способом наносится величина безопасной рабочей нагрузки.</w:t>
      </w:r>
    </w:p>
    <w:bookmarkEnd w:id="4061"/>
    <w:bookmarkStart w:name="z4060" w:id="4062"/>
    <w:p>
      <w:pPr>
        <w:spacing w:after="0"/>
        <w:ind w:left="0"/>
        <w:jc w:val="left"/>
      </w:pPr>
      <w:r>
        <w:rPr>
          <w:rFonts w:ascii="Times New Roman"/>
          <w:b/>
          <w:i w:val="false"/>
          <w:color w:val="000000"/>
        </w:rPr>
        <w:t xml:space="preserve"> Параграф 4. Швартовные механизмы</w:t>
      </w:r>
    </w:p>
    <w:bookmarkEnd w:id="4062"/>
    <w:bookmarkStart w:name="z4061" w:id="4063"/>
    <w:p>
      <w:pPr>
        <w:spacing w:after="0"/>
        <w:ind w:left="0"/>
        <w:jc w:val="both"/>
      </w:pPr>
      <w:r>
        <w:rPr>
          <w:rFonts w:ascii="Times New Roman"/>
          <w:b w:val="false"/>
          <w:i w:val="false"/>
          <w:color w:val="000000"/>
          <w:sz w:val="28"/>
        </w:rPr>
        <w:t>
      1125. Для выбирания швартовов используют как специально установленные для этой цели швартовные механизмы (например, швартовные шпили, лебедки), так и другие палубные механизмы (например, брашпили, грузовые лебедки), имеющие швартовные барабаны.</w:t>
      </w:r>
    </w:p>
    <w:bookmarkEnd w:id="4063"/>
    <w:bookmarkStart w:name="z4062" w:id="4064"/>
    <w:p>
      <w:pPr>
        <w:spacing w:after="0"/>
        <w:ind w:left="0"/>
        <w:jc w:val="both"/>
      </w:pPr>
      <w:r>
        <w:rPr>
          <w:rFonts w:ascii="Times New Roman"/>
          <w:b w:val="false"/>
          <w:i w:val="false"/>
          <w:color w:val="000000"/>
          <w:sz w:val="28"/>
        </w:rPr>
        <w:t>
      1126. Выбор количества и типа швартовных механизмов производится по усмотрению судовладельца и проектанта при условии, однако, что их номинальное тяговое усилие не будет превышать 1/3 разрывного усилия швартовных тросов в целом, принятых на снабжение судна, и, кроме того, при удовлетворении требованиям главы 373 настоящих Правил.</w:t>
      </w:r>
    </w:p>
    <w:bookmarkEnd w:id="4064"/>
    <w:bookmarkStart w:name="z4063" w:id="4065"/>
    <w:p>
      <w:pPr>
        <w:spacing w:after="0"/>
        <w:ind w:left="0"/>
        <w:jc w:val="left"/>
      </w:pPr>
      <w:r>
        <w:rPr>
          <w:rFonts w:ascii="Times New Roman"/>
          <w:b/>
          <w:i w:val="false"/>
          <w:color w:val="000000"/>
        </w:rPr>
        <w:t xml:space="preserve"> Глава 64. Буксирное устройство</w:t>
      </w:r>
    </w:p>
    <w:bookmarkEnd w:id="4065"/>
    <w:p>
      <w:pPr>
        <w:spacing w:after="0"/>
        <w:ind w:left="0"/>
        <w:jc w:val="both"/>
      </w:pPr>
      <w:r>
        <w:rPr>
          <w:rFonts w:ascii="Times New Roman"/>
          <w:b w:val="false"/>
          <w:i w:val="false"/>
          <w:color w:val="ff0000"/>
          <w:sz w:val="28"/>
        </w:rPr>
        <w:t xml:space="preserve">
      Сноска. Заголовок главы 64 -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64" w:id="4066"/>
    <w:p>
      <w:pPr>
        <w:spacing w:after="0"/>
        <w:ind w:left="0"/>
        <w:jc w:val="left"/>
      </w:pPr>
      <w:r>
        <w:rPr>
          <w:rFonts w:ascii="Times New Roman"/>
          <w:b/>
          <w:i w:val="false"/>
          <w:color w:val="000000"/>
        </w:rPr>
        <w:t xml:space="preserve"> Параграф 1. Общие положения</w:t>
      </w:r>
    </w:p>
    <w:bookmarkEnd w:id="4066"/>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65" w:id="4067"/>
    <w:p>
      <w:pPr>
        <w:spacing w:after="0"/>
        <w:ind w:left="0"/>
        <w:jc w:val="both"/>
      </w:pPr>
      <w:r>
        <w:rPr>
          <w:rFonts w:ascii="Times New Roman"/>
          <w:b w:val="false"/>
          <w:i w:val="false"/>
          <w:color w:val="000000"/>
          <w:sz w:val="28"/>
        </w:rPr>
        <w:t>
      1127. На каждом судне должно иметься буксирное устройство, отвечающее требованиям параграфов 2 и 3 настоящей главы Правил.</w:t>
      </w:r>
    </w:p>
    <w:bookmarkEnd w:id="4067"/>
    <w:bookmarkStart w:name="z4066" w:id="4068"/>
    <w:p>
      <w:pPr>
        <w:spacing w:after="0"/>
        <w:ind w:left="0"/>
        <w:jc w:val="both"/>
      </w:pPr>
      <w:r>
        <w:rPr>
          <w:rFonts w:ascii="Times New Roman"/>
          <w:b w:val="false"/>
          <w:i w:val="false"/>
          <w:color w:val="000000"/>
          <w:sz w:val="28"/>
        </w:rPr>
        <w:t>
      Суда, к символу класса которых добавляется словесная характеристика "Tug", кроме того, необходимо чтобы отвечали требованиям параграфов 4 — 6 настоящей главы.</w:t>
      </w:r>
    </w:p>
    <w:bookmarkEnd w:id="4068"/>
    <w:bookmarkStart w:name="z4067" w:id="4069"/>
    <w:p>
      <w:pPr>
        <w:spacing w:after="0"/>
        <w:ind w:left="0"/>
        <w:jc w:val="both"/>
      </w:pPr>
      <w:r>
        <w:rPr>
          <w:rFonts w:ascii="Times New Roman"/>
          <w:b w:val="false"/>
          <w:i w:val="false"/>
          <w:color w:val="000000"/>
          <w:sz w:val="28"/>
        </w:rPr>
        <w:t xml:space="preserve">
      1128. Нефтеналивные, нефтеналивные (&gt;60 </w:t>
      </w:r>
      <w:r>
        <w:rPr>
          <w:rFonts w:ascii="Times New Roman"/>
          <w:b w:val="false"/>
          <w:i w:val="false"/>
          <w:color w:val="000000"/>
          <w:vertAlign w:val="superscript"/>
        </w:rPr>
        <w:t>о</w:t>
      </w:r>
      <w:r>
        <w:rPr>
          <w:rFonts w:ascii="Times New Roman"/>
          <w:b w:val="false"/>
          <w:i w:val="false"/>
          <w:color w:val="000000"/>
          <w:sz w:val="28"/>
        </w:rPr>
        <w:t>С), комбинированные суда, газовозы и химовозы дедвейтом 20000 т и более отвечают требованиям параграфа 7 настоящей главы Правил.</w:t>
      </w:r>
    </w:p>
    <w:bookmarkEnd w:id="4069"/>
    <w:bookmarkStart w:name="z4068" w:id="4070"/>
    <w:p>
      <w:pPr>
        <w:spacing w:after="0"/>
        <w:ind w:left="0"/>
        <w:jc w:val="both"/>
      </w:pPr>
      <w:r>
        <w:rPr>
          <w:rFonts w:ascii="Times New Roman"/>
          <w:b w:val="false"/>
          <w:i w:val="false"/>
          <w:color w:val="000000"/>
          <w:sz w:val="28"/>
        </w:rPr>
        <w:t>
      1129. Буксирное устройство стоечных судов отвечает требованиям части 4 ПСВП.</w:t>
      </w:r>
    </w:p>
    <w:bookmarkEnd w:id="4070"/>
    <w:bookmarkStart w:name="z4069" w:id="4071"/>
    <w:p>
      <w:pPr>
        <w:spacing w:after="0"/>
        <w:ind w:left="0"/>
        <w:jc w:val="left"/>
      </w:pPr>
      <w:r>
        <w:rPr>
          <w:rFonts w:ascii="Times New Roman"/>
          <w:b/>
          <w:i w:val="false"/>
          <w:color w:val="000000"/>
        </w:rPr>
        <w:t xml:space="preserve"> Параграф 2. Буксирный трос</w:t>
      </w:r>
    </w:p>
    <w:bookmarkEnd w:id="4071"/>
    <w:bookmarkStart w:name="z4070" w:id="4072"/>
    <w:p>
      <w:pPr>
        <w:spacing w:after="0"/>
        <w:ind w:left="0"/>
        <w:jc w:val="both"/>
      </w:pPr>
      <w:r>
        <w:rPr>
          <w:rFonts w:ascii="Times New Roman"/>
          <w:b w:val="false"/>
          <w:i w:val="false"/>
          <w:color w:val="000000"/>
          <w:sz w:val="28"/>
        </w:rPr>
        <w:t>
      1130. Длина и разрывное усилие буксирного троса в целом определяются по приложению 167 настоящих Правил, по характеристике, определяемой в соответствии с параграфом 2 главы 57 настоящих Правил.</w:t>
      </w:r>
    </w:p>
    <w:bookmarkEnd w:id="4072"/>
    <w:bookmarkStart w:name="z4071" w:id="4073"/>
    <w:p>
      <w:pPr>
        <w:spacing w:after="0"/>
        <w:ind w:left="0"/>
        <w:jc w:val="both"/>
      </w:pPr>
      <w:r>
        <w:rPr>
          <w:rFonts w:ascii="Times New Roman"/>
          <w:b w:val="false"/>
          <w:i w:val="false"/>
          <w:color w:val="000000"/>
          <w:sz w:val="28"/>
        </w:rPr>
        <w:t xml:space="preserve">
      Для судовых барж разрывное усилие буксирного троса </w:t>
      </w:r>
      <w:r>
        <w:rPr>
          <w:rFonts w:ascii="Times New Roman"/>
          <w:b w:val="false"/>
          <w:i/>
          <w:color w:val="000000"/>
          <w:sz w:val="28"/>
        </w:rPr>
        <w:t>F</w:t>
      </w:r>
      <w:r>
        <w:rPr>
          <w:rFonts w:ascii="Times New Roman"/>
          <w:b w:val="false"/>
          <w:i w:val="false"/>
          <w:color w:val="000000"/>
          <w:vertAlign w:val="subscript"/>
        </w:rPr>
        <w:t>p</w:t>
      </w:r>
      <w:r>
        <w:rPr>
          <w:rFonts w:ascii="Times New Roman"/>
          <w:b w:val="false"/>
          <w:i w:val="false"/>
          <w:color w:val="000000"/>
          <w:sz w:val="28"/>
        </w:rPr>
        <w:t>, кН, вычисляется по формуле:</w:t>
      </w:r>
    </w:p>
    <w:bookmarkEnd w:id="407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p</w:t>
      </w:r>
      <w:r>
        <w:rPr>
          <w:rFonts w:ascii="Times New Roman"/>
          <w:b w:val="false"/>
          <w:i w:val="false"/>
          <w:color w:val="000000"/>
          <w:sz w:val="28"/>
        </w:rPr>
        <w:t xml:space="preserve"> = 16</w:t>
      </w:r>
      <w:r>
        <w:rPr>
          <w:rFonts w:ascii="Times New Roman"/>
          <w:b w:val="false"/>
          <w:i/>
          <w:color w:val="000000"/>
          <w:sz w:val="28"/>
        </w:rPr>
        <w:t>nBd</w:t>
      </w:r>
      <w:r>
        <w:rPr>
          <w:rFonts w:ascii="Times New Roman"/>
          <w:b w:val="false"/>
          <w:i w:val="false"/>
          <w:color w:val="000000"/>
          <w:sz w:val="28"/>
        </w:rPr>
        <w:t>,                              (532)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число барж в кильватерном составе;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ширина баржи,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осадка баржи, м.</w:t>
      </w:r>
    </w:p>
    <w:bookmarkStart w:name="z4072" w:id="4074"/>
    <w:p>
      <w:pPr>
        <w:spacing w:after="0"/>
        <w:ind w:left="0"/>
        <w:jc w:val="both"/>
      </w:pPr>
      <w:r>
        <w:rPr>
          <w:rFonts w:ascii="Times New Roman"/>
          <w:b w:val="false"/>
          <w:i w:val="false"/>
          <w:color w:val="000000"/>
          <w:sz w:val="28"/>
        </w:rPr>
        <w:t>
      Разрывное усилие троса используется в расчетах прочности буксирного оборудования судовых барж. По желанию судовладельца буксирные тросы судовых барж хранятся на баржевозе или буксире и не входят в состав снабжения судовой баржи.</w:t>
      </w:r>
    </w:p>
    <w:bookmarkEnd w:id="4074"/>
    <w:bookmarkStart w:name="z4073" w:id="4075"/>
    <w:p>
      <w:pPr>
        <w:spacing w:after="0"/>
        <w:ind w:left="0"/>
        <w:jc w:val="both"/>
      </w:pPr>
      <w:r>
        <w:rPr>
          <w:rFonts w:ascii="Times New Roman"/>
          <w:b w:val="false"/>
          <w:i w:val="false"/>
          <w:color w:val="000000"/>
          <w:sz w:val="28"/>
        </w:rPr>
        <w:t xml:space="preserve">
      1131. Буксирные тросы бывают стальными, растительными или синтетическими. Требования пунктов 1114, 1115 - 1118 настоящих Правил, регламентированные для швартовных тросов, распространяются также и на буксирный трос. </w:t>
      </w:r>
    </w:p>
    <w:bookmarkEnd w:id="4075"/>
    <w:bookmarkStart w:name="z4074" w:id="4076"/>
    <w:p>
      <w:pPr>
        <w:spacing w:after="0"/>
        <w:ind w:left="0"/>
        <w:jc w:val="left"/>
      </w:pPr>
      <w:r>
        <w:rPr>
          <w:rFonts w:ascii="Times New Roman"/>
          <w:b/>
          <w:i w:val="false"/>
          <w:color w:val="000000"/>
        </w:rPr>
        <w:t xml:space="preserve"> Параграф 3. Буксирное оборудование</w:t>
      </w:r>
    </w:p>
    <w:bookmarkEnd w:id="4076"/>
    <w:bookmarkStart w:name="z4075" w:id="4077"/>
    <w:p>
      <w:pPr>
        <w:spacing w:after="0"/>
        <w:ind w:left="0"/>
        <w:jc w:val="both"/>
      </w:pPr>
      <w:r>
        <w:rPr>
          <w:rFonts w:ascii="Times New Roman"/>
          <w:b w:val="false"/>
          <w:i w:val="false"/>
          <w:color w:val="000000"/>
          <w:sz w:val="28"/>
        </w:rPr>
        <w:t>
      1132. Число и расположение буксирных кнехтов и клюзов принимается, исходя из конструктивных особенностей, назначения и общего расположения судна.</w:t>
      </w:r>
    </w:p>
    <w:bookmarkEnd w:id="4077"/>
    <w:bookmarkStart w:name="z4076" w:id="4078"/>
    <w:p>
      <w:pPr>
        <w:spacing w:after="0"/>
        <w:ind w:left="0"/>
        <w:jc w:val="both"/>
      </w:pPr>
      <w:r>
        <w:rPr>
          <w:rFonts w:ascii="Times New Roman"/>
          <w:b w:val="false"/>
          <w:i w:val="false"/>
          <w:color w:val="000000"/>
          <w:sz w:val="28"/>
        </w:rPr>
        <w:t>
      1133. Требования пунктов 1120 и 1121 настоящих Правил, регламентированные для швартовных кнехтов, распространяются также на буксирные кнехты.</w:t>
      </w:r>
    </w:p>
    <w:bookmarkEnd w:id="4078"/>
    <w:bookmarkStart w:name="z4077" w:id="4079"/>
    <w:p>
      <w:pPr>
        <w:spacing w:after="0"/>
        <w:ind w:left="0"/>
        <w:jc w:val="both"/>
      </w:pPr>
      <w:r>
        <w:rPr>
          <w:rFonts w:ascii="Times New Roman"/>
          <w:b w:val="false"/>
          <w:i w:val="false"/>
          <w:color w:val="000000"/>
          <w:sz w:val="28"/>
        </w:rPr>
        <w:t>
      1134 Несущие элементы буксирного устройства для эффективного восприятия нагрузок, возникающих при буксировке судна, располагаются на опорных корпусных связях, являющихся частью палубной конструкции.</w:t>
      </w:r>
    </w:p>
    <w:bookmarkEnd w:id="4079"/>
    <w:bookmarkStart w:name="z4078" w:id="4080"/>
    <w:p>
      <w:pPr>
        <w:spacing w:after="0"/>
        <w:ind w:left="0"/>
        <w:jc w:val="both"/>
      </w:pPr>
      <w:r>
        <w:rPr>
          <w:rFonts w:ascii="Times New Roman"/>
          <w:b w:val="false"/>
          <w:i w:val="false"/>
          <w:color w:val="000000"/>
          <w:sz w:val="28"/>
        </w:rPr>
        <w:t>
      1134 Расчетная нагрузка, действующая на буксирное оборудование, принимается равной:</w:t>
      </w:r>
    </w:p>
    <w:bookmarkEnd w:id="4080"/>
    <w:bookmarkStart w:name="z4079" w:id="4081"/>
    <w:p>
      <w:pPr>
        <w:spacing w:after="0"/>
        <w:ind w:left="0"/>
        <w:jc w:val="both"/>
      </w:pPr>
      <w:r>
        <w:rPr>
          <w:rFonts w:ascii="Times New Roman"/>
          <w:b w:val="false"/>
          <w:i w:val="false"/>
          <w:color w:val="000000"/>
          <w:sz w:val="28"/>
        </w:rPr>
        <w:t>
      1) 1,25 тягового усилия на швартовах — для буксиров, выполняющих обычные буксирные операции;</w:t>
      </w:r>
    </w:p>
    <w:bookmarkEnd w:id="4081"/>
    <w:bookmarkStart w:name="z4080" w:id="4082"/>
    <w:p>
      <w:pPr>
        <w:spacing w:after="0"/>
        <w:ind w:left="0"/>
        <w:jc w:val="both"/>
      </w:pPr>
      <w:r>
        <w:rPr>
          <w:rFonts w:ascii="Times New Roman"/>
          <w:b w:val="false"/>
          <w:i w:val="false"/>
          <w:color w:val="000000"/>
          <w:sz w:val="28"/>
        </w:rPr>
        <w:t>
      2) разрывному усилию буксирного троса в целом, выбираемого согласно приложению 167 настоящих Правил, исходя из величины характеристики снабжения — для буксиров, выполняющих эскортные операции.</w:t>
      </w:r>
    </w:p>
    <w:bookmarkEnd w:id="4082"/>
    <w:bookmarkStart w:name="z4081" w:id="4083"/>
    <w:p>
      <w:pPr>
        <w:spacing w:after="0"/>
        <w:ind w:left="0"/>
        <w:jc w:val="both"/>
      </w:pPr>
      <w:r>
        <w:rPr>
          <w:rFonts w:ascii="Times New Roman"/>
          <w:b w:val="false"/>
          <w:i w:val="false"/>
          <w:color w:val="000000"/>
          <w:sz w:val="28"/>
        </w:rPr>
        <w:t>
      1135. При действии расчетных нагрузок согласно пункту 1134 настоящих Правил допускаемые напряжения в опорных конструкциях корпуса, а также общий допуск на коррозию определяется аналогично требованиям пункта 1124 настоящих Правил.</w:t>
      </w:r>
    </w:p>
    <w:bookmarkEnd w:id="4083"/>
    <w:bookmarkStart w:name="z4082" w:id="4084"/>
    <w:p>
      <w:pPr>
        <w:spacing w:after="0"/>
        <w:ind w:left="0"/>
        <w:jc w:val="both"/>
      </w:pPr>
      <w:r>
        <w:rPr>
          <w:rFonts w:ascii="Times New Roman"/>
          <w:b w:val="false"/>
          <w:i w:val="false"/>
          <w:color w:val="000000"/>
          <w:sz w:val="28"/>
        </w:rPr>
        <w:t>
      1136. Безопасная рабочая нагрузка (SWL) деталей буксирного оборудования не превышает:</w:t>
      </w:r>
    </w:p>
    <w:bookmarkEnd w:id="4084"/>
    <w:bookmarkStart w:name="z4083" w:id="4085"/>
    <w:p>
      <w:pPr>
        <w:spacing w:after="0"/>
        <w:ind w:left="0"/>
        <w:jc w:val="both"/>
      </w:pPr>
      <w:r>
        <w:rPr>
          <w:rFonts w:ascii="Times New Roman"/>
          <w:b w:val="false"/>
          <w:i w:val="false"/>
          <w:color w:val="000000"/>
          <w:sz w:val="28"/>
        </w:rPr>
        <w:t>
      1) 0,8 расчетной нагрузки, определяемой согласно подпункту 1) пункта 1134 настоящих Правил для выполнения обычных буксировочных операций;</w:t>
      </w:r>
    </w:p>
    <w:bookmarkEnd w:id="4085"/>
    <w:bookmarkStart w:name="z4084" w:id="4086"/>
    <w:p>
      <w:pPr>
        <w:spacing w:after="0"/>
        <w:ind w:left="0"/>
        <w:jc w:val="both"/>
      </w:pPr>
      <w:r>
        <w:rPr>
          <w:rFonts w:ascii="Times New Roman"/>
          <w:b w:val="false"/>
          <w:i w:val="false"/>
          <w:color w:val="000000"/>
          <w:sz w:val="28"/>
        </w:rPr>
        <w:t>
      2) расчетную нагрузку, определяемую согласно подпункту 2) пункта 1134 настоящих Правил для выполнения обычных буксировочных операций.</w:t>
      </w:r>
    </w:p>
    <w:bookmarkEnd w:id="4086"/>
    <w:bookmarkStart w:name="z4085" w:id="4087"/>
    <w:p>
      <w:pPr>
        <w:spacing w:after="0"/>
        <w:ind w:left="0"/>
        <w:jc w:val="both"/>
      </w:pPr>
      <w:r>
        <w:rPr>
          <w:rFonts w:ascii="Times New Roman"/>
          <w:b w:val="false"/>
          <w:i w:val="false"/>
          <w:color w:val="000000"/>
          <w:sz w:val="28"/>
        </w:rPr>
        <w:t>
      Для деталей буксирного оборудования, используемых как в обычных, так и эскортных операциях, безопасная рабочая нагрузка определяется, исходя из наибольших расчетных нагрузок согласно пункту 1134 настоящих Правил.</w:t>
      </w:r>
    </w:p>
    <w:bookmarkEnd w:id="4087"/>
    <w:bookmarkStart w:name="z4086" w:id="4088"/>
    <w:p>
      <w:pPr>
        <w:spacing w:after="0"/>
        <w:ind w:left="0"/>
        <w:jc w:val="both"/>
      </w:pPr>
      <w:r>
        <w:rPr>
          <w:rFonts w:ascii="Times New Roman"/>
          <w:b w:val="false"/>
          <w:i w:val="false"/>
          <w:color w:val="000000"/>
          <w:sz w:val="28"/>
        </w:rPr>
        <w:t>
      На всех элементах буксирного оборудования посредством сварки или другим эквивалентным способом наносится величина безопасной рабочей нагрузки.</w:t>
      </w:r>
    </w:p>
    <w:bookmarkEnd w:id="4088"/>
    <w:bookmarkStart w:name="z4087" w:id="4089"/>
    <w:p>
      <w:pPr>
        <w:spacing w:after="0"/>
        <w:ind w:left="0"/>
        <w:jc w:val="left"/>
      </w:pPr>
      <w:r>
        <w:rPr>
          <w:rFonts w:ascii="Times New Roman"/>
          <w:b/>
          <w:i w:val="false"/>
          <w:color w:val="000000"/>
        </w:rPr>
        <w:t xml:space="preserve"> Параграф 4. Специальное устройство на буксирах</w:t>
      </w:r>
    </w:p>
    <w:bookmarkEnd w:id="4089"/>
    <w:bookmarkStart w:name="z4088" w:id="4090"/>
    <w:p>
      <w:pPr>
        <w:spacing w:after="0"/>
        <w:ind w:left="0"/>
        <w:jc w:val="both"/>
      </w:pPr>
      <w:r>
        <w:rPr>
          <w:rFonts w:ascii="Times New Roman"/>
          <w:b w:val="false"/>
          <w:i w:val="false"/>
          <w:color w:val="000000"/>
          <w:sz w:val="28"/>
        </w:rPr>
        <w:t>
      1137. Состав оборудования и снабжения специального устройства на буксирах, необходимого для обеспечения буксировочных операций в различных условиях эксплуатации, определяется судовладельцем при условии, что это оборудование и снабжение отвечают требованиям настоящей главы.</w:t>
      </w:r>
    </w:p>
    <w:bookmarkEnd w:id="4090"/>
    <w:bookmarkStart w:name="z4089" w:id="4091"/>
    <w:p>
      <w:pPr>
        <w:spacing w:after="0"/>
        <w:ind w:left="0"/>
        <w:jc w:val="both"/>
      </w:pPr>
      <w:r>
        <w:rPr>
          <w:rFonts w:ascii="Times New Roman"/>
          <w:b w:val="false"/>
          <w:i w:val="false"/>
          <w:color w:val="000000"/>
          <w:sz w:val="28"/>
        </w:rPr>
        <w:t xml:space="preserve">
      1138. Основным определяющим фактором для специального устройства на буксирах является номинальная тяга на гаке </w:t>
      </w:r>
      <w:r>
        <w:rPr>
          <w:rFonts w:ascii="Times New Roman"/>
          <w:b w:val="false"/>
          <w:i/>
          <w:color w:val="000000"/>
          <w:sz w:val="28"/>
        </w:rPr>
        <w:t>F</w:t>
      </w:r>
      <w:r>
        <w:rPr>
          <w:rFonts w:ascii="Times New Roman"/>
          <w:b w:val="false"/>
          <w:i w:val="false"/>
          <w:color w:val="000000"/>
          <w:sz w:val="28"/>
        </w:rPr>
        <w:t>. За номинальную тягу на гаке принимается:</w:t>
      </w:r>
    </w:p>
    <w:bookmarkEnd w:id="4091"/>
    <w:bookmarkStart w:name="z4090" w:id="4092"/>
    <w:p>
      <w:pPr>
        <w:spacing w:after="0"/>
        <w:ind w:left="0"/>
        <w:jc w:val="both"/>
      </w:pPr>
      <w:r>
        <w:rPr>
          <w:rFonts w:ascii="Times New Roman"/>
          <w:b w:val="false"/>
          <w:i w:val="false"/>
          <w:color w:val="000000"/>
          <w:sz w:val="28"/>
        </w:rPr>
        <w:t>
      1) для буксиров неограниченного района плавания и ограниченных районов плавания R1 и R2 — их тяговое усилие, необходимое для буксировки заданного воза с заданной скоростью, но не более 5 уз;</w:t>
      </w:r>
    </w:p>
    <w:bookmarkEnd w:id="4092"/>
    <w:bookmarkStart w:name="z4091" w:id="4093"/>
    <w:p>
      <w:pPr>
        <w:spacing w:after="0"/>
        <w:ind w:left="0"/>
        <w:jc w:val="both"/>
      </w:pPr>
      <w:r>
        <w:rPr>
          <w:rFonts w:ascii="Times New Roman"/>
          <w:b w:val="false"/>
          <w:i w:val="false"/>
          <w:color w:val="000000"/>
          <w:sz w:val="28"/>
        </w:rPr>
        <w:t xml:space="preserve">
      2) для буксиров ограниченного района плавания R3 — их тяговое  усилие на швартовах, однако ни в коем случае номинальная тяга на гаке </w:t>
      </w:r>
      <w:r>
        <w:rPr>
          <w:rFonts w:ascii="Times New Roman"/>
          <w:b w:val="false"/>
          <w:i/>
          <w:color w:val="000000"/>
          <w:sz w:val="28"/>
        </w:rPr>
        <w:t>F</w:t>
      </w:r>
      <w:r>
        <w:rPr>
          <w:rFonts w:ascii="Times New Roman"/>
          <w:b w:val="false"/>
          <w:i w:val="false"/>
          <w:color w:val="000000"/>
          <w:sz w:val="28"/>
        </w:rPr>
        <w:t>, кН, не принимается менее чем:</w:t>
      </w:r>
    </w:p>
    <w:bookmarkEnd w:id="409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0,133</w:t>
      </w:r>
      <w:r>
        <w:rPr>
          <w:rFonts w:ascii="Times New Roman"/>
          <w:b w:val="false"/>
          <w:i/>
          <w:color w:val="000000"/>
          <w:sz w:val="28"/>
        </w:rPr>
        <w:t>P</w:t>
      </w:r>
      <w:r>
        <w:rPr>
          <w:rFonts w:ascii="Times New Roman"/>
          <w:b w:val="false"/>
          <w:i w:val="false"/>
          <w:color w:val="000000"/>
          <w:vertAlign w:val="subscript"/>
        </w:rPr>
        <w:t>e</w:t>
      </w:r>
      <w:r>
        <w:rPr>
          <w:rFonts w:ascii="Times New Roman"/>
          <w:b w:val="false"/>
          <w:i w:val="false"/>
          <w:color w:val="000000"/>
          <w:vertAlign w:val="subscript"/>
        </w:rPr>
        <w:t>,</w:t>
      </w:r>
      <w:r>
        <w:rPr>
          <w:rFonts w:ascii="Times New Roman"/>
          <w:b w:val="false"/>
          <w:i w:val="false"/>
          <w:color w:val="000000"/>
          <w:sz w:val="28"/>
        </w:rPr>
        <w:t xml:space="preserve">                        (533)</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 суммарная мощность главных двигателей буксира, кВт.</w:t>
      </w:r>
    </w:p>
    <w:bookmarkStart w:name="z4092" w:id="4094"/>
    <w:p>
      <w:pPr>
        <w:spacing w:after="0"/>
        <w:ind w:left="0"/>
        <w:jc w:val="both"/>
      </w:pPr>
      <w:r>
        <w:rPr>
          <w:rFonts w:ascii="Times New Roman"/>
          <w:b w:val="false"/>
          <w:i w:val="false"/>
          <w:color w:val="000000"/>
          <w:sz w:val="28"/>
        </w:rPr>
        <w:t>
      1139. Числовое значение величины номинальной тяги на гаке в режимах, указанных в пункте 1138 настоящих Правил, определяется судовладельцем и проектантом по своему усмотрению, а все расчеты, связанные с этим определением, согласованию с Регистром судоходства не подлежат. Тем не менее, во время швартовных и ходовых испытаний буксира Регистр судоходства проверяет эту величину и, если окажется, что элементы специального устройства рассчитаны, исходя из меньшей величины, Регистр судоходства потребует их усиления или введения ограничения мощности при буксировке.</w:t>
      </w:r>
    </w:p>
    <w:bookmarkEnd w:id="4094"/>
    <w:bookmarkStart w:name="z4093" w:id="4095"/>
    <w:p>
      <w:pPr>
        <w:spacing w:after="0"/>
        <w:ind w:left="0"/>
        <w:jc w:val="both"/>
      </w:pPr>
      <w:r>
        <w:rPr>
          <w:rFonts w:ascii="Times New Roman"/>
          <w:b w:val="false"/>
          <w:i w:val="false"/>
          <w:color w:val="000000"/>
          <w:sz w:val="28"/>
        </w:rPr>
        <w:t xml:space="preserve">
      1140. Разрывное усилие троса в целом для буксировки на гаке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кН, равно не менее чем:</w:t>
      </w:r>
    </w:p>
    <w:bookmarkEnd w:id="409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kF</w:t>
      </w:r>
      <w:r>
        <w:rPr>
          <w:rFonts w:ascii="Times New Roman"/>
          <w:b w:val="false"/>
          <w:i w:val="false"/>
          <w:color w:val="000000"/>
          <w:sz w:val="28"/>
        </w:rPr>
        <w:t>,                           (534)</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sz w:val="28"/>
        </w:rPr>
        <w:t xml:space="preserve"> — номинальная тяга на гаке согласно пункту 1138 настоящих Правил,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запас прочности, равный:</w:t>
      </w:r>
    </w:p>
    <w:p>
      <w:pPr>
        <w:spacing w:after="0"/>
        <w:ind w:left="0"/>
        <w:jc w:val="both"/>
      </w:pPr>
      <w:r>
        <w:rPr>
          <w:rFonts w:ascii="Times New Roman"/>
          <w:b w:val="false"/>
          <w:i w:val="false"/>
          <w:color w:val="000000"/>
          <w:sz w:val="28"/>
        </w:rPr>
        <w:t>
      5,0 при номинальной тяге на гаке 98,1 кН и менее;</w:t>
      </w:r>
    </w:p>
    <w:p>
      <w:pPr>
        <w:spacing w:after="0"/>
        <w:ind w:left="0"/>
        <w:jc w:val="both"/>
      </w:pPr>
      <w:r>
        <w:rPr>
          <w:rFonts w:ascii="Times New Roman"/>
          <w:b w:val="false"/>
          <w:i w:val="false"/>
          <w:color w:val="000000"/>
          <w:sz w:val="28"/>
        </w:rPr>
        <w:t>
      3,0 при номинальной тяге на гаке 294,0 кН и более.</w:t>
      </w:r>
    </w:p>
    <w:bookmarkStart w:name="z4094" w:id="4096"/>
    <w:p>
      <w:pPr>
        <w:spacing w:after="0"/>
        <w:ind w:left="0"/>
        <w:jc w:val="both"/>
      </w:pPr>
      <w:r>
        <w:rPr>
          <w:rFonts w:ascii="Times New Roman"/>
          <w:b w:val="false"/>
          <w:i w:val="false"/>
          <w:color w:val="000000"/>
          <w:sz w:val="28"/>
        </w:rPr>
        <w:t>
      Для промежуточных значений номинальной тяги на гаке запас прочности k определяется линейной интерполяцией. Длина троса для буксировки на гаке равна не менее 150 м.</w:t>
      </w:r>
    </w:p>
    <w:bookmarkEnd w:id="4096"/>
    <w:bookmarkStart w:name="z4095" w:id="4097"/>
    <w:p>
      <w:pPr>
        <w:spacing w:after="0"/>
        <w:ind w:left="0"/>
        <w:jc w:val="both"/>
      </w:pPr>
      <w:r>
        <w:rPr>
          <w:rFonts w:ascii="Times New Roman"/>
          <w:b w:val="false"/>
          <w:i w:val="false"/>
          <w:color w:val="000000"/>
          <w:sz w:val="28"/>
        </w:rPr>
        <w:t>
      Трос для буксировки на гаке бывает стальным, растительным или из синтетического волокна. Требования параграфа 2 главы 63 настоящих Правил, регламентированные для швартовных тросов, распространяются также на трос для буксировки на гаке.</w:t>
      </w:r>
    </w:p>
    <w:bookmarkEnd w:id="4097"/>
    <w:bookmarkStart w:name="z4096" w:id="4098"/>
    <w:p>
      <w:pPr>
        <w:spacing w:after="0"/>
        <w:ind w:left="0"/>
        <w:jc w:val="both"/>
      </w:pPr>
      <w:r>
        <w:rPr>
          <w:rFonts w:ascii="Times New Roman"/>
          <w:b w:val="false"/>
          <w:i w:val="false"/>
          <w:color w:val="000000"/>
          <w:sz w:val="28"/>
        </w:rPr>
        <w:t>
      1141. Все несущие элементы буксирного устройства (например, буксирный гак, буксирная дуга) и детали их крепления к корпусу судна рассчитывают на восприятие разрывного усилия буксирного троса в целом. При этом напряжения в этих элементах не превышает 0,95 предела текучести их материала.</w:t>
      </w:r>
    </w:p>
    <w:bookmarkEnd w:id="4098"/>
    <w:bookmarkStart w:name="z4097" w:id="4099"/>
    <w:p>
      <w:pPr>
        <w:spacing w:after="0"/>
        <w:ind w:left="0"/>
        <w:jc w:val="both"/>
      </w:pPr>
      <w:r>
        <w:rPr>
          <w:rFonts w:ascii="Times New Roman"/>
          <w:b w:val="false"/>
          <w:i w:val="false"/>
          <w:color w:val="000000"/>
          <w:sz w:val="28"/>
        </w:rPr>
        <w:t>
      1142. Крюк буксирного гака следует рассчитывать как криволинейный брус. Если этого не делается, то есть используются формулы для прямолинейных брусьев, то допускаемые напряжения уменьшают на 35 %.</w:t>
      </w:r>
    </w:p>
    <w:bookmarkEnd w:id="4099"/>
    <w:bookmarkStart w:name="z4098" w:id="4100"/>
    <w:p>
      <w:pPr>
        <w:spacing w:after="0"/>
        <w:ind w:left="0"/>
        <w:jc w:val="both"/>
      </w:pPr>
      <w:r>
        <w:rPr>
          <w:rFonts w:ascii="Times New Roman"/>
          <w:b w:val="false"/>
          <w:i w:val="false"/>
          <w:color w:val="000000"/>
          <w:sz w:val="28"/>
        </w:rPr>
        <w:t>
      1143. Все детали буксирного устройства, подвергающиеся под действием натяжения буксирного троса растяжению или изгибу, не изготавливаюся из чугуна.</w:t>
      </w:r>
    </w:p>
    <w:bookmarkEnd w:id="4100"/>
    <w:bookmarkStart w:name="z4099" w:id="4101"/>
    <w:p>
      <w:pPr>
        <w:spacing w:after="0"/>
        <w:ind w:left="0"/>
        <w:jc w:val="both"/>
      </w:pPr>
      <w:r>
        <w:rPr>
          <w:rFonts w:ascii="Times New Roman"/>
          <w:b w:val="false"/>
          <w:i w:val="false"/>
          <w:color w:val="000000"/>
          <w:sz w:val="28"/>
        </w:rPr>
        <w:t>
      1144. Крюки буксирных гаков изготавливают цельноковаными или изготовленными из цельной заготовки проката. Относительное удлинение материала крюков не менее 18 % на пятикратном образце.</w:t>
      </w:r>
    </w:p>
    <w:bookmarkEnd w:id="4101"/>
    <w:bookmarkStart w:name="z4100" w:id="4102"/>
    <w:p>
      <w:pPr>
        <w:spacing w:after="0"/>
        <w:ind w:left="0"/>
        <w:jc w:val="both"/>
      </w:pPr>
      <w:r>
        <w:rPr>
          <w:rFonts w:ascii="Times New Roman"/>
          <w:b w:val="false"/>
          <w:i w:val="false"/>
          <w:color w:val="000000"/>
          <w:sz w:val="28"/>
        </w:rPr>
        <w:t>
      1145. Буксирные гаки тзготавливают откидными и имеют устройство для отдачи буксирного троса, надежно срабатывающее в диапазоне нагрузок на гак от нуля до тройной номинальной тяги и при любом практически возможном отклонении буксирного троса от диаметральной плоскости.</w:t>
      </w:r>
    </w:p>
    <w:bookmarkEnd w:id="4102"/>
    <w:bookmarkStart w:name="z4101" w:id="4103"/>
    <w:p>
      <w:pPr>
        <w:spacing w:after="0"/>
        <w:ind w:left="0"/>
        <w:jc w:val="both"/>
      </w:pPr>
      <w:r>
        <w:rPr>
          <w:rFonts w:ascii="Times New Roman"/>
          <w:b w:val="false"/>
          <w:i w:val="false"/>
          <w:color w:val="000000"/>
          <w:sz w:val="28"/>
        </w:rPr>
        <w:t>
      Устройство управляется как с места у гака, так и с ходового мостика. Если судно снабжено, кроме основного, также запасным гаком, то требование быть откидным и иметь устройство для отдачи на него не распространяется.</w:t>
      </w:r>
    </w:p>
    <w:bookmarkEnd w:id="4103"/>
    <w:bookmarkStart w:name="z4102" w:id="4104"/>
    <w:p>
      <w:pPr>
        <w:spacing w:after="0"/>
        <w:ind w:left="0"/>
        <w:jc w:val="both"/>
      </w:pPr>
      <w:r>
        <w:rPr>
          <w:rFonts w:ascii="Times New Roman"/>
          <w:b w:val="false"/>
          <w:i w:val="false"/>
          <w:color w:val="000000"/>
          <w:sz w:val="28"/>
        </w:rPr>
        <w:t>
      1146. Каждый буксирный гак имеет амортизаторы, предельная нагрузка амортизирующего действия которых не менее 1,3 номинальной тяги на гаке.</w:t>
      </w:r>
    </w:p>
    <w:bookmarkEnd w:id="4104"/>
    <w:bookmarkStart w:name="z4103" w:id="4105"/>
    <w:p>
      <w:pPr>
        <w:spacing w:after="0"/>
        <w:ind w:left="0"/>
        <w:jc w:val="both"/>
      </w:pPr>
      <w:r>
        <w:rPr>
          <w:rFonts w:ascii="Times New Roman"/>
          <w:b w:val="false"/>
          <w:i w:val="false"/>
          <w:color w:val="000000"/>
          <w:sz w:val="28"/>
        </w:rPr>
        <w:t>
      Разрешается не иметь амортизаторов на гаках буксиров ограниченного района плавания R3 мощностью менее 220 кВт.</w:t>
      </w:r>
    </w:p>
    <w:bookmarkEnd w:id="4105"/>
    <w:bookmarkStart w:name="z4104" w:id="4106"/>
    <w:p>
      <w:pPr>
        <w:spacing w:after="0"/>
        <w:ind w:left="0"/>
        <w:jc w:val="both"/>
      </w:pPr>
      <w:r>
        <w:rPr>
          <w:rFonts w:ascii="Times New Roman"/>
          <w:b w:val="false"/>
          <w:i w:val="false"/>
          <w:color w:val="000000"/>
          <w:sz w:val="28"/>
        </w:rPr>
        <w:t>
      1147. Буксирные гаки до установки на судне подвергаются испытанию пробной нагрузкой, равной удвоенной номинальной тяге на гаке.</w:t>
      </w:r>
    </w:p>
    <w:bookmarkEnd w:id="4106"/>
    <w:bookmarkStart w:name="z4105" w:id="4107"/>
    <w:p>
      <w:pPr>
        <w:spacing w:after="0"/>
        <w:ind w:left="0"/>
        <w:jc w:val="both"/>
      </w:pPr>
      <w:r>
        <w:rPr>
          <w:rFonts w:ascii="Times New Roman"/>
          <w:b w:val="false"/>
          <w:i w:val="false"/>
          <w:color w:val="000000"/>
          <w:sz w:val="28"/>
        </w:rPr>
        <w:t>
      1148. Тросовый стопор и детали его крепления выбирают таким образом, чтобы их разрывная нагрузка была не менее полуторакратной номинальной тяги на гаке.</w:t>
      </w:r>
    </w:p>
    <w:bookmarkEnd w:id="4107"/>
    <w:bookmarkStart w:name="z4106" w:id="4108"/>
    <w:p>
      <w:pPr>
        <w:spacing w:after="0"/>
        <w:ind w:left="0"/>
        <w:jc w:val="both"/>
      </w:pPr>
      <w:r>
        <w:rPr>
          <w:rFonts w:ascii="Times New Roman"/>
          <w:b w:val="false"/>
          <w:i w:val="false"/>
          <w:color w:val="000000"/>
          <w:sz w:val="28"/>
        </w:rPr>
        <w:t>
      1149. При назначении места установки буксирного гака и буксирной лебедки принимают во внимание требования главы 104 настоящих Правил.</w:t>
      </w:r>
    </w:p>
    <w:bookmarkEnd w:id="4108"/>
    <w:bookmarkStart w:name="z4107" w:id="4109"/>
    <w:p>
      <w:pPr>
        <w:spacing w:after="0"/>
        <w:ind w:left="0"/>
        <w:jc w:val="left"/>
      </w:pPr>
      <w:r>
        <w:rPr>
          <w:rFonts w:ascii="Times New Roman"/>
          <w:b/>
          <w:i w:val="false"/>
          <w:color w:val="000000"/>
        </w:rPr>
        <w:t xml:space="preserve"> Параграф 5. Буксирные лебедки</w:t>
      </w:r>
    </w:p>
    <w:bookmarkEnd w:id="4109"/>
    <w:bookmarkStart w:name="z4108" w:id="4110"/>
    <w:p>
      <w:pPr>
        <w:spacing w:after="0"/>
        <w:ind w:left="0"/>
        <w:jc w:val="both"/>
      </w:pPr>
      <w:r>
        <w:rPr>
          <w:rFonts w:ascii="Times New Roman"/>
          <w:b w:val="false"/>
          <w:i w:val="false"/>
          <w:color w:val="000000"/>
          <w:sz w:val="28"/>
        </w:rPr>
        <w:t>
      1150. Требования к конструкции буксирных лебедок приведены в главе 374 настоящих Правил.</w:t>
      </w:r>
    </w:p>
    <w:bookmarkEnd w:id="4110"/>
    <w:bookmarkStart w:name="z4109" w:id="4111"/>
    <w:p>
      <w:pPr>
        <w:spacing w:after="0"/>
        <w:ind w:left="0"/>
        <w:jc w:val="both"/>
      </w:pPr>
      <w:r>
        <w:rPr>
          <w:rFonts w:ascii="Times New Roman"/>
          <w:b w:val="false"/>
          <w:i w:val="false"/>
          <w:color w:val="000000"/>
          <w:sz w:val="28"/>
        </w:rPr>
        <w:t>
      1151. Обеспечивается возможность управления буксирной лебедкой с места у лебедки; рекомендуется обеспечить возможность управления буксирной лебедкой с ходового мостика.</w:t>
      </w:r>
    </w:p>
    <w:bookmarkEnd w:id="4111"/>
    <w:bookmarkStart w:name="z4110" w:id="4112"/>
    <w:p>
      <w:pPr>
        <w:spacing w:after="0"/>
        <w:ind w:left="0"/>
        <w:jc w:val="left"/>
      </w:pPr>
      <w:r>
        <w:rPr>
          <w:rFonts w:ascii="Times New Roman"/>
          <w:b/>
          <w:i w:val="false"/>
          <w:color w:val="000000"/>
        </w:rPr>
        <w:t xml:space="preserve"> Параграф 6. Трос на буксирной лебедке</w:t>
      </w:r>
    </w:p>
    <w:bookmarkEnd w:id="4112"/>
    <w:bookmarkStart w:name="z4111" w:id="4113"/>
    <w:p>
      <w:pPr>
        <w:spacing w:after="0"/>
        <w:ind w:left="0"/>
        <w:jc w:val="both"/>
      </w:pPr>
      <w:r>
        <w:rPr>
          <w:rFonts w:ascii="Times New Roman"/>
          <w:b w:val="false"/>
          <w:i w:val="false"/>
          <w:color w:val="000000"/>
          <w:sz w:val="28"/>
        </w:rPr>
        <w:t>
      1152. Длина троса на буксирной лебедке равна не менее 700 м при эффективной мощности главных двигателей буксира 2200 кВт и более и не менее 500 м при эффективной мощности главных двигателей буксира 1470 кВт или менее. На буксирах, имеющих эффективную мощность главных двигателей от 1470 до 2200 кВт, длина троса на буксирной лебедке определяется линейной интерполяцией.</w:t>
      </w:r>
    </w:p>
    <w:bookmarkEnd w:id="4113"/>
    <w:bookmarkStart w:name="z4112" w:id="4114"/>
    <w:p>
      <w:pPr>
        <w:spacing w:after="0"/>
        <w:ind w:left="0"/>
        <w:jc w:val="both"/>
      </w:pPr>
      <w:r>
        <w:rPr>
          <w:rFonts w:ascii="Times New Roman"/>
          <w:b w:val="false"/>
          <w:i w:val="false"/>
          <w:color w:val="000000"/>
          <w:sz w:val="28"/>
        </w:rPr>
        <w:t>
      1153. Во всем остальном трос на буксирной лебедке соответствует требованиям, изложенным в пункте 1140 настоящих Правил.</w:t>
      </w:r>
    </w:p>
    <w:bookmarkEnd w:id="4114"/>
    <w:bookmarkStart w:name="z4113" w:id="4115"/>
    <w:p>
      <w:pPr>
        <w:spacing w:after="0"/>
        <w:ind w:left="0"/>
        <w:jc w:val="left"/>
      </w:pPr>
      <w:r>
        <w:rPr>
          <w:rFonts w:ascii="Times New Roman"/>
          <w:b/>
          <w:i w:val="false"/>
          <w:color w:val="000000"/>
        </w:rPr>
        <w:t xml:space="preserve"> Параграф 7. Специальное устройство на судах</w:t>
      </w:r>
    </w:p>
    <w:bookmarkEnd w:id="4115"/>
    <w:bookmarkStart w:name="z4114" w:id="4116"/>
    <w:p>
      <w:pPr>
        <w:spacing w:after="0"/>
        <w:ind w:left="0"/>
        <w:jc w:val="both"/>
      </w:pPr>
      <w:r>
        <w:rPr>
          <w:rFonts w:ascii="Times New Roman"/>
          <w:b w:val="false"/>
          <w:i w:val="false"/>
          <w:color w:val="000000"/>
          <w:sz w:val="28"/>
        </w:rPr>
        <w:t>
      1154. Суда, указанные в пункте 1128 настоящих Правил, оборудуют в носу и корме специальным устройством для их аварийной буксировки. Конструкция устройства обеспечивает быстрое развертывание и соединение с буксирующим судном при отсутствии на буксируемом судне энергии.</w:t>
      </w:r>
    </w:p>
    <w:bookmarkEnd w:id="4116"/>
    <w:bookmarkStart w:name="z4115" w:id="4117"/>
    <w:p>
      <w:pPr>
        <w:spacing w:after="0"/>
        <w:ind w:left="0"/>
        <w:jc w:val="both"/>
      </w:pPr>
      <w:r>
        <w:rPr>
          <w:rFonts w:ascii="Times New Roman"/>
          <w:b w:val="false"/>
          <w:i w:val="false"/>
          <w:color w:val="000000"/>
          <w:sz w:val="28"/>
        </w:rPr>
        <w:t>
      1155. Устройство для аварийной буксировки включает элементы согласно приложению 169 настоящих Правил.</w:t>
      </w:r>
    </w:p>
    <w:bookmarkEnd w:id="4117"/>
    <w:bookmarkStart w:name="z4116" w:id="4118"/>
    <w:p>
      <w:pPr>
        <w:spacing w:after="0"/>
        <w:ind w:left="0"/>
        <w:jc w:val="both"/>
      </w:pPr>
      <w:r>
        <w:rPr>
          <w:rFonts w:ascii="Times New Roman"/>
          <w:b w:val="false"/>
          <w:i w:val="false"/>
          <w:color w:val="000000"/>
          <w:sz w:val="28"/>
        </w:rPr>
        <w:t>
      1156. Элементы устройства для аварийной буксировки, указанные в приложении 169 настоящих Правил, за исключением проводника и роульса, рассчитывают на усилие, равное:</w:t>
      </w:r>
    </w:p>
    <w:bookmarkEnd w:id="4118"/>
    <w:bookmarkStart w:name="z4117" w:id="4119"/>
    <w:p>
      <w:pPr>
        <w:spacing w:after="0"/>
        <w:ind w:left="0"/>
        <w:jc w:val="both"/>
      </w:pPr>
      <w:r>
        <w:rPr>
          <w:rFonts w:ascii="Times New Roman"/>
          <w:b w:val="false"/>
          <w:i w:val="false"/>
          <w:color w:val="000000"/>
          <w:sz w:val="28"/>
        </w:rPr>
        <w:t>
      1000 кН — для судов дедвейтом 20000 т и более, но менее 50000 т;</w:t>
      </w:r>
    </w:p>
    <w:bookmarkEnd w:id="4119"/>
    <w:bookmarkStart w:name="z4118" w:id="4120"/>
    <w:p>
      <w:pPr>
        <w:spacing w:after="0"/>
        <w:ind w:left="0"/>
        <w:jc w:val="both"/>
      </w:pPr>
      <w:r>
        <w:rPr>
          <w:rFonts w:ascii="Times New Roman"/>
          <w:b w:val="false"/>
          <w:i w:val="false"/>
          <w:color w:val="000000"/>
          <w:sz w:val="28"/>
        </w:rPr>
        <w:t>
      2000 кН — для судов дедвейтом 50000 т и более.</w:t>
      </w:r>
    </w:p>
    <w:bookmarkEnd w:id="4120"/>
    <w:bookmarkStart w:name="z4119" w:id="4121"/>
    <w:p>
      <w:pPr>
        <w:spacing w:after="0"/>
        <w:ind w:left="0"/>
        <w:jc w:val="both"/>
      </w:pPr>
      <w:r>
        <w:rPr>
          <w:rFonts w:ascii="Times New Roman"/>
          <w:b w:val="false"/>
          <w:i w:val="false"/>
          <w:color w:val="000000"/>
          <w:sz w:val="28"/>
        </w:rPr>
        <w:t>
      При действии указанных усилий напряжения не превышают 0,5 предела прочности.</w:t>
      </w:r>
    </w:p>
    <w:bookmarkEnd w:id="4121"/>
    <w:bookmarkStart w:name="z4120" w:id="4122"/>
    <w:p>
      <w:pPr>
        <w:spacing w:after="0"/>
        <w:ind w:left="0"/>
        <w:jc w:val="both"/>
      </w:pPr>
      <w:r>
        <w:rPr>
          <w:rFonts w:ascii="Times New Roman"/>
          <w:b w:val="false"/>
          <w:i w:val="false"/>
          <w:color w:val="000000"/>
          <w:sz w:val="28"/>
        </w:rPr>
        <w:t>
      Прочность обеспечивается при всех соответствующих углах буксирной линии, вплоть до 90</w:t>
      </w:r>
      <w:r>
        <w:rPr>
          <w:rFonts w:ascii="Times New Roman"/>
          <w:b w:val="false"/>
          <w:i w:val="false"/>
          <w:color w:val="000000"/>
          <w:vertAlign w:val="superscript"/>
        </w:rPr>
        <w:t>о</w:t>
      </w:r>
      <w:r>
        <w:rPr>
          <w:rFonts w:ascii="Times New Roman"/>
          <w:b w:val="false"/>
          <w:i w:val="false"/>
          <w:color w:val="000000"/>
          <w:sz w:val="28"/>
        </w:rPr>
        <w:t xml:space="preserve"> между направлением буксира и диаметральной плоскостью буксируемого судна вправо и влево и 30</w:t>
      </w:r>
      <w:r>
        <w:rPr>
          <w:rFonts w:ascii="Times New Roman"/>
          <w:b w:val="false"/>
          <w:i w:val="false"/>
          <w:color w:val="000000"/>
          <w:vertAlign w:val="superscript"/>
        </w:rPr>
        <w:t>о</w:t>
      </w:r>
      <w:r>
        <w:rPr>
          <w:rFonts w:ascii="Times New Roman"/>
          <w:b w:val="false"/>
          <w:i w:val="false"/>
          <w:color w:val="000000"/>
          <w:sz w:val="28"/>
        </w:rPr>
        <w:t xml:space="preserve"> по вертикали вниз.</w:t>
      </w:r>
    </w:p>
    <w:bookmarkEnd w:id="4122"/>
    <w:bookmarkStart w:name="z4121" w:id="4123"/>
    <w:p>
      <w:pPr>
        <w:spacing w:after="0"/>
        <w:ind w:left="0"/>
        <w:jc w:val="both"/>
      </w:pPr>
      <w:r>
        <w:rPr>
          <w:rFonts w:ascii="Times New Roman"/>
          <w:b w:val="false"/>
          <w:i w:val="false"/>
          <w:color w:val="000000"/>
          <w:sz w:val="28"/>
        </w:rPr>
        <w:t>
      1157. Длина буксирного троса у буксирного клюза, по меньшей мере, в два раза больше высоты надводного борта судна в балласте плюс 50 м. Внешний конец буксирного троса имеет огон с коушем для соединения со стандартной скобой.</w:t>
      </w:r>
    </w:p>
    <w:bookmarkEnd w:id="4123"/>
    <w:bookmarkStart w:name="z4122" w:id="4124"/>
    <w:p>
      <w:pPr>
        <w:spacing w:after="0"/>
        <w:ind w:left="0"/>
        <w:jc w:val="both"/>
      </w:pPr>
      <w:r>
        <w:rPr>
          <w:rFonts w:ascii="Times New Roman"/>
          <w:b w:val="false"/>
          <w:i w:val="false"/>
          <w:color w:val="000000"/>
          <w:sz w:val="28"/>
        </w:rPr>
        <w:t>
      Носовое и кормовое устройства крепления буксира и буксирные клюзы располагают так, чтобы облегчать буксировку с любой стороны носа или кормы и при этом свести к минимуму напряжения в элементах буксирной системы.</w:t>
      </w:r>
    </w:p>
    <w:bookmarkEnd w:id="4124"/>
    <w:bookmarkStart w:name="z4123" w:id="4125"/>
    <w:p>
      <w:pPr>
        <w:spacing w:after="0"/>
        <w:ind w:left="0"/>
        <w:jc w:val="both"/>
      </w:pPr>
      <w:r>
        <w:rPr>
          <w:rFonts w:ascii="Times New Roman"/>
          <w:b w:val="false"/>
          <w:i w:val="false"/>
          <w:color w:val="000000"/>
          <w:sz w:val="28"/>
        </w:rPr>
        <w:t>
      Крепление внутреннего конца буксирной линии осуществляется посредством стопора или бракеты, или иного приспособления эквивалентной прочности. Устройство крепления буксирной линии возможно спроектировать таким образом, чтобы составлять единое целое с буксирным клюзом.</w:t>
      </w:r>
    </w:p>
    <w:bookmarkEnd w:id="4125"/>
    <w:bookmarkStart w:name="z4124" w:id="4126"/>
    <w:p>
      <w:pPr>
        <w:spacing w:after="0"/>
        <w:ind w:left="0"/>
        <w:jc w:val="both"/>
      </w:pPr>
      <w:r>
        <w:rPr>
          <w:rFonts w:ascii="Times New Roman"/>
          <w:b w:val="false"/>
          <w:i w:val="false"/>
          <w:color w:val="000000"/>
          <w:sz w:val="28"/>
        </w:rPr>
        <w:t>
      1158. Размеры буксирных клюзов обеспечивают свободный проход наиболее крупных звеньев цепной вставки, буксирного троса или проводника.</w:t>
      </w:r>
    </w:p>
    <w:bookmarkEnd w:id="4126"/>
    <w:bookmarkStart w:name="z4125" w:id="4127"/>
    <w:p>
      <w:pPr>
        <w:spacing w:after="0"/>
        <w:ind w:left="0"/>
        <w:jc w:val="both"/>
      </w:pPr>
      <w:r>
        <w:rPr>
          <w:rFonts w:ascii="Times New Roman"/>
          <w:b w:val="false"/>
          <w:i w:val="false"/>
          <w:color w:val="000000"/>
          <w:sz w:val="28"/>
        </w:rPr>
        <w:t>
      Буксирные клюзы обеспечивают адекватную поддержку буксирным тросам при буксировке, которая подразумевает отклонение на 90</w:t>
      </w:r>
      <w:r>
        <w:rPr>
          <w:rFonts w:ascii="Times New Roman"/>
          <w:b w:val="false"/>
          <w:i w:val="false"/>
          <w:color w:val="000000"/>
          <w:vertAlign w:val="superscript"/>
        </w:rPr>
        <w:t>о</w:t>
      </w:r>
      <w:r>
        <w:rPr>
          <w:rFonts w:ascii="Times New Roman"/>
          <w:b w:val="false"/>
          <w:i w:val="false"/>
          <w:color w:val="000000"/>
          <w:sz w:val="28"/>
        </w:rPr>
        <w:t xml:space="preserve"> влево и вправо и на 30</w:t>
      </w:r>
      <w:r>
        <w:rPr>
          <w:rFonts w:ascii="Times New Roman"/>
          <w:b w:val="false"/>
          <w:i w:val="false"/>
          <w:color w:val="000000"/>
          <w:vertAlign w:val="superscript"/>
        </w:rPr>
        <w:t>о</w:t>
      </w:r>
      <w:r>
        <w:rPr>
          <w:rFonts w:ascii="Times New Roman"/>
          <w:b w:val="false"/>
          <w:i w:val="false"/>
          <w:color w:val="000000"/>
          <w:sz w:val="28"/>
        </w:rPr>
        <w:t xml:space="preserve"> по вертикали вниз. Отношение диаметра закругления клюза, через который проходит трос, к диаметру буксирного троса не менее чем 7:1.</w:t>
      </w:r>
    </w:p>
    <w:bookmarkEnd w:id="4127"/>
    <w:bookmarkStart w:name="z4126" w:id="4128"/>
    <w:p>
      <w:pPr>
        <w:spacing w:after="0"/>
        <w:ind w:left="0"/>
        <w:jc w:val="both"/>
      </w:pPr>
      <w:r>
        <w:rPr>
          <w:rFonts w:ascii="Times New Roman"/>
          <w:b w:val="false"/>
          <w:i w:val="false"/>
          <w:color w:val="000000"/>
          <w:sz w:val="28"/>
        </w:rPr>
        <w:t>
      Буксирные клюзы располагаются, по возможности, ближе к палубе и в любом случае так, чтобы цепная вставка была примерно параллельна палубе, когда ее часть между устройством крепления буксира и клюзом находится под натяжением.</w:t>
      </w:r>
    </w:p>
    <w:bookmarkEnd w:id="4128"/>
    <w:bookmarkStart w:name="z4127" w:id="4129"/>
    <w:p>
      <w:pPr>
        <w:spacing w:after="0"/>
        <w:ind w:left="0"/>
        <w:jc w:val="both"/>
      </w:pPr>
      <w:r>
        <w:rPr>
          <w:rFonts w:ascii="Times New Roman"/>
          <w:b w:val="false"/>
          <w:i w:val="false"/>
          <w:color w:val="000000"/>
          <w:sz w:val="28"/>
        </w:rPr>
        <w:t>
      1159. Цепное устройство устанавливают в носовой и, в зависимости от конструкции, кормовой оконечности судна. В качестве цепного устройства возможно применить цепную вставку либо другую одобренную Регистром судоходства конструкцию. Цепная вставка представляет собой якорную цепь с распорками.</w:t>
      </w:r>
    </w:p>
    <w:bookmarkEnd w:id="4129"/>
    <w:bookmarkStart w:name="z4128" w:id="4130"/>
    <w:p>
      <w:pPr>
        <w:spacing w:after="0"/>
        <w:ind w:left="0"/>
        <w:jc w:val="both"/>
      </w:pPr>
      <w:r>
        <w:rPr>
          <w:rFonts w:ascii="Times New Roman"/>
          <w:b w:val="false"/>
          <w:i w:val="false"/>
          <w:color w:val="000000"/>
          <w:sz w:val="28"/>
        </w:rPr>
        <w:t>
      Необходимо чтобы длина цепной вставки была достаточной для того, чтобы конец буксирного троса находился с внешней стороны буксирного клюза в течение всей буксировочной операции, для чего внешняя часть цепной вставки, выходящая из клюза, имеет длину не менее 3,0 м.</w:t>
      </w:r>
    </w:p>
    <w:bookmarkEnd w:id="4130"/>
    <w:bookmarkStart w:name="z4129" w:id="4131"/>
    <w:p>
      <w:pPr>
        <w:spacing w:after="0"/>
        <w:ind w:left="0"/>
        <w:jc w:val="both"/>
      </w:pPr>
      <w:r>
        <w:rPr>
          <w:rFonts w:ascii="Times New Roman"/>
          <w:b w:val="false"/>
          <w:i w:val="false"/>
          <w:color w:val="000000"/>
          <w:sz w:val="28"/>
        </w:rPr>
        <w:t>
      1160. Один из концов цепной вставки имеет необходимые детали, обеспечивающие легкое и надежное соединение с устройством крепления буксирного троса на буксируемом судне. Другой ее конец снабжен стандартным звеном (без распорки) грушевидной формы, обеспечивающим соединение со стандартной скобой.</w:t>
      </w:r>
    </w:p>
    <w:bookmarkEnd w:id="4131"/>
    <w:bookmarkStart w:name="z4130" w:id="4132"/>
    <w:p>
      <w:pPr>
        <w:spacing w:after="0"/>
        <w:ind w:left="0"/>
        <w:jc w:val="both"/>
      </w:pPr>
      <w:r>
        <w:rPr>
          <w:rFonts w:ascii="Times New Roman"/>
          <w:b w:val="false"/>
          <w:i w:val="false"/>
          <w:color w:val="000000"/>
          <w:sz w:val="28"/>
        </w:rPr>
        <w:t>
      Цепная вставка хранится на судне так, чтобы ее можно было быстро соединить с устройством крепления буксира.</w:t>
      </w:r>
    </w:p>
    <w:bookmarkEnd w:id="4132"/>
    <w:bookmarkStart w:name="z4131" w:id="4133"/>
    <w:p>
      <w:pPr>
        <w:spacing w:after="0"/>
        <w:ind w:left="0"/>
        <w:jc w:val="both"/>
      </w:pPr>
      <w:r>
        <w:rPr>
          <w:rFonts w:ascii="Times New Roman"/>
          <w:b w:val="false"/>
          <w:i w:val="false"/>
          <w:color w:val="000000"/>
          <w:sz w:val="28"/>
        </w:rPr>
        <w:t>
      1161. Устройство для аварийной буксировки, предварительно проверенное и собранное, обеспечивает приведение его в действие в портовых условиях в течение 15 мин.</w:t>
      </w:r>
    </w:p>
    <w:bookmarkEnd w:id="4133"/>
    <w:bookmarkStart w:name="z4132" w:id="4134"/>
    <w:p>
      <w:pPr>
        <w:spacing w:after="0"/>
        <w:ind w:left="0"/>
        <w:jc w:val="both"/>
      </w:pPr>
      <w:r>
        <w:rPr>
          <w:rFonts w:ascii="Times New Roman"/>
          <w:b w:val="false"/>
          <w:i w:val="false"/>
          <w:color w:val="000000"/>
          <w:sz w:val="28"/>
        </w:rPr>
        <w:t>
      Проводник, предварительно проверенный и собранный, устривают таким образом, чтобы он мог обслуживаться одним человеком вручную, принимая во внимание отсутствие на судне энергии и возможные неблагоприятные погодные условия, преобладающие при аварийных буксировках. Проводник защищают от воздействия погодных и других неблагоприятных условий.</w:t>
      </w:r>
    </w:p>
    <w:bookmarkEnd w:id="4134"/>
    <w:bookmarkStart w:name="z4133" w:id="4135"/>
    <w:p>
      <w:pPr>
        <w:spacing w:after="0"/>
        <w:ind w:left="0"/>
        <w:jc w:val="both"/>
      </w:pPr>
      <w:r>
        <w:rPr>
          <w:rFonts w:ascii="Times New Roman"/>
          <w:b w:val="false"/>
          <w:i w:val="false"/>
          <w:color w:val="000000"/>
          <w:sz w:val="28"/>
        </w:rPr>
        <w:t>
      1162. Устройство для аварийной буксировки, предварительно не проверенное и не собранное, обеспечивает приведение его в действие в портовых условиях в течение одного часа. Для облегчения соединения буксирного троса с цепным устройством и предотвращения перетирания троса используют соответствующим образом расположенный роульс.</w:t>
      </w:r>
    </w:p>
    <w:bookmarkEnd w:id="4135"/>
    <w:bookmarkStart w:name="z4134" w:id="4136"/>
    <w:p>
      <w:pPr>
        <w:spacing w:after="0"/>
        <w:ind w:left="0"/>
        <w:jc w:val="both"/>
      </w:pPr>
      <w:r>
        <w:rPr>
          <w:rFonts w:ascii="Times New Roman"/>
          <w:b w:val="false"/>
          <w:i w:val="false"/>
          <w:color w:val="000000"/>
          <w:sz w:val="28"/>
        </w:rPr>
        <w:t>
      Допускается применение предварительно проверенного и собранного устройства для аварийной буксировки на обеих оконечностях судна.</w:t>
      </w:r>
    </w:p>
    <w:bookmarkEnd w:id="4136"/>
    <w:bookmarkStart w:name="z4135" w:id="4137"/>
    <w:p>
      <w:pPr>
        <w:spacing w:after="0"/>
        <w:ind w:left="0"/>
        <w:jc w:val="both"/>
      </w:pPr>
      <w:r>
        <w:rPr>
          <w:rFonts w:ascii="Times New Roman"/>
          <w:b w:val="false"/>
          <w:i w:val="false"/>
          <w:color w:val="000000"/>
          <w:sz w:val="28"/>
        </w:rPr>
        <w:t>
      Типовое устройство для аварийной буксировки показано приложении 170 настоящих Правил.</w:t>
      </w:r>
    </w:p>
    <w:bookmarkEnd w:id="4137"/>
    <w:bookmarkStart w:name="z4136" w:id="4138"/>
    <w:p>
      <w:pPr>
        <w:spacing w:after="0"/>
        <w:ind w:left="0"/>
        <w:jc w:val="both"/>
      </w:pPr>
      <w:r>
        <w:rPr>
          <w:rFonts w:ascii="Times New Roman"/>
          <w:b w:val="false"/>
          <w:i w:val="false"/>
          <w:color w:val="000000"/>
          <w:sz w:val="28"/>
        </w:rPr>
        <w:t>
      1163. Все устройства аварийной буксировки имеют четкую маркировку, облегчающую безопасное и эффективное их использование в темное время суток и при плохой видимости.</w:t>
      </w:r>
    </w:p>
    <w:bookmarkEnd w:id="4138"/>
    <w:bookmarkStart w:name="z4137" w:id="4139"/>
    <w:p>
      <w:pPr>
        <w:spacing w:after="0"/>
        <w:ind w:left="0"/>
        <w:jc w:val="left"/>
      </w:pPr>
      <w:r>
        <w:rPr>
          <w:rFonts w:ascii="Times New Roman"/>
          <w:b/>
          <w:i w:val="false"/>
          <w:color w:val="000000"/>
        </w:rPr>
        <w:t xml:space="preserve"> Глава 65. Сигнальные мачты</w:t>
      </w:r>
    </w:p>
    <w:bookmarkEnd w:id="4139"/>
    <w:p>
      <w:pPr>
        <w:spacing w:after="0"/>
        <w:ind w:left="0"/>
        <w:jc w:val="both"/>
      </w:pPr>
      <w:r>
        <w:rPr>
          <w:rFonts w:ascii="Times New Roman"/>
          <w:b w:val="false"/>
          <w:i w:val="false"/>
          <w:color w:val="ff0000"/>
          <w:sz w:val="28"/>
        </w:rPr>
        <w:t xml:space="preserve">
      Сноска. Заголовок главы 65 -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38" w:id="4140"/>
    <w:p>
      <w:pPr>
        <w:spacing w:after="0"/>
        <w:ind w:left="0"/>
        <w:jc w:val="left"/>
      </w:pPr>
      <w:r>
        <w:rPr>
          <w:rFonts w:ascii="Times New Roman"/>
          <w:b/>
          <w:i w:val="false"/>
          <w:color w:val="000000"/>
        </w:rPr>
        <w:t xml:space="preserve"> Параграф 1. Общие положения</w:t>
      </w:r>
    </w:p>
    <w:bookmarkEnd w:id="4140"/>
    <w:bookmarkStart w:name="z4139" w:id="4141"/>
    <w:p>
      <w:pPr>
        <w:spacing w:after="0"/>
        <w:ind w:left="0"/>
        <w:jc w:val="both"/>
      </w:pPr>
      <w:r>
        <w:rPr>
          <w:rFonts w:ascii="Times New Roman"/>
          <w:b w:val="false"/>
          <w:i w:val="false"/>
          <w:color w:val="000000"/>
          <w:sz w:val="28"/>
        </w:rPr>
        <w:t xml:space="preserve">
      1164. Требования, изложенные в настоящем разделе, относятся только к сигнальным мачтам, то есть к таким, которые предназначены лишь для несения сигнальных средств: огней, дневных сигналов, антенн. Если кроме сигнальных средств мачты или их части несут на себе грузовые стрелы или другие грузоподъемные устройства, то эти мачты или их части должны отвечать требованиям </w:t>
      </w:r>
      <w:r>
        <w:rPr>
          <w:rFonts w:ascii="Times New Roman"/>
          <w:b w:val="false"/>
          <w:i w:val="false"/>
          <w:color w:val="000000"/>
          <w:sz w:val="28"/>
        </w:rPr>
        <w:t xml:space="preserve"> Правил</w:t>
      </w:r>
      <w:r>
        <w:rPr>
          <w:rFonts w:ascii="Times New Roman"/>
          <w:b w:val="false"/>
          <w:i w:val="false"/>
          <w:color w:val="000000"/>
          <w:sz w:val="28"/>
        </w:rPr>
        <w:t xml:space="preserve"> по грузоподъемным устройствам морских судов, утвержденных приказом Министра транспорта и коммуникаций Республики Казахстан от 21 апреля 2011 года № 215 (зарегистрированный в Реестре государственной регистрации нормативных правовых актов за № 6873).</w:t>
      </w:r>
    </w:p>
    <w:bookmarkEnd w:id="4141"/>
    <w:bookmarkStart w:name="z4140" w:id="4142"/>
    <w:p>
      <w:pPr>
        <w:spacing w:after="0"/>
        <w:ind w:left="0"/>
        <w:jc w:val="both"/>
      </w:pPr>
      <w:r>
        <w:rPr>
          <w:rFonts w:ascii="Times New Roman"/>
          <w:b w:val="false"/>
          <w:i w:val="false"/>
          <w:color w:val="000000"/>
          <w:sz w:val="28"/>
        </w:rPr>
        <w:t>
      Требования, изложенные в параграфах 2-4 настоящего пункта, не распространяются на стоечные суда. Сигнальные мачты стоечных судов обеспечивают возможность несения предписанных сигнальных средств.</w:t>
      </w:r>
    </w:p>
    <w:bookmarkEnd w:id="4142"/>
    <w:bookmarkStart w:name="z4141" w:id="4143"/>
    <w:p>
      <w:pPr>
        <w:spacing w:after="0"/>
        <w:ind w:left="0"/>
        <w:jc w:val="both"/>
      </w:pPr>
      <w:r>
        <w:rPr>
          <w:rFonts w:ascii="Times New Roman"/>
          <w:b w:val="false"/>
          <w:i w:val="false"/>
          <w:color w:val="000000"/>
          <w:sz w:val="28"/>
        </w:rPr>
        <w:t>
      1165. Необходимо чтобы расположение, высота и насыщение сигнальными средствами сигнальных мачт отвечали требованиям Регистра судоходства.</w:t>
      </w:r>
    </w:p>
    <w:bookmarkEnd w:id="4143"/>
    <w:bookmarkStart w:name="z4142" w:id="4144"/>
    <w:p>
      <w:pPr>
        <w:spacing w:after="0"/>
        <w:ind w:left="0"/>
        <w:jc w:val="both"/>
      </w:pPr>
      <w:r>
        <w:rPr>
          <w:rFonts w:ascii="Times New Roman"/>
          <w:b w:val="false"/>
          <w:i w:val="false"/>
          <w:color w:val="000000"/>
          <w:sz w:val="28"/>
        </w:rPr>
        <w:t>
      1166. Если на судах ограниченных районов плавания R2-RSN и R3-RSN сигнальные мачты устраиваются заваливающимися, то для операций с ними устанавливают специальные механизмы либо предусматривается соответствующая проводка от других палубных механизмов. Привод механизма бывает ручным, если сам механизм является самотормозящимся, а усилие на рукоятке в любой момент заваливания или подъема мачты не превышает 160Н.</w:t>
      </w:r>
    </w:p>
    <w:bookmarkEnd w:id="4144"/>
    <w:bookmarkStart w:name="z4143" w:id="4145"/>
    <w:p>
      <w:pPr>
        <w:spacing w:after="0"/>
        <w:ind w:left="0"/>
        <w:jc w:val="left"/>
      </w:pPr>
      <w:r>
        <w:rPr>
          <w:rFonts w:ascii="Times New Roman"/>
          <w:b/>
          <w:i w:val="false"/>
          <w:color w:val="000000"/>
        </w:rPr>
        <w:t xml:space="preserve"> Параграф 2. Мачты, раскрепленные стоячим такелажем</w:t>
      </w:r>
    </w:p>
    <w:bookmarkEnd w:id="4145"/>
    <w:bookmarkStart w:name="z4144" w:id="4146"/>
    <w:p>
      <w:pPr>
        <w:spacing w:after="0"/>
        <w:ind w:left="0"/>
        <w:jc w:val="both"/>
      </w:pPr>
      <w:r>
        <w:rPr>
          <w:rFonts w:ascii="Times New Roman"/>
          <w:b w:val="false"/>
          <w:i w:val="false"/>
          <w:color w:val="000000"/>
          <w:sz w:val="28"/>
        </w:rPr>
        <w:t xml:space="preserve">
      1167. Наружный диаметр </w:t>
      </w:r>
      <w:r>
        <w:rPr>
          <w:rFonts w:ascii="Times New Roman"/>
          <w:b w:val="false"/>
          <w:i/>
          <w:color w:val="000000"/>
          <w:sz w:val="28"/>
        </w:rPr>
        <w:t>d</w:t>
      </w:r>
      <w:r>
        <w:rPr>
          <w:rFonts w:ascii="Times New Roman"/>
          <w:b w:val="false"/>
          <w:i w:val="false"/>
          <w:color w:val="000000"/>
          <w:sz w:val="28"/>
        </w:rPr>
        <w:t xml:space="preserve"> и толщина стенки </w:t>
      </w:r>
      <w:r>
        <w:rPr>
          <w:rFonts w:ascii="Times New Roman"/>
          <w:b w:val="false"/>
          <w:i/>
          <w:color w:val="000000"/>
          <w:sz w:val="28"/>
        </w:rPr>
        <w:t>t</w:t>
      </w:r>
      <w:r>
        <w:rPr>
          <w:rFonts w:ascii="Times New Roman"/>
          <w:b w:val="false"/>
          <w:i w:val="false"/>
          <w:color w:val="000000"/>
          <w:sz w:val="28"/>
        </w:rPr>
        <w:t xml:space="preserve"> у основания мачт, мм, изготовленных из стали с верхним пределом текучести от 215 до 255 МПа, раскрепленных с каждого борта двумя вантами, не менее:</w:t>
      </w:r>
    </w:p>
    <w:bookmarkEnd w:id="414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22l,                          (535)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0,2 </w:t>
      </w:r>
      <w:r>
        <w:rPr>
          <w:rFonts w:ascii="Times New Roman"/>
          <w:b w:val="false"/>
          <w:i/>
          <w:color w:val="000000"/>
          <w:sz w:val="28"/>
        </w:rPr>
        <w:t>l</w:t>
      </w:r>
      <w:r>
        <w:rPr>
          <w:rFonts w:ascii="Times New Roman"/>
          <w:b w:val="false"/>
          <w:i w:val="false"/>
          <w:color w:val="000000"/>
          <w:sz w:val="28"/>
        </w:rPr>
        <w:t xml:space="preserve"> + 3,                     (536)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мачты от основания до места закрепления вант, м.</w:t>
      </w:r>
    </w:p>
    <w:bookmarkStart w:name="z4145" w:id="4147"/>
    <w:p>
      <w:pPr>
        <w:spacing w:after="0"/>
        <w:ind w:left="0"/>
        <w:jc w:val="both"/>
      </w:pPr>
      <w:r>
        <w:rPr>
          <w:rFonts w:ascii="Times New Roman"/>
          <w:b w:val="false"/>
          <w:i w:val="false"/>
          <w:color w:val="000000"/>
          <w:sz w:val="28"/>
        </w:rPr>
        <w:t xml:space="preserve">
      При сохранении толщины стенки по всей длине </w:t>
      </w:r>
      <w:r>
        <w:rPr>
          <w:rFonts w:ascii="Times New Roman"/>
          <w:b w:val="false"/>
          <w:i/>
          <w:color w:val="000000"/>
          <w:sz w:val="28"/>
        </w:rPr>
        <w:t>l</w:t>
      </w:r>
      <w:r>
        <w:rPr>
          <w:rFonts w:ascii="Times New Roman"/>
          <w:b w:val="false"/>
          <w:i w:val="false"/>
          <w:color w:val="000000"/>
          <w:sz w:val="28"/>
        </w:rPr>
        <w:t xml:space="preserve"> диаметр мачты возможно постепенно уменьшать кверху, достигая у места закрепления вант значения 0,75d. Длина мачты от места закрепления вант до топа равна не более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w:t>
      </w:r>
    </w:p>
    <w:bookmarkEnd w:id="4147"/>
    <w:bookmarkStart w:name="z4146" w:id="4148"/>
    <w:p>
      <w:pPr>
        <w:spacing w:after="0"/>
        <w:ind w:left="0"/>
        <w:jc w:val="both"/>
      </w:pPr>
      <w:r>
        <w:rPr>
          <w:rFonts w:ascii="Times New Roman"/>
          <w:b w:val="false"/>
          <w:i w:val="false"/>
          <w:color w:val="000000"/>
          <w:sz w:val="28"/>
        </w:rPr>
        <w:t>
      Раскрепление мачты вантами следующим:</w:t>
      </w:r>
    </w:p>
    <w:bookmarkEnd w:id="4148"/>
    <w:p>
      <w:pPr>
        <w:spacing w:after="0"/>
        <w:ind w:left="0"/>
        <w:jc w:val="both"/>
      </w:pPr>
      <w:r>
        <w:rPr>
          <w:rFonts w:ascii="Times New Roman"/>
          <w:b w:val="false"/>
          <w:i w:val="false"/>
          <w:color w:val="000000"/>
          <w:sz w:val="28"/>
        </w:rPr>
        <w:t xml:space="preserve">
      1) расстояние </w:t>
      </w:r>
      <w:r>
        <w:rPr>
          <w:rFonts w:ascii="Times New Roman"/>
          <w:b w:val="false"/>
          <w:i/>
          <w:color w:val="000000"/>
          <w:sz w:val="28"/>
        </w:rPr>
        <w:t>а</w:t>
      </w:r>
      <w:r>
        <w:rPr>
          <w:rFonts w:ascii="Times New Roman"/>
          <w:b w:val="false"/>
          <w:i w:val="false"/>
          <w:color w:val="000000"/>
          <w:sz w:val="28"/>
        </w:rPr>
        <w:t>, м, точки крепления нижнего конца ванты от поперечной плоскости, проходящей через точку крепления ванты к мачте, не менее: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0,15</w:t>
      </w:r>
      <w:r>
        <w:rPr>
          <w:rFonts w:ascii="Times New Roman"/>
          <w:b w:val="false"/>
          <w:i/>
          <w:color w:val="000000"/>
          <w:sz w:val="28"/>
        </w:rPr>
        <w:t>h</w:t>
      </w:r>
      <w:r>
        <w:rPr>
          <w:rFonts w:ascii="Times New Roman"/>
          <w:b w:val="false"/>
          <w:i w:val="false"/>
          <w:color w:val="000000"/>
          <w:sz w:val="28"/>
        </w:rPr>
        <w:t>,                        (537)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высота точки крепления ванты к мачте над точкой крепления нижнего конца этой ванты, м;</w:t>
      </w:r>
    </w:p>
    <w:bookmarkStart w:name="z4147" w:id="4149"/>
    <w:p>
      <w:pPr>
        <w:spacing w:after="0"/>
        <w:ind w:left="0"/>
        <w:jc w:val="both"/>
      </w:pPr>
      <w:r>
        <w:rPr>
          <w:rFonts w:ascii="Times New Roman"/>
          <w:b w:val="false"/>
          <w:i w:val="false"/>
          <w:color w:val="000000"/>
          <w:sz w:val="28"/>
        </w:rPr>
        <w:t xml:space="preserve">
      2) расстояние </w:t>
      </w:r>
      <w:r>
        <w:rPr>
          <w:rFonts w:ascii="Times New Roman"/>
          <w:b w:val="false"/>
          <w:i/>
          <w:color w:val="000000"/>
          <w:sz w:val="28"/>
        </w:rPr>
        <w:t>b</w:t>
      </w:r>
      <w:r>
        <w:rPr>
          <w:rFonts w:ascii="Times New Roman"/>
          <w:b w:val="false"/>
          <w:i w:val="false"/>
          <w:color w:val="000000"/>
          <w:sz w:val="28"/>
        </w:rPr>
        <w:t>, м, точки крепления нижнего конца ванты от продольной плоскости, проходящей через точку крепления ванты к мачте, не менее:</w:t>
      </w:r>
    </w:p>
    <w:bookmarkEnd w:id="414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0,30</w:t>
      </w:r>
      <w:r>
        <w:rPr>
          <w:rFonts w:ascii="Times New Roman"/>
          <w:b w:val="false"/>
          <w:i/>
          <w:color w:val="000000"/>
          <w:sz w:val="28"/>
        </w:rPr>
        <w:t>h</w:t>
      </w:r>
      <w:r>
        <w:rPr>
          <w:rFonts w:ascii="Times New Roman"/>
          <w:b w:val="false"/>
          <w:i w:val="false"/>
          <w:color w:val="000000"/>
          <w:sz w:val="28"/>
        </w:rPr>
        <w:t>,                        (538)</w:t>
      </w:r>
    </w:p>
    <w:bookmarkStart w:name="z4148" w:id="4150"/>
    <w:p>
      <w:pPr>
        <w:spacing w:after="0"/>
        <w:ind w:left="0"/>
        <w:jc w:val="both"/>
      </w:pPr>
      <w:r>
        <w:rPr>
          <w:rFonts w:ascii="Times New Roman"/>
          <w:b w:val="false"/>
          <w:i w:val="false"/>
          <w:color w:val="000000"/>
          <w:sz w:val="28"/>
        </w:rPr>
        <w:t xml:space="preserve">
      3) расстояние </w:t>
      </w:r>
      <w:r>
        <w:rPr>
          <w:rFonts w:ascii="Times New Roman"/>
          <w:b w:val="false"/>
          <w:i/>
          <w:color w:val="000000"/>
          <w:sz w:val="28"/>
        </w:rPr>
        <w:t>а</w:t>
      </w:r>
      <w:r>
        <w:rPr>
          <w:rFonts w:ascii="Times New Roman"/>
          <w:b w:val="false"/>
          <w:i w:val="false"/>
          <w:color w:val="000000"/>
          <w:sz w:val="28"/>
        </w:rPr>
        <w:t xml:space="preserve"> не больше </w:t>
      </w:r>
      <w:r>
        <w:rPr>
          <w:rFonts w:ascii="Times New Roman"/>
          <w:b w:val="false"/>
          <w:i/>
          <w:color w:val="000000"/>
          <w:sz w:val="28"/>
        </w:rPr>
        <w:t>b</w:t>
      </w:r>
      <w:r>
        <w:rPr>
          <w:rFonts w:ascii="Times New Roman"/>
          <w:b w:val="false"/>
          <w:i w:val="false"/>
          <w:color w:val="000000"/>
          <w:sz w:val="28"/>
        </w:rPr>
        <w:t>.</w:t>
      </w:r>
    </w:p>
    <w:bookmarkEnd w:id="4150"/>
    <w:bookmarkStart w:name="z4149" w:id="4151"/>
    <w:p>
      <w:pPr>
        <w:spacing w:after="0"/>
        <w:ind w:left="0"/>
        <w:jc w:val="both"/>
      </w:pPr>
      <w:r>
        <w:rPr>
          <w:rFonts w:ascii="Times New Roman"/>
          <w:b w:val="false"/>
          <w:i w:val="false"/>
          <w:color w:val="000000"/>
          <w:sz w:val="28"/>
        </w:rPr>
        <w:t xml:space="preserve">
      1168. Разрывное усилие тросов в целом </w:t>
      </w:r>
      <w:r>
        <w:rPr>
          <w:rFonts w:ascii="Times New Roman"/>
          <w:b w:val="false"/>
          <w:i/>
          <w:color w:val="000000"/>
          <w:sz w:val="28"/>
        </w:rPr>
        <w:t>F</w:t>
      </w:r>
      <w:r>
        <w:rPr>
          <w:rFonts w:ascii="Times New Roman"/>
          <w:b w:val="false"/>
          <w:i w:val="false"/>
          <w:color w:val="000000"/>
          <w:sz w:val="28"/>
        </w:rPr>
        <w:t>, кН, для вант, раскрепляющих мачту, как указано в пункте 1167 настоящих Правил, не менее:</w:t>
      </w:r>
    </w:p>
    <w:bookmarkEnd w:id="415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0,49(</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+10</w:t>
      </w:r>
      <w:r>
        <w:rPr>
          <w:rFonts w:ascii="Times New Roman"/>
          <w:b w:val="false"/>
          <w:i/>
          <w:color w:val="000000"/>
          <w:sz w:val="28"/>
        </w:rPr>
        <w:t>l</w:t>
      </w:r>
      <w:r>
        <w:rPr>
          <w:rFonts w:ascii="Times New Roman"/>
          <w:b w:val="false"/>
          <w:i w:val="false"/>
          <w:color w:val="000000"/>
          <w:sz w:val="28"/>
        </w:rPr>
        <w:t xml:space="preserve"> + 25),                    (539)</w:t>
      </w:r>
    </w:p>
    <w:bookmarkStart w:name="z4150" w:id="4152"/>
    <w:p>
      <w:pPr>
        <w:spacing w:after="0"/>
        <w:ind w:left="0"/>
        <w:jc w:val="both"/>
      </w:pPr>
      <w:r>
        <w:rPr>
          <w:rFonts w:ascii="Times New Roman"/>
          <w:b w:val="false"/>
          <w:i w:val="false"/>
          <w:color w:val="000000"/>
          <w:sz w:val="28"/>
        </w:rPr>
        <w:t>
      Во всем остальном тросы для вант отвечают требованиям главы 613 настоящих Правил.</w:t>
      </w:r>
    </w:p>
    <w:bookmarkEnd w:id="4152"/>
    <w:bookmarkStart w:name="z4151" w:id="4153"/>
    <w:p>
      <w:pPr>
        <w:spacing w:after="0"/>
        <w:ind w:left="0"/>
        <w:jc w:val="both"/>
      </w:pPr>
      <w:r>
        <w:rPr>
          <w:rFonts w:ascii="Times New Roman"/>
          <w:b w:val="false"/>
          <w:i w:val="false"/>
          <w:color w:val="000000"/>
          <w:sz w:val="28"/>
        </w:rPr>
        <w:t>
      Съемные детали вант (скобы, талрепы) выбирают таким образом, чтобы их допускаемая нагрузка была бы не менее 0,25 разывного усилия в целом тросов, указанных выше.</w:t>
      </w:r>
    </w:p>
    <w:bookmarkEnd w:id="4153"/>
    <w:bookmarkStart w:name="z4152" w:id="4154"/>
    <w:p>
      <w:pPr>
        <w:spacing w:after="0"/>
        <w:ind w:left="0"/>
        <w:jc w:val="both"/>
      </w:pPr>
      <w:r>
        <w:rPr>
          <w:rFonts w:ascii="Times New Roman"/>
          <w:b w:val="false"/>
          <w:i w:val="false"/>
          <w:color w:val="000000"/>
          <w:sz w:val="28"/>
        </w:rPr>
        <w:t>
      1169. В случаях:</w:t>
      </w:r>
    </w:p>
    <w:bookmarkEnd w:id="4154"/>
    <w:bookmarkStart w:name="z4153" w:id="4155"/>
    <w:p>
      <w:pPr>
        <w:spacing w:after="0"/>
        <w:ind w:left="0"/>
        <w:jc w:val="both"/>
      </w:pPr>
      <w:r>
        <w:rPr>
          <w:rFonts w:ascii="Times New Roman"/>
          <w:b w:val="false"/>
          <w:i w:val="false"/>
          <w:color w:val="000000"/>
          <w:sz w:val="28"/>
        </w:rPr>
        <w:t>
      1) изготовления мачты из стали повышенной прочности, легких сплавов, стеклопластика или дерева (дерево должно быть 1-го сорта);</w:t>
      </w:r>
    </w:p>
    <w:bookmarkEnd w:id="4155"/>
    <w:bookmarkStart w:name="z4154" w:id="4156"/>
    <w:p>
      <w:pPr>
        <w:spacing w:after="0"/>
        <w:ind w:left="0"/>
        <w:jc w:val="both"/>
      </w:pPr>
      <w:r>
        <w:rPr>
          <w:rFonts w:ascii="Times New Roman"/>
          <w:b w:val="false"/>
          <w:i w:val="false"/>
          <w:color w:val="000000"/>
          <w:sz w:val="28"/>
        </w:rPr>
        <w:t>
      2) раскрепления мачты стоячим такелажем иначе, чем указано в пункте 1167 настоящих Правил;</w:t>
      </w:r>
    </w:p>
    <w:bookmarkEnd w:id="4156"/>
    <w:bookmarkStart w:name="z4155" w:id="4157"/>
    <w:p>
      <w:pPr>
        <w:spacing w:after="0"/>
        <w:ind w:left="0"/>
        <w:jc w:val="both"/>
      </w:pPr>
      <w:r>
        <w:rPr>
          <w:rFonts w:ascii="Times New Roman"/>
          <w:b w:val="false"/>
          <w:i w:val="false"/>
          <w:color w:val="000000"/>
          <w:sz w:val="28"/>
        </w:rPr>
        <w:t>
      3) установки на мачте, кроме реи, огней и дневных сигналов, также другого оборудования, при этом значительного по массе, например, радиолокационных антенн с площадками для их обслуживания, "вороньих гнезд", следует поступать, как указано в параграфе 4 настоящей главы.</w:t>
      </w:r>
    </w:p>
    <w:bookmarkEnd w:id="4157"/>
    <w:bookmarkStart w:name="z4156" w:id="4158"/>
    <w:p>
      <w:pPr>
        <w:spacing w:after="0"/>
        <w:ind w:left="0"/>
        <w:jc w:val="both"/>
      </w:pPr>
      <w:r>
        <w:rPr>
          <w:rFonts w:ascii="Times New Roman"/>
          <w:b w:val="false"/>
          <w:i w:val="false"/>
          <w:color w:val="000000"/>
          <w:sz w:val="28"/>
        </w:rPr>
        <w:t>
      1170. Проволоки тросов стоячего такелажа имеют цинковое покрытие в соответствии с признанными стандартами.</w:t>
      </w:r>
    </w:p>
    <w:bookmarkEnd w:id="4158"/>
    <w:bookmarkStart w:name="z4157" w:id="4159"/>
    <w:p>
      <w:pPr>
        <w:spacing w:after="0"/>
        <w:ind w:left="0"/>
        <w:jc w:val="left"/>
      </w:pPr>
      <w:r>
        <w:rPr>
          <w:rFonts w:ascii="Times New Roman"/>
          <w:b/>
          <w:i w:val="false"/>
          <w:color w:val="000000"/>
        </w:rPr>
        <w:t xml:space="preserve"> Параграф 3. Мачты, не раскрепленные стоячим такелажем</w:t>
      </w:r>
    </w:p>
    <w:bookmarkEnd w:id="4159"/>
    <w:bookmarkStart w:name="z4158" w:id="4160"/>
    <w:p>
      <w:pPr>
        <w:spacing w:after="0"/>
        <w:ind w:left="0"/>
        <w:jc w:val="both"/>
      </w:pPr>
      <w:r>
        <w:rPr>
          <w:rFonts w:ascii="Times New Roman"/>
          <w:b w:val="false"/>
          <w:i w:val="false"/>
          <w:color w:val="000000"/>
          <w:sz w:val="28"/>
        </w:rPr>
        <w:t xml:space="preserve">
      1171. Наружный диаметр </w:t>
      </w:r>
      <w:r>
        <w:rPr>
          <w:rFonts w:ascii="Times New Roman"/>
          <w:b w:val="false"/>
          <w:i/>
          <w:color w:val="000000"/>
          <w:sz w:val="28"/>
        </w:rPr>
        <w:t>d</w:t>
      </w:r>
      <w:r>
        <w:rPr>
          <w:rFonts w:ascii="Times New Roman"/>
          <w:b w:val="false"/>
          <w:i w:val="false"/>
          <w:color w:val="000000"/>
          <w:sz w:val="28"/>
        </w:rPr>
        <w:t xml:space="preserve"> и толщина стенки </w:t>
      </w:r>
      <w:r>
        <w:rPr>
          <w:rFonts w:ascii="Times New Roman"/>
          <w:b w:val="false"/>
          <w:i/>
          <w:color w:val="000000"/>
          <w:sz w:val="28"/>
        </w:rPr>
        <w:t>t</w:t>
      </w:r>
      <w:r>
        <w:rPr>
          <w:rFonts w:ascii="Times New Roman"/>
          <w:b w:val="false"/>
          <w:i w:val="false"/>
          <w:color w:val="000000"/>
          <w:sz w:val="28"/>
        </w:rPr>
        <w:t>, мм, у основания мачт, изготовленных из стали с верхним пределом текучести от 215 до 255 МПа, не менее:</w:t>
      </w:r>
    </w:p>
    <w:bookmarkEnd w:id="4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9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54991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 = </w:t>
      </w:r>
    </w:p>
    <w:p>
      <w:pPr>
        <w:spacing w:after="0"/>
        <w:ind w:left="0"/>
        <w:jc w:val="both"/>
      </w:pPr>
      <w:r>
        <w:drawing>
          <wp:inline distT="0" distB="0" distL="0" distR="0">
            <wp:extent cx="50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508000" cy="673100"/>
                    </a:xfrm>
                    <a:prstGeom prst="rect">
                      <a:avLst/>
                    </a:prstGeom>
                  </pic:spPr>
                </pic:pic>
              </a:graphicData>
            </a:graphic>
          </wp:inline>
        </w:drawing>
      </w:r>
    </w:p>
    <w:p>
      <w:pPr>
        <w:spacing w:after="0"/>
        <w:ind w:left="0"/>
        <w:jc w:val="left"/>
      </w:pPr>
      <w:r>
        <w:rPr>
          <w:rFonts w:ascii="Times New Roman"/>
          <w:b w:val="false"/>
          <w:i w:val="false"/>
          <w:color w:val="000000"/>
          <w:sz w:val="28"/>
        </w:rPr>
        <w:t>,                               (541)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мачты от основания до топа,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возвышение основания мачты над центром тяжести судна, м.</w:t>
      </w:r>
    </w:p>
    <w:bookmarkStart w:name="z4159" w:id="4161"/>
    <w:p>
      <w:pPr>
        <w:spacing w:after="0"/>
        <w:ind w:left="0"/>
        <w:jc w:val="both"/>
      </w:pPr>
      <w:r>
        <w:rPr>
          <w:rFonts w:ascii="Times New Roman"/>
          <w:b w:val="false"/>
          <w:i w:val="false"/>
          <w:color w:val="000000"/>
          <w:sz w:val="28"/>
        </w:rPr>
        <w:t>
      Наружный диаметр мачты постепенно уменьшается кверху, достигая на расстоянии 0,75</w:t>
      </w:r>
      <w:r>
        <w:rPr>
          <w:rFonts w:ascii="Times New Roman"/>
          <w:b w:val="false"/>
          <w:i/>
          <w:color w:val="000000"/>
          <w:sz w:val="28"/>
        </w:rPr>
        <w:t>l</w:t>
      </w:r>
      <w:r>
        <w:rPr>
          <w:rFonts w:ascii="Times New Roman"/>
          <w:b w:val="false"/>
          <w:i w:val="false"/>
          <w:color w:val="000000"/>
          <w:sz w:val="28"/>
        </w:rPr>
        <w:t xml:space="preserve"> от основания 0,5</w:t>
      </w:r>
      <w:r>
        <w:rPr>
          <w:rFonts w:ascii="Times New Roman"/>
          <w:b w:val="false"/>
          <w:i/>
          <w:color w:val="000000"/>
          <w:sz w:val="28"/>
        </w:rPr>
        <w:t>d</w:t>
      </w:r>
      <w:r>
        <w:rPr>
          <w:rFonts w:ascii="Times New Roman"/>
          <w:b w:val="false"/>
          <w:i w:val="false"/>
          <w:color w:val="000000"/>
          <w:sz w:val="28"/>
        </w:rPr>
        <w:t>.</w:t>
      </w:r>
    </w:p>
    <w:bookmarkEnd w:id="4161"/>
    <w:bookmarkStart w:name="z4160" w:id="4162"/>
    <w:p>
      <w:pPr>
        <w:spacing w:after="0"/>
        <w:ind w:left="0"/>
        <w:jc w:val="both"/>
      </w:pPr>
      <w:r>
        <w:rPr>
          <w:rFonts w:ascii="Times New Roman"/>
          <w:b w:val="false"/>
          <w:i w:val="false"/>
          <w:color w:val="000000"/>
          <w:sz w:val="28"/>
        </w:rPr>
        <w:t>
      Толщина стенки мачты в любом случае не менее 4 мм.</w:t>
      </w:r>
    </w:p>
    <w:bookmarkEnd w:id="4162"/>
    <w:bookmarkStart w:name="z4161" w:id="4163"/>
    <w:p>
      <w:pPr>
        <w:spacing w:after="0"/>
        <w:ind w:left="0"/>
        <w:jc w:val="both"/>
      </w:pPr>
      <w:r>
        <w:rPr>
          <w:rFonts w:ascii="Times New Roman"/>
          <w:b w:val="false"/>
          <w:i w:val="false"/>
          <w:color w:val="000000"/>
          <w:sz w:val="28"/>
        </w:rPr>
        <w:t>
      Закрепление мачт у основания соответствует жесткой заделке во всех направлениях.</w:t>
      </w:r>
    </w:p>
    <w:bookmarkEnd w:id="4163"/>
    <w:bookmarkStart w:name="z4162" w:id="4164"/>
    <w:p>
      <w:pPr>
        <w:spacing w:after="0"/>
        <w:ind w:left="0"/>
        <w:jc w:val="both"/>
      </w:pPr>
      <w:r>
        <w:rPr>
          <w:rFonts w:ascii="Times New Roman"/>
          <w:b w:val="false"/>
          <w:i w:val="false"/>
          <w:color w:val="000000"/>
          <w:sz w:val="28"/>
        </w:rPr>
        <w:t>
      1172. В случаях:</w:t>
      </w:r>
    </w:p>
    <w:bookmarkEnd w:id="4164"/>
    <w:bookmarkStart w:name="z4163" w:id="4165"/>
    <w:p>
      <w:pPr>
        <w:spacing w:after="0"/>
        <w:ind w:left="0"/>
        <w:jc w:val="both"/>
      </w:pPr>
      <w:r>
        <w:rPr>
          <w:rFonts w:ascii="Times New Roman"/>
          <w:b w:val="false"/>
          <w:i w:val="false"/>
          <w:color w:val="000000"/>
          <w:sz w:val="28"/>
        </w:rPr>
        <w:t>
      1) изготовления мачты из стали повышенной прочности, легких сплавов, стеклопластика или дерева (дерево должно быть 1-го сорта);</w:t>
      </w:r>
    </w:p>
    <w:bookmarkEnd w:id="4165"/>
    <w:bookmarkStart w:name="z4164" w:id="4166"/>
    <w:p>
      <w:pPr>
        <w:spacing w:after="0"/>
        <w:ind w:left="0"/>
        <w:jc w:val="both"/>
      </w:pPr>
      <w:r>
        <w:rPr>
          <w:rFonts w:ascii="Times New Roman"/>
          <w:b w:val="false"/>
          <w:i w:val="false"/>
          <w:color w:val="000000"/>
          <w:sz w:val="28"/>
        </w:rPr>
        <w:t>
      2) установки на мачте, кроме реи, огней и дневных сигналов, также другого оборудования, особенно значительного по массе, например, радиолокационных антенн с площадками для их обслуживания, "вороньих гнезд" следует поступать, как указано в параграфе 4 настоящей главы Правил.</w:t>
      </w:r>
    </w:p>
    <w:bookmarkEnd w:id="4166"/>
    <w:bookmarkStart w:name="z4165" w:id="4167"/>
    <w:p>
      <w:pPr>
        <w:spacing w:after="0"/>
        <w:ind w:left="0"/>
        <w:jc w:val="left"/>
      </w:pPr>
      <w:r>
        <w:rPr>
          <w:rFonts w:ascii="Times New Roman"/>
          <w:b/>
          <w:i w:val="false"/>
          <w:color w:val="000000"/>
        </w:rPr>
        <w:t xml:space="preserve"> Параграф 4. Мачты особой конструкции</w:t>
      </w:r>
    </w:p>
    <w:bookmarkEnd w:id="4167"/>
    <w:bookmarkStart w:name="z4166" w:id="4168"/>
    <w:p>
      <w:pPr>
        <w:spacing w:after="0"/>
        <w:ind w:left="0"/>
        <w:jc w:val="both"/>
      </w:pPr>
      <w:r>
        <w:rPr>
          <w:rFonts w:ascii="Times New Roman"/>
          <w:b w:val="false"/>
          <w:i w:val="false"/>
          <w:color w:val="000000"/>
          <w:sz w:val="28"/>
        </w:rPr>
        <w:t>
      1173. В случаях, указанных в пунктах 1169 и 1172 настоящих Правил, а также при установке двуногих, трехногих и других подобных мачт производят подробный расчет прочности этих мачт. Этот расчет представляют на рассмотрение Регистру судоходства.</w:t>
      </w:r>
    </w:p>
    <w:bookmarkEnd w:id="4168"/>
    <w:bookmarkStart w:name="z4167" w:id="4169"/>
    <w:p>
      <w:pPr>
        <w:spacing w:after="0"/>
        <w:ind w:left="0"/>
        <w:jc w:val="both"/>
      </w:pPr>
      <w:r>
        <w:rPr>
          <w:rFonts w:ascii="Times New Roman"/>
          <w:b w:val="false"/>
          <w:i w:val="false"/>
          <w:color w:val="000000"/>
          <w:sz w:val="28"/>
        </w:rPr>
        <w:t xml:space="preserve">
      1174. Расчет исходит из того, что на каждый элемент мачты действует горизонтальная сила </w:t>
      </w:r>
      <w:r>
        <w:rPr>
          <w:rFonts w:ascii="Times New Roman"/>
          <w:b w:val="false"/>
          <w:i/>
          <w:color w:val="000000"/>
          <w:sz w:val="28"/>
        </w:rPr>
        <w:t>F</w:t>
      </w:r>
      <w:r>
        <w:rPr>
          <w:rFonts w:ascii="Times New Roman"/>
          <w:b w:val="false"/>
          <w:i w:val="false"/>
          <w:color w:val="000000"/>
          <w:vertAlign w:val="subscript"/>
        </w:rPr>
        <w:t>i</w:t>
      </w:r>
      <w:r>
        <w:rPr>
          <w:rFonts w:ascii="Times New Roman"/>
          <w:b w:val="false"/>
          <w:i w:val="false"/>
          <w:color w:val="000000"/>
          <w:sz w:val="28"/>
        </w:rPr>
        <w:t>, кН, определяемая по формуле:</w:t>
      </w:r>
    </w:p>
    <w:bookmarkEnd w:id="4169"/>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4813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48133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i</w:t>
      </w:r>
      <w:r>
        <w:rPr>
          <w:rFonts w:ascii="Times New Roman"/>
          <w:b w:val="false"/>
          <w:i w:val="false"/>
          <w:color w:val="000000"/>
          <w:sz w:val="28"/>
        </w:rPr>
        <w:t xml:space="preserve"> — масса элемента,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 возвышение центра тяжести элемента над центром тяжести судна,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площадь парусности элемента,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период свободных колебаний судна, 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w:t>
      </w:r>
      <w:r>
        <w:rPr>
          <w:rFonts w:ascii="Times New Roman"/>
          <w:b w:val="false"/>
          <w:i w:val="false"/>
          <w:color w:val="000000"/>
          <w:sz w:val="28"/>
        </w:rPr>
        <w:t xml:space="preserve"> — амплитуда качки судна, рад;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полувысота волны,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ускорение силы тяжести, равное 9,81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удельное давление ветра 1960 Па.</w:t>
      </w:r>
    </w:p>
    <w:bookmarkStart w:name="z4168" w:id="4170"/>
    <w:p>
      <w:pPr>
        <w:spacing w:after="0"/>
        <w:ind w:left="0"/>
        <w:jc w:val="both"/>
      </w:pPr>
      <w:r>
        <w:rPr>
          <w:rFonts w:ascii="Times New Roman"/>
          <w:b w:val="false"/>
          <w:i w:val="false"/>
          <w:color w:val="000000"/>
          <w:sz w:val="28"/>
        </w:rPr>
        <w:t xml:space="preserve">
      Расчет произведят как при бортовой, так и при килевой качке; при этом </w:t>
      </w:r>
      <w:r>
        <w:rPr>
          <w:rFonts w:ascii="Times New Roman"/>
          <w:b w:val="false"/>
          <w:i/>
          <w:color w:val="000000"/>
          <w:sz w:val="28"/>
        </w:rPr>
        <w:t>r</w:t>
      </w:r>
      <w:r>
        <w:rPr>
          <w:rFonts w:ascii="Times New Roman"/>
          <w:b w:val="false"/>
          <w:i w:val="false"/>
          <w:color w:val="000000"/>
          <w:sz w:val="28"/>
        </w:rPr>
        <w:t xml:space="preserve"> следует принимать равной </w:t>
      </w:r>
      <w:r>
        <w:rPr>
          <w:rFonts w:ascii="Times New Roman"/>
          <w:b w:val="false"/>
          <w:i/>
          <w:color w:val="000000"/>
          <w:sz w:val="28"/>
        </w:rPr>
        <w:t>L</w:t>
      </w:r>
      <w:r>
        <w:rPr>
          <w:rFonts w:ascii="Times New Roman"/>
          <w:b w:val="false"/>
          <w:i w:val="false"/>
          <w:color w:val="000000"/>
          <w:sz w:val="28"/>
        </w:rPr>
        <w:t xml:space="preserve">/40 (где </w:t>
      </w:r>
      <w:r>
        <w:rPr>
          <w:rFonts w:ascii="Times New Roman"/>
          <w:b w:val="false"/>
          <w:i/>
          <w:color w:val="000000"/>
          <w:sz w:val="28"/>
        </w:rPr>
        <w:t>L</w:t>
      </w:r>
      <w:r>
        <w:rPr>
          <w:rFonts w:ascii="Times New Roman"/>
          <w:b w:val="false"/>
          <w:i w:val="false"/>
          <w:color w:val="000000"/>
          <w:sz w:val="28"/>
        </w:rPr>
        <w:t xml:space="preserve"> — длина судна, м), а Ө (в рад) — соответствующей углу 40</w:t>
      </w:r>
      <w:r>
        <w:rPr>
          <w:rFonts w:ascii="Times New Roman"/>
          <w:b w:val="false"/>
          <w:i w:val="false"/>
          <w:color w:val="000000"/>
          <w:vertAlign w:val="superscript"/>
        </w:rPr>
        <w:t>о</w:t>
      </w:r>
      <w:r>
        <w:rPr>
          <w:rFonts w:ascii="Times New Roman"/>
          <w:b w:val="false"/>
          <w:i w:val="false"/>
          <w:color w:val="000000"/>
          <w:sz w:val="28"/>
        </w:rPr>
        <w:t xml:space="preserve"> при бортовой качке и 5</w:t>
      </w:r>
      <w:r>
        <w:rPr>
          <w:rFonts w:ascii="Times New Roman"/>
          <w:b w:val="false"/>
          <w:i w:val="false"/>
          <w:color w:val="000000"/>
          <w:vertAlign w:val="superscript"/>
        </w:rPr>
        <w:t>о</w:t>
      </w:r>
      <w:r>
        <w:rPr>
          <w:rFonts w:ascii="Times New Roman"/>
          <w:b w:val="false"/>
          <w:i w:val="false"/>
          <w:color w:val="000000"/>
          <w:sz w:val="28"/>
        </w:rPr>
        <w:t xml:space="preserve"> — при килевой.</w:t>
      </w:r>
    </w:p>
    <w:bookmarkEnd w:id="4170"/>
    <w:bookmarkStart w:name="z4169" w:id="4171"/>
    <w:p>
      <w:pPr>
        <w:spacing w:after="0"/>
        <w:ind w:left="0"/>
        <w:jc w:val="both"/>
      </w:pPr>
      <w:r>
        <w:rPr>
          <w:rFonts w:ascii="Times New Roman"/>
          <w:b w:val="false"/>
          <w:i w:val="false"/>
          <w:color w:val="000000"/>
          <w:sz w:val="28"/>
        </w:rPr>
        <w:t>
      1175. При действии нагрузок, указанных в пункте 1174 настоящих Правил, напряжения в элементах конструкций мачты не превышает 0,7 верхнего предела текучести их материала, если они изготовлены из металла, и 12 МПа, если они изготовлены из дерева. При тех же нагрузках запас прочности тросов стоячего такелажа равен не менее 3.</w:t>
      </w:r>
    </w:p>
    <w:bookmarkEnd w:id="4171"/>
    <w:bookmarkStart w:name="z4170" w:id="4172"/>
    <w:p>
      <w:pPr>
        <w:spacing w:after="0"/>
        <w:ind w:left="0"/>
        <w:jc w:val="both"/>
      </w:pPr>
      <w:r>
        <w:rPr>
          <w:rFonts w:ascii="Times New Roman"/>
          <w:b w:val="false"/>
          <w:i w:val="false"/>
          <w:color w:val="000000"/>
          <w:sz w:val="28"/>
        </w:rPr>
        <w:t>
      Для мачты из стеклопластика при действии нагрузок, указанных в пункте 1174 настоящих Правил, напряжения в элементах конструкции мачты не превышают допускаемых напряжений, указанных в приложении 821 настоящих Правил, для случая кратковременного действия нагрузки для соответствующего вида деформации.</w:t>
      </w:r>
    </w:p>
    <w:bookmarkEnd w:id="4172"/>
    <w:bookmarkStart w:name="z4171" w:id="4173"/>
    <w:p>
      <w:pPr>
        <w:spacing w:after="0"/>
        <w:ind w:left="0"/>
        <w:jc w:val="left"/>
      </w:pPr>
      <w:r>
        <w:rPr>
          <w:rFonts w:ascii="Times New Roman"/>
          <w:b/>
          <w:i w:val="false"/>
          <w:color w:val="000000"/>
        </w:rPr>
        <w:t xml:space="preserve"> Подраздел 4. Устройство и закрытие отверстий в корпусе,</w:t>
      </w:r>
      <w:r>
        <w:br/>
      </w:r>
      <w:r>
        <w:rPr>
          <w:rFonts w:ascii="Times New Roman"/>
          <w:b/>
          <w:i w:val="false"/>
          <w:color w:val="000000"/>
        </w:rPr>
        <w:t>надстройках и рубках</w:t>
      </w:r>
      <w:r>
        <w:br/>
      </w:r>
      <w:r>
        <w:rPr>
          <w:rFonts w:ascii="Times New Roman"/>
          <w:b/>
          <w:i w:val="false"/>
          <w:color w:val="000000"/>
        </w:rPr>
        <w:t>Глава 66. Общие положения</w:t>
      </w:r>
    </w:p>
    <w:bookmarkEnd w:id="4173"/>
    <w:p>
      <w:pPr>
        <w:spacing w:after="0"/>
        <w:ind w:left="0"/>
        <w:jc w:val="both"/>
      </w:pPr>
      <w:r>
        <w:rPr>
          <w:rFonts w:ascii="Times New Roman"/>
          <w:b w:val="false"/>
          <w:i w:val="false"/>
          <w:color w:val="ff0000"/>
          <w:sz w:val="28"/>
        </w:rPr>
        <w:t xml:space="preserve">
      Сноска. Заголовок главы 66 -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73" w:id="4174"/>
    <w:p>
      <w:pPr>
        <w:spacing w:after="0"/>
        <w:ind w:left="0"/>
        <w:jc w:val="both"/>
      </w:pPr>
      <w:r>
        <w:rPr>
          <w:rFonts w:ascii="Times New Roman"/>
          <w:b w:val="false"/>
          <w:i w:val="false"/>
          <w:color w:val="000000"/>
          <w:sz w:val="28"/>
        </w:rPr>
        <w:t>
      1176. Требования настоящего раздела распространяются на суда неограниченного района плавания, а также на суда ограниченных районов плавания Rl, R2, R2-RSN и R3-RSN, совершающие международные рейсы. Требования к судам ограниченных районов плавания Rl, R2, R2-RSN и R3-RSN, не совершающим международных рейсов, а также к судам ограниченного района плавания R3 возможно ослабить. При этом степень ослабления, кроме особо оговоренного, является в каждом случае предметом специального рассмотрения Регистром судоходства.</w:t>
      </w:r>
    </w:p>
    <w:bookmarkEnd w:id="4174"/>
    <w:bookmarkStart w:name="z4174" w:id="4175"/>
    <w:p>
      <w:pPr>
        <w:spacing w:after="0"/>
        <w:ind w:left="0"/>
        <w:jc w:val="both"/>
      </w:pPr>
      <w:r>
        <w:rPr>
          <w:rFonts w:ascii="Times New Roman"/>
          <w:b w:val="false"/>
          <w:i w:val="false"/>
          <w:color w:val="000000"/>
          <w:sz w:val="28"/>
        </w:rPr>
        <w:t>
      1177. Требования настоящего раздела применяются к судам, которым назначен минимальный надводный борт. Отступления от этих требований разрешают для тех судов, надводный борт которым назначен больше минимального, при условии, что предусмотренные меры безопасности соответствуют требованиям Регистра судоходства.</w:t>
      </w:r>
    </w:p>
    <w:bookmarkEnd w:id="4175"/>
    <w:bookmarkStart w:name="z4175" w:id="4176"/>
    <w:p>
      <w:pPr>
        <w:spacing w:after="0"/>
        <w:ind w:left="0"/>
        <w:jc w:val="both"/>
      </w:pPr>
      <w:r>
        <w:rPr>
          <w:rFonts w:ascii="Times New Roman"/>
          <w:b w:val="false"/>
          <w:i w:val="false"/>
          <w:color w:val="000000"/>
          <w:sz w:val="28"/>
        </w:rPr>
        <w:t>
      1178. При устройстве и закрытии отверстий в корпусе и надстройках учитывают также требования разделов 8 и 13 настоящих Правил.</w:t>
      </w:r>
    </w:p>
    <w:bookmarkEnd w:id="4176"/>
    <w:bookmarkStart w:name="z4176" w:id="4177"/>
    <w:p>
      <w:pPr>
        <w:spacing w:after="0"/>
        <w:ind w:left="0"/>
        <w:jc w:val="both"/>
      </w:pPr>
      <w:r>
        <w:rPr>
          <w:rFonts w:ascii="Times New Roman"/>
          <w:b w:val="false"/>
          <w:i w:val="false"/>
          <w:color w:val="000000"/>
          <w:sz w:val="28"/>
        </w:rPr>
        <w:t>
      1179. В отношении палубных отверстий в настоящем разделе различаются следующие районы их расположения:</w:t>
      </w:r>
    </w:p>
    <w:bookmarkEnd w:id="4177"/>
    <w:bookmarkStart w:name="z4177" w:id="4178"/>
    <w:p>
      <w:pPr>
        <w:spacing w:after="0"/>
        <w:ind w:left="0"/>
        <w:jc w:val="both"/>
      </w:pPr>
      <w:r>
        <w:rPr>
          <w:rFonts w:ascii="Times New Roman"/>
          <w:b w:val="false"/>
          <w:i w:val="false"/>
          <w:color w:val="000000"/>
          <w:sz w:val="28"/>
        </w:rPr>
        <w:t>
      1) Район 1:</w:t>
      </w:r>
    </w:p>
    <w:bookmarkEnd w:id="4178"/>
    <w:bookmarkStart w:name="z4178" w:id="4179"/>
    <w:p>
      <w:pPr>
        <w:spacing w:after="0"/>
        <w:ind w:left="0"/>
        <w:jc w:val="both"/>
      </w:pPr>
      <w:r>
        <w:rPr>
          <w:rFonts w:ascii="Times New Roman"/>
          <w:b w:val="false"/>
          <w:i w:val="false"/>
          <w:color w:val="000000"/>
          <w:sz w:val="28"/>
        </w:rPr>
        <w:t>
      открытые участки палуб:</w:t>
      </w:r>
    </w:p>
    <w:bookmarkEnd w:id="4179"/>
    <w:bookmarkStart w:name="z4179" w:id="4180"/>
    <w:p>
      <w:pPr>
        <w:spacing w:after="0"/>
        <w:ind w:left="0"/>
        <w:jc w:val="both"/>
      </w:pPr>
      <w:r>
        <w:rPr>
          <w:rFonts w:ascii="Times New Roman"/>
          <w:b w:val="false"/>
          <w:i w:val="false"/>
          <w:color w:val="000000"/>
          <w:sz w:val="28"/>
        </w:rPr>
        <w:t>
      надводного борта;</w:t>
      </w:r>
    </w:p>
    <w:bookmarkEnd w:id="4180"/>
    <w:bookmarkStart w:name="z4180" w:id="4181"/>
    <w:p>
      <w:pPr>
        <w:spacing w:after="0"/>
        <w:ind w:left="0"/>
        <w:jc w:val="both"/>
      </w:pPr>
      <w:r>
        <w:rPr>
          <w:rFonts w:ascii="Times New Roman"/>
          <w:b w:val="false"/>
          <w:i w:val="false"/>
          <w:color w:val="000000"/>
          <w:sz w:val="28"/>
        </w:rPr>
        <w:t>
      возвышенного квартердека;</w:t>
      </w:r>
    </w:p>
    <w:bookmarkEnd w:id="4181"/>
    <w:bookmarkStart w:name="z4181" w:id="4182"/>
    <w:p>
      <w:pPr>
        <w:spacing w:after="0"/>
        <w:ind w:left="0"/>
        <w:jc w:val="both"/>
      </w:pPr>
      <w:r>
        <w:rPr>
          <w:rFonts w:ascii="Times New Roman"/>
          <w:b w:val="false"/>
          <w:i w:val="false"/>
          <w:color w:val="000000"/>
          <w:sz w:val="28"/>
        </w:rPr>
        <w:t xml:space="preserve">
      первого яруса надстроек и рубок на 0,25 длины судна </w:t>
      </w:r>
      <w:r>
        <w:rPr>
          <w:rFonts w:ascii="Times New Roman"/>
          <w:b w:val="false"/>
          <w:i/>
          <w:color w:val="000000"/>
          <w:sz w:val="28"/>
        </w:rPr>
        <w:t>L</w:t>
      </w:r>
      <w:r>
        <w:rPr>
          <w:rFonts w:ascii="Times New Roman"/>
          <w:b w:val="false"/>
          <w:i w:val="false"/>
          <w:color w:val="000000"/>
          <w:sz w:val="28"/>
        </w:rPr>
        <w:t xml:space="preserve"> от носового перпендикуляра;</w:t>
      </w:r>
    </w:p>
    <w:bookmarkEnd w:id="4182"/>
    <w:bookmarkStart w:name="z4182" w:id="4183"/>
    <w:p>
      <w:pPr>
        <w:spacing w:after="0"/>
        <w:ind w:left="0"/>
        <w:jc w:val="both"/>
      </w:pPr>
      <w:r>
        <w:rPr>
          <w:rFonts w:ascii="Times New Roman"/>
          <w:b w:val="false"/>
          <w:i w:val="false"/>
          <w:color w:val="000000"/>
          <w:sz w:val="28"/>
        </w:rPr>
        <w:t>
      те же участки внутри надстроек и рубок, не являющихся закрытыми.</w:t>
      </w:r>
    </w:p>
    <w:bookmarkEnd w:id="4183"/>
    <w:bookmarkStart w:name="z4183" w:id="4184"/>
    <w:p>
      <w:pPr>
        <w:spacing w:after="0"/>
        <w:ind w:left="0"/>
        <w:jc w:val="both"/>
      </w:pPr>
      <w:r>
        <w:rPr>
          <w:rFonts w:ascii="Times New Roman"/>
          <w:b w:val="false"/>
          <w:i w:val="false"/>
          <w:color w:val="000000"/>
          <w:sz w:val="28"/>
        </w:rPr>
        <w:t>
      2) Район 2:</w:t>
      </w:r>
    </w:p>
    <w:bookmarkEnd w:id="4184"/>
    <w:bookmarkStart w:name="z4184" w:id="4185"/>
    <w:p>
      <w:pPr>
        <w:spacing w:after="0"/>
        <w:ind w:left="0"/>
        <w:jc w:val="both"/>
      </w:pPr>
      <w:r>
        <w:rPr>
          <w:rFonts w:ascii="Times New Roman"/>
          <w:b w:val="false"/>
          <w:i w:val="false"/>
          <w:color w:val="000000"/>
          <w:sz w:val="28"/>
        </w:rPr>
        <w:t xml:space="preserve">
      открытые участки палубы первого яруса надстроек и рубок, за исключением расположенных на 0,25 длины судна </w:t>
      </w:r>
      <w:r>
        <w:rPr>
          <w:rFonts w:ascii="Times New Roman"/>
          <w:b w:val="false"/>
          <w:i/>
          <w:color w:val="000000"/>
          <w:sz w:val="28"/>
        </w:rPr>
        <w:t>L</w:t>
      </w:r>
      <w:r>
        <w:rPr>
          <w:rFonts w:ascii="Times New Roman"/>
          <w:b w:val="false"/>
          <w:i w:val="false"/>
          <w:color w:val="000000"/>
          <w:sz w:val="28"/>
        </w:rPr>
        <w:t xml:space="preserve"> от носового перпендикуляра;</w:t>
      </w:r>
    </w:p>
    <w:bookmarkEnd w:id="4185"/>
    <w:bookmarkStart w:name="z4185" w:id="4186"/>
    <w:p>
      <w:pPr>
        <w:spacing w:after="0"/>
        <w:ind w:left="0"/>
        <w:jc w:val="both"/>
      </w:pPr>
      <w:r>
        <w:rPr>
          <w:rFonts w:ascii="Times New Roman"/>
          <w:b w:val="false"/>
          <w:i w:val="false"/>
          <w:color w:val="000000"/>
          <w:sz w:val="28"/>
        </w:rPr>
        <w:t>
      те же участки внутри надстроек и рубок второго яруса, не являющихся закрытыми, с тем же исключением.</w:t>
      </w:r>
    </w:p>
    <w:bookmarkEnd w:id="4186"/>
    <w:bookmarkStart w:name="z4186" w:id="4187"/>
    <w:p>
      <w:pPr>
        <w:spacing w:after="0"/>
        <w:ind w:left="0"/>
        <w:jc w:val="both"/>
      </w:pPr>
      <w:r>
        <w:rPr>
          <w:rFonts w:ascii="Times New Roman"/>
          <w:b w:val="false"/>
          <w:i w:val="false"/>
          <w:color w:val="000000"/>
          <w:sz w:val="28"/>
        </w:rPr>
        <w:t>
      1180. Высота комингсов, указанная в настоящем разделе, измеряется от верхней кромки стального настила, а при наличии деревянного или другого настила — от верхней кромки этого настила.</w:t>
      </w:r>
    </w:p>
    <w:bookmarkEnd w:id="4187"/>
    <w:bookmarkStart w:name="z4187" w:id="4188"/>
    <w:p>
      <w:pPr>
        <w:spacing w:after="0"/>
        <w:ind w:left="0"/>
        <w:jc w:val="both"/>
      </w:pPr>
      <w:r>
        <w:rPr>
          <w:rFonts w:ascii="Times New Roman"/>
          <w:b w:val="false"/>
          <w:i w:val="false"/>
          <w:color w:val="000000"/>
          <w:sz w:val="28"/>
        </w:rPr>
        <w:t>
      1181. На судах обеспечения доступ в помещения, расположенные под открытой грузовой палубой, предпочтительно предусматривать с места, расположенного внутри закрытой надстройки или рубки, или с места, расположенного над палубой надстройки или рубки. Возможность устройства сходных или других люков на открытой грузовой палубе, ведущих в помещения, расположенные под этой палубой, является в каждом случае предметом специального рассмотрения Регистром судоходства, с учетом степени защищенности таких люков от возможных повреждений во время грузовых операций и объемов помещений, затапливаемых в случае повреждения люка.</w:t>
      </w:r>
    </w:p>
    <w:bookmarkEnd w:id="4188"/>
    <w:bookmarkStart w:name="z4188" w:id="4189"/>
    <w:p>
      <w:pPr>
        <w:spacing w:after="0"/>
        <w:ind w:left="0"/>
        <w:jc w:val="both"/>
      </w:pPr>
      <w:r>
        <w:rPr>
          <w:rFonts w:ascii="Times New Roman"/>
          <w:b w:val="false"/>
          <w:i w:val="false"/>
          <w:color w:val="000000"/>
          <w:sz w:val="28"/>
        </w:rPr>
        <w:t>
      1182. Требования настоящего подраздела для плавучих доков распространяются на устройство и закрытие отверстий, расположенных выше предельной линии погружения при доковании. Устройство и закрытие отверстий, расположенных ниже предельной линии погружения при доковании, является предметом специального рассмотрения Регистром судоходства.</w:t>
      </w:r>
    </w:p>
    <w:bookmarkEnd w:id="4189"/>
    <w:bookmarkStart w:name="z4189" w:id="4190"/>
    <w:p>
      <w:pPr>
        <w:spacing w:after="0"/>
        <w:ind w:left="0"/>
        <w:jc w:val="both"/>
      </w:pPr>
      <w:r>
        <w:rPr>
          <w:rFonts w:ascii="Times New Roman"/>
          <w:b w:val="false"/>
          <w:i w:val="false"/>
          <w:color w:val="000000"/>
          <w:sz w:val="28"/>
        </w:rPr>
        <w:t>
      1183. На наплавных судах, независимо от указаний глав 69-72 настоящих Правил, не допускается устройство отверстий для дверей, сходных, световых, вентиляционных и других люков в бортах и граничных переборках трюмов, нижняя кромка которых располагается ниже предельной линии погружения при доковании, за исключением случаев, когда эти отверстия ведут в водонепроницаемое помещение ограниченного объема, не сообщающееся с другими помещениями ниже уровня предельной линии погружения при доковании.</w:t>
      </w:r>
    </w:p>
    <w:bookmarkEnd w:id="4190"/>
    <w:bookmarkStart w:name="z4190" w:id="4191"/>
    <w:p>
      <w:pPr>
        <w:spacing w:after="0"/>
        <w:ind w:left="0"/>
        <w:jc w:val="both"/>
      </w:pPr>
      <w:r>
        <w:rPr>
          <w:rFonts w:ascii="Times New Roman"/>
          <w:b w:val="false"/>
          <w:i w:val="false"/>
          <w:color w:val="000000"/>
          <w:sz w:val="28"/>
        </w:rPr>
        <w:t>
      1184. Двери и люки, устанавливаемые в бортах и граничных переборках трюмов наплавных судов, нижние кромки которых расположены выше предельной линии погружения при доковании менее чем на 600 мм или 0,05 отстояния отверстия от диаметральной плоскости, смотря по тому, что больше, должны оборудоваться световыми сигнальными средствами, индикаторы которых должны устанавливаться в посту управления доковыми операциями судна. Световые индикаторы указывают, в каком положении находятся лацпорт, дверь или люк (задраено или открыто).</w:t>
      </w:r>
    </w:p>
    <w:bookmarkEnd w:id="4191"/>
    <w:bookmarkStart w:name="z4191" w:id="4192"/>
    <w:p>
      <w:pPr>
        <w:spacing w:after="0"/>
        <w:ind w:left="0"/>
        <w:jc w:val="both"/>
      </w:pPr>
      <w:r>
        <w:rPr>
          <w:rFonts w:ascii="Times New Roman"/>
          <w:b w:val="false"/>
          <w:i w:val="false"/>
          <w:color w:val="000000"/>
          <w:sz w:val="28"/>
        </w:rPr>
        <w:t>
      1185. Указанные в пункте 1184 настоящих Правил световые сигнальные средства возможно не предусматривать для дверей и люков, ведущих в водонепроницаемое помещение ограниченного объема, не сообщающееся с другими помещениями ниже уровня, который на 600 мм или 0,05 отстояния отверстия от диаметральной плоскости, смотря по тому, что больше, выше предельной линии погружения при доковании.</w:t>
      </w:r>
    </w:p>
    <w:bookmarkEnd w:id="4192"/>
    <w:bookmarkStart w:name="z4192" w:id="4193"/>
    <w:p>
      <w:pPr>
        <w:spacing w:after="0"/>
        <w:ind w:left="0"/>
        <w:jc w:val="both"/>
      </w:pPr>
      <w:r>
        <w:rPr>
          <w:rFonts w:ascii="Times New Roman"/>
          <w:b w:val="false"/>
          <w:i w:val="false"/>
          <w:color w:val="000000"/>
          <w:sz w:val="28"/>
        </w:rPr>
        <w:t>
      1186. На грузовых судах, к которым предъявляются требования раздела 7 настоящих Правил, обеспечивается водонепроницаемость переборок и внутренних палуб, в которых предусмотрены отверстия, предназначенные для прохода трубопроводов, вентиляции, электрических кабелей. Если в таких переборках и внутренних палубах предусмотрены отверстия для доступа, то они снабжаются обычно закрытыми в море водонепроницаемыми дверями и люковыми закрытиями. Такие двери и люковые закрытия оборудуют средствами индикации, расположенными в непосредственной близости от них и на мостике, показывающими, открыты или закрыты двери или люковые закрытия. С каждой стороны двери и люкового закрытия имеется надпись, указывающая, что они не должны оставаться открытыми.</w:t>
      </w:r>
    </w:p>
    <w:bookmarkEnd w:id="4193"/>
    <w:bookmarkStart w:name="z4193" w:id="4194"/>
    <w:p>
      <w:pPr>
        <w:spacing w:after="0"/>
        <w:ind w:left="0"/>
        <w:jc w:val="both"/>
      </w:pPr>
      <w:r>
        <w:rPr>
          <w:rFonts w:ascii="Times New Roman"/>
          <w:b w:val="false"/>
          <w:i w:val="false"/>
          <w:color w:val="000000"/>
          <w:sz w:val="28"/>
        </w:rPr>
        <w:t>
      1187. На судах, указанных в пункте 1186 настоящих Правил, все внешние отверстия, по расположению не отвечающие требованиям главы 125 настоящих Правил, снабжают водонепроницаемыми средствами закрытия, обладающими достаточной прочностью и, за исключением закрытий грузовых трюмов, оборудоваться индикацией на мостике.</w:t>
      </w:r>
    </w:p>
    <w:bookmarkEnd w:id="4194"/>
    <w:p>
      <w:pPr>
        <w:spacing w:after="0"/>
        <w:ind w:left="0"/>
        <w:jc w:val="both"/>
      </w:pPr>
      <w:r>
        <w:rPr>
          <w:rFonts w:ascii="Times New Roman"/>
          <w:b w:val="false"/>
          <w:i w:val="false"/>
          <w:color w:val="000000"/>
          <w:sz w:val="28"/>
        </w:rPr>
        <w:t>
      Водонепроницаемые закрытия отверстий в наружной обшивке, расположенные ниже палубы переборок, остаются постоянно закрытыми в море и имеют устройства, предотвращающие их неконтролируемое открывание. Такие средства закрытия имеют прикрепленную табличку с надписью о том, что отверстию необходимо быть постоянно закрытым в море.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5" w:id="4195"/>
    <w:p>
      <w:pPr>
        <w:spacing w:after="0"/>
        <w:ind w:left="0"/>
        <w:jc w:val="both"/>
      </w:pPr>
      <w:r>
        <w:rPr>
          <w:rFonts w:ascii="Times New Roman"/>
          <w:b w:val="false"/>
          <w:i w:val="false"/>
          <w:color w:val="000000"/>
          <w:sz w:val="28"/>
        </w:rPr>
        <w:t>
      1188. На сухогрузных судах, не подпадающих под действие пунктов 1186 и 1187 настоящих Правил, для всех дверей скользящего или навесного типа в водонепроницаемых переборках предусматривают индикаторы на ходовом мостике, показывающие, открыты или закрыты такие двери. Аналогичной индикацией снабжают двери в наружной обшивке и другие закрытия отверстий, которые, будучи оставленными открытыми или плохо задраенными, приводят к общему затоплению судна.</w:t>
      </w:r>
    </w:p>
    <w:bookmarkEnd w:id="4195"/>
    <w:bookmarkStart w:name="z4196" w:id="4196"/>
    <w:p>
      <w:pPr>
        <w:spacing w:after="0"/>
        <w:ind w:left="0"/>
        <w:jc w:val="both"/>
      </w:pPr>
      <w:r>
        <w:rPr>
          <w:rFonts w:ascii="Times New Roman"/>
          <w:b w:val="false"/>
          <w:i w:val="false"/>
          <w:color w:val="000000"/>
          <w:sz w:val="28"/>
        </w:rPr>
        <w:t>
      1189. Требования, изложенные в настоящем подразделе Правил, не применяются к стоечным судам. Для стоечных судов необходимо обеспечить следующее:</w:t>
      </w:r>
    </w:p>
    <w:bookmarkEnd w:id="4196"/>
    <w:bookmarkStart w:name="z4197" w:id="4197"/>
    <w:p>
      <w:pPr>
        <w:spacing w:after="0"/>
        <w:ind w:left="0"/>
        <w:jc w:val="both"/>
      </w:pPr>
      <w:r>
        <w:rPr>
          <w:rFonts w:ascii="Times New Roman"/>
          <w:b w:val="false"/>
          <w:i w:val="false"/>
          <w:color w:val="000000"/>
          <w:sz w:val="28"/>
        </w:rPr>
        <w:t>
      1) высота комингсов отверстий сходных, световых, вентиляционных люков и вентиляционных головок не менее 100 мм;</w:t>
      </w:r>
    </w:p>
    <w:bookmarkEnd w:id="4197"/>
    <w:bookmarkStart w:name="z4198" w:id="4198"/>
    <w:p>
      <w:pPr>
        <w:spacing w:after="0"/>
        <w:ind w:left="0"/>
        <w:jc w:val="both"/>
      </w:pPr>
      <w:r>
        <w:rPr>
          <w:rFonts w:ascii="Times New Roman"/>
          <w:b w:val="false"/>
          <w:i w:val="false"/>
          <w:color w:val="000000"/>
          <w:sz w:val="28"/>
        </w:rPr>
        <w:t>
      2) люки снабжают брызгонепроницаемыми закрытиями;</w:t>
      </w:r>
    </w:p>
    <w:bookmarkEnd w:id="4198"/>
    <w:bookmarkStart w:name="z4199" w:id="4199"/>
    <w:p>
      <w:pPr>
        <w:spacing w:after="0"/>
        <w:ind w:left="0"/>
        <w:jc w:val="both"/>
      </w:pPr>
      <w:r>
        <w:rPr>
          <w:rFonts w:ascii="Times New Roman"/>
          <w:b w:val="false"/>
          <w:i w:val="false"/>
          <w:color w:val="000000"/>
          <w:sz w:val="28"/>
        </w:rPr>
        <w:t>
      3) наружные двери надстроек водонепроницаемы, однако в случае, если нижняя кромка наружных дверей отстоит от ватерлинии, соответствующей максимальной осадке, на расстояние не менее 600 мм, такие двери возможно брызгонепроницаемого исполнения;</w:t>
      </w:r>
    </w:p>
    <w:bookmarkEnd w:id="4199"/>
    <w:bookmarkStart w:name="z4200" w:id="4200"/>
    <w:p>
      <w:pPr>
        <w:spacing w:after="0"/>
        <w:ind w:left="0"/>
        <w:jc w:val="both"/>
      </w:pPr>
      <w:r>
        <w:rPr>
          <w:rFonts w:ascii="Times New Roman"/>
          <w:b w:val="false"/>
          <w:i w:val="false"/>
          <w:color w:val="000000"/>
          <w:sz w:val="28"/>
        </w:rPr>
        <w:t>
      4) нижняя кромка бортовых иллюминаторов отстоит от ватерлинии, соответствующей максимальной осадке, на расстояние не менее 150 мм;</w:t>
      </w:r>
    </w:p>
    <w:bookmarkEnd w:id="4200"/>
    <w:bookmarkStart w:name="z4201" w:id="4201"/>
    <w:p>
      <w:pPr>
        <w:spacing w:after="0"/>
        <w:ind w:left="0"/>
        <w:jc w:val="both"/>
      </w:pPr>
      <w:r>
        <w:rPr>
          <w:rFonts w:ascii="Times New Roman"/>
          <w:b w:val="false"/>
          <w:i w:val="false"/>
          <w:color w:val="000000"/>
          <w:sz w:val="28"/>
        </w:rPr>
        <w:t>
      5) окна надстроек и рубок, расположенных на палубе надводного борта, водонепроницаемы.</w:t>
      </w:r>
    </w:p>
    <w:bookmarkEnd w:id="4201"/>
    <w:bookmarkStart w:name="z4202" w:id="4202"/>
    <w:p>
      <w:pPr>
        <w:spacing w:after="0"/>
        <w:ind w:left="0"/>
        <w:jc w:val="left"/>
      </w:pPr>
      <w:r>
        <w:rPr>
          <w:rFonts w:ascii="Times New Roman"/>
          <w:b/>
          <w:i w:val="false"/>
          <w:color w:val="000000"/>
        </w:rPr>
        <w:t xml:space="preserve"> Глава 67. Иллюминаторы</w:t>
      </w:r>
    </w:p>
    <w:bookmarkEnd w:id="4202"/>
    <w:p>
      <w:pPr>
        <w:spacing w:after="0"/>
        <w:ind w:left="0"/>
        <w:jc w:val="both"/>
      </w:pPr>
      <w:r>
        <w:rPr>
          <w:rFonts w:ascii="Times New Roman"/>
          <w:b w:val="false"/>
          <w:i w:val="false"/>
          <w:color w:val="ff0000"/>
          <w:sz w:val="28"/>
        </w:rPr>
        <w:t xml:space="preserve">
      Сноска. Заголовок главы 67 -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03" w:id="4203"/>
    <w:p>
      <w:pPr>
        <w:spacing w:after="0"/>
        <w:ind w:left="0"/>
        <w:jc w:val="left"/>
      </w:pPr>
      <w:r>
        <w:rPr>
          <w:rFonts w:ascii="Times New Roman"/>
          <w:b/>
          <w:i w:val="false"/>
          <w:color w:val="000000"/>
        </w:rPr>
        <w:t xml:space="preserve"> Параграф 1. Расположение иллюминаторов</w:t>
      </w:r>
    </w:p>
    <w:bookmarkEnd w:id="4203"/>
    <w:bookmarkStart w:name="z4204" w:id="4204"/>
    <w:p>
      <w:pPr>
        <w:spacing w:after="0"/>
        <w:ind w:left="0"/>
        <w:jc w:val="both"/>
      </w:pPr>
      <w:r>
        <w:rPr>
          <w:rFonts w:ascii="Times New Roman"/>
          <w:b w:val="false"/>
          <w:i w:val="false"/>
          <w:color w:val="000000"/>
          <w:sz w:val="28"/>
        </w:rPr>
        <w:t>
      1190. Число иллюминаторов в наружной обшивке корпуса ниже палубы надводного борта сводится до минимума, совместимого с конструкцией и условиями нормальной эксплуатации судна.</w:t>
      </w:r>
    </w:p>
    <w:bookmarkEnd w:id="4204"/>
    <w:bookmarkStart w:name="z4205" w:id="4205"/>
    <w:p>
      <w:pPr>
        <w:spacing w:after="0"/>
        <w:ind w:left="0"/>
        <w:jc w:val="both"/>
      </w:pPr>
      <w:r>
        <w:rPr>
          <w:rFonts w:ascii="Times New Roman"/>
          <w:b w:val="false"/>
          <w:i w:val="false"/>
          <w:color w:val="000000"/>
          <w:sz w:val="28"/>
        </w:rPr>
        <w:t>
      Рыболовные суда, которые швартуются в море друг к другу или к другим судам, по возможности не имеют иллюминаторов под палубой надводного борта в зоне причаливания. Если в этой зоне имеются иллюминаторы в наружной обшивке, то в таком случае их расположение исключает возможность повреждения при швартовке.</w:t>
      </w:r>
    </w:p>
    <w:bookmarkEnd w:id="4205"/>
    <w:bookmarkStart w:name="z4206" w:id="4206"/>
    <w:p>
      <w:pPr>
        <w:spacing w:after="0"/>
        <w:ind w:left="0"/>
        <w:jc w:val="both"/>
      </w:pPr>
      <w:r>
        <w:rPr>
          <w:rFonts w:ascii="Times New Roman"/>
          <w:b w:val="false"/>
          <w:i w:val="false"/>
          <w:color w:val="000000"/>
          <w:sz w:val="28"/>
        </w:rPr>
        <w:t>
      Не допускается установка иллюминаторов в пределах ледового пояса наружной обшивки, указанного в разделе 4 настоящих Правил, на ледоколах и судах, имеющих ледовые усиления.</w:t>
      </w:r>
    </w:p>
    <w:bookmarkEnd w:id="4206"/>
    <w:bookmarkStart w:name="z4207" w:id="4207"/>
    <w:p>
      <w:pPr>
        <w:spacing w:after="0"/>
        <w:ind w:left="0"/>
        <w:jc w:val="both"/>
      </w:pPr>
      <w:r>
        <w:rPr>
          <w:rFonts w:ascii="Times New Roman"/>
          <w:b w:val="false"/>
          <w:i w:val="false"/>
          <w:color w:val="000000"/>
          <w:sz w:val="28"/>
        </w:rPr>
        <w:t>
      1191. Бортовые иллюминаторы ни в коем случае не располагаются так, чтобы их нижние кромки оказывались ниже линии, проведенной параллельно палубе надводного борта и имеющей свою самую нижнюю точку на расстоянии 0,025 ширины судна В или 500 мм, в зависимости от того, что больше, над летней грузовой ватерлинией или над летней лесной грузовой ватерлинией, если судну назначены лесные грузовые марки. На судах ограниченных районов плавания R2, R2-RSN, R3 и R3-RSN, не совершающих международных рейсов, указанное расстояние 500 мм может не принимается во внимание.</w:t>
      </w:r>
    </w:p>
    <w:bookmarkEnd w:id="4207"/>
    <w:bookmarkStart w:name="z4208" w:id="4208"/>
    <w:p>
      <w:pPr>
        <w:spacing w:after="0"/>
        <w:ind w:left="0"/>
        <w:jc w:val="both"/>
      </w:pPr>
      <w:r>
        <w:rPr>
          <w:rFonts w:ascii="Times New Roman"/>
          <w:b w:val="false"/>
          <w:i w:val="false"/>
          <w:color w:val="000000"/>
          <w:sz w:val="28"/>
        </w:rPr>
        <w:t>
      Для судов длиной менее 24 м указанное выше расстояние уменьшают: для судов ограниченных районов плавания R2, R2-RSN и R3-RSN до 300 мм, а ограниченного района плавания R3 — до 150 мм.</w:t>
      </w:r>
    </w:p>
    <w:bookmarkEnd w:id="4208"/>
    <w:bookmarkStart w:name="z4209" w:id="4209"/>
    <w:p>
      <w:pPr>
        <w:spacing w:after="0"/>
        <w:ind w:left="0"/>
        <w:jc w:val="both"/>
      </w:pPr>
      <w:r>
        <w:rPr>
          <w:rFonts w:ascii="Times New Roman"/>
          <w:b w:val="false"/>
          <w:i w:val="false"/>
          <w:color w:val="000000"/>
          <w:sz w:val="28"/>
        </w:rPr>
        <w:t>
      1192. Иллюминаторы в наружной обшивке корпуса ниже палубы надводного борта, в лобовых переборках закрытых надстроек и рубок первого яруса, а также в лобовых переборках закрытых надстроек и рубок второго яруса на 0,25 длины судна L от носового перпендикуляра устанавливают тяжелыми, со штормовыми крышками, постоянно навешенными на их корпусе (пункт 2441 настоящих Правил).</w:t>
      </w:r>
    </w:p>
    <w:bookmarkEnd w:id="4209"/>
    <w:bookmarkStart w:name="z4210" w:id="4210"/>
    <w:p>
      <w:pPr>
        <w:spacing w:after="0"/>
        <w:ind w:left="0"/>
        <w:jc w:val="both"/>
      </w:pPr>
      <w:r>
        <w:rPr>
          <w:rFonts w:ascii="Times New Roman"/>
          <w:b w:val="false"/>
          <w:i w:val="false"/>
          <w:color w:val="000000"/>
          <w:sz w:val="28"/>
        </w:rPr>
        <w:t>
      На буксирах ограниченных районов плавания R2 и R3 иллюминаторы, расположенные ниже палубы переборок, устанавливают не только тяжелыми, но и глухими, то есть неоткрывающимися.</w:t>
      </w:r>
    </w:p>
    <w:bookmarkEnd w:id="4210"/>
    <w:bookmarkStart w:name="z4211" w:id="4211"/>
    <w:p>
      <w:pPr>
        <w:spacing w:after="0"/>
        <w:ind w:left="0"/>
        <w:jc w:val="both"/>
      </w:pPr>
      <w:r>
        <w:rPr>
          <w:rFonts w:ascii="Times New Roman"/>
          <w:b w:val="false"/>
          <w:i w:val="false"/>
          <w:color w:val="000000"/>
          <w:sz w:val="28"/>
        </w:rPr>
        <w:t>
      На судах ограниченных районов плавания R2, R2-RSN и R3-RSN длиной менее 24 м и судах ограниченного района плавания R3 допускается применение нормальных иллюминаторов вместо тяжелых.</w:t>
      </w:r>
    </w:p>
    <w:bookmarkEnd w:id="4211"/>
    <w:bookmarkStart w:name="z4212" w:id="4212"/>
    <w:p>
      <w:pPr>
        <w:spacing w:after="0"/>
        <w:ind w:left="0"/>
        <w:jc w:val="both"/>
      </w:pPr>
      <w:r>
        <w:rPr>
          <w:rFonts w:ascii="Times New Roman"/>
          <w:b w:val="false"/>
          <w:i w:val="false"/>
          <w:color w:val="000000"/>
          <w:sz w:val="28"/>
        </w:rPr>
        <w:t>
      1193. На судах, на которые распространяются требования части 6 настоящих Правил, иллюминаторы вне затапливаемого отсека или регламентированной группы отсеков, располагающиеся так, что их нижние кромки оказываются ниже, чем на 0,3 м или (0,1 +</w:t>
      </w:r>
    </w:p>
    <w:bookmarkEnd w:id="4212"/>
    <w:p>
      <w:pPr>
        <w:spacing w:after="0"/>
        <w:ind w:left="0"/>
        <w:jc w:val="both"/>
      </w:pPr>
      <w:r>
        <w:drawing>
          <wp:inline distT="0" distB="0" distL="0" distR="0">
            <wp:extent cx="68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685800" cy="609600"/>
                    </a:xfrm>
                    <a:prstGeom prst="rect">
                      <a:avLst/>
                    </a:prstGeom>
                  </pic:spPr>
                </pic:pic>
              </a:graphicData>
            </a:graphic>
          </wp:inline>
        </w:drawing>
      </w:r>
    </w:p>
    <w:p>
      <w:pPr>
        <w:spacing w:after="0"/>
        <w:ind w:left="0"/>
        <w:jc w:val="left"/>
      </w:pPr>
      <w:r>
        <w:rPr>
          <w:rFonts w:ascii="Times New Roman"/>
          <w:b w:val="false"/>
          <w:i w:val="false"/>
          <w:color w:val="000000"/>
          <w:sz w:val="28"/>
        </w:rPr>
        <w:t>) м, в зависимости от того, что меньше, над соответствующей аварийной ватерлинией, а также иллюминаторы на плавучих кранах, нижние кромки которых оказываются менее чем на 0,3 м над ватерлинией, соответствующей фактическому максимальному статическому крену с грузом на гаке, устанавливают не только тяжелыми, но и глухими, то есть неоткрывающимися.</w:t>
      </w:r>
      <w:r>
        <w:br/>
      </w:r>
      <w:r>
        <w:rPr>
          <w:rFonts w:ascii="Times New Roman"/>
          <w:b w:val="false"/>
          <w:i w:val="false"/>
          <w:color w:val="000000"/>
          <w:sz w:val="28"/>
        </w:rPr>
        <w:t>
</w:t>
      </w:r>
    </w:p>
    <w:bookmarkStart w:name="z4213" w:id="4213"/>
    <w:p>
      <w:pPr>
        <w:spacing w:after="0"/>
        <w:ind w:left="0"/>
        <w:jc w:val="both"/>
      </w:pPr>
      <w:r>
        <w:rPr>
          <w:rFonts w:ascii="Times New Roman"/>
          <w:b w:val="false"/>
          <w:i w:val="false"/>
          <w:color w:val="000000"/>
          <w:sz w:val="28"/>
        </w:rPr>
        <w:t>
      На судах ограниченных районов плавания R2, R2-RSN и R3-RSN длиной менее 24 м и на судах ограниченного района плавания R3 допускается применение нормальных глухих иллюминаторов вместо тяжелых глухих.</w:t>
      </w:r>
    </w:p>
    <w:bookmarkEnd w:id="4213"/>
    <w:bookmarkStart w:name="z4214" w:id="4214"/>
    <w:p>
      <w:pPr>
        <w:spacing w:after="0"/>
        <w:ind w:left="0"/>
        <w:jc w:val="both"/>
      </w:pPr>
      <w:r>
        <w:rPr>
          <w:rFonts w:ascii="Times New Roman"/>
          <w:b w:val="false"/>
          <w:i w:val="false"/>
          <w:color w:val="000000"/>
          <w:sz w:val="28"/>
        </w:rPr>
        <w:t xml:space="preserve">
      1194. Иллюминаторы в закрытых надстройках и рубках первого яруса, кроме иллюминаторов в их лобовых переборках, а также в закрытых надстройках и рубках второго яруса на 0,25 длины судна </w:t>
      </w:r>
      <w:r>
        <w:rPr>
          <w:rFonts w:ascii="Times New Roman"/>
          <w:b w:val="false"/>
          <w:i/>
          <w:color w:val="000000"/>
          <w:sz w:val="28"/>
        </w:rPr>
        <w:t>L</w:t>
      </w:r>
      <w:r>
        <w:rPr>
          <w:rFonts w:ascii="Times New Roman"/>
          <w:b w:val="false"/>
          <w:i w:val="false"/>
          <w:color w:val="000000"/>
          <w:sz w:val="28"/>
        </w:rPr>
        <w:t xml:space="preserve"> от носового перпендикуляра, кроме иллюминаторов в их лобовых переборках, допускается применение нормальных. На судах ограниченных районов плавания R2, R2-RSN и R3-RSN длиной менее 24 м и на судах ограниченного района плавания R3 допускается применение облегченных иллюминаторов, вместо нормальных. Иллюминаторы имеют штормовую крышку, постоянно навешенную на их корпусе.</w:t>
      </w:r>
    </w:p>
    <w:bookmarkEnd w:id="4214"/>
    <w:bookmarkStart w:name="z4215" w:id="4215"/>
    <w:p>
      <w:pPr>
        <w:spacing w:after="0"/>
        <w:ind w:left="0"/>
        <w:jc w:val="both"/>
      </w:pPr>
      <w:r>
        <w:rPr>
          <w:rFonts w:ascii="Times New Roman"/>
          <w:b w:val="false"/>
          <w:i w:val="false"/>
          <w:color w:val="000000"/>
          <w:sz w:val="28"/>
        </w:rPr>
        <w:t>
      1195. Иллюминаторы в закрытых надстройках и рубках второго яруса, за исключением тех, которые расположены на 0,25 длины судна от носового перпендикуляра, такие же, как это требуется в пункте 1194 настоящих Правил, если эти иллюминаторы дают непосредственный доступ к открытому трапу, ведущему в расположенные ниже помещения.</w:t>
      </w:r>
    </w:p>
    <w:bookmarkEnd w:id="4215"/>
    <w:bookmarkStart w:name="z4216" w:id="4216"/>
    <w:p>
      <w:pPr>
        <w:spacing w:after="0"/>
        <w:ind w:left="0"/>
        <w:jc w:val="both"/>
      </w:pPr>
      <w:r>
        <w:rPr>
          <w:rFonts w:ascii="Times New Roman"/>
          <w:b w:val="false"/>
          <w:i w:val="false"/>
          <w:color w:val="000000"/>
          <w:sz w:val="28"/>
        </w:rPr>
        <w:t>
      В каютах и подобных помещениях закрытых надстроек и рубок второго яруса вместо иллюминаторов, указанных в пункте 1194 настоящих Правил, допускается устанавливать иллюминаторы или рубочные окна без штормовых крышек.</w:t>
      </w:r>
    </w:p>
    <w:bookmarkEnd w:id="4216"/>
    <w:bookmarkStart w:name="z4217" w:id="4217"/>
    <w:p>
      <w:pPr>
        <w:spacing w:after="0"/>
        <w:ind w:left="0"/>
        <w:jc w:val="both"/>
      </w:pPr>
      <w:r>
        <w:rPr>
          <w:rFonts w:ascii="Times New Roman"/>
          <w:b w:val="false"/>
          <w:i w:val="false"/>
          <w:color w:val="000000"/>
          <w:sz w:val="28"/>
        </w:rPr>
        <w:t>
      1196. Иллюминаторы в наружных бортах плавучих доков и в бортах наплавных судов ни в коем случае не располагаются так, чтобы их нижние кромки оказывались ниже предельной линии погружения при доковании.</w:t>
      </w:r>
    </w:p>
    <w:bookmarkEnd w:id="4217"/>
    <w:bookmarkStart w:name="z4218" w:id="4218"/>
    <w:p>
      <w:pPr>
        <w:spacing w:after="0"/>
        <w:ind w:left="0"/>
        <w:jc w:val="both"/>
      </w:pPr>
      <w:r>
        <w:rPr>
          <w:rFonts w:ascii="Times New Roman"/>
          <w:b w:val="false"/>
          <w:i w:val="false"/>
          <w:color w:val="000000"/>
          <w:sz w:val="28"/>
        </w:rPr>
        <w:t>
      Во внутренних бортах башен плавучих доков и в граничных переборках трюмов наплавных судов установка иллюминаторов не допускается.</w:t>
      </w:r>
    </w:p>
    <w:bookmarkEnd w:id="4218"/>
    <w:bookmarkStart w:name="z4219" w:id="4219"/>
    <w:p>
      <w:pPr>
        <w:spacing w:after="0"/>
        <w:ind w:left="0"/>
        <w:jc w:val="both"/>
      </w:pPr>
      <w:r>
        <w:rPr>
          <w:rFonts w:ascii="Times New Roman"/>
          <w:b w:val="false"/>
          <w:i w:val="false"/>
          <w:color w:val="000000"/>
          <w:sz w:val="28"/>
        </w:rPr>
        <w:t>
      1197. Иллюминаторы в наружных бортах плавучих доков и в бортах наплавных судов, нижняя кромка которых расположена выше предельной линии погружения при доковании на величину менее 300 мм или 0,025 ширины судна, смотря по тому, что больше, устанавливают тяжелыми, со штормовыми крышками, постоянно навешенными на их корпусе, и глухими, то есть неоткрывающимися.</w:t>
      </w:r>
    </w:p>
    <w:bookmarkEnd w:id="4219"/>
    <w:bookmarkStart w:name="z4220" w:id="4220"/>
    <w:p>
      <w:pPr>
        <w:spacing w:after="0"/>
        <w:ind w:left="0"/>
        <w:jc w:val="both"/>
      </w:pPr>
      <w:r>
        <w:rPr>
          <w:rFonts w:ascii="Times New Roman"/>
          <w:b w:val="false"/>
          <w:i w:val="false"/>
          <w:color w:val="000000"/>
          <w:sz w:val="28"/>
        </w:rPr>
        <w:t>
      1198. Иллюминаторы в наружных бортах плавучих доков, нижняя кромка которых расположена на 300 мм и более выше предельной линии погружения при доковании, устанавливают нормальными, со штормовыми крышками, постоянно навешенными на их корпусе.</w:t>
      </w:r>
    </w:p>
    <w:bookmarkEnd w:id="4220"/>
    <w:bookmarkStart w:name="z4221" w:id="4221"/>
    <w:p>
      <w:pPr>
        <w:spacing w:after="0"/>
        <w:ind w:left="0"/>
        <w:jc w:val="both"/>
      </w:pPr>
      <w:r>
        <w:rPr>
          <w:rFonts w:ascii="Times New Roman"/>
          <w:b w:val="false"/>
          <w:i w:val="false"/>
          <w:color w:val="000000"/>
          <w:sz w:val="28"/>
        </w:rPr>
        <w:t>
      1199. Суда со знаками FF1 и FF2 в символе класса имеют иллюминаторы с постоянно навешенными на их корпусе штормовыми крышками, рубочные окна снабжают съемными щитками, за исключением иллюминаторов и окон, расположенных в рулевой рубке и в посту управления аварийно-спасательными операциями.</w:t>
      </w:r>
    </w:p>
    <w:bookmarkEnd w:id="4221"/>
    <w:bookmarkStart w:name="z4222" w:id="4222"/>
    <w:p>
      <w:pPr>
        <w:spacing w:after="0"/>
        <w:ind w:left="0"/>
        <w:jc w:val="left"/>
      </w:pPr>
      <w:r>
        <w:rPr>
          <w:rFonts w:ascii="Times New Roman"/>
          <w:b/>
          <w:i w:val="false"/>
          <w:color w:val="000000"/>
        </w:rPr>
        <w:t xml:space="preserve"> Параграф 2. Конструкция и крепление</w:t>
      </w:r>
      <w:r>
        <w:br/>
      </w:r>
      <w:r>
        <w:rPr>
          <w:rFonts w:ascii="Times New Roman"/>
          <w:b/>
          <w:i w:val="false"/>
          <w:color w:val="000000"/>
        </w:rPr>
        <w:t>иллюминаторов и рубочных окон</w:t>
      </w:r>
    </w:p>
    <w:bookmarkEnd w:id="4222"/>
    <w:bookmarkStart w:name="z4223" w:id="4223"/>
    <w:p>
      <w:pPr>
        <w:spacing w:after="0"/>
        <w:ind w:left="0"/>
        <w:jc w:val="both"/>
      </w:pPr>
      <w:r>
        <w:rPr>
          <w:rFonts w:ascii="Times New Roman"/>
          <w:b w:val="false"/>
          <w:i w:val="false"/>
          <w:color w:val="000000"/>
          <w:sz w:val="28"/>
        </w:rPr>
        <w:t>
      1200. По конструктивному исполнению в настоящих Правилах различаются три типа иллюминаторов:</w:t>
      </w:r>
    </w:p>
    <w:bookmarkEnd w:id="4223"/>
    <w:bookmarkStart w:name="z4224" w:id="4224"/>
    <w:p>
      <w:pPr>
        <w:spacing w:after="0"/>
        <w:ind w:left="0"/>
        <w:jc w:val="both"/>
      </w:pPr>
      <w:r>
        <w:rPr>
          <w:rFonts w:ascii="Times New Roman"/>
          <w:b w:val="false"/>
          <w:i w:val="false"/>
          <w:color w:val="000000"/>
          <w:sz w:val="28"/>
        </w:rPr>
        <w:t>
      1) тяжелые — с толщиной стекла не менее 10 мм при диаметре в свету 200 мм и менее, не менее 15 мм при диаметре в свету от 300 до 350 мм и не менее 19 мм при диаметре в свету 400 мм. Диаметр в свету не превышает 400 мм. Для промежуточных диаметров в свету (от 200 до 300 и от 350 до 400 мм) толщина стекла определяется линейной интерполяцией. Кроме того, иллюминаторы тяжелого типа, если они створчатые, вместо одного из барашков, задраивающих раму, имеют гайку, отдаваемую специальным ключом;</w:t>
      </w:r>
    </w:p>
    <w:bookmarkEnd w:id="4224"/>
    <w:bookmarkStart w:name="z4225" w:id="4225"/>
    <w:p>
      <w:pPr>
        <w:spacing w:after="0"/>
        <w:ind w:left="0"/>
        <w:jc w:val="both"/>
      </w:pPr>
      <w:r>
        <w:rPr>
          <w:rFonts w:ascii="Times New Roman"/>
          <w:b w:val="false"/>
          <w:i w:val="false"/>
          <w:color w:val="000000"/>
          <w:sz w:val="28"/>
        </w:rPr>
        <w:t>
      2) нормальные — с толщиной стекла не менее 8 мм при диаметре в свету 250 мм и менее и не менее 12 мм при диаметре в свету 350 мм и более, однако диаметр в свету не превышает 400 мм. Для промежуточных диаметров в свету толщина стекла определяется линейной интерполяцией между указанными толщинами;</w:t>
      </w:r>
    </w:p>
    <w:bookmarkEnd w:id="4225"/>
    <w:bookmarkStart w:name="z4226" w:id="4226"/>
    <w:p>
      <w:pPr>
        <w:spacing w:after="0"/>
        <w:ind w:left="0"/>
        <w:jc w:val="both"/>
      </w:pPr>
      <w:r>
        <w:rPr>
          <w:rFonts w:ascii="Times New Roman"/>
          <w:b w:val="false"/>
          <w:i w:val="false"/>
          <w:color w:val="000000"/>
          <w:sz w:val="28"/>
        </w:rPr>
        <w:t>
      3) облегченные — с толщиной стекла не менее 6 мм при диаметре в свету 250 мм и менее и не менее 10 мм при диаметре в свету 400 мм и более, причем диаметр в свету не превышает 450 мм. Для промежуточных диаметров в свету толщина стекла определяется линейной интерполяцией.</w:t>
      </w:r>
    </w:p>
    <w:bookmarkEnd w:id="4226"/>
    <w:bookmarkStart w:name="z4227" w:id="4227"/>
    <w:p>
      <w:pPr>
        <w:spacing w:after="0"/>
        <w:ind w:left="0"/>
        <w:jc w:val="both"/>
      </w:pPr>
      <w:r>
        <w:rPr>
          <w:rFonts w:ascii="Times New Roman"/>
          <w:b w:val="false"/>
          <w:i w:val="false"/>
          <w:color w:val="000000"/>
          <w:sz w:val="28"/>
        </w:rPr>
        <w:t>
      1201. Тяжелые и нормальные иллюминаторы бывают глухими, то есть неоткрывающимися, со стеклом, закрепленным на корпусе иллюминаторов, или створчатыми, то есть открывающимися, со стеклом, закрепленным на раме, постоянно навешенной на корпусе иллюминаторов. Исключением являются случаи, указанные в пунктах 1192, 1193 и 1197 настоящих Правил, когда иллюминаторы только глухие.</w:t>
      </w:r>
    </w:p>
    <w:bookmarkEnd w:id="4227"/>
    <w:bookmarkStart w:name="z4228" w:id="4228"/>
    <w:p>
      <w:pPr>
        <w:spacing w:after="0"/>
        <w:ind w:left="0"/>
        <w:jc w:val="both"/>
      </w:pPr>
      <w:r>
        <w:rPr>
          <w:rFonts w:ascii="Times New Roman"/>
          <w:b w:val="false"/>
          <w:i w:val="false"/>
          <w:color w:val="000000"/>
          <w:sz w:val="28"/>
        </w:rPr>
        <w:t>
      Стекла иллюминаторов надежно и непроницаемо при воздействии моря закреплены с помощью металлического кольца на винтах или с помощью эквивалентной конструкции и уплотнительной прокладки.</w:t>
      </w:r>
    </w:p>
    <w:bookmarkEnd w:id="4228"/>
    <w:bookmarkStart w:name="z4229" w:id="4229"/>
    <w:p>
      <w:pPr>
        <w:spacing w:after="0"/>
        <w:ind w:left="0"/>
        <w:jc w:val="both"/>
      </w:pPr>
      <w:r>
        <w:rPr>
          <w:rFonts w:ascii="Times New Roman"/>
          <w:b w:val="false"/>
          <w:i w:val="false"/>
          <w:color w:val="000000"/>
          <w:sz w:val="28"/>
        </w:rPr>
        <w:t>
      1202. Корпус, рама и штормовая крышка иллюминаторов имеет достаточную прочность. При этом рама и штормовая крышка имеет уплотнительные прокладки и надежно и непроницаемо при воздействии моря задраиваться с помощью барашков или гаек, отдаваемых специальным ключом.</w:t>
      </w:r>
    </w:p>
    <w:bookmarkEnd w:id="4229"/>
    <w:bookmarkStart w:name="z4230" w:id="4230"/>
    <w:p>
      <w:pPr>
        <w:spacing w:after="0"/>
        <w:ind w:left="0"/>
        <w:jc w:val="both"/>
      </w:pPr>
      <w:r>
        <w:rPr>
          <w:rFonts w:ascii="Times New Roman"/>
          <w:b w:val="false"/>
          <w:i w:val="false"/>
          <w:color w:val="000000"/>
          <w:sz w:val="28"/>
        </w:rPr>
        <w:t>
      1203. Корпус, рама, штормовая крышка и кольцо для закрепления стекла изготавливают из стали, латуни, алюминиевого сплава или другого одобренного Регистром судоходства материала.</w:t>
      </w:r>
    </w:p>
    <w:bookmarkEnd w:id="4230"/>
    <w:bookmarkStart w:name="z4231" w:id="4231"/>
    <w:p>
      <w:pPr>
        <w:spacing w:after="0"/>
        <w:ind w:left="0"/>
        <w:jc w:val="both"/>
      </w:pPr>
      <w:r>
        <w:rPr>
          <w:rFonts w:ascii="Times New Roman"/>
          <w:b w:val="false"/>
          <w:i w:val="false"/>
          <w:color w:val="000000"/>
          <w:sz w:val="28"/>
        </w:rPr>
        <w:t>
      Барашки, гайки, отдаваемые специальным ключом, изготавливают из материала, стойкого против коррозии.</w:t>
      </w:r>
    </w:p>
    <w:bookmarkEnd w:id="4231"/>
    <w:bookmarkStart w:name="z4232" w:id="4232"/>
    <w:p>
      <w:pPr>
        <w:spacing w:after="0"/>
        <w:ind w:left="0"/>
        <w:jc w:val="both"/>
      </w:pPr>
      <w:r>
        <w:rPr>
          <w:rFonts w:ascii="Times New Roman"/>
          <w:b w:val="false"/>
          <w:i w:val="false"/>
          <w:color w:val="000000"/>
          <w:sz w:val="28"/>
        </w:rPr>
        <w:t>
      Стекла иллюминаторов были закаленными.</w:t>
      </w:r>
    </w:p>
    <w:bookmarkEnd w:id="4232"/>
    <w:bookmarkStart w:name="z4233" w:id="4233"/>
    <w:p>
      <w:pPr>
        <w:spacing w:after="0"/>
        <w:ind w:left="0"/>
        <w:jc w:val="both"/>
      </w:pPr>
      <w:r>
        <w:rPr>
          <w:rFonts w:ascii="Times New Roman"/>
          <w:b w:val="false"/>
          <w:i w:val="false"/>
          <w:color w:val="000000"/>
          <w:sz w:val="28"/>
        </w:rPr>
        <w:t>
      1204. На судах из стеклопластика крепление иллюминаторов к наружной обшивке и переборкам надстроек и рубок отвечает требованиям пункта 7605 настоящих Правил.</w:t>
      </w:r>
    </w:p>
    <w:bookmarkEnd w:id="4233"/>
    <w:bookmarkStart w:name="z4234" w:id="4234"/>
    <w:p>
      <w:pPr>
        <w:spacing w:after="0"/>
        <w:ind w:left="0"/>
        <w:jc w:val="both"/>
      </w:pPr>
      <w:r>
        <w:rPr>
          <w:rFonts w:ascii="Times New Roman"/>
          <w:b w:val="false"/>
          <w:i w:val="false"/>
          <w:color w:val="000000"/>
          <w:sz w:val="28"/>
        </w:rPr>
        <w:t>
      1205. Конструкция рубочных окон отвечает требованиям пунктов 1201 – 1203 настоящих Правил, за исключением требований к штормовой крышке.</w:t>
      </w:r>
    </w:p>
    <w:bookmarkEnd w:id="4234"/>
    <w:bookmarkStart w:name="z4235" w:id="4235"/>
    <w:p>
      <w:pPr>
        <w:spacing w:after="0"/>
        <w:ind w:left="0"/>
        <w:jc w:val="both"/>
      </w:pPr>
      <w:r>
        <w:rPr>
          <w:rFonts w:ascii="Times New Roman"/>
          <w:b w:val="false"/>
          <w:i w:val="false"/>
          <w:color w:val="000000"/>
          <w:sz w:val="28"/>
        </w:rPr>
        <w:t xml:space="preserve">
      Толщина стекла рубочного окна </w:t>
      </w:r>
      <w:r>
        <w:rPr>
          <w:rFonts w:ascii="Times New Roman"/>
          <w:b w:val="false"/>
          <w:i/>
          <w:color w:val="000000"/>
          <w:sz w:val="28"/>
        </w:rPr>
        <w:t>t</w:t>
      </w:r>
      <w:r>
        <w:rPr>
          <w:rFonts w:ascii="Times New Roman"/>
          <w:b w:val="false"/>
          <w:i w:val="false"/>
          <w:color w:val="000000"/>
          <w:sz w:val="28"/>
        </w:rPr>
        <w:t>, мм, не менее определенной по формуле:</w:t>
      </w:r>
    </w:p>
    <w:bookmarkEnd w:id="4235"/>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0,32</w:t>
      </w:r>
      <w:r>
        <w:rPr>
          <w:rFonts w:ascii="Times New Roman"/>
          <w:b w:val="false"/>
          <w:i/>
          <w:color w:val="000000"/>
          <w:sz w:val="28"/>
        </w:rPr>
        <w:t>kb</w:t>
      </w:r>
      <w:r>
        <w:rPr>
          <w:rFonts w:ascii="Times New Roman"/>
          <w:b w:val="false"/>
          <w:i w:val="false"/>
          <w:color w:val="000000"/>
          <w:sz w:val="28"/>
        </w:rPr>
        <w:t xml:space="preserve"> </w:t>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(543)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b</w:t>
      </w:r>
      <w:r>
        <w:rPr>
          <w:rFonts w:ascii="Times New Roman"/>
          <w:b w:val="false"/>
          <w:i w:val="false"/>
          <w:color w:val="000000"/>
          <w:sz w:val="28"/>
        </w:rPr>
        <w:t xml:space="preserve"> — меньший из размеров в свету рубочного окна,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условная нагрузка, кПа, определяемая в соответствии с указаниями параграфа 3 главы 26 настоящих Правил;</w:t>
      </w:r>
    </w:p>
    <w:p>
      <w:pPr>
        <w:spacing w:after="0"/>
        <w:ind w:left="0"/>
        <w:jc w:val="both"/>
      </w:pPr>
      <w:r>
        <w:rPr>
          <w:rFonts w:ascii="Times New Roman"/>
          <w:b w:val="false"/>
          <w:i w:val="false"/>
          <w:color w:val="000000"/>
          <w:sz w:val="28"/>
        </w:rPr>
        <w:t xml:space="preserve">
      при этом расстояние </w:t>
      </w:r>
      <w:r>
        <w:rPr>
          <w:rFonts w:ascii="Times New Roman"/>
          <w:b w:val="false"/>
          <w:i/>
          <w:color w:val="000000"/>
          <w:sz w:val="28"/>
        </w:rPr>
        <w:t>Zj</w:t>
      </w:r>
      <w:r>
        <w:rPr>
          <w:rFonts w:ascii="Times New Roman"/>
          <w:b w:val="false"/>
          <w:i w:val="false"/>
          <w:color w:val="000000"/>
          <w:sz w:val="28"/>
        </w:rPr>
        <w:t xml:space="preserve"> принимается до середины высоты рубочного окна;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коэффициент,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13,42 — 5,125(b /а)</w:t>
      </w:r>
      <w:r>
        <w:rPr>
          <w:rFonts w:ascii="Times New Roman"/>
          <w:b w:val="false"/>
          <w:i w:val="false"/>
          <w:color w:val="000000"/>
          <w:vertAlign w:val="superscript"/>
        </w:rPr>
        <w:t>2</w:t>
      </w:r>
      <w:r>
        <w:rPr>
          <w:rFonts w:ascii="Times New Roman"/>
          <w:b w:val="false"/>
          <w:i w:val="false"/>
          <w:color w:val="000000"/>
          <w:sz w:val="28"/>
        </w:rPr>
        <w:t>;                  (544)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больший из размеров в свету рубочного окна, м.</w:t>
      </w:r>
    </w:p>
    <w:bookmarkStart w:name="z4236" w:id="4236"/>
    <w:p>
      <w:pPr>
        <w:spacing w:after="0"/>
        <w:ind w:left="0"/>
        <w:jc w:val="left"/>
      </w:pPr>
      <w:r>
        <w:rPr>
          <w:rFonts w:ascii="Times New Roman"/>
          <w:b/>
          <w:i w:val="false"/>
          <w:color w:val="000000"/>
        </w:rPr>
        <w:t xml:space="preserve"> Глава 68. Палубные иллюминаторы</w:t>
      </w:r>
    </w:p>
    <w:bookmarkEnd w:id="4236"/>
    <w:p>
      <w:pPr>
        <w:spacing w:after="0"/>
        <w:ind w:left="0"/>
        <w:jc w:val="both"/>
      </w:pPr>
      <w:r>
        <w:rPr>
          <w:rFonts w:ascii="Times New Roman"/>
          <w:b w:val="false"/>
          <w:i w:val="false"/>
          <w:color w:val="ff0000"/>
          <w:sz w:val="28"/>
        </w:rPr>
        <w:t xml:space="preserve">
      Сноска. Заголовок главы 68 -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37" w:id="4237"/>
    <w:p>
      <w:pPr>
        <w:spacing w:after="0"/>
        <w:ind w:left="0"/>
        <w:jc w:val="both"/>
      </w:pPr>
      <w:r>
        <w:rPr>
          <w:rFonts w:ascii="Times New Roman"/>
          <w:b w:val="false"/>
          <w:i w:val="false"/>
          <w:color w:val="000000"/>
          <w:sz w:val="28"/>
        </w:rPr>
        <w:t>
      1206. Иллюминаторы, устраиваемые заподлицо с палубой, если они расположены в районах 1 и 2 имеют постоянно навешенную или иным способом прикрепленную (например, с помощью цепочки) штормовую крышку, устроенную таким образом, чтобы ею легко и надежно закрывали и задраивали иллюминатор.</w:t>
      </w:r>
    </w:p>
    <w:bookmarkEnd w:id="4237"/>
    <w:bookmarkStart w:name="z4238" w:id="4238"/>
    <w:p>
      <w:pPr>
        <w:spacing w:after="0"/>
        <w:ind w:left="0"/>
        <w:jc w:val="both"/>
      </w:pPr>
      <w:r>
        <w:rPr>
          <w:rFonts w:ascii="Times New Roman"/>
          <w:b w:val="false"/>
          <w:i w:val="false"/>
          <w:color w:val="000000"/>
          <w:sz w:val="28"/>
        </w:rPr>
        <w:t>
      1207. Больший из размеров иллюминаторов в свету не превышает 200 мм; при этом толщина стекла равна не менее 15 мм. К металлическому настилу палуб иллюминаторы крепятся с помощью рамок.</w:t>
      </w:r>
    </w:p>
    <w:bookmarkEnd w:id="4238"/>
    <w:bookmarkStart w:name="z4239" w:id="4239"/>
    <w:p>
      <w:pPr>
        <w:spacing w:after="0"/>
        <w:ind w:left="0"/>
        <w:jc w:val="both"/>
      </w:pPr>
      <w:r>
        <w:rPr>
          <w:rFonts w:ascii="Times New Roman"/>
          <w:b w:val="false"/>
          <w:i w:val="false"/>
          <w:color w:val="000000"/>
          <w:sz w:val="28"/>
        </w:rPr>
        <w:t>
      1208. Штормовые крышки палубных иллюминаторов в задраенном состоянии непроницаемы при воздействии моря. Непроницаемость обеспечтвается с помощью резиновой или другой подходящей прокладки.</w:t>
      </w:r>
    </w:p>
    <w:bookmarkEnd w:id="4239"/>
    <w:bookmarkStart w:name="z4240" w:id="4240"/>
    <w:p>
      <w:pPr>
        <w:spacing w:after="0"/>
        <w:ind w:left="0"/>
        <w:jc w:val="both"/>
      </w:pPr>
      <w:r>
        <w:rPr>
          <w:rFonts w:ascii="Times New Roman"/>
          <w:b w:val="false"/>
          <w:i w:val="false"/>
          <w:color w:val="000000"/>
          <w:sz w:val="28"/>
        </w:rPr>
        <w:t>
      С той же целью стекла иллюминаторов имеют по контуру уплотнение из резины или другого подходящего материала.</w:t>
      </w:r>
    </w:p>
    <w:bookmarkEnd w:id="4240"/>
    <w:bookmarkStart w:name="z4241" w:id="4241"/>
    <w:p>
      <w:pPr>
        <w:spacing w:after="0"/>
        <w:ind w:left="0"/>
        <w:jc w:val="both"/>
      </w:pPr>
      <w:r>
        <w:rPr>
          <w:rFonts w:ascii="Times New Roman"/>
          <w:b w:val="false"/>
          <w:i w:val="false"/>
          <w:color w:val="000000"/>
          <w:sz w:val="28"/>
        </w:rPr>
        <w:t>
      1209. В отношении прочности и материалов деталей палубных иллюминаторов следует руководствоваться применимыми положениями, изложенными в пунктах 1202 – 1203 настоящих Правил; в отношении крепления палубного иллюминатора на судах из стеклопластика — пункт 1204 настоящих Правил.</w:t>
      </w:r>
    </w:p>
    <w:bookmarkEnd w:id="4241"/>
    <w:bookmarkStart w:name="z4242" w:id="4242"/>
    <w:p>
      <w:pPr>
        <w:spacing w:after="0"/>
        <w:ind w:left="0"/>
        <w:jc w:val="left"/>
      </w:pPr>
      <w:r>
        <w:rPr>
          <w:rFonts w:ascii="Times New Roman"/>
          <w:b/>
          <w:i w:val="false"/>
          <w:color w:val="000000"/>
        </w:rPr>
        <w:t xml:space="preserve"> Глава 69. Устройство и закрытие отверстий в наружной обшивке корпуса</w:t>
      </w:r>
    </w:p>
    <w:bookmarkEnd w:id="4242"/>
    <w:p>
      <w:pPr>
        <w:spacing w:after="0"/>
        <w:ind w:left="0"/>
        <w:jc w:val="both"/>
      </w:pPr>
      <w:r>
        <w:rPr>
          <w:rFonts w:ascii="Times New Roman"/>
          <w:b w:val="false"/>
          <w:i w:val="false"/>
          <w:color w:val="ff0000"/>
          <w:sz w:val="28"/>
        </w:rPr>
        <w:t xml:space="preserve">
      Сноска. Заголовок главы 69 -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43" w:id="4243"/>
    <w:p>
      <w:pPr>
        <w:spacing w:after="0"/>
        <w:ind w:left="0"/>
        <w:jc w:val="left"/>
      </w:pPr>
      <w:r>
        <w:rPr>
          <w:rFonts w:ascii="Times New Roman"/>
          <w:b/>
          <w:i w:val="false"/>
          <w:color w:val="000000"/>
        </w:rPr>
        <w:t xml:space="preserve"> Параграф 1. Общие требования</w:t>
      </w:r>
    </w:p>
    <w:bookmarkEnd w:id="4243"/>
    <w:bookmarkStart w:name="z4244" w:id="4244"/>
    <w:p>
      <w:pPr>
        <w:spacing w:after="0"/>
        <w:ind w:left="0"/>
        <w:jc w:val="both"/>
      </w:pPr>
      <w:r>
        <w:rPr>
          <w:rFonts w:ascii="Times New Roman"/>
          <w:b w:val="false"/>
          <w:i w:val="false"/>
          <w:color w:val="000000"/>
          <w:sz w:val="28"/>
        </w:rPr>
        <w:t>
      1210. Настоящая глава содержит требования к расположению носовых, бортовых и кормовых закрытий отверстий в наружной обшивке корпуса, прочности элементов конструкции закрытий, задраивающих, стопорящих и опорных устройств.</w:t>
      </w:r>
    </w:p>
    <w:bookmarkEnd w:id="4244"/>
    <w:bookmarkStart w:name="z4245" w:id="4245"/>
    <w:p>
      <w:pPr>
        <w:spacing w:after="0"/>
        <w:ind w:left="0"/>
        <w:jc w:val="both"/>
      </w:pPr>
      <w:r>
        <w:rPr>
          <w:rFonts w:ascii="Times New Roman"/>
          <w:b w:val="false"/>
          <w:i w:val="false"/>
          <w:color w:val="000000"/>
          <w:sz w:val="28"/>
        </w:rPr>
        <w:t>
      Число дверей сведят к минимуму, совместимому с конструкцией и условиями нормальной эксплуатации судна.</w:t>
      </w:r>
    </w:p>
    <w:bookmarkEnd w:id="4245"/>
    <w:bookmarkStart w:name="z4246" w:id="4246"/>
    <w:p>
      <w:pPr>
        <w:spacing w:after="0"/>
        <w:ind w:left="0"/>
        <w:jc w:val="both"/>
      </w:pPr>
      <w:r>
        <w:rPr>
          <w:rFonts w:ascii="Times New Roman"/>
          <w:b w:val="false"/>
          <w:i w:val="false"/>
          <w:color w:val="000000"/>
          <w:sz w:val="28"/>
        </w:rPr>
        <w:t>
      В закрытом и задраенном состоянии двери в наружной обшивке непроницаемы при воздействии моря. Непроницаемость обеспечивают с помощью резиновой или другой подходящей прокладки.</w:t>
      </w:r>
    </w:p>
    <w:bookmarkEnd w:id="4246"/>
    <w:bookmarkStart w:name="z4247" w:id="4247"/>
    <w:p>
      <w:pPr>
        <w:spacing w:after="0"/>
        <w:ind w:left="0"/>
        <w:jc w:val="both"/>
      </w:pPr>
      <w:r>
        <w:rPr>
          <w:rFonts w:ascii="Times New Roman"/>
          <w:b w:val="false"/>
          <w:i w:val="false"/>
          <w:color w:val="000000"/>
          <w:sz w:val="28"/>
        </w:rPr>
        <w:t>
      Толщина обшивки дверей, изготовленных из стали, независимо от выполнения требований пункта 1215 настоящих Правил, не менее указанной в пунктах 321 и 543 настоящих Правил, для соответствующего района расположения двери;</w:t>
      </w:r>
    </w:p>
    <w:bookmarkEnd w:id="4247"/>
    <w:bookmarkStart w:name="z4248" w:id="4248"/>
    <w:p>
      <w:pPr>
        <w:spacing w:after="0"/>
        <w:ind w:left="0"/>
        <w:jc w:val="both"/>
      </w:pPr>
      <w:r>
        <w:rPr>
          <w:rFonts w:ascii="Times New Roman"/>
          <w:b w:val="false"/>
          <w:i w:val="false"/>
          <w:color w:val="000000"/>
          <w:sz w:val="28"/>
        </w:rPr>
        <w:t>
      минимальная толщина обшивки дверей из других материалов является в каждом случае предметом специального рассмотрения Регистром судоходства.</w:t>
      </w:r>
    </w:p>
    <w:bookmarkEnd w:id="4248"/>
    <w:bookmarkStart w:name="z4249" w:id="4249"/>
    <w:p>
      <w:pPr>
        <w:spacing w:after="0"/>
        <w:ind w:left="0"/>
        <w:jc w:val="both"/>
      </w:pPr>
      <w:r>
        <w:rPr>
          <w:rFonts w:ascii="Times New Roman"/>
          <w:b w:val="false"/>
          <w:i w:val="false"/>
          <w:color w:val="000000"/>
          <w:sz w:val="28"/>
        </w:rPr>
        <w:t>
      Для дверей с площадью отверстия в свету 12 м</w:t>
      </w:r>
      <w:r>
        <w:rPr>
          <w:rFonts w:ascii="Times New Roman"/>
          <w:b w:val="false"/>
          <w:i w:val="false"/>
          <w:color w:val="000000"/>
          <w:vertAlign w:val="superscript"/>
        </w:rPr>
        <w:t>2</w:t>
      </w:r>
      <w:r>
        <w:rPr>
          <w:rFonts w:ascii="Times New Roman"/>
          <w:b w:val="false"/>
          <w:i w:val="false"/>
          <w:color w:val="000000"/>
          <w:sz w:val="28"/>
        </w:rPr>
        <w:t xml:space="preserve"> и более предусматриваются задраивающие устройства с приводом от источника энергии или с ручным приводом, осуществляющим задраивание с легкодоступного места.</w:t>
      </w:r>
    </w:p>
    <w:bookmarkEnd w:id="4249"/>
    <w:bookmarkStart w:name="z4250" w:id="4250"/>
    <w:p>
      <w:pPr>
        <w:spacing w:after="0"/>
        <w:ind w:left="0"/>
        <w:jc w:val="both"/>
      </w:pPr>
      <w:r>
        <w:rPr>
          <w:rFonts w:ascii="Times New Roman"/>
          <w:b w:val="false"/>
          <w:i w:val="false"/>
          <w:color w:val="000000"/>
          <w:sz w:val="28"/>
        </w:rPr>
        <w:t>
      1211. При применении задраивающих устройств с приводом от источника энергии или с ручным приводом обращают особое внимание на то, чтобы двери в задраенном состоянии сохраняли свою непроницаемость и оставались задраенными при повреждении любого узла привода задраивающего устройства.</w:t>
      </w:r>
    </w:p>
    <w:bookmarkEnd w:id="4250"/>
    <w:bookmarkStart w:name="z4251" w:id="4251"/>
    <w:p>
      <w:pPr>
        <w:spacing w:after="0"/>
        <w:ind w:left="0"/>
        <w:jc w:val="both"/>
      </w:pPr>
      <w:r>
        <w:rPr>
          <w:rFonts w:ascii="Times New Roman"/>
          <w:b w:val="false"/>
          <w:i w:val="false"/>
          <w:color w:val="000000"/>
          <w:sz w:val="28"/>
        </w:rPr>
        <w:t>
      Задраивающие устройства с гидравлическим приводом снабжают ручным или механическим стопорящим приспособлением, удерживающим их в задраенном положении.</w:t>
      </w:r>
    </w:p>
    <w:bookmarkEnd w:id="4251"/>
    <w:bookmarkStart w:name="z4252" w:id="4252"/>
    <w:p>
      <w:pPr>
        <w:spacing w:after="0"/>
        <w:ind w:left="0"/>
        <w:jc w:val="both"/>
      </w:pPr>
      <w:r>
        <w:rPr>
          <w:rFonts w:ascii="Times New Roman"/>
          <w:b w:val="false"/>
          <w:i w:val="false"/>
          <w:color w:val="000000"/>
          <w:sz w:val="28"/>
        </w:rPr>
        <w:t>
      1212. При применении задраивающих устройств с приводом от источника энергии или с ручным приводом предусматривают указатели, показывающие, когда дверь находится в полностью задраенном состоянии, и когда она не задраена.</w:t>
      </w:r>
    </w:p>
    <w:bookmarkEnd w:id="4252"/>
    <w:bookmarkStart w:name="z4253" w:id="4253"/>
    <w:p>
      <w:pPr>
        <w:spacing w:after="0"/>
        <w:ind w:left="0"/>
        <w:jc w:val="both"/>
      </w:pPr>
      <w:r>
        <w:rPr>
          <w:rFonts w:ascii="Times New Roman"/>
          <w:b w:val="false"/>
          <w:i w:val="false"/>
          <w:color w:val="000000"/>
          <w:sz w:val="28"/>
        </w:rPr>
        <w:t>
      Эти указатели устанавливают в месте, откуда осуществляется управление приводом задраивающих устройств, а при использовании привода от источника энергии также и на ходовом мостике.</w:t>
      </w:r>
    </w:p>
    <w:bookmarkEnd w:id="4253"/>
    <w:bookmarkStart w:name="z4254" w:id="4254"/>
    <w:p>
      <w:pPr>
        <w:spacing w:after="0"/>
        <w:ind w:left="0"/>
        <w:jc w:val="both"/>
      </w:pPr>
      <w:r>
        <w:rPr>
          <w:rFonts w:ascii="Times New Roman"/>
          <w:b w:val="false"/>
          <w:i w:val="false"/>
          <w:color w:val="000000"/>
          <w:sz w:val="28"/>
        </w:rPr>
        <w:t>
      1213. Если открытие и закрытие двери в силу специального назначения судна предусматривается не только в портах, но и в море, предусматривают одобренные Регистром судоходства мероприятия (с учетом условий эксплуатации), обеспечивающие закрытие и полное задраивание открытой двери даже при выходе из строя привода двери и привода задраивающих устройств, либо другие одобренные Регистром судоходства мероприятия, исключающие проникновение воды в помещения судна при открытой двери.</w:t>
      </w:r>
    </w:p>
    <w:bookmarkEnd w:id="4254"/>
    <w:bookmarkStart w:name="z4255" w:id="4255"/>
    <w:p>
      <w:pPr>
        <w:spacing w:after="0"/>
        <w:ind w:left="0"/>
        <w:jc w:val="both"/>
      </w:pPr>
      <w:r>
        <w:rPr>
          <w:rFonts w:ascii="Times New Roman"/>
          <w:b w:val="false"/>
          <w:i w:val="false"/>
          <w:color w:val="000000"/>
          <w:sz w:val="28"/>
        </w:rPr>
        <w:t>
      Предусматривают устройства, обеспечивающие надежное стопорение двери в открытом положении.</w:t>
      </w:r>
    </w:p>
    <w:bookmarkEnd w:id="4255"/>
    <w:bookmarkStart w:name="z4256" w:id="4256"/>
    <w:p>
      <w:pPr>
        <w:spacing w:after="0"/>
        <w:ind w:left="0"/>
        <w:jc w:val="both"/>
      </w:pPr>
      <w:r>
        <w:rPr>
          <w:rFonts w:ascii="Times New Roman"/>
          <w:b w:val="false"/>
          <w:i w:val="false"/>
          <w:color w:val="000000"/>
          <w:sz w:val="28"/>
        </w:rPr>
        <w:t>
      Приводы таких дверей отвечают требованиям разделов 11 и 13 настоящих Правил.</w:t>
      </w:r>
    </w:p>
    <w:bookmarkEnd w:id="4256"/>
    <w:bookmarkStart w:name="z4257" w:id="4257"/>
    <w:p>
      <w:pPr>
        <w:spacing w:after="0"/>
        <w:ind w:left="0"/>
        <w:jc w:val="both"/>
      </w:pPr>
      <w:r>
        <w:rPr>
          <w:rFonts w:ascii="Times New Roman"/>
          <w:b w:val="false"/>
          <w:i w:val="false"/>
          <w:color w:val="000000"/>
          <w:sz w:val="28"/>
        </w:rPr>
        <w:t>
      1214. У каждой двери предусмотрена хорошо видимая надпись о том, что перед выходом судна из порта дверь закрыта и задраена, а для дверей, указанных в пункте 1213 настоящих Правил, кроме того, надпись о том, что в море открытие двери разрешается только капитану.</w:t>
      </w:r>
    </w:p>
    <w:bookmarkEnd w:id="4257"/>
    <w:bookmarkStart w:name="z4258" w:id="4258"/>
    <w:p>
      <w:pPr>
        <w:spacing w:after="0"/>
        <w:ind w:left="0"/>
        <w:jc w:val="both"/>
      </w:pPr>
      <w:r>
        <w:rPr>
          <w:rFonts w:ascii="Times New Roman"/>
          <w:b w:val="false"/>
          <w:i w:val="false"/>
          <w:color w:val="000000"/>
          <w:sz w:val="28"/>
        </w:rPr>
        <w:t>
      1215. При действии расчетных нагрузок, определяемых согласно параграфов 2 и 3 главы 69 настоящих Правил, за исключением указанных в пункте 1220 настоящих Правил, напряжения, МПа, в элементах конструкции закрытий, а также задраивающих, стопорящих и опорных устройств не превышают следующих значений:</w:t>
      </w:r>
    </w:p>
    <w:bookmarkEnd w:id="4258"/>
    <w:p>
      <w:pPr>
        <w:spacing w:after="0"/>
        <w:ind w:left="0"/>
        <w:jc w:val="both"/>
      </w:pPr>
      <w:r>
        <w:rPr>
          <w:rFonts w:ascii="Times New Roman"/>
          <w:b w:val="false"/>
          <w:i w:val="false"/>
          <w:color w:val="000000"/>
          <w:sz w:val="28"/>
        </w:rPr>
        <w:t>
      нормальные напряжения: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120/k,                        (545)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касательные напряжения: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80/k,                          (546)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приведенные напряжения: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 150/k,                    (547)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1,0 — для стали с верхним пределом текучести материала R</w:t>
      </w:r>
      <w:r>
        <w:rPr>
          <w:rFonts w:ascii="Times New Roman"/>
          <w:b w:val="false"/>
          <w:i w:val="false"/>
          <w:color w:val="000000"/>
          <w:vertAlign w:val="subscript"/>
        </w:rPr>
        <w:t>ен</w:t>
      </w:r>
      <w:r>
        <w:rPr>
          <w:rFonts w:ascii="Times New Roman"/>
          <w:b w:val="false"/>
          <w:i w:val="false"/>
          <w:color w:val="000000"/>
          <w:sz w:val="28"/>
        </w:rPr>
        <w:t xml:space="preserve"> — 235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0,78 — для стали с R</w:t>
      </w:r>
      <w:r>
        <w:rPr>
          <w:rFonts w:ascii="Times New Roman"/>
          <w:b w:val="false"/>
          <w:i w:val="false"/>
          <w:color w:val="000000"/>
          <w:vertAlign w:val="subscript"/>
        </w:rPr>
        <w:t>eH</w:t>
      </w:r>
      <w:r>
        <w:rPr>
          <w:rFonts w:ascii="Times New Roman"/>
          <w:b w:val="false"/>
          <w:i w:val="false"/>
          <w:color w:val="000000"/>
          <w:sz w:val="28"/>
        </w:rPr>
        <w:t xml:space="preserve"> = 315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0,72 — для стали с R</w:t>
      </w:r>
      <w:r>
        <w:rPr>
          <w:rFonts w:ascii="Times New Roman"/>
          <w:b w:val="false"/>
          <w:i w:val="false"/>
          <w:color w:val="000000"/>
          <w:vertAlign w:val="subscript"/>
        </w:rPr>
        <w:t>ен</w:t>
      </w:r>
      <w:r>
        <w:rPr>
          <w:rFonts w:ascii="Times New Roman"/>
          <w:b w:val="false"/>
          <w:i w:val="false"/>
          <w:color w:val="000000"/>
          <w:sz w:val="28"/>
        </w:rPr>
        <w:t xml:space="preserve"> — 335 Мпа.</w:t>
      </w:r>
    </w:p>
    <w:bookmarkStart w:name="z4259" w:id="4259"/>
    <w:p>
      <w:pPr>
        <w:spacing w:after="0"/>
        <w:ind w:left="0"/>
        <w:jc w:val="left"/>
      </w:pPr>
      <w:r>
        <w:rPr>
          <w:rFonts w:ascii="Times New Roman"/>
          <w:b/>
          <w:i w:val="false"/>
          <w:color w:val="000000"/>
        </w:rPr>
        <w:t xml:space="preserve"> Параграф 2. Носовые двери</w:t>
      </w:r>
    </w:p>
    <w:bookmarkEnd w:id="4259"/>
    <w:bookmarkStart w:name="z4260" w:id="4260"/>
    <w:p>
      <w:pPr>
        <w:spacing w:after="0"/>
        <w:ind w:left="0"/>
        <w:jc w:val="both"/>
      </w:pPr>
      <w:r>
        <w:rPr>
          <w:rFonts w:ascii="Times New Roman"/>
          <w:b w:val="false"/>
          <w:i w:val="false"/>
          <w:color w:val="000000"/>
          <w:sz w:val="28"/>
        </w:rPr>
        <w:t>
      1216. Носовые двери располагают выше палубы надводного борта.</w:t>
      </w:r>
    </w:p>
    <w:bookmarkEnd w:id="4260"/>
    <w:bookmarkStart w:name="z4261" w:id="4261"/>
    <w:p>
      <w:pPr>
        <w:spacing w:after="0"/>
        <w:ind w:left="0"/>
        <w:jc w:val="both"/>
      </w:pPr>
      <w:r>
        <w:rPr>
          <w:rFonts w:ascii="Times New Roman"/>
          <w:b w:val="false"/>
          <w:i w:val="false"/>
          <w:color w:val="000000"/>
          <w:sz w:val="28"/>
        </w:rPr>
        <w:t>
      1217. Если носовая дверь ведет в закрытую надстройку, простирающуюся на всю длину судна, или в длинную носовую закрытую надстройку, предусматривается внутренняя непроницаемая при воздействии моря дверь, установленная в продолжении таранной переборки выше палубы надводного борта судна.</w:t>
      </w:r>
    </w:p>
    <w:bookmarkEnd w:id="4261"/>
    <w:bookmarkStart w:name="z4262" w:id="4262"/>
    <w:p>
      <w:pPr>
        <w:spacing w:after="0"/>
        <w:ind w:left="0"/>
        <w:jc w:val="both"/>
      </w:pPr>
      <w:r>
        <w:rPr>
          <w:rFonts w:ascii="Times New Roman"/>
          <w:b w:val="false"/>
          <w:i w:val="false"/>
          <w:color w:val="000000"/>
          <w:sz w:val="28"/>
        </w:rPr>
        <w:t>
      Носовая и внутренняя двери устанавливаются таким образом, чтобы исключалась возможность повреждения внутренней двери или таранной переборки при повреждении или отрыве носовой двери.</w:t>
      </w:r>
    </w:p>
    <w:bookmarkEnd w:id="4262"/>
    <w:bookmarkStart w:name="z4263" w:id="4263"/>
    <w:p>
      <w:pPr>
        <w:spacing w:after="0"/>
        <w:ind w:left="0"/>
        <w:jc w:val="both"/>
      </w:pPr>
      <w:r>
        <w:rPr>
          <w:rFonts w:ascii="Times New Roman"/>
          <w:b w:val="false"/>
          <w:i w:val="false"/>
          <w:color w:val="000000"/>
          <w:sz w:val="28"/>
        </w:rPr>
        <w:t>
      1218. Расчетное наружное давление Р</w:t>
      </w:r>
      <w:r>
        <w:rPr>
          <w:rFonts w:ascii="Times New Roman"/>
          <w:b w:val="false"/>
          <w:i w:val="false"/>
          <w:color w:val="000000"/>
          <w:vertAlign w:val="subscript"/>
        </w:rPr>
        <w:t>е</w:t>
      </w:r>
      <w:r>
        <w:rPr>
          <w:rFonts w:ascii="Times New Roman"/>
          <w:b w:val="false"/>
          <w:i w:val="false"/>
          <w:color w:val="000000"/>
          <w:sz w:val="28"/>
        </w:rPr>
        <w:t>, кПа, для элементов конструкции закрытий, задраивающих, стопорящих и опорных устройств определяется по формуле:</w:t>
      </w:r>
    </w:p>
    <w:bookmarkEnd w:id="4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436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н</w:t>
      </w:r>
      <w:r>
        <w:rPr>
          <w:rFonts w:ascii="Times New Roman"/>
          <w:b w:val="false"/>
          <w:i w:val="false"/>
          <w:color w:val="000000"/>
          <w:sz w:val="28"/>
        </w:rPr>
        <w:t xml:space="preserve"> — коэффициент, равный: 0,0125</w:t>
      </w:r>
      <w:r>
        <w:rPr>
          <w:rFonts w:ascii="Times New Roman"/>
          <w:b w:val="false"/>
          <w:i/>
          <w:color w:val="000000"/>
          <w:sz w:val="28"/>
        </w:rPr>
        <w:t>L</w:t>
      </w:r>
      <w:r>
        <w:rPr>
          <w:rFonts w:ascii="Times New Roman"/>
          <w:b w:val="false"/>
          <w:i w:val="false"/>
          <w:color w:val="000000"/>
          <w:sz w:val="28"/>
        </w:rPr>
        <w:t xml:space="preserve"> — для судов длиной менее 80 м; 1,0 — для судов длиной 80 м и более;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—спецификационная скорость судна на переднем ходу, уз;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углы, определяемые согласно приложению 171 настоящих Правил.</w:t>
      </w:r>
      <w:r>
        <w:br/>
      </w:r>
      <w:r>
        <w:rPr>
          <w:rFonts w:ascii="Times New Roman"/>
          <w:b w:val="false"/>
          <w:i w:val="false"/>
          <w:color w:val="000000"/>
          <w:sz w:val="28"/>
        </w:rPr>
        <w:t>
</w:t>
      </w:r>
    </w:p>
    <w:bookmarkStart w:name="z4264" w:id="4264"/>
    <w:p>
      <w:pPr>
        <w:spacing w:after="0"/>
        <w:ind w:left="0"/>
        <w:jc w:val="both"/>
      </w:pPr>
      <w:r>
        <w:rPr>
          <w:rFonts w:ascii="Times New Roman"/>
          <w:b w:val="false"/>
          <w:i w:val="false"/>
          <w:color w:val="000000"/>
          <w:sz w:val="28"/>
        </w:rPr>
        <w:t>
      Расчетное наружное давление возможно уменьшить для судов  ограниченных районов плавания R2-RSN и R3-RSN на 20 %, для судов ограниченного района плавания R3 — на 40 %.</w:t>
      </w:r>
    </w:p>
    <w:bookmarkEnd w:id="4264"/>
    <w:bookmarkStart w:name="z4265" w:id="4265"/>
    <w:p>
      <w:pPr>
        <w:spacing w:after="0"/>
        <w:ind w:left="0"/>
        <w:jc w:val="both"/>
      </w:pPr>
      <w:r>
        <w:rPr>
          <w:rFonts w:ascii="Times New Roman"/>
          <w:b w:val="false"/>
          <w:i w:val="false"/>
          <w:color w:val="000000"/>
          <w:sz w:val="28"/>
        </w:rPr>
        <w:t>
      В любом случае расчетное наружное давление Р</w:t>
      </w:r>
      <w:r>
        <w:rPr>
          <w:rFonts w:ascii="Times New Roman"/>
          <w:b w:val="false"/>
          <w:i w:val="false"/>
          <w:color w:val="000000"/>
          <w:vertAlign w:val="subscript"/>
        </w:rPr>
        <w:t>е</w:t>
      </w:r>
      <w:r>
        <w:rPr>
          <w:rFonts w:ascii="Times New Roman"/>
          <w:b w:val="false"/>
          <w:i w:val="false"/>
          <w:color w:val="000000"/>
          <w:sz w:val="28"/>
        </w:rPr>
        <w:t xml:space="preserve"> не принимается менее значений, определяемых согласно пунктам 171 или 485 настоящих Правил, в зависимости от того, что больше.</w:t>
      </w:r>
    </w:p>
    <w:bookmarkEnd w:id="4265"/>
    <w:bookmarkStart w:name="z4266" w:id="4266"/>
    <w:p>
      <w:pPr>
        <w:spacing w:after="0"/>
        <w:ind w:left="0"/>
        <w:jc w:val="both"/>
      </w:pPr>
      <w:r>
        <w:rPr>
          <w:rFonts w:ascii="Times New Roman"/>
          <w:b w:val="false"/>
          <w:i w:val="false"/>
          <w:color w:val="000000"/>
          <w:sz w:val="28"/>
        </w:rPr>
        <w:t>
      1219. Расчетное внутреннее давление Р</w:t>
      </w:r>
      <w:r>
        <w:rPr>
          <w:rFonts w:ascii="Times New Roman"/>
          <w:b w:val="false"/>
          <w:i w:val="false"/>
          <w:color w:val="000000"/>
          <w:vertAlign w:val="subscript"/>
        </w:rPr>
        <w:t>i</w:t>
      </w:r>
      <w:r>
        <w:rPr>
          <w:rFonts w:ascii="Times New Roman"/>
          <w:b w:val="false"/>
          <w:i w:val="false"/>
          <w:color w:val="000000"/>
          <w:sz w:val="28"/>
        </w:rPr>
        <w:t>, кПа, для элементовконструкции закрытий, задраивающих, стопорящих и опорных устройств определяется по формуле:</w:t>
      </w:r>
    </w:p>
    <w:bookmarkEnd w:id="426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i</w:t>
      </w:r>
      <w:r>
        <w:rPr>
          <w:rFonts w:ascii="Times New Roman"/>
          <w:b w:val="false"/>
          <w:i w:val="false"/>
          <w:color w:val="000000"/>
          <w:sz w:val="28"/>
        </w:rPr>
        <w:t xml:space="preserve"> = 10z,                          (549)</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z</w:t>
      </w:r>
      <w:r>
        <w:rPr>
          <w:rFonts w:ascii="Times New Roman"/>
          <w:b w:val="false"/>
          <w:i w:val="false"/>
          <w:color w:val="000000"/>
          <w:sz w:val="28"/>
        </w:rPr>
        <w:t xml:space="preserve"> — вертикальное расстояние от центра тяжести площади двери до находящейся над ней палубы, м.</w:t>
      </w:r>
    </w:p>
    <w:bookmarkStart w:name="z4267" w:id="4267"/>
    <w:p>
      <w:pPr>
        <w:spacing w:after="0"/>
        <w:ind w:left="0"/>
        <w:jc w:val="both"/>
      </w:pPr>
      <w:r>
        <w:rPr>
          <w:rFonts w:ascii="Times New Roman"/>
          <w:b w:val="false"/>
          <w:i w:val="false"/>
          <w:color w:val="000000"/>
          <w:sz w:val="28"/>
        </w:rPr>
        <w:t>
      Во всех случаях величина внутреннего давления Р</w:t>
      </w:r>
      <w:r>
        <w:rPr>
          <w:rFonts w:ascii="Times New Roman"/>
          <w:b w:val="false"/>
          <w:i w:val="false"/>
          <w:color w:val="000000"/>
          <w:vertAlign w:val="subscript"/>
        </w:rPr>
        <w:t>i</w:t>
      </w:r>
      <w:r>
        <w:rPr>
          <w:rFonts w:ascii="Times New Roman"/>
          <w:b w:val="false"/>
          <w:i w:val="false"/>
          <w:color w:val="000000"/>
          <w:sz w:val="28"/>
        </w:rPr>
        <w:t xml:space="preserve"> не принимается менее 25 кПа.</w:t>
      </w:r>
    </w:p>
    <w:bookmarkEnd w:id="4267"/>
    <w:bookmarkStart w:name="z4268" w:id="4268"/>
    <w:p>
      <w:pPr>
        <w:spacing w:after="0"/>
        <w:ind w:left="0"/>
        <w:jc w:val="both"/>
      </w:pPr>
      <w:r>
        <w:rPr>
          <w:rFonts w:ascii="Times New Roman"/>
          <w:b w:val="false"/>
          <w:i w:val="false"/>
          <w:color w:val="000000"/>
          <w:sz w:val="28"/>
        </w:rPr>
        <w:t>
      1220 Выбор размеров основных элементов конструкции носовых объемных дверей производится согласно требованиям параграфа 4 главы 22 настоящих Правил.</w:t>
      </w:r>
    </w:p>
    <w:bookmarkEnd w:id="4268"/>
    <w:bookmarkStart w:name="z4269" w:id="4269"/>
    <w:p>
      <w:pPr>
        <w:spacing w:after="0"/>
        <w:ind w:left="0"/>
        <w:jc w:val="both"/>
      </w:pPr>
      <w:r>
        <w:rPr>
          <w:rFonts w:ascii="Times New Roman"/>
          <w:b w:val="false"/>
          <w:i w:val="false"/>
          <w:color w:val="000000"/>
          <w:sz w:val="28"/>
        </w:rPr>
        <w:t>
      1221. Задраивающие и стопорящие устройства дверей рассчитывают на действие усилий F</w:t>
      </w:r>
      <w:r>
        <w:rPr>
          <w:rFonts w:ascii="Times New Roman"/>
          <w:b w:val="false"/>
          <w:i w:val="false"/>
          <w:color w:val="000000"/>
          <w:vertAlign w:val="subscript"/>
        </w:rPr>
        <w:t>e</w:t>
      </w:r>
      <w:r>
        <w:rPr>
          <w:rFonts w:ascii="Times New Roman"/>
          <w:b w:val="false"/>
          <w:i w:val="false"/>
          <w:color w:val="000000"/>
          <w:sz w:val="28"/>
        </w:rPr>
        <w:t xml:space="preserve"> или F</w:t>
      </w:r>
      <w:r>
        <w:rPr>
          <w:rFonts w:ascii="Times New Roman"/>
          <w:b w:val="false"/>
          <w:i w:val="false"/>
          <w:color w:val="000000"/>
          <w:vertAlign w:val="subscript"/>
        </w:rPr>
        <w:t>j</w:t>
      </w:r>
      <w:r>
        <w:rPr>
          <w:rFonts w:ascii="Times New Roman"/>
          <w:b w:val="false"/>
          <w:i w:val="false"/>
          <w:color w:val="000000"/>
          <w:sz w:val="28"/>
        </w:rPr>
        <w:t>, кН, определяемых по формулам:</w:t>
      </w:r>
    </w:p>
    <w:bookmarkEnd w:id="4269"/>
    <w:bookmarkStart w:name="z4270" w:id="4270"/>
    <w:p>
      <w:pPr>
        <w:spacing w:after="0"/>
        <w:ind w:left="0"/>
        <w:jc w:val="both"/>
      </w:pPr>
      <w:r>
        <w:rPr>
          <w:rFonts w:ascii="Times New Roman"/>
          <w:b w:val="false"/>
          <w:i w:val="false"/>
          <w:color w:val="000000"/>
          <w:sz w:val="28"/>
        </w:rPr>
        <w:t>
      для дверей, открывающихся внутрь:</w:t>
      </w:r>
    </w:p>
    <w:bookmarkEnd w:id="4270"/>
    <w:p>
      <w:pPr>
        <w:spacing w:after="0"/>
        <w:ind w:left="0"/>
        <w:jc w:val="both"/>
      </w:pPr>
      <w:r>
        <w:rPr>
          <w:rFonts w:ascii="Times New Roman"/>
          <w:b w:val="false"/>
          <w:i w:val="false"/>
          <w:color w:val="000000"/>
          <w:sz w:val="28"/>
        </w:rPr>
        <w:t>
                              F</w:t>
      </w:r>
      <w:r>
        <w:rPr>
          <w:rFonts w:ascii="Times New Roman"/>
          <w:b w:val="false"/>
          <w:i w:val="false"/>
          <w:color w:val="000000"/>
          <w:vertAlign w:val="subscript"/>
        </w:rPr>
        <w:t>e</w:t>
      </w:r>
      <w:r>
        <w:rPr>
          <w:rFonts w:ascii="Times New Roman"/>
          <w:b w:val="false"/>
          <w:i w:val="false"/>
          <w:color w:val="000000"/>
          <w:sz w:val="28"/>
        </w:rPr>
        <w:t xml:space="preserve"> = AP</w:t>
      </w:r>
      <w:r>
        <w:rPr>
          <w:rFonts w:ascii="Times New Roman"/>
          <w:b w:val="false"/>
          <w:i w:val="false"/>
          <w:color w:val="000000"/>
          <w:vertAlign w:val="subscript"/>
        </w:rPr>
        <w:t>e</w:t>
      </w:r>
      <w:r>
        <w:rPr>
          <w:rFonts w:ascii="Times New Roman"/>
          <w:b w:val="false"/>
          <w:i w:val="false"/>
          <w:color w:val="000000"/>
          <w:sz w:val="28"/>
        </w:rPr>
        <w:t>+р</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(550)</w:t>
      </w:r>
    </w:p>
    <w:bookmarkStart w:name="z4271" w:id="4271"/>
    <w:p>
      <w:pPr>
        <w:spacing w:after="0"/>
        <w:ind w:left="0"/>
        <w:jc w:val="both"/>
      </w:pPr>
      <w:r>
        <w:rPr>
          <w:rFonts w:ascii="Times New Roman"/>
          <w:b w:val="false"/>
          <w:i w:val="false"/>
          <w:color w:val="000000"/>
          <w:sz w:val="28"/>
        </w:rPr>
        <w:t>
      для дверей, открывающихся наружу:</w:t>
      </w:r>
    </w:p>
    <w:bookmarkEnd w:id="4271"/>
    <w:p>
      <w:pPr>
        <w:spacing w:after="0"/>
        <w:ind w:left="0"/>
        <w:jc w:val="both"/>
      </w:pPr>
      <w:r>
        <w:rPr>
          <w:rFonts w:ascii="Times New Roman"/>
          <w:b w:val="false"/>
          <w:i w:val="false"/>
          <w:color w:val="000000"/>
          <w:sz w:val="28"/>
        </w:rPr>
        <w:t>
                           F</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color w:val="000000"/>
          <w:sz w:val="28"/>
        </w:rPr>
        <w:t>APi</w:t>
      </w:r>
      <w:r>
        <w:rPr>
          <w:rFonts w:ascii="Times New Roman"/>
          <w:b w:val="false"/>
          <w:i w:val="false"/>
          <w:color w:val="000000"/>
          <w:sz w:val="28"/>
        </w:rPr>
        <w:t>+10</w:t>
      </w:r>
      <w:r>
        <w:rPr>
          <w:rFonts w:ascii="Times New Roman"/>
          <w:b w:val="false"/>
          <w:i/>
          <w:color w:val="000000"/>
          <w:sz w:val="28"/>
        </w:rPr>
        <w:t>Q</w:t>
      </w:r>
      <w:r>
        <w:rPr>
          <w:rFonts w:ascii="Times New Roman"/>
          <w:b w:val="false"/>
          <w:i w:val="false"/>
          <w:color w:val="000000"/>
          <w:sz w:val="28"/>
        </w:rPr>
        <w:t xml:space="preserve"> +p</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(551),</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площадь двери в свету,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е</w:t>
      </w:r>
      <w:r>
        <w:rPr>
          <w:rFonts w:ascii="Times New Roman"/>
          <w:b w:val="false"/>
          <w:i w:val="false"/>
          <w:color w:val="000000"/>
          <w:sz w:val="28"/>
        </w:rPr>
        <w:t xml:space="preserve"> — пункт 1218 настоящих Правил;</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пункт 1219 настоящих Правил;</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w:t>
      </w:r>
      <w:r>
        <w:rPr>
          <w:rFonts w:ascii="Times New Roman"/>
          <w:b w:val="false"/>
          <w:i w:val="false"/>
          <w:color w:val="000000"/>
          <w:sz w:val="28"/>
        </w:rPr>
        <w:t xml:space="preserve"> — давление уплотняющей прокладки при сжатии ее на максимально возможную глубину, кН/м, в расчетах принимаемое не менее 5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xml:space="preserve"> — длина уплотняющей прокладки,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масса двери, т.</w:t>
      </w:r>
    </w:p>
    <w:bookmarkStart w:name="z4272" w:id="4272"/>
    <w:p>
      <w:pPr>
        <w:spacing w:after="0"/>
        <w:ind w:left="0"/>
        <w:jc w:val="both"/>
      </w:pPr>
      <w:r>
        <w:rPr>
          <w:rFonts w:ascii="Times New Roman"/>
          <w:b w:val="false"/>
          <w:i w:val="false"/>
          <w:color w:val="000000"/>
          <w:sz w:val="28"/>
        </w:rPr>
        <w:t>
      1222. Задраивающие и стопорящие устройства, а также опорные конструкции носовых объемных дверей типа "визор" рассчитывают на действие усилий F</w:t>
      </w:r>
      <w:r>
        <w:rPr>
          <w:rFonts w:ascii="Times New Roman"/>
          <w:b w:val="false"/>
          <w:i w:val="false"/>
          <w:color w:val="000000"/>
          <w:vertAlign w:val="subscript"/>
        </w:rPr>
        <w:t>хн</w:t>
      </w:r>
      <w:r>
        <w:rPr>
          <w:rFonts w:ascii="Times New Roman"/>
          <w:b w:val="false"/>
          <w:i w:val="false"/>
          <w:color w:val="000000"/>
          <w:sz w:val="28"/>
        </w:rPr>
        <w:t>, F</w:t>
      </w:r>
      <w:r>
        <w:rPr>
          <w:rFonts w:ascii="Times New Roman"/>
          <w:b w:val="false"/>
          <w:i w:val="false"/>
          <w:color w:val="000000"/>
          <w:vertAlign w:val="subscript"/>
        </w:rPr>
        <w:t>хк</w:t>
      </w:r>
      <w:r>
        <w:rPr>
          <w:rFonts w:ascii="Times New Roman"/>
          <w:b w:val="false"/>
          <w:i w:val="false"/>
          <w:color w:val="000000"/>
          <w:sz w:val="28"/>
        </w:rPr>
        <w:t>, F</w:t>
      </w:r>
      <w:r>
        <w:rPr>
          <w:rFonts w:ascii="Times New Roman"/>
          <w:b w:val="false"/>
          <w:i w:val="false"/>
          <w:color w:val="000000"/>
          <w:vertAlign w:val="subscript"/>
        </w:rPr>
        <w:t>y</w:t>
      </w:r>
      <w:r>
        <w:rPr>
          <w:rFonts w:ascii="Times New Roman"/>
          <w:b w:val="false"/>
          <w:i w:val="false"/>
          <w:color w:val="000000"/>
          <w:sz w:val="28"/>
        </w:rPr>
        <w:t xml:space="preserve"> и F</w:t>
      </w:r>
      <w:r>
        <w:rPr>
          <w:rFonts w:ascii="Times New Roman"/>
          <w:b w:val="false"/>
          <w:i w:val="false"/>
          <w:color w:val="000000"/>
          <w:vertAlign w:val="subscript"/>
        </w:rPr>
        <w:t>z</w:t>
      </w:r>
      <w:r>
        <w:rPr>
          <w:rFonts w:ascii="Times New Roman"/>
          <w:b w:val="false"/>
          <w:i w:val="false"/>
          <w:color w:val="000000"/>
          <w:sz w:val="28"/>
        </w:rPr>
        <w:t>, кН.</w:t>
      </w:r>
    </w:p>
    <w:bookmarkEnd w:id="4272"/>
    <w:bookmarkStart w:name="z4273" w:id="4273"/>
    <w:p>
      <w:pPr>
        <w:spacing w:after="0"/>
        <w:ind w:left="0"/>
        <w:jc w:val="both"/>
      </w:pPr>
      <w:r>
        <w:rPr>
          <w:rFonts w:ascii="Times New Roman"/>
          <w:b w:val="false"/>
          <w:i w:val="false"/>
          <w:color w:val="000000"/>
          <w:sz w:val="28"/>
        </w:rPr>
        <w:t>
      Усилия, действующие в продольном направлении, определяются по формулам:</w:t>
      </w:r>
    </w:p>
    <w:bookmarkEnd w:id="4273"/>
    <w:p>
      <w:pPr>
        <w:spacing w:after="0"/>
        <w:ind w:left="0"/>
        <w:jc w:val="both"/>
      </w:pPr>
      <w:r>
        <w:rPr>
          <w:rFonts w:ascii="Times New Roman"/>
          <w:b w:val="false"/>
          <w:i w:val="false"/>
          <w:color w:val="000000"/>
          <w:sz w:val="28"/>
        </w:rPr>
        <w:t>
      нос:</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хн</w:t>
      </w:r>
      <w:r>
        <w:rPr>
          <w:rFonts w:ascii="Times New Roman"/>
          <w:b w:val="false"/>
          <w:i w:val="false"/>
          <w:color w:val="000000"/>
          <w:sz w:val="28"/>
        </w:rPr>
        <w:t xml:space="preserve"> = </w:t>
      </w:r>
    </w:p>
    <w:p>
      <w:pPr>
        <w:spacing w:after="0"/>
        <w:ind w:left="0"/>
        <w:jc w:val="both"/>
      </w:pPr>
      <w:r>
        <w:drawing>
          <wp:inline distT="0" distB="0" distL="0" distR="0">
            <wp:extent cx="1651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651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корма: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хк</w:t>
      </w:r>
      <w:r>
        <w:rPr>
          <w:rFonts w:ascii="Times New Roman"/>
          <w:b w:val="false"/>
          <w:i w:val="false"/>
          <w:color w:val="000000"/>
          <w:sz w:val="28"/>
        </w:rPr>
        <w:t xml:space="preserve"> = </w:t>
      </w:r>
    </w:p>
    <w:p>
      <w:pPr>
        <w:spacing w:after="0"/>
        <w:ind w:left="0"/>
        <w:jc w:val="both"/>
      </w:pPr>
      <w:r>
        <w:drawing>
          <wp:inline distT="0" distB="0" distL="0" distR="0">
            <wp:extent cx="1219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219200" cy="647700"/>
                    </a:xfrm>
                    <a:prstGeom prst="rect">
                      <a:avLst/>
                    </a:prstGeom>
                  </pic:spPr>
                </pic:pic>
              </a:graphicData>
            </a:graphic>
          </wp:inline>
        </w:drawing>
      </w:r>
    </w:p>
    <w:p>
      <w:pPr>
        <w:spacing w:after="0"/>
        <w:ind w:left="0"/>
        <w:jc w:val="left"/>
      </w:pPr>
      <w:r>
        <w:rPr>
          <w:rFonts w:ascii="Times New Roman"/>
          <w:b w:val="false"/>
          <w:i w:val="false"/>
          <w:color w:val="000000"/>
          <w:sz w:val="28"/>
        </w:rPr>
        <w:t>,                        (553)</w:t>
      </w:r>
      <w:r>
        <w:br/>
      </w:r>
      <w:r>
        <w:rPr>
          <w:rFonts w:ascii="Times New Roman"/>
          <w:b w:val="false"/>
          <w:i w:val="false"/>
          <w:color w:val="000000"/>
          <w:sz w:val="28"/>
        </w:rPr>
        <w:t>
</w:t>
      </w:r>
    </w:p>
    <w:bookmarkStart w:name="z4274" w:id="4274"/>
    <w:p>
      <w:pPr>
        <w:spacing w:after="0"/>
        <w:ind w:left="0"/>
        <w:jc w:val="both"/>
      </w:pPr>
      <w:r>
        <w:rPr>
          <w:rFonts w:ascii="Times New Roman"/>
          <w:b w:val="false"/>
          <w:i w:val="false"/>
          <w:color w:val="000000"/>
          <w:sz w:val="28"/>
        </w:rPr>
        <w:t>
      Усилие, действующее в поперечном направлении, определяется по формуле</w:t>
      </w:r>
    </w:p>
    <w:bookmarkEnd w:id="4274"/>
    <w:p>
      <w:pPr>
        <w:spacing w:after="0"/>
        <w:ind w:left="0"/>
        <w:jc w:val="both"/>
      </w:pPr>
      <w:r>
        <w:rPr>
          <w:rFonts w:ascii="Times New Roman"/>
          <w:b w:val="false"/>
          <w:i w:val="false"/>
          <w:color w:val="000000"/>
          <w:sz w:val="28"/>
        </w:rPr>
        <w:t>
                              F</w:t>
      </w:r>
      <w:r>
        <w:rPr>
          <w:rFonts w:ascii="Times New Roman"/>
          <w:b w:val="false"/>
          <w:i w:val="false"/>
          <w:color w:val="000000"/>
          <w:vertAlign w:val="subscript"/>
        </w:rPr>
        <w:t>y</w:t>
      </w:r>
      <w:r>
        <w:rPr>
          <w:rFonts w:ascii="Times New Roman"/>
          <w:b w:val="false"/>
          <w:i w:val="false"/>
          <w:color w:val="000000"/>
          <w:sz w:val="28"/>
        </w:rPr>
        <w:t xml:space="preserve"> = Р</w:t>
      </w:r>
      <w:r>
        <w:rPr>
          <w:rFonts w:ascii="Times New Roman"/>
          <w:b w:val="false"/>
          <w:i w:val="false"/>
          <w:color w:val="000000"/>
          <w:vertAlign w:val="subscript"/>
        </w:rPr>
        <w:t>е</w:t>
      </w:r>
      <w:r>
        <w:rPr>
          <w:rFonts w:ascii="Times New Roman"/>
          <w:b w:val="false"/>
          <w:i w:val="false"/>
          <w:color w:val="000000"/>
          <w:sz w:val="28"/>
        </w:rPr>
        <w:t xml:space="preserve"> А</w:t>
      </w:r>
      <w:r>
        <w:rPr>
          <w:rFonts w:ascii="Times New Roman"/>
          <w:b w:val="false"/>
          <w:i w:val="false"/>
          <w:color w:val="000000"/>
          <w:vertAlign w:val="subscript"/>
        </w:rPr>
        <w:t>У</w:t>
      </w:r>
      <w:r>
        <w:rPr>
          <w:rFonts w:ascii="Times New Roman"/>
          <w:b w:val="false"/>
          <w:i w:val="false"/>
          <w:color w:val="000000"/>
          <w:sz w:val="28"/>
        </w:rPr>
        <w:t>,                              (554)</w:t>
      </w:r>
    </w:p>
    <w:bookmarkStart w:name="z4275" w:id="4275"/>
    <w:p>
      <w:pPr>
        <w:spacing w:after="0"/>
        <w:ind w:left="0"/>
        <w:jc w:val="both"/>
      </w:pPr>
      <w:r>
        <w:rPr>
          <w:rFonts w:ascii="Times New Roman"/>
          <w:b w:val="false"/>
          <w:i w:val="false"/>
          <w:color w:val="000000"/>
          <w:sz w:val="28"/>
        </w:rPr>
        <w:t>
      Усилие, действующее в вертикальном направлении, определяется по формулам:</w:t>
      </w:r>
    </w:p>
    <w:bookmarkEnd w:id="4275"/>
    <w:p>
      <w:pPr>
        <w:spacing w:after="0"/>
        <w:ind w:left="0"/>
        <w:jc w:val="both"/>
      </w:pPr>
      <w:r>
        <w:rPr>
          <w:rFonts w:ascii="Times New Roman"/>
          <w:b w:val="false"/>
          <w:i w:val="false"/>
          <w:color w:val="000000"/>
          <w:sz w:val="28"/>
        </w:rPr>
        <w:t>
                              F</w:t>
      </w:r>
      <w:r>
        <w:rPr>
          <w:rFonts w:ascii="Times New Roman"/>
          <w:b w:val="false"/>
          <w:i w:val="false"/>
          <w:color w:val="000000"/>
          <w:vertAlign w:val="subscript"/>
        </w:rPr>
        <w:t>z</w:t>
      </w:r>
      <w:r>
        <w:rPr>
          <w:rFonts w:ascii="Times New Roman"/>
          <w:b w:val="false"/>
          <w:i w:val="false"/>
          <w:color w:val="000000"/>
          <w:sz w:val="28"/>
        </w:rPr>
        <w:t>=P</w:t>
      </w:r>
      <w:r>
        <w:rPr>
          <w:rFonts w:ascii="Times New Roman"/>
          <w:b w:val="false"/>
          <w:i w:val="false"/>
          <w:color w:val="000000"/>
          <w:vertAlign w:val="subscript"/>
        </w:rPr>
        <w:t>z</w:t>
      </w:r>
      <w:r>
        <w:rPr>
          <w:rFonts w:ascii="Times New Roman"/>
          <w:b w:val="false"/>
          <w:i w:val="false"/>
          <w:color w:val="000000"/>
          <w:sz w:val="28"/>
        </w:rPr>
        <w:t xml:space="preserve"> - 10Q,                             (555)</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z</w:t>
      </w:r>
      <w:r>
        <w:rPr>
          <w:rFonts w:ascii="Times New Roman"/>
          <w:b w:val="false"/>
          <w:i w:val="false"/>
          <w:color w:val="000000"/>
          <w:sz w:val="28"/>
        </w:rPr>
        <w:t>= 10(V-Q,),                            (556)</w:t>
      </w:r>
    </w:p>
    <w:p>
      <w:pPr>
        <w:spacing w:after="0"/>
        <w:ind w:left="0"/>
        <w:jc w:val="both"/>
      </w:pPr>
      <w:r>
        <w:rPr>
          <w:rFonts w:ascii="Times New Roman"/>
          <w:b w:val="false"/>
          <w:i w:val="false"/>
          <w:color w:val="000000"/>
          <w:sz w:val="28"/>
        </w:rPr>
        <w:t>
      в зависимости от того, что больше,</w:t>
      </w:r>
    </w:p>
    <w:p>
      <w:pPr>
        <w:spacing w:after="0"/>
        <w:ind w:left="0"/>
        <w:jc w:val="both"/>
      </w:pPr>
      <w:r>
        <w:rPr>
          <w:rFonts w:ascii="Times New Roman"/>
          <w:b w:val="false"/>
          <w:i w:val="false"/>
          <w:color w:val="000000"/>
          <w:sz w:val="28"/>
        </w:rPr>
        <w:t>
      где Q — пункт 1221 настоящих Правил;</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е</w:t>
      </w:r>
      <w:r>
        <w:rPr>
          <w:rFonts w:ascii="Times New Roman"/>
          <w:b w:val="false"/>
          <w:i w:val="false"/>
          <w:color w:val="000000"/>
          <w:sz w:val="28"/>
        </w:rPr>
        <w:t xml:space="preserve"> — пункт 1218 настоящих Правил;</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хе</w:t>
      </w:r>
      <w:r>
        <w:rPr>
          <w:rFonts w:ascii="Times New Roman"/>
          <w:b w:val="false"/>
          <w:i w:val="false"/>
          <w:color w:val="000000"/>
          <w:sz w:val="28"/>
        </w:rPr>
        <w:t xml:space="preserve"> = Р</w:t>
      </w:r>
      <w:r>
        <w:rPr>
          <w:rFonts w:ascii="Times New Roman"/>
          <w:b w:val="false"/>
          <w:i w:val="false"/>
          <w:color w:val="000000"/>
          <w:vertAlign w:val="subscript"/>
        </w:rPr>
        <w:t>е</w:t>
      </w:r>
      <w:r>
        <w:rPr>
          <w:rFonts w:ascii="Times New Roman"/>
          <w:b w:val="false"/>
          <w:i w:val="false"/>
          <w:color w:val="000000"/>
          <w:sz w:val="28"/>
        </w:rPr>
        <w:t xml:space="preserve"> А</w:t>
      </w:r>
      <w:r>
        <w:rPr>
          <w:rFonts w:ascii="Times New Roman"/>
          <w:b w:val="false"/>
          <w:i w:val="false"/>
          <w:color w:val="000000"/>
          <w:vertAlign w:val="subscript"/>
        </w:rPr>
        <w:t>х</w:t>
      </w:r>
      <w:r>
        <w:rPr>
          <w:rFonts w:ascii="Times New Roman"/>
          <w:b w:val="false"/>
          <w:i w:val="false"/>
          <w:color w:val="000000"/>
          <w:sz w:val="28"/>
        </w:rPr>
        <w:t>, кН;                         (557)</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х</w:t>
      </w:r>
      <w:r>
        <w:rPr>
          <w:rFonts w:ascii="Times New Roman"/>
          <w:b w:val="false"/>
          <w:i w:val="false"/>
          <w:color w:val="000000"/>
          <w:sz w:val="28"/>
        </w:rPr>
        <w:t xml:space="preserve"> — площадь проекции двери на плоскость мидель-шпангоута (приложение 172 настоящих Правил),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z</w:t>
      </w:r>
      <w:r>
        <w:rPr>
          <w:rFonts w:ascii="Times New Roman"/>
          <w:b w:val="false"/>
          <w:i w:val="false"/>
          <w:color w:val="000000"/>
          <w:sz w:val="28"/>
        </w:rPr>
        <w:t xml:space="preserve"> = Р</w:t>
      </w:r>
      <w:r>
        <w:rPr>
          <w:rFonts w:ascii="Times New Roman"/>
          <w:b w:val="false"/>
          <w:i w:val="false"/>
          <w:color w:val="000000"/>
          <w:vertAlign w:val="subscript"/>
        </w:rPr>
        <w:t>е</w:t>
      </w:r>
      <w:r>
        <w:rPr>
          <w:rFonts w:ascii="Times New Roman"/>
          <w:b w:val="false"/>
          <w:i w:val="false"/>
          <w:color w:val="000000"/>
          <w:sz w:val="28"/>
        </w:rPr>
        <w:t>A</w:t>
      </w:r>
      <w:r>
        <w:rPr>
          <w:rFonts w:ascii="Times New Roman"/>
          <w:b w:val="false"/>
          <w:i w:val="false"/>
          <w:color w:val="000000"/>
          <w:vertAlign w:val="subscript"/>
        </w:rPr>
        <w:t>Z</w:t>
      </w:r>
      <w:r>
        <w:rPr>
          <w:rFonts w:ascii="Times New Roman"/>
          <w:b w:val="false"/>
          <w:i w:val="false"/>
          <w:color w:val="000000"/>
          <w:sz w:val="28"/>
        </w:rPr>
        <w:t>, кН;                           (558)</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площадь проекции двери на плоскость ватерлинии (приложение 172 настоящих Правил),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xi</w:t>
      </w:r>
      <w:r>
        <w:rPr>
          <w:rFonts w:ascii="Times New Roman"/>
          <w:b w:val="false"/>
          <w:i w:val="false"/>
          <w:color w:val="000000"/>
          <w:sz w:val="28"/>
        </w:rPr>
        <w:t xml:space="preserve"> = P</w:t>
      </w:r>
      <w:r>
        <w:rPr>
          <w:rFonts w:ascii="Times New Roman"/>
          <w:b w:val="false"/>
          <w:i w:val="false"/>
          <w:color w:val="000000"/>
          <w:vertAlign w:val="subscript"/>
        </w:rPr>
        <w:t>i</w:t>
      </w:r>
      <w:r>
        <w:rPr>
          <w:rFonts w:ascii="Times New Roman"/>
          <w:b w:val="false"/>
          <w:i w:val="false"/>
          <w:color w:val="000000"/>
          <w:sz w:val="28"/>
        </w:rPr>
        <w:t xml:space="preserve"> А</w:t>
      </w:r>
      <w:r>
        <w:rPr>
          <w:rFonts w:ascii="Times New Roman"/>
          <w:b w:val="false"/>
          <w:i w:val="false"/>
          <w:color w:val="000000"/>
          <w:vertAlign w:val="subscript"/>
        </w:rPr>
        <w:t>х</w:t>
      </w:r>
      <w:r>
        <w:rPr>
          <w:rFonts w:ascii="Times New Roman"/>
          <w:b w:val="false"/>
          <w:i w:val="false"/>
          <w:color w:val="000000"/>
          <w:sz w:val="28"/>
        </w:rPr>
        <w:t>, кН;                         (559)</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пункт 1219 настоящих Правил;</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у</w:t>
      </w:r>
      <w:r>
        <w:rPr>
          <w:rFonts w:ascii="Times New Roman"/>
          <w:b w:val="false"/>
          <w:i w:val="false"/>
          <w:color w:val="000000"/>
          <w:sz w:val="28"/>
        </w:rPr>
        <w:t xml:space="preserve"> — площадь проекции двери на диаметральную плоскость (приложение 172 настоящих Правил),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вертикальное расстояние от точки поворота двери до центра тяжести площади проекции двери на диаметральную плоскость (приложение 172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горизонтальное расстояние от точки поворота двери до центра тяжести площади проекции двери на плоскость ватерлинии A</w:t>
      </w:r>
      <w:r>
        <w:rPr>
          <w:rFonts w:ascii="Times New Roman"/>
          <w:b w:val="false"/>
          <w:i w:val="false"/>
          <w:color w:val="000000"/>
          <w:vertAlign w:val="subscript"/>
        </w:rPr>
        <w:t>z</w:t>
      </w:r>
      <w:r>
        <w:rPr>
          <w:rFonts w:ascii="Times New Roman"/>
          <w:b w:val="false"/>
          <w:i w:val="false"/>
          <w:color w:val="000000"/>
          <w:sz w:val="28"/>
        </w:rPr>
        <w:t xml:space="preserve"> (приложение 172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горизонтальное расстояние от точки поворота двери до центра тяжести двери (приложение 172 настоящих Правил),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вертикальное расстояние от точки поворота двери до нижней кромки двери (приложение 172 настоящих Правил), м;</w:t>
      </w:r>
    </w:p>
    <w:p>
      <w:pPr>
        <w:spacing w:after="0"/>
        <w:ind w:left="0"/>
        <w:jc w:val="both"/>
      </w:pPr>
      <w:r>
        <w:rPr>
          <w:rFonts w:ascii="Times New Roman"/>
          <w:b w:val="false"/>
          <w:i w:val="false"/>
          <w:color w:val="000000"/>
          <w:sz w:val="28"/>
        </w:rPr>
        <w:t>
      V— внутренний объем двери, м</w:t>
      </w:r>
      <w:r>
        <w:rPr>
          <w:rFonts w:ascii="Times New Roman"/>
          <w:b w:val="false"/>
          <w:i w:val="false"/>
          <w:color w:val="000000"/>
          <w:vertAlign w:val="superscript"/>
        </w:rPr>
        <w:t>3</w:t>
      </w:r>
      <w:r>
        <w:rPr>
          <w:rFonts w:ascii="Times New Roman"/>
          <w:b w:val="false"/>
          <w:i w:val="false"/>
          <w:color w:val="000000"/>
          <w:sz w:val="28"/>
        </w:rPr>
        <w:t>;</w:t>
      </w:r>
    </w:p>
    <w:bookmarkStart w:name="z4276" w:id="4276"/>
    <w:p>
      <w:pPr>
        <w:spacing w:after="0"/>
        <w:ind w:left="0"/>
        <w:jc w:val="both"/>
      </w:pPr>
      <w:r>
        <w:rPr>
          <w:rFonts w:ascii="Times New Roman"/>
          <w:b w:val="false"/>
          <w:i w:val="false"/>
          <w:color w:val="000000"/>
          <w:sz w:val="28"/>
        </w:rPr>
        <w:t>
      1223. Для дверей, открывающихся на борт, по концам балок в местах стыка створок двери должны быть предусмотрены опоры для предотвращения сдвига створок относительно друг друга при несимметричной нагрузке (приложение 173 настоящих Правил). Каждая часть опоры закрепляется на другой части опоры посредством стопорящего устройства.</w:t>
      </w:r>
    </w:p>
    <w:bookmarkEnd w:id="4276"/>
    <w:bookmarkStart w:name="z4277" w:id="4277"/>
    <w:p>
      <w:pPr>
        <w:spacing w:after="0"/>
        <w:ind w:left="0"/>
        <w:jc w:val="both"/>
      </w:pPr>
      <w:r>
        <w:rPr>
          <w:rFonts w:ascii="Times New Roman"/>
          <w:b w:val="false"/>
          <w:i w:val="false"/>
          <w:color w:val="000000"/>
          <w:sz w:val="28"/>
        </w:rPr>
        <w:t>
      1224. Подъемные рычаги дверей типа "визор" и его опоры рассчитывают на действие статических и динамических нагрузок, возникающих при подъеме или опускании двери, с учетом минимального давления ветра 1,5 кН/м</w:t>
      </w:r>
      <w:r>
        <w:rPr>
          <w:rFonts w:ascii="Times New Roman"/>
          <w:b w:val="false"/>
          <w:i w:val="false"/>
          <w:color w:val="000000"/>
          <w:vertAlign w:val="superscript"/>
        </w:rPr>
        <w:t>2</w:t>
      </w:r>
      <w:r>
        <w:rPr>
          <w:rFonts w:ascii="Times New Roman"/>
          <w:b w:val="false"/>
          <w:i w:val="false"/>
          <w:color w:val="000000"/>
          <w:sz w:val="28"/>
        </w:rPr>
        <w:t>.</w:t>
      </w:r>
    </w:p>
    <w:bookmarkEnd w:id="4277"/>
    <w:bookmarkStart w:name="z4278" w:id="4278"/>
    <w:p>
      <w:pPr>
        <w:spacing w:after="0"/>
        <w:ind w:left="0"/>
        <w:jc w:val="left"/>
      </w:pPr>
      <w:r>
        <w:rPr>
          <w:rFonts w:ascii="Times New Roman"/>
          <w:b/>
          <w:i w:val="false"/>
          <w:color w:val="000000"/>
        </w:rPr>
        <w:t xml:space="preserve"> Параграф 3. Бортовые и кормовые двери</w:t>
      </w:r>
    </w:p>
    <w:bookmarkEnd w:id="4278"/>
    <w:bookmarkStart w:name="z4279" w:id="4279"/>
    <w:p>
      <w:pPr>
        <w:spacing w:after="0"/>
        <w:ind w:left="0"/>
        <w:jc w:val="both"/>
      </w:pPr>
      <w:r>
        <w:rPr>
          <w:rFonts w:ascii="Times New Roman"/>
          <w:b w:val="false"/>
          <w:i w:val="false"/>
          <w:color w:val="000000"/>
          <w:sz w:val="28"/>
        </w:rPr>
        <w:t>
      1225. Нижняя кромка отверстий для дверей не ниже линии, проведенной параллельно палубе надводного борта у борта и имеющей самую нижнюю точку на самой высокой грузовой ватерлинии.</w:t>
      </w:r>
    </w:p>
    <w:bookmarkEnd w:id="4279"/>
    <w:bookmarkStart w:name="z4280" w:id="4280"/>
    <w:p>
      <w:pPr>
        <w:spacing w:after="0"/>
        <w:ind w:left="0"/>
        <w:jc w:val="both"/>
      </w:pPr>
      <w:r>
        <w:rPr>
          <w:rFonts w:ascii="Times New Roman"/>
          <w:b w:val="false"/>
          <w:i w:val="false"/>
          <w:color w:val="000000"/>
          <w:sz w:val="28"/>
        </w:rPr>
        <w:t>
      Отступление от этого требования допускают для бортовых дверей судов, не являющихся пассажирскими, в исключительных случаях, если Регистру судоходства будет доказано, что безопасность судна при этом не снижается.</w:t>
      </w:r>
    </w:p>
    <w:bookmarkEnd w:id="4280"/>
    <w:bookmarkStart w:name="z4281" w:id="4281"/>
    <w:p>
      <w:pPr>
        <w:spacing w:after="0"/>
        <w:ind w:left="0"/>
        <w:jc w:val="both"/>
      </w:pPr>
      <w:r>
        <w:rPr>
          <w:rFonts w:ascii="Times New Roman"/>
          <w:b w:val="false"/>
          <w:i w:val="false"/>
          <w:color w:val="000000"/>
          <w:sz w:val="28"/>
        </w:rPr>
        <w:t>
      В таких случаях предусматривается: вторые (внутренние) двери, по прочности и непроницаемости эквивалентные наружным; устройство, позволяющее определить наличие воды в пространстве между дверями; сток воды из этого пространства в льяла или сточные колодцы, контролируемый легко доступным запорным клапаном, или другие одобренные Регистром судоходства меры.</w:t>
      </w:r>
    </w:p>
    <w:bookmarkEnd w:id="4281"/>
    <w:bookmarkStart w:name="z4282" w:id="4282"/>
    <w:p>
      <w:pPr>
        <w:spacing w:after="0"/>
        <w:ind w:left="0"/>
        <w:jc w:val="both"/>
      </w:pPr>
      <w:r>
        <w:rPr>
          <w:rFonts w:ascii="Times New Roman"/>
          <w:b w:val="false"/>
          <w:i w:val="false"/>
          <w:color w:val="000000"/>
          <w:sz w:val="28"/>
        </w:rPr>
        <w:t>
      1226. Двери открываются наружу, чтобы усилия от воздействия моря прижимали дверь к опорному контуру комингса. Установка дверей, открывающихся внутрь, является в каждом случае предметом специального рассмотрения Регистром судоходства.</w:t>
      </w:r>
    </w:p>
    <w:bookmarkEnd w:id="4282"/>
    <w:bookmarkStart w:name="z4283" w:id="4283"/>
    <w:p>
      <w:pPr>
        <w:spacing w:after="0"/>
        <w:ind w:left="0"/>
        <w:jc w:val="both"/>
      </w:pPr>
      <w:r>
        <w:rPr>
          <w:rFonts w:ascii="Times New Roman"/>
          <w:b w:val="false"/>
          <w:i w:val="false"/>
          <w:color w:val="000000"/>
          <w:sz w:val="28"/>
        </w:rPr>
        <w:t>
      1227. Число задраивающих устройств на каждой кромке двери не менее двух, причем в непосредственной близости от каждого угла двери должно быть предусмотрено задраивающее устройство, расстояние между задраивающими устройствами не более 2,5 м.</w:t>
      </w:r>
    </w:p>
    <w:bookmarkEnd w:id="4283"/>
    <w:bookmarkStart w:name="z4284" w:id="4284"/>
    <w:p>
      <w:pPr>
        <w:spacing w:after="0"/>
        <w:ind w:left="0"/>
        <w:jc w:val="both"/>
      </w:pPr>
      <w:r>
        <w:rPr>
          <w:rFonts w:ascii="Times New Roman"/>
          <w:b w:val="false"/>
          <w:i w:val="false"/>
          <w:color w:val="000000"/>
          <w:sz w:val="28"/>
        </w:rPr>
        <w:t>
      1228. Расчетное наружное давление Р, кПа, для элементов конструкции дверей определяется согласно требованиям параграфа 2 главы 10 настоящих Правил. В любом случае величина Р не принимается менее 25 кПа.</w:t>
      </w:r>
    </w:p>
    <w:bookmarkEnd w:id="4284"/>
    <w:bookmarkStart w:name="z4285" w:id="4285"/>
    <w:p>
      <w:pPr>
        <w:spacing w:after="0"/>
        <w:ind w:left="0"/>
        <w:jc w:val="both"/>
      </w:pPr>
      <w:r>
        <w:rPr>
          <w:rFonts w:ascii="Times New Roman"/>
          <w:b w:val="false"/>
          <w:i w:val="false"/>
          <w:color w:val="000000"/>
          <w:sz w:val="28"/>
        </w:rPr>
        <w:t>
      1229. Задраивающие и стопорящие устройства дверей рассчитывают на действие усилий F</w:t>
      </w:r>
      <w:r>
        <w:rPr>
          <w:rFonts w:ascii="Times New Roman"/>
          <w:b w:val="false"/>
          <w:i w:val="false"/>
          <w:color w:val="000000"/>
          <w:vertAlign w:val="subscript"/>
        </w:rPr>
        <w:t>1</w:t>
      </w:r>
      <w:r>
        <w:rPr>
          <w:rFonts w:ascii="Times New Roman"/>
          <w:b w:val="false"/>
          <w:i w:val="false"/>
          <w:color w:val="000000"/>
          <w:sz w:val="28"/>
        </w:rPr>
        <w:t xml:space="preserve"> или F</w:t>
      </w:r>
      <w:r>
        <w:rPr>
          <w:rFonts w:ascii="Times New Roman"/>
          <w:b w:val="false"/>
          <w:i w:val="false"/>
          <w:color w:val="000000"/>
          <w:vertAlign w:val="subscript"/>
        </w:rPr>
        <w:t>2</w:t>
      </w:r>
      <w:r>
        <w:rPr>
          <w:rFonts w:ascii="Times New Roman"/>
          <w:b w:val="false"/>
          <w:i w:val="false"/>
          <w:color w:val="000000"/>
          <w:sz w:val="28"/>
        </w:rPr>
        <w:t>, кН, определяемых по формулам:</w:t>
      </w:r>
    </w:p>
    <w:bookmarkEnd w:id="4285"/>
    <w:p>
      <w:pPr>
        <w:spacing w:after="0"/>
        <w:ind w:left="0"/>
        <w:jc w:val="both"/>
      </w:pPr>
      <w:r>
        <w:rPr>
          <w:rFonts w:ascii="Times New Roman"/>
          <w:b w:val="false"/>
          <w:i w:val="false"/>
          <w:color w:val="000000"/>
          <w:sz w:val="28"/>
        </w:rPr>
        <w:t>
      для дверей, открывающихся внутрь:</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AP</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(560)</w:t>
      </w:r>
    </w:p>
    <w:p>
      <w:pPr>
        <w:spacing w:after="0"/>
        <w:ind w:left="0"/>
        <w:jc w:val="both"/>
      </w:pPr>
      <w:r>
        <w:rPr>
          <w:rFonts w:ascii="Times New Roman"/>
          <w:b w:val="false"/>
          <w:i w:val="false"/>
          <w:color w:val="000000"/>
          <w:sz w:val="28"/>
        </w:rPr>
        <w:t>
      для дверей, открывающихся наружу:</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F</w:t>
      </w:r>
      <w:r>
        <w:rPr>
          <w:rFonts w:ascii="Times New Roman"/>
          <w:b w:val="false"/>
          <w:i w:val="false"/>
          <w:color w:val="000000"/>
          <w:vertAlign w:val="subscript"/>
        </w:rPr>
        <w:t>э</w:t>
      </w:r>
      <w:r>
        <w:rPr>
          <w:rFonts w:ascii="Times New Roman"/>
          <w:b w:val="false"/>
          <w:i w:val="false"/>
          <w:color w:val="000000"/>
          <w:sz w:val="28"/>
        </w:rPr>
        <w:t>+10Q+</w:t>
      </w:r>
      <w:r>
        <w:rPr>
          <w:rFonts w:ascii="Times New Roman"/>
          <w:b w:val="false"/>
          <w:i/>
          <w:color w:val="000000"/>
          <w:sz w:val="28"/>
        </w:rPr>
        <w:t>p</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(561)</w:t>
      </w:r>
    </w:p>
    <w:p>
      <w:pPr>
        <w:spacing w:after="0"/>
        <w:ind w:left="0"/>
        <w:jc w:val="both"/>
      </w:pPr>
      <w:r>
        <w:rPr>
          <w:rFonts w:ascii="Times New Roman"/>
          <w:b w:val="false"/>
          <w:i w:val="false"/>
          <w:color w:val="000000"/>
          <w:sz w:val="28"/>
        </w:rPr>
        <w:t xml:space="preserve">
      где А,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xml:space="preserve"> —пункт 1221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—пункт 1228 настоящих Правил;</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э</w:t>
      </w:r>
      <w:r>
        <w:rPr>
          <w:rFonts w:ascii="Times New Roman"/>
          <w:b w:val="false"/>
          <w:i w:val="false"/>
          <w:color w:val="000000"/>
          <w:sz w:val="28"/>
        </w:rPr>
        <w:t xml:space="preserve"> — экстремальная нагрузка вследствие воздействия подвижного груза из-за ослабления средств крепления, равномерно распределяемая по площади А и принимаемая равной не менее 300 кН или 5А, кН, в зависимости от того, что больше.</w:t>
      </w:r>
    </w:p>
    <w:bookmarkStart w:name="z4286" w:id="4286"/>
    <w:p>
      <w:pPr>
        <w:spacing w:after="0"/>
        <w:ind w:left="0"/>
        <w:jc w:val="both"/>
      </w:pPr>
      <w:r>
        <w:rPr>
          <w:rFonts w:ascii="Times New Roman"/>
          <w:b w:val="false"/>
          <w:i w:val="false"/>
          <w:color w:val="000000"/>
          <w:sz w:val="28"/>
        </w:rPr>
        <w:t>
      Для небольших дверей, например, для бункеровки или приема лоцмана, величина F</w:t>
      </w:r>
      <w:r>
        <w:rPr>
          <w:rFonts w:ascii="Times New Roman"/>
          <w:b w:val="false"/>
          <w:i w:val="false"/>
          <w:color w:val="000000"/>
          <w:vertAlign w:val="subscript"/>
        </w:rPr>
        <w:t>э</w:t>
      </w:r>
      <w:r>
        <w:rPr>
          <w:rFonts w:ascii="Times New Roman"/>
          <w:b w:val="false"/>
          <w:i w:val="false"/>
          <w:color w:val="000000"/>
          <w:sz w:val="28"/>
        </w:rPr>
        <w:t xml:space="preserve"> возможно уменьшить по специальному согласованию с Регистром судоходства. При наличии дополнительной внутренней двери, защищающей наружную от воздействия незакрепленного груза, значение F</w:t>
      </w:r>
      <w:r>
        <w:rPr>
          <w:rFonts w:ascii="Times New Roman"/>
          <w:b w:val="false"/>
          <w:i w:val="false"/>
          <w:color w:val="000000"/>
          <w:vertAlign w:val="subscript"/>
        </w:rPr>
        <w:t>э</w:t>
      </w:r>
      <w:r>
        <w:rPr>
          <w:rFonts w:ascii="Times New Roman"/>
          <w:b w:val="false"/>
          <w:i w:val="false"/>
          <w:color w:val="000000"/>
          <w:sz w:val="28"/>
        </w:rPr>
        <w:t xml:space="preserve"> = 0;</w:t>
      </w:r>
    </w:p>
    <w:bookmarkEnd w:id="4286"/>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—пункт 1221 настоящих Правил.</w:t>
      </w:r>
    </w:p>
    <w:bookmarkStart w:name="z4287" w:id="4287"/>
    <w:p>
      <w:pPr>
        <w:spacing w:after="0"/>
        <w:ind w:left="0"/>
        <w:jc w:val="both"/>
      </w:pPr>
      <w:r>
        <w:rPr>
          <w:rFonts w:ascii="Times New Roman"/>
          <w:b w:val="false"/>
          <w:i w:val="false"/>
          <w:color w:val="000000"/>
          <w:sz w:val="28"/>
        </w:rPr>
        <w:t>
      Опорные конструкции дверей рассчитывают на действие усилий F</w:t>
      </w:r>
      <w:r>
        <w:rPr>
          <w:rFonts w:ascii="Times New Roman"/>
          <w:b w:val="false"/>
          <w:i w:val="false"/>
          <w:color w:val="000000"/>
          <w:vertAlign w:val="subscript"/>
        </w:rPr>
        <w:t>3</w:t>
      </w:r>
      <w:r>
        <w:rPr>
          <w:rFonts w:ascii="Times New Roman"/>
          <w:b w:val="false"/>
          <w:i w:val="false"/>
          <w:color w:val="000000"/>
          <w:sz w:val="28"/>
        </w:rPr>
        <w:t xml:space="preserve"> и F</w:t>
      </w:r>
      <w:r>
        <w:rPr>
          <w:rFonts w:ascii="Times New Roman"/>
          <w:b w:val="false"/>
          <w:i w:val="false"/>
          <w:color w:val="000000"/>
          <w:vertAlign w:val="subscript"/>
        </w:rPr>
        <w:t>4</w:t>
      </w:r>
      <w:r>
        <w:rPr>
          <w:rFonts w:ascii="Times New Roman"/>
          <w:b w:val="false"/>
          <w:i w:val="false"/>
          <w:color w:val="000000"/>
          <w:sz w:val="28"/>
        </w:rPr>
        <w:t>, кН, определяемых по формулам:</w:t>
      </w:r>
    </w:p>
    <w:bookmarkEnd w:id="4287"/>
    <w:bookmarkStart w:name="z4288" w:id="4288"/>
    <w:p>
      <w:pPr>
        <w:spacing w:after="0"/>
        <w:ind w:left="0"/>
        <w:jc w:val="both"/>
      </w:pPr>
      <w:r>
        <w:rPr>
          <w:rFonts w:ascii="Times New Roman"/>
          <w:b w:val="false"/>
          <w:i w:val="false"/>
          <w:color w:val="000000"/>
          <w:sz w:val="28"/>
        </w:rPr>
        <w:t>
      для дверей, открывающихся внутрь:</w:t>
      </w:r>
    </w:p>
    <w:bookmarkEnd w:id="4288"/>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АР;                                 (562)</w:t>
      </w:r>
    </w:p>
    <w:bookmarkStart w:name="z4289" w:id="4289"/>
    <w:p>
      <w:pPr>
        <w:spacing w:after="0"/>
        <w:ind w:left="0"/>
        <w:jc w:val="both"/>
      </w:pPr>
      <w:r>
        <w:rPr>
          <w:rFonts w:ascii="Times New Roman"/>
          <w:b w:val="false"/>
          <w:i w:val="false"/>
          <w:color w:val="000000"/>
          <w:sz w:val="28"/>
        </w:rPr>
        <w:t>
      для дверей, открывающихся наружу:</w:t>
      </w:r>
    </w:p>
    <w:bookmarkEnd w:id="4289"/>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+10Q.                             (563).</w:t>
      </w:r>
    </w:p>
    <w:bookmarkStart w:name="z4290" w:id="4290"/>
    <w:p>
      <w:pPr>
        <w:spacing w:after="0"/>
        <w:ind w:left="0"/>
        <w:jc w:val="left"/>
      </w:pPr>
      <w:r>
        <w:rPr>
          <w:rFonts w:ascii="Times New Roman"/>
          <w:b/>
          <w:i w:val="false"/>
          <w:color w:val="000000"/>
        </w:rPr>
        <w:t xml:space="preserve"> Глава 70. Надстройки и рубки</w:t>
      </w:r>
    </w:p>
    <w:bookmarkEnd w:id="4290"/>
    <w:p>
      <w:pPr>
        <w:spacing w:after="0"/>
        <w:ind w:left="0"/>
        <w:jc w:val="both"/>
      </w:pPr>
      <w:r>
        <w:rPr>
          <w:rFonts w:ascii="Times New Roman"/>
          <w:b w:val="false"/>
          <w:i w:val="false"/>
          <w:color w:val="ff0000"/>
          <w:sz w:val="28"/>
        </w:rPr>
        <w:t xml:space="preserve">
      Сноска. Заголовок главы 70 -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91" w:id="4291"/>
    <w:p>
      <w:pPr>
        <w:spacing w:after="0"/>
        <w:ind w:left="0"/>
        <w:jc w:val="left"/>
      </w:pPr>
      <w:r>
        <w:rPr>
          <w:rFonts w:ascii="Times New Roman"/>
          <w:b/>
          <w:i w:val="false"/>
          <w:color w:val="000000"/>
        </w:rPr>
        <w:t xml:space="preserve"> Параграф 1. Конструкция и закрытие</w:t>
      </w:r>
    </w:p>
    <w:bookmarkEnd w:id="4291"/>
    <w:bookmarkStart w:name="z4292" w:id="4292"/>
    <w:p>
      <w:pPr>
        <w:spacing w:after="0"/>
        <w:ind w:left="0"/>
        <w:jc w:val="both"/>
      </w:pPr>
      <w:r>
        <w:rPr>
          <w:rFonts w:ascii="Times New Roman"/>
          <w:b w:val="false"/>
          <w:i w:val="false"/>
          <w:color w:val="000000"/>
          <w:sz w:val="28"/>
        </w:rPr>
        <w:t>
      1230. Всякие отверстия в палубе надводного борта, кроме тех, которые указаны в главах 69, 71-76 и 78 настоящих Правил, защищают закрытой надстройкой или закрытой рубкой. Такие же отверстия в палубе закрытой надстройки или закрытой рубки, в свою очередь, защищают закрытой рубкой второго яруса.</w:t>
      </w:r>
    </w:p>
    <w:bookmarkEnd w:id="4292"/>
    <w:bookmarkStart w:name="z4293" w:id="4293"/>
    <w:p>
      <w:pPr>
        <w:spacing w:after="0"/>
        <w:ind w:left="0"/>
        <w:jc w:val="both"/>
      </w:pPr>
      <w:r>
        <w:rPr>
          <w:rFonts w:ascii="Times New Roman"/>
          <w:b w:val="false"/>
          <w:i w:val="false"/>
          <w:color w:val="000000"/>
          <w:sz w:val="28"/>
        </w:rPr>
        <w:t>
      1231. Надстройки и рубки считаются закрытыми, если:</w:t>
      </w:r>
    </w:p>
    <w:bookmarkEnd w:id="4293"/>
    <w:bookmarkStart w:name="z10736" w:id="4294"/>
    <w:p>
      <w:pPr>
        <w:spacing w:after="0"/>
        <w:ind w:left="0"/>
        <w:jc w:val="both"/>
      </w:pPr>
      <w:r>
        <w:rPr>
          <w:rFonts w:ascii="Times New Roman"/>
          <w:b w:val="false"/>
          <w:i w:val="false"/>
          <w:color w:val="000000"/>
          <w:sz w:val="28"/>
        </w:rPr>
        <w:t>
      1) их конструкция отвечает требованиям главы 26 настоящих Правил;</w:t>
      </w:r>
    </w:p>
    <w:bookmarkEnd w:id="4294"/>
    <w:bookmarkStart w:name="z10737" w:id="4295"/>
    <w:p>
      <w:pPr>
        <w:spacing w:after="0"/>
        <w:ind w:left="0"/>
        <w:jc w:val="both"/>
      </w:pPr>
      <w:r>
        <w:rPr>
          <w:rFonts w:ascii="Times New Roman"/>
          <w:b w:val="false"/>
          <w:i w:val="false"/>
          <w:color w:val="000000"/>
          <w:sz w:val="28"/>
        </w:rPr>
        <w:t>
      2) отверстия для доступа в них отвечают требованиям параграфа 2 главы 70 и главы 72 настоящих Правил;</w:t>
      </w:r>
    </w:p>
    <w:bookmarkEnd w:id="4295"/>
    <w:bookmarkStart w:name="z10738" w:id="4296"/>
    <w:p>
      <w:pPr>
        <w:spacing w:after="0"/>
        <w:ind w:left="0"/>
        <w:jc w:val="both"/>
      </w:pPr>
      <w:r>
        <w:rPr>
          <w:rFonts w:ascii="Times New Roman"/>
          <w:b w:val="false"/>
          <w:i w:val="false"/>
          <w:color w:val="000000"/>
          <w:sz w:val="28"/>
        </w:rPr>
        <w:t>
      3) все прочие отверстия в их внешнем контуре отвечают требованиям глав 67 – 69 и 72 – 75 настоящих Правил.</w:t>
      </w:r>
    </w:p>
    <w:bookmarkEnd w:id="4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1231 -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7" w:id="4297"/>
    <w:p>
      <w:pPr>
        <w:spacing w:after="0"/>
        <w:ind w:left="0"/>
        <w:jc w:val="left"/>
      </w:pPr>
      <w:r>
        <w:rPr>
          <w:rFonts w:ascii="Times New Roman"/>
          <w:b/>
          <w:i w:val="false"/>
          <w:color w:val="000000"/>
        </w:rPr>
        <w:t xml:space="preserve"> Параграф 2. Двери в закрытые надстройки и закрытые рубки</w:t>
      </w:r>
    </w:p>
    <w:bookmarkEnd w:id="4297"/>
    <w:bookmarkStart w:name="z4298" w:id="4298"/>
    <w:p>
      <w:pPr>
        <w:spacing w:after="0"/>
        <w:ind w:left="0"/>
        <w:jc w:val="both"/>
      </w:pPr>
      <w:r>
        <w:rPr>
          <w:rFonts w:ascii="Times New Roman"/>
          <w:b w:val="false"/>
          <w:i w:val="false"/>
          <w:color w:val="000000"/>
          <w:sz w:val="28"/>
        </w:rPr>
        <w:t>
      1232. Все отверстия для доступа в концевых переборках закрытых надстроек и во внешних переборках закрытых рубок снабжают дверями (пункт 2337 настоящих Правил).</w:t>
      </w:r>
    </w:p>
    <w:bookmarkEnd w:id="4298"/>
    <w:bookmarkStart w:name="z4299" w:id="4299"/>
    <w:p>
      <w:pPr>
        <w:spacing w:after="0"/>
        <w:ind w:left="0"/>
        <w:jc w:val="both"/>
      </w:pPr>
      <w:r>
        <w:rPr>
          <w:rFonts w:ascii="Times New Roman"/>
          <w:b w:val="false"/>
          <w:i w:val="false"/>
          <w:color w:val="000000"/>
          <w:sz w:val="28"/>
        </w:rPr>
        <w:t>
      1233. Высота комингса отверстий для дверей, указанных в пункте 1232 настоящих Правил, 380 мм. Однако средняя надстройка и ют не рассматриваются как закрытые, если для экипажа не обеспечен доступ в машинное отделение и все другие рабочие помещения внутри этих надстроек с любого места самой верхней непрерывной открытой палубы, или выше ее другими путями, в течение всего времени, когда отверстия в переборках закрыты; высота комингса отверстий для дверей в переборках такой средней надстройки и юта должна быть не менее 600 мм в районе 1 и не менее 380 мм в районе 2.</w:t>
      </w:r>
    </w:p>
    <w:bookmarkEnd w:id="4299"/>
    <w:bookmarkStart w:name="z4300" w:id="4300"/>
    <w:p>
      <w:pPr>
        <w:spacing w:after="0"/>
        <w:ind w:left="0"/>
        <w:jc w:val="both"/>
      </w:pPr>
      <w:r>
        <w:rPr>
          <w:rFonts w:ascii="Times New Roman"/>
          <w:b w:val="false"/>
          <w:i w:val="false"/>
          <w:color w:val="000000"/>
          <w:sz w:val="28"/>
        </w:rPr>
        <w:t>
      На судах длиной 24 м и более ограниченного района плавания R3 (кроме пассажирских) указанная высота комингсов отверстий для дверей соответственно уменьшают с 600 до 450 мм и с 380 до 230 мм.</w:t>
      </w:r>
    </w:p>
    <w:bookmarkEnd w:id="4300"/>
    <w:bookmarkStart w:name="z4301" w:id="4301"/>
    <w:p>
      <w:pPr>
        <w:spacing w:after="0"/>
        <w:ind w:left="0"/>
        <w:jc w:val="both"/>
      </w:pPr>
      <w:r>
        <w:rPr>
          <w:rFonts w:ascii="Times New Roman"/>
          <w:b w:val="false"/>
          <w:i w:val="false"/>
          <w:color w:val="000000"/>
          <w:sz w:val="28"/>
        </w:rPr>
        <w:t>
      На судах длиной менее 24 м ограниченных районов плавания R2, R2-RSN, R3-RSN и R3 эта высоту комингсов возможно уменьшить до 230 мм на всех открытых палубах.</w:t>
      </w:r>
    </w:p>
    <w:bookmarkEnd w:id="4301"/>
    <w:bookmarkStart w:name="z4302" w:id="4302"/>
    <w:p>
      <w:pPr>
        <w:spacing w:after="0"/>
        <w:ind w:left="0"/>
        <w:jc w:val="both"/>
      </w:pPr>
      <w:r>
        <w:rPr>
          <w:rFonts w:ascii="Times New Roman"/>
          <w:b w:val="false"/>
          <w:i w:val="false"/>
          <w:color w:val="000000"/>
          <w:sz w:val="28"/>
        </w:rPr>
        <w:t xml:space="preserve">
      1234. Двери рассчитывают на действие условной нагрузки </w:t>
      </w:r>
      <w:r>
        <w:rPr>
          <w:rFonts w:ascii="Times New Roman"/>
          <w:b w:val="false"/>
          <w:i/>
          <w:color w:val="000000"/>
          <w:sz w:val="28"/>
        </w:rPr>
        <w:t>р</w:t>
      </w:r>
      <w:r>
        <w:rPr>
          <w:rFonts w:ascii="Times New Roman"/>
          <w:b w:val="false"/>
          <w:i w:val="false"/>
          <w:color w:val="000000"/>
          <w:sz w:val="28"/>
        </w:rPr>
        <w:t>, определяемой в соответствии с указаниями параграфа 3 главы 26 настоящих Правил, при этом расстояние z</w:t>
      </w:r>
      <w:r>
        <w:rPr>
          <w:rFonts w:ascii="Times New Roman"/>
          <w:b w:val="false"/>
          <w:i w:val="false"/>
          <w:color w:val="000000"/>
          <w:vertAlign w:val="subscript"/>
        </w:rPr>
        <w:t>1</w:t>
      </w:r>
      <w:r>
        <w:rPr>
          <w:rFonts w:ascii="Times New Roman"/>
          <w:b w:val="false"/>
          <w:i w:val="false"/>
          <w:color w:val="000000"/>
          <w:sz w:val="28"/>
        </w:rPr>
        <w:t xml:space="preserve"> принимается до середины высоты двери. При действии нагрузки </w:t>
      </w:r>
      <w:r>
        <w:rPr>
          <w:rFonts w:ascii="Times New Roman"/>
          <w:b w:val="false"/>
          <w:i/>
          <w:color w:val="000000"/>
          <w:sz w:val="28"/>
        </w:rPr>
        <w:t>р</w:t>
      </w:r>
      <w:r>
        <w:rPr>
          <w:rFonts w:ascii="Times New Roman"/>
          <w:b w:val="false"/>
          <w:i w:val="false"/>
          <w:color w:val="000000"/>
          <w:sz w:val="28"/>
        </w:rPr>
        <w:t xml:space="preserve"> напряжения в элементах конструкции двери не должны превышать 0,8 верхнего предела текучести материала.</w:t>
      </w:r>
    </w:p>
    <w:bookmarkEnd w:id="4302"/>
    <w:bookmarkStart w:name="z4303" w:id="4303"/>
    <w:p>
      <w:pPr>
        <w:spacing w:after="0"/>
        <w:ind w:left="0"/>
        <w:jc w:val="both"/>
      </w:pPr>
      <w:r>
        <w:rPr>
          <w:rFonts w:ascii="Times New Roman"/>
          <w:b w:val="false"/>
          <w:i w:val="false"/>
          <w:color w:val="000000"/>
          <w:sz w:val="28"/>
        </w:rPr>
        <w:t>
      Независимо от действующих напряжений толщина плоского полотна стальной двери не менее, указанной в пункте 549 настоящих Правил. Для стальных дверей, изготовленных методом выштамповки, допускается уменьшение минимальной толщины полотна двери на 1 мм.</w:t>
      </w:r>
    </w:p>
    <w:bookmarkEnd w:id="4303"/>
    <w:bookmarkStart w:name="z4304" w:id="4304"/>
    <w:p>
      <w:pPr>
        <w:spacing w:after="0"/>
        <w:ind w:left="0"/>
        <w:jc w:val="both"/>
      </w:pPr>
      <w:r>
        <w:rPr>
          <w:rFonts w:ascii="Times New Roman"/>
          <w:b w:val="false"/>
          <w:i w:val="false"/>
          <w:color w:val="000000"/>
          <w:sz w:val="28"/>
        </w:rPr>
        <w:t>
      Минимальная толщина полотна двери из других материалов является предметом специального рассмотрения Регистром судоходства.</w:t>
      </w:r>
    </w:p>
    <w:bookmarkEnd w:id="4304"/>
    <w:bookmarkStart w:name="z4305" w:id="4305"/>
    <w:p>
      <w:pPr>
        <w:spacing w:after="0"/>
        <w:ind w:left="0"/>
        <w:jc w:val="both"/>
      </w:pPr>
      <w:r>
        <w:rPr>
          <w:rFonts w:ascii="Times New Roman"/>
          <w:b w:val="false"/>
          <w:i w:val="false"/>
          <w:color w:val="000000"/>
          <w:sz w:val="28"/>
        </w:rPr>
        <w:t>
      1235. Необходимо чтобы двери были постоянно навешенными и для их открывания, закрывания и задраивания предусматривались быстродействующие приспособления, которыми возможно оперировать с обеих сторон переборки. Двери открываются наружу; открывание дверей внутрь надстройки или рубки является в каждом случае предметом специального рассмотрения Регистром судоходства.</w:t>
      </w:r>
    </w:p>
    <w:bookmarkEnd w:id="4305"/>
    <w:bookmarkStart w:name="z4306" w:id="4306"/>
    <w:p>
      <w:pPr>
        <w:spacing w:after="0"/>
        <w:ind w:left="0"/>
        <w:jc w:val="both"/>
      </w:pPr>
      <w:r>
        <w:rPr>
          <w:rFonts w:ascii="Times New Roman"/>
          <w:b w:val="false"/>
          <w:i w:val="false"/>
          <w:color w:val="000000"/>
          <w:sz w:val="28"/>
        </w:rPr>
        <w:t>
      1236. В задраенном состоянии двери непроницаемы при воздействии моря. Непроницаемость обеспечивают резиновой или другой подходящей прокладкой.</w:t>
      </w:r>
    </w:p>
    <w:bookmarkEnd w:id="4306"/>
    <w:bookmarkStart w:name="z4307" w:id="4307"/>
    <w:p>
      <w:pPr>
        <w:spacing w:after="0"/>
        <w:ind w:left="0"/>
        <w:jc w:val="both"/>
      </w:pPr>
      <w:r>
        <w:rPr>
          <w:rFonts w:ascii="Times New Roman"/>
          <w:b w:val="false"/>
          <w:i w:val="false"/>
          <w:color w:val="000000"/>
          <w:sz w:val="28"/>
        </w:rPr>
        <w:t>
      1237. Двери изготавливают из стали или другого материала, одобренного Регистром судоходства.</w:t>
      </w:r>
    </w:p>
    <w:bookmarkEnd w:id="4307"/>
    <w:bookmarkStart w:name="z4308" w:id="4308"/>
    <w:p>
      <w:pPr>
        <w:spacing w:after="0"/>
        <w:ind w:left="0"/>
        <w:jc w:val="both"/>
      </w:pPr>
      <w:r>
        <w:rPr>
          <w:rFonts w:ascii="Times New Roman"/>
          <w:b w:val="false"/>
          <w:i w:val="false"/>
          <w:color w:val="000000"/>
          <w:sz w:val="28"/>
        </w:rPr>
        <w:t>
      1238. На судах из стеклопластика крепление дверей к переборкам надстроек и рубок осуществляется аналогично креплению иллюминаторов в соответствии с требованием пункта 1204 настоящих Правил.</w:t>
      </w:r>
    </w:p>
    <w:bookmarkEnd w:id="4308"/>
    <w:bookmarkStart w:name="z4309" w:id="4309"/>
    <w:p>
      <w:pPr>
        <w:spacing w:after="0"/>
        <w:ind w:left="0"/>
        <w:jc w:val="both"/>
      </w:pPr>
      <w:r>
        <w:rPr>
          <w:rFonts w:ascii="Times New Roman"/>
          <w:b w:val="false"/>
          <w:i w:val="false"/>
          <w:color w:val="000000"/>
          <w:sz w:val="28"/>
        </w:rPr>
        <w:t>
      1239. На плавучих доках высота комингсов отверстий для дверей в надстройки и рубки, расположенные на топ-палубе, не менее 200 мм, если из этих надстроек и рубок имеются сходы в нижерасположенные помещения.</w:t>
      </w:r>
    </w:p>
    <w:bookmarkEnd w:id="4309"/>
    <w:bookmarkStart w:name="z4310" w:id="4310"/>
    <w:p>
      <w:pPr>
        <w:spacing w:after="0"/>
        <w:ind w:left="0"/>
        <w:jc w:val="left"/>
      </w:pPr>
      <w:r>
        <w:rPr>
          <w:rFonts w:ascii="Times New Roman"/>
          <w:b/>
          <w:i w:val="false"/>
          <w:color w:val="000000"/>
        </w:rPr>
        <w:t xml:space="preserve"> Глава 71. Машинно-котельные шахты</w:t>
      </w:r>
    </w:p>
    <w:bookmarkEnd w:id="4310"/>
    <w:p>
      <w:pPr>
        <w:spacing w:after="0"/>
        <w:ind w:left="0"/>
        <w:jc w:val="both"/>
      </w:pPr>
      <w:r>
        <w:rPr>
          <w:rFonts w:ascii="Times New Roman"/>
          <w:b w:val="false"/>
          <w:i w:val="false"/>
          <w:color w:val="ff0000"/>
          <w:sz w:val="28"/>
        </w:rPr>
        <w:t xml:space="preserve">
      Сноска. Заголовок главы 71 -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11" w:id="4311"/>
    <w:p>
      <w:pPr>
        <w:spacing w:after="0"/>
        <w:ind w:left="0"/>
        <w:jc w:val="both"/>
      </w:pPr>
      <w:r>
        <w:rPr>
          <w:rFonts w:ascii="Times New Roman"/>
          <w:b w:val="false"/>
          <w:i w:val="false"/>
          <w:color w:val="000000"/>
          <w:sz w:val="28"/>
        </w:rPr>
        <w:t>
      1240. Вырезы в палубах в районах 1 и 2 над машинными и котельными отделениями защищают прочными шахтами, возвышающимися над этими палубами настолько, насколько это разумно и осуществимо и покрытыми в свою очередь палубой или заканчивающимися световыми люками. Конструкция шахт отвечает требованиям главы 27 настоящих Правил, а на судах из стеклопластика — требованиям раздела 18 настоящих Правил.</w:t>
      </w:r>
    </w:p>
    <w:bookmarkEnd w:id="4311"/>
    <w:bookmarkStart w:name="z4312" w:id="4312"/>
    <w:p>
      <w:pPr>
        <w:spacing w:after="0"/>
        <w:ind w:left="0"/>
        <w:jc w:val="both"/>
      </w:pPr>
      <w:r>
        <w:rPr>
          <w:rFonts w:ascii="Times New Roman"/>
          <w:b w:val="false"/>
          <w:i w:val="false"/>
          <w:color w:val="000000"/>
          <w:sz w:val="28"/>
        </w:rPr>
        <w:t>
      1241. Шахты непроницаемы при воздействии моря.</w:t>
      </w:r>
    </w:p>
    <w:bookmarkEnd w:id="4312"/>
    <w:bookmarkStart w:name="z4313" w:id="4313"/>
    <w:p>
      <w:pPr>
        <w:spacing w:after="0"/>
        <w:ind w:left="0"/>
        <w:jc w:val="both"/>
      </w:pPr>
      <w:r>
        <w:rPr>
          <w:rFonts w:ascii="Times New Roman"/>
          <w:b w:val="false"/>
          <w:i w:val="false"/>
          <w:color w:val="000000"/>
          <w:sz w:val="28"/>
        </w:rPr>
        <w:t>
      1242. Шахты изготавливают из стали (пункт 2156 настоящих Правил).</w:t>
      </w:r>
    </w:p>
    <w:bookmarkEnd w:id="4313"/>
    <w:bookmarkStart w:name="z4314" w:id="4314"/>
    <w:p>
      <w:pPr>
        <w:spacing w:after="0"/>
        <w:ind w:left="0"/>
        <w:jc w:val="both"/>
      </w:pPr>
      <w:r>
        <w:rPr>
          <w:rFonts w:ascii="Times New Roman"/>
          <w:b w:val="false"/>
          <w:i w:val="false"/>
          <w:color w:val="000000"/>
          <w:sz w:val="28"/>
        </w:rPr>
        <w:t>
      1243. Отверстия в шахтах для доступа в машинное и котельное отделения закрываются постоянно навешенными дверями, отвечающими требованиям пунктов 1234 - 1237 настоящих Правил. Комингсы отверстий для дверей имеют высоту не менее 600 мм в районе 1 и не менее 380 в районе 2.</w:t>
      </w:r>
    </w:p>
    <w:bookmarkEnd w:id="4314"/>
    <w:bookmarkStart w:name="z4315" w:id="4315"/>
    <w:p>
      <w:pPr>
        <w:spacing w:after="0"/>
        <w:ind w:left="0"/>
        <w:jc w:val="both"/>
      </w:pPr>
      <w:r>
        <w:rPr>
          <w:rFonts w:ascii="Times New Roman"/>
          <w:b w:val="false"/>
          <w:i w:val="false"/>
          <w:color w:val="000000"/>
          <w:sz w:val="28"/>
        </w:rPr>
        <w:t>
      На судах длиной менее 24 м ограниченных районов плавания R2, R2-RSN, R3-RSN и R3 эту высоту комингсов возможно уменьшить до 300 мм.</w:t>
      </w:r>
    </w:p>
    <w:bookmarkEnd w:id="4315"/>
    <w:bookmarkStart w:name="z4316" w:id="4316"/>
    <w:p>
      <w:pPr>
        <w:spacing w:after="0"/>
        <w:ind w:left="0"/>
        <w:jc w:val="both"/>
      </w:pPr>
      <w:r>
        <w:rPr>
          <w:rFonts w:ascii="Times New Roman"/>
          <w:b w:val="false"/>
          <w:i w:val="false"/>
          <w:color w:val="000000"/>
          <w:sz w:val="28"/>
        </w:rPr>
        <w:t>
      На судах длиной 24 м и более ограниченного района плавания R3 (кроме пассажирских) указанная высота комингсов отверстий для дверей соответственно уменьшается с 600 до 450 мм и с 380 до 230 мм.</w:t>
      </w:r>
    </w:p>
    <w:bookmarkEnd w:id="4316"/>
    <w:bookmarkStart w:name="z4317" w:id="4317"/>
    <w:p>
      <w:pPr>
        <w:spacing w:after="0"/>
        <w:ind w:left="0"/>
        <w:jc w:val="both"/>
      </w:pPr>
      <w:r>
        <w:rPr>
          <w:rFonts w:ascii="Times New Roman"/>
          <w:b w:val="false"/>
          <w:i w:val="false"/>
          <w:color w:val="000000"/>
          <w:sz w:val="28"/>
        </w:rPr>
        <w:t>
      1244. На судах типа А, а также на судах типа В, которым разрешено уменьшение табличного надводного борта по сравнению с требуемым приложений 16, 42 или 4 Правил о грузовой марке, машинно-котельные шахты защищают ютом или средней надстройкой по меньшей мере стандартной высоты или рубкой такой же высоты и прочности. Однако шахты бывают и незащищенными, если в них нет отверстий для непосредственного доступа в машинно-котельное отделение с палубы надводного борта. Допускается устройство двери, отвечающей требованиям пунктов 1234 – 1237 настоящих Правил, ведущей в помещение или коридор, эквивалентный по прочности шахте и отделенный от трапа в машинно-котельное отделение второй такой же дверью. При этом отверстие для наружной двери имеет комингс высотой не менее 600 мм, а внутренней — не менее 230 мм.</w:t>
      </w:r>
    </w:p>
    <w:bookmarkEnd w:id="4317"/>
    <w:bookmarkStart w:name="z4318" w:id="4318"/>
    <w:p>
      <w:pPr>
        <w:spacing w:after="0"/>
        <w:ind w:left="0"/>
        <w:jc w:val="both"/>
      </w:pPr>
      <w:r>
        <w:rPr>
          <w:rFonts w:ascii="Times New Roman"/>
          <w:b w:val="false"/>
          <w:i w:val="false"/>
          <w:color w:val="000000"/>
          <w:sz w:val="28"/>
        </w:rPr>
        <w:t>
      1245. На судах обеспечения двери в шахте для доступа в машинное или котельное отделения, по возможности, располагаются внутри закрытой надстройки или рубки. Допускается устройство двери в шахте для доступа в машинное или котельное отделения непосредственно с открытой грузовой палубы при условии, что в дополнение к первой, наружной, будет предусмотрена вторая, внутренняя, дверь; при этом наружная и внутренняя двери должны отвечать требованиям пунктов 1234 - 1237 настоящих Правил, высота комингса отверстия для наружной двери равна не менее 600 мм, а для внутренней двери — не менее 230 мм.</w:t>
      </w:r>
    </w:p>
    <w:bookmarkEnd w:id="4318"/>
    <w:bookmarkStart w:name="z4319" w:id="4319"/>
    <w:p>
      <w:pPr>
        <w:spacing w:after="0"/>
        <w:ind w:left="0"/>
        <w:jc w:val="both"/>
      </w:pPr>
      <w:r>
        <w:rPr>
          <w:rFonts w:ascii="Times New Roman"/>
          <w:b w:val="false"/>
          <w:i w:val="false"/>
          <w:color w:val="000000"/>
          <w:sz w:val="28"/>
        </w:rPr>
        <w:t>
      1246. На плавучих доках высота комингсов отверстий для дверей на топ-палубе в шахты машинно-котельных отделений не менее 200 мм.</w:t>
      </w:r>
    </w:p>
    <w:bookmarkEnd w:id="4319"/>
    <w:bookmarkStart w:name="z4320" w:id="4320"/>
    <w:p>
      <w:pPr>
        <w:spacing w:after="0"/>
        <w:ind w:left="0"/>
        <w:jc w:val="left"/>
      </w:pPr>
      <w:r>
        <w:rPr>
          <w:rFonts w:ascii="Times New Roman"/>
          <w:b/>
          <w:i w:val="false"/>
          <w:color w:val="000000"/>
        </w:rPr>
        <w:t xml:space="preserve"> Глава 72. Сходные, световые и вентиляционные люки</w:t>
      </w:r>
    </w:p>
    <w:bookmarkEnd w:id="4320"/>
    <w:p>
      <w:pPr>
        <w:spacing w:after="0"/>
        <w:ind w:left="0"/>
        <w:jc w:val="both"/>
      </w:pPr>
      <w:r>
        <w:rPr>
          <w:rFonts w:ascii="Times New Roman"/>
          <w:b w:val="false"/>
          <w:i w:val="false"/>
          <w:color w:val="ff0000"/>
          <w:sz w:val="28"/>
        </w:rPr>
        <w:t xml:space="preserve">
      Сноска. Заголовок главы 72 -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21" w:id="4321"/>
    <w:p>
      <w:pPr>
        <w:spacing w:after="0"/>
        <w:ind w:left="0"/>
        <w:jc w:val="left"/>
      </w:pPr>
      <w:r>
        <w:rPr>
          <w:rFonts w:ascii="Times New Roman"/>
          <w:b/>
          <w:i w:val="false"/>
          <w:color w:val="000000"/>
        </w:rPr>
        <w:t xml:space="preserve"> Параграф 1. Конструкция и закрытие</w:t>
      </w:r>
    </w:p>
    <w:bookmarkEnd w:id="4321"/>
    <w:bookmarkStart w:name="z4322" w:id="4322"/>
    <w:p>
      <w:pPr>
        <w:spacing w:after="0"/>
        <w:ind w:left="0"/>
        <w:jc w:val="both"/>
      </w:pPr>
      <w:r>
        <w:rPr>
          <w:rFonts w:ascii="Times New Roman"/>
          <w:b w:val="false"/>
          <w:i w:val="false"/>
          <w:color w:val="000000"/>
          <w:sz w:val="28"/>
        </w:rPr>
        <w:t>
      1247. Отверстия в палубах в районах 1 и 2, предназначенные для трапов в судовые помещения, расположенные ниже, а также отверстия для доступа света и воздуха в эти помещения защищают прочными сходными, световыми или вентиляционными люками.</w:t>
      </w:r>
    </w:p>
    <w:bookmarkEnd w:id="4322"/>
    <w:bookmarkStart w:name="z4323" w:id="4323"/>
    <w:p>
      <w:pPr>
        <w:spacing w:after="0"/>
        <w:ind w:left="0"/>
        <w:jc w:val="both"/>
      </w:pPr>
      <w:r>
        <w:rPr>
          <w:rFonts w:ascii="Times New Roman"/>
          <w:b w:val="false"/>
          <w:i w:val="false"/>
          <w:color w:val="000000"/>
          <w:sz w:val="28"/>
        </w:rPr>
        <w:t>
      Если отверстия, предназначенные для трапов в судовые помещения, расположенные ниже, защищены не сходными люками, а надстройками или рубками, то эти надстройки и рубки отвечают требованиям главы 70 настоящих Правил.</w:t>
      </w:r>
    </w:p>
    <w:bookmarkEnd w:id="4323"/>
    <w:bookmarkStart w:name="z4324" w:id="4324"/>
    <w:p>
      <w:pPr>
        <w:spacing w:after="0"/>
        <w:ind w:left="0"/>
        <w:jc w:val="both"/>
      </w:pPr>
      <w:r>
        <w:rPr>
          <w:rFonts w:ascii="Times New Roman"/>
          <w:b w:val="false"/>
          <w:i w:val="false"/>
          <w:color w:val="000000"/>
          <w:sz w:val="28"/>
        </w:rPr>
        <w:t>
      1248. Высота комингсов сходных, световых и вентиляционных люков равна не менее 600 мм в районе 1 и не менее 450 мм в районе 2. На судах длиной 24 м и более ограниченного района плавания R3 (кроме пассажирских) указанная высота комингсов люков возможно соответственно уменьшить с 600 до 450 мм и с 450 до 380 мм. У судов длиной менее 24 м высоту комингсов возможно уменьшить до 380 мм для судов ограниченных районов плавания R2, R2-RSN и R3-RSN и до 300 мм для судов ограниченного района плавания R3.</w:t>
      </w:r>
    </w:p>
    <w:bookmarkEnd w:id="4324"/>
    <w:bookmarkStart w:name="z4325" w:id="4325"/>
    <w:p>
      <w:pPr>
        <w:spacing w:after="0"/>
        <w:ind w:left="0"/>
        <w:jc w:val="both"/>
      </w:pPr>
      <w:r>
        <w:rPr>
          <w:rFonts w:ascii="Times New Roman"/>
          <w:b w:val="false"/>
          <w:i w:val="false"/>
          <w:color w:val="000000"/>
          <w:sz w:val="28"/>
        </w:rPr>
        <w:t>
      Конструкция комингсов отвечает требованиям пункта 426 настоящих Правил, а на судах из стеклопластика — требованиям раздела 18 настоящих Правил.</w:t>
      </w:r>
    </w:p>
    <w:bookmarkEnd w:id="4325"/>
    <w:bookmarkStart w:name="z4326" w:id="4326"/>
    <w:p>
      <w:pPr>
        <w:spacing w:after="0"/>
        <w:ind w:left="0"/>
        <w:jc w:val="both"/>
      </w:pPr>
      <w:r>
        <w:rPr>
          <w:rFonts w:ascii="Times New Roman"/>
          <w:b w:val="false"/>
          <w:i w:val="false"/>
          <w:color w:val="000000"/>
          <w:sz w:val="28"/>
        </w:rPr>
        <w:t>
      1249. Все сходные, световые и вентиляционные люки имеют крышки, постоянно навешенные на комингсах и изготовленные из стали или другого материала, одобренного Регистром судоходства.</w:t>
      </w:r>
    </w:p>
    <w:bookmarkEnd w:id="4326"/>
    <w:bookmarkStart w:name="z4327" w:id="4327"/>
    <w:p>
      <w:pPr>
        <w:spacing w:after="0"/>
        <w:ind w:left="0"/>
        <w:jc w:val="both"/>
      </w:pPr>
      <w:r>
        <w:rPr>
          <w:rFonts w:ascii="Times New Roman"/>
          <w:b w:val="false"/>
          <w:i w:val="false"/>
          <w:color w:val="000000"/>
          <w:sz w:val="28"/>
        </w:rPr>
        <w:t>
      Если крышки изготовлены из стали, толщина их полотнища составляет по меньшей мере 0,01 расстояния между ребрами жесткости, подкрепляющими полотнище, но не менее 6 мм.</w:t>
      </w:r>
    </w:p>
    <w:bookmarkEnd w:id="4327"/>
    <w:bookmarkStart w:name="z4328" w:id="4328"/>
    <w:p>
      <w:pPr>
        <w:spacing w:after="0"/>
        <w:ind w:left="0"/>
        <w:jc w:val="both"/>
      </w:pPr>
      <w:r>
        <w:rPr>
          <w:rFonts w:ascii="Times New Roman"/>
          <w:b w:val="false"/>
          <w:i w:val="false"/>
          <w:color w:val="000000"/>
          <w:sz w:val="28"/>
        </w:rPr>
        <w:t>
      Требуемую минимальную толщину 6 мм возможно уменьшить, если крышка выполнена методом выштамповки в соответствии с приложениями 174 и 175 настоящих Правил.</w:t>
      </w:r>
    </w:p>
    <w:bookmarkEnd w:id="4328"/>
    <w:bookmarkStart w:name="z4329" w:id="4329"/>
    <w:p>
      <w:pPr>
        <w:spacing w:after="0"/>
        <w:ind w:left="0"/>
        <w:jc w:val="both"/>
      </w:pPr>
      <w:r>
        <w:rPr>
          <w:rFonts w:ascii="Times New Roman"/>
          <w:b w:val="false"/>
          <w:i w:val="false"/>
          <w:color w:val="000000"/>
          <w:sz w:val="28"/>
        </w:rPr>
        <w:t>
      На малых судах, у которых толщина палубы меньше 6 мм, независимо от наличия выштамповки у крышки, требуемую минимальную толщину 6 мм разрешается уменьшить до толщины палубы, однако ни в коем случае толщина полотнища составляет не менее 4 мм.</w:t>
      </w:r>
    </w:p>
    <w:bookmarkEnd w:id="4329"/>
    <w:bookmarkStart w:name="z4330" w:id="4330"/>
    <w:p>
      <w:pPr>
        <w:spacing w:after="0"/>
        <w:ind w:left="0"/>
        <w:jc w:val="both"/>
      </w:pPr>
      <w:r>
        <w:rPr>
          <w:rFonts w:ascii="Times New Roman"/>
          <w:b w:val="false"/>
          <w:i w:val="false"/>
          <w:color w:val="000000"/>
          <w:sz w:val="28"/>
        </w:rPr>
        <w:t>
      1250. Крышки сходных, световых и вентиляционных люков имеют устройства для задраивания, которыми можно оперировать по крайней мере с наружной стороны люка. Однако, если кроме своего прямого назначения люки используются как аварийные выходы, устройство для задраивания такие, что им можно было оперировать с обеих сторон крышки.</w:t>
      </w:r>
    </w:p>
    <w:bookmarkEnd w:id="4330"/>
    <w:bookmarkStart w:name="z4331" w:id="4331"/>
    <w:p>
      <w:pPr>
        <w:spacing w:after="0"/>
        <w:ind w:left="0"/>
        <w:jc w:val="both"/>
      </w:pPr>
      <w:r>
        <w:rPr>
          <w:rFonts w:ascii="Times New Roman"/>
          <w:b w:val="false"/>
          <w:i w:val="false"/>
          <w:color w:val="000000"/>
          <w:sz w:val="28"/>
        </w:rPr>
        <w:t>
      В задраенном состоянии крышки непроницаемы при воздействии моря. Непроницаемость обеспечивают с помощью резиновой или другой подходящей прокладки.</w:t>
      </w:r>
    </w:p>
    <w:bookmarkEnd w:id="4331"/>
    <w:bookmarkStart w:name="z4332" w:id="4332"/>
    <w:p>
      <w:pPr>
        <w:spacing w:after="0"/>
        <w:ind w:left="0"/>
        <w:jc w:val="both"/>
      </w:pPr>
      <w:r>
        <w:rPr>
          <w:rFonts w:ascii="Times New Roman"/>
          <w:b w:val="false"/>
          <w:i w:val="false"/>
          <w:color w:val="000000"/>
          <w:sz w:val="28"/>
        </w:rPr>
        <w:t>
      1251. Стекла иллюминаторов на крышках световых люков закаленные и имеют толщину не менее 6 мм при диаметре в свету 150 мм и менее и не менее 12 мм при диаметре в свету 450 мм. Для промежуточных диаметров в свету толщина стекла определяется линейной интерполяцией. Однако если стекла армируются металлической сеткой, то их толщина равна 5 мм, а требование относительно их закалки не предъявляется.</w:t>
      </w:r>
    </w:p>
    <w:bookmarkEnd w:id="4332"/>
    <w:bookmarkStart w:name="z4333" w:id="4333"/>
    <w:p>
      <w:pPr>
        <w:spacing w:after="0"/>
        <w:ind w:left="0"/>
        <w:jc w:val="both"/>
      </w:pPr>
      <w:r>
        <w:rPr>
          <w:rFonts w:ascii="Times New Roman"/>
          <w:b w:val="false"/>
          <w:i w:val="false"/>
          <w:color w:val="000000"/>
          <w:sz w:val="28"/>
        </w:rPr>
        <w:t>
      Стекла надежно крепятся к крышкам с помощью рамки и имеют по контуру непроницаемое при воздействии моря уплотнение из резины или другого подходящего материала.</w:t>
      </w:r>
    </w:p>
    <w:bookmarkEnd w:id="4333"/>
    <w:bookmarkStart w:name="z4334" w:id="4334"/>
    <w:p>
      <w:pPr>
        <w:spacing w:after="0"/>
        <w:ind w:left="0"/>
        <w:jc w:val="both"/>
      </w:pPr>
      <w:r>
        <w:rPr>
          <w:rFonts w:ascii="Times New Roman"/>
          <w:b w:val="false"/>
          <w:i w:val="false"/>
          <w:color w:val="000000"/>
          <w:sz w:val="28"/>
        </w:rPr>
        <w:t>
      Световые люки, устанавливаемые в машинных помещениях категории А, отвечают требованиям пункта 2184 настоящих Правил.</w:t>
      </w:r>
    </w:p>
    <w:bookmarkEnd w:id="4334"/>
    <w:bookmarkStart w:name="z4335" w:id="4335"/>
    <w:p>
      <w:pPr>
        <w:spacing w:after="0"/>
        <w:ind w:left="0"/>
        <w:jc w:val="both"/>
      </w:pPr>
      <w:r>
        <w:rPr>
          <w:rFonts w:ascii="Times New Roman"/>
          <w:b w:val="false"/>
          <w:i w:val="false"/>
          <w:color w:val="000000"/>
          <w:sz w:val="28"/>
        </w:rPr>
        <w:t>
      1252. Для каждого иллюминатора или группы рядом расположенных иллюминаторов предусматривают съемные щитки из того же материала, что и крышка, толщиной не менее 3 мм, надежно укрепляемые на барашках с наружной стороны крышки и хранящиеся в непосредственной близости от световых люков.</w:t>
      </w:r>
    </w:p>
    <w:bookmarkEnd w:id="4335"/>
    <w:bookmarkStart w:name="z4336" w:id="4336"/>
    <w:p>
      <w:pPr>
        <w:spacing w:after="0"/>
        <w:ind w:left="0"/>
        <w:jc w:val="both"/>
      </w:pPr>
      <w:r>
        <w:rPr>
          <w:rFonts w:ascii="Times New Roman"/>
          <w:b w:val="false"/>
          <w:i w:val="false"/>
          <w:color w:val="000000"/>
          <w:sz w:val="28"/>
        </w:rPr>
        <w:t>
      1253. На плавучих доках высота комингсов сходных, световых и вентиляционных люков, расположенных на топ-палубе, равна не менее 200 мм.</w:t>
      </w:r>
    </w:p>
    <w:bookmarkEnd w:id="4336"/>
    <w:bookmarkStart w:name="z4337" w:id="4337"/>
    <w:p>
      <w:pPr>
        <w:spacing w:after="0"/>
        <w:ind w:left="0"/>
        <w:jc w:val="both"/>
      </w:pPr>
      <w:r>
        <w:rPr>
          <w:rFonts w:ascii="Times New Roman"/>
          <w:b w:val="false"/>
          <w:i w:val="false"/>
          <w:color w:val="000000"/>
          <w:sz w:val="28"/>
        </w:rPr>
        <w:t>
      Указанные в пункте 1252 настоящих Правил съемные щитки на крышках световых люков, расположенных на топ-палубе плавучих доков, не устанавливаются.</w:t>
      </w:r>
    </w:p>
    <w:bookmarkEnd w:id="4337"/>
    <w:bookmarkStart w:name="z4338" w:id="4338"/>
    <w:p>
      <w:pPr>
        <w:spacing w:after="0"/>
        <w:ind w:left="0"/>
        <w:jc w:val="left"/>
      </w:pPr>
      <w:r>
        <w:rPr>
          <w:rFonts w:ascii="Times New Roman"/>
          <w:b/>
          <w:i w:val="false"/>
          <w:color w:val="000000"/>
        </w:rPr>
        <w:t xml:space="preserve"> Параграф 2. Конструкция и закрытие люков малых размеров,</w:t>
      </w:r>
      <w:r>
        <w:br/>
      </w:r>
      <w:r>
        <w:rPr>
          <w:rFonts w:ascii="Times New Roman"/>
          <w:b/>
          <w:i w:val="false"/>
          <w:color w:val="000000"/>
        </w:rPr>
        <w:t>расположенных в носовой оконечности судна</w:t>
      </w:r>
    </w:p>
    <w:bookmarkEnd w:id="4338"/>
    <w:bookmarkStart w:name="z4339" w:id="4339"/>
    <w:p>
      <w:pPr>
        <w:spacing w:after="0"/>
        <w:ind w:left="0"/>
        <w:jc w:val="both"/>
      </w:pPr>
      <w:r>
        <w:rPr>
          <w:rFonts w:ascii="Times New Roman"/>
          <w:b w:val="false"/>
          <w:i w:val="false"/>
          <w:color w:val="000000"/>
          <w:sz w:val="28"/>
        </w:rPr>
        <w:t>
      1254. Требования настоящего параграфа распространяются на люковые закрытия площадью, как правило, не более 2,5 м</w:t>
      </w:r>
      <w:r>
        <w:rPr>
          <w:rFonts w:ascii="Times New Roman"/>
          <w:b w:val="false"/>
          <w:i w:val="false"/>
          <w:color w:val="000000"/>
          <w:vertAlign w:val="superscript"/>
        </w:rPr>
        <w:t>2</w:t>
      </w:r>
      <w:r>
        <w:rPr>
          <w:rFonts w:ascii="Times New Roman"/>
          <w:b w:val="false"/>
          <w:i w:val="false"/>
          <w:color w:val="000000"/>
          <w:sz w:val="28"/>
        </w:rPr>
        <w:t>, расположенные на открытой палубе на расстоянии 0,25 длины судна L от носового перпендикуляра, судов длиной 80 м и более, если высота расположения открытой палубы в районе установки люка менее 0,1L или 22 м над уровнем летней грузовой ватерлинии, в зависимости от того, что меньше.</w:t>
      </w:r>
    </w:p>
    <w:bookmarkEnd w:id="4339"/>
    <w:bookmarkStart w:name="z4340" w:id="4340"/>
    <w:p>
      <w:pPr>
        <w:spacing w:after="0"/>
        <w:ind w:left="0"/>
        <w:jc w:val="both"/>
      </w:pPr>
      <w:r>
        <w:rPr>
          <w:rFonts w:ascii="Times New Roman"/>
          <w:b w:val="false"/>
          <w:i w:val="false"/>
          <w:color w:val="000000"/>
          <w:sz w:val="28"/>
        </w:rPr>
        <w:t>
      1255. Толщина крышки, расположение ребер жесткости и размеры связей стальных люковых закрытий прямоугольной, либо квадратной формы соответствуют приложениям 176 и 177 настоящих Правил. Ребра жесткости, если они предусмотрены, совмещают с точками контакта кромки люкового закрытия с приварной планкой (точками контакта металла с металлом), которые требуются в соответствии с пунктом 1259 настоящих Правил (приложение 177 настоящих Правил). Основные ребра жесткости непрерывные. Все ребра жесткости приваривают к планке внутренней стенки (приложение 177 настоящих Правил).</w:t>
      </w:r>
    </w:p>
    <w:bookmarkEnd w:id="4340"/>
    <w:bookmarkStart w:name="z4341" w:id="4341"/>
    <w:p>
      <w:pPr>
        <w:spacing w:after="0"/>
        <w:ind w:left="0"/>
        <w:jc w:val="both"/>
      </w:pPr>
      <w:r>
        <w:rPr>
          <w:rFonts w:ascii="Times New Roman"/>
          <w:b w:val="false"/>
          <w:i w:val="false"/>
          <w:color w:val="000000"/>
          <w:sz w:val="28"/>
        </w:rPr>
        <w:t>
      1256. Комингс люковых закрытий соответствующим образом подкрепляют горизонтальной полосой, обычно расположенной на расстоянии не более 170 — 190 мм от верхней кромки комингса.</w:t>
      </w:r>
    </w:p>
    <w:bookmarkEnd w:id="4341"/>
    <w:bookmarkStart w:name="z4342" w:id="4342"/>
    <w:p>
      <w:pPr>
        <w:spacing w:after="0"/>
        <w:ind w:left="0"/>
        <w:jc w:val="both"/>
      </w:pPr>
      <w:r>
        <w:rPr>
          <w:rFonts w:ascii="Times New Roman"/>
          <w:b w:val="false"/>
          <w:i w:val="false"/>
          <w:color w:val="000000"/>
          <w:sz w:val="28"/>
        </w:rPr>
        <w:t>
      1257. Требуемые размеры люковых закрытий, изготовленных из материалов, иных чем сталь, обеспечивают эквивалентную прочность.</w:t>
      </w:r>
    </w:p>
    <w:bookmarkEnd w:id="4342"/>
    <w:bookmarkStart w:name="z4343" w:id="4343"/>
    <w:p>
      <w:pPr>
        <w:spacing w:after="0"/>
        <w:ind w:left="0"/>
        <w:jc w:val="both"/>
      </w:pPr>
      <w:r>
        <w:rPr>
          <w:rFonts w:ascii="Times New Roman"/>
          <w:b w:val="false"/>
          <w:i w:val="false"/>
          <w:color w:val="000000"/>
          <w:sz w:val="28"/>
        </w:rPr>
        <w:t>
      1258. Водонепроницаемость люковых крышек при воздействии моря обеспечивают следующие типы задраивающих устройств: барашковая задрайка, эксцентриковая задрайка, центральное запирающее устройство. Использование ручных клиновых задраек не допускается.</w:t>
      </w:r>
    </w:p>
    <w:bookmarkEnd w:id="4343"/>
    <w:bookmarkStart w:name="z4344" w:id="4344"/>
    <w:p>
      <w:pPr>
        <w:spacing w:after="0"/>
        <w:ind w:left="0"/>
        <w:jc w:val="both"/>
      </w:pPr>
      <w:r>
        <w:rPr>
          <w:rFonts w:ascii="Times New Roman"/>
          <w:b w:val="false"/>
          <w:i w:val="false"/>
          <w:color w:val="000000"/>
          <w:sz w:val="28"/>
        </w:rPr>
        <w:t>
      Если кроме своего прямого назначения люковые крышки используются как аварийные выходы, устройством для задраивания таких крышек является центральное запирающее устройство быстродействующего типа, конструкция которого позволяет оперировать им с обеих сторон крышки.</w:t>
      </w:r>
    </w:p>
    <w:bookmarkEnd w:id="4344"/>
    <w:bookmarkStart w:name="z4345" w:id="4345"/>
    <w:p>
      <w:pPr>
        <w:spacing w:after="0"/>
        <w:ind w:left="0"/>
        <w:jc w:val="both"/>
      </w:pPr>
      <w:r>
        <w:rPr>
          <w:rFonts w:ascii="Times New Roman"/>
          <w:b w:val="false"/>
          <w:i w:val="false"/>
          <w:color w:val="000000"/>
          <w:sz w:val="28"/>
        </w:rPr>
        <w:t>
      1259. Люковое закрытие имеет уплотнение из эластичного материала. Конструкция уплотнения обеспечивает при расчетной величине сжатия контакт кромки люкового закрытия с приварной планкой (контакт металла с металлом) и предотвращать чрезмерное сжатие уплотнения силами, возникающими при заливании судна, которые приводят к ослаблению и смещению устройств для задраивания. Контакты кромки люкового закрытия с приварной планкой (металла с металлом) располагаются вблизи каждого устройства для задраивания в соответствии с приложением 177 настоящих Правил и достаточно надежны при действии нагрузки.</w:t>
      </w:r>
    </w:p>
    <w:bookmarkEnd w:id="4345"/>
    <w:bookmarkStart w:name="z4346" w:id="4346"/>
    <w:p>
      <w:pPr>
        <w:spacing w:after="0"/>
        <w:ind w:left="0"/>
        <w:jc w:val="both"/>
      </w:pPr>
      <w:r>
        <w:rPr>
          <w:rFonts w:ascii="Times New Roman"/>
          <w:b w:val="false"/>
          <w:i w:val="false"/>
          <w:color w:val="000000"/>
          <w:sz w:val="28"/>
        </w:rPr>
        <w:t>
      1260. Основное устройство для задраивания конструируют и изготавливают таким образом, чтобы расчетное давление сжатия обеспечивалось одним человеком вручную, без необходимости использования каких-либо инструментов.</w:t>
      </w:r>
    </w:p>
    <w:bookmarkEnd w:id="4346"/>
    <w:bookmarkStart w:name="z4347" w:id="4347"/>
    <w:p>
      <w:pPr>
        <w:spacing w:after="0"/>
        <w:ind w:left="0"/>
        <w:jc w:val="both"/>
      </w:pPr>
      <w:r>
        <w:rPr>
          <w:rFonts w:ascii="Times New Roman"/>
          <w:b w:val="false"/>
          <w:i w:val="false"/>
          <w:color w:val="000000"/>
          <w:sz w:val="28"/>
        </w:rPr>
        <w:t>
      1261. Если в основном устройстве для задраивания используются барашковые задрайки, вилки (зажимные планки) являются надежной конструкции. Их конструкция сводит к минимуму риск смещения барашковых задраек;</w:t>
      </w:r>
    </w:p>
    <w:bookmarkEnd w:id="4347"/>
    <w:bookmarkStart w:name="z4348" w:id="4348"/>
    <w:p>
      <w:pPr>
        <w:spacing w:after="0"/>
        <w:ind w:left="0"/>
        <w:jc w:val="both"/>
      </w:pPr>
      <w:r>
        <w:rPr>
          <w:rFonts w:ascii="Times New Roman"/>
          <w:b w:val="false"/>
          <w:i w:val="false"/>
          <w:color w:val="000000"/>
          <w:sz w:val="28"/>
        </w:rPr>
        <w:t>
      это достигается путем изгиба зажимной планки в верхнем направлении, поднятия свободного конца или подобным методом (приложение 178 настоящих Правил). Толщина профиля неподкрепленных зажимных стальных планок (вилок) равна не менее 16 мм.</w:t>
      </w:r>
    </w:p>
    <w:bookmarkEnd w:id="4348"/>
    <w:bookmarkStart w:name="z4349" w:id="4349"/>
    <w:p>
      <w:pPr>
        <w:spacing w:after="0"/>
        <w:ind w:left="0"/>
        <w:jc w:val="both"/>
      </w:pPr>
      <w:r>
        <w:rPr>
          <w:rFonts w:ascii="Times New Roman"/>
          <w:b w:val="false"/>
          <w:i w:val="false"/>
          <w:color w:val="000000"/>
          <w:sz w:val="28"/>
        </w:rPr>
        <w:t>
      1262. Петли люковых закрытий, расположенных на открытой палубе в нос от носового грузового трюма, устанавливают так, чтобы под действием волн, заливающих палубу, крышка закрывалась;</w:t>
      </w:r>
    </w:p>
    <w:bookmarkEnd w:id="4349"/>
    <w:bookmarkStart w:name="z4350" w:id="4350"/>
    <w:p>
      <w:pPr>
        <w:spacing w:after="0"/>
        <w:ind w:left="0"/>
        <w:jc w:val="both"/>
      </w:pPr>
      <w:r>
        <w:rPr>
          <w:rFonts w:ascii="Times New Roman"/>
          <w:b w:val="false"/>
          <w:i w:val="false"/>
          <w:color w:val="000000"/>
          <w:sz w:val="28"/>
        </w:rPr>
        <w:t>
      это означает, что петли должны быть расположены на передней кромке.</w:t>
      </w:r>
    </w:p>
    <w:bookmarkEnd w:id="4350"/>
    <w:bookmarkStart w:name="z4351" w:id="4351"/>
    <w:p>
      <w:pPr>
        <w:spacing w:after="0"/>
        <w:ind w:left="0"/>
        <w:jc w:val="both"/>
      </w:pPr>
      <w:r>
        <w:rPr>
          <w:rFonts w:ascii="Times New Roman"/>
          <w:b w:val="false"/>
          <w:i w:val="false"/>
          <w:color w:val="000000"/>
          <w:sz w:val="28"/>
        </w:rPr>
        <w:t>
      1633. Петли люковых крышек, расположенных между грузовыми люками, устанавливают на передней или боковой кромках, в зависимости от того, что практически осуществимо, для защиты от заливающей бортовой и носовой волны.</w:t>
      </w:r>
    </w:p>
    <w:bookmarkEnd w:id="4351"/>
    <w:bookmarkStart w:name="z4352" w:id="4352"/>
    <w:p>
      <w:pPr>
        <w:spacing w:after="0"/>
        <w:ind w:left="0"/>
        <w:jc w:val="both"/>
      </w:pPr>
      <w:r>
        <w:rPr>
          <w:rFonts w:ascii="Times New Roman"/>
          <w:b w:val="false"/>
          <w:i w:val="false"/>
          <w:color w:val="000000"/>
          <w:sz w:val="28"/>
        </w:rPr>
        <w:t>
      1664. Люковые закрытия, за исключением тех, которые используются также как аварийные выходы, снабжают независимыми вспомогательными устройствами для задраивания, представляющими собой, например, скользящий болт, запор, стержень, которые удерживают люковое закрытие в задраенном положении даже в случае ослабления и смещения основного устройства для задраивания. Вспомогательное устройство для задраивания устанавливается на стороне, противоположной петлям люкового закрытия.</w:t>
      </w:r>
    </w:p>
    <w:bookmarkEnd w:id="4352"/>
    <w:bookmarkStart w:name="z4353" w:id="4353"/>
    <w:p>
      <w:pPr>
        <w:spacing w:after="0"/>
        <w:ind w:left="0"/>
        <w:jc w:val="left"/>
      </w:pPr>
      <w:r>
        <w:rPr>
          <w:rFonts w:ascii="Times New Roman"/>
          <w:b/>
          <w:i w:val="false"/>
          <w:color w:val="000000"/>
        </w:rPr>
        <w:t xml:space="preserve"> Глава 73. Вентиляционные трубы</w:t>
      </w:r>
    </w:p>
    <w:bookmarkEnd w:id="4353"/>
    <w:p>
      <w:pPr>
        <w:spacing w:after="0"/>
        <w:ind w:left="0"/>
        <w:jc w:val="both"/>
      </w:pPr>
      <w:r>
        <w:rPr>
          <w:rFonts w:ascii="Times New Roman"/>
          <w:b w:val="false"/>
          <w:i w:val="false"/>
          <w:color w:val="ff0000"/>
          <w:sz w:val="28"/>
        </w:rPr>
        <w:t xml:space="preserve">
      Сноска. Заголовок главы 73 -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54" w:id="4354"/>
    <w:p>
      <w:pPr>
        <w:spacing w:after="0"/>
        <w:ind w:left="0"/>
        <w:jc w:val="both"/>
      </w:pPr>
      <w:r>
        <w:rPr>
          <w:rFonts w:ascii="Times New Roman"/>
          <w:b w:val="false"/>
          <w:i w:val="false"/>
          <w:color w:val="000000"/>
          <w:sz w:val="28"/>
        </w:rPr>
        <w:t>
      1265. Вентиляционные трубы из помещений, расположенных ниже палубы надводного борта и в закрытых надстройках и рубках, имеют комингсы, надежно закрепленные на палубе.</w:t>
      </w:r>
    </w:p>
    <w:bookmarkEnd w:id="4354"/>
    <w:bookmarkStart w:name="z4355" w:id="4355"/>
    <w:p>
      <w:pPr>
        <w:spacing w:after="0"/>
        <w:ind w:left="0"/>
        <w:jc w:val="both"/>
      </w:pPr>
      <w:r>
        <w:rPr>
          <w:rFonts w:ascii="Times New Roman"/>
          <w:b w:val="false"/>
          <w:i w:val="false"/>
          <w:color w:val="000000"/>
          <w:sz w:val="28"/>
        </w:rPr>
        <w:t>
      Высота комингсов равна не менее 900 мм у труб, расположенных в районе 1, и не менее 760 мм — в районе 2.</w:t>
      </w:r>
    </w:p>
    <w:bookmarkEnd w:id="4355"/>
    <w:bookmarkStart w:name="z4356" w:id="4356"/>
    <w:p>
      <w:pPr>
        <w:spacing w:after="0"/>
        <w:ind w:left="0"/>
        <w:jc w:val="both"/>
      </w:pPr>
      <w:r>
        <w:rPr>
          <w:rFonts w:ascii="Times New Roman"/>
          <w:b w:val="false"/>
          <w:i w:val="false"/>
          <w:color w:val="000000"/>
          <w:sz w:val="28"/>
        </w:rPr>
        <w:t>
      На судах длиной 24 м и более ограниченного района плавания R3 (кроме пассажирских) указанная высота комингсов соответственно уменьшается с 900 до 760 мм и с 760 до 600 мм.</w:t>
      </w:r>
    </w:p>
    <w:bookmarkEnd w:id="4356"/>
    <w:bookmarkStart w:name="z4357" w:id="4357"/>
    <w:p>
      <w:pPr>
        <w:spacing w:after="0"/>
        <w:ind w:left="0"/>
        <w:jc w:val="both"/>
      </w:pPr>
      <w:r>
        <w:rPr>
          <w:rFonts w:ascii="Times New Roman"/>
          <w:b w:val="false"/>
          <w:i w:val="false"/>
          <w:color w:val="000000"/>
          <w:sz w:val="28"/>
        </w:rPr>
        <w:t>
      На судах длиной менее 24 м ограниченных районов плавания R2, R2-RSN, R3-RSN и R3 уменьшают высоту комингсов на всех открытых палубах до 300 мм.</w:t>
      </w:r>
    </w:p>
    <w:bookmarkEnd w:id="4357"/>
    <w:bookmarkStart w:name="z4358" w:id="4358"/>
    <w:p>
      <w:pPr>
        <w:spacing w:after="0"/>
        <w:ind w:left="0"/>
        <w:jc w:val="both"/>
      </w:pPr>
      <w:r>
        <w:rPr>
          <w:rFonts w:ascii="Times New Roman"/>
          <w:b w:val="false"/>
          <w:i w:val="false"/>
          <w:color w:val="000000"/>
          <w:sz w:val="28"/>
        </w:rPr>
        <w:t>
      Конструкция комингсов отвечает требованиям пункта 426 настоящих Правил, а на судах из стеклопластика — требованиям раздела 18 настоящих Правил.</w:t>
      </w:r>
    </w:p>
    <w:bookmarkEnd w:id="4358"/>
    <w:bookmarkStart w:name="z4359" w:id="4359"/>
    <w:p>
      <w:pPr>
        <w:spacing w:after="0"/>
        <w:ind w:left="0"/>
        <w:jc w:val="both"/>
      </w:pPr>
      <w:r>
        <w:rPr>
          <w:rFonts w:ascii="Times New Roman"/>
          <w:b w:val="false"/>
          <w:i w:val="false"/>
          <w:color w:val="000000"/>
          <w:sz w:val="28"/>
        </w:rPr>
        <w:t>
      Конструкция вентиляционных труб, узлов соединений труб и комингсов, а также узлов соединений труб, если такие имеются, эквивалента по прочности конструкции комингса.</w:t>
      </w:r>
    </w:p>
    <w:bookmarkEnd w:id="4359"/>
    <w:bookmarkStart w:name="z4360" w:id="4360"/>
    <w:p>
      <w:pPr>
        <w:spacing w:after="0"/>
        <w:ind w:left="0"/>
        <w:jc w:val="both"/>
      </w:pPr>
      <w:r>
        <w:rPr>
          <w:rFonts w:ascii="Times New Roman"/>
          <w:b w:val="false"/>
          <w:i w:val="false"/>
          <w:color w:val="000000"/>
          <w:sz w:val="28"/>
        </w:rPr>
        <w:t>
      1266. Если высота комингсов вентиляционных труб, расположенных в районе 1, превышает 4500 мм, а расположенных в районе 2 — 2300 мм, то допускается чтобы эти трубы не имели никаких закрытий. Во всех остальных случаях каждая вентиляционная труба снабжается прочной крышкой из стали или другого материала, одобренного Регистром судоходства.</w:t>
      </w:r>
    </w:p>
    <w:bookmarkEnd w:id="4360"/>
    <w:bookmarkStart w:name="z4361" w:id="4361"/>
    <w:p>
      <w:pPr>
        <w:spacing w:after="0"/>
        <w:ind w:left="0"/>
        <w:jc w:val="both"/>
      </w:pPr>
      <w:r>
        <w:rPr>
          <w:rFonts w:ascii="Times New Roman"/>
          <w:b w:val="false"/>
          <w:i w:val="false"/>
          <w:color w:val="000000"/>
          <w:sz w:val="28"/>
        </w:rPr>
        <w:t>
      На судах длиной менее 100 м крышки вентиляционных труб постоянно навешенные. На судах длиной 100 м и более они бывают съемными, хранящимися в непосредственной близости от вентиляционных труб.</w:t>
      </w:r>
    </w:p>
    <w:bookmarkEnd w:id="4361"/>
    <w:bookmarkStart w:name="z4362" w:id="4362"/>
    <w:p>
      <w:pPr>
        <w:spacing w:after="0"/>
        <w:ind w:left="0"/>
        <w:jc w:val="both"/>
      </w:pPr>
      <w:r>
        <w:rPr>
          <w:rFonts w:ascii="Times New Roman"/>
          <w:b w:val="false"/>
          <w:i w:val="false"/>
          <w:color w:val="000000"/>
          <w:sz w:val="28"/>
        </w:rPr>
        <w:t>
      1267. В задраенном состоянии крышки вентиляционных труб непроницаемы при воздействии моря. Непроницаемость обеспечивают с помощью резиновой или другой подходящей прокладки.</w:t>
      </w:r>
    </w:p>
    <w:bookmarkEnd w:id="4362"/>
    <w:bookmarkStart w:name="z4363" w:id="4363"/>
    <w:p>
      <w:pPr>
        <w:spacing w:after="0"/>
        <w:ind w:left="0"/>
        <w:jc w:val="both"/>
      </w:pPr>
      <w:r>
        <w:rPr>
          <w:rFonts w:ascii="Times New Roman"/>
          <w:b w:val="false"/>
          <w:i w:val="false"/>
          <w:color w:val="000000"/>
          <w:sz w:val="28"/>
        </w:rPr>
        <w:t>
      1268. На судах обеспечения вентиляционные трубы располагаются в защищенных местах, где исключается возможность их повреждения грузом во время грузовых операций с тем, чтобы свести до минимума вероятность затопления нижерасположенных помещений. Особое внимание обращают на расположение вентиляционных труб машинных и котельных отделений; предпочтительно, чтобы они располагались выше палубы первого яруса надстроек или рубок.</w:t>
      </w:r>
    </w:p>
    <w:bookmarkEnd w:id="4363"/>
    <w:bookmarkStart w:name="z4364" w:id="4364"/>
    <w:p>
      <w:pPr>
        <w:spacing w:after="0"/>
        <w:ind w:left="0"/>
        <w:jc w:val="both"/>
      </w:pPr>
      <w:r>
        <w:rPr>
          <w:rFonts w:ascii="Times New Roman"/>
          <w:b w:val="false"/>
          <w:i w:val="false"/>
          <w:color w:val="000000"/>
          <w:sz w:val="28"/>
        </w:rPr>
        <w:t>
      1269. На плавучих доках высота комингсов вентиляционных труб, расположенных на топ- палубе, равна не менее 200 мм.</w:t>
      </w:r>
    </w:p>
    <w:bookmarkEnd w:id="4364"/>
    <w:bookmarkStart w:name="z4365" w:id="4365"/>
    <w:p>
      <w:pPr>
        <w:spacing w:after="0"/>
        <w:ind w:left="0"/>
        <w:jc w:val="left"/>
      </w:pPr>
      <w:r>
        <w:rPr>
          <w:rFonts w:ascii="Times New Roman"/>
          <w:b/>
          <w:i w:val="false"/>
          <w:color w:val="000000"/>
        </w:rPr>
        <w:t xml:space="preserve"> Глава 74. Горловины</w:t>
      </w:r>
    </w:p>
    <w:bookmarkEnd w:id="4365"/>
    <w:p>
      <w:pPr>
        <w:spacing w:after="0"/>
        <w:ind w:left="0"/>
        <w:jc w:val="both"/>
      </w:pPr>
      <w:r>
        <w:rPr>
          <w:rFonts w:ascii="Times New Roman"/>
          <w:b w:val="false"/>
          <w:i w:val="false"/>
          <w:color w:val="ff0000"/>
          <w:sz w:val="28"/>
        </w:rPr>
        <w:t xml:space="preserve">
      Сноска. Заголовок главы 74 -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66" w:id="4366"/>
    <w:p>
      <w:pPr>
        <w:spacing w:after="0"/>
        <w:ind w:left="0"/>
        <w:jc w:val="both"/>
      </w:pPr>
      <w:r>
        <w:rPr>
          <w:rFonts w:ascii="Times New Roman"/>
          <w:b w:val="false"/>
          <w:i w:val="false"/>
          <w:color w:val="000000"/>
          <w:sz w:val="28"/>
        </w:rPr>
        <w:t>
      1270. Высота комингсов горловин глубоких и других цистерн, за исключением указанных в пункте 382 настоящих Правил, воздушных ящиков, коффердамов Регистром судоходства не регламентируется.</w:t>
      </w:r>
    </w:p>
    <w:bookmarkEnd w:id="4366"/>
    <w:bookmarkStart w:name="z4367" w:id="4367"/>
    <w:p>
      <w:pPr>
        <w:spacing w:after="0"/>
        <w:ind w:left="0"/>
        <w:jc w:val="both"/>
      </w:pPr>
      <w:r>
        <w:rPr>
          <w:rFonts w:ascii="Times New Roman"/>
          <w:b w:val="false"/>
          <w:i w:val="false"/>
          <w:color w:val="000000"/>
          <w:sz w:val="28"/>
        </w:rPr>
        <w:t>
      1271. Крышки горловин изготавливают из стали или другого материала, одобренного Регистром судоходства.</w:t>
      </w:r>
    </w:p>
    <w:bookmarkEnd w:id="4367"/>
    <w:bookmarkStart w:name="z4368" w:id="4368"/>
    <w:p>
      <w:pPr>
        <w:spacing w:after="0"/>
        <w:ind w:left="0"/>
        <w:jc w:val="both"/>
      </w:pPr>
      <w:r>
        <w:rPr>
          <w:rFonts w:ascii="Times New Roman"/>
          <w:b w:val="false"/>
          <w:i w:val="false"/>
          <w:color w:val="000000"/>
          <w:sz w:val="28"/>
        </w:rPr>
        <w:t>
      Толщина крышек равна не менее толщины обшивки или настила перекрытий, на которых они установлены. При толщине обшивки или настила более 12 мм Регистр судоходства в отдельных обоснованных случаях допускает уменьшение толщины крышек.</w:t>
      </w:r>
    </w:p>
    <w:bookmarkEnd w:id="4368"/>
    <w:bookmarkStart w:name="z4369" w:id="4369"/>
    <w:p>
      <w:pPr>
        <w:spacing w:after="0"/>
        <w:ind w:left="0"/>
        <w:jc w:val="both"/>
      </w:pPr>
      <w:r>
        <w:rPr>
          <w:rFonts w:ascii="Times New Roman"/>
          <w:b w:val="false"/>
          <w:i w:val="false"/>
          <w:color w:val="000000"/>
          <w:sz w:val="28"/>
        </w:rPr>
        <w:t>
      1272. Крышки горловин надежно крепятся к комингсу или обделке с помощью болтов или шпилек с гайками.</w:t>
      </w:r>
    </w:p>
    <w:bookmarkEnd w:id="4369"/>
    <w:bookmarkStart w:name="z4370" w:id="4370"/>
    <w:p>
      <w:pPr>
        <w:spacing w:after="0"/>
        <w:ind w:left="0"/>
        <w:jc w:val="both"/>
      </w:pPr>
      <w:r>
        <w:rPr>
          <w:rFonts w:ascii="Times New Roman"/>
          <w:b w:val="false"/>
          <w:i w:val="false"/>
          <w:color w:val="000000"/>
          <w:sz w:val="28"/>
        </w:rPr>
        <w:t>
      1273. Крышки в задраенном состоянии непроницаемы как для воды, так и для жидких грузов или запасов, для которых предназначены отсеки и цистерны, под внутренним напором, соответствующим испытательному напору для рассматриваемого отсека или цистерны.</w:t>
      </w:r>
    </w:p>
    <w:bookmarkEnd w:id="4370"/>
    <w:bookmarkStart w:name="z4371" w:id="4371"/>
    <w:p>
      <w:pPr>
        <w:spacing w:after="0"/>
        <w:ind w:left="0"/>
        <w:jc w:val="both"/>
      </w:pPr>
      <w:r>
        <w:rPr>
          <w:rFonts w:ascii="Times New Roman"/>
          <w:b w:val="false"/>
          <w:i w:val="false"/>
          <w:color w:val="000000"/>
          <w:sz w:val="28"/>
        </w:rPr>
        <w:t>
      Непроницаемость обеспечивается с помощью резиновой или другой подходящей прокладки. Прокладка стойкая в среде упомянутых жидких грузов или запасов.</w:t>
      </w:r>
    </w:p>
    <w:bookmarkEnd w:id="4371"/>
    <w:bookmarkStart w:name="z4372" w:id="4372"/>
    <w:p>
      <w:pPr>
        <w:spacing w:after="0"/>
        <w:ind w:left="0"/>
        <w:jc w:val="left"/>
      </w:pPr>
      <w:r>
        <w:rPr>
          <w:rFonts w:ascii="Times New Roman"/>
          <w:b/>
          <w:i w:val="false"/>
          <w:color w:val="000000"/>
        </w:rPr>
        <w:t xml:space="preserve"> Глава 75. Грузовые люки сухогрузных судов</w:t>
      </w:r>
    </w:p>
    <w:bookmarkEnd w:id="4372"/>
    <w:p>
      <w:pPr>
        <w:spacing w:after="0"/>
        <w:ind w:left="0"/>
        <w:jc w:val="both"/>
      </w:pPr>
      <w:r>
        <w:rPr>
          <w:rFonts w:ascii="Times New Roman"/>
          <w:b w:val="false"/>
          <w:i w:val="false"/>
          <w:color w:val="ff0000"/>
          <w:sz w:val="28"/>
        </w:rPr>
        <w:t xml:space="preserve">
      Сноска. Заголовок главы 75 -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73" w:id="4373"/>
    <w:p>
      <w:pPr>
        <w:spacing w:after="0"/>
        <w:ind w:left="0"/>
        <w:jc w:val="left"/>
      </w:pPr>
      <w:r>
        <w:rPr>
          <w:rFonts w:ascii="Times New Roman"/>
          <w:b/>
          <w:i w:val="false"/>
          <w:color w:val="000000"/>
        </w:rPr>
        <w:t xml:space="preserve"> Параграф 1. Общие требования, комингсы</w:t>
      </w:r>
    </w:p>
    <w:bookmarkEnd w:id="4373"/>
    <w:bookmarkStart w:name="z4374" w:id="4374"/>
    <w:p>
      <w:pPr>
        <w:spacing w:after="0"/>
        <w:ind w:left="0"/>
        <w:jc w:val="both"/>
      </w:pPr>
      <w:r>
        <w:rPr>
          <w:rFonts w:ascii="Times New Roman"/>
          <w:b w:val="false"/>
          <w:i w:val="false"/>
          <w:color w:val="000000"/>
          <w:sz w:val="28"/>
        </w:rPr>
        <w:t>
      1274. Отверстия в палубах, через которые производится погрузка и выгрузка грузов или судовых запасов, защищают прочными люками. Если эти люки располагаются в районах 1 и 2, их закрытия также непроницаемы при воздействии моря. Непроницаемость обеспечивают одним из следующих двух способов:</w:t>
      </w:r>
    </w:p>
    <w:bookmarkEnd w:id="4374"/>
    <w:bookmarkStart w:name="z4375" w:id="4375"/>
    <w:p>
      <w:pPr>
        <w:spacing w:after="0"/>
        <w:ind w:left="0"/>
        <w:jc w:val="both"/>
      </w:pPr>
      <w:r>
        <w:rPr>
          <w:rFonts w:ascii="Times New Roman"/>
          <w:b w:val="false"/>
          <w:i w:val="false"/>
          <w:color w:val="000000"/>
          <w:sz w:val="28"/>
        </w:rPr>
        <w:t>
      1) с помощью брезентов и устройств для их закрепления;</w:t>
      </w:r>
    </w:p>
    <w:bookmarkEnd w:id="4375"/>
    <w:bookmarkStart w:name="z4376" w:id="4376"/>
    <w:p>
      <w:pPr>
        <w:spacing w:after="0"/>
        <w:ind w:left="0"/>
        <w:jc w:val="both"/>
      </w:pPr>
      <w:r>
        <w:rPr>
          <w:rFonts w:ascii="Times New Roman"/>
          <w:b w:val="false"/>
          <w:i w:val="false"/>
          <w:color w:val="000000"/>
          <w:sz w:val="28"/>
        </w:rPr>
        <w:t>
      2) с помощью резиновых или других подходящих прокладок и устройств для задраивания.</w:t>
      </w:r>
    </w:p>
    <w:bookmarkEnd w:id="4376"/>
    <w:bookmarkStart w:name="z4377" w:id="4377"/>
    <w:p>
      <w:pPr>
        <w:spacing w:after="0"/>
        <w:ind w:left="0"/>
        <w:jc w:val="both"/>
      </w:pPr>
      <w:r>
        <w:rPr>
          <w:rFonts w:ascii="Times New Roman"/>
          <w:b w:val="false"/>
          <w:i w:val="false"/>
          <w:color w:val="000000"/>
          <w:sz w:val="28"/>
        </w:rPr>
        <w:t>
      1275. Высота комингсов грузовых люков в районе 1 равна не менее 600 мм, а в районе 2 — не менее 450 мм.</w:t>
      </w:r>
    </w:p>
    <w:bookmarkEnd w:id="4377"/>
    <w:bookmarkStart w:name="z4378" w:id="4378"/>
    <w:p>
      <w:pPr>
        <w:spacing w:after="0"/>
        <w:ind w:left="0"/>
        <w:jc w:val="both"/>
      </w:pPr>
      <w:r>
        <w:rPr>
          <w:rFonts w:ascii="Times New Roman"/>
          <w:b w:val="false"/>
          <w:i w:val="false"/>
          <w:color w:val="000000"/>
          <w:sz w:val="28"/>
        </w:rPr>
        <w:t>
      На судах длиной менее 24 м высоты комингсов возможно уменьшить для ограниченных районов плавания R2, R2-RSN и R3-RSN до 380 мм, а для ограниченного района плавания R3 — до 300 мм. На рыболовных судах высоты комингсов грузовых люков в районе 2 возможно уменьшить до 300 мм.</w:t>
      </w:r>
    </w:p>
    <w:bookmarkEnd w:id="4378"/>
    <w:bookmarkStart w:name="z4379" w:id="4379"/>
    <w:p>
      <w:pPr>
        <w:spacing w:after="0"/>
        <w:ind w:left="0"/>
        <w:jc w:val="both"/>
      </w:pPr>
      <w:r>
        <w:rPr>
          <w:rFonts w:ascii="Times New Roman"/>
          <w:b w:val="false"/>
          <w:i w:val="false"/>
          <w:color w:val="000000"/>
          <w:sz w:val="28"/>
        </w:rPr>
        <w:t>
      На судах длиной 24 м и более ограниченного района плавания R3 (кроме пассажирских) указанная высота комингсов грузовых люков соответственно уменьшают с 600 до 450 мм и с 450 до 380 мм.</w:t>
      </w:r>
    </w:p>
    <w:bookmarkEnd w:id="4379"/>
    <w:bookmarkStart w:name="z4380" w:id="4380"/>
    <w:p>
      <w:pPr>
        <w:spacing w:after="0"/>
        <w:ind w:left="0"/>
        <w:jc w:val="both"/>
      </w:pPr>
      <w:r>
        <w:rPr>
          <w:rFonts w:ascii="Times New Roman"/>
          <w:b w:val="false"/>
          <w:i w:val="false"/>
          <w:color w:val="000000"/>
          <w:sz w:val="28"/>
        </w:rPr>
        <w:t>
      Конструкция комингсов в районах 1 и 2 отвечает требованиям главы 20 настоящих Правил, а на судах из стеклопластика — требованиям раздела 18 настоящих Правил.</w:t>
      </w:r>
    </w:p>
    <w:bookmarkEnd w:id="4380"/>
    <w:bookmarkStart w:name="z4381" w:id="4381"/>
    <w:p>
      <w:pPr>
        <w:spacing w:after="0"/>
        <w:ind w:left="0"/>
        <w:jc w:val="both"/>
      </w:pPr>
      <w:r>
        <w:rPr>
          <w:rFonts w:ascii="Times New Roman"/>
          <w:b w:val="false"/>
          <w:i w:val="false"/>
          <w:color w:val="000000"/>
          <w:sz w:val="28"/>
        </w:rPr>
        <w:t>
      1276. Высота комингсов грузовых люков, указанных в подпункте 2) пункта 1274 настоящих Правил, можно уменьшить по сравнению с требуемой согласно подпункту 1) пункта 1274 настоящих Правил, и возможно даже отсутствие комингсов, если Регистр судоходства убедится в надежности уплотнения крышек и средств задраивания.</w:t>
      </w:r>
    </w:p>
    <w:bookmarkEnd w:id="4381"/>
    <w:bookmarkStart w:name="z4382" w:id="4382"/>
    <w:p>
      <w:pPr>
        <w:spacing w:after="0"/>
        <w:ind w:left="0"/>
        <w:jc w:val="left"/>
      </w:pPr>
      <w:r>
        <w:rPr>
          <w:rFonts w:ascii="Times New Roman"/>
          <w:b/>
          <w:i w:val="false"/>
          <w:color w:val="000000"/>
        </w:rPr>
        <w:t xml:space="preserve"> Параграф 2. Материалы</w:t>
      </w:r>
    </w:p>
    <w:bookmarkEnd w:id="4382"/>
    <w:bookmarkStart w:name="z4383" w:id="4383"/>
    <w:p>
      <w:pPr>
        <w:spacing w:after="0"/>
        <w:ind w:left="0"/>
        <w:jc w:val="both"/>
      </w:pPr>
      <w:r>
        <w:rPr>
          <w:rFonts w:ascii="Times New Roman"/>
          <w:b w:val="false"/>
          <w:i w:val="false"/>
          <w:color w:val="000000"/>
          <w:sz w:val="28"/>
        </w:rPr>
        <w:t>
      1277. Относительно стали для люковых закрытий - глава 44 настоящих Правил.</w:t>
      </w:r>
    </w:p>
    <w:bookmarkEnd w:id="4383"/>
    <w:bookmarkStart w:name="z4384" w:id="4384"/>
    <w:p>
      <w:pPr>
        <w:spacing w:after="0"/>
        <w:ind w:left="0"/>
        <w:jc w:val="both"/>
      </w:pPr>
      <w:r>
        <w:rPr>
          <w:rFonts w:ascii="Times New Roman"/>
          <w:b w:val="false"/>
          <w:i w:val="false"/>
          <w:color w:val="000000"/>
          <w:sz w:val="28"/>
        </w:rPr>
        <w:t>
      1278. Древесина, используемая в люковых закрытиях, хорошего качества и такого типа и сорта, которые хорошо зарекомендовали себя для этой цели. Клинья изготавливаются из дерева твердой породы.</w:t>
      </w:r>
    </w:p>
    <w:bookmarkEnd w:id="4384"/>
    <w:bookmarkStart w:name="z4385" w:id="4385"/>
    <w:p>
      <w:pPr>
        <w:spacing w:after="0"/>
        <w:ind w:left="0"/>
        <w:jc w:val="both"/>
      </w:pPr>
      <w:r>
        <w:rPr>
          <w:rFonts w:ascii="Times New Roman"/>
          <w:b w:val="false"/>
          <w:i w:val="false"/>
          <w:color w:val="000000"/>
          <w:sz w:val="28"/>
        </w:rPr>
        <w:t>
      1279. Парусина для пошивки брезентов имеет водоупорную пропитку и не содержить джутовой пряжи. Масса 1 м</w:t>
      </w:r>
      <w:r>
        <w:rPr>
          <w:rFonts w:ascii="Times New Roman"/>
          <w:b w:val="false"/>
          <w:i w:val="false"/>
          <w:color w:val="000000"/>
          <w:vertAlign w:val="superscript"/>
        </w:rPr>
        <w:t>2</w:t>
      </w:r>
      <w:r>
        <w:rPr>
          <w:rFonts w:ascii="Times New Roman"/>
          <w:b w:val="false"/>
          <w:i w:val="false"/>
          <w:color w:val="000000"/>
          <w:sz w:val="28"/>
        </w:rPr>
        <w:t xml:space="preserve"> парусины до пропитки не менее 0,55 кг. Разрывная нагрузка полоски парусины размерами 200 х 50 мм в пропитанном состоянии не менее 3 кН вдоль основы и не менее 2 кН вдоль утка. При испытании на водонепроницаемость парусина в пропитанном состоянии не намокает под напором столба воды высотой 0,15 м, действующего в течение 24 ч.</w:t>
      </w:r>
    </w:p>
    <w:bookmarkEnd w:id="4385"/>
    <w:bookmarkStart w:name="z4386" w:id="4386"/>
    <w:p>
      <w:pPr>
        <w:spacing w:after="0"/>
        <w:ind w:left="0"/>
        <w:jc w:val="both"/>
      </w:pPr>
      <w:r>
        <w:rPr>
          <w:rFonts w:ascii="Times New Roman"/>
          <w:b w:val="false"/>
          <w:i w:val="false"/>
          <w:color w:val="000000"/>
          <w:sz w:val="28"/>
        </w:rPr>
        <w:t>
      Применение брезентов из синтетического волокна является в каждом случае предметом специального рассмотрения Регистром судоходства.</w:t>
      </w:r>
    </w:p>
    <w:bookmarkEnd w:id="4386"/>
    <w:bookmarkStart w:name="z4387" w:id="4387"/>
    <w:p>
      <w:pPr>
        <w:spacing w:after="0"/>
        <w:ind w:left="0"/>
        <w:jc w:val="both"/>
      </w:pPr>
      <w:r>
        <w:rPr>
          <w:rFonts w:ascii="Times New Roman"/>
          <w:b w:val="false"/>
          <w:i w:val="false"/>
          <w:color w:val="000000"/>
          <w:sz w:val="28"/>
        </w:rPr>
        <w:t>
      1280. Резина для уплотнительных прокладок люковых закрытий использкется эластичная, прочная и стойкая к изменению атмосферных условий. Резина также имеет достаточную твердость.</w:t>
      </w:r>
    </w:p>
    <w:bookmarkEnd w:id="4387"/>
    <w:bookmarkStart w:name="z4388" w:id="4388"/>
    <w:p>
      <w:pPr>
        <w:spacing w:after="0"/>
        <w:ind w:left="0"/>
        <w:jc w:val="both"/>
      </w:pPr>
      <w:r>
        <w:rPr>
          <w:rFonts w:ascii="Times New Roman"/>
          <w:b w:val="false"/>
          <w:i w:val="false"/>
          <w:color w:val="000000"/>
          <w:sz w:val="28"/>
        </w:rPr>
        <w:t>
      1281. Клеи для крепления резины в пазах крышек отвечают требованиям главы 604 настоящих Правил.</w:t>
      </w:r>
    </w:p>
    <w:bookmarkEnd w:id="4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1281 -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9" w:id="4389"/>
    <w:p>
      <w:pPr>
        <w:spacing w:after="0"/>
        <w:ind w:left="0"/>
        <w:jc w:val="both"/>
      </w:pPr>
      <w:r>
        <w:rPr>
          <w:rFonts w:ascii="Times New Roman"/>
          <w:b w:val="false"/>
          <w:i w:val="false"/>
          <w:color w:val="000000"/>
          <w:sz w:val="28"/>
        </w:rPr>
        <w:t>
      1282. Все внутренние и наружные поверхности стальных люковых закрытий на навалочных судах (кроме недоступных пространств на крышках коробчатого типа) имеют эффективное эпоксидное или эквивалентное ему защитное покрытие, нанесенное согласно рекомендациям изготовителя (пункт 169 настоящих Правил).</w:t>
      </w:r>
    </w:p>
    <w:bookmarkEnd w:id="4389"/>
    <w:bookmarkStart w:name="z4390" w:id="4390"/>
    <w:p>
      <w:pPr>
        <w:spacing w:after="0"/>
        <w:ind w:left="0"/>
        <w:jc w:val="left"/>
      </w:pPr>
      <w:r>
        <w:rPr>
          <w:rFonts w:ascii="Times New Roman"/>
          <w:b/>
          <w:i w:val="false"/>
          <w:color w:val="000000"/>
        </w:rPr>
        <w:t xml:space="preserve"> Параграф 3. Расчетные нагрузки</w:t>
      </w:r>
    </w:p>
    <w:bookmarkEnd w:id="4390"/>
    <w:bookmarkStart w:name="z4391" w:id="4391"/>
    <w:p>
      <w:pPr>
        <w:spacing w:after="0"/>
        <w:ind w:left="0"/>
        <w:jc w:val="both"/>
      </w:pPr>
      <w:r>
        <w:rPr>
          <w:rFonts w:ascii="Times New Roman"/>
          <w:b w:val="false"/>
          <w:i w:val="false"/>
          <w:color w:val="000000"/>
          <w:sz w:val="28"/>
        </w:rPr>
        <w:t>
      1283. Закрытия грузовых люков рассчитывают на действие того палубного груза, который предполагается перевозить на этих закрытиях; также учитывают нагрузки от средств трюмной механизации, если использование таких средств на люковых закрытиях при погрузочно-разгрузочных операциях предусматривается эксплуатацией судна. Для закрытий люков, расположенных в районах 1 и 2, расчетная нагрузка определяется согласно пунктов 90-90 Правил о грузовой марке, конструкция люковых крышек отвечает требованиям пунктов 101-103 вышеупомянутых Правил.</w:t>
      </w:r>
    </w:p>
    <w:bookmarkEnd w:id="4391"/>
    <w:bookmarkStart w:name="z4392" w:id="4392"/>
    <w:p>
      <w:pPr>
        <w:spacing w:after="0"/>
        <w:ind w:left="0"/>
        <w:jc w:val="both"/>
      </w:pPr>
      <w:r>
        <w:rPr>
          <w:rFonts w:ascii="Times New Roman"/>
          <w:b w:val="false"/>
          <w:i w:val="false"/>
          <w:color w:val="000000"/>
          <w:sz w:val="28"/>
        </w:rPr>
        <w:t>
      Для судов длиной менее 24 м ограниченного района плавания, совершающих международные рейсы, и для всех судов ограниченного района плавания, не совершающих международные рейсы, вместо интенсивности нагрузки, указанной в пунктах 980-92 Правил о грузовой марке, в расчетах применяется интенсивность нагрузки, уменьшенная:</w:t>
      </w:r>
    </w:p>
    <w:bookmarkEnd w:id="4392"/>
    <w:bookmarkStart w:name="z4393" w:id="4393"/>
    <w:p>
      <w:pPr>
        <w:spacing w:after="0"/>
        <w:ind w:left="0"/>
        <w:jc w:val="both"/>
      </w:pPr>
      <w:r>
        <w:rPr>
          <w:rFonts w:ascii="Times New Roman"/>
          <w:b w:val="false"/>
          <w:i w:val="false"/>
          <w:color w:val="000000"/>
          <w:sz w:val="28"/>
        </w:rPr>
        <w:t>
      1) на 15 % — для судов ограниченного района плавания R2, R2-RSN и R3-RSN;</w:t>
      </w:r>
    </w:p>
    <w:bookmarkEnd w:id="4393"/>
    <w:bookmarkStart w:name="z4394" w:id="4394"/>
    <w:p>
      <w:pPr>
        <w:spacing w:after="0"/>
        <w:ind w:left="0"/>
        <w:jc w:val="both"/>
      </w:pPr>
      <w:r>
        <w:rPr>
          <w:rFonts w:ascii="Times New Roman"/>
          <w:b w:val="false"/>
          <w:i w:val="false"/>
          <w:color w:val="000000"/>
          <w:sz w:val="28"/>
        </w:rPr>
        <w:t>
      2) на 30 % — для судов ограниченного района плавания R3.</w:t>
      </w:r>
    </w:p>
    <w:bookmarkEnd w:id="4394"/>
    <w:bookmarkStart w:name="z4395" w:id="4395"/>
    <w:p>
      <w:pPr>
        <w:spacing w:after="0"/>
        <w:ind w:left="0"/>
        <w:jc w:val="both"/>
      </w:pPr>
      <w:r>
        <w:rPr>
          <w:rFonts w:ascii="Times New Roman"/>
          <w:b w:val="false"/>
          <w:i w:val="false"/>
          <w:color w:val="000000"/>
          <w:sz w:val="28"/>
        </w:rPr>
        <w:t>
      В любом случае величина расчетной нагрузки для закрытий люков открытых палуб не принимается менее значения 0,5</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определяемого согласно пункту 171 настоящих Правил.</w:t>
      </w:r>
    </w:p>
    <w:bookmarkEnd w:id="4395"/>
    <w:bookmarkStart w:name="z4396" w:id="4396"/>
    <w:p>
      <w:pPr>
        <w:spacing w:after="0"/>
        <w:ind w:left="0"/>
        <w:jc w:val="both"/>
      </w:pPr>
      <w:r>
        <w:rPr>
          <w:rFonts w:ascii="Times New Roman"/>
          <w:b w:val="false"/>
          <w:i w:val="false"/>
          <w:color w:val="000000"/>
          <w:sz w:val="28"/>
        </w:rPr>
        <w:t>
      1284. Расчетная нагрузка для закрытий грузовых люков при перевозке палубного груза, исключая контейнеры и колесную технику, не менее указанной в пункте 174 настоящих Правил.</w:t>
      </w:r>
    </w:p>
    <w:bookmarkEnd w:id="4396"/>
    <w:bookmarkStart w:name="z4397" w:id="4397"/>
    <w:p>
      <w:pPr>
        <w:spacing w:after="0"/>
        <w:ind w:left="0"/>
        <w:jc w:val="both"/>
      </w:pPr>
      <w:r>
        <w:rPr>
          <w:rFonts w:ascii="Times New Roman"/>
          <w:b w:val="false"/>
          <w:i w:val="false"/>
          <w:color w:val="000000"/>
          <w:sz w:val="28"/>
        </w:rPr>
        <w:t xml:space="preserve">
      1285. При перевозке на закрытиях грузовых люков контейнеров, соответствующих международному стандарту, при выполнении указанного в пунктах 1283 и 1284 настоящих Правил расчета на действие палубного груза, расчетная нагрузка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кН, сосредоточенная в точках установки угловых фитингов контейнеров, определяется по формуле:</w:t>
      </w:r>
    </w:p>
    <w:bookmarkEnd w:id="4397"/>
    <w:p>
      <w:pPr>
        <w:spacing w:after="0"/>
        <w:ind w:left="0"/>
        <w:jc w:val="both"/>
      </w:pPr>
      <w:r>
        <w:rPr>
          <w:rFonts w:ascii="Times New Roman"/>
          <w:b w:val="false"/>
          <w:i w:val="false"/>
          <w:color w:val="000000"/>
          <w:sz w:val="28"/>
        </w:rPr>
        <w:t>
                              P</w:t>
      </w:r>
      <w:r>
        <w:rPr>
          <w:rFonts w:ascii="Times New Roman"/>
          <w:b w:val="false"/>
          <w:i w:val="false"/>
          <w:color w:val="000000"/>
          <w:vertAlign w:val="subscript"/>
        </w:rPr>
        <w:t>z</w:t>
      </w:r>
      <w:r>
        <w:rPr>
          <w:rFonts w:ascii="Times New Roman"/>
          <w:b w:val="false"/>
          <w:i w:val="false"/>
          <w:color w:val="000000"/>
          <w:sz w:val="28"/>
        </w:rPr>
        <w:t xml:space="preserve"> = mg(</w:t>
      </w:r>
      <w:r>
        <w:rPr>
          <w:rFonts w:ascii="Times New Roman"/>
          <w:b w:val="false"/>
          <w:i/>
          <w:color w:val="000000"/>
          <w:sz w:val="28"/>
        </w:rPr>
        <w:t>l</w:t>
      </w:r>
      <w:r>
        <w:rPr>
          <w:rFonts w:ascii="Times New Roman"/>
          <w:b w:val="false"/>
          <w:i w:val="false"/>
          <w:color w:val="000000"/>
          <w:sz w:val="28"/>
        </w:rPr>
        <w:t>+a</w:t>
      </w:r>
      <w:r>
        <w:rPr>
          <w:rFonts w:ascii="Times New Roman"/>
          <w:b w:val="false"/>
          <w:i w:val="false"/>
          <w:color w:val="000000"/>
          <w:vertAlign w:val="subscript"/>
        </w:rPr>
        <w:t>z</w:t>
      </w:r>
      <w:r>
        <w:rPr>
          <w:rFonts w:ascii="Times New Roman"/>
          <w:b w:val="false"/>
          <w:i w:val="false"/>
          <w:color w:val="000000"/>
          <w:sz w:val="28"/>
        </w:rPr>
        <w:t>),                           (564)</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максимальная масса штабеля контейнеров,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ускорение свободного падения, равное 9,81 м/с;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 xml:space="preserve"> — безразмерный коэффициент ускорения согласно пункту 913 настоящих Правил.</w:t>
      </w:r>
    </w:p>
    <w:bookmarkStart w:name="z4398" w:id="4398"/>
    <w:p>
      <w:pPr>
        <w:spacing w:after="0"/>
        <w:ind w:left="0"/>
        <w:jc w:val="both"/>
      </w:pPr>
      <w:r>
        <w:rPr>
          <w:rFonts w:ascii="Times New Roman"/>
          <w:b w:val="false"/>
          <w:i w:val="false"/>
          <w:color w:val="000000"/>
          <w:sz w:val="28"/>
        </w:rPr>
        <w:t>
      Кроме того, в качестве дополнительной нагрузки учитывают вертикальные составляющие усилий начального натяжения найтовов, крепящих контейнеры, если таковые имеются.</w:t>
      </w:r>
    </w:p>
    <w:bookmarkEnd w:id="4398"/>
    <w:bookmarkStart w:name="z4399" w:id="4399"/>
    <w:p>
      <w:pPr>
        <w:spacing w:after="0"/>
        <w:ind w:left="0"/>
        <w:jc w:val="both"/>
      </w:pPr>
      <w:r>
        <w:rPr>
          <w:rFonts w:ascii="Times New Roman"/>
          <w:b w:val="false"/>
          <w:i w:val="false"/>
          <w:color w:val="000000"/>
          <w:sz w:val="28"/>
        </w:rPr>
        <w:t>
      1286. Если предусматривается перевозка на люковых закрытиях колесной техники и/или использование на люковых закрытиях при погрузочно- разгрузочных операциях средств трюмной механизации и колесной техники, нагрузки на люковые закрытия определяются согласно параграфу 2 главы 30 настоящих Правил.</w:t>
      </w:r>
    </w:p>
    <w:bookmarkEnd w:id="4399"/>
    <w:bookmarkStart w:name="z4400" w:id="4400"/>
    <w:p>
      <w:pPr>
        <w:spacing w:after="0"/>
        <w:ind w:left="0"/>
        <w:jc w:val="both"/>
      </w:pPr>
      <w:r>
        <w:rPr>
          <w:rFonts w:ascii="Times New Roman"/>
          <w:b w:val="false"/>
          <w:i w:val="false"/>
          <w:color w:val="000000"/>
          <w:sz w:val="28"/>
        </w:rPr>
        <w:t>
      1287. Закрытия люков нижних палуб, не предназначенные для перевозки грузов, рассчитывают:</w:t>
      </w:r>
    </w:p>
    <w:bookmarkEnd w:id="4400"/>
    <w:bookmarkStart w:name="z4401" w:id="4401"/>
    <w:p>
      <w:pPr>
        <w:spacing w:after="0"/>
        <w:ind w:left="0"/>
        <w:jc w:val="both"/>
      </w:pPr>
      <w:r>
        <w:rPr>
          <w:rFonts w:ascii="Times New Roman"/>
          <w:b w:val="false"/>
          <w:i w:val="false"/>
          <w:color w:val="000000"/>
          <w:sz w:val="28"/>
        </w:rPr>
        <w:t>
      — на действие равномерно распределенной нагрузки интенсивностью 2 кПа;</w:t>
      </w:r>
    </w:p>
    <w:bookmarkEnd w:id="4401"/>
    <w:bookmarkStart w:name="z4402" w:id="4402"/>
    <w:p>
      <w:pPr>
        <w:spacing w:after="0"/>
        <w:ind w:left="0"/>
        <w:jc w:val="both"/>
      </w:pPr>
      <w:r>
        <w:rPr>
          <w:rFonts w:ascii="Times New Roman"/>
          <w:b w:val="false"/>
          <w:i w:val="false"/>
          <w:color w:val="000000"/>
          <w:sz w:val="28"/>
        </w:rPr>
        <w:t>
      — на действие в любой точке закрытия силы 3 кН.</w:t>
      </w:r>
    </w:p>
    <w:bookmarkEnd w:id="4402"/>
    <w:bookmarkStart w:name="z4403" w:id="4403"/>
    <w:p>
      <w:pPr>
        <w:spacing w:after="0"/>
        <w:ind w:left="0"/>
        <w:jc w:val="both"/>
      </w:pPr>
      <w:r>
        <w:rPr>
          <w:rFonts w:ascii="Times New Roman"/>
          <w:b w:val="false"/>
          <w:i w:val="false"/>
          <w:color w:val="000000"/>
          <w:sz w:val="28"/>
        </w:rPr>
        <w:t>
      1288. При расчетах прочности и жесткости люковых закрытий их собственный вес не учитывается.</w:t>
      </w:r>
    </w:p>
    <w:bookmarkEnd w:id="4403"/>
    <w:bookmarkStart w:name="z4404" w:id="4404"/>
    <w:p>
      <w:pPr>
        <w:spacing w:after="0"/>
        <w:ind w:left="0"/>
        <w:jc w:val="left"/>
      </w:pPr>
      <w:r>
        <w:rPr>
          <w:rFonts w:ascii="Times New Roman"/>
          <w:b/>
          <w:i w:val="false"/>
          <w:color w:val="000000"/>
        </w:rPr>
        <w:t xml:space="preserve"> Параграф 4. Нормы прочности и жесткости</w:t>
      </w:r>
    </w:p>
    <w:bookmarkEnd w:id="4404"/>
    <w:bookmarkStart w:name="z4405" w:id="4405"/>
    <w:p>
      <w:pPr>
        <w:spacing w:after="0"/>
        <w:ind w:left="0"/>
        <w:jc w:val="both"/>
      </w:pPr>
      <w:r>
        <w:rPr>
          <w:rFonts w:ascii="Times New Roman"/>
          <w:b w:val="false"/>
          <w:i w:val="false"/>
          <w:color w:val="000000"/>
          <w:sz w:val="28"/>
        </w:rPr>
        <w:t>
      1289. При действии расчетных нагрузок на закрытия люков, расположенных в районах 1 и 2, напряжения в элементах конструкций не превышают указанных в приложении 179 настоящих Правил.</w:t>
      </w:r>
    </w:p>
    <w:bookmarkEnd w:id="4405"/>
    <w:bookmarkStart w:name="z4406" w:id="4406"/>
    <w:p>
      <w:pPr>
        <w:spacing w:after="0"/>
        <w:ind w:left="0"/>
        <w:jc w:val="both"/>
      </w:pPr>
      <w:r>
        <w:rPr>
          <w:rFonts w:ascii="Times New Roman"/>
          <w:b w:val="false"/>
          <w:i w:val="false"/>
          <w:color w:val="000000"/>
          <w:sz w:val="28"/>
        </w:rPr>
        <w:t>
      1290. При действии расчетных нагрузок на закрытия люков нижних палуб напряжения в элементах конструкций не превышают указанных в приложении 180 настоящих Правил.</w:t>
      </w:r>
    </w:p>
    <w:bookmarkEnd w:id="4406"/>
    <w:bookmarkStart w:name="z4407" w:id="4407"/>
    <w:p>
      <w:pPr>
        <w:spacing w:after="0"/>
        <w:ind w:left="0"/>
        <w:jc w:val="left"/>
      </w:pPr>
      <w:r>
        <w:rPr>
          <w:rFonts w:ascii="Times New Roman"/>
          <w:b/>
          <w:i w:val="false"/>
          <w:color w:val="000000"/>
        </w:rPr>
        <w:t xml:space="preserve"> Параграф 5. Конструкции люковых закрытий и устойчивость их</w:t>
      </w:r>
      <w:r>
        <w:br/>
      </w:r>
      <w:r>
        <w:rPr>
          <w:rFonts w:ascii="Times New Roman"/>
          <w:b/>
          <w:i w:val="false"/>
          <w:color w:val="000000"/>
        </w:rPr>
        <w:t>элементов</w:t>
      </w:r>
    </w:p>
    <w:bookmarkEnd w:id="4407"/>
    <w:bookmarkStart w:name="z4408" w:id="4408"/>
    <w:p>
      <w:pPr>
        <w:spacing w:after="0"/>
        <w:ind w:left="0"/>
        <w:jc w:val="both"/>
      </w:pPr>
      <w:r>
        <w:rPr>
          <w:rFonts w:ascii="Times New Roman"/>
          <w:b w:val="false"/>
          <w:i w:val="false"/>
          <w:color w:val="000000"/>
          <w:sz w:val="28"/>
        </w:rPr>
        <w:t>
      1291. Устойчивость элементов конструкции люковых закрытий считается обеспеченной при выполнении следующих условий:</w:t>
      </w:r>
    </w:p>
    <w:bookmarkEnd w:id="44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0,87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sz w:val="28"/>
        </w:rPr>
        <w:t>,                            (564)</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0,87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sz w:val="28"/>
        </w:rPr>
        <w:t xml:space="preserve">                            (565)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действующие нормальные и касательные напряжения, МПа;</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sz w:val="28"/>
        </w:rPr>
        <w:t xml:space="preserve">,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sz w:val="28"/>
        </w:rPr>
        <w:t xml:space="preserve"> — критические нормальные и касательные напряжения, МПа, определяемые согласно пункту 254 настоящих Правил.</w:t>
      </w:r>
      <w:r>
        <w:br/>
      </w:r>
      <w:r>
        <w:rPr>
          <w:rFonts w:ascii="Times New Roman"/>
          <w:b w:val="false"/>
          <w:i w:val="false"/>
          <w:color w:val="000000"/>
          <w:sz w:val="28"/>
        </w:rPr>
        <w:t>
</w:t>
      </w:r>
    </w:p>
    <w:bookmarkStart w:name="z4409" w:id="4409"/>
    <w:p>
      <w:pPr>
        <w:spacing w:after="0"/>
        <w:ind w:left="0"/>
        <w:jc w:val="both"/>
      </w:pPr>
      <w:r>
        <w:rPr>
          <w:rFonts w:ascii="Times New Roman"/>
          <w:b w:val="false"/>
          <w:i w:val="false"/>
          <w:color w:val="000000"/>
          <w:sz w:val="28"/>
        </w:rPr>
        <w:t>
      1292. Конструкция этих закрытий должна соответствовать требованиям пунктов 76-88 Правил о грузовой марке.</w:t>
      </w:r>
    </w:p>
    <w:bookmarkEnd w:id="4409"/>
    <w:bookmarkStart w:name="z4410" w:id="4410"/>
    <w:p>
      <w:pPr>
        <w:spacing w:after="0"/>
        <w:ind w:left="0"/>
        <w:jc w:val="both"/>
      </w:pPr>
      <w:r>
        <w:rPr>
          <w:rFonts w:ascii="Times New Roman"/>
          <w:b w:val="false"/>
          <w:i w:val="false"/>
          <w:color w:val="000000"/>
          <w:sz w:val="28"/>
        </w:rPr>
        <w:t>
      1293. Конструкция люковых закрытий, указанных в подпункте 2) пункта 1274 настоящих Правил, закрытий предотвращает их произвольное открытие в условиях действия моря и непогоды.</w:t>
      </w:r>
    </w:p>
    <w:bookmarkEnd w:id="4410"/>
    <w:bookmarkStart w:name="z4411" w:id="4411"/>
    <w:p>
      <w:pPr>
        <w:spacing w:after="0"/>
        <w:ind w:left="0"/>
        <w:jc w:val="both"/>
      </w:pPr>
      <w:r>
        <w:rPr>
          <w:rFonts w:ascii="Times New Roman"/>
          <w:b w:val="false"/>
          <w:i w:val="false"/>
          <w:color w:val="000000"/>
          <w:sz w:val="28"/>
        </w:rPr>
        <w:t>
      Закрытия в задраенном состоянии опираются на опорный контур комингса, исключая дальнейшую деформацию прокладки.</w:t>
      </w:r>
    </w:p>
    <w:bookmarkEnd w:id="4411"/>
    <w:bookmarkStart w:name="z4412" w:id="4412"/>
    <w:p>
      <w:pPr>
        <w:spacing w:after="0"/>
        <w:ind w:left="0"/>
        <w:jc w:val="both"/>
      </w:pPr>
      <w:r>
        <w:rPr>
          <w:rFonts w:ascii="Times New Roman"/>
          <w:b w:val="false"/>
          <w:i w:val="false"/>
          <w:color w:val="000000"/>
          <w:sz w:val="28"/>
        </w:rPr>
        <w:t>
      1294. Размеры деталей стальных люковых закрытий определяются в соответствии с требованиями глав 75 и 76 настоящих Правил.</w:t>
      </w:r>
    </w:p>
    <w:bookmarkEnd w:id="4412"/>
    <w:p>
      <w:pPr>
        <w:spacing w:after="0"/>
        <w:ind w:left="0"/>
        <w:jc w:val="both"/>
      </w:pPr>
      <w:r>
        <w:rPr>
          <w:rFonts w:ascii="Times New Roman"/>
          <w:b w:val="false"/>
          <w:i w:val="false"/>
          <w:color w:val="000000"/>
          <w:sz w:val="28"/>
        </w:rPr>
        <w:t>
      Ширина присоединенного пояска балок основного и рамного набора определяется согласно пунктам 240 и 241, толщина присоединенного пояска определяется согласно пункту 239 настоящих Правил. Применение легких сплавов является в каждом случае предметом специального рассмотрения Регистром судоходства.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14" w:id="4413"/>
    <w:p>
      <w:pPr>
        <w:spacing w:after="0"/>
        <w:ind w:left="0"/>
        <w:jc w:val="both"/>
      </w:pPr>
      <w:r>
        <w:rPr>
          <w:rFonts w:ascii="Times New Roman"/>
          <w:b w:val="false"/>
          <w:i w:val="false"/>
          <w:color w:val="000000"/>
          <w:sz w:val="28"/>
        </w:rPr>
        <w:t xml:space="preserve">
      1295. Независимо от выполнения положений пункта 1294 настоящих  Правил толщина настила стальных люковых крышек </w:t>
      </w:r>
      <w:r>
        <w:rPr>
          <w:rFonts w:ascii="Times New Roman"/>
          <w:b w:val="false"/>
          <w:i/>
          <w:color w:val="000000"/>
          <w:sz w:val="28"/>
        </w:rPr>
        <w:t>t</w:t>
      </w:r>
      <w:r>
        <w:rPr>
          <w:rFonts w:ascii="Times New Roman"/>
          <w:b w:val="false"/>
          <w:i w:val="false"/>
          <w:color w:val="000000"/>
          <w:sz w:val="28"/>
        </w:rPr>
        <w:t>, мм, не менее определенной по формуле:</w:t>
      </w:r>
    </w:p>
    <w:bookmarkEnd w:id="4413"/>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10</w:t>
      </w:r>
      <w:r>
        <w:rPr>
          <w:rFonts w:ascii="Times New Roman"/>
          <w:b w:val="false"/>
          <w:i/>
          <w:color w:val="000000"/>
          <w:sz w:val="28"/>
        </w:rPr>
        <w:t>а</w:t>
      </w:r>
      <w:r>
        <w:rPr>
          <w:rFonts w:ascii="Times New Roman"/>
          <w:b w:val="false"/>
          <w:i w:val="false"/>
          <w:color w:val="000000"/>
          <w:sz w:val="28"/>
        </w:rPr>
        <w:t>,                                 (566)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расстояние между ребрами жесткости, м.</w:t>
      </w:r>
    </w:p>
    <w:bookmarkStart w:name="z4415" w:id="4414"/>
    <w:p>
      <w:pPr>
        <w:spacing w:after="0"/>
        <w:ind w:left="0"/>
        <w:jc w:val="both"/>
      </w:pPr>
      <w:r>
        <w:rPr>
          <w:rFonts w:ascii="Times New Roman"/>
          <w:b w:val="false"/>
          <w:i w:val="false"/>
          <w:color w:val="000000"/>
          <w:sz w:val="28"/>
        </w:rPr>
        <w:t>
      В любом случае толщина настила равна не менее 6 мм.</w:t>
      </w:r>
    </w:p>
    <w:bookmarkEnd w:id="4414"/>
    <w:bookmarkStart w:name="z4416" w:id="4415"/>
    <w:p>
      <w:pPr>
        <w:spacing w:after="0"/>
        <w:ind w:left="0"/>
        <w:jc w:val="both"/>
      </w:pPr>
      <w:r>
        <w:rPr>
          <w:rFonts w:ascii="Times New Roman"/>
          <w:b w:val="false"/>
          <w:i w:val="false"/>
          <w:color w:val="000000"/>
          <w:sz w:val="28"/>
        </w:rPr>
        <w:t>
      1296. Если предусматривается возможность работы средств трюмной механизации на люковых закрытиях, толщина настила последних равна не менее указанной в пункте 621 настоящих Правил.</w:t>
      </w:r>
    </w:p>
    <w:bookmarkEnd w:id="4415"/>
    <w:bookmarkStart w:name="z4417" w:id="4416"/>
    <w:p>
      <w:pPr>
        <w:spacing w:after="0"/>
        <w:ind w:left="0"/>
        <w:jc w:val="both"/>
      </w:pPr>
      <w:r>
        <w:rPr>
          <w:rFonts w:ascii="Times New Roman"/>
          <w:b w:val="false"/>
          <w:i w:val="false"/>
          <w:color w:val="000000"/>
          <w:sz w:val="28"/>
        </w:rPr>
        <w:t>
      1297. На крышках закрытия люка, на которых перевозятся контейнеры, в местах установки угловых фитингов контейнеров предусматривают элементы конструкции, обеспечивающие непосредственную передачу нагрузки от контейнеров на набор крышек.</w:t>
      </w:r>
    </w:p>
    <w:bookmarkEnd w:id="4416"/>
    <w:bookmarkStart w:name="z4418" w:id="4417"/>
    <w:p>
      <w:pPr>
        <w:spacing w:after="0"/>
        <w:ind w:left="0"/>
        <w:jc w:val="both"/>
      </w:pPr>
      <w:r>
        <w:rPr>
          <w:rFonts w:ascii="Times New Roman"/>
          <w:b w:val="false"/>
          <w:i w:val="false"/>
          <w:color w:val="000000"/>
          <w:sz w:val="28"/>
        </w:rPr>
        <w:t>
      Если упомянутые элементы конструкции не совпадают непосредственно с ребром жесткости крышки, то в местах их установки следует предусматривать дополнительные ребра жесткости с моментом сопротивления, равным 0,8 момента сопротивления основных ребер жесткости крышки. При этом обеспечивается конструктивная перевязка дополнительных ребер жесткости с основными.</w:t>
      </w:r>
    </w:p>
    <w:bookmarkEnd w:id="4417"/>
    <w:bookmarkStart w:name="z4419" w:id="4418"/>
    <w:p>
      <w:pPr>
        <w:spacing w:after="0"/>
        <w:ind w:left="0"/>
        <w:jc w:val="both"/>
      </w:pPr>
      <w:r>
        <w:rPr>
          <w:rFonts w:ascii="Times New Roman"/>
          <w:b w:val="false"/>
          <w:i w:val="false"/>
          <w:color w:val="000000"/>
          <w:sz w:val="28"/>
        </w:rPr>
        <w:t>
      1298. У сухогрузных трюмов, приспособленных для перевозки опасных грузов (пункт 2624 настоящих Правил), закрытия грузовых люков верхней палубы изготавливают стальными; закрытия грузовых люков верхних и нижних палуб имеют привод, обеспечивающий плавное и безударное движение крышек и всех деталей люковых закрытий; конструкция приводных устройств такая, чтобы при выходе их из строя не произошло падения крышек в процессе открывания и закрывания; предусматривают надежное закрепление крышек в открытом положении. Принимают меры, предотвращающие попадание в грузовые трюмы рабочей жидкости приводов таких люковых закрытий (пункты 2628 и 2641 настоящих Правил).</w:t>
      </w:r>
    </w:p>
    <w:bookmarkEnd w:id="4418"/>
    <w:bookmarkStart w:name="z4420" w:id="4419"/>
    <w:p>
      <w:pPr>
        <w:spacing w:after="0"/>
        <w:ind w:left="0"/>
        <w:jc w:val="both"/>
      </w:pPr>
      <w:r>
        <w:rPr>
          <w:rFonts w:ascii="Times New Roman"/>
          <w:b w:val="false"/>
          <w:i w:val="false"/>
          <w:color w:val="000000"/>
          <w:sz w:val="28"/>
        </w:rPr>
        <w:t>
      1299. Каждое закрытие люка или секция закрытия имеют по поперечным и продольным сторонам надлежащие задраивающие устройства, обеспечивающие непроницаемость закрытия при воздействии моря.</w:t>
      </w:r>
    </w:p>
    <w:bookmarkEnd w:id="4419"/>
    <w:bookmarkStart w:name="z4421" w:id="4420"/>
    <w:p>
      <w:pPr>
        <w:spacing w:after="0"/>
        <w:ind w:left="0"/>
        <w:jc w:val="both"/>
      </w:pPr>
      <w:r>
        <w:rPr>
          <w:rFonts w:ascii="Times New Roman"/>
          <w:b w:val="false"/>
          <w:i w:val="false"/>
          <w:color w:val="000000"/>
          <w:sz w:val="28"/>
        </w:rPr>
        <w:t>
      Число задраивающих устройств на каждой стороне секции равно не менее двух; при этом расстояние между задраивающими устройствами равно не более 6 м. Задраивающее устройство, установленное в непосредственной близости от угла секции, засчитывается как устройство, действующее одновременно на поперечной продольной стороне секции. Задраивающее устройство, установленное в районе стыка двух секций и прижимающее к комингсу углы обеих секций, засчитывается как устройство, действующее одновременно на поперечных и продольных сторонах обеих секций, прилегающих к данному устройству.</w:t>
      </w:r>
    </w:p>
    <w:bookmarkEnd w:id="4420"/>
    <w:bookmarkStart w:name="z4422" w:id="4421"/>
    <w:p>
      <w:pPr>
        <w:spacing w:after="0"/>
        <w:ind w:left="0"/>
        <w:jc w:val="both"/>
      </w:pPr>
      <w:r>
        <w:rPr>
          <w:rFonts w:ascii="Times New Roman"/>
          <w:b w:val="false"/>
          <w:i w:val="false"/>
          <w:color w:val="000000"/>
          <w:sz w:val="28"/>
        </w:rPr>
        <w:t xml:space="preserve">
      1300. Каждое задраивающее устройство закрытия люка рассчитывают на действие в нем усилия </w:t>
      </w:r>
      <w:r>
        <w:rPr>
          <w:rFonts w:ascii="Times New Roman"/>
          <w:b w:val="false"/>
          <w:i/>
          <w:color w:val="000000"/>
          <w:sz w:val="28"/>
        </w:rPr>
        <w:t>F</w:t>
      </w:r>
      <w:r>
        <w:rPr>
          <w:rFonts w:ascii="Times New Roman"/>
          <w:b w:val="false"/>
          <w:i w:val="false"/>
          <w:color w:val="000000"/>
          <w:sz w:val="28"/>
        </w:rPr>
        <w:t>, Н, определяемого по формуле:</w:t>
      </w:r>
    </w:p>
    <w:bookmarkEnd w:id="442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w:t>
      </w:r>
      <w:r>
        <w:rPr>
          <w:rFonts w:ascii="Times New Roman"/>
          <w:b w:val="false"/>
          <w:i/>
          <w:color w:val="000000"/>
          <w:sz w:val="28"/>
        </w:rPr>
        <w:t>1</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mg</w:t>
      </w:r>
      <w:r>
        <w:rPr>
          <w:rFonts w:ascii="Times New Roman"/>
          <w:b w:val="false"/>
          <w:i w:val="false"/>
          <w:color w:val="000000"/>
          <w:sz w:val="28"/>
        </w:rPr>
        <w:t>(8</w:t>
      </w:r>
      <w:r>
        <w:rPr>
          <w:rFonts w:ascii="Times New Roman"/>
          <w:b w:val="false"/>
          <w:i/>
          <w:color w:val="000000"/>
          <w:sz w:val="28"/>
        </w:rPr>
        <w:t>a</w:t>
      </w:r>
      <w:r>
        <w:rPr>
          <w:rFonts w:ascii="Times New Roman"/>
          <w:b w:val="false"/>
          <w:i w:val="false"/>
          <w:color w:val="000000"/>
          <w:vertAlign w:val="subscript"/>
        </w:rPr>
        <w:t>y</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sz w:val="28"/>
        </w:rPr>
        <w:t>)+</w:t>
      </w:r>
      <w:r>
        <w:rPr>
          <w:rFonts w:ascii="Times New Roman"/>
          <w:b w:val="false"/>
          <w:i/>
          <w:color w:val="000000"/>
          <w:sz w:val="28"/>
        </w:rPr>
        <w:t>pl</w:t>
      </w:r>
      <w:r>
        <w:rPr>
          <w:rFonts w:ascii="Times New Roman"/>
          <w:b w:val="false"/>
          <w:i w:val="false"/>
          <w:color w:val="000000"/>
          <w:vertAlign w:val="subscript"/>
        </w:rPr>
        <w:t>р</w:t>
      </w:r>
      <w:r>
        <w:rPr>
          <w:rFonts w:ascii="Times New Roman"/>
          <w:b w:val="false"/>
          <w:i w:val="false"/>
          <w:color w:val="000000"/>
          <w:sz w:val="28"/>
        </w:rPr>
        <w:t xml:space="preserve">                        (567)</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общая масса крышек рассматриваемого закрытия люка,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общее число задраивающих устройств, расположенных по периметру рассматриваемого люка;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р</w:t>
      </w:r>
      <w:r>
        <w:rPr>
          <w:rFonts w:ascii="Times New Roman"/>
          <w:b w:val="false"/>
          <w:i w:val="false"/>
          <w:color w:val="000000"/>
          <w:sz w:val="28"/>
        </w:rPr>
        <w:t xml:space="preserve"> — периметр рассматриваемого люка в свету,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давление уплотняющей прокладки при сжатии ее на максимально возможную глубину для принятой конструкции узла уплотнения, Н/м. Если давление </w:t>
      </w:r>
      <w:r>
        <w:rPr>
          <w:rFonts w:ascii="Times New Roman"/>
          <w:b w:val="false"/>
          <w:i/>
          <w:color w:val="000000"/>
          <w:sz w:val="28"/>
        </w:rPr>
        <w:t>р</w:t>
      </w:r>
      <w:r>
        <w:rPr>
          <w:rFonts w:ascii="Times New Roman"/>
          <w:b w:val="false"/>
          <w:i w:val="false"/>
          <w:color w:val="000000"/>
          <w:sz w:val="28"/>
        </w:rPr>
        <w:t xml:space="preserve"> меньше 5000 Н/м в расчете по формуле (567) настоящих Правил принимается </w:t>
      </w:r>
      <w:r>
        <w:rPr>
          <w:rFonts w:ascii="Times New Roman"/>
          <w:b w:val="false"/>
          <w:i/>
          <w:color w:val="000000"/>
          <w:sz w:val="28"/>
        </w:rPr>
        <w:t>р</w:t>
      </w:r>
      <w:r>
        <w:rPr>
          <w:rFonts w:ascii="Times New Roman"/>
          <w:b w:val="false"/>
          <w:i w:val="false"/>
          <w:color w:val="000000"/>
          <w:sz w:val="28"/>
        </w:rPr>
        <w:t xml:space="preserve"> = 5000 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—ускорение свободного падения, равное 9,81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у</w:t>
      </w:r>
      <w:r>
        <w:rPr>
          <w:rFonts w:ascii="Times New Roman"/>
          <w:b w:val="false"/>
          <w:i w:val="false"/>
          <w:color w:val="000000"/>
          <w:sz w:val="28"/>
        </w:rPr>
        <w:t xml:space="preserve"> — безразмерный коэффициент ускорения, определяемый в соответствии с главой 56 настоящих Правил применительно к центру тяжести крышек рассматриваемого закрытия люка;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коэффициент, определяемый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=0,947 — 20,7/</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судна, м.</w:t>
      </w:r>
    </w:p>
    <w:bookmarkStart w:name="z4423" w:id="4422"/>
    <w:p>
      <w:pPr>
        <w:spacing w:after="0"/>
        <w:ind w:left="0"/>
        <w:jc w:val="both"/>
      </w:pPr>
      <w:r>
        <w:rPr>
          <w:rFonts w:ascii="Times New Roman"/>
          <w:b w:val="false"/>
          <w:i w:val="false"/>
          <w:color w:val="000000"/>
          <w:sz w:val="28"/>
        </w:rPr>
        <w:t xml:space="preserve">
      Во всех случаях усилие </w:t>
      </w:r>
      <w:r>
        <w:rPr>
          <w:rFonts w:ascii="Times New Roman"/>
          <w:b w:val="false"/>
          <w:i/>
          <w:color w:val="000000"/>
          <w:sz w:val="28"/>
        </w:rPr>
        <w:t>F</w:t>
      </w:r>
      <w:r>
        <w:rPr>
          <w:rFonts w:ascii="Times New Roman"/>
          <w:b w:val="false"/>
          <w:i w:val="false"/>
          <w:color w:val="000000"/>
          <w:sz w:val="28"/>
        </w:rPr>
        <w:t xml:space="preserve"> не принимается менее 40 кН.</w:t>
      </w:r>
    </w:p>
    <w:bookmarkEnd w:id="4422"/>
    <w:bookmarkStart w:name="z4424" w:id="4423"/>
    <w:p>
      <w:pPr>
        <w:spacing w:after="0"/>
        <w:ind w:left="0"/>
        <w:jc w:val="both"/>
      </w:pPr>
      <w:r>
        <w:rPr>
          <w:rFonts w:ascii="Times New Roman"/>
          <w:b w:val="false"/>
          <w:i w:val="false"/>
          <w:color w:val="000000"/>
          <w:sz w:val="28"/>
        </w:rPr>
        <w:t>
      1301. При действии на задраивающее устройство расчетного усилия, указанного в пункте 1300 настоящих Правил, напряжения в элементах его конструкции не превышает 0,8 верхнего предела текучести материала.</w:t>
      </w:r>
    </w:p>
    <w:bookmarkEnd w:id="4423"/>
    <w:bookmarkStart w:name="z4425" w:id="4424"/>
    <w:p>
      <w:pPr>
        <w:spacing w:after="0"/>
        <w:ind w:left="0"/>
        <w:jc w:val="both"/>
      </w:pPr>
      <w:r>
        <w:rPr>
          <w:rFonts w:ascii="Times New Roman"/>
          <w:b w:val="false"/>
          <w:i w:val="false"/>
          <w:color w:val="000000"/>
          <w:sz w:val="28"/>
        </w:rPr>
        <w:t xml:space="preserve">
      1302. Независимо от расчетных результатов согласно пункту 1300 настоящих Правил площадь действующего сечения задраивающего устройства </w:t>
      </w:r>
      <w:r>
        <w:rPr>
          <w:rFonts w:ascii="Times New Roman"/>
          <w:b w:val="false"/>
          <w:i/>
          <w:color w:val="000000"/>
          <w:sz w:val="28"/>
        </w:rPr>
        <w:t>А</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не менее определенной по формуле:</w:t>
      </w:r>
    </w:p>
    <w:bookmarkEnd w:id="4424"/>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w:t>
      </w:r>
    </w:p>
    <w:p>
      <w:pPr>
        <w:spacing w:after="0"/>
        <w:ind w:left="0"/>
        <w:jc w:val="both"/>
      </w:pPr>
      <w:r>
        <w:drawing>
          <wp:inline distT="0" distB="0" distL="0" distR="0">
            <wp:extent cx="44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444500" cy="647700"/>
                    </a:xfrm>
                    <a:prstGeom prst="rect">
                      <a:avLst/>
                    </a:prstGeom>
                  </pic:spPr>
                </pic:pic>
              </a:graphicData>
            </a:graphic>
          </wp:inline>
        </w:drawing>
      </w:r>
    </w:p>
    <w:p>
      <w:pPr>
        <w:spacing w:after="0"/>
        <w:ind w:left="0"/>
        <w:jc w:val="left"/>
      </w:pPr>
      <w:r>
        <w:rPr>
          <w:rFonts w:ascii="Times New Roman"/>
          <w:b w:val="false"/>
          <w:i w:val="false"/>
          <w:color w:val="000000"/>
          <w:sz w:val="28"/>
        </w:rPr>
        <w:t>,                            (568)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расстояние между задраивающими устройствами, м, в любом случае </w:t>
      </w:r>
      <w:r>
        <w:rPr>
          <w:rFonts w:ascii="Times New Roman"/>
          <w:b w:val="false"/>
          <w:i/>
          <w:color w:val="000000"/>
          <w:sz w:val="28"/>
        </w:rPr>
        <w:t>а</w:t>
      </w:r>
      <w:r>
        <w:rPr>
          <w:rFonts w:ascii="Times New Roman"/>
          <w:b w:val="false"/>
          <w:i w:val="false"/>
          <w:color w:val="000000"/>
          <w:sz w:val="28"/>
        </w:rPr>
        <w:t xml:space="preserve"> должно быть принято не менее 2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определяемый по формуле:</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698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698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задраивающих устройств, МПа; значение R</w:t>
      </w:r>
      <w:r>
        <w:rPr>
          <w:rFonts w:ascii="Times New Roman"/>
          <w:b w:val="false"/>
          <w:i w:val="false"/>
          <w:color w:val="000000"/>
          <w:vertAlign w:val="subscript"/>
        </w:rPr>
        <w:t>eH</w:t>
      </w:r>
      <w:r>
        <w:rPr>
          <w:rFonts w:ascii="Times New Roman"/>
          <w:b w:val="false"/>
          <w:i w:val="false"/>
          <w:color w:val="000000"/>
          <w:sz w:val="28"/>
        </w:rPr>
        <w:t xml:space="preserve"> не принимается более 0,7 предела прочности на растяжение материала;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показатель, равный:</w:t>
      </w:r>
    </w:p>
    <w:p>
      <w:pPr>
        <w:spacing w:after="0"/>
        <w:ind w:left="0"/>
        <w:jc w:val="both"/>
      </w:pPr>
      <w:r>
        <w:rPr>
          <w:rFonts w:ascii="Times New Roman"/>
          <w:b w:val="false"/>
          <w:i w:val="false"/>
          <w:color w:val="000000"/>
          <w:sz w:val="28"/>
        </w:rPr>
        <w:t>
      0,75 для R</w:t>
      </w:r>
      <w:r>
        <w:rPr>
          <w:rFonts w:ascii="Times New Roman"/>
          <w:b w:val="false"/>
          <w:i w:val="false"/>
          <w:color w:val="000000"/>
          <w:vertAlign w:val="subscript"/>
        </w:rPr>
        <w:t>eH</w:t>
      </w:r>
      <w:r>
        <w:rPr>
          <w:rFonts w:ascii="Times New Roman"/>
          <w:b w:val="false"/>
          <w:i w:val="false"/>
          <w:color w:val="000000"/>
          <w:sz w:val="28"/>
        </w:rPr>
        <w:t xml:space="preserve"> &gt;235 МПа,</w:t>
      </w:r>
    </w:p>
    <w:p>
      <w:pPr>
        <w:spacing w:after="0"/>
        <w:ind w:left="0"/>
        <w:jc w:val="both"/>
      </w:pPr>
      <w:r>
        <w:rPr>
          <w:rFonts w:ascii="Times New Roman"/>
          <w:b w:val="false"/>
          <w:i w:val="false"/>
          <w:color w:val="000000"/>
          <w:sz w:val="28"/>
        </w:rPr>
        <w:t>
      1,00 для R</w:t>
      </w:r>
      <w:r>
        <w:rPr>
          <w:rFonts w:ascii="Times New Roman"/>
          <w:b w:val="false"/>
          <w:i w:val="false"/>
          <w:color w:val="000000"/>
          <w:vertAlign w:val="subscript"/>
        </w:rPr>
        <w:t>eH</w:t>
      </w:r>
      <w:r>
        <w:rPr>
          <w:rFonts w:ascii="Times New Roman"/>
          <w:b w:val="false"/>
          <w:i w:val="false"/>
          <w:color w:val="000000"/>
          <w:sz w:val="28"/>
        </w:rPr>
        <w:t xml:space="preserve"> &gt;235 МПа.</w:t>
      </w:r>
    </w:p>
    <w:bookmarkStart w:name="z4426" w:id="4425"/>
    <w:p>
      <w:pPr>
        <w:spacing w:after="0"/>
        <w:ind w:left="0"/>
        <w:jc w:val="both"/>
      </w:pPr>
      <w:r>
        <w:rPr>
          <w:rFonts w:ascii="Times New Roman"/>
          <w:b w:val="false"/>
          <w:i w:val="false"/>
          <w:color w:val="000000"/>
          <w:sz w:val="28"/>
        </w:rPr>
        <w:t>
      Для закрытий или секций закрытий площадью более 5 м</w:t>
      </w:r>
      <w:r>
        <w:rPr>
          <w:rFonts w:ascii="Times New Roman"/>
          <w:b w:val="false"/>
          <w:i w:val="false"/>
          <w:color w:val="000000"/>
          <w:vertAlign w:val="superscript"/>
        </w:rPr>
        <w:t>2</w:t>
      </w:r>
      <w:r>
        <w:rPr>
          <w:rFonts w:ascii="Times New Roman"/>
          <w:b w:val="false"/>
          <w:i w:val="false"/>
          <w:color w:val="000000"/>
          <w:sz w:val="28"/>
        </w:rPr>
        <w:t xml:space="preserve"> действующий диаметр стержней или болтов задраивающих устройств не менее 19 мм.</w:t>
      </w:r>
    </w:p>
    <w:bookmarkEnd w:id="4425"/>
    <w:bookmarkStart w:name="z4427" w:id="4426"/>
    <w:p>
      <w:pPr>
        <w:spacing w:after="0"/>
        <w:ind w:left="0"/>
        <w:jc w:val="both"/>
      </w:pPr>
      <w:r>
        <w:rPr>
          <w:rFonts w:ascii="Times New Roman"/>
          <w:b w:val="false"/>
          <w:i w:val="false"/>
          <w:color w:val="000000"/>
          <w:sz w:val="28"/>
        </w:rPr>
        <w:t>
      1303. При давлении уплотняющей прокладки при сжатии ее на максимально возможную глубину более 5000 Н/м площадь сечения задраивающих устройств, определенная согласно пункту 1302 настоящих Правил, пропорционально увеличивают.</w:t>
      </w:r>
    </w:p>
    <w:bookmarkEnd w:id="4426"/>
    <w:bookmarkStart w:name="z4428" w:id="4427"/>
    <w:p>
      <w:pPr>
        <w:spacing w:after="0"/>
        <w:ind w:left="0"/>
        <w:jc w:val="both"/>
      </w:pPr>
      <w:r>
        <w:rPr>
          <w:rFonts w:ascii="Times New Roman"/>
          <w:b w:val="false"/>
          <w:i w:val="false"/>
          <w:color w:val="000000"/>
          <w:sz w:val="28"/>
        </w:rPr>
        <w:t xml:space="preserve">
      1304. Жесткость углов крышек достаточна для поддержания соответствующего давления уплотняющей прокладки между задраивающими устройствами. Момент инерции поперечного сечения угловых элементов крышек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равен не менее определенного по формуле:</w:t>
      </w:r>
    </w:p>
    <w:bookmarkEnd w:id="442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=6ра</w:t>
      </w:r>
      <w:r>
        <w:rPr>
          <w:rFonts w:ascii="Times New Roman"/>
          <w:b w:val="false"/>
          <w:i w:val="false"/>
          <w:color w:val="000000"/>
          <w:vertAlign w:val="superscript"/>
        </w:rPr>
        <w:t>4</w:t>
      </w:r>
    </w:p>
    <w:p>
      <w:pPr>
        <w:spacing w:after="0"/>
        <w:ind w:left="0"/>
        <w:jc w:val="both"/>
      </w:pPr>
      <w:r>
        <w:drawing>
          <wp:inline distT="0" distB="0" distL="0" distR="0">
            <wp:extent cx="152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52400" cy="3302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(569)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давление уплотняющей прокладки при сжатии ее на максимально возможную глубину для принятой конструкции узла уплотнения, Н/м, но не менее 5000 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расстояние между задраивающими устройствами, м.</w:t>
      </w:r>
    </w:p>
    <w:bookmarkStart w:name="z4429" w:id="4428"/>
    <w:p>
      <w:pPr>
        <w:spacing w:after="0"/>
        <w:ind w:left="0"/>
        <w:jc w:val="both"/>
      </w:pPr>
      <w:r>
        <w:rPr>
          <w:rFonts w:ascii="Times New Roman"/>
          <w:b w:val="false"/>
          <w:i w:val="false"/>
          <w:color w:val="000000"/>
          <w:sz w:val="28"/>
        </w:rPr>
        <w:t>
      1305. Закрытия, на которых предусматривается перевозка грузов, имеют устройства против смещения секций закрытия относительно комингса при качке либо длительном статическом крене судна. Эти устройства рассчитывают на восприятие усилий, возникающих в них при воздействии на центр тяжести закрытия с грузом нагрузок, направленных перпендикулярно к диаметральной плоскости судна Р</w:t>
      </w:r>
      <w:r>
        <w:rPr>
          <w:rFonts w:ascii="Times New Roman"/>
          <w:b w:val="false"/>
          <w:i w:val="false"/>
          <w:color w:val="000000"/>
          <w:vertAlign w:val="subscript"/>
        </w:rPr>
        <w:t>у</w:t>
      </w:r>
      <w:r>
        <w:rPr>
          <w:rFonts w:ascii="Times New Roman"/>
          <w:b w:val="false"/>
          <w:i w:val="false"/>
          <w:color w:val="000000"/>
          <w:sz w:val="28"/>
        </w:rPr>
        <w:t xml:space="preserve"> и параллельно ей Р</w:t>
      </w:r>
      <w:r>
        <w:rPr>
          <w:rFonts w:ascii="Times New Roman"/>
          <w:b w:val="false"/>
          <w:i w:val="false"/>
          <w:color w:val="000000"/>
          <w:vertAlign w:val="subscript"/>
        </w:rPr>
        <w:t>x</w:t>
      </w:r>
      <w:r>
        <w:rPr>
          <w:rFonts w:ascii="Times New Roman"/>
          <w:b w:val="false"/>
          <w:i w:val="false"/>
          <w:color w:val="000000"/>
          <w:sz w:val="28"/>
        </w:rPr>
        <w:t xml:space="preserve"> определяемых по формулам, Н:</w:t>
      </w:r>
    </w:p>
    <w:bookmarkEnd w:id="442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 mga</w:t>
      </w:r>
      <w:r>
        <w:rPr>
          <w:rFonts w:ascii="Times New Roman"/>
          <w:b w:val="false"/>
          <w:i w:val="false"/>
          <w:color w:val="000000"/>
          <w:vertAlign w:val="subscript"/>
        </w:rPr>
        <w:t>y</w:t>
      </w:r>
      <w:r>
        <w:rPr>
          <w:rFonts w:ascii="Times New Roman"/>
          <w:b w:val="false"/>
          <w:i w:val="false"/>
          <w:color w:val="000000"/>
          <w:sz w:val="28"/>
        </w:rPr>
        <w:t>,                               (570)</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х</w:t>
      </w:r>
      <w:r>
        <w:rPr>
          <w:rFonts w:ascii="Times New Roman"/>
          <w:b w:val="false"/>
          <w:i w:val="false"/>
          <w:color w:val="000000"/>
          <w:sz w:val="28"/>
        </w:rPr>
        <w:t xml:space="preserve"> = mga</w:t>
      </w:r>
      <w:r>
        <w:rPr>
          <w:rFonts w:ascii="Times New Roman"/>
          <w:b w:val="false"/>
          <w:i w:val="false"/>
          <w:color w:val="000000"/>
          <w:vertAlign w:val="subscript"/>
        </w:rPr>
        <w:t>x</w:t>
      </w:r>
      <w:r>
        <w:rPr>
          <w:rFonts w:ascii="Times New Roman"/>
          <w:b w:val="false"/>
          <w:i w:val="false"/>
          <w:color w:val="000000"/>
          <w:sz w:val="28"/>
        </w:rPr>
        <w:t>,                               (571)</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суммарная масса закрытия и раскрепленного на нем груза,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ускорение свободного падения, равное 9,81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у</w:t>
      </w:r>
      <w:r>
        <w:rPr>
          <w:rFonts w:ascii="Times New Roman"/>
          <w:b w:val="false"/>
          <w:i/>
          <w:color w:val="000000"/>
          <w:sz w:val="28"/>
        </w:rPr>
        <w:t xml:space="preserve"> а</w:t>
      </w:r>
      <w:r>
        <w:rPr>
          <w:rFonts w:ascii="Times New Roman"/>
          <w:b w:val="false"/>
          <w:i w:val="false"/>
          <w:color w:val="000000"/>
          <w:vertAlign w:val="subscript"/>
        </w:rPr>
        <w:t>х</w:t>
      </w:r>
      <w:r>
        <w:rPr>
          <w:rFonts w:ascii="Times New Roman"/>
          <w:b w:val="false"/>
          <w:i w:val="false"/>
          <w:color w:val="000000"/>
          <w:sz w:val="28"/>
        </w:rPr>
        <w:t xml:space="preserve"> — безразмерные коэффициенты ускорения, определяемые в соответствии с главой 45 настоящих Правил применительно к приведенному центру тяжести рассматриваемого закрытия с размещенным на нем грузом. При этом для закрытий судовых барж при определении а</w:t>
      </w:r>
      <w:r>
        <w:rPr>
          <w:rFonts w:ascii="Times New Roman"/>
          <w:b w:val="false"/>
          <w:i w:val="false"/>
          <w:color w:val="000000"/>
          <w:vertAlign w:val="subscript"/>
        </w:rPr>
        <w:t>у</w:t>
      </w:r>
      <w:r>
        <w:rPr>
          <w:rFonts w:ascii="Times New Roman"/>
          <w:b w:val="false"/>
          <w:i w:val="false"/>
          <w:color w:val="000000"/>
          <w:sz w:val="28"/>
        </w:rPr>
        <w:t xml:space="preserve"> и а</w:t>
      </w:r>
      <w:r>
        <w:rPr>
          <w:rFonts w:ascii="Times New Roman"/>
          <w:b w:val="false"/>
          <w:i w:val="false"/>
          <w:color w:val="000000"/>
          <w:vertAlign w:val="subscript"/>
        </w:rPr>
        <w:t>х</w:t>
      </w:r>
      <w:r>
        <w:rPr>
          <w:rFonts w:ascii="Times New Roman"/>
          <w:b w:val="false"/>
          <w:i w:val="false"/>
          <w:color w:val="000000"/>
          <w:sz w:val="28"/>
        </w:rPr>
        <w:t xml:space="preserve">, в качестве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xml:space="preserve"> принимаются соответственно длина и ширина баржевоза (на котором транспортируется в море рассматриваемая судовая баржа), а в качестве </w:t>
      </w:r>
      <w:r>
        <w:rPr>
          <w:rFonts w:ascii="Times New Roman"/>
          <w:b w:val="false"/>
          <w:i/>
          <w:color w:val="000000"/>
          <w:sz w:val="28"/>
        </w:rPr>
        <w:t>х</w:t>
      </w:r>
      <w:r>
        <w:rPr>
          <w:rFonts w:ascii="Times New Roman"/>
          <w:b w:val="false"/>
          <w:i w:val="false"/>
          <w:color w:val="000000"/>
          <w:sz w:val="28"/>
        </w:rPr>
        <w:t xml:space="preserve"> и </w:t>
      </w:r>
      <w:r>
        <w:rPr>
          <w:rFonts w:ascii="Times New Roman"/>
          <w:b w:val="false"/>
          <w:i/>
          <w:color w:val="000000"/>
          <w:sz w:val="28"/>
        </w:rPr>
        <w:t>z</w:t>
      </w:r>
      <w:r>
        <w:rPr>
          <w:rFonts w:ascii="Times New Roman"/>
          <w:b w:val="false"/>
          <w:i w:val="false"/>
          <w:color w:val="000000"/>
          <w:sz w:val="28"/>
        </w:rPr>
        <w:t xml:space="preserve"> — наибольшие возможные расстояния между центром тяжести закрытия судовой баржи с грузом и кормовым перпендикуляром и летней грузовой ватерлинией баржевоза соответственно.</w:t>
      </w:r>
    </w:p>
    <w:bookmarkStart w:name="z4430" w:id="4429"/>
    <w:p>
      <w:pPr>
        <w:spacing w:after="0"/>
        <w:ind w:left="0"/>
        <w:jc w:val="both"/>
      </w:pPr>
      <w:r>
        <w:rPr>
          <w:rFonts w:ascii="Times New Roman"/>
          <w:b w:val="false"/>
          <w:i w:val="false"/>
          <w:color w:val="000000"/>
          <w:sz w:val="28"/>
        </w:rPr>
        <w:t>
      Напряжения, возникающие при этом в деталях устройств, против смещения секций закрытия, не превышают 0,8 верхнего предела текучести материала, из которого эти устройства изготовлены.</w:t>
      </w:r>
    </w:p>
    <w:bookmarkEnd w:id="4429"/>
    <w:bookmarkStart w:name="z4431" w:id="4430"/>
    <w:p>
      <w:pPr>
        <w:spacing w:after="0"/>
        <w:ind w:left="0"/>
        <w:jc w:val="both"/>
      </w:pPr>
      <w:r>
        <w:rPr>
          <w:rFonts w:ascii="Times New Roman"/>
          <w:b w:val="false"/>
          <w:i w:val="false"/>
          <w:color w:val="000000"/>
          <w:sz w:val="28"/>
        </w:rPr>
        <w:t>
      1306. На судах с большими размерами люков, у которых при плавании в условиях волнения возможна значительная деформация комингсов люков:</w:t>
      </w:r>
    </w:p>
    <w:bookmarkEnd w:id="4430"/>
    <w:bookmarkStart w:name="z4432" w:id="4431"/>
    <w:p>
      <w:pPr>
        <w:spacing w:after="0"/>
        <w:ind w:left="0"/>
        <w:jc w:val="both"/>
      </w:pPr>
      <w:r>
        <w:rPr>
          <w:rFonts w:ascii="Times New Roman"/>
          <w:b w:val="false"/>
          <w:i w:val="false"/>
          <w:color w:val="000000"/>
          <w:sz w:val="28"/>
        </w:rPr>
        <w:t>
      1) конструкция задраивающего устройства предусматривает возможность горизонтального перемещения точки крепления этого устройства к комингсу на величину возможного горизонтального перемещения секции закрытия относительно комингса;</w:t>
      </w:r>
    </w:p>
    <w:bookmarkEnd w:id="4431"/>
    <w:bookmarkStart w:name="z4433" w:id="4432"/>
    <w:p>
      <w:pPr>
        <w:spacing w:after="0"/>
        <w:ind w:left="0"/>
        <w:jc w:val="both"/>
      </w:pPr>
      <w:r>
        <w:rPr>
          <w:rFonts w:ascii="Times New Roman"/>
          <w:b w:val="false"/>
          <w:i w:val="false"/>
          <w:color w:val="000000"/>
          <w:sz w:val="28"/>
        </w:rPr>
        <w:t>
      2) в шарнирных соединениях секций закрытия друг с другом и с комингсом люка предусматривают зазоры, достаточные для обеспечения беспрепятственного возможного горизонтального относительного перемещения секций;</w:t>
      </w:r>
    </w:p>
    <w:bookmarkEnd w:id="4432"/>
    <w:bookmarkStart w:name="z4434" w:id="4433"/>
    <w:p>
      <w:pPr>
        <w:spacing w:after="0"/>
        <w:ind w:left="0"/>
        <w:jc w:val="both"/>
      </w:pPr>
      <w:r>
        <w:rPr>
          <w:rFonts w:ascii="Times New Roman"/>
          <w:b w:val="false"/>
          <w:i w:val="false"/>
          <w:color w:val="000000"/>
          <w:sz w:val="28"/>
        </w:rPr>
        <w:t>
      3) по опорному контуру секции закрытия предусматривается соответствующая металлическая контактная поверхность, обеспечивающая свободное скольжение секции относительно комингса люка;</w:t>
      </w:r>
    </w:p>
    <w:bookmarkEnd w:id="4433"/>
    <w:bookmarkStart w:name="z4435" w:id="4434"/>
    <w:p>
      <w:pPr>
        <w:spacing w:after="0"/>
        <w:ind w:left="0"/>
        <w:jc w:val="both"/>
      </w:pPr>
      <w:r>
        <w:rPr>
          <w:rFonts w:ascii="Times New Roman"/>
          <w:b w:val="false"/>
          <w:i w:val="false"/>
          <w:color w:val="000000"/>
          <w:sz w:val="28"/>
        </w:rPr>
        <w:t>
      4) опорная полка комингса люка соответствующим образом подкрепляется с тем, чтобы был обеспечен постоянный контакт секции закрытия с комингсом.</w:t>
      </w:r>
    </w:p>
    <w:bookmarkEnd w:id="4434"/>
    <w:bookmarkStart w:name="z4436" w:id="4435"/>
    <w:p>
      <w:pPr>
        <w:spacing w:after="0"/>
        <w:ind w:left="0"/>
        <w:jc w:val="both"/>
      </w:pPr>
      <w:r>
        <w:rPr>
          <w:rFonts w:ascii="Times New Roman"/>
          <w:b w:val="false"/>
          <w:i w:val="false"/>
          <w:color w:val="000000"/>
          <w:sz w:val="28"/>
        </w:rPr>
        <w:t>
      1307. Гидравлические приводы люковых закрытий отвечают требованиям раздела 11 настоящих Правил.</w:t>
      </w:r>
    </w:p>
    <w:bookmarkEnd w:id="4435"/>
    <w:bookmarkStart w:name="z4437" w:id="4436"/>
    <w:p>
      <w:pPr>
        <w:spacing w:after="0"/>
        <w:ind w:left="0"/>
        <w:jc w:val="both"/>
      </w:pPr>
      <w:r>
        <w:rPr>
          <w:rFonts w:ascii="Times New Roman"/>
          <w:b w:val="false"/>
          <w:i w:val="false"/>
          <w:color w:val="000000"/>
          <w:sz w:val="28"/>
        </w:rPr>
        <w:t>
      Конструкция закрытий и приводов такая, чтобы возможно было закрыть открытый люк и задраить его даже при выходе из строя основного штатного привода. Предусматривают приспособления, позволяющие надежно застопорить закрытие в открытом состоянии. Направление открывания закрытий по возможности обеспечивает защиту открытых люков от воздействия волн.</w:t>
      </w:r>
    </w:p>
    <w:bookmarkEnd w:id="4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1308. Исключен приказом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9" w:id="4437"/>
    <w:p>
      <w:pPr>
        <w:spacing w:after="0"/>
        <w:ind w:left="0"/>
        <w:jc w:val="left"/>
      </w:pPr>
      <w:r>
        <w:rPr>
          <w:rFonts w:ascii="Times New Roman"/>
          <w:b/>
          <w:i w:val="false"/>
          <w:color w:val="000000"/>
        </w:rPr>
        <w:t xml:space="preserve"> Глава 76. Люки грузовых отсеков на судах типа А и нефтяных трюмов судов для сбора нефти</w:t>
      </w:r>
    </w:p>
    <w:bookmarkEnd w:id="4437"/>
    <w:p>
      <w:pPr>
        <w:spacing w:after="0"/>
        <w:ind w:left="0"/>
        <w:jc w:val="both"/>
      </w:pPr>
      <w:r>
        <w:rPr>
          <w:rFonts w:ascii="Times New Roman"/>
          <w:b w:val="false"/>
          <w:i w:val="false"/>
          <w:color w:val="ff0000"/>
          <w:sz w:val="28"/>
        </w:rPr>
        <w:t xml:space="preserve">
      Сноска. Заголовок главы 76 -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40" w:id="4438"/>
    <w:p>
      <w:pPr>
        <w:spacing w:after="0"/>
        <w:ind w:left="0"/>
        <w:jc w:val="both"/>
      </w:pPr>
      <w:r>
        <w:rPr>
          <w:rFonts w:ascii="Times New Roman"/>
          <w:b w:val="false"/>
          <w:i w:val="false"/>
          <w:color w:val="000000"/>
          <w:sz w:val="28"/>
        </w:rPr>
        <w:t>
      1309. Отверстия для люков грузовых отсеков на наливных судах круглые или овальные. Высота комингсов люков грузовых отсеков Регистром судоходства не регламентируется. Конструкция комингсов люков грузовых отсеков отвечает требованиям пункта 688 настоящих Правил.</w:t>
      </w:r>
    </w:p>
    <w:bookmarkEnd w:id="4438"/>
    <w:bookmarkStart w:name="z4441" w:id="4439"/>
    <w:p>
      <w:pPr>
        <w:spacing w:after="0"/>
        <w:ind w:left="0"/>
        <w:jc w:val="both"/>
      </w:pPr>
      <w:r>
        <w:rPr>
          <w:rFonts w:ascii="Times New Roman"/>
          <w:b w:val="false"/>
          <w:i w:val="false"/>
          <w:color w:val="000000"/>
          <w:sz w:val="28"/>
        </w:rPr>
        <w:t>
      1310. Закрытия люков и отверстий для очистки грузовых отсеков изготавливают из стали, бронзы или латуни. Применение других материалов является в каждом случае предметом специального рассмотрения Регистром судоходства.</w:t>
      </w:r>
    </w:p>
    <w:bookmarkEnd w:id="4439"/>
    <w:bookmarkStart w:name="z4442" w:id="4440"/>
    <w:p>
      <w:pPr>
        <w:spacing w:after="0"/>
        <w:ind w:left="0"/>
        <w:jc w:val="both"/>
      </w:pPr>
      <w:r>
        <w:rPr>
          <w:rFonts w:ascii="Times New Roman"/>
          <w:b w:val="false"/>
          <w:i w:val="false"/>
          <w:color w:val="000000"/>
          <w:sz w:val="28"/>
        </w:rPr>
        <w:t>
      На судах, перевозящих воспламеняющиеся жидкости, применение легких сплавов для закрытий люков и отверстий для очистки грузовых отсеков не допускается.</w:t>
      </w:r>
    </w:p>
    <w:bookmarkEnd w:id="4440"/>
    <w:bookmarkStart w:name="z4443" w:id="4441"/>
    <w:p>
      <w:pPr>
        <w:spacing w:after="0"/>
        <w:ind w:left="0"/>
        <w:jc w:val="both"/>
      </w:pPr>
      <w:r>
        <w:rPr>
          <w:rFonts w:ascii="Times New Roman"/>
          <w:b w:val="false"/>
          <w:i w:val="false"/>
          <w:color w:val="000000"/>
          <w:sz w:val="28"/>
        </w:rPr>
        <w:t>
      1311. Закрытия люков грузовых отсеков постоянно навешенные и в задраенном состоянии непроницаемы под внутренним напором жидкости, перевозимой в отсеках, высотой по меньшей мере 2,5 м. Непроницаемость обеспечивают с помощью резиновой или другой подходящей прокладки, стойкой в среде той жидкости, которая перевозится в грузовых отсеках.</w:t>
      </w:r>
    </w:p>
    <w:bookmarkEnd w:id="4441"/>
    <w:bookmarkStart w:name="z4444" w:id="4442"/>
    <w:p>
      <w:pPr>
        <w:spacing w:after="0"/>
        <w:ind w:left="0"/>
        <w:jc w:val="both"/>
      </w:pPr>
      <w:r>
        <w:rPr>
          <w:rFonts w:ascii="Times New Roman"/>
          <w:b w:val="false"/>
          <w:i w:val="false"/>
          <w:color w:val="000000"/>
          <w:sz w:val="28"/>
        </w:rPr>
        <w:t>
      1312. Толщина полотна крышек равна не менее 12 мм, если они изготовлены из стали. Через каждые 600 мм по длине крышки ее полотно подкрепляют ребрами жесткости из полосы не менее 80x12 мм или крышка должна быть сферической формы.</w:t>
      </w:r>
    </w:p>
    <w:bookmarkEnd w:id="4442"/>
    <w:bookmarkStart w:name="z4445" w:id="4443"/>
    <w:p>
      <w:pPr>
        <w:spacing w:after="0"/>
        <w:ind w:left="0"/>
        <w:jc w:val="both"/>
      </w:pPr>
      <w:r>
        <w:rPr>
          <w:rFonts w:ascii="Times New Roman"/>
          <w:b w:val="false"/>
          <w:i w:val="false"/>
          <w:color w:val="000000"/>
          <w:sz w:val="28"/>
        </w:rPr>
        <w:t>
      1313. В крышке люка предусматривается смотровое окно диаметром в свету 150 мм, закрываемое крышкой аналогичной конструкции.</w:t>
      </w:r>
    </w:p>
    <w:bookmarkEnd w:id="4443"/>
    <w:bookmarkStart w:name="z4446" w:id="4444"/>
    <w:p>
      <w:pPr>
        <w:spacing w:after="0"/>
        <w:ind w:left="0"/>
        <w:jc w:val="both"/>
      </w:pPr>
      <w:r>
        <w:rPr>
          <w:rFonts w:ascii="Times New Roman"/>
          <w:b w:val="false"/>
          <w:i w:val="false"/>
          <w:color w:val="000000"/>
          <w:sz w:val="28"/>
        </w:rPr>
        <w:t>
      1314. При выборе материалов и конструкций закрытий люков грузовых отсеков на судах, перевозящих воспламеняющиеся жидкости, особое внимание должно быть обращено на предотвращение образования искр при открывании и закрывании крышек.</w:t>
      </w:r>
    </w:p>
    <w:bookmarkEnd w:id="4444"/>
    <w:bookmarkStart w:name="z4447" w:id="4445"/>
    <w:p>
      <w:pPr>
        <w:spacing w:after="0"/>
        <w:ind w:left="0"/>
        <w:jc w:val="left"/>
      </w:pPr>
      <w:r>
        <w:rPr>
          <w:rFonts w:ascii="Times New Roman"/>
          <w:b/>
          <w:i w:val="false"/>
          <w:color w:val="000000"/>
        </w:rPr>
        <w:t xml:space="preserve"> Глава 77. Устройство и закрытие отверстий в переборках деления судна на отсеки</w:t>
      </w:r>
    </w:p>
    <w:bookmarkEnd w:id="4445"/>
    <w:p>
      <w:pPr>
        <w:spacing w:after="0"/>
        <w:ind w:left="0"/>
        <w:jc w:val="both"/>
      </w:pPr>
      <w:r>
        <w:rPr>
          <w:rFonts w:ascii="Times New Roman"/>
          <w:b w:val="false"/>
          <w:i w:val="false"/>
          <w:color w:val="ff0000"/>
          <w:sz w:val="28"/>
        </w:rPr>
        <w:t xml:space="preserve">
      Сноска. Заголовок главы 77 -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48" w:id="4446"/>
    <w:p>
      <w:pPr>
        <w:spacing w:after="0"/>
        <w:ind w:left="0"/>
        <w:jc w:val="left"/>
      </w:pPr>
      <w:r>
        <w:rPr>
          <w:rFonts w:ascii="Times New Roman"/>
          <w:b/>
          <w:i w:val="false"/>
          <w:color w:val="000000"/>
        </w:rPr>
        <w:t xml:space="preserve"> Параграф 1. Общие требования</w:t>
      </w:r>
    </w:p>
    <w:bookmarkEnd w:id="4446"/>
    <w:bookmarkStart w:name="z4449" w:id="4447"/>
    <w:p>
      <w:pPr>
        <w:spacing w:after="0"/>
        <w:ind w:left="0"/>
        <w:jc w:val="both"/>
      </w:pPr>
      <w:r>
        <w:rPr>
          <w:rFonts w:ascii="Times New Roman"/>
          <w:b w:val="false"/>
          <w:i w:val="false"/>
          <w:color w:val="000000"/>
          <w:sz w:val="28"/>
        </w:rPr>
        <w:t>
      1315. Требования настоящей главы, кроме случаев особо оговоренных, распространяются на суда, к которым предъявляются требования раздела 7 настоящих Правил.</w:t>
      </w:r>
    </w:p>
    <w:bookmarkEnd w:id="4447"/>
    <w:bookmarkStart w:name="z4450" w:id="4448"/>
    <w:p>
      <w:pPr>
        <w:spacing w:after="0"/>
        <w:ind w:left="0"/>
        <w:jc w:val="both"/>
      </w:pPr>
      <w:r>
        <w:rPr>
          <w:rFonts w:ascii="Times New Roman"/>
          <w:b w:val="false"/>
          <w:i w:val="false"/>
          <w:color w:val="000000"/>
          <w:sz w:val="28"/>
        </w:rPr>
        <w:t>
      Для других судов требования настоящей главы распространяются на переборки, установка которых требуется в пункте 432 настоящих Правил; для этих судов требования настоящей главы возможно ослабить; при этом степень ослабления является в каждом случае предметом специального рассмотрения Регистром судоходства.</w:t>
      </w:r>
    </w:p>
    <w:bookmarkEnd w:id="4448"/>
    <w:bookmarkStart w:name="z4451" w:id="4449"/>
    <w:p>
      <w:pPr>
        <w:spacing w:after="0"/>
        <w:ind w:left="0"/>
        <w:jc w:val="both"/>
      </w:pPr>
      <w:r>
        <w:rPr>
          <w:rFonts w:ascii="Times New Roman"/>
          <w:b w:val="false"/>
          <w:i w:val="false"/>
          <w:color w:val="000000"/>
          <w:sz w:val="28"/>
        </w:rPr>
        <w:t>
      Для дверей, устанавливаемых в переборках деления судна на отсеки, отделяющих одно помещение для груза от другого смежного помещения для груза судов, указанных в пункте 1341 настоящих Правил, допускаются ослабления требований параграфов 2 – 5 настоящей главы Правил, при условии выполнения требований, изложенных в параграфе 6 настоящей главы.</w:t>
      </w:r>
    </w:p>
    <w:bookmarkEnd w:id="4449"/>
    <w:bookmarkStart w:name="z4452" w:id="4450"/>
    <w:p>
      <w:pPr>
        <w:spacing w:after="0"/>
        <w:ind w:left="0"/>
        <w:jc w:val="both"/>
      </w:pPr>
      <w:r>
        <w:rPr>
          <w:rFonts w:ascii="Times New Roman"/>
          <w:b w:val="false"/>
          <w:i w:val="false"/>
          <w:color w:val="000000"/>
          <w:sz w:val="28"/>
        </w:rPr>
        <w:t>
      1316. Число отверстий в водонепроницаемых переборках сводят к минимуму, совместимому с конструкцией и условиями нормальной эксплуатации судна.</w:t>
      </w:r>
    </w:p>
    <w:bookmarkEnd w:id="4450"/>
    <w:bookmarkStart w:name="z4453" w:id="4451"/>
    <w:p>
      <w:pPr>
        <w:spacing w:after="0"/>
        <w:ind w:left="0"/>
        <w:jc w:val="both"/>
      </w:pPr>
      <w:r>
        <w:rPr>
          <w:rFonts w:ascii="Times New Roman"/>
          <w:b w:val="false"/>
          <w:i w:val="false"/>
          <w:color w:val="000000"/>
          <w:sz w:val="28"/>
        </w:rPr>
        <w:t>
      1317. При проходе через переборки деления судна на отсеки трубопроводов и электрических кабелей следует учитывать требования главы 246 и параграфа 6 главы 510 настоящих Правил.</w:t>
      </w:r>
    </w:p>
    <w:bookmarkEnd w:id="4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54" w:id="4452"/>
    <w:p>
      <w:pPr>
        <w:spacing w:after="0"/>
        <w:ind w:left="0"/>
        <w:jc w:val="left"/>
      </w:pPr>
      <w:r>
        <w:rPr>
          <w:rFonts w:ascii="Times New Roman"/>
          <w:b/>
          <w:i w:val="false"/>
          <w:color w:val="000000"/>
        </w:rPr>
        <w:t xml:space="preserve"> Параграф 2. Требования к дверям в переборках</w:t>
      </w:r>
      <w:r>
        <w:br/>
      </w:r>
      <w:r>
        <w:rPr>
          <w:rFonts w:ascii="Times New Roman"/>
          <w:b/>
          <w:i w:val="false"/>
          <w:color w:val="000000"/>
        </w:rPr>
        <w:t>деления судна на отсеки</w:t>
      </w:r>
    </w:p>
    <w:bookmarkEnd w:id="4452"/>
    <w:bookmarkStart w:name="z4455" w:id="4453"/>
    <w:p>
      <w:pPr>
        <w:spacing w:after="0"/>
        <w:ind w:left="0"/>
        <w:jc w:val="both"/>
      </w:pPr>
      <w:r>
        <w:rPr>
          <w:rFonts w:ascii="Times New Roman"/>
          <w:b w:val="false"/>
          <w:i w:val="false"/>
          <w:color w:val="000000"/>
          <w:sz w:val="28"/>
        </w:rPr>
        <w:t>
      1318. Двери изготавливают из стали. Применение для них других материалов является в каждом случае предметом специального рассмотрения Регистром судоходства.</w:t>
      </w:r>
    </w:p>
    <w:bookmarkEnd w:id="4453"/>
    <w:bookmarkStart w:name="z4456" w:id="4454"/>
    <w:p>
      <w:pPr>
        <w:spacing w:after="0"/>
        <w:ind w:left="0"/>
        <w:jc w:val="both"/>
      </w:pPr>
      <w:r>
        <w:rPr>
          <w:rFonts w:ascii="Times New Roman"/>
          <w:b w:val="false"/>
          <w:i w:val="false"/>
          <w:color w:val="000000"/>
          <w:sz w:val="28"/>
        </w:rPr>
        <w:t>
      1319. Необходимо чтобы двери выдерживали напор воды высотой, измеренной от нижней кромки выреза двери в месте ее расположения до нижней кромки настила палубы переборок, надводного борта или самой неблагоприятной аварийной ватерлинии, в зависимости от того, что больше.</w:t>
      </w:r>
    </w:p>
    <w:bookmarkEnd w:id="4454"/>
    <w:bookmarkStart w:name="z4457" w:id="4455"/>
    <w:p>
      <w:pPr>
        <w:spacing w:after="0"/>
        <w:ind w:left="0"/>
        <w:jc w:val="both"/>
      </w:pPr>
      <w:r>
        <w:rPr>
          <w:rFonts w:ascii="Times New Roman"/>
          <w:b w:val="false"/>
          <w:i w:val="false"/>
          <w:color w:val="000000"/>
          <w:sz w:val="28"/>
        </w:rPr>
        <w:t>
      1320 При действии напора, указанного в пункте 1319 настоящих Правил, необходимо чтобы напряжения в раме и полотне двери не превышали 0,6 верхнего предела текучести их материала.</w:t>
      </w:r>
    </w:p>
    <w:bookmarkEnd w:id="4455"/>
    <w:bookmarkStart w:name="z4458" w:id="4456"/>
    <w:p>
      <w:pPr>
        <w:spacing w:after="0"/>
        <w:ind w:left="0"/>
        <w:jc w:val="both"/>
      </w:pPr>
      <w:r>
        <w:rPr>
          <w:rFonts w:ascii="Times New Roman"/>
          <w:b w:val="false"/>
          <w:i w:val="false"/>
          <w:color w:val="000000"/>
          <w:sz w:val="28"/>
        </w:rPr>
        <w:t>
      1321. Двери в закрытом состоянии непроницаемы под напором воды согласно пункту 1319 настоящих Правил.</w:t>
      </w:r>
    </w:p>
    <w:bookmarkEnd w:id="4456"/>
    <w:bookmarkStart w:name="z4459" w:id="4457"/>
    <w:p>
      <w:pPr>
        <w:spacing w:after="0"/>
        <w:ind w:left="0"/>
        <w:jc w:val="both"/>
      </w:pPr>
      <w:r>
        <w:rPr>
          <w:rFonts w:ascii="Times New Roman"/>
          <w:b w:val="false"/>
          <w:i w:val="false"/>
          <w:color w:val="000000"/>
          <w:sz w:val="28"/>
        </w:rPr>
        <w:t>
      1322. Необходимо чтобы средства для закрывания дверей, каждое в отдельности, были в состоянии закрыть дверь при крене судна до 15</w:t>
      </w:r>
      <w:r>
        <w:rPr>
          <w:rFonts w:ascii="Times New Roman"/>
          <w:b w:val="false"/>
          <w:i w:val="false"/>
          <w:color w:val="000000"/>
          <w:vertAlign w:val="superscript"/>
        </w:rPr>
        <w:t>о</w:t>
      </w:r>
      <w:r>
        <w:rPr>
          <w:rFonts w:ascii="Times New Roman"/>
          <w:b w:val="false"/>
          <w:i w:val="false"/>
          <w:color w:val="000000"/>
          <w:sz w:val="28"/>
        </w:rPr>
        <w:t xml:space="preserve"> на любой борт и любом дифференте до 5</w:t>
      </w:r>
      <w:r>
        <w:rPr>
          <w:rFonts w:ascii="Times New Roman"/>
          <w:b w:val="false"/>
          <w:i w:val="false"/>
          <w:color w:val="000000"/>
          <w:vertAlign w:val="superscript"/>
        </w:rPr>
        <w:t>о</w:t>
      </w:r>
      <w:r>
        <w:rPr>
          <w:rFonts w:ascii="Times New Roman"/>
          <w:b w:val="false"/>
          <w:i w:val="false"/>
          <w:color w:val="000000"/>
          <w:sz w:val="28"/>
        </w:rPr>
        <w:t>. Не допускаются к установке двери, закрываемые под действием собственного веса или веса опускаемого груза. Не допускаются к установке съемные листы, закрепляемые только с помощью болтов.</w:t>
      </w:r>
    </w:p>
    <w:bookmarkEnd w:id="4457"/>
    <w:bookmarkStart w:name="z4460" w:id="4458"/>
    <w:p>
      <w:pPr>
        <w:spacing w:after="0"/>
        <w:ind w:left="0"/>
        <w:jc w:val="left"/>
      </w:pPr>
      <w:r>
        <w:rPr>
          <w:rFonts w:ascii="Times New Roman"/>
          <w:b/>
          <w:i w:val="false"/>
          <w:color w:val="000000"/>
        </w:rPr>
        <w:t xml:space="preserve"> Параграф 3. Правила установки дверей</w:t>
      </w:r>
    </w:p>
    <w:bookmarkEnd w:id="4458"/>
    <w:bookmarkStart w:name="z4461" w:id="4459"/>
    <w:p>
      <w:pPr>
        <w:spacing w:after="0"/>
        <w:ind w:left="0"/>
        <w:jc w:val="both"/>
      </w:pPr>
      <w:r>
        <w:rPr>
          <w:rFonts w:ascii="Times New Roman"/>
          <w:b w:val="false"/>
          <w:i w:val="false"/>
          <w:color w:val="000000"/>
          <w:sz w:val="28"/>
        </w:rPr>
        <w:t>
      1323. Установка дверей запрещается:</w:t>
      </w:r>
    </w:p>
    <w:bookmarkEnd w:id="4459"/>
    <w:bookmarkStart w:name="z4462" w:id="4460"/>
    <w:p>
      <w:pPr>
        <w:spacing w:after="0"/>
        <w:ind w:left="0"/>
        <w:jc w:val="both"/>
      </w:pPr>
      <w:r>
        <w:rPr>
          <w:rFonts w:ascii="Times New Roman"/>
          <w:b w:val="false"/>
          <w:i w:val="false"/>
          <w:color w:val="000000"/>
          <w:sz w:val="28"/>
        </w:rPr>
        <w:t>
      1) в таранной переборке ниже палубы переборок на судах, в символе класса которых указывается знак деления на отсеки, и ниже палубы надводного борта — на остальных судах;</w:t>
      </w:r>
    </w:p>
    <w:bookmarkEnd w:id="4460"/>
    <w:bookmarkStart w:name="z4463" w:id="4461"/>
    <w:p>
      <w:pPr>
        <w:spacing w:after="0"/>
        <w:ind w:left="0"/>
        <w:jc w:val="both"/>
      </w:pPr>
      <w:r>
        <w:rPr>
          <w:rFonts w:ascii="Times New Roman"/>
          <w:b w:val="false"/>
          <w:i w:val="false"/>
          <w:color w:val="000000"/>
          <w:sz w:val="28"/>
        </w:rPr>
        <w:t>
      2) в переборках деления судна на отсеки, отделяющих одно помещение для груза от другого смежного помещения для груза, за исключением случаев, когда Регистр судоходства будет убежден в их необходимости. В последнем случае двери бывают навесного, скользящего или другого равноценного типа, однако они не имеют дистанционного управления.</w:t>
      </w:r>
    </w:p>
    <w:bookmarkEnd w:id="4461"/>
    <w:bookmarkStart w:name="z4464" w:id="4462"/>
    <w:p>
      <w:pPr>
        <w:spacing w:after="0"/>
        <w:ind w:left="0"/>
        <w:jc w:val="both"/>
      </w:pPr>
      <w:r>
        <w:rPr>
          <w:rFonts w:ascii="Times New Roman"/>
          <w:b w:val="false"/>
          <w:i w:val="false"/>
          <w:color w:val="000000"/>
          <w:sz w:val="28"/>
        </w:rPr>
        <w:t>
      Ближайшие к борту кромки просвета для дверей на пассажирских судах, судах специального назначения и на судах, получающих в символе класса знак деления на отсеки, не находятся от наружной обшивки на расстоянии, меньшем 0,2 ширины судна. Указанное расстояние измеряется под прямым углом к диаметральной плоскости на уровне ватерлинии деления судна на отсеки.</w:t>
      </w:r>
    </w:p>
    <w:bookmarkEnd w:id="4462"/>
    <w:bookmarkStart w:name="z4465" w:id="4463"/>
    <w:p>
      <w:pPr>
        <w:spacing w:after="0"/>
        <w:ind w:left="0"/>
        <w:jc w:val="both"/>
      </w:pPr>
      <w:r>
        <w:rPr>
          <w:rFonts w:ascii="Times New Roman"/>
          <w:b w:val="false"/>
          <w:i w:val="false"/>
          <w:color w:val="000000"/>
          <w:sz w:val="28"/>
        </w:rPr>
        <w:t>
      1324. В помещениях, в которых находятся главные двигатели, котлы и вспомогательные механизмы, кроме дверей в туннели гребных валов, в каждой переборке деления судна на отсеки устраивают не более одной двери.</w:t>
      </w:r>
    </w:p>
    <w:bookmarkEnd w:id="4463"/>
    <w:bookmarkStart w:name="z4466" w:id="4464"/>
    <w:p>
      <w:pPr>
        <w:spacing w:after="0"/>
        <w:ind w:left="0"/>
        <w:jc w:val="both"/>
      </w:pPr>
      <w:r>
        <w:rPr>
          <w:rFonts w:ascii="Times New Roman"/>
          <w:b w:val="false"/>
          <w:i w:val="false"/>
          <w:color w:val="000000"/>
          <w:sz w:val="28"/>
        </w:rPr>
        <w:t>
      Если на судне имеется два гребных вала или больше, их туннели соединяют между собой проходом. Эти туннели соединяются с машинным отделением только одной дверью, если судно является двухвинтовым, и только двумя дверями, если судно имеет более двух винтов. Все эти двери располагаются по возможности выше.</w:t>
      </w:r>
    </w:p>
    <w:bookmarkEnd w:id="4464"/>
    <w:bookmarkStart w:name="z4467" w:id="4465"/>
    <w:p>
      <w:pPr>
        <w:spacing w:after="0"/>
        <w:ind w:left="0"/>
        <w:jc w:val="both"/>
      </w:pPr>
      <w:r>
        <w:rPr>
          <w:rFonts w:ascii="Times New Roman"/>
          <w:b w:val="false"/>
          <w:i w:val="false"/>
          <w:color w:val="000000"/>
          <w:sz w:val="28"/>
        </w:rPr>
        <w:t>
      Ручные приводы, предназначенные для управления с мест выше палубы переборок упомянутых дверей, а также дверей, ведущих в туннели гребных валов, располагаются вне машинного отделения.</w:t>
      </w:r>
    </w:p>
    <w:bookmarkEnd w:id="4465"/>
    <w:bookmarkStart w:name="z4468" w:id="4466"/>
    <w:p>
      <w:pPr>
        <w:spacing w:after="0"/>
        <w:ind w:left="0"/>
        <w:jc w:val="left"/>
      </w:pPr>
      <w:r>
        <w:rPr>
          <w:rFonts w:ascii="Times New Roman"/>
          <w:b/>
          <w:i w:val="false"/>
          <w:color w:val="000000"/>
        </w:rPr>
        <w:t xml:space="preserve"> Параграф 4. Двери грузовых судов</w:t>
      </w:r>
    </w:p>
    <w:bookmarkEnd w:id="4466"/>
    <w:bookmarkStart w:name="z4469" w:id="4467"/>
    <w:p>
      <w:pPr>
        <w:spacing w:after="0"/>
        <w:ind w:left="0"/>
        <w:jc w:val="both"/>
      </w:pPr>
      <w:r>
        <w:rPr>
          <w:rFonts w:ascii="Times New Roman"/>
          <w:b w:val="false"/>
          <w:i w:val="false"/>
          <w:color w:val="000000"/>
          <w:sz w:val="28"/>
        </w:rPr>
        <w:t>
      1325. Требования настоящего параграфа распространяются на двери, устанавливаемые в переборках деления судна на отсеки грузовых судов, за исключением дверей судов специального назначения, а также указанных в параграфе 6 настоящей главы.</w:t>
      </w:r>
    </w:p>
    <w:bookmarkEnd w:id="4467"/>
    <w:bookmarkStart w:name="z4470" w:id="4468"/>
    <w:p>
      <w:pPr>
        <w:spacing w:after="0"/>
        <w:ind w:left="0"/>
        <w:jc w:val="both"/>
      </w:pPr>
      <w:r>
        <w:rPr>
          <w:rFonts w:ascii="Times New Roman"/>
          <w:b w:val="false"/>
          <w:i w:val="false"/>
          <w:color w:val="000000"/>
          <w:sz w:val="28"/>
        </w:rPr>
        <w:t>
      1326. Двери скользящего типа с горизонтальным или вертикальным движением, имеющие как ручной привод, так и привод от источника энергии.</w:t>
      </w:r>
    </w:p>
    <w:bookmarkEnd w:id="4468"/>
    <w:bookmarkStart w:name="z4471" w:id="4469"/>
    <w:p>
      <w:pPr>
        <w:spacing w:after="0"/>
        <w:ind w:left="0"/>
        <w:jc w:val="both"/>
      </w:pPr>
      <w:r>
        <w:rPr>
          <w:rFonts w:ascii="Times New Roman"/>
          <w:b w:val="false"/>
          <w:i w:val="false"/>
          <w:color w:val="000000"/>
          <w:sz w:val="28"/>
        </w:rPr>
        <w:t>
      Ручной привод двери обеспечивает возможность управления им (открывание и закрывание двери) с обеих сторон перебороки.</w:t>
      </w:r>
    </w:p>
    <w:bookmarkEnd w:id="4469"/>
    <w:bookmarkStart w:name="z4472" w:id="4470"/>
    <w:p>
      <w:pPr>
        <w:spacing w:after="0"/>
        <w:ind w:left="0"/>
        <w:jc w:val="both"/>
      </w:pPr>
      <w:r>
        <w:rPr>
          <w:rFonts w:ascii="Times New Roman"/>
          <w:b w:val="false"/>
          <w:i w:val="false"/>
          <w:color w:val="000000"/>
          <w:sz w:val="28"/>
        </w:rPr>
        <w:t>
      Привод от источника энергии обеспечивает закрывание дверей с поста управления, расположенного на ходовом мостике.</w:t>
      </w:r>
    </w:p>
    <w:bookmarkEnd w:id="4470"/>
    <w:bookmarkStart w:name="z4473" w:id="4471"/>
    <w:p>
      <w:pPr>
        <w:spacing w:after="0"/>
        <w:ind w:left="0"/>
        <w:jc w:val="both"/>
      </w:pPr>
      <w:r>
        <w:rPr>
          <w:rFonts w:ascii="Times New Roman"/>
          <w:b w:val="false"/>
          <w:i w:val="false"/>
          <w:color w:val="000000"/>
          <w:sz w:val="28"/>
        </w:rPr>
        <w:t>
      1327. Посты управления дверями оборудуют визуальными индикаторами, показывающими, открыты или закрыты двери. Предусматривается аварийно-предупредительная сигнализация, обеспечивающая, контроль за закрыванием двери.</w:t>
      </w:r>
    </w:p>
    <w:bookmarkEnd w:id="4471"/>
    <w:bookmarkStart w:name="z4474" w:id="4472"/>
    <w:p>
      <w:pPr>
        <w:spacing w:after="0"/>
        <w:ind w:left="0"/>
        <w:jc w:val="both"/>
      </w:pPr>
      <w:r>
        <w:rPr>
          <w:rFonts w:ascii="Times New Roman"/>
          <w:b w:val="false"/>
          <w:i w:val="false"/>
          <w:color w:val="000000"/>
          <w:sz w:val="28"/>
        </w:rPr>
        <w:t>
      Источник энергии, пост управления и индикаторы находятся в рабочем состоянии в случае повреждения главного источника энергии. Особое внимание уделяется сокращению до минимума влияния повреждения системы управления.</w:t>
      </w:r>
    </w:p>
    <w:bookmarkEnd w:id="4472"/>
    <w:bookmarkStart w:name="z4475" w:id="4473"/>
    <w:p>
      <w:pPr>
        <w:spacing w:after="0"/>
        <w:ind w:left="0"/>
        <w:jc w:val="left"/>
      </w:pPr>
      <w:r>
        <w:rPr>
          <w:rFonts w:ascii="Times New Roman"/>
          <w:b/>
          <w:i w:val="false"/>
          <w:color w:val="000000"/>
        </w:rPr>
        <w:t xml:space="preserve"> Параграф 5. Двери пассажирских судов и судов специального</w:t>
      </w:r>
      <w:r>
        <w:br/>
      </w:r>
      <w:r>
        <w:rPr>
          <w:rFonts w:ascii="Times New Roman"/>
          <w:b/>
          <w:i w:val="false"/>
          <w:color w:val="000000"/>
        </w:rPr>
        <w:t>назначения</w:t>
      </w:r>
    </w:p>
    <w:bookmarkEnd w:id="4473"/>
    <w:bookmarkStart w:name="z4476" w:id="4474"/>
    <w:p>
      <w:pPr>
        <w:spacing w:after="0"/>
        <w:ind w:left="0"/>
        <w:jc w:val="both"/>
      </w:pPr>
      <w:r>
        <w:rPr>
          <w:rFonts w:ascii="Times New Roman"/>
          <w:b w:val="false"/>
          <w:i w:val="false"/>
          <w:color w:val="000000"/>
          <w:sz w:val="28"/>
        </w:rPr>
        <w:t>
      1328. Требования настоящего параграфа распространяются на двери, устанавливаемые в переборках деления судна на отсеки пассажирских судов и судов специального назначения, за исключением указанных в параграфе 6 настоящей главы Правил.</w:t>
      </w:r>
    </w:p>
    <w:bookmarkEnd w:id="4474"/>
    <w:bookmarkStart w:name="z4477" w:id="4475"/>
    <w:p>
      <w:pPr>
        <w:spacing w:after="0"/>
        <w:ind w:left="0"/>
        <w:jc w:val="both"/>
      </w:pPr>
      <w:r>
        <w:rPr>
          <w:rFonts w:ascii="Times New Roman"/>
          <w:b w:val="false"/>
          <w:i w:val="false"/>
          <w:color w:val="000000"/>
          <w:sz w:val="28"/>
        </w:rPr>
        <w:t>
      1329. Двери скользящего типа с горизонтальным или вертикальным движением, имеющие как ручной привод, так и привод от источника энергии.</w:t>
      </w:r>
    </w:p>
    <w:bookmarkEnd w:id="4475"/>
    <w:bookmarkStart w:name="z4478" w:id="4476"/>
    <w:p>
      <w:pPr>
        <w:spacing w:after="0"/>
        <w:ind w:left="0"/>
        <w:jc w:val="both"/>
      </w:pPr>
      <w:r>
        <w:rPr>
          <w:rFonts w:ascii="Times New Roman"/>
          <w:b w:val="false"/>
          <w:i w:val="false"/>
          <w:color w:val="000000"/>
          <w:sz w:val="28"/>
        </w:rPr>
        <w:t>
      Максимальная ширина в свету дверей не превышает 1,2 м. Установка дверей шириной в свету более 1,2 м в каждом случае является предметом специального рассмотрения Регистром судоходства.</w:t>
      </w:r>
    </w:p>
    <w:bookmarkEnd w:id="4476"/>
    <w:bookmarkStart w:name="z4479" w:id="4477"/>
    <w:p>
      <w:pPr>
        <w:spacing w:after="0"/>
        <w:ind w:left="0"/>
        <w:jc w:val="both"/>
      </w:pPr>
      <w:r>
        <w:rPr>
          <w:rFonts w:ascii="Times New Roman"/>
          <w:b w:val="false"/>
          <w:i w:val="false"/>
          <w:color w:val="000000"/>
          <w:sz w:val="28"/>
        </w:rPr>
        <w:t>
      1330. Ручной привод двери обеспечивает возможность управления им (открывание и закрывание двери) с обеих сторон переборки и дополнительно — с легкодоступного места, расположенного выше палубы переборок, с помощью маховика, рукоятки или другого подобного устройства. Усилие на маховике, рукоятке или другом устройстве в период движения полотна двери не должно превышать 157 Н.</w:t>
      </w:r>
    </w:p>
    <w:bookmarkEnd w:id="4477"/>
    <w:bookmarkStart w:name="z4480" w:id="4478"/>
    <w:p>
      <w:pPr>
        <w:spacing w:after="0"/>
        <w:ind w:left="0"/>
        <w:jc w:val="both"/>
      </w:pPr>
      <w:r>
        <w:rPr>
          <w:rFonts w:ascii="Times New Roman"/>
          <w:b w:val="false"/>
          <w:i w:val="false"/>
          <w:color w:val="000000"/>
          <w:sz w:val="28"/>
        </w:rPr>
        <w:t>
      Если с места выше палубы переборок, где установлен привод, дверь не видна, устанавливают указатели, показывающие, при каком положении маховика, рукоятки или другого подобного устройства дверь является открытой, а при каком — закрытой.</w:t>
      </w:r>
    </w:p>
    <w:bookmarkEnd w:id="4478"/>
    <w:bookmarkStart w:name="z4481" w:id="4479"/>
    <w:p>
      <w:pPr>
        <w:spacing w:after="0"/>
        <w:ind w:left="0"/>
        <w:jc w:val="both"/>
      </w:pPr>
      <w:r>
        <w:rPr>
          <w:rFonts w:ascii="Times New Roman"/>
          <w:b w:val="false"/>
          <w:i w:val="false"/>
          <w:color w:val="000000"/>
          <w:sz w:val="28"/>
        </w:rPr>
        <w:t>
      Время, необходимое для полного закрывания двери ручным приводом при прямом положении судна, не должно превышать 90 с.</w:t>
      </w:r>
    </w:p>
    <w:bookmarkEnd w:id="4479"/>
    <w:bookmarkStart w:name="z4482" w:id="4480"/>
    <w:p>
      <w:pPr>
        <w:spacing w:after="0"/>
        <w:ind w:left="0"/>
        <w:jc w:val="both"/>
      </w:pPr>
      <w:r>
        <w:rPr>
          <w:rFonts w:ascii="Times New Roman"/>
          <w:b w:val="false"/>
          <w:i w:val="false"/>
          <w:color w:val="000000"/>
          <w:sz w:val="28"/>
        </w:rPr>
        <w:t>
      1331. Рукоятки управления дверью предусматривают с каждой стороны переборки на минимальной высоте 1,6 м выше настила и расположены таким образом, чтобы люди, проходящие через дверь, могли удерживать эти обе рукоятки в положении, исключающем возможность ее закрывания.</w:t>
      </w:r>
    </w:p>
    <w:bookmarkEnd w:id="4480"/>
    <w:bookmarkStart w:name="z4483" w:id="4481"/>
    <w:p>
      <w:pPr>
        <w:spacing w:after="0"/>
        <w:ind w:left="0"/>
        <w:jc w:val="both"/>
      </w:pPr>
      <w:r>
        <w:rPr>
          <w:rFonts w:ascii="Times New Roman"/>
          <w:b w:val="false"/>
          <w:i w:val="false"/>
          <w:color w:val="000000"/>
          <w:sz w:val="28"/>
        </w:rPr>
        <w:t>
      1332. Привод от источника энергии обеспечивает возможность управления им (открывание и закрывание двери) с местных постов, расположенных с обеих сторон переборки.</w:t>
      </w:r>
    </w:p>
    <w:bookmarkEnd w:id="4481"/>
    <w:bookmarkStart w:name="z4484" w:id="4482"/>
    <w:p>
      <w:pPr>
        <w:spacing w:after="0"/>
        <w:ind w:left="0"/>
        <w:jc w:val="both"/>
      </w:pPr>
      <w:r>
        <w:rPr>
          <w:rFonts w:ascii="Times New Roman"/>
          <w:b w:val="false"/>
          <w:i w:val="false"/>
          <w:color w:val="000000"/>
          <w:sz w:val="28"/>
        </w:rPr>
        <w:t>
      Кроме управления с места непосредственно у двери, привод от источника энергии также управляется (закрывание двери) с центрального поста.</w:t>
      </w:r>
    </w:p>
    <w:bookmarkEnd w:id="4482"/>
    <w:bookmarkStart w:name="z4485" w:id="4483"/>
    <w:p>
      <w:pPr>
        <w:spacing w:after="0"/>
        <w:ind w:left="0"/>
        <w:jc w:val="both"/>
      </w:pPr>
      <w:r>
        <w:rPr>
          <w:rFonts w:ascii="Times New Roman"/>
          <w:b w:val="false"/>
          <w:i w:val="false"/>
          <w:color w:val="000000"/>
          <w:sz w:val="28"/>
        </w:rPr>
        <w:t>
      Не обеспечивается дистанционное открывание любой двери с пульта центрального поста управления.</w:t>
      </w:r>
    </w:p>
    <w:bookmarkEnd w:id="4483"/>
    <w:bookmarkStart w:name="z4486" w:id="4484"/>
    <w:p>
      <w:pPr>
        <w:spacing w:after="0"/>
        <w:ind w:left="0"/>
        <w:jc w:val="both"/>
      </w:pPr>
      <w:r>
        <w:rPr>
          <w:rFonts w:ascii="Times New Roman"/>
          <w:b w:val="false"/>
          <w:i w:val="false"/>
          <w:color w:val="000000"/>
          <w:sz w:val="28"/>
        </w:rPr>
        <w:t>
      Центральный пост управления дверями располагается в ходовой рубке.</w:t>
      </w:r>
    </w:p>
    <w:bookmarkEnd w:id="4484"/>
    <w:bookmarkStart w:name="z4487" w:id="4485"/>
    <w:p>
      <w:pPr>
        <w:spacing w:after="0"/>
        <w:ind w:left="0"/>
        <w:jc w:val="both"/>
      </w:pPr>
      <w:r>
        <w:rPr>
          <w:rFonts w:ascii="Times New Roman"/>
          <w:b w:val="false"/>
          <w:i w:val="false"/>
          <w:color w:val="000000"/>
          <w:sz w:val="28"/>
        </w:rPr>
        <w:t>
      1333. Привод от источника энергии обеспечивает при прямом положении судна закрывание двери за время не более 40 с и не менее 20 с, а также одновременное закрывание всех дверей за время не более 60 с.</w:t>
      </w:r>
    </w:p>
    <w:bookmarkEnd w:id="4485"/>
    <w:bookmarkStart w:name="z4488" w:id="4486"/>
    <w:p>
      <w:pPr>
        <w:spacing w:after="0"/>
        <w:ind w:left="0"/>
        <w:jc w:val="both"/>
      </w:pPr>
      <w:r>
        <w:rPr>
          <w:rFonts w:ascii="Times New Roman"/>
          <w:b w:val="false"/>
          <w:i w:val="false"/>
          <w:color w:val="000000"/>
          <w:sz w:val="28"/>
        </w:rPr>
        <w:t>
      1334. Питание энергией приводов дверей осуществляется посредством:</w:t>
      </w:r>
    </w:p>
    <w:bookmarkEnd w:id="4486"/>
    <w:bookmarkStart w:name="z4489" w:id="4487"/>
    <w:p>
      <w:pPr>
        <w:spacing w:after="0"/>
        <w:ind w:left="0"/>
        <w:jc w:val="both"/>
      </w:pPr>
      <w:r>
        <w:rPr>
          <w:rFonts w:ascii="Times New Roman"/>
          <w:b w:val="false"/>
          <w:i w:val="false"/>
          <w:color w:val="000000"/>
          <w:sz w:val="28"/>
        </w:rPr>
        <w:t>
      1) централизованной гидравлической системы с двумя независимыми источниками энергии, каждая из которых включает двигатель и насос, обеспечивающей одновременное закрывание всех дверей. Дополнительно для всей установки предусматриваются гидравлические аккумуляторы достаточной емкости для обеспечения по меньшей мере трехкратного срабатывания всех дверей, то есть закрывание — открывание — закрывание;</w:t>
      </w:r>
    </w:p>
    <w:bookmarkEnd w:id="4487"/>
    <w:bookmarkStart w:name="z4490" w:id="4488"/>
    <w:p>
      <w:pPr>
        <w:spacing w:after="0"/>
        <w:ind w:left="0"/>
        <w:jc w:val="both"/>
      </w:pPr>
      <w:r>
        <w:rPr>
          <w:rFonts w:ascii="Times New Roman"/>
          <w:b w:val="false"/>
          <w:i w:val="false"/>
          <w:color w:val="000000"/>
          <w:sz w:val="28"/>
        </w:rPr>
        <w:t>
      2) либо независимой гидравлической системы для каждой двери с источником энергии, включающим двигатель и насос, которая обеспечивает открывание и закрывание двери. Дополнительно предусматривается гидравлический аккумулятор достаточной емкости для обеспечения по меньшей мере трехкратного срабатывания двери, то есть закрывание — открывание — закрывание;</w:t>
      </w:r>
    </w:p>
    <w:bookmarkEnd w:id="4488"/>
    <w:bookmarkStart w:name="z4491" w:id="4489"/>
    <w:p>
      <w:pPr>
        <w:spacing w:after="0"/>
        <w:ind w:left="0"/>
        <w:jc w:val="both"/>
      </w:pPr>
      <w:r>
        <w:rPr>
          <w:rFonts w:ascii="Times New Roman"/>
          <w:b w:val="false"/>
          <w:i w:val="false"/>
          <w:color w:val="000000"/>
          <w:sz w:val="28"/>
        </w:rPr>
        <w:t>
      3) либо независимой электрической системы для каждой двери с источником энергии, включающим двигатель, обеспечивающей открывание и закрывание двери. Источник энергии автоматически обеспечивается питанием от переходного аварийного источника электроэнергии в соответствии с требованиями пункта 5735 настоящих Правил, в случае повреждения либо главного, либо аварийного источника электроэнергии, и имеет достаточную мощность для обеспечения, по меньшей мере, трехкратного срабатывания двери, то есть закрывание — открывание — закрывание.</w:t>
      </w:r>
    </w:p>
    <w:bookmarkEnd w:id="4489"/>
    <w:bookmarkStart w:name="z4492" w:id="4490"/>
    <w:p>
      <w:pPr>
        <w:spacing w:after="0"/>
        <w:ind w:left="0"/>
        <w:jc w:val="both"/>
      </w:pPr>
      <w:r>
        <w:rPr>
          <w:rFonts w:ascii="Times New Roman"/>
          <w:b w:val="false"/>
          <w:i w:val="false"/>
          <w:color w:val="000000"/>
          <w:sz w:val="28"/>
        </w:rPr>
        <w:t>
      1335. Посты управления дверями, включая гидравлическую систему и электрические кабели, находятся, насколько это практически возможно, ближе к переборке, в которой установлены двери, чтобы сократить до минимума вероятность выхода их из строя при любом повреждении судна.</w:t>
      </w:r>
    </w:p>
    <w:bookmarkEnd w:id="4490"/>
    <w:bookmarkStart w:name="z4493" w:id="4491"/>
    <w:p>
      <w:pPr>
        <w:spacing w:after="0"/>
        <w:ind w:left="0"/>
        <w:jc w:val="both"/>
      </w:pPr>
      <w:r>
        <w:rPr>
          <w:rFonts w:ascii="Times New Roman"/>
          <w:b w:val="false"/>
          <w:i w:val="false"/>
          <w:color w:val="000000"/>
          <w:sz w:val="28"/>
        </w:rPr>
        <w:t>
      1336. Каждая дверь имеет звуковую аварийно-предупредительную сигнализацию, отличную от любой другой аварийно-предупредительной сигнализации в данном районе. Она звучит всякий раз, когда дверь закрывается приводом от источника энергии с дистанционного поста управления по крайней мере за 5, но не более чем за 10 с до начала движения двери и продолжается до тех пор, пока дверь не закроется полностью. При дистанционном управлении ручным приводом достаточно срабатывания звуковой аварийно-предупредительной сигнализации только во время движения двери.</w:t>
      </w:r>
    </w:p>
    <w:bookmarkEnd w:id="4491"/>
    <w:bookmarkStart w:name="z4494" w:id="4492"/>
    <w:p>
      <w:pPr>
        <w:spacing w:after="0"/>
        <w:ind w:left="0"/>
        <w:jc w:val="both"/>
      </w:pPr>
      <w:r>
        <w:rPr>
          <w:rFonts w:ascii="Times New Roman"/>
          <w:b w:val="false"/>
          <w:i w:val="false"/>
          <w:color w:val="000000"/>
          <w:sz w:val="28"/>
        </w:rPr>
        <w:t>
      1337. Пульт центрального поста управления на ходовом мостике имеет переключатель на два режима управления дверьми:</w:t>
      </w:r>
    </w:p>
    <w:bookmarkEnd w:id="4492"/>
    <w:bookmarkStart w:name="z4495" w:id="4493"/>
    <w:p>
      <w:pPr>
        <w:spacing w:after="0"/>
        <w:ind w:left="0"/>
        <w:jc w:val="both"/>
      </w:pPr>
      <w:r>
        <w:rPr>
          <w:rFonts w:ascii="Times New Roman"/>
          <w:b w:val="false"/>
          <w:i w:val="false"/>
          <w:color w:val="000000"/>
          <w:sz w:val="28"/>
        </w:rPr>
        <w:t>
      1) режим "местный контроль", обеспечивающий управление (открывание и закрывание) любой дверью с местного поста без использования автоматического закрывания;</w:t>
      </w:r>
    </w:p>
    <w:bookmarkEnd w:id="4493"/>
    <w:bookmarkStart w:name="z4496" w:id="4494"/>
    <w:p>
      <w:pPr>
        <w:spacing w:after="0"/>
        <w:ind w:left="0"/>
        <w:jc w:val="both"/>
      </w:pPr>
      <w:r>
        <w:rPr>
          <w:rFonts w:ascii="Times New Roman"/>
          <w:b w:val="false"/>
          <w:i w:val="false"/>
          <w:color w:val="000000"/>
          <w:sz w:val="28"/>
        </w:rPr>
        <w:t>
      2) режим "двери закрыты", обеспечивающий открывание дверей с местного поста и их автоматическое закрывание после освобождения механизма местного поста управления.</w:t>
      </w:r>
    </w:p>
    <w:bookmarkEnd w:id="4494"/>
    <w:bookmarkStart w:name="z4497" w:id="4495"/>
    <w:p>
      <w:pPr>
        <w:spacing w:after="0"/>
        <w:ind w:left="0"/>
        <w:jc w:val="both"/>
      </w:pPr>
      <w:r>
        <w:rPr>
          <w:rFonts w:ascii="Times New Roman"/>
          <w:b w:val="false"/>
          <w:i w:val="false"/>
          <w:color w:val="000000"/>
          <w:sz w:val="28"/>
        </w:rPr>
        <w:t>
      Данный переключатель обычно находится в режиме "местный контроль". Режим "двери закрыты" используется только в аварийных ситуациях или в целях испытаний.</w:t>
      </w:r>
    </w:p>
    <w:bookmarkEnd w:id="4495"/>
    <w:bookmarkStart w:name="z4498" w:id="4496"/>
    <w:p>
      <w:pPr>
        <w:spacing w:after="0"/>
        <w:ind w:left="0"/>
        <w:jc w:val="both"/>
      </w:pPr>
      <w:r>
        <w:rPr>
          <w:rFonts w:ascii="Times New Roman"/>
          <w:b w:val="false"/>
          <w:i w:val="false"/>
          <w:color w:val="000000"/>
          <w:sz w:val="28"/>
        </w:rPr>
        <w:t>
      1338. Пульт центрального поста управления на ходовом мостике снабжен схемой, указывающей расположение каждой двери, с визуальными индикаторами, показывающими, открыта или закрыта каждая дверь. Красный свет загорается, если дверь полностью открыта, а зеленый свет показывает, что дверь полностью закрыта. Когда дверь закрывается с помощью дистанционного управления, красный свет показывает промежуточное положение путем мигания. Цепь индикации независима от цепи управления каждой дверью.</w:t>
      </w:r>
    </w:p>
    <w:bookmarkEnd w:id="4496"/>
    <w:bookmarkStart w:name="z4499" w:id="4497"/>
    <w:p>
      <w:pPr>
        <w:spacing w:after="0"/>
        <w:ind w:left="0"/>
        <w:jc w:val="both"/>
      </w:pPr>
      <w:r>
        <w:rPr>
          <w:rFonts w:ascii="Times New Roman"/>
          <w:b w:val="false"/>
          <w:i w:val="false"/>
          <w:color w:val="000000"/>
          <w:sz w:val="28"/>
        </w:rPr>
        <w:t>
      1339. Если шахты или туннели для доступа из помещений экипажа в котельное помещение, для прокладки трубопроводов или для каких-либо других целей проходят через главные поперечные водонепроницаемые переборки, то они водонепроницаемы. Доступ по меньшей мере к одному из концов каждого такого туннеля или шахты, если ими пользуются в море в качестве прохода, осуществляется через водонепроницаемую шахту такой высоты, чтобы вход в нее находился выше предельной линии погружения. Доступ к другому концу шахты или туннеля осуществляется через водонепроницаемую дверь типа, требующегося в зависимости от ее расположения на судне. Такие шахты или туннели не проходят через переборку деления на отсеки, которая является первой в корму от таранной переборки.</w:t>
      </w:r>
    </w:p>
    <w:bookmarkEnd w:id="4497"/>
    <w:bookmarkStart w:name="z4500" w:id="4498"/>
    <w:p>
      <w:pPr>
        <w:spacing w:after="0"/>
        <w:ind w:left="0"/>
        <w:jc w:val="both"/>
      </w:pPr>
      <w:r>
        <w:rPr>
          <w:rFonts w:ascii="Times New Roman"/>
          <w:b w:val="false"/>
          <w:i w:val="false"/>
          <w:color w:val="000000"/>
          <w:sz w:val="28"/>
        </w:rPr>
        <w:t>
      1340. Если вентиляционные шахты и каналы, предусмотренные в связи с наличием охлаждаемого груза и для прокладки каналов естественной или искусственной вентиляции, проходят через более чем одну водонепроницаемую переборку, средства закрытия таких отверстий приводится в действие приводом от источника энергии и имеет возможность закрываться из центрального поста управления, расположенного выше палубы переборок.</w:t>
      </w:r>
    </w:p>
    <w:bookmarkEnd w:id="4498"/>
    <w:bookmarkStart w:name="z4501" w:id="4499"/>
    <w:p>
      <w:pPr>
        <w:spacing w:after="0"/>
        <w:ind w:left="0"/>
        <w:jc w:val="left"/>
      </w:pPr>
      <w:r>
        <w:rPr>
          <w:rFonts w:ascii="Times New Roman"/>
          <w:b/>
          <w:i w:val="false"/>
          <w:color w:val="000000"/>
        </w:rPr>
        <w:t xml:space="preserve"> Параграф 6. Двери судов, перевозящих транспортные средства,</w:t>
      </w:r>
      <w:r>
        <w:br/>
      </w:r>
      <w:r>
        <w:rPr>
          <w:rFonts w:ascii="Times New Roman"/>
          <w:b/>
          <w:i w:val="false"/>
          <w:color w:val="000000"/>
        </w:rPr>
        <w:t>горловины в переборках деления судна на отсеки</w:t>
      </w:r>
    </w:p>
    <w:bookmarkEnd w:id="4499"/>
    <w:bookmarkStart w:name="z4502" w:id="4500"/>
    <w:p>
      <w:pPr>
        <w:spacing w:after="0"/>
        <w:ind w:left="0"/>
        <w:jc w:val="both"/>
      </w:pPr>
      <w:r>
        <w:rPr>
          <w:rFonts w:ascii="Times New Roman"/>
          <w:b w:val="false"/>
          <w:i w:val="false"/>
          <w:color w:val="000000"/>
          <w:sz w:val="28"/>
        </w:rPr>
        <w:t xml:space="preserve">
      1341. Требования настоящего параграфа распространяются на двери, устанавливаемые в переборках деления судна на отсеки, отделяющие одно помещение для груза от другого смежного помещения для груза, судов, перевозящих транспортные средства, и к которым предъявляются требования раздела 7 настоящих Правил, а общее количество людей на борту которых (за исключением капитана и членов экипажа или других лиц, работающих или имеющих какие-либо занятия, связанные с деятельностью этого судна, а также детей в возрасте менее одного года) не превышает значения </w:t>
      </w:r>
      <w:r>
        <w:rPr>
          <w:rFonts w:ascii="Times New Roman"/>
          <w:b w:val="false"/>
          <w:i/>
          <w:color w:val="000000"/>
          <w:sz w:val="28"/>
        </w:rPr>
        <w:t>N</w:t>
      </w:r>
      <w:r>
        <w:rPr>
          <w:rFonts w:ascii="Times New Roman"/>
          <w:b w:val="false"/>
          <w:i w:val="false"/>
          <w:color w:val="000000"/>
          <w:sz w:val="28"/>
        </w:rPr>
        <w:t>, определяемого по формуле:</w:t>
      </w:r>
    </w:p>
    <w:bookmarkEnd w:id="450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12 + 0,04</w:t>
      </w:r>
      <w:r>
        <w:rPr>
          <w:rFonts w:ascii="Times New Roman"/>
          <w:b w:val="false"/>
          <w:i/>
          <w:color w:val="000000"/>
          <w:sz w:val="28"/>
        </w:rPr>
        <w:t>А</w:t>
      </w:r>
      <w:r>
        <w:rPr>
          <w:rFonts w:ascii="Times New Roman"/>
          <w:b w:val="false"/>
          <w:i w:val="false"/>
          <w:color w:val="000000"/>
          <w:sz w:val="28"/>
        </w:rPr>
        <w:t>,                          (572)</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общая площадь палуб, м</w:t>
      </w:r>
      <w:r>
        <w:rPr>
          <w:rFonts w:ascii="Times New Roman"/>
          <w:b w:val="false"/>
          <w:i w:val="false"/>
          <w:color w:val="000000"/>
          <w:vertAlign w:val="superscript"/>
        </w:rPr>
        <w:t>2</w:t>
      </w:r>
      <w:r>
        <w:rPr>
          <w:rFonts w:ascii="Times New Roman"/>
          <w:b w:val="false"/>
          <w:i w:val="false"/>
          <w:color w:val="000000"/>
          <w:sz w:val="28"/>
        </w:rPr>
        <w:t>, помещений, предусмотренных для установки транспортных средств и имеющих высоту в свету не менее 4 м в районе установки транспортных средств и у въездов в эти помещения.</w:t>
      </w:r>
    </w:p>
    <w:bookmarkStart w:name="z4503" w:id="4501"/>
    <w:p>
      <w:pPr>
        <w:spacing w:after="0"/>
        <w:ind w:left="0"/>
        <w:jc w:val="both"/>
      </w:pPr>
      <w:r>
        <w:rPr>
          <w:rFonts w:ascii="Times New Roman"/>
          <w:b w:val="false"/>
          <w:i w:val="false"/>
          <w:color w:val="000000"/>
          <w:sz w:val="28"/>
        </w:rPr>
        <w:t>
      1342. Двери, указанные в пункте 1341 настоящих Правил, устанавливают на любом уровне, если Регистр судоходства убедится, что они необходимы для перемещения транспортных средств, перевозимых на судне.</w:t>
      </w:r>
    </w:p>
    <w:bookmarkEnd w:id="4501"/>
    <w:bookmarkStart w:name="z4504" w:id="4502"/>
    <w:p>
      <w:pPr>
        <w:spacing w:after="0"/>
        <w:ind w:left="0"/>
        <w:jc w:val="both"/>
      </w:pPr>
      <w:r>
        <w:rPr>
          <w:rFonts w:ascii="Times New Roman"/>
          <w:b w:val="false"/>
          <w:i w:val="false"/>
          <w:color w:val="000000"/>
          <w:sz w:val="28"/>
        </w:rPr>
        <w:t>
      Число и расположение этих дверей является предметом специального рассмотрения Регистром судоходства.</w:t>
      </w:r>
    </w:p>
    <w:bookmarkEnd w:id="4502"/>
    <w:bookmarkStart w:name="z4505" w:id="4503"/>
    <w:p>
      <w:pPr>
        <w:spacing w:after="0"/>
        <w:ind w:left="0"/>
        <w:jc w:val="both"/>
      </w:pPr>
      <w:r>
        <w:rPr>
          <w:rFonts w:ascii="Times New Roman"/>
          <w:b w:val="false"/>
          <w:i w:val="false"/>
          <w:color w:val="000000"/>
          <w:sz w:val="28"/>
        </w:rPr>
        <w:t>
      1343. Двери, указанные в пункте 1341 настоящих Правил, располагают возможно дальше от наружной обшивки, однако ближайшие к борту кромки просвета этих дверей не находятся от наружной обшивки на расстоянии, меньшем 0,2 ширины судна. Указанное расстояние измеряется под прямым углом в диаметральной плоскости на уровне ватерлинии деления судна на отсеки.</w:t>
      </w:r>
    </w:p>
    <w:bookmarkEnd w:id="4503"/>
    <w:bookmarkStart w:name="z4506" w:id="4504"/>
    <w:p>
      <w:pPr>
        <w:spacing w:after="0"/>
        <w:ind w:left="0"/>
        <w:jc w:val="both"/>
      </w:pPr>
      <w:r>
        <w:rPr>
          <w:rFonts w:ascii="Times New Roman"/>
          <w:b w:val="false"/>
          <w:i w:val="false"/>
          <w:color w:val="000000"/>
          <w:sz w:val="28"/>
        </w:rPr>
        <w:t>
      1344. Двери, указанные в пункте 1341 настоящих Правил, бывают следующих типов: навесного, скользящего или на катках, но не имеют дистанционного управления. Двери оборудуют устройствами, обеспечивающими их водонепроницаемость, задраивание и запирание.</w:t>
      </w:r>
    </w:p>
    <w:bookmarkEnd w:id="4504"/>
    <w:bookmarkStart w:name="z4507" w:id="4505"/>
    <w:p>
      <w:pPr>
        <w:spacing w:after="0"/>
        <w:ind w:left="0"/>
        <w:jc w:val="both"/>
      </w:pPr>
      <w:r>
        <w:rPr>
          <w:rFonts w:ascii="Times New Roman"/>
          <w:b w:val="false"/>
          <w:i w:val="false"/>
          <w:color w:val="000000"/>
          <w:sz w:val="28"/>
        </w:rPr>
        <w:t>
      Если материал, уплотняющий прокладки двери, не является негорючим (подпункт 1) пункта 2147 настоящих Правил), то прокладку защищают от воздействия огня способом, одобренным Регистром судоходства.</w:t>
      </w:r>
    </w:p>
    <w:bookmarkEnd w:id="4505"/>
    <w:bookmarkStart w:name="z4508" w:id="4506"/>
    <w:p>
      <w:pPr>
        <w:spacing w:after="0"/>
        <w:ind w:left="0"/>
        <w:jc w:val="both"/>
      </w:pPr>
      <w:r>
        <w:rPr>
          <w:rFonts w:ascii="Times New Roman"/>
          <w:b w:val="false"/>
          <w:i w:val="false"/>
          <w:color w:val="000000"/>
          <w:sz w:val="28"/>
        </w:rPr>
        <w:t>
      Двери оборудуют устройством, исключающим возможность открывания их некомпетентными лицами.</w:t>
      </w:r>
    </w:p>
    <w:bookmarkEnd w:id="4506"/>
    <w:bookmarkStart w:name="z4509" w:id="4507"/>
    <w:p>
      <w:pPr>
        <w:spacing w:after="0"/>
        <w:ind w:left="0"/>
        <w:jc w:val="both"/>
      </w:pPr>
      <w:r>
        <w:rPr>
          <w:rFonts w:ascii="Times New Roman"/>
          <w:b w:val="false"/>
          <w:i w:val="false"/>
          <w:color w:val="000000"/>
          <w:sz w:val="28"/>
        </w:rPr>
        <w:t>
      1345. Конструкция дверей, указанных в пункте 1341 настоящих Правил, такая, чтобы обеспечивалась возможность открывания и закрывания двери как при незагруженных, так и при загруженных палубах с учетом их прогибов от воздействия груза.</w:t>
      </w:r>
    </w:p>
    <w:bookmarkEnd w:id="4507"/>
    <w:bookmarkStart w:name="z4510" w:id="4508"/>
    <w:p>
      <w:pPr>
        <w:spacing w:after="0"/>
        <w:ind w:left="0"/>
        <w:jc w:val="both"/>
      </w:pPr>
      <w:r>
        <w:rPr>
          <w:rFonts w:ascii="Times New Roman"/>
          <w:b w:val="false"/>
          <w:i w:val="false"/>
          <w:color w:val="000000"/>
          <w:sz w:val="28"/>
        </w:rPr>
        <w:t>
      Конструкция задраивающего устройства двери выполняется с учетом прогибов палуб от воздействия груза, вызывающих взаимное перемещение элементов конструкции переборки и полотна двери.</w:t>
      </w:r>
    </w:p>
    <w:bookmarkEnd w:id="4508"/>
    <w:bookmarkStart w:name="z4511" w:id="4509"/>
    <w:p>
      <w:pPr>
        <w:spacing w:after="0"/>
        <w:ind w:left="0"/>
        <w:jc w:val="both"/>
      </w:pPr>
      <w:r>
        <w:rPr>
          <w:rFonts w:ascii="Times New Roman"/>
          <w:b w:val="false"/>
          <w:i w:val="false"/>
          <w:color w:val="000000"/>
          <w:sz w:val="28"/>
        </w:rPr>
        <w:t>
      1346. Если водонепроницаемость двери обеспечивается с помощью резиновых или других подходящих прокладок и задраивающих устройств, то на каждом углу двери или секции двери (если дверь состоит из секций), предусматривают задраивающее устройство.</w:t>
      </w:r>
    </w:p>
    <w:bookmarkEnd w:id="4509"/>
    <w:bookmarkStart w:name="z4512" w:id="4510"/>
    <w:p>
      <w:pPr>
        <w:spacing w:after="0"/>
        <w:ind w:left="0"/>
        <w:jc w:val="both"/>
      </w:pPr>
      <w:r>
        <w:rPr>
          <w:rFonts w:ascii="Times New Roman"/>
          <w:b w:val="false"/>
          <w:i w:val="false"/>
          <w:color w:val="000000"/>
          <w:sz w:val="28"/>
        </w:rPr>
        <w:t>
      Задраивающие устройства этих дверей рассчитывают на действие усилия, кН:</w:t>
      </w:r>
    </w:p>
    <w:bookmarkEnd w:id="4510"/>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 для задраивающих устройств, расположенных у нижней кромки двери;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 для задраивающих устройств, расположенных у верхней кромки двери;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 xml:space="preserve"> — для задраивающих устройств, расположенных у вертикальной кромки двери, определяемых по формулам: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65532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А — площадь двери в свету,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вертикальное расстояние от нижней кромки выреза двери до нижней кромки настила палубы переборок в диаметральной плоскости судна, м, но не менее 5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двери в свету,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вертикальное расстояние от рассматриваемого задраивающего устройства до верхней кромки двери,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полусумма вертикальных расстояний от рассматриваемого задраивающего устройства до ближайших к нему верхнего и нижнего задраивающих устройств,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число задраивающих устройств, устанавливаемых по нижней кромке двери;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 число задраивающих устройств устанавливаемых по верхней кромке двери.</w:t>
      </w:r>
    </w:p>
    <w:bookmarkStart w:name="z4513" w:id="4511"/>
    <w:p>
      <w:pPr>
        <w:spacing w:after="0"/>
        <w:ind w:left="0"/>
        <w:jc w:val="both"/>
      </w:pPr>
      <w:r>
        <w:rPr>
          <w:rFonts w:ascii="Times New Roman"/>
          <w:b w:val="false"/>
          <w:i w:val="false"/>
          <w:color w:val="000000"/>
          <w:sz w:val="28"/>
        </w:rPr>
        <w:t xml:space="preserve">
      При действии на задраивающее устройство расчетного усилия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или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 xml:space="preserve"> напряжения в элементах его конструкции не превышает 0,5 верхнего предела текучести материала.</w:t>
      </w:r>
    </w:p>
    <w:bookmarkEnd w:id="4511"/>
    <w:bookmarkStart w:name="z4514" w:id="4512"/>
    <w:p>
      <w:pPr>
        <w:spacing w:after="0"/>
        <w:ind w:left="0"/>
        <w:jc w:val="both"/>
      </w:pPr>
      <w:r>
        <w:rPr>
          <w:rFonts w:ascii="Times New Roman"/>
          <w:b w:val="false"/>
          <w:i w:val="false"/>
          <w:color w:val="000000"/>
          <w:sz w:val="28"/>
        </w:rPr>
        <w:t>
      1347. Управление дверями, указанными в пункте 1341 настоящих Правил, осуществляется только с местных постов. На ходовом мостике предусматривают индикаторы, показывающие автоматически, что каждая дверь закрыта и все ее задрайки задраены.</w:t>
      </w:r>
    </w:p>
    <w:bookmarkEnd w:id="4512"/>
    <w:bookmarkStart w:name="z4515" w:id="4513"/>
    <w:p>
      <w:pPr>
        <w:spacing w:after="0"/>
        <w:ind w:left="0"/>
        <w:jc w:val="both"/>
      </w:pPr>
      <w:r>
        <w:rPr>
          <w:rFonts w:ascii="Times New Roman"/>
          <w:b w:val="false"/>
          <w:i w:val="false"/>
          <w:color w:val="000000"/>
          <w:sz w:val="28"/>
        </w:rPr>
        <w:t>
      1348. Требования пунктов 1318 – 1321 настоящих Правил распространяются также на двери, указанные в пункте 1341 настоящих Правил.</w:t>
      </w:r>
    </w:p>
    <w:bookmarkEnd w:id="4513"/>
    <w:bookmarkStart w:name="z4516" w:id="4514"/>
    <w:p>
      <w:pPr>
        <w:spacing w:after="0"/>
        <w:ind w:left="0"/>
        <w:jc w:val="both"/>
      </w:pPr>
      <w:r>
        <w:rPr>
          <w:rFonts w:ascii="Times New Roman"/>
          <w:b w:val="false"/>
          <w:i w:val="false"/>
          <w:color w:val="000000"/>
          <w:sz w:val="28"/>
        </w:rPr>
        <w:t>
      1349. При устройстве в переборках деления судна на отсеки горловин к ним, как правило, предъявляются такие же требования, как и к горловинам, расположенным на палубе надводного борта, возвышенного квартердека или первого яруса надстроек в соответствии с главой 74 настоящих Правил.</w:t>
      </w:r>
    </w:p>
    <w:bookmarkEnd w:id="4514"/>
    <w:bookmarkStart w:name="z4517" w:id="4515"/>
    <w:p>
      <w:pPr>
        <w:spacing w:after="0"/>
        <w:ind w:left="0"/>
        <w:jc w:val="both"/>
      </w:pPr>
      <w:r>
        <w:rPr>
          <w:rFonts w:ascii="Times New Roman"/>
          <w:b w:val="false"/>
          <w:i w:val="false"/>
          <w:color w:val="000000"/>
          <w:sz w:val="28"/>
        </w:rPr>
        <w:t>
      Не допускается устройство горловин:</w:t>
      </w:r>
    </w:p>
    <w:bookmarkEnd w:id="4515"/>
    <w:bookmarkStart w:name="z4518" w:id="4516"/>
    <w:p>
      <w:pPr>
        <w:spacing w:after="0"/>
        <w:ind w:left="0"/>
        <w:jc w:val="both"/>
      </w:pPr>
      <w:r>
        <w:rPr>
          <w:rFonts w:ascii="Times New Roman"/>
          <w:b w:val="false"/>
          <w:i w:val="false"/>
          <w:color w:val="000000"/>
          <w:sz w:val="28"/>
        </w:rPr>
        <w:t>
      1) в таранной переборке ниже палубы переборок на судах, в символе класса которых указывается знак деления на отсеки, и ниже палубы надводного борта — на остальных судах;</w:t>
      </w:r>
    </w:p>
    <w:bookmarkEnd w:id="4516"/>
    <w:bookmarkStart w:name="z4519" w:id="4517"/>
    <w:p>
      <w:pPr>
        <w:spacing w:after="0"/>
        <w:ind w:left="0"/>
        <w:jc w:val="both"/>
      </w:pPr>
      <w:r>
        <w:rPr>
          <w:rFonts w:ascii="Times New Roman"/>
          <w:b w:val="false"/>
          <w:i w:val="false"/>
          <w:color w:val="000000"/>
          <w:sz w:val="28"/>
        </w:rPr>
        <w:t>
      2) в переборках деления судна на отсеки, отделяющих одно помещение для груза от другого смежного помещения для груза или хранилища топлива.</w:t>
      </w:r>
    </w:p>
    <w:bookmarkEnd w:id="4517"/>
    <w:bookmarkStart w:name="z4520" w:id="4518"/>
    <w:p>
      <w:pPr>
        <w:spacing w:after="0"/>
        <w:ind w:left="0"/>
        <w:jc w:val="left"/>
      </w:pPr>
      <w:r>
        <w:rPr>
          <w:rFonts w:ascii="Times New Roman"/>
          <w:b/>
          <w:i w:val="false"/>
          <w:color w:val="000000"/>
        </w:rPr>
        <w:t xml:space="preserve"> Глава 78. Закрытия грузовых люков навалочных грузов, рудовозов и комбинированных судов</w:t>
      </w:r>
    </w:p>
    <w:bookmarkEnd w:id="4518"/>
    <w:p>
      <w:pPr>
        <w:spacing w:after="0"/>
        <w:ind w:left="0"/>
        <w:jc w:val="both"/>
      </w:pPr>
      <w:r>
        <w:rPr>
          <w:rFonts w:ascii="Times New Roman"/>
          <w:b w:val="false"/>
          <w:i w:val="false"/>
          <w:color w:val="ff0000"/>
          <w:sz w:val="28"/>
        </w:rPr>
        <w:t xml:space="preserve">
      Сноска. Заголовок главы 78 -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21" w:id="4519"/>
    <w:p>
      <w:pPr>
        <w:spacing w:after="0"/>
        <w:ind w:left="0"/>
        <w:jc w:val="both"/>
      </w:pPr>
      <w:r>
        <w:rPr>
          <w:rFonts w:ascii="Times New Roman"/>
          <w:b w:val="false"/>
          <w:i w:val="false"/>
          <w:color w:val="000000"/>
          <w:sz w:val="28"/>
        </w:rPr>
        <w:t>
      1350. Конструкция закрытий грузовых люков навалочных судов, рудовозов и комбинированных судов отвечает требованиям главы 75, пунктов 1280, 1281 настоящих Правил.</w:t>
      </w:r>
    </w:p>
    <w:bookmarkEnd w:id="4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22" w:id="4520"/>
    <w:p>
      <w:pPr>
        <w:spacing w:after="0"/>
        <w:ind w:left="0"/>
        <w:jc w:val="both"/>
      </w:pPr>
      <w:r>
        <w:rPr>
          <w:rFonts w:ascii="Times New Roman"/>
          <w:b w:val="false"/>
          <w:i w:val="false"/>
          <w:color w:val="000000"/>
          <w:sz w:val="28"/>
        </w:rPr>
        <w:t>
      1351. Закрытия грузовых люков изготавливают из стали. Применение других материалов является в каждом случае предметом специального рассмотрения Регистром судоходства.</w:t>
      </w:r>
    </w:p>
    <w:bookmarkEnd w:id="4520"/>
    <w:bookmarkStart w:name="z4523" w:id="4521"/>
    <w:p>
      <w:pPr>
        <w:spacing w:after="0"/>
        <w:ind w:left="0"/>
        <w:jc w:val="both"/>
      </w:pPr>
      <w:r>
        <w:rPr>
          <w:rFonts w:ascii="Times New Roman"/>
          <w:b w:val="false"/>
          <w:i w:val="false"/>
          <w:color w:val="000000"/>
          <w:sz w:val="28"/>
        </w:rPr>
        <w:t>
      1352. Давление Р, кПа, на крышки люков, расположенных на палубе надводного борта, определяется по формулам:</w:t>
      </w:r>
    </w:p>
    <w:bookmarkEnd w:id="4521"/>
    <w:bookmarkStart w:name="z4524" w:id="4522"/>
    <w:p>
      <w:pPr>
        <w:spacing w:after="0"/>
        <w:ind w:left="0"/>
        <w:jc w:val="both"/>
      </w:pPr>
      <w:r>
        <w:rPr>
          <w:rFonts w:ascii="Times New Roman"/>
          <w:b w:val="false"/>
          <w:i w:val="false"/>
          <w:color w:val="000000"/>
          <w:sz w:val="28"/>
        </w:rPr>
        <w:t>
      1) на судах длиной 100 м и более:</w:t>
      </w:r>
    </w:p>
    <w:bookmarkEnd w:id="45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6451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P</w:t>
      </w:r>
      <w:r>
        <w:rPr>
          <w:rFonts w:ascii="Times New Roman"/>
          <w:b w:val="false"/>
          <w:i w:val="false"/>
          <w:color w:val="000000"/>
          <w:vertAlign w:val="subscript"/>
        </w:rPr>
        <w:t>FP</w:t>
      </w:r>
      <w:r>
        <w:rPr>
          <w:rFonts w:ascii="Times New Roman"/>
          <w:b w:val="false"/>
          <w:i w:val="false"/>
          <w:color w:val="000000"/>
          <w:sz w:val="28"/>
        </w:rPr>
        <w:t xml:space="preserve"> — давление в районе носового перпендикуляра, определяемое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FP</w:t>
      </w:r>
      <w:r>
        <w:rPr>
          <w:rFonts w:ascii="Times New Roman"/>
          <w:b w:val="false"/>
          <w:i w:val="false"/>
          <w:color w:val="000000"/>
          <w:sz w:val="28"/>
        </w:rPr>
        <w:t>=49,1 + (</w:t>
      </w:r>
      <w:r>
        <w:rPr>
          <w:rFonts w:ascii="Times New Roman"/>
          <w:b w:val="false"/>
          <w:i/>
          <w:color w:val="000000"/>
          <w:sz w:val="28"/>
        </w:rPr>
        <w:t>L</w:t>
      </w:r>
      <w:r>
        <w:rPr>
          <w:rFonts w:ascii="Times New Roman"/>
          <w:b w:val="false"/>
          <w:i w:val="false"/>
          <w:color w:val="000000"/>
          <w:sz w:val="28"/>
        </w:rPr>
        <w:t>-100)</w:t>
      </w:r>
      <w:r>
        <w:rPr>
          <w:rFonts w:ascii="Times New Roman"/>
          <w:b w:val="false"/>
          <w:i/>
          <w:color w:val="000000"/>
          <w:sz w:val="28"/>
        </w:rPr>
        <w:t>a</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0,0726 — для судов типа "В" с назначенным надводным бортом;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0,356 — для судов с уменьшенным надводным бортом;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судна, но не более 340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расстояние, м, от середины длины рассматриваемой люковой крышки до носового перпендикуляра.</w:t>
      </w:r>
    </w:p>
    <w:bookmarkStart w:name="z4525" w:id="4523"/>
    <w:p>
      <w:pPr>
        <w:spacing w:after="0"/>
        <w:ind w:left="0"/>
        <w:jc w:val="both"/>
      </w:pPr>
      <w:r>
        <w:rPr>
          <w:rFonts w:ascii="Times New Roman"/>
          <w:b w:val="false"/>
          <w:i w:val="false"/>
          <w:color w:val="000000"/>
          <w:sz w:val="28"/>
        </w:rPr>
        <w:t xml:space="preserve">
      Если люковое закрытие в районе 1 располагается, по крайней мере, на высоту одной стандартной надстройки выше палубы надводного борта, давление </w:t>
      </w:r>
      <w:r>
        <w:rPr>
          <w:rFonts w:ascii="Times New Roman"/>
          <w:b w:val="false"/>
          <w:i/>
          <w:color w:val="000000"/>
          <w:sz w:val="28"/>
        </w:rPr>
        <w:t>Р</w:t>
      </w:r>
      <w:r>
        <w:rPr>
          <w:rFonts w:ascii="Times New Roman"/>
          <w:b w:val="false"/>
          <w:i w:val="false"/>
          <w:color w:val="000000"/>
          <w:sz w:val="28"/>
        </w:rPr>
        <w:t xml:space="preserve"> может быть принято равным 34,3 кПа;</w:t>
      </w:r>
    </w:p>
    <w:bookmarkEnd w:id="4523"/>
    <w:bookmarkStart w:name="z4526" w:id="4524"/>
    <w:p>
      <w:pPr>
        <w:spacing w:after="0"/>
        <w:ind w:left="0"/>
        <w:jc w:val="both"/>
      </w:pPr>
      <w:r>
        <w:rPr>
          <w:rFonts w:ascii="Times New Roman"/>
          <w:b w:val="false"/>
          <w:i w:val="false"/>
          <w:color w:val="000000"/>
          <w:sz w:val="28"/>
        </w:rPr>
        <w:t>
      2) на судах длиной менее 100 м:</w:t>
      </w:r>
    </w:p>
    <w:bookmarkEnd w:id="4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6464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7" w:id="4525"/>
    <w:p>
      <w:pPr>
        <w:spacing w:after="0"/>
        <w:ind w:left="0"/>
        <w:jc w:val="both"/>
      </w:pPr>
      <w:r>
        <w:rPr>
          <w:rFonts w:ascii="Times New Roman"/>
          <w:b w:val="false"/>
          <w:i w:val="false"/>
          <w:color w:val="000000"/>
          <w:sz w:val="28"/>
        </w:rPr>
        <w:t>
      Если две или более панели соединены между собой петлями, каждую из панелей следует рассматривать отдельно.</w:t>
      </w:r>
    </w:p>
    <w:bookmarkEnd w:id="4525"/>
    <w:bookmarkStart w:name="z4528" w:id="4526"/>
    <w:p>
      <w:pPr>
        <w:spacing w:after="0"/>
        <w:ind w:left="0"/>
        <w:jc w:val="both"/>
      </w:pPr>
      <w:r>
        <w:rPr>
          <w:rFonts w:ascii="Times New Roman"/>
          <w:b w:val="false"/>
          <w:i w:val="false"/>
          <w:color w:val="000000"/>
          <w:sz w:val="28"/>
        </w:rPr>
        <w:t xml:space="preserve">
      1353. Нормальные </w:t>
      </w:r>
    </w:p>
    <w:bookmarkEnd w:id="4526"/>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и касательные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напряжения в конструкциях крышек не должны превышать допускаемых значений:</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а = 0,8 R</w:t>
      </w:r>
      <w:r>
        <w:rPr>
          <w:rFonts w:ascii="Times New Roman"/>
          <w:b w:val="false"/>
          <w:i w:val="false"/>
          <w:color w:val="000000"/>
          <w:vertAlign w:val="subscript"/>
        </w:rPr>
        <w:t>eH</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а = 0,46R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eH</w:t>
      </w:r>
      <w:r>
        <w:rPr>
          <w:rFonts w:ascii="Times New Roman"/>
          <w:b w:val="false"/>
          <w:i w:val="false"/>
          <w:color w:val="000000"/>
          <w:sz w:val="28"/>
        </w:rPr>
        <w:t xml:space="preserve"> — верхний предел текучести материала закрытия.</w:t>
      </w:r>
    </w:p>
    <w:bookmarkStart w:name="z4529" w:id="4527"/>
    <w:p>
      <w:pPr>
        <w:spacing w:after="0"/>
        <w:ind w:left="0"/>
        <w:jc w:val="both"/>
      </w:pPr>
      <w:r>
        <w:rPr>
          <w:rFonts w:ascii="Times New Roman"/>
          <w:b w:val="false"/>
          <w:i w:val="false"/>
          <w:color w:val="000000"/>
          <w:sz w:val="28"/>
        </w:rPr>
        <w:t>
      Нормальное напряжение при сжатии присоединенного пояска основных опорных элементов не превышает 0,8 критического напряжения при потере устойчивости конструкции согласно расчетам, приведенным в пунктах 1358 – 1360 настоящих Правил.</w:t>
      </w:r>
    </w:p>
    <w:bookmarkEnd w:id="4527"/>
    <w:bookmarkStart w:name="z4530" w:id="4528"/>
    <w:p>
      <w:pPr>
        <w:spacing w:after="0"/>
        <w:ind w:left="0"/>
        <w:jc w:val="both"/>
      </w:pPr>
      <w:r>
        <w:rPr>
          <w:rFonts w:ascii="Times New Roman"/>
          <w:b w:val="false"/>
          <w:i w:val="false"/>
          <w:color w:val="000000"/>
          <w:sz w:val="28"/>
        </w:rPr>
        <w:t>
      Напряжения, возникающие в крышках, представляющих собой систему перекрытий из продольных и поперечных основных балок, следует определять расчетом перекрытия или методом конечных элементов.</w:t>
      </w:r>
    </w:p>
    <w:bookmarkEnd w:id="4528"/>
    <w:bookmarkStart w:name="z4531" w:id="4529"/>
    <w:p>
      <w:pPr>
        <w:spacing w:after="0"/>
        <w:ind w:left="0"/>
        <w:jc w:val="both"/>
      </w:pPr>
      <w:r>
        <w:rPr>
          <w:rFonts w:ascii="Times New Roman"/>
          <w:b w:val="false"/>
          <w:i w:val="false"/>
          <w:color w:val="000000"/>
          <w:sz w:val="28"/>
        </w:rPr>
        <w:t>
      При расчете балок и перекрытий вспомогательные ребра жесткости не должны учитываться как находящиеся в районе присоединенного пояска основных балок набора.</w:t>
      </w:r>
    </w:p>
    <w:bookmarkEnd w:id="4529"/>
    <w:bookmarkStart w:name="z4532" w:id="4530"/>
    <w:p>
      <w:pPr>
        <w:spacing w:after="0"/>
        <w:ind w:left="0"/>
        <w:jc w:val="both"/>
      </w:pPr>
      <w:r>
        <w:rPr>
          <w:rFonts w:ascii="Times New Roman"/>
          <w:b w:val="false"/>
          <w:i w:val="false"/>
          <w:color w:val="000000"/>
          <w:sz w:val="28"/>
        </w:rPr>
        <w:t xml:space="preserve">
      При расчете напряжений </w:t>
      </w:r>
    </w:p>
    <w:bookmarkEnd w:id="4530"/>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следует использовать нетто размеры (без учета коррозии и износа) элементов конструкции люковых крышек.</w:t>
      </w:r>
      <w:r>
        <w:br/>
      </w:r>
      <w:r>
        <w:rPr>
          <w:rFonts w:ascii="Times New Roman"/>
          <w:b w:val="false"/>
          <w:i w:val="false"/>
          <w:color w:val="000000"/>
          <w:sz w:val="28"/>
        </w:rPr>
        <w:t>
</w:t>
      </w:r>
    </w:p>
    <w:bookmarkStart w:name="z4533" w:id="4531"/>
    <w:p>
      <w:pPr>
        <w:spacing w:after="0"/>
        <w:ind w:left="0"/>
        <w:jc w:val="both"/>
      </w:pPr>
      <w:r>
        <w:rPr>
          <w:rFonts w:ascii="Times New Roman"/>
          <w:b w:val="false"/>
          <w:i w:val="false"/>
          <w:color w:val="000000"/>
          <w:sz w:val="28"/>
        </w:rPr>
        <w:t>
      1354. Эффективная площадь присоединенного пояска А</w:t>
      </w:r>
      <w:r>
        <w:rPr>
          <w:rFonts w:ascii="Times New Roman"/>
          <w:b w:val="false"/>
          <w:i w:val="false"/>
          <w:color w:val="000000"/>
          <w:vertAlign w:val="subscript"/>
        </w:rPr>
        <w:t>F</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применяющаяся при расчетах прочности и устойчивости основных балок или перекрытий, определяется как сумма эффективных площадей присоединенного пояска с каждой стороны стенки балки:</w:t>
      </w:r>
    </w:p>
    <w:bookmarkEnd w:id="4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536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n</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2 — если присоединенный поясок заходит на обе стороны стенки балки;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если присоединенный поясок заходит только на одну сторону стенки балки;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толщина присоединенного пояска, мм;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ef</w:t>
      </w:r>
      <w:r>
        <w:rPr>
          <w:rFonts w:ascii="Times New Roman"/>
          <w:b w:val="false"/>
          <w:i w:val="false"/>
          <w:color w:val="000000"/>
          <w:sz w:val="28"/>
        </w:rPr>
        <w:t xml:space="preserve"> — эффективная ширина, м, присоединенного пояска с каждой стороны стенки балки, принимаемая равной величине b</w:t>
      </w:r>
      <w:r>
        <w:rPr>
          <w:rFonts w:ascii="Times New Roman"/>
          <w:b w:val="false"/>
          <w:i w:val="false"/>
          <w:color w:val="000000"/>
          <w:vertAlign w:val="subscript"/>
        </w:rPr>
        <w:t>р</w:t>
      </w:r>
      <w:r>
        <w:rPr>
          <w:rFonts w:ascii="Times New Roman"/>
          <w:b w:val="false"/>
          <w:i w:val="false"/>
          <w:color w:val="000000"/>
          <w:sz w:val="28"/>
        </w:rPr>
        <w:t>, но не более 0,165</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р</w:t>
      </w:r>
      <w:r>
        <w:rPr>
          <w:rFonts w:ascii="Times New Roman"/>
          <w:b w:val="false"/>
          <w:i w:val="false"/>
          <w:color w:val="000000"/>
          <w:sz w:val="28"/>
        </w:rPr>
        <w:t xml:space="preserve"> — половина расстояния, м, между рассматриваемым основным опорным элементом и следующим таким же;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 между основными балками набора.</w:t>
      </w:r>
    </w:p>
    <w:bookmarkStart w:name="z4534" w:id="4532"/>
    <w:p>
      <w:pPr>
        <w:spacing w:after="0"/>
        <w:ind w:left="0"/>
        <w:jc w:val="both"/>
      </w:pPr>
      <w:r>
        <w:rPr>
          <w:rFonts w:ascii="Times New Roman"/>
          <w:b w:val="false"/>
          <w:i w:val="false"/>
          <w:color w:val="000000"/>
          <w:sz w:val="28"/>
        </w:rPr>
        <w:t xml:space="preserve">
      1355. Толщина нетто </w:t>
      </w:r>
      <w:r>
        <w:rPr>
          <w:rFonts w:ascii="Times New Roman"/>
          <w:b w:val="false"/>
          <w:i/>
          <w:color w:val="000000"/>
          <w:sz w:val="28"/>
        </w:rPr>
        <w:t>t</w:t>
      </w:r>
      <w:r>
        <w:rPr>
          <w:rFonts w:ascii="Times New Roman"/>
          <w:b w:val="false"/>
          <w:i w:val="false"/>
          <w:color w:val="000000"/>
          <w:sz w:val="28"/>
        </w:rPr>
        <w:t>, мм, верхнего листа люковой крышки, не менее:</w:t>
      </w:r>
    </w:p>
    <w:bookmarkEnd w:id="45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9939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p</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xml:space="preserve">
      1,9, если отношение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 в остальных случаях;</w:t>
      </w:r>
    </w:p>
    <w:p>
      <w:pPr>
        <w:spacing w:after="0"/>
        <w:ind w:left="0"/>
        <w:jc w:val="both"/>
      </w:pPr>
      <w:r>
        <w:rPr>
          <w:rFonts w:ascii="Times New Roman"/>
          <w:b w:val="false"/>
          <w:i w:val="false"/>
          <w:color w:val="000000"/>
          <w:sz w:val="28"/>
        </w:rPr>
        <w:t>
      s — расстояние между ребрами жесткости,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давление, кПа, согласно пункту 1352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пункт 1357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пункт 1353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не менее 1 % расстояния между ребрами жесткости или 6 мм в зависимости от того, что больше.</w:t>
      </w:r>
    </w:p>
    <w:bookmarkStart w:name="z4535" w:id="4533"/>
    <w:p>
      <w:pPr>
        <w:spacing w:after="0"/>
        <w:ind w:left="0"/>
        <w:jc w:val="both"/>
      </w:pPr>
      <w:r>
        <w:rPr>
          <w:rFonts w:ascii="Times New Roman"/>
          <w:b w:val="false"/>
          <w:i w:val="false"/>
          <w:color w:val="000000"/>
          <w:sz w:val="28"/>
        </w:rPr>
        <w:t>
      1356. Требуемые минимальные значения момента сопротивления Z, см</w:t>
      </w:r>
      <w:r>
        <w:rPr>
          <w:rFonts w:ascii="Times New Roman"/>
          <w:b w:val="false"/>
          <w:i w:val="false"/>
          <w:color w:val="000000"/>
          <w:vertAlign w:val="superscript"/>
        </w:rPr>
        <w:t>3</w:t>
      </w:r>
      <w:r>
        <w:rPr>
          <w:rFonts w:ascii="Times New Roman"/>
          <w:b w:val="false"/>
          <w:i w:val="false"/>
          <w:color w:val="000000"/>
          <w:sz w:val="28"/>
        </w:rPr>
        <w:t>, вспомогательных ребер жесткости верхних листов крышек на основе толщины нетто элементов ребер определяются по формуле:</w:t>
      </w:r>
    </w:p>
    <w:bookmarkEnd w:id="4533"/>
    <w:p>
      <w:pPr>
        <w:spacing w:after="0"/>
        <w:ind w:left="0"/>
        <w:jc w:val="both"/>
      </w:pPr>
      <w:r>
        <w:rPr>
          <w:rFonts w:ascii="Times New Roman"/>
          <w:b w:val="false"/>
          <w:i w:val="false"/>
          <w:color w:val="000000"/>
          <w:sz w:val="28"/>
        </w:rPr>
        <w:t xml:space="preserve">
      Z = </w:t>
      </w:r>
    </w:p>
    <w:p>
      <w:pPr>
        <w:spacing w:after="0"/>
        <w:ind w:left="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9652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пролет второстепенных ребер жесткости, м, который следует принимать равным расстоянию между основными опорными балками или расстоянию между основной опорной балкой и торцевой опорой, в зависимости от того, что применимо. Если по обоим концам пролета второстепенных ребер жесткости устанавливаются кницы, пролет возможно уменьшить на величину, равную 2/3 минимального катета кницы, но не более 10 % наибольшей длины пролета;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расстояние между второстепенными ребрами жесткости,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давление, кПа, согласно пункту 1352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пункт 1353 настоящих Правил.</w:t>
      </w:r>
      <w:r>
        <w:br/>
      </w:r>
      <w:r>
        <w:rPr>
          <w:rFonts w:ascii="Times New Roman"/>
          <w:b w:val="false"/>
          <w:i w:val="false"/>
          <w:color w:val="000000"/>
          <w:sz w:val="28"/>
        </w:rPr>
        <w:t>
</w:t>
      </w:r>
    </w:p>
    <w:bookmarkStart w:name="z4536" w:id="4534"/>
    <w:p>
      <w:pPr>
        <w:spacing w:after="0"/>
        <w:ind w:left="0"/>
        <w:jc w:val="both"/>
      </w:pPr>
      <w:r>
        <w:rPr>
          <w:rFonts w:ascii="Times New Roman"/>
          <w:b w:val="false"/>
          <w:i w:val="false"/>
          <w:color w:val="000000"/>
          <w:sz w:val="28"/>
        </w:rPr>
        <w:t>
      Величину момента сопротивления второстепенных ребер жесткости следует определять, исходя из ширины присоединенного пояска, которую следует принимать равной расстоянию между ребрами жесткости.</w:t>
      </w:r>
    </w:p>
    <w:bookmarkEnd w:id="4534"/>
    <w:bookmarkStart w:name="z4537" w:id="4535"/>
    <w:p>
      <w:pPr>
        <w:spacing w:after="0"/>
        <w:ind w:left="0"/>
        <w:jc w:val="both"/>
      </w:pPr>
      <w:r>
        <w:rPr>
          <w:rFonts w:ascii="Times New Roman"/>
          <w:b w:val="false"/>
          <w:i w:val="false"/>
          <w:color w:val="000000"/>
          <w:sz w:val="28"/>
        </w:rPr>
        <w:t xml:space="preserve">
      1357. Величина момента сопротивления и толщина стенки основных опорных балок, основанные на толщине нетто элементов, таковы, чтобы нормальные напряжения </w:t>
      </w:r>
    </w:p>
    <w:bookmarkEnd w:id="4535"/>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обоих поясках и касательные напряжения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стенки не превышали, соответственно, допускаемых значений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и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определяемых согласно пункту 1353 настоящих Правил.</w:t>
      </w:r>
      <w:r>
        <w:br/>
      </w:r>
      <w:r>
        <w:rPr>
          <w:rFonts w:ascii="Times New Roman"/>
          <w:b w:val="false"/>
          <w:i w:val="false"/>
          <w:color w:val="000000"/>
          <w:sz w:val="28"/>
        </w:rPr>
        <w:t>
</w:t>
      </w:r>
    </w:p>
    <w:bookmarkStart w:name="z4539" w:id="4536"/>
    <w:p>
      <w:pPr>
        <w:spacing w:after="0"/>
        <w:ind w:left="0"/>
        <w:jc w:val="both"/>
      </w:pPr>
      <w:r>
        <w:rPr>
          <w:rFonts w:ascii="Times New Roman"/>
          <w:b w:val="false"/>
          <w:i w:val="false"/>
          <w:color w:val="000000"/>
          <w:sz w:val="28"/>
        </w:rPr>
        <w:t>
      Для неподкрепленных с боков основных опорных балок с пролетом более 3,0 м ширина свободного пояска составляет не менее 40 % высоты балки. Бракеты, подкрепляющие основные опорные балки с боков, можно считать боковыми опорами основных опорных балок.</w:t>
      </w:r>
    </w:p>
    <w:bookmarkEnd w:id="4536"/>
    <w:bookmarkStart w:name="z4540" w:id="4537"/>
    <w:p>
      <w:pPr>
        <w:spacing w:after="0"/>
        <w:ind w:left="0"/>
        <w:jc w:val="both"/>
      </w:pPr>
      <w:r>
        <w:rPr>
          <w:rFonts w:ascii="Times New Roman"/>
          <w:b w:val="false"/>
          <w:i w:val="false"/>
          <w:color w:val="000000"/>
          <w:sz w:val="28"/>
        </w:rPr>
        <w:t>
      Ширина свободного пояска основной опорной балки, измеренная от ее стенки, не должна превышать ее 15-кратной толщины.</w:t>
      </w:r>
    </w:p>
    <w:bookmarkEnd w:id="4537"/>
    <w:bookmarkStart w:name="z4541" w:id="4538"/>
    <w:p>
      <w:pPr>
        <w:spacing w:after="0"/>
        <w:ind w:left="0"/>
        <w:jc w:val="both"/>
      </w:pPr>
      <w:r>
        <w:rPr>
          <w:rFonts w:ascii="Times New Roman"/>
          <w:b w:val="false"/>
          <w:i w:val="false"/>
          <w:color w:val="000000"/>
          <w:sz w:val="28"/>
        </w:rPr>
        <w:t xml:space="preserve">
      1358. Напряжение сжатия </w:t>
      </w:r>
    </w:p>
    <w:bookmarkEnd w:id="4538"/>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возникающее в листах люковых крышек вследствие изгиба основных опорных балок в направлении, параллельном направлению установки вспомогательных ребер жесткости, не превышает 0,8 критического напряжения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C1</w:t>
      </w:r>
      <w:r>
        <w:rPr>
          <w:rFonts w:ascii="Times New Roman"/>
          <w:b w:val="false"/>
          <w:i w:val="false"/>
          <w:color w:val="000000"/>
          <w:sz w:val="28"/>
        </w:rPr>
        <w:t xml:space="preserve"> определяемого следующим образом:</w:t>
      </w:r>
      <w:r>
        <w:br/>
      </w:r>
      <w:r>
        <w:rPr>
          <w:rFonts w:ascii="Times New Roman"/>
          <w:b w:val="false"/>
          <w:i w:val="false"/>
          <w:color w:val="000000"/>
          <w:sz w:val="28"/>
        </w:rPr>
        <w:t>
</w:t>
      </w: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—минимальное значение верхнего предела текучести материала, H/мм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E1</w:t>
      </w:r>
      <w:r>
        <w:rPr>
          <w:rFonts w:ascii="Times New Roman"/>
          <w:b w:val="false"/>
          <w:i w:val="false"/>
          <w:color w:val="000000"/>
          <w:sz w:val="28"/>
        </w:rPr>
        <w:t>= 3,6Е</w:t>
      </w:r>
    </w:p>
    <w:p>
      <w:pPr>
        <w:spacing w:after="0"/>
        <w:ind w:left="0"/>
        <w:jc w:val="both"/>
      </w:pPr>
      <w:r>
        <w:drawing>
          <wp:inline distT="0" distB="0" distL="0" distR="0">
            <wp:extent cx="97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977900" cy="622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 модуль упругости, Н/мм</w:t>
      </w:r>
      <w:r>
        <w:rPr>
          <w:rFonts w:ascii="Times New Roman"/>
          <w:b w:val="false"/>
          <w:i w:val="false"/>
          <w:color w:val="000000"/>
          <w:vertAlign w:val="superscript"/>
        </w:rPr>
        <w:t>2</w:t>
      </w:r>
      <w:r>
        <w:rPr>
          <w:rFonts w:ascii="Times New Roman"/>
          <w:b w:val="false"/>
          <w:i w:val="false"/>
          <w:color w:val="000000"/>
          <w:sz w:val="28"/>
        </w:rPr>
        <w:t>. Для стали Е принимается равным 2,06-10</w:t>
      </w:r>
      <w:r>
        <w:rPr>
          <w:rFonts w:ascii="Times New Roman"/>
          <w:b w:val="false"/>
          <w:i w:val="false"/>
          <w:color w:val="000000"/>
          <w:vertAlign w:val="super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толщина нетто листа панели,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расстояние между вспомогательными ребрами жесткости, м.</w:t>
      </w:r>
    </w:p>
    <w:bookmarkStart w:name="z4542" w:id="4539"/>
    <w:p>
      <w:pPr>
        <w:spacing w:after="0"/>
        <w:ind w:left="0"/>
        <w:jc w:val="both"/>
      </w:pPr>
      <w:r>
        <w:rPr>
          <w:rFonts w:ascii="Times New Roman"/>
          <w:b w:val="false"/>
          <w:i w:val="false"/>
          <w:color w:val="000000"/>
          <w:sz w:val="28"/>
        </w:rPr>
        <w:t xml:space="preserve">
      Среднее значение напряжения сжатия у для каждого из листов панели крышек, возникающее вследствие изгиба основных опорных элементов в направлении, перпендикулярном направлению установки вспомогательных ребер жесткости, не превышает 0,8 значения критического напряжения </w:t>
      </w:r>
    </w:p>
    <w:bookmarkEnd w:id="4539"/>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С2</w:t>
      </w:r>
      <w:r>
        <w:rPr>
          <w:rFonts w:ascii="Times New Roman"/>
          <w:b w:val="false"/>
          <w:i w:val="false"/>
          <w:color w:val="000000"/>
          <w:sz w:val="28"/>
        </w:rPr>
        <w:t>, которое следует определять, как указано ниже:</w:t>
      </w:r>
      <w:r>
        <w:br/>
      </w:r>
      <w:r>
        <w:rPr>
          <w:rFonts w:ascii="Times New Roman"/>
          <w:b w:val="false"/>
          <w:i w:val="false"/>
          <w:color w:val="000000"/>
          <w:sz w:val="28"/>
        </w:rPr>
        <w:t>
</w:t>
      </w: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—минимальное значение верхнего предела текучести материала, H/мм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 модуль упругости, Н/мм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толщина нетто листа панели,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s</w:t>
      </w:r>
      <w:r>
        <w:rPr>
          <w:rFonts w:ascii="Times New Roman"/>
          <w:b w:val="false"/>
          <w:i w:val="false"/>
          <w:color w:val="000000"/>
          <w:sz w:val="28"/>
        </w:rPr>
        <w:t xml:space="preserve"> — длина короткой стороны панели,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длина длинной стороны панели,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между наименьшим и наибольшим напряжением на сжатие;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коэффициент, равный:</w:t>
      </w:r>
    </w:p>
    <w:p>
      <w:pPr>
        <w:spacing w:after="0"/>
        <w:ind w:left="0"/>
        <w:jc w:val="both"/>
      </w:pPr>
      <w:r>
        <w:rPr>
          <w:rFonts w:ascii="Times New Roman"/>
          <w:b w:val="false"/>
          <w:i w:val="false"/>
          <w:color w:val="000000"/>
          <w:sz w:val="28"/>
        </w:rPr>
        <w:t>
      1,3 — если листы подкреплены основными опорными балками;</w:t>
      </w:r>
    </w:p>
    <w:p>
      <w:pPr>
        <w:spacing w:after="0"/>
        <w:ind w:left="0"/>
        <w:jc w:val="both"/>
      </w:pPr>
      <w:r>
        <w:rPr>
          <w:rFonts w:ascii="Times New Roman"/>
          <w:b w:val="false"/>
          <w:i w:val="false"/>
          <w:color w:val="000000"/>
          <w:sz w:val="28"/>
        </w:rPr>
        <w:t>
      1,21 —если листы подкреплены вспомогательными ребрами жесткости уголкового или таврового типа;</w:t>
      </w:r>
    </w:p>
    <w:p>
      <w:pPr>
        <w:spacing w:after="0"/>
        <w:ind w:left="0"/>
        <w:jc w:val="both"/>
      </w:pPr>
      <w:r>
        <w:rPr>
          <w:rFonts w:ascii="Times New Roman"/>
          <w:b w:val="false"/>
          <w:i w:val="false"/>
          <w:color w:val="000000"/>
          <w:sz w:val="28"/>
        </w:rPr>
        <w:t>
      1,1 — если листы подкреплены вспомогательными ребрами жесткости полособульбового типа;</w:t>
      </w:r>
    </w:p>
    <w:p>
      <w:pPr>
        <w:spacing w:after="0"/>
        <w:ind w:left="0"/>
        <w:jc w:val="both"/>
      </w:pPr>
      <w:r>
        <w:rPr>
          <w:rFonts w:ascii="Times New Roman"/>
          <w:b w:val="false"/>
          <w:i w:val="false"/>
          <w:color w:val="000000"/>
          <w:sz w:val="28"/>
        </w:rPr>
        <w:t>
      1,05 — если листы подкреплены полосой.</w:t>
      </w:r>
    </w:p>
    <w:bookmarkStart w:name="z4543" w:id="4540"/>
    <w:p>
      <w:pPr>
        <w:spacing w:after="0"/>
        <w:ind w:left="0"/>
        <w:jc w:val="both"/>
      </w:pPr>
      <w:r>
        <w:rPr>
          <w:rFonts w:ascii="Times New Roman"/>
          <w:b w:val="false"/>
          <w:i w:val="false"/>
          <w:color w:val="000000"/>
          <w:sz w:val="28"/>
        </w:rPr>
        <w:t xml:space="preserve">
      1359. Напряжение сжатия в верхних фланцах второстепенных ребер жесткости, возникающее вследствие изгиба основных опорных элементов в направлении, параллельном направлению установки второстепенных ребер жесткости, не превышает 0,8 значения критического напряжения </w:t>
      </w:r>
    </w:p>
    <w:bookmarkEnd w:id="4540"/>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CS</w:t>
      </w:r>
      <w:r>
        <w:rPr>
          <w:rFonts w:ascii="Times New Roman"/>
          <w:b w:val="false"/>
          <w:i w:val="false"/>
          <w:color w:val="000000"/>
          <w:sz w:val="28"/>
        </w:rPr>
        <w:t>, которое следует определять, как указано ниже:</w:t>
      </w:r>
      <w:r>
        <w:br/>
      </w:r>
      <w:r>
        <w:rPr>
          <w:rFonts w:ascii="Times New Roman"/>
          <w:b w:val="false"/>
          <w:i w:val="false"/>
          <w:color w:val="000000"/>
          <w:sz w:val="28"/>
        </w:rPr>
        <w:t>
</w:t>
      </w:r>
      <w:r>
        <w:br/>
      </w:r>
    </w:p>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—минимальное значение верхнего предела текучести материала, Н/мм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ЕS</w:t>
      </w:r>
      <w:r>
        <w:rPr>
          <w:rFonts w:ascii="Times New Roman"/>
          <w:b w:val="false"/>
          <w:i w:val="false"/>
          <w:color w:val="000000"/>
          <w:sz w:val="28"/>
        </w:rPr>
        <w:t xml:space="preserve"> — продольное изгибающие напряжение, Н/мм, принимаемое как меньшее из значений между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Е3</w:t>
      </w:r>
      <w:r>
        <w:rPr>
          <w:rFonts w:ascii="Times New Roman"/>
          <w:b w:val="false"/>
          <w:i w:val="false"/>
          <w:color w:val="000000"/>
          <w:sz w:val="28"/>
        </w:rPr>
        <w:t xml:space="preserve"> и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Е4</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Е3</w:t>
      </w:r>
      <w:r>
        <w:rPr>
          <w:rFonts w:ascii="Times New Roman"/>
          <w:b w:val="false"/>
          <w:i w:val="false"/>
          <w:color w:val="000000"/>
          <w:sz w:val="28"/>
        </w:rPr>
        <w:t xml:space="preserve">= </w:t>
      </w:r>
    </w:p>
    <w:p>
      <w:pPr>
        <w:spacing w:after="0"/>
        <w:ind w:left="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850900" cy="584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 модуль упругости, Н/мм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а</w:t>
      </w:r>
      <w:r>
        <w:rPr>
          <w:rFonts w:ascii="Times New Roman"/>
          <w:b w:val="false"/>
          <w:i w:val="false"/>
          <w:color w:val="000000"/>
          <w:sz w:val="28"/>
        </w:rPr>
        <w:t xml:space="preserve"> — момент инерции, см</w:t>
      </w:r>
      <w:r>
        <w:rPr>
          <w:rFonts w:ascii="Times New Roman"/>
          <w:b w:val="false"/>
          <w:i w:val="false"/>
          <w:color w:val="000000"/>
          <w:vertAlign w:val="superscript"/>
        </w:rPr>
        <w:t>4</w:t>
      </w:r>
      <w:r>
        <w:rPr>
          <w:rFonts w:ascii="Times New Roman"/>
          <w:b w:val="false"/>
          <w:i w:val="false"/>
          <w:color w:val="000000"/>
          <w:sz w:val="28"/>
        </w:rPr>
        <w:t>, вспомогательного ребра жесткости, включая присоединенный поясок, равный расстоянию между вспомогательными ребрами жесткости;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площадь поперечного сечения, см</w:t>
      </w:r>
      <w:r>
        <w:rPr>
          <w:rFonts w:ascii="Times New Roman"/>
          <w:b w:val="false"/>
          <w:i w:val="false"/>
          <w:color w:val="000000"/>
          <w:vertAlign w:val="superscript"/>
        </w:rPr>
        <w:t>2</w:t>
      </w:r>
      <w:r>
        <w:rPr>
          <w:rFonts w:ascii="Times New Roman"/>
          <w:b w:val="false"/>
          <w:i w:val="false"/>
          <w:color w:val="000000"/>
          <w:sz w:val="28"/>
        </w:rPr>
        <w:t>, второстепенного ребра жесткости, включая присоединенный поясок;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—пролет, м, второстепенного ребра жесткости;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Е4</w:t>
      </w:r>
      <w:r>
        <w:rPr>
          <w:rFonts w:ascii="Times New Roman"/>
          <w:b w:val="false"/>
          <w:i w:val="false"/>
          <w:color w:val="000000"/>
          <w:sz w:val="28"/>
        </w:rPr>
        <w:t xml:space="preserve"> = </w:t>
      </w:r>
    </w:p>
    <w:p>
      <w:pPr>
        <w:spacing w:after="0"/>
        <w:ind w:left="0"/>
        <w:jc w:val="both"/>
      </w:pPr>
      <w:r>
        <w:drawing>
          <wp:inline distT="0" distB="0" distL="0" distR="0">
            <wp:extent cx="3048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3048000" cy="698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w:t>
      </w:r>
    </w:p>
    <w:p>
      <w:pPr>
        <w:spacing w:after="0"/>
        <w:ind w:left="0"/>
        <w:jc w:val="both"/>
      </w:pPr>
      <w:r>
        <w:drawing>
          <wp:inline distT="0" distB="0" distL="0" distR="0">
            <wp:extent cx="111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1117600" cy="711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число полуволн, определяемое из приложения 181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sz w:val="28"/>
        </w:rPr>
        <w:t xml:space="preserve"> - секториальный момент инерции, см</w:t>
      </w:r>
      <w:r>
        <w:rPr>
          <w:rFonts w:ascii="Times New Roman"/>
          <w:b w:val="false"/>
          <w:i w:val="false"/>
          <w:color w:val="000000"/>
          <w:vertAlign w:val="superscript"/>
        </w:rPr>
        <w:t>6</w:t>
      </w:r>
      <w:r>
        <w:rPr>
          <w:rFonts w:ascii="Times New Roman"/>
          <w:b w:val="false"/>
          <w:i w:val="false"/>
          <w:color w:val="000000"/>
          <w:sz w:val="28"/>
        </w:rPr>
        <w:t>, вспомогательных ребер жесткости относительно их соединения с листами обшивки;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1092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1092200" cy="647700"/>
                    </a:xfrm>
                    <a:prstGeom prst="rect">
                      <a:avLst/>
                    </a:prstGeom>
                  </pic:spPr>
                </pic:pic>
              </a:graphicData>
            </a:graphic>
          </wp:inline>
        </w:drawing>
      </w:r>
    </w:p>
    <w:p>
      <w:pPr>
        <w:spacing w:after="0"/>
        <w:ind w:left="0"/>
        <w:jc w:val="left"/>
      </w:pPr>
      <w:r>
        <w:rPr>
          <w:rFonts w:ascii="Times New Roman"/>
          <w:b w:val="false"/>
          <w:i w:val="false"/>
          <w:color w:val="000000"/>
          <w:sz w:val="28"/>
        </w:rPr>
        <w:t>, для вспомогательных ребер жесткости, состоящих из полосы;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129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1295400" cy="660400"/>
                    </a:xfrm>
                    <a:prstGeom prst="rect">
                      <a:avLst/>
                    </a:prstGeom>
                  </pic:spPr>
                </pic:pic>
              </a:graphicData>
            </a:graphic>
          </wp:inline>
        </w:drawing>
      </w:r>
    </w:p>
    <w:p>
      <w:pPr>
        <w:spacing w:after="0"/>
        <w:ind w:left="0"/>
        <w:jc w:val="left"/>
      </w:pPr>
      <w:r>
        <w:rPr>
          <w:rFonts w:ascii="Times New Roman"/>
          <w:b w:val="false"/>
          <w:i w:val="false"/>
          <w:color w:val="000000"/>
          <w:sz w:val="28"/>
        </w:rPr>
        <w:t>— для тавровых вспомогательных ребер жесткости;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455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4559300" cy="685800"/>
                    </a:xfrm>
                    <a:prstGeom prst="rect">
                      <a:avLst/>
                    </a:prstGeom>
                  </pic:spPr>
                </pic:pic>
              </a:graphicData>
            </a:graphic>
          </wp:inline>
        </w:drawing>
      </w:r>
    </w:p>
    <w:p>
      <w:pPr>
        <w:spacing w:after="0"/>
        <w:ind w:left="0"/>
        <w:jc w:val="left"/>
      </w:pPr>
      <w:r>
        <w:rPr>
          <w:rFonts w:ascii="Times New Roman"/>
          <w:b w:val="false"/>
          <w:i w:val="false"/>
          <w:color w:val="000000"/>
          <w:sz w:val="28"/>
        </w:rPr>
        <w:t>— для угловых и полособульбовых вспомогательных ребер жесткости;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p</w:t>
      </w:r>
      <w:r>
        <w:rPr>
          <w:rFonts w:ascii="Times New Roman"/>
          <w:b w:val="false"/>
          <w:i w:val="false"/>
          <w:color w:val="000000"/>
          <w:sz w:val="28"/>
        </w:rPr>
        <w:t xml:space="preserve"> — полярный момент инерции, см</w:t>
      </w:r>
      <w:r>
        <w:rPr>
          <w:rFonts w:ascii="Times New Roman"/>
          <w:b w:val="false"/>
          <w:i w:val="false"/>
          <w:color w:val="000000"/>
          <w:vertAlign w:val="superscript"/>
        </w:rPr>
        <w:t>4</w:t>
      </w:r>
      <w:r>
        <w:rPr>
          <w:rFonts w:ascii="Times New Roman"/>
          <w:b w:val="false"/>
          <w:i w:val="false"/>
          <w:color w:val="000000"/>
          <w:sz w:val="28"/>
        </w:rPr>
        <w:t>, для вспомогательных ребер жесткости относительно листа облицовки;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939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939800" cy="571500"/>
                    </a:xfrm>
                    <a:prstGeom prst="rect">
                      <a:avLst/>
                    </a:prstGeom>
                  </pic:spPr>
                </pic:pic>
              </a:graphicData>
            </a:graphic>
          </wp:inline>
        </w:drawing>
      </w:r>
    </w:p>
    <w:p>
      <w:pPr>
        <w:spacing w:after="0"/>
        <w:ind w:left="0"/>
        <w:jc w:val="left"/>
      </w:pPr>
      <w:r>
        <w:rPr>
          <w:rFonts w:ascii="Times New Roman"/>
          <w:b w:val="false"/>
          <w:i w:val="false"/>
          <w:color w:val="000000"/>
          <w:sz w:val="28"/>
        </w:rPr>
        <w:t>— для вспомогательных ребер жесткости, состоящих из полосы;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1917700" cy="558800"/>
                    </a:xfrm>
                    <a:prstGeom prst="rect">
                      <a:avLst/>
                    </a:prstGeom>
                  </pic:spPr>
                </pic:pic>
              </a:graphicData>
            </a:graphic>
          </wp:inline>
        </w:drawing>
      </w:r>
    </w:p>
    <w:p>
      <w:pPr>
        <w:spacing w:after="0"/>
        <w:ind w:left="0"/>
        <w:jc w:val="left"/>
      </w:pPr>
      <w:r>
        <w:rPr>
          <w:rFonts w:ascii="Times New Roman"/>
          <w:b w:val="false"/>
          <w:i w:val="false"/>
          <w:color w:val="000000"/>
          <w:sz w:val="28"/>
        </w:rPr>
        <w:t>—для вспомогательных ребер жесткости, имеющих фланец;</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момент инерции, см</w:t>
      </w:r>
      <w:r>
        <w:rPr>
          <w:rFonts w:ascii="Times New Roman"/>
          <w:b w:val="false"/>
          <w:i w:val="false"/>
          <w:color w:val="000000"/>
          <w:vertAlign w:val="superscript"/>
        </w:rPr>
        <w:t>4</w:t>
      </w:r>
      <w:r>
        <w:rPr>
          <w:rFonts w:ascii="Times New Roman"/>
          <w:b w:val="false"/>
          <w:i w:val="false"/>
          <w:color w:val="000000"/>
          <w:sz w:val="28"/>
        </w:rPr>
        <w:t>, вспомогательных ребер жесткости без учета присоединенного пояска;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w:t>
      </w:r>
    </w:p>
    <w:p>
      <w:pPr>
        <w:spacing w:after="0"/>
        <w:ind w:left="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965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вспомогательных ребер жесткости, состоящих из полосы;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w:t>
      </w:r>
    </w:p>
    <w:p>
      <w:pPr>
        <w:spacing w:after="0"/>
        <w:ind w:left="0"/>
        <w:jc w:val="both"/>
      </w:pPr>
      <w:r>
        <w:drawing>
          <wp:inline distT="0" distB="0" distL="0" distR="0">
            <wp:extent cx="2921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29210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вспомогательных ребер жесткости, имеющих фланец;</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w</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vertAlign w:val="subscript"/>
        </w:rPr>
        <w:t>w</w:t>
      </w:r>
      <w:r>
        <w:rPr>
          <w:rFonts w:ascii="Times New Roman"/>
          <w:b w:val="false"/>
          <w:i w:val="false"/>
          <w:color w:val="000000"/>
          <w:sz w:val="28"/>
        </w:rPr>
        <w:t xml:space="preserve"> — величины, соответственно, высоты и толщины нетто, мм, вспомогательных ребер жесткости;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f</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f</w:t>
      </w:r>
      <w:r>
        <w:rPr>
          <w:rFonts w:ascii="Times New Roman"/>
          <w:b w:val="false"/>
          <w:i w:val="false"/>
          <w:color w:val="000000"/>
          <w:sz w:val="28"/>
        </w:rPr>
        <w:t xml:space="preserve"> — соответственно, ширина и толщина нетто, мм, свободного пояска вспомогательных ребер жесткости;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расстояние, м, между вспомогательными ребрами жесткости;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27051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p</w:t>
      </w:r>
      <w:r>
        <w:rPr>
          <w:rFonts w:ascii="Times New Roman"/>
          <w:b w:val="false"/>
          <w:i w:val="false"/>
          <w:color w:val="000000"/>
          <w:sz w:val="28"/>
        </w:rPr>
        <w:t>= 1-</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xml:space="preserve">, но не менее нуля. Для вспомогательных ребер жесткости, имеющих фланцы,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следует принимать равным не менее 0,1;</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xml:space="preserve"> = </w:t>
      </w:r>
    </w:p>
    <w:p>
      <w:pPr>
        <w:spacing w:after="0"/>
        <w:ind w:left="0"/>
        <w:jc w:val="both"/>
      </w:pPr>
      <w:r>
        <w:drawing>
          <wp:inline distT="0" distB="0" distL="0" distR="0">
            <wp:extent cx="43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431800" cy="660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sz w:val="28"/>
        </w:rPr>
        <w:t>— пункт 1357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Е1</w:t>
      </w:r>
      <w:r>
        <w:rPr>
          <w:rFonts w:ascii="Times New Roman"/>
          <w:b w:val="false"/>
          <w:i w:val="false"/>
          <w:color w:val="000000"/>
          <w:sz w:val="28"/>
        </w:rPr>
        <w:t>, — пункт 1358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sz w:val="28"/>
        </w:rPr>
        <w:t xml:space="preserve"> — толщина нетто, мм, настила люковой крышки.</w:t>
      </w:r>
    </w:p>
    <w:bookmarkStart w:name="z4544" w:id="4541"/>
    <w:p>
      <w:pPr>
        <w:spacing w:after="0"/>
        <w:ind w:left="0"/>
        <w:jc w:val="both"/>
      </w:pPr>
      <w:r>
        <w:rPr>
          <w:rFonts w:ascii="Times New Roman"/>
          <w:b w:val="false"/>
          <w:i w:val="false"/>
          <w:color w:val="000000"/>
          <w:sz w:val="28"/>
        </w:rPr>
        <w:t xml:space="preserve">
      Для вспомогательных ребер жесткости, представляющих собой полосу, и ребер жесткости, подвергающихся продольному изгибу, соотношение </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vertAlign w:val="subscript"/>
        </w:rPr>
        <w:t>w</w:t>
      </w:r>
      <w:r>
        <w:rPr>
          <w:rFonts w:ascii="Times New Roman"/>
          <w:b w:val="false"/>
          <w:i w:val="false"/>
          <w:color w:val="000000"/>
          <w:sz w:val="28"/>
        </w:rPr>
        <w:t xml:space="preserve"> не составляет более </w:t>
      </w:r>
      <w:r>
        <w:rPr>
          <w:rFonts w:ascii="Times New Roman"/>
          <w:b w:val="false"/>
          <w:i/>
          <w:color w:val="000000"/>
          <w:sz w:val="28"/>
        </w:rPr>
        <w:t>15k</w:t>
      </w:r>
      <w:r>
        <w:rPr>
          <w:rFonts w:ascii="Times New Roman"/>
          <w:b w:val="false"/>
          <w:i w:val="false"/>
          <w:color w:val="000000"/>
          <w:vertAlign w:val="superscript"/>
        </w:rPr>
        <w:t>0,5</w:t>
      </w:r>
      <w:r>
        <w:rPr>
          <w:rFonts w:ascii="Times New Roman"/>
          <w:b w:val="false"/>
          <w:i w:val="false"/>
          <w:color w:val="000000"/>
          <w:sz w:val="28"/>
        </w:rPr>
        <w:t>,</w:t>
      </w:r>
    </w:p>
    <w:bookmarkEnd w:id="4541"/>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w</w:t>
      </w:r>
      <w:r>
        <w:rPr>
          <w:rFonts w:ascii="Times New Roman"/>
          <w:b w:val="false"/>
          <w:i w:val="false"/>
          <w:color w:val="000000"/>
          <w:sz w:val="28"/>
        </w:rPr>
        <w:t xml:space="preserve"> — соответственно, высота и толщина нетто ребра жесткости;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235/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минимальное значение верхнего предела текучести материала, Н/мм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4545" w:id="4542"/>
    <w:p>
      <w:pPr>
        <w:spacing w:after="0"/>
        <w:ind w:left="0"/>
        <w:jc w:val="both"/>
      </w:pPr>
      <w:r>
        <w:rPr>
          <w:rFonts w:ascii="Times New Roman"/>
          <w:b w:val="false"/>
          <w:i w:val="false"/>
          <w:color w:val="000000"/>
          <w:sz w:val="28"/>
        </w:rPr>
        <w:t xml:space="preserve">
      1360. Касательное напряжение </w:t>
      </w:r>
    </w:p>
    <w:bookmarkEnd w:id="4542"/>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в стенке основных опорных балок люковых крышек не превышает 0,8 критического напряжения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определяемого следующим образом:</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если,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330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330200" cy="660400"/>
                    </a:xfrm>
                    <a:prstGeom prst="rect">
                      <a:avLst/>
                    </a:prstGeom>
                  </pic:spPr>
                </pic:pic>
              </a:graphicData>
            </a:graphic>
          </wp:inline>
        </w:drawing>
      </w:r>
    </w:p>
    <w:p>
      <w:pPr>
        <w:spacing w:after="0"/>
        <w:ind w:left="0"/>
        <w:jc w:val="left"/>
      </w:pPr>
      <w:r>
        <w:rPr>
          <w:rFonts w:ascii="Times New Roman"/>
          <w:b w:val="false"/>
          <w:i w:val="false"/>
          <w:color w:val="000000"/>
          <w:sz w:val="28"/>
        </w:rPr>
        <w:t>;                      (584)</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[1 -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/(4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если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&gt; </w:t>
      </w:r>
    </w:p>
    <w:p>
      <w:pPr>
        <w:spacing w:after="0"/>
        <w:ind w:left="0"/>
        <w:jc w:val="both"/>
      </w:pPr>
      <w:r>
        <w:drawing>
          <wp:inline distT="0" distB="0" distL="0" distR="0">
            <wp:extent cx="419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419100" cy="673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минимальное значение, Н/мм</w:t>
      </w:r>
      <w:r>
        <w:rPr>
          <w:rFonts w:ascii="Times New Roman"/>
          <w:b w:val="false"/>
          <w:i w:val="false"/>
          <w:color w:val="000000"/>
          <w:vertAlign w:val="superscript"/>
        </w:rPr>
        <w:t>2</w:t>
      </w:r>
      <w:r>
        <w:rPr>
          <w:rFonts w:ascii="Times New Roman"/>
          <w:b w:val="false"/>
          <w:i w:val="false"/>
          <w:color w:val="000000"/>
          <w:sz w:val="28"/>
        </w:rPr>
        <w:t>, верхнего предела текучести материала;</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0,9</w:t>
      </w:r>
    </w:p>
    <w:p>
      <w:pPr>
        <w:spacing w:after="0"/>
        <w:ind w:left="0"/>
        <w:jc w:val="both"/>
      </w:pPr>
      <w:r>
        <w:drawing>
          <wp:inline distT="0" distB="0" distL="0" distR="0">
            <wp:extent cx="1308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1308100" cy="736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 модуль упругости, Н/мм</w:t>
      </w:r>
      <w:r>
        <w:rPr>
          <w:rFonts w:ascii="Times New Roman"/>
          <w:b w:val="false"/>
          <w:i w:val="false"/>
          <w:color w:val="000000"/>
          <w:vertAlign w:val="superscript"/>
        </w:rPr>
        <w:t>2</w:t>
      </w:r>
      <w:r>
        <w:rPr>
          <w:rFonts w:ascii="Times New Roman"/>
          <w:b w:val="false"/>
          <w:i w:val="false"/>
          <w:color w:val="000000"/>
          <w:sz w:val="28"/>
        </w:rPr>
        <w:t>. Для стали Е принимается равным 2,06-105;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рr</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толщина нетто, мм, основных опорных балок;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t</w:t>
      </w:r>
      <w:r>
        <w:rPr>
          <w:rFonts w:ascii="Times New Roman"/>
          <w:b w:val="false"/>
          <w:i w:val="false"/>
          <w:color w:val="000000"/>
          <w:sz w:val="28"/>
        </w:rPr>
        <w:t>= 5,35+4,0/(а/d)</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больший размер, м, стенки основной опорной балки;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меньший размер, м, стенки основной опорной балки.</w:t>
      </w:r>
    </w:p>
    <w:bookmarkStart w:name="z4546" w:id="4543"/>
    <w:p>
      <w:pPr>
        <w:spacing w:after="0"/>
        <w:ind w:left="0"/>
        <w:jc w:val="both"/>
      </w:pPr>
      <w:r>
        <w:rPr>
          <w:rFonts w:ascii="Times New Roman"/>
          <w:b w:val="false"/>
          <w:i w:val="false"/>
          <w:color w:val="000000"/>
          <w:sz w:val="28"/>
        </w:rPr>
        <w:t xml:space="preserve">
      При определении напряжения </w:t>
      </w:r>
    </w:p>
    <w:bookmarkEnd w:id="4543"/>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для основных опорных балок, расположенных перпендикулярно направлению установки второстепенных ребер жесткости, или для основных балок люковых крышек, изготовленных без вспомогательных ребер жесткости, следует рассматривать квадратную пластину с размером </w:t>
      </w:r>
      <w:r>
        <w:rPr>
          <w:rFonts w:ascii="Times New Roman"/>
          <w:b w:val="false"/>
          <w:i/>
          <w:color w:val="000000"/>
          <w:sz w:val="28"/>
        </w:rPr>
        <w:t>d</w:t>
      </w:r>
      <w:r>
        <w:rPr>
          <w:rFonts w:ascii="Times New Roman"/>
          <w:b w:val="false"/>
          <w:i w:val="false"/>
          <w:color w:val="000000"/>
          <w:sz w:val="28"/>
        </w:rPr>
        <w:t xml:space="preserve">. В этом случае напряжение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определяется как среднее значение срезывающего напряжения между значениями, определенными на концах такой пластины.</w:t>
      </w:r>
      <w:r>
        <w:br/>
      </w:r>
      <w:r>
        <w:rPr>
          <w:rFonts w:ascii="Times New Roman"/>
          <w:b w:val="false"/>
          <w:i w:val="false"/>
          <w:color w:val="000000"/>
          <w:sz w:val="28"/>
        </w:rPr>
        <w:t>
</w:t>
      </w:r>
    </w:p>
    <w:bookmarkStart w:name="z4547" w:id="4544"/>
    <w:p>
      <w:pPr>
        <w:spacing w:after="0"/>
        <w:ind w:left="0"/>
        <w:jc w:val="both"/>
      </w:pPr>
      <w:r>
        <w:rPr>
          <w:rFonts w:ascii="Times New Roman"/>
          <w:b w:val="false"/>
          <w:i w:val="false"/>
          <w:color w:val="000000"/>
          <w:sz w:val="28"/>
        </w:rPr>
        <w:t>
      1361. Вертикальный изгиб основных опорных балок составляет не более 0,0056</w:t>
      </w:r>
      <w:r>
        <w:rPr>
          <w:rFonts w:ascii="Times New Roman"/>
          <w:b w:val="false"/>
          <w:i/>
          <w:color w:val="000000"/>
          <w:sz w:val="28"/>
        </w:rPr>
        <w:t>l</w:t>
      </w: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максимальный пролет основных опорных балок.</w:t>
      </w:r>
    </w:p>
    <w:bookmarkEnd w:id="4544"/>
    <w:bookmarkStart w:name="z4548" w:id="4545"/>
    <w:p>
      <w:pPr>
        <w:spacing w:after="0"/>
        <w:ind w:left="0"/>
        <w:jc w:val="both"/>
      </w:pPr>
      <w:r>
        <w:rPr>
          <w:rFonts w:ascii="Times New Roman"/>
          <w:b w:val="false"/>
          <w:i w:val="false"/>
          <w:color w:val="000000"/>
          <w:sz w:val="28"/>
        </w:rPr>
        <w:t>
      1362. Люковые закрытия снабжают стопорами против воздействия поперечной и продольной расчетных нагрузок величиной 175 кПа.</w:t>
      </w:r>
    </w:p>
    <w:bookmarkEnd w:id="4545"/>
    <w:bookmarkStart w:name="z4549" w:id="4546"/>
    <w:p>
      <w:pPr>
        <w:spacing w:after="0"/>
        <w:ind w:left="0"/>
        <w:jc w:val="both"/>
      </w:pPr>
      <w:r>
        <w:rPr>
          <w:rFonts w:ascii="Times New Roman"/>
          <w:b w:val="false"/>
          <w:i w:val="false"/>
          <w:color w:val="000000"/>
          <w:sz w:val="28"/>
        </w:rPr>
        <w:t>
      Если конструкция и расположение бака на судне не отвечает требованиям, стопоры самого носового люкового закрытия (люка № 1) рассчитывают на действие продольной нагрузки величиной 230 кПа, действующей на носовую стенку люкового закрытия № 1.</w:t>
      </w:r>
    </w:p>
    <w:bookmarkEnd w:id="4546"/>
    <w:bookmarkStart w:name="z4550" w:id="4547"/>
    <w:p>
      <w:pPr>
        <w:spacing w:after="0"/>
        <w:ind w:left="0"/>
        <w:jc w:val="both"/>
      </w:pPr>
      <w:r>
        <w:rPr>
          <w:rFonts w:ascii="Times New Roman"/>
          <w:b w:val="false"/>
          <w:i w:val="false"/>
          <w:color w:val="000000"/>
          <w:sz w:val="28"/>
        </w:rPr>
        <w:t>
      1363. Напряжения в стопорах и прилегающих к ним конструкциях не превышают допускаемых величин, равных 0,8</w:t>
      </w:r>
    </w:p>
    <w:bookmarkEnd w:id="4547"/>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где </w:t>
      </w:r>
    </w:p>
    <w:p>
      <w:pPr>
        <w:spacing w:after="0"/>
        <w:ind w:left="0"/>
        <w:jc w:val="both"/>
      </w:pPr>
      <w:r>
        <w:drawing>
          <wp:inline distT="0" distB="0" distL="0" distR="0">
            <wp:extent cx="1016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01600" cy="889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минимальный верхний предел текучести материала.</w:t>
      </w:r>
      <w:r>
        <w:br/>
      </w:r>
      <w:r>
        <w:rPr>
          <w:rFonts w:ascii="Times New Roman"/>
          <w:b w:val="false"/>
          <w:i w:val="false"/>
          <w:color w:val="000000"/>
          <w:sz w:val="28"/>
        </w:rPr>
        <w:t>
</w:t>
      </w:r>
    </w:p>
    <w:bookmarkStart w:name="z4551" w:id="4548"/>
    <w:p>
      <w:pPr>
        <w:spacing w:after="0"/>
        <w:ind w:left="0"/>
        <w:jc w:val="both"/>
      </w:pPr>
      <w:r>
        <w:rPr>
          <w:rFonts w:ascii="Times New Roman"/>
          <w:b w:val="false"/>
          <w:i w:val="false"/>
          <w:color w:val="000000"/>
          <w:sz w:val="28"/>
        </w:rPr>
        <w:t>
      1364. Для толщины настила и ребер жесткости люковых закрытий всех типов, исключая коробчатый, добавку на коррозию следует принимать равной 2 мм. Для люковых закрытий коробчатого типа добавку на коррозию следует принимать равной:</w:t>
      </w:r>
    </w:p>
    <w:bookmarkEnd w:id="4548"/>
    <w:bookmarkStart w:name="z4552" w:id="4549"/>
    <w:p>
      <w:pPr>
        <w:spacing w:after="0"/>
        <w:ind w:left="0"/>
        <w:jc w:val="both"/>
      </w:pPr>
      <w:r>
        <w:rPr>
          <w:rFonts w:ascii="Times New Roman"/>
          <w:b w:val="false"/>
          <w:i w:val="false"/>
          <w:color w:val="000000"/>
          <w:sz w:val="28"/>
        </w:rPr>
        <w:t>
      2 мм — для верхней и нижней обшивки;</w:t>
      </w:r>
    </w:p>
    <w:bookmarkEnd w:id="4549"/>
    <w:bookmarkStart w:name="z4553" w:id="4550"/>
    <w:p>
      <w:pPr>
        <w:spacing w:after="0"/>
        <w:ind w:left="0"/>
        <w:jc w:val="both"/>
      </w:pPr>
      <w:r>
        <w:rPr>
          <w:rFonts w:ascii="Times New Roman"/>
          <w:b w:val="false"/>
          <w:i w:val="false"/>
          <w:color w:val="000000"/>
          <w:sz w:val="28"/>
        </w:rPr>
        <w:t>
      1,5 мм — для внутренних конструкций.</w:t>
      </w:r>
    </w:p>
    <w:bookmarkEnd w:id="4550"/>
    <w:bookmarkStart w:name="z4554" w:id="4551"/>
    <w:p>
      <w:pPr>
        <w:spacing w:after="0"/>
        <w:ind w:left="0"/>
        <w:jc w:val="both"/>
      </w:pPr>
      <w:r>
        <w:rPr>
          <w:rFonts w:ascii="Times New Roman"/>
          <w:b w:val="false"/>
          <w:i w:val="false"/>
          <w:color w:val="000000"/>
          <w:sz w:val="28"/>
        </w:rPr>
        <w:t>
      1365. На навалочных судах длиной 150 м и более, перевозящих твердые навалочные грузы плотностью 1000 кг/м</w:t>
      </w:r>
      <w:r>
        <w:rPr>
          <w:rFonts w:ascii="Times New Roman"/>
          <w:b w:val="false"/>
          <w:i w:val="false"/>
          <w:color w:val="000000"/>
          <w:vertAlign w:val="superscript"/>
        </w:rPr>
        <w:t>3</w:t>
      </w:r>
      <w:r>
        <w:rPr>
          <w:rFonts w:ascii="Times New Roman"/>
          <w:b w:val="false"/>
          <w:i w:val="false"/>
          <w:color w:val="000000"/>
          <w:sz w:val="28"/>
        </w:rPr>
        <w:t xml:space="preserve"> и выше, контракт на постройку которых заключен до 1 апреля 2006 года, выполняют конструктивные мероприятия по защите грузовых трюмов при работе грейферов во время погрузочно-разгрузочных операций:</w:t>
      </w:r>
    </w:p>
    <w:bookmarkEnd w:id="4551"/>
    <w:bookmarkStart w:name="z4555" w:id="4552"/>
    <w:p>
      <w:pPr>
        <w:spacing w:after="0"/>
        <w:ind w:left="0"/>
        <w:jc w:val="both"/>
      </w:pPr>
      <w:r>
        <w:rPr>
          <w:rFonts w:ascii="Times New Roman"/>
          <w:b w:val="false"/>
          <w:i w:val="false"/>
          <w:color w:val="000000"/>
          <w:sz w:val="28"/>
        </w:rPr>
        <w:t>
      желоба, по которым проходят тросы, предназначенные для привода люковых крышек, а также верхние кромки грузовых трюмов, концевые кромки бимсов трюмов, верхние полки комингсов люков защищают надежными конструкциями, например, стальной профиль в виде полукольца. Таким судам в символ класса судна добавляется знак "GRAB(X)" (параграф 1 главы 2 настоящих Правил).</w:t>
      </w:r>
    </w:p>
    <w:bookmarkEnd w:id="4552"/>
    <w:bookmarkStart w:name="z4556" w:id="4553"/>
    <w:p>
      <w:pPr>
        <w:spacing w:after="0"/>
        <w:ind w:left="0"/>
        <w:jc w:val="left"/>
      </w:pPr>
      <w:r>
        <w:rPr>
          <w:rFonts w:ascii="Times New Roman"/>
          <w:b/>
          <w:i w:val="false"/>
          <w:color w:val="000000"/>
        </w:rPr>
        <w:t xml:space="preserve"> Глава 79. Доступ в помещения грузовой зоны нефтеналивных и навалочных судов</w:t>
      </w:r>
    </w:p>
    <w:bookmarkEnd w:id="4553"/>
    <w:p>
      <w:pPr>
        <w:spacing w:after="0"/>
        <w:ind w:left="0"/>
        <w:jc w:val="both"/>
      </w:pPr>
      <w:r>
        <w:rPr>
          <w:rFonts w:ascii="Times New Roman"/>
          <w:b w:val="false"/>
          <w:i w:val="false"/>
          <w:color w:val="ff0000"/>
          <w:sz w:val="28"/>
        </w:rPr>
        <w:t xml:space="preserve">
      Сноска. Заголовок главы 79 -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57" w:id="4554"/>
    <w:p>
      <w:pPr>
        <w:spacing w:after="0"/>
        <w:ind w:left="0"/>
        <w:jc w:val="both"/>
      </w:pPr>
      <w:r>
        <w:rPr>
          <w:rFonts w:ascii="Times New Roman"/>
          <w:b w:val="false"/>
          <w:i w:val="false"/>
          <w:color w:val="000000"/>
          <w:sz w:val="28"/>
        </w:rPr>
        <w:t>
      1366. Требования настоящей главы применяются к нефтеналивным судам валовой вместимостью 500 и более и навалочным судам валовой вместимостью 20000 и более.</w:t>
      </w:r>
    </w:p>
    <w:bookmarkEnd w:id="4554"/>
    <w:bookmarkStart w:name="z4558" w:id="4555"/>
    <w:p>
      <w:pPr>
        <w:spacing w:after="0"/>
        <w:ind w:left="0"/>
        <w:jc w:val="both"/>
      </w:pPr>
      <w:r>
        <w:rPr>
          <w:rFonts w:ascii="Times New Roman"/>
          <w:b w:val="false"/>
          <w:i w:val="false"/>
          <w:color w:val="000000"/>
          <w:sz w:val="28"/>
        </w:rPr>
        <w:t>
      1367. Средства доступа и проходы на судах, указанных в пункте 1246 настоящих Правил, удовлетворяет требованиям резолюций ИМО MSC. 134(76), MSC. 158(78)</w:t>
      </w:r>
      <w:r>
        <w:rPr>
          <w:rFonts w:ascii="Times New Roman"/>
          <w:b w:val="false"/>
          <w:i w:val="false"/>
          <w:color w:val="000000"/>
          <w:vertAlign w:val="superscript"/>
        </w:rPr>
        <w:t>1</w:t>
      </w:r>
      <w:r>
        <w:rPr>
          <w:rFonts w:ascii="Times New Roman"/>
          <w:b w:val="false"/>
          <w:i w:val="false"/>
          <w:color w:val="000000"/>
          <w:sz w:val="28"/>
        </w:rPr>
        <w:t>, MSC.151(78) а также Унифицированной интерпретации МАКО SC 191 (Rev.3 March 2006), изложенной в Приложении к настоящим Правилам.</w:t>
      </w:r>
    </w:p>
    <w:bookmarkEnd w:id="4555"/>
    <w:bookmarkStart w:name="z4559" w:id="45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Сборники резолюций ИМО, относящихся к деятельности РС, 37, издание 2004 г. и № 8, издание 2005 г.</w:t>
      </w:r>
    </w:p>
    <w:bookmarkEnd w:id="4556"/>
    <w:bookmarkStart w:name="z4560" w:id="4557"/>
    <w:p>
      <w:pPr>
        <w:spacing w:after="0"/>
        <w:ind w:left="0"/>
        <w:jc w:val="left"/>
      </w:pPr>
      <w:r>
        <w:rPr>
          <w:rFonts w:ascii="Times New Roman"/>
          <w:b/>
          <w:i w:val="false"/>
          <w:color w:val="000000"/>
        </w:rPr>
        <w:t xml:space="preserve"> Глава 80. Дополнительные требования к устройству и закрытию отверстий на накатных судах</w:t>
      </w:r>
    </w:p>
    <w:bookmarkEnd w:id="4557"/>
    <w:p>
      <w:pPr>
        <w:spacing w:after="0"/>
        <w:ind w:left="0"/>
        <w:jc w:val="both"/>
      </w:pPr>
      <w:r>
        <w:rPr>
          <w:rFonts w:ascii="Times New Roman"/>
          <w:b w:val="false"/>
          <w:i w:val="false"/>
          <w:color w:val="ff0000"/>
          <w:sz w:val="28"/>
        </w:rPr>
        <w:t xml:space="preserve">
      Сноска. Заголовок главы 80 -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61" w:id="4558"/>
    <w:p>
      <w:pPr>
        <w:spacing w:after="0"/>
        <w:ind w:left="0"/>
        <w:jc w:val="both"/>
      </w:pPr>
      <w:r>
        <w:rPr>
          <w:rFonts w:ascii="Times New Roman"/>
          <w:b w:val="false"/>
          <w:i w:val="false"/>
          <w:color w:val="000000"/>
          <w:sz w:val="28"/>
        </w:rPr>
        <w:t>
      1368. Если на судне имеются внутренние аппарели для перемещения колесной техники с палубы переборок в нижерасположенные помещения, то отверстия в палубе переборок для таких аппарелей защищают непроницаемыми при воздействии моря закрытиями, звуковая и световая сигнализация о положении которых выводится на ходовой мостик.</w:t>
      </w:r>
    </w:p>
    <w:bookmarkEnd w:id="4558"/>
    <w:bookmarkStart w:name="z4562" w:id="4559"/>
    <w:p>
      <w:pPr>
        <w:spacing w:after="0"/>
        <w:ind w:left="0"/>
        <w:jc w:val="both"/>
      </w:pPr>
      <w:r>
        <w:rPr>
          <w:rFonts w:ascii="Times New Roman"/>
          <w:b w:val="false"/>
          <w:i w:val="false"/>
          <w:color w:val="000000"/>
          <w:sz w:val="28"/>
        </w:rPr>
        <w:t>
      1369. Если устройство отдельных отверстий в палубе переборок необходимо для проведения работ на судне (например, для перемещения механизмов, судовых запасов, снабжения), то такие отверстия снабжают водонепроницаемыми закрытиями с звуковой и световой сигнализацией, выведенной на ходовой мостик.</w:t>
      </w:r>
    </w:p>
    <w:bookmarkEnd w:id="4559"/>
    <w:bookmarkStart w:name="z4563" w:id="4560"/>
    <w:p>
      <w:pPr>
        <w:spacing w:after="0"/>
        <w:ind w:left="0"/>
        <w:jc w:val="both"/>
      </w:pPr>
      <w:r>
        <w:rPr>
          <w:rFonts w:ascii="Times New Roman"/>
          <w:b w:val="false"/>
          <w:i w:val="false"/>
          <w:color w:val="000000"/>
          <w:sz w:val="28"/>
        </w:rPr>
        <w:t>
      1370. При применении требований пунктов 1568 и 1569 настоящих Правил нижняя кромка отверстий для доступа в помещения, расположенные ниже палубы переборок, находится на расстоянии не менее 2,5 м выше палубы переборок.</w:t>
      </w:r>
    </w:p>
    <w:bookmarkEnd w:id="4560"/>
    <w:bookmarkStart w:name="z4564" w:id="4561"/>
    <w:p>
      <w:pPr>
        <w:spacing w:after="0"/>
        <w:ind w:left="0"/>
        <w:jc w:val="both"/>
      </w:pPr>
      <w:r>
        <w:rPr>
          <w:rFonts w:ascii="Times New Roman"/>
          <w:b w:val="false"/>
          <w:i w:val="false"/>
          <w:color w:val="000000"/>
          <w:sz w:val="28"/>
        </w:rPr>
        <w:t>
      1371. На ходовом мостике предусматривается установка средств индикации для всех дверей в обшивке судна, дверей для погрузки и выгрузки и других средств закрытия, которые, будучи оставлены открытыми или не задраенными должным образом, могут привести к затоплению помещения специальной категории или грузового помещения с горизонтальным способом погрузки или выгрузки.</w:t>
      </w:r>
    </w:p>
    <w:bookmarkEnd w:id="4561"/>
    <w:bookmarkStart w:name="z4565" w:id="4562"/>
    <w:p>
      <w:pPr>
        <w:spacing w:after="0"/>
        <w:ind w:left="0"/>
        <w:jc w:val="both"/>
      </w:pPr>
      <w:r>
        <w:rPr>
          <w:rFonts w:ascii="Times New Roman"/>
          <w:b w:val="false"/>
          <w:i w:val="false"/>
          <w:color w:val="000000"/>
          <w:sz w:val="28"/>
        </w:rPr>
        <w:t>
      Система индикации спроектирована по безопасному принципу и показывает с помощью визуальных сигналов, если дверь не полностью закрыта, или если какое-либо из средств задраивания не полностью задраено, и оповещать с помощью звуковых сигналов, если такая дверь или средства задраивания остаются открытыми или незадраенными. Панель индикации на ходовом мостике оборудуют по методу выбора режима работы "порт — море" и так устроена, чтобы звуковой сигнал подавался на ходовой мостик, если судно выходит из порта с незакрытыми носовыми дверями, внутренними дверями, кормовой аппарелью или любыми другими бортовыми дверями в обшивке корпуса судна, или какие-либо средства задраивания не задраены. Источник питания для системы индикации не должен зависеть от источника питания приводов для работы и задраивания дверей.</w:t>
      </w:r>
    </w:p>
    <w:bookmarkEnd w:id="4562"/>
    <w:bookmarkStart w:name="z4566" w:id="4563"/>
    <w:p>
      <w:pPr>
        <w:spacing w:after="0"/>
        <w:ind w:left="0"/>
        <w:jc w:val="both"/>
      </w:pPr>
      <w:r>
        <w:rPr>
          <w:rFonts w:ascii="Times New Roman"/>
          <w:b w:val="false"/>
          <w:i w:val="false"/>
          <w:color w:val="000000"/>
          <w:sz w:val="28"/>
        </w:rPr>
        <w:t>
      1372. Предусматривается установка телевизионных средств наблюдения и системы определения протечек воды, которые устроены таким образом, чтобы на ходовом мостике и на посту управления главной двигательной установкой обеспечивалась индикация о любой протечке через внутренние и внешние носовые двери, кормовые двери, или любые другие двери в обшивке корпуса, которые могут привести к затоплению помещений специальной категории или грузовых помещений.</w:t>
      </w:r>
    </w:p>
    <w:bookmarkEnd w:id="4563"/>
    <w:bookmarkStart w:name="z4567" w:id="4564"/>
    <w:p>
      <w:pPr>
        <w:spacing w:after="0"/>
        <w:ind w:left="0"/>
        <w:jc w:val="both"/>
      </w:pPr>
      <w:r>
        <w:rPr>
          <w:rFonts w:ascii="Times New Roman"/>
          <w:b w:val="false"/>
          <w:i w:val="false"/>
          <w:color w:val="000000"/>
          <w:sz w:val="28"/>
        </w:rPr>
        <w:t>
      1373. Помещения специальной категории и грузовые помещения постоянно патрулируются или контролируются эффективными средствами, такими, как телевидение, так, чтобы подвижка колесной техники в неблагоприятную погоду и неразрешенный доступ пассажиров в эти помещения возможно обнаружить на ходу судна.</w:t>
      </w:r>
    </w:p>
    <w:bookmarkEnd w:id="4564"/>
    <w:bookmarkStart w:name="z4568" w:id="4565"/>
    <w:p>
      <w:pPr>
        <w:spacing w:after="0"/>
        <w:ind w:left="0"/>
        <w:jc w:val="both"/>
      </w:pPr>
      <w:r>
        <w:rPr>
          <w:rFonts w:ascii="Times New Roman"/>
          <w:b w:val="false"/>
          <w:i w:val="false"/>
          <w:color w:val="000000"/>
          <w:sz w:val="28"/>
        </w:rPr>
        <w:t>
      1374. На судне вывешивают на соответствующем месте документы по эксплуатационным процедурам закрытия и задраивания всех дверей в обшивке судна, дверей для погрузки и выгрузки и других средств закрытия, которые, будучи оставлены открытыми или не надлежащим образом задраены, могут привести к затоплению помещения специальной категории или грузового помещения.</w:t>
      </w:r>
    </w:p>
    <w:bookmarkEnd w:id="4565"/>
    <w:bookmarkStart w:name="z4569" w:id="4566"/>
    <w:p>
      <w:pPr>
        <w:spacing w:after="0"/>
        <w:ind w:left="0"/>
        <w:jc w:val="both"/>
      </w:pPr>
      <w:r>
        <w:rPr>
          <w:rFonts w:ascii="Times New Roman"/>
          <w:b w:val="false"/>
          <w:i w:val="false"/>
          <w:color w:val="000000"/>
          <w:sz w:val="28"/>
        </w:rPr>
        <w:t>
      1375. Кроме указанного в пункте 1374 настоящих Правил, на борту судна находится руководство по эксплуатации и ремонту дверей в наружной обшивке корпуса, содержащее следующую информацию:</w:t>
      </w:r>
    </w:p>
    <w:bookmarkEnd w:id="4566"/>
    <w:bookmarkStart w:name="z4570" w:id="4567"/>
    <w:p>
      <w:pPr>
        <w:spacing w:after="0"/>
        <w:ind w:left="0"/>
        <w:jc w:val="both"/>
      </w:pPr>
      <w:r>
        <w:rPr>
          <w:rFonts w:ascii="Times New Roman"/>
          <w:b w:val="false"/>
          <w:i w:val="false"/>
          <w:color w:val="000000"/>
          <w:sz w:val="28"/>
        </w:rPr>
        <w:t>
      1) основные особенности и конструктивные чертежи дверей;</w:t>
      </w:r>
    </w:p>
    <w:bookmarkEnd w:id="4567"/>
    <w:bookmarkStart w:name="z4571" w:id="4568"/>
    <w:p>
      <w:pPr>
        <w:spacing w:after="0"/>
        <w:ind w:left="0"/>
        <w:jc w:val="both"/>
      </w:pPr>
      <w:r>
        <w:rPr>
          <w:rFonts w:ascii="Times New Roman"/>
          <w:b w:val="false"/>
          <w:i w:val="false"/>
          <w:color w:val="000000"/>
          <w:sz w:val="28"/>
        </w:rPr>
        <w:t>
      2) техника безопасности при работе с дверями;</w:t>
      </w:r>
    </w:p>
    <w:bookmarkEnd w:id="4568"/>
    <w:bookmarkStart w:name="z4572" w:id="4569"/>
    <w:p>
      <w:pPr>
        <w:spacing w:after="0"/>
        <w:ind w:left="0"/>
        <w:jc w:val="both"/>
      </w:pPr>
      <w:r>
        <w:rPr>
          <w:rFonts w:ascii="Times New Roman"/>
          <w:b w:val="false"/>
          <w:i w:val="false"/>
          <w:color w:val="000000"/>
          <w:sz w:val="28"/>
        </w:rPr>
        <w:t>
      3) характеристики судна, класс, наличие соответствующих сертификатов;</w:t>
      </w:r>
    </w:p>
    <w:bookmarkEnd w:id="4569"/>
    <w:bookmarkStart w:name="z4573" w:id="4570"/>
    <w:p>
      <w:pPr>
        <w:spacing w:after="0"/>
        <w:ind w:left="0"/>
        <w:jc w:val="both"/>
      </w:pPr>
      <w:r>
        <w:rPr>
          <w:rFonts w:ascii="Times New Roman"/>
          <w:b w:val="false"/>
          <w:i w:val="false"/>
          <w:color w:val="000000"/>
          <w:sz w:val="28"/>
        </w:rPr>
        <w:t>
      4) расчетные нагрузки для дверей;</w:t>
      </w:r>
    </w:p>
    <w:bookmarkEnd w:id="4570"/>
    <w:bookmarkStart w:name="z4574" w:id="4571"/>
    <w:p>
      <w:pPr>
        <w:spacing w:after="0"/>
        <w:ind w:left="0"/>
        <w:jc w:val="both"/>
      </w:pPr>
      <w:r>
        <w:rPr>
          <w:rFonts w:ascii="Times New Roman"/>
          <w:b w:val="false"/>
          <w:i w:val="false"/>
          <w:color w:val="000000"/>
          <w:sz w:val="28"/>
        </w:rPr>
        <w:t>
      5) схема оборудования дверей;</w:t>
      </w:r>
    </w:p>
    <w:bookmarkEnd w:id="4571"/>
    <w:bookmarkStart w:name="z4575" w:id="4572"/>
    <w:p>
      <w:pPr>
        <w:spacing w:after="0"/>
        <w:ind w:left="0"/>
        <w:jc w:val="both"/>
      </w:pPr>
      <w:r>
        <w:rPr>
          <w:rFonts w:ascii="Times New Roman"/>
          <w:b w:val="false"/>
          <w:i w:val="false"/>
          <w:color w:val="000000"/>
          <w:sz w:val="28"/>
        </w:rPr>
        <w:t>
      6)рекомендации изготовителя по проведению испытаний оборудования;</w:t>
      </w:r>
    </w:p>
    <w:bookmarkEnd w:id="4572"/>
    <w:bookmarkStart w:name="z4576" w:id="4573"/>
    <w:p>
      <w:pPr>
        <w:spacing w:after="0"/>
        <w:ind w:left="0"/>
        <w:jc w:val="both"/>
      </w:pPr>
      <w:r>
        <w:rPr>
          <w:rFonts w:ascii="Times New Roman"/>
          <w:b w:val="false"/>
          <w:i w:val="false"/>
          <w:color w:val="000000"/>
          <w:sz w:val="28"/>
        </w:rPr>
        <w:t>
      7) описание оборудования носовых, бортовых и кормовых дверей, внутренних носовых дверей, центральной силовой станции, панели индикации на ходовом мостике, контрольной панели в машинном отделении;</w:t>
      </w:r>
    </w:p>
    <w:bookmarkEnd w:id="4573"/>
    <w:bookmarkStart w:name="z4577" w:id="4574"/>
    <w:p>
      <w:pPr>
        <w:spacing w:after="0"/>
        <w:ind w:left="0"/>
        <w:jc w:val="both"/>
      </w:pPr>
      <w:r>
        <w:rPr>
          <w:rFonts w:ascii="Times New Roman"/>
          <w:b w:val="false"/>
          <w:i w:val="false"/>
          <w:color w:val="000000"/>
          <w:sz w:val="28"/>
        </w:rPr>
        <w:t>
      8) эксплуатационные характеристики: допускаемые углы крена/дифферента с грузом/без груза, а также допускаемые углы крена/дифферента при работе с дверями;</w:t>
      </w:r>
    </w:p>
    <w:bookmarkEnd w:id="4574"/>
    <w:bookmarkStart w:name="z4578" w:id="4575"/>
    <w:p>
      <w:pPr>
        <w:spacing w:after="0"/>
        <w:ind w:left="0"/>
        <w:jc w:val="both"/>
      </w:pPr>
      <w:r>
        <w:rPr>
          <w:rFonts w:ascii="Times New Roman"/>
          <w:b w:val="false"/>
          <w:i w:val="false"/>
          <w:color w:val="000000"/>
          <w:sz w:val="28"/>
        </w:rPr>
        <w:t>
      9) инструкции при работе с дверями;</w:t>
      </w:r>
    </w:p>
    <w:bookmarkEnd w:id="4575"/>
    <w:bookmarkStart w:name="z4579" w:id="4576"/>
    <w:p>
      <w:pPr>
        <w:spacing w:after="0"/>
        <w:ind w:left="0"/>
        <w:jc w:val="both"/>
      </w:pPr>
      <w:r>
        <w:rPr>
          <w:rFonts w:ascii="Times New Roman"/>
          <w:b w:val="false"/>
          <w:i w:val="false"/>
          <w:color w:val="000000"/>
          <w:sz w:val="28"/>
        </w:rPr>
        <w:t>
      10) инструкции при работе с дверями в аварийных ситуациях;</w:t>
      </w:r>
    </w:p>
    <w:bookmarkEnd w:id="4576"/>
    <w:bookmarkStart w:name="z4580" w:id="4577"/>
    <w:p>
      <w:pPr>
        <w:spacing w:after="0"/>
        <w:ind w:left="0"/>
        <w:jc w:val="both"/>
      </w:pPr>
      <w:r>
        <w:rPr>
          <w:rFonts w:ascii="Times New Roman"/>
          <w:b w:val="false"/>
          <w:i w:val="false"/>
          <w:color w:val="000000"/>
          <w:sz w:val="28"/>
        </w:rPr>
        <w:t>
      11) эксплуатация и ремонт дверей: перечень и сроки текущего ремонта, возникающие неисправности и их приемлемое устранение, инструкции фирмы-изготовителя по эксплуатации и ремонту дверей;</w:t>
      </w:r>
    </w:p>
    <w:bookmarkEnd w:id="4577"/>
    <w:bookmarkStart w:name="z4581" w:id="4578"/>
    <w:p>
      <w:pPr>
        <w:spacing w:after="0"/>
        <w:ind w:left="0"/>
        <w:jc w:val="both"/>
      </w:pPr>
      <w:r>
        <w:rPr>
          <w:rFonts w:ascii="Times New Roman"/>
          <w:b w:val="false"/>
          <w:i w:val="false"/>
          <w:color w:val="000000"/>
          <w:sz w:val="28"/>
        </w:rPr>
        <w:t>
      12) книга записей осмотров, включая освидетельствование задраивающих, стопорящих и опорных устройств, ремонт и замену.</w:t>
      </w:r>
    </w:p>
    <w:bookmarkEnd w:id="4578"/>
    <w:bookmarkStart w:name="z4582" w:id="4579"/>
    <w:p>
      <w:pPr>
        <w:spacing w:after="0"/>
        <w:ind w:left="0"/>
        <w:jc w:val="both"/>
      </w:pPr>
      <w:r>
        <w:rPr>
          <w:rFonts w:ascii="Times New Roman"/>
          <w:b w:val="false"/>
          <w:i w:val="false"/>
          <w:color w:val="000000"/>
          <w:sz w:val="28"/>
        </w:rPr>
        <w:t>
      Вышеуказанное руководство по эксплуатации и ремонту дверей в наружной обшивке корпуса представляют на одобрение Регистру судоходства.</w:t>
      </w:r>
    </w:p>
    <w:bookmarkEnd w:id="4579"/>
    <w:bookmarkStart w:name="z4583" w:id="4580"/>
    <w:p>
      <w:pPr>
        <w:spacing w:after="0"/>
        <w:ind w:left="0"/>
        <w:jc w:val="left"/>
      </w:pPr>
      <w:r>
        <w:rPr>
          <w:rFonts w:ascii="Times New Roman"/>
          <w:b/>
          <w:i w:val="false"/>
          <w:color w:val="000000"/>
        </w:rPr>
        <w:t xml:space="preserve"> Подраздел 5. Устройство и оборудование помещений.</w:t>
      </w:r>
      <w:r>
        <w:br/>
      </w:r>
      <w:r>
        <w:rPr>
          <w:rFonts w:ascii="Times New Roman"/>
          <w:b/>
          <w:i w:val="false"/>
          <w:color w:val="000000"/>
        </w:rPr>
        <w:t>Другие устройства и оборудование</w:t>
      </w:r>
      <w:r>
        <w:br/>
      </w:r>
      <w:r>
        <w:rPr>
          <w:rFonts w:ascii="Times New Roman"/>
          <w:b/>
          <w:i w:val="false"/>
          <w:color w:val="000000"/>
        </w:rPr>
        <w:t>Глава 81. Общие положения, расположение помещений</w:t>
      </w:r>
    </w:p>
    <w:bookmarkEnd w:id="4580"/>
    <w:p>
      <w:pPr>
        <w:spacing w:after="0"/>
        <w:ind w:left="0"/>
        <w:jc w:val="both"/>
      </w:pPr>
      <w:r>
        <w:rPr>
          <w:rFonts w:ascii="Times New Roman"/>
          <w:b w:val="false"/>
          <w:i w:val="false"/>
          <w:color w:val="ff0000"/>
          <w:sz w:val="28"/>
        </w:rPr>
        <w:t xml:space="preserve">
      Сноска. Заголовок главы 81 -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85" w:id="4581"/>
    <w:p>
      <w:pPr>
        <w:spacing w:after="0"/>
        <w:ind w:left="0"/>
        <w:jc w:val="both"/>
      </w:pPr>
      <w:r>
        <w:rPr>
          <w:rFonts w:ascii="Times New Roman"/>
          <w:b w:val="false"/>
          <w:i w:val="false"/>
          <w:color w:val="000000"/>
          <w:sz w:val="28"/>
        </w:rPr>
        <w:t>
      1376. Требования к расположению и оборудованию машинных помещений регламентированы в разделе 9 настоящих Правил, а помещений холодильных машин, помещений для хранения запасов холодильного агента, а также охлаждаемых грузовых помещений — в разделе 14 настоящих Правил.</w:t>
      </w:r>
    </w:p>
    <w:bookmarkEnd w:id="4581"/>
    <w:bookmarkStart w:name="z4586" w:id="4582"/>
    <w:p>
      <w:pPr>
        <w:spacing w:after="0"/>
        <w:ind w:left="0"/>
        <w:jc w:val="both"/>
      </w:pPr>
      <w:r>
        <w:rPr>
          <w:rFonts w:ascii="Times New Roman"/>
          <w:b w:val="false"/>
          <w:i w:val="false"/>
          <w:color w:val="000000"/>
          <w:sz w:val="28"/>
        </w:rPr>
        <w:t>
      1377. Устройство и оборудование помещений, различные устройства и оборудование стоечных судов отвечают применимым требованиям, изложенным в главах 84 и 85 настоящих Правил.</w:t>
      </w:r>
    </w:p>
    <w:bookmarkEnd w:id="4582"/>
    <w:bookmarkStart w:name="z4587" w:id="4583"/>
    <w:p>
      <w:pPr>
        <w:spacing w:after="0"/>
        <w:ind w:left="0"/>
        <w:jc w:val="both"/>
      </w:pPr>
      <w:r>
        <w:rPr>
          <w:rFonts w:ascii="Times New Roman"/>
          <w:b w:val="false"/>
          <w:i w:val="false"/>
          <w:color w:val="000000"/>
          <w:sz w:val="28"/>
        </w:rPr>
        <w:t>
      Стоечные суда, используемые как плавучие гостиницы и общежития, кроме того, отвечают требованиям, изложенным в главе 84 настоящих Правил, как для пассажирских судов.</w:t>
      </w:r>
    </w:p>
    <w:bookmarkEnd w:id="4583"/>
    <w:bookmarkStart w:name="z4588" w:id="4584"/>
    <w:p>
      <w:pPr>
        <w:spacing w:after="0"/>
        <w:ind w:left="0"/>
        <w:jc w:val="both"/>
      </w:pPr>
      <w:r>
        <w:rPr>
          <w:rFonts w:ascii="Times New Roman"/>
          <w:b w:val="false"/>
          <w:i w:val="false"/>
          <w:color w:val="000000"/>
          <w:sz w:val="28"/>
        </w:rPr>
        <w:t>
      Кроме того, стоечное судно имеет не менее двух сходных трапов, расположенных на максимально возможном удалении друг от друга. Ширина сходных трапов равна не менее 0,9 м, если общее число пассажиров и экипажа на борту — не более 50 человек</w:t>
      </w:r>
    </w:p>
    <w:bookmarkEnd w:id="4584"/>
    <w:bookmarkStart w:name="z4589" w:id="4585"/>
    <w:p>
      <w:pPr>
        <w:spacing w:after="0"/>
        <w:ind w:left="0"/>
        <w:jc w:val="both"/>
      </w:pPr>
      <w:r>
        <w:rPr>
          <w:rFonts w:ascii="Times New Roman"/>
          <w:b w:val="false"/>
          <w:i w:val="false"/>
          <w:color w:val="000000"/>
          <w:sz w:val="28"/>
        </w:rPr>
        <w:t>
      На каждые 10 человек сверх 50 ширина сходных трапов увеличивается на 5 см.</w:t>
      </w:r>
    </w:p>
    <w:bookmarkEnd w:id="4585"/>
    <w:bookmarkStart w:name="z4590" w:id="4586"/>
    <w:p>
      <w:pPr>
        <w:spacing w:after="0"/>
        <w:ind w:left="0"/>
        <w:jc w:val="both"/>
      </w:pPr>
      <w:r>
        <w:rPr>
          <w:rFonts w:ascii="Times New Roman"/>
          <w:b w:val="false"/>
          <w:i w:val="false"/>
          <w:color w:val="000000"/>
          <w:sz w:val="28"/>
        </w:rPr>
        <w:t>
      1378. Штурманская рубка располагается в помещении, смежном с рулевой рубкой. Допускается устраивать рулевую и штурманскую рубки в одном помещении.</w:t>
      </w:r>
    </w:p>
    <w:bookmarkEnd w:id="4586"/>
    <w:bookmarkStart w:name="z4591" w:id="4587"/>
    <w:p>
      <w:pPr>
        <w:spacing w:after="0"/>
        <w:ind w:left="0"/>
        <w:jc w:val="both"/>
      </w:pPr>
      <w:r>
        <w:rPr>
          <w:rFonts w:ascii="Times New Roman"/>
          <w:b w:val="false"/>
          <w:i w:val="false"/>
          <w:color w:val="000000"/>
          <w:sz w:val="28"/>
        </w:rPr>
        <w:t>
      1379. Жилые помещения не допускается располагать в нос от таранной переборки и в корму от ахтерпиковой переборки ниже палубы переборок.</w:t>
      </w:r>
    </w:p>
    <w:bookmarkEnd w:id="4587"/>
    <w:bookmarkStart w:name="z4592" w:id="4588"/>
    <w:p>
      <w:pPr>
        <w:spacing w:after="0"/>
        <w:ind w:left="0"/>
        <w:jc w:val="left"/>
      </w:pPr>
      <w:r>
        <w:rPr>
          <w:rFonts w:ascii="Times New Roman"/>
          <w:b/>
          <w:i w:val="false"/>
          <w:color w:val="000000"/>
        </w:rPr>
        <w:t xml:space="preserve"> Глава 82. Ходовой мостик</w:t>
      </w:r>
    </w:p>
    <w:bookmarkEnd w:id="4588"/>
    <w:p>
      <w:pPr>
        <w:spacing w:after="0"/>
        <w:ind w:left="0"/>
        <w:jc w:val="both"/>
      </w:pPr>
      <w:r>
        <w:rPr>
          <w:rFonts w:ascii="Times New Roman"/>
          <w:b w:val="false"/>
          <w:i w:val="false"/>
          <w:color w:val="ff0000"/>
          <w:sz w:val="28"/>
        </w:rPr>
        <w:t xml:space="preserve">
      Сноска. Заголовок главы 82 -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93" w:id="4589"/>
    <w:p>
      <w:pPr>
        <w:spacing w:after="0"/>
        <w:ind w:left="0"/>
        <w:jc w:val="both"/>
      </w:pPr>
      <w:r>
        <w:rPr>
          <w:rFonts w:ascii="Times New Roman"/>
          <w:b w:val="false"/>
          <w:i w:val="false"/>
          <w:color w:val="000000"/>
          <w:sz w:val="28"/>
        </w:rPr>
        <w:t>
      1380. Пост управления судном располагается на ходовом мостике в закрытом помещении в рулевой рубке. Расположение ходового мостика обеспечивает:</w:t>
      </w:r>
    </w:p>
    <w:bookmarkEnd w:id="4589"/>
    <w:bookmarkStart w:name="z4594" w:id="4590"/>
    <w:p>
      <w:pPr>
        <w:spacing w:after="0"/>
        <w:ind w:left="0"/>
        <w:jc w:val="both"/>
      </w:pPr>
      <w:r>
        <w:rPr>
          <w:rFonts w:ascii="Times New Roman"/>
          <w:b w:val="false"/>
          <w:i w:val="false"/>
          <w:color w:val="000000"/>
          <w:sz w:val="28"/>
        </w:rPr>
        <w:t>
      1) возможность постоянного наблюдения за движением судна;</w:t>
      </w:r>
    </w:p>
    <w:bookmarkEnd w:id="4590"/>
    <w:bookmarkStart w:name="z4595" w:id="4591"/>
    <w:p>
      <w:pPr>
        <w:spacing w:after="0"/>
        <w:ind w:left="0"/>
        <w:jc w:val="both"/>
      </w:pPr>
      <w:r>
        <w:rPr>
          <w:rFonts w:ascii="Times New Roman"/>
          <w:b w:val="false"/>
          <w:i w:val="false"/>
          <w:color w:val="000000"/>
          <w:sz w:val="28"/>
        </w:rPr>
        <w:t>
      2) хорошую видимость с максимальным обзором поверхности воды;</w:t>
      </w:r>
    </w:p>
    <w:bookmarkEnd w:id="4591"/>
    <w:bookmarkStart w:name="z4596" w:id="4592"/>
    <w:p>
      <w:pPr>
        <w:spacing w:after="0"/>
        <w:ind w:left="0"/>
        <w:jc w:val="both"/>
      </w:pPr>
      <w:r>
        <w:rPr>
          <w:rFonts w:ascii="Times New Roman"/>
          <w:b w:val="false"/>
          <w:i w:val="false"/>
          <w:color w:val="000000"/>
          <w:sz w:val="28"/>
        </w:rPr>
        <w:t>
      3) хорошую слышимость звуковых сигналов встречных судов;</w:t>
      </w:r>
    </w:p>
    <w:bookmarkEnd w:id="4592"/>
    <w:bookmarkStart w:name="z4597" w:id="4593"/>
    <w:p>
      <w:pPr>
        <w:spacing w:after="0"/>
        <w:ind w:left="0"/>
        <w:jc w:val="both"/>
      </w:pPr>
      <w:r>
        <w:rPr>
          <w:rFonts w:ascii="Times New Roman"/>
          <w:b w:val="false"/>
          <w:i w:val="false"/>
          <w:color w:val="000000"/>
          <w:sz w:val="28"/>
        </w:rPr>
        <w:t>
      4) на буксирах возможность наблюдения за состоянием буксирного троса в процессе буксировки.</w:t>
      </w:r>
    </w:p>
    <w:bookmarkEnd w:id="4593"/>
    <w:bookmarkStart w:name="z4598" w:id="4594"/>
    <w:p>
      <w:pPr>
        <w:spacing w:after="0"/>
        <w:ind w:left="0"/>
        <w:jc w:val="both"/>
      </w:pPr>
      <w:r>
        <w:rPr>
          <w:rFonts w:ascii="Times New Roman"/>
          <w:b w:val="false"/>
          <w:i w:val="false"/>
          <w:color w:val="000000"/>
          <w:sz w:val="28"/>
        </w:rPr>
        <w:t>
      Пост управления рулем рекомендуется устанавливать в диаметральной плоскости.</w:t>
      </w:r>
    </w:p>
    <w:bookmarkEnd w:id="4594"/>
    <w:bookmarkStart w:name="z4599" w:id="4595"/>
    <w:p>
      <w:pPr>
        <w:spacing w:after="0"/>
        <w:ind w:left="0"/>
        <w:jc w:val="both"/>
      </w:pPr>
      <w:r>
        <w:rPr>
          <w:rFonts w:ascii="Times New Roman"/>
          <w:b w:val="false"/>
          <w:i w:val="false"/>
          <w:color w:val="000000"/>
          <w:sz w:val="28"/>
        </w:rPr>
        <w:t>
      1381. Видимость с ходового мостика отвечает требованиям Правил Регистра судоходства</w:t>
      </w:r>
    </w:p>
    <w:bookmarkEnd w:id="4595"/>
    <w:bookmarkStart w:name="z4600" w:id="4596"/>
    <w:p>
      <w:pPr>
        <w:spacing w:after="0"/>
        <w:ind w:left="0"/>
        <w:jc w:val="left"/>
      </w:pPr>
      <w:r>
        <w:rPr>
          <w:rFonts w:ascii="Times New Roman"/>
          <w:b/>
          <w:i w:val="false"/>
          <w:color w:val="000000"/>
        </w:rPr>
        <w:t xml:space="preserve"> Глава 83. Оборудование сухогрузных трюмов</w:t>
      </w:r>
    </w:p>
    <w:bookmarkEnd w:id="4596"/>
    <w:p>
      <w:pPr>
        <w:spacing w:after="0"/>
        <w:ind w:left="0"/>
        <w:jc w:val="both"/>
      </w:pPr>
      <w:r>
        <w:rPr>
          <w:rFonts w:ascii="Times New Roman"/>
          <w:b w:val="false"/>
          <w:i w:val="false"/>
          <w:color w:val="ff0000"/>
          <w:sz w:val="28"/>
        </w:rPr>
        <w:t xml:space="preserve">
      Сноска. Заголовок главы 83 -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01" w:id="4597"/>
    <w:p>
      <w:pPr>
        <w:spacing w:after="0"/>
        <w:ind w:left="0"/>
        <w:jc w:val="left"/>
      </w:pPr>
      <w:r>
        <w:rPr>
          <w:rFonts w:ascii="Times New Roman"/>
          <w:b/>
          <w:i w:val="false"/>
          <w:color w:val="000000"/>
        </w:rPr>
        <w:t xml:space="preserve"> Параграф 1. Общие требования</w:t>
      </w:r>
    </w:p>
    <w:bookmarkEnd w:id="4597"/>
    <w:bookmarkStart w:name="z4602" w:id="4598"/>
    <w:p>
      <w:pPr>
        <w:spacing w:after="0"/>
        <w:ind w:left="0"/>
        <w:jc w:val="both"/>
      </w:pPr>
      <w:r>
        <w:rPr>
          <w:rFonts w:ascii="Times New Roman"/>
          <w:b w:val="false"/>
          <w:i w:val="false"/>
          <w:color w:val="000000"/>
          <w:sz w:val="28"/>
        </w:rPr>
        <w:t>
      1382. Если на судах без двойного дна поверх флоров устанавливается деревянный настил, то он сплошной, доходящий до верха скулового закругления. Рекомендуется делать настил из щитов таких размеров и конструкций, чтобы их можно легко снимать в любом месте. Толщина деревянного настила:</w:t>
      </w:r>
    </w:p>
    <w:bookmarkEnd w:id="4598"/>
    <w:bookmarkStart w:name="z4603" w:id="4599"/>
    <w:p>
      <w:pPr>
        <w:spacing w:after="0"/>
        <w:ind w:left="0"/>
        <w:jc w:val="both"/>
      </w:pPr>
      <w:r>
        <w:rPr>
          <w:rFonts w:ascii="Times New Roman"/>
          <w:b w:val="false"/>
          <w:i w:val="false"/>
          <w:color w:val="000000"/>
          <w:sz w:val="28"/>
        </w:rPr>
        <w:t xml:space="preserve">
      1) не менее 40 мм — на судах длиной </w:t>
      </w:r>
      <w:r>
        <w:rPr>
          <w:rFonts w:ascii="Times New Roman"/>
          <w:b w:val="false"/>
          <w:i/>
          <w:color w:val="000000"/>
          <w:sz w:val="28"/>
        </w:rPr>
        <w:t>L</w:t>
      </w:r>
      <w:r>
        <w:rPr>
          <w:rFonts w:ascii="Times New Roman"/>
          <w:b w:val="false"/>
          <w:i w:val="false"/>
          <w:color w:val="000000"/>
          <w:sz w:val="28"/>
        </w:rPr>
        <w:t xml:space="preserve"> до 30 м включительно;</w:t>
      </w:r>
    </w:p>
    <w:bookmarkEnd w:id="4599"/>
    <w:bookmarkStart w:name="z4604" w:id="4600"/>
    <w:p>
      <w:pPr>
        <w:spacing w:after="0"/>
        <w:ind w:left="0"/>
        <w:jc w:val="both"/>
      </w:pPr>
      <w:r>
        <w:rPr>
          <w:rFonts w:ascii="Times New Roman"/>
          <w:b w:val="false"/>
          <w:i w:val="false"/>
          <w:color w:val="000000"/>
          <w:sz w:val="28"/>
        </w:rPr>
        <w:t xml:space="preserve">
      2) не менее 60 мм — на судах длиной </w:t>
      </w:r>
      <w:r>
        <w:rPr>
          <w:rFonts w:ascii="Times New Roman"/>
          <w:b w:val="false"/>
          <w:i/>
          <w:color w:val="000000"/>
          <w:sz w:val="28"/>
        </w:rPr>
        <w:t>L</w:t>
      </w:r>
      <w:r>
        <w:rPr>
          <w:rFonts w:ascii="Times New Roman"/>
          <w:b w:val="false"/>
          <w:i w:val="false"/>
          <w:color w:val="000000"/>
          <w:sz w:val="28"/>
        </w:rPr>
        <w:t xml:space="preserve"> более 30 м;</w:t>
      </w:r>
    </w:p>
    <w:bookmarkEnd w:id="4600"/>
    <w:bookmarkStart w:name="z4605" w:id="4601"/>
    <w:p>
      <w:pPr>
        <w:spacing w:after="0"/>
        <w:ind w:left="0"/>
        <w:jc w:val="both"/>
      </w:pPr>
      <w:r>
        <w:rPr>
          <w:rFonts w:ascii="Times New Roman"/>
          <w:b w:val="false"/>
          <w:i w:val="false"/>
          <w:color w:val="000000"/>
          <w:sz w:val="28"/>
        </w:rPr>
        <w:t>
      3) не менее70мм—под просветами грузовых люков.</w:t>
      </w:r>
    </w:p>
    <w:bookmarkEnd w:id="4601"/>
    <w:bookmarkStart w:name="z4606" w:id="4602"/>
    <w:p>
      <w:pPr>
        <w:spacing w:after="0"/>
        <w:ind w:left="0"/>
        <w:jc w:val="both"/>
      </w:pPr>
      <w:r>
        <w:rPr>
          <w:rFonts w:ascii="Times New Roman"/>
          <w:b w:val="false"/>
          <w:i w:val="false"/>
          <w:color w:val="000000"/>
          <w:sz w:val="28"/>
        </w:rPr>
        <w:t>
      1383. Если на судах с двойным дном устанавливается деревянный настил, то его толщина:</w:t>
      </w:r>
    </w:p>
    <w:bookmarkEnd w:id="4602"/>
    <w:bookmarkStart w:name="z4607" w:id="4603"/>
    <w:p>
      <w:pPr>
        <w:spacing w:after="0"/>
        <w:ind w:left="0"/>
        <w:jc w:val="both"/>
      </w:pPr>
      <w:r>
        <w:rPr>
          <w:rFonts w:ascii="Times New Roman"/>
          <w:b w:val="false"/>
          <w:i w:val="false"/>
          <w:color w:val="000000"/>
          <w:sz w:val="28"/>
        </w:rPr>
        <w:t xml:space="preserve">
      1) не менее 50 мм — для судов длиной </w:t>
      </w:r>
      <w:r>
        <w:rPr>
          <w:rFonts w:ascii="Times New Roman"/>
          <w:b w:val="false"/>
          <w:i/>
          <w:color w:val="000000"/>
          <w:sz w:val="28"/>
        </w:rPr>
        <w:t>L</w:t>
      </w:r>
      <w:r>
        <w:rPr>
          <w:rFonts w:ascii="Times New Roman"/>
          <w:b w:val="false"/>
          <w:i w:val="false"/>
          <w:color w:val="000000"/>
          <w:sz w:val="28"/>
        </w:rPr>
        <w:t xml:space="preserve"> до 60 м включительно;</w:t>
      </w:r>
    </w:p>
    <w:bookmarkEnd w:id="4603"/>
    <w:bookmarkStart w:name="z4608" w:id="4604"/>
    <w:p>
      <w:pPr>
        <w:spacing w:after="0"/>
        <w:ind w:left="0"/>
        <w:jc w:val="both"/>
      </w:pPr>
      <w:r>
        <w:rPr>
          <w:rFonts w:ascii="Times New Roman"/>
          <w:b w:val="false"/>
          <w:i w:val="false"/>
          <w:color w:val="000000"/>
          <w:sz w:val="28"/>
        </w:rPr>
        <w:t xml:space="preserve">
      2) не менее 65 мм — для судов длиной </w:t>
      </w:r>
      <w:r>
        <w:rPr>
          <w:rFonts w:ascii="Times New Roman"/>
          <w:b w:val="false"/>
          <w:i/>
          <w:color w:val="000000"/>
          <w:sz w:val="28"/>
        </w:rPr>
        <w:t>L</w:t>
      </w:r>
      <w:r>
        <w:rPr>
          <w:rFonts w:ascii="Times New Roman"/>
          <w:b w:val="false"/>
          <w:i w:val="false"/>
          <w:color w:val="000000"/>
          <w:sz w:val="28"/>
        </w:rPr>
        <w:t xml:space="preserve"> более 60 м.</w:t>
      </w:r>
    </w:p>
    <w:bookmarkEnd w:id="4604"/>
    <w:bookmarkStart w:name="z4609" w:id="4605"/>
    <w:p>
      <w:pPr>
        <w:spacing w:after="0"/>
        <w:ind w:left="0"/>
        <w:jc w:val="both"/>
      </w:pPr>
      <w:r>
        <w:rPr>
          <w:rFonts w:ascii="Times New Roman"/>
          <w:b w:val="false"/>
          <w:i w:val="false"/>
          <w:color w:val="000000"/>
          <w:sz w:val="28"/>
        </w:rPr>
        <w:t>
      Применение настила из синтетического материала является предметом специального рассмотрения Регистром судоходства.</w:t>
      </w:r>
    </w:p>
    <w:bookmarkEnd w:id="4605"/>
    <w:bookmarkStart w:name="z4610" w:id="4606"/>
    <w:p>
      <w:pPr>
        <w:spacing w:after="0"/>
        <w:ind w:left="0"/>
        <w:jc w:val="both"/>
      </w:pPr>
      <w:r>
        <w:rPr>
          <w:rFonts w:ascii="Times New Roman"/>
          <w:b w:val="false"/>
          <w:i w:val="false"/>
          <w:color w:val="000000"/>
          <w:sz w:val="28"/>
        </w:rPr>
        <w:t>
      1384. Если предусматривается разгрузка трюмов грейферами или иными механизированными приспособлениями, то толщина деревянного настила под просветами люков удваивается.</w:t>
      </w:r>
    </w:p>
    <w:bookmarkEnd w:id="4606"/>
    <w:bookmarkStart w:name="z4611" w:id="4607"/>
    <w:p>
      <w:pPr>
        <w:spacing w:after="0"/>
        <w:ind w:left="0"/>
        <w:jc w:val="both"/>
      </w:pPr>
      <w:r>
        <w:rPr>
          <w:rFonts w:ascii="Times New Roman"/>
          <w:b w:val="false"/>
          <w:i w:val="false"/>
          <w:color w:val="000000"/>
          <w:sz w:val="28"/>
        </w:rPr>
        <w:t>
      1385. В трюмах, предназначенных для перевозки зерна и других навалочных грузов, деревянный настил по двойному дну, а при отсутствии двойного дна — по флорам, устанавливают таким образом, чтобы исключалась возможность засорения сточных колодцев, льял и приемных патрубков осушительной системы.</w:t>
      </w:r>
    </w:p>
    <w:bookmarkEnd w:id="4607"/>
    <w:bookmarkStart w:name="z4612" w:id="4608"/>
    <w:p>
      <w:pPr>
        <w:spacing w:after="0"/>
        <w:ind w:left="0"/>
        <w:jc w:val="both"/>
      </w:pPr>
      <w:r>
        <w:rPr>
          <w:rFonts w:ascii="Times New Roman"/>
          <w:b w:val="false"/>
          <w:i w:val="false"/>
          <w:color w:val="000000"/>
          <w:sz w:val="28"/>
        </w:rPr>
        <w:t>
      1386. Деревянный настил укладывается не непосредственно на металлический настил двойного дна, а на слой мастики, одобренной Регистром судоходства, или на бруски толщиной 25 — 30 мм, расположенные по линиям флоров. Деревянный настил вдоль льял укладывается таким образом, чтобы его можно было легко снимать (пункт 3269 настоящих Правил).</w:t>
      </w:r>
    </w:p>
    <w:bookmarkEnd w:id="4608"/>
    <w:bookmarkStart w:name="z4613" w:id="4609"/>
    <w:p>
      <w:pPr>
        <w:spacing w:after="0"/>
        <w:ind w:left="0"/>
        <w:jc w:val="both"/>
      </w:pPr>
      <w:r>
        <w:rPr>
          <w:rFonts w:ascii="Times New Roman"/>
          <w:b w:val="false"/>
          <w:i w:val="false"/>
          <w:color w:val="000000"/>
          <w:sz w:val="28"/>
        </w:rPr>
        <w:t>
      1387. В помещениях и трюмах, предназначенных для перевозки генеральных грузов, рекомендуется устанавливать по бортам деревянные или металлические рыбинсы. Толщина деревянных рыбинсов:</w:t>
      </w:r>
    </w:p>
    <w:bookmarkEnd w:id="4609"/>
    <w:bookmarkStart w:name="z4614" w:id="4610"/>
    <w:p>
      <w:pPr>
        <w:spacing w:after="0"/>
        <w:ind w:left="0"/>
        <w:jc w:val="both"/>
      </w:pPr>
      <w:r>
        <w:rPr>
          <w:rFonts w:ascii="Times New Roman"/>
          <w:b w:val="false"/>
          <w:i w:val="false"/>
          <w:color w:val="000000"/>
          <w:sz w:val="28"/>
        </w:rPr>
        <w:t xml:space="preserve">
      1) не менее 40 мм — для судов длиной </w:t>
      </w:r>
      <w:r>
        <w:rPr>
          <w:rFonts w:ascii="Times New Roman"/>
          <w:b w:val="false"/>
          <w:i/>
          <w:color w:val="000000"/>
          <w:sz w:val="28"/>
        </w:rPr>
        <w:t>L</w:t>
      </w:r>
      <w:r>
        <w:rPr>
          <w:rFonts w:ascii="Times New Roman"/>
          <w:b w:val="false"/>
          <w:i w:val="false"/>
          <w:color w:val="000000"/>
          <w:sz w:val="28"/>
        </w:rPr>
        <w:t xml:space="preserve"> до 70 м включительно;</w:t>
      </w:r>
    </w:p>
    <w:bookmarkEnd w:id="4610"/>
    <w:bookmarkStart w:name="z4615" w:id="4611"/>
    <w:p>
      <w:pPr>
        <w:spacing w:after="0"/>
        <w:ind w:left="0"/>
        <w:jc w:val="both"/>
      </w:pPr>
      <w:r>
        <w:rPr>
          <w:rFonts w:ascii="Times New Roman"/>
          <w:b w:val="false"/>
          <w:i w:val="false"/>
          <w:color w:val="000000"/>
          <w:sz w:val="28"/>
        </w:rPr>
        <w:t xml:space="preserve">
      2) не менее 50 мм — для судов длиной </w:t>
      </w:r>
      <w:r>
        <w:rPr>
          <w:rFonts w:ascii="Times New Roman"/>
          <w:b w:val="false"/>
          <w:i/>
          <w:color w:val="000000"/>
          <w:sz w:val="28"/>
        </w:rPr>
        <w:t>L</w:t>
      </w:r>
      <w:r>
        <w:rPr>
          <w:rFonts w:ascii="Times New Roman"/>
          <w:b w:val="false"/>
          <w:i w:val="false"/>
          <w:color w:val="000000"/>
          <w:sz w:val="28"/>
        </w:rPr>
        <w:t xml:space="preserve"> более 70 м.</w:t>
      </w:r>
    </w:p>
    <w:bookmarkEnd w:id="4611"/>
    <w:bookmarkStart w:name="z4616" w:id="4612"/>
    <w:p>
      <w:pPr>
        <w:spacing w:after="0"/>
        <w:ind w:left="0"/>
        <w:jc w:val="both"/>
      </w:pPr>
      <w:r>
        <w:rPr>
          <w:rFonts w:ascii="Times New Roman"/>
          <w:b w:val="false"/>
          <w:i w:val="false"/>
          <w:color w:val="000000"/>
          <w:sz w:val="28"/>
        </w:rPr>
        <w:t>
      Расстояние между рыбинсами не превышает 305 мм.</w:t>
      </w:r>
    </w:p>
    <w:bookmarkEnd w:id="4612"/>
    <w:bookmarkStart w:name="z4617" w:id="4613"/>
    <w:p>
      <w:pPr>
        <w:spacing w:after="0"/>
        <w:ind w:left="0"/>
        <w:jc w:val="both"/>
      </w:pPr>
      <w:r>
        <w:rPr>
          <w:rFonts w:ascii="Times New Roman"/>
          <w:b w:val="false"/>
          <w:i w:val="false"/>
          <w:color w:val="000000"/>
          <w:sz w:val="28"/>
        </w:rPr>
        <w:t>
      Рыбинсы крепятся к бортовому набору таким образом, чтобы их можно было легко снимать и заменять.</w:t>
      </w:r>
    </w:p>
    <w:bookmarkEnd w:id="4613"/>
    <w:bookmarkStart w:name="z4618" w:id="4614"/>
    <w:p>
      <w:pPr>
        <w:spacing w:after="0"/>
        <w:ind w:left="0"/>
        <w:jc w:val="both"/>
      </w:pPr>
      <w:r>
        <w:rPr>
          <w:rFonts w:ascii="Times New Roman"/>
          <w:b w:val="false"/>
          <w:i w:val="false"/>
          <w:color w:val="000000"/>
          <w:sz w:val="28"/>
        </w:rPr>
        <w:t>
      1388. Все выступающие части различного оборудования в трюмах (горловины, воздушные и измерительные трубы) защищают деревянными крышками, решетками, желобами в местах, непосредственно подверженных ударам груза, грейфера или другого грузозахватного органа. Требования к прокладке трубопроводов через грузовые трюмы изложены в главе 248 настоящих Правил.</w:t>
      </w:r>
    </w:p>
    <w:bookmarkEnd w:id="4614"/>
    <w:bookmarkStart w:name="z4619" w:id="4615"/>
    <w:p>
      <w:pPr>
        <w:spacing w:after="0"/>
        <w:ind w:left="0"/>
        <w:jc w:val="left"/>
      </w:pPr>
      <w:r>
        <w:rPr>
          <w:rFonts w:ascii="Times New Roman"/>
          <w:b/>
          <w:i w:val="false"/>
          <w:color w:val="000000"/>
        </w:rPr>
        <w:t xml:space="preserve"> Параграф 2. Ячеистые направляющие конструкции для перевозки</w:t>
      </w:r>
      <w:r>
        <w:br/>
      </w:r>
      <w:r>
        <w:rPr>
          <w:rFonts w:ascii="Times New Roman"/>
          <w:b/>
          <w:i w:val="false"/>
          <w:color w:val="000000"/>
        </w:rPr>
        <w:t>контейнеров в трюмах</w:t>
      </w:r>
    </w:p>
    <w:bookmarkEnd w:id="4615"/>
    <w:bookmarkStart w:name="z4620" w:id="4616"/>
    <w:p>
      <w:pPr>
        <w:spacing w:after="0"/>
        <w:ind w:left="0"/>
        <w:jc w:val="both"/>
      </w:pPr>
      <w:r>
        <w:rPr>
          <w:rFonts w:ascii="Times New Roman"/>
          <w:b w:val="false"/>
          <w:i w:val="false"/>
          <w:color w:val="000000"/>
          <w:sz w:val="28"/>
        </w:rPr>
        <w:t>
      1389. Требования настоящего параграфа распространяются на ячеистые направляющие конструкции для перевозки контейнеров, соответствующих требованиям настоящих Правил.</w:t>
      </w:r>
    </w:p>
    <w:bookmarkEnd w:id="4616"/>
    <w:bookmarkStart w:name="z4621" w:id="4617"/>
    <w:p>
      <w:pPr>
        <w:spacing w:after="0"/>
        <w:ind w:left="0"/>
        <w:jc w:val="both"/>
      </w:pPr>
      <w:r>
        <w:rPr>
          <w:rFonts w:ascii="Times New Roman"/>
          <w:b w:val="false"/>
          <w:i w:val="false"/>
          <w:color w:val="000000"/>
          <w:sz w:val="28"/>
        </w:rPr>
        <w:t>
      Ячеистые направляющие конструкции состоят из вертикальных направляющих угольников и горизонтальных балок, расположенных поперек и вдоль судна. Ячеистые направляющие конструкции в трюмах установливают съемными или несъемными.</w:t>
      </w:r>
    </w:p>
    <w:bookmarkEnd w:id="4617"/>
    <w:bookmarkStart w:name="z4622" w:id="4618"/>
    <w:p>
      <w:pPr>
        <w:spacing w:after="0"/>
        <w:ind w:left="0"/>
        <w:jc w:val="both"/>
      </w:pPr>
      <w:r>
        <w:rPr>
          <w:rFonts w:ascii="Times New Roman"/>
          <w:b w:val="false"/>
          <w:i w:val="false"/>
          <w:color w:val="000000"/>
          <w:sz w:val="28"/>
        </w:rPr>
        <w:t>
      1390. Ячеистые направляющие конструкции не включают в конструкцию корпуса. Ячеистые направляющие конструкции выполняют таким образом, чтобы в них не возникали напряжения при изгибе и кручении корпуса.</w:t>
      </w:r>
    </w:p>
    <w:bookmarkEnd w:id="4618"/>
    <w:bookmarkStart w:name="z4623" w:id="4619"/>
    <w:p>
      <w:pPr>
        <w:spacing w:after="0"/>
        <w:ind w:left="0"/>
        <w:jc w:val="both"/>
      </w:pPr>
      <w:r>
        <w:rPr>
          <w:rFonts w:ascii="Times New Roman"/>
          <w:b w:val="false"/>
          <w:i w:val="false"/>
          <w:color w:val="000000"/>
          <w:sz w:val="28"/>
        </w:rPr>
        <w:t xml:space="preserve">
      1391. Ячеистые направляющие конструкции рассчитывают на действие усилий, возникающих в них при воздействии на центр тяжести каждого контейнера </w:t>
      </w:r>
      <w:r>
        <w:rPr>
          <w:rFonts w:ascii="Times New Roman"/>
          <w:b w:val="false"/>
          <w:i/>
          <w:color w:val="000000"/>
          <w:sz w:val="28"/>
        </w:rPr>
        <w:t>F</w:t>
      </w:r>
      <w:r>
        <w:rPr>
          <w:rFonts w:ascii="Times New Roman"/>
          <w:b w:val="false"/>
          <w:i w:val="false"/>
          <w:color w:val="000000"/>
          <w:vertAlign w:val="subscript"/>
        </w:rPr>
        <w:t>x</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определяемых по формулам:</w:t>
      </w:r>
    </w:p>
    <w:bookmarkEnd w:id="4619"/>
    <w:p>
      <w:pPr>
        <w:spacing w:after="0"/>
        <w:ind w:left="0"/>
        <w:jc w:val="both"/>
      </w:pPr>
      <w:r>
        <w:rPr>
          <w:rFonts w:ascii="Times New Roman"/>
          <w:b w:val="false"/>
          <w:i w:val="false"/>
          <w:color w:val="000000"/>
          <w:sz w:val="28"/>
        </w:rPr>
        <w:t>
      в направлении вдоль судов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color w:val="000000"/>
          <w:sz w:val="28"/>
        </w:rPr>
        <w:t>m</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vertAlign w:val="subscript"/>
        </w:rPr>
        <w:t>x</w:t>
      </w:r>
      <w:r>
        <w:rPr>
          <w:rFonts w:ascii="Times New Roman"/>
          <w:b w:val="false"/>
          <w:i w:val="false"/>
          <w:color w:val="000000"/>
          <w:sz w:val="28"/>
        </w:rPr>
        <w:t>, Н,                           (585)</w:t>
      </w:r>
    </w:p>
    <w:p>
      <w:pPr>
        <w:spacing w:after="0"/>
        <w:ind w:left="0"/>
        <w:jc w:val="both"/>
      </w:pPr>
      <w:r>
        <w:rPr>
          <w:rFonts w:ascii="Times New Roman"/>
          <w:b w:val="false"/>
          <w:i w:val="false"/>
          <w:color w:val="000000"/>
          <w:sz w:val="28"/>
        </w:rPr>
        <w:t>
      — в направлении поперек судна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y</w:t>
      </w:r>
      <w:r>
        <w:rPr>
          <w:rFonts w:ascii="Times New Roman"/>
          <w:b w:val="false"/>
          <w:i w:val="false"/>
          <w:color w:val="000000"/>
          <w:sz w:val="28"/>
        </w:rPr>
        <w:t>, H,                         (586)</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максимальная масса брутто контейнера,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ускорение силы тяжести, равное 9,81 м/с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val="false"/>
          <w:color w:val="000000"/>
          <w:sz w:val="28"/>
        </w:rPr>
        <w:t>, а</w:t>
      </w:r>
      <w:r>
        <w:rPr>
          <w:rFonts w:ascii="Times New Roman"/>
          <w:b w:val="false"/>
          <w:i w:val="false"/>
          <w:color w:val="000000"/>
          <w:vertAlign w:val="subscript"/>
        </w:rPr>
        <w:t>у</w:t>
      </w:r>
      <w:r>
        <w:rPr>
          <w:rFonts w:ascii="Times New Roman"/>
          <w:b w:val="false"/>
          <w:i w:val="false"/>
          <w:color w:val="000000"/>
          <w:sz w:val="28"/>
        </w:rPr>
        <w:t xml:space="preserve"> — безразмерные коэффициенты ускорения, определяемые в соответствии с главой 45 настоящих Правил, причем координаты </w:t>
      </w:r>
      <w:r>
        <w:rPr>
          <w:rFonts w:ascii="Times New Roman"/>
          <w:b w:val="false"/>
          <w:i/>
          <w:color w:val="000000"/>
          <w:sz w:val="28"/>
        </w:rPr>
        <w:t>х</w:t>
      </w:r>
      <w:r>
        <w:rPr>
          <w:rFonts w:ascii="Times New Roman"/>
          <w:b w:val="false"/>
          <w:i w:val="false"/>
          <w:color w:val="000000"/>
          <w:sz w:val="28"/>
        </w:rPr>
        <w:t xml:space="preserve"> и </w:t>
      </w:r>
      <w:r>
        <w:rPr>
          <w:rFonts w:ascii="Times New Roman"/>
          <w:b w:val="false"/>
          <w:i/>
          <w:color w:val="000000"/>
          <w:sz w:val="28"/>
        </w:rPr>
        <w:t>z</w:t>
      </w:r>
      <w:r>
        <w:rPr>
          <w:rFonts w:ascii="Times New Roman"/>
          <w:b w:val="false"/>
          <w:i w:val="false"/>
          <w:color w:val="000000"/>
          <w:sz w:val="28"/>
        </w:rPr>
        <w:t xml:space="preserve"> следует отсчитывать до центра тяжести объема каждого контейнера.</w:t>
      </w:r>
    </w:p>
    <w:bookmarkStart w:name="z4624" w:id="4620"/>
    <w:p>
      <w:pPr>
        <w:spacing w:after="0"/>
        <w:ind w:left="0"/>
        <w:jc w:val="both"/>
      </w:pPr>
      <w:r>
        <w:rPr>
          <w:rFonts w:ascii="Times New Roman"/>
          <w:b w:val="false"/>
          <w:i w:val="false"/>
          <w:color w:val="000000"/>
          <w:sz w:val="28"/>
        </w:rPr>
        <w:t xml:space="preserve">
      Силы </w:t>
      </w:r>
      <w:r>
        <w:rPr>
          <w:rFonts w:ascii="Times New Roman"/>
          <w:b w:val="false"/>
          <w:i/>
          <w:color w:val="000000"/>
          <w:sz w:val="28"/>
        </w:rPr>
        <w:t>F</w:t>
      </w:r>
      <w:r>
        <w:rPr>
          <w:rFonts w:ascii="Times New Roman"/>
          <w:b w:val="false"/>
          <w:i w:val="false"/>
          <w:color w:val="000000"/>
          <w:vertAlign w:val="subscript"/>
        </w:rPr>
        <w:t>x</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определяются для каждого отдельного контейнера и через соответствующие четыре угловых фитинга торцевой или боковой стенки равномерно распределяются на вертикальные направляющие угольники. Для упрощения допускается принимать максимальные силы F</w:t>
      </w:r>
      <w:r>
        <w:rPr>
          <w:rFonts w:ascii="Times New Roman"/>
          <w:b w:val="false"/>
          <w:i w:val="false"/>
          <w:color w:val="000000"/>
          <w:vertAlign w:val="subscript"/>
        </w:rPr>
        <w:t>x</w:t>
      </w:r>
      <w:r>
        <w:rPr>
          <w:rFonts w:ascii="Times New Roman"/>
          <w:b w:val="false"/>
          <w:i w:val="false"/>
          <w:color w:val="000000"/>
          <w:sz w:val="28"/>
        </w:rPr>
        <w:t xml:space="preserve"> и F</w:t>
      </w:r>
      <w:r>
        <w:rPr>
          <w:rFonts w:ascii="Times New Roman"/>
          <w:b w:val="false"/>
          <w:i w:val="false"/>
          <w:color w:val="000000"/>
          <w:vertAlign w:val="subscript"/>
        </w:rPr>
        <w:t>y</w:t>
      </w:r>
      <w:r>
        <w:rPr>
          <w:rFonts w:ascii="Times New Roman"/>
          <w:b w:val="false"/>
          <w:i w:val="false"/>
          <w:color w:val="000000"/>
          <w:sz w:val="28"/>
        </w:rPr>
        <w:t xml:space="preserve"> для каждого контейнера. Если несколько контейнеров, расположенных рядом, поддерживаются на одной паре направляющих угольников, то силы F</w:t>
      </w:r>
      <w:r>
        <w:rPr>
          <w:rFonts w:ascii="Times New Roman"/>
          <w:b w:val="false"/>
          <w:i w:val="false"/>
          <w:color w:val="000000"/>
          <w:vertAlign w:val="subscript"/>
        </w:rPr>
        <w:t>x</w:t>
      </w:r>
      <w:r>
        <w:rPr>
          <w:rFonts w:ascii="Times New Roman"/>
          <w:b w:val="false"/>
          <w:i w:val="false"/>
          <w:color w:val="000000"/>
          <w:sz w:val="28"/>
        </w:rPr>
        <w:t xml:space="preserve"> и F</w:t>
      </w:r>
      <w:r>
        <w:rPr>
          <w:rFonts w:ascii="Times New Roman"/>
          <w:b w:val="false"/>
          <w:i w:val="false"/>
          <w:color w:val="000000"/>
          <w:vertAlign w:val="subscript"/>
        </w:rPr>
        <w:t>y</w:t>
      </w:r>
      <w:r>
        <w:rPr>
          <w:rFonts w:ascii="Times New Roman"/>
          <w:b w:val="false"/>
          <w:i w:val="false"/>
          <w:color w:val="000000"/>
          <w:sz w:val="28"/>
        </w:rPr>
        <w:t xml:space="preserve"> данного яруса контейнеров следует суммировать и соответственно распределить на вертикальные направляющие угольники.</w:t>
      </w:r>
    </w:p>
    <w:bookmarkEnd w:id="4620"/>
    <w:bookmarkStart w:name="z4625" w:id="4621"/>
    <w:p>
      <w:pPr>
        <w:spacing w:after="0"/>
        <w:ind w:left="0"/>
        <w:jc w:val="both"/>
      </w:pPr>
      <w:r>
        <w:rPr>
          <w:rFonts w:ascii="Times New Roman"/>
          <w:b w:val="false"/>
          <w:i w:val="false"/>
          <w:color w:val="000000"/>
          <w:sz w:val="28"/>
        </w:rPr>
        <w:t>
      Силы трения, возникающие в местах контакта угловых фитингов контейнеров между собой, а также с внутренним дном судна, не учитываются.</w:t>
      </w:r>
    </w:p>
    <w:bookmarkEnd w:id="4621"/>
    <w:bookmarkStart w:name="z4626" w:id="4622"/>
    <w:p>
      <w:pPr>
        <w:spacing w:after="0"/>
        <w:ind w:left="0"/>
        <w:jc w:val="both"/>
      </w:pPr>
      <w:r>
        <w:rPr>
          <w:rFonts w:ascii="Times New Roman"/>
          <w:b w:val="false"/>
          <w:i w:val="false"/>
          <w:color w:val="000000"/>
          <w:sz w:val="28"/>
        </w:rPr>
        <w:t>
      1392. Усилия в местах опирания угловых фитингов контейнеров на</w:t>
      </w:r>
    </w:p>
    <w:bookmarkEnd w:id="4622"/>
    <w:bookmarkStart w:name="z4627" w:id="4623"/>
    <w:p>
      <w:pPr>
        <w:spacing w:after="0"/>
        <w:ind w:left="0"/>
        <w:jc w:val="both"/>
      </w:pPr>
      <w:r>
        <w:rPr>
          <w:rFonts w:ascii="Times New Roman"/>
          <w:b w:val="false"/>
          <w:i w:val="false"/>
          <w:color w:val="000000"/>
          <w:sz w:val="28"/>
        </w:rPr>
        <w:t>
      направляющие угольники, результирующие из нагрузок, определяемых согласно пункту 1391 настоящих Правил, не превышает 150кН на фитинг в поперечном направлении и 75 кН на фитинг в продольном направлении судна.</w:t>
      </w:r>
    </w:p>
    <w:bookmarkEnd w:id="4623"/>
    <w:bookmarkStart w:name="z4628" w:id="4624"/>
    <w:p>
      <w:pPr>
        <w:spacing w:after="0"/>
        <w:ind w:left="0"/>
        <w:jc w:val="both"/>
      </w:pPr>
      <w:r>
        <w:rPr>
          <w:rFonts w:ascii="Times New Roman"/>
          <w:b w:val="false"/>
          <w:i w:val="false"/>
          <w:color w:val="000000"/>
          <w:sz w:val="28"/>
        </w:rPr>
        <w:t>
      1393. В случае, когда соединения вертикальных направляющих угольников с конструкциями корпуса судна рассматриваются не как жестко заделанные (свободно опертые, упруго заделанные) ячеистые направляющие конструкции рассчитываются как пространственные рамы.</w:t>
      </w:r>
    </w:p>
    <w:bookmarkEnd w:id="4624"/>
    <w:bookmarkStart w:name="z4629" w:id="4625"/>
    <w:p>
      <w:pPr>
        <w:spacing w:after="0"/>
        <w:ind w:left="0"/>
        <w:jc w:val="both"/>
      </w:pPr>
      <w:r>
        <w:rPr>
          <w:rFonts w:ascii="Times New Roman"/>
          <w:b w:val="false"/>
          <w:i w:val="false"/>
          <w:color w:val="000000"/>
          <w:sz w:val="28"/>
        </w:rPr>
        <w:t>
      Если соединения вертикальных направляющих угольников с конструкциями корпуса судна могут рассматриваться как жестко заделанные, отдельные вертикальные плоскости ячеистых направляющих конструкций допускается рассчитывать как плоские рамы.</w:t>
      </w:r>
    </w:p>
    <w:bookmarkEnd w:id="4625"/>
    <w:bookmarkStart w:name="z4630" w:id="4626"/>
    <w:p>
      <w:pPr>
        <w:spacing w:after="0"/>
        <w:ind w:left="0"/>
        <w:jc w:val="both"/>
      </w:pPr>
      <w:r>
        <w:rPr>
          <w:rFonts w:ascii="Times New Roman"/>
          <w:b w:val="false"/>
          <w:i w:val="false"/>
          <w:color w:val="000000"/>
          <w:sz w:val="28"/>
        </w:rPr>
        <w:t>
      Напряжения, возникающие в элементах ячеистых направляющих конструкций, не превышают 0,8 верхнего предела текучести применяемого материала.</w:t>
      </w:r>
    </w:p>
    <w:bookmarkEnd w:id="4626"/>
    <w:bookmarkStart w:name="z4631" w:id="4627"/>
    <w:p>
      <w:pPr>
        <w:spacing w:after="0"/>
        <w:ind w:left="0"/>
        <w:jc w:val="both"/>
      </w:pPr>
      <w:r>
        <w:rPr>
          <w:rFonts w:ascii="Times New Roman"/>
          <w:b w:val="false"/>
          <w:i w:val="false"/>
          <w:color w:val="000000"/>
          <w:sz w:val="28"/>
        </w:rPr>
        <w:t>
      Условия для расчета устойчивости элементов ячеистых направляющих конструкций приведены в пункте 1401 настоящих Правил.</w:t>
      </w:r>
    </w:p>
    <w:bookmarkEnd w:id="4627"/>
    <w:bookmarkStart w:name="z4632" w:id="4628"/>
    <w:p>
      <w:pPr>
        <w:spacing w:after="0"/>
        <w:ind w:left="0"/>
        <w:jc w:val="both"/>
      </w:pPr>
      <w:r>
        <w:rPr>
          <w:rFonts w:ascii="Times New Roman"/>
          <w:b w:val="false"/>
          <w:i w:val="false"/>
          <w:color w:val="000000"/>
          <w:sz w:val="28"/>
        </w:rPr>
        <w:t>
      1394. С учетом требований пункта 1393 настоящих Правил смещения опорных мест угловых фитингов контейнеров на направляющих угольниках превышают 25 мм в поперечном и 40 мм в продольном направлениях судна.</w:t>
      </w:r>
    </w:p>
    <w:bookmarkEnd w:id="4628"/>
    <w:bookmarkStart w:name="z4633" w:id="4629"/>
    <w:p>
      <w:pPr>
        <w:spacing w:after="0"/>
        <w:ind w:left="0"/>
        <w:jc w:val="both"/>
      </w:pPr>
      <w:r>
        <w:rPr>
          <w:rFonts w:ascii="Times New Roman"/>
          <w:b w:val="false"/>
          <w:i w:val="false"/>
          <w:color w:val="000000"/>
          <w:sz w:val="28"/>
        </w:rPr>
        <w:t>
      1395. Рассчитанные толщины элементов направляющих угольников,подверженных особому износу, увеличиваются на 5 мм и составляют по меньшей мере 12 мм.</w:t>
      </w:r>
    </w:p>
    <w:bookmarkEnd w:id="4629"/>
    <w:bookmarkStart w:name="z4634" w:id="4630"/>
    <w:p>
      <w:pPr>
        <w:spacing w:after="0"/>
        <w:ind w:left="0"/>
        <w:jc w:val="both"/>
      </w:pPr>
      <w:r>
        <w:rPr>
          <w:rFonts w:ascii="Times New Roman"/>
          <w:b w:val="false"/>
          <w:i w:val="false"/>
          <w:color w:val="000000"/>
          <w:sz w:val="28"/>
        </w:rPr>
        <w:t>
      1396. Если вертикальные направляющие угольники состоят из отдельных угловых профилей, они прочно соединяются друг с другом горизонтальными листами в районе опорных мест угловых фитингов контейнеров и по меньшей мере на половине расстояния между опорными местами.</w:t>
      </w:r>
    </w:p>
    <w:bookmarkEnd w:id="4630"/>
    <w:bookmarkStart w:name="z4635" w:id="4631"/>
    <w:p>
      <w:pPr>
        <w:spacing w:after="0"/>
        <w:ind w:left="0"/>
        <w:jc w:val="both"/>
      </w:pPr>
      <w:r>
        <w:rPr>
          <w:rFonts w:ascii="Times New Roman"/>
          <w:b w:val="false"/>
          <w:i w:val="false"/>
          <w:color w:val="000000"/>
          <w:sz w:val="28"/>
        </w:rPr>
        <w:t>
      1397. Верхние концы вертикальных направляющих угольников оснащаются устройствами для ввода контейнеров в раму для укладки.</w:t>
      </w:r>
    </w:p>
    <w:bookmarkEnd w:id="4631"/>
    <w:bookmarkStart w:name="z4636" w:id="4632"/>
    <w:p>
      <w:pPr>
        <w:spacing w:after="0"/>
        <w:ind w:left="0"/>
        <w:jc w:val="both"/>
      </w:pPr>
      <w:r>
        <w:rPr>
          <w:rFonts w:ascii="Times New Roman"/>
          <w:b w:val="false"/>
          <w:i w:val="false"/>
          <w:color w:val="000000"/>
          <w:sz w:val="28"/>
        </w:rPr>
        <w:t>
      1398. Вертикальные направляющие угольники укрепляются по возможности без надрезов к поперечным и продольным переборкам посредством элементов конструкций, жестких при сдвиге и изгибе.</w:t>
      </w:r>
    </w:p>
    <w:bookmarkEnd w:id="4632"/>
    <w:bookmarkStart w:name="z4637" w:id="4633"/>
    <w:p>
      <w:pPr>
        <w:spacing w:after="0"/>
        <w:ind w:left="0"/>
        <w:jc w:val="both"/>
      </w:pPr>
      <w:r>
        <w:rPr>
          <w:rFonts w:ascii="Times New Roman"/>
          <w:b w:val="false"/>
          <w:i w:val="false"/>
          <w:color w:val="000000"/>
          <w:sz w:val="28"/>
        </w:rPr>
        <w:t>
      1399. Весь зазор между наружными размерами контейнеров и внутренними плоскостями направляющих угольников равен не более 25 мм в поперечном и не более 40 мм в продольном направлениях судна.</w:t>
      </w:r>
    </w:p>
    <w:bookmarkEnd w:id="4633"/>
    <w:bookmarkStart w:name="z4638" w:id="4634"/>
    <w:p>
      <w:pPr>
        <w:spacing w:after="0"/>
        <w:ind w:left="0"/>
        <w:jc w:val="both"/>
      </w:pPr>
      <w:r>
        <w:rPr>
          <w:rFonts w:ascii="Times New Roman"/>
          <w:b w:val="false"/>
          <w:i w:val="false"/>
          <w:color w:val="000000"/>
          <w:sz w:val="28"/>
        </w:rPr>
        <w:t>
      Отклонение от идеальной прямой при установке вертикальных направляющих угольников равно не более 5 мм.</w:t>
      </w:r>
    </w:p>
    <w:bookmarkEnd w:id="4634"/>
    <w:bookmarkStart w:name="z4639" w:id="4635"/>
    <w:p>
      <w:pPr>
        <w:spacing w:after="0"/>
        <w:ind w:left="0"/>
        <w:jc w:val="both"/>
      </w:pPr>
      <w:r>
        <w:rPr>
          <w:rFonts w:ascii="Times New Roman"/>
          <w:b w:val="false"/>
          <w:i w:val="false"/>
          <w:color w:val="000000"/>
          <w:sz w:val="28"/>
        </w:rPr>
        <w:t>
      1400. Горизонтальные поперечные и продольные балки служат для поддерживания свободно стоящих вертикальных направляющих угольников между собой, а также на вертикальных конструкциях корпуса судна. Горизонтальные балки по возможности следует устанавливать на высоте опорных мест угловых фитингов контейнеров и соединять с вертикальными направляющими угольниками жестко по отношению к скручиванию и изгибу.</w:t>
      </w:r>
    </w:p>
    <w:bookmarkEnd w:id="4635"/>
    <w:bookmarkStart w:name="z4640" w:id="4636"/>
    <w:p>
      <w:pPr>
        <w:spacing w:after="0"/>
        <w:ind w:left="0"/>
        <w:jc w:val="both"/>
      </w:pPr>
      <w:r>
        <w:rPr>
          <w:rFonts w:ascii="Times New Roman"/>
          <w:b w:val="false"/>
          <w:i w:val="false"/>
          <w:color w:val="000000"/>
          <w:sz w:val="28"/>
        </w:rPr>
        <w:t>
      1401. Проверку устойчивости для горизонтальных поперечных и продольных балок и, в случае необходимости, для вертикальных направляющих угольников следует производить на основе признанной Регистром судоходства методики.</w:t>
      </w:r>
    </w:p>
    <w:bookmarkEnd w:id="4636"/>
    <w:bookmarkStart w:name="z4641" w:id="4637"/>
    <w:p>
      <w:pPr>
        <w:spacing w:after="0"/>
        <w:ind w:left="0"/>
        <w:jc w:val="both"/>
      </w:pPr>
      <w:r>
        <w:rPr>
          <w:rFonts w:ascii="Times New Roman"/>
          <w:b w:val="false"/>
          <w:i w:val="false"/>
          <w:color w:val="000000"/>
          <w:sz w:val="28"/>
        </w:rPr>
        <w:t>
      При доказательстве идеальных нагрузок при продольном изгибе необходимый коэффициент запаса прочности принимают равным 2,0.</w:t>
      </w:r>
    </w:p>
    <w:bookmarkEnd w:id="4637"/>
    <w:bookmarkStart w:name="z4642" w:id="4638"/>
    <w:p>
      <w:pPr>
        <w:spacing w:after="0"/>
        <w:ind w:left="0"/>
        <w:jc w:val="both"/>
      </w:pPr>
      <w:r>
        <w:rPr>
          <w:rFonts w:ascii="Times New Roman"/>
          <w:b w:val="false"/>
          <w:i w:val="false"/>
          <w:color w:val="000000"/>
          <w:sz w:val="28"/>
        </w:rPr>
        <w:t>
      Свободная длина при продольном изгибе принимается равной пролету в случае соединения болтами и 0,7 пролета балок или направляющих угольников в случае сварного соединения. Гибкость не превышает 250.</w:t>
      </w:r>
    </w:p>
    <w:bookmarkEnd w:id="4638"/>
    <w:bookmarkStart w:name="z4643" w:id="4639"/>
    <w:p>
      <w:pPr>
        <w:spacing w:after="0"/>
        <w:ind w:left="0"/>
        <w:jc w:val="both"/>
      </w:pPr>
      <w:r>
        <w:rPr>
          <w:rFonts w:ascii="Times New Roman"/>
          <w:b w:val="false"/>
          <w:i w:val="false"/>
          <w:color w:val="000000"/>
          <w:sz w:val="28"/>
        </w:rPr>
        <w:t>
      Определение свободной длины при других видах заделки (крепления) концов стержня осуществляется по согласованию с Регистром судоходства.</w:t>
      </w:r>
    </w:p>
    <w:bookmarkEnd w:id="4639"/>
    <w:bookmarkStart w:name="z4644" w:id="4640"/>
    <w:p>
      <w:pPr>
        <w:spacing w:after="0"/>
        <w:ind w:left="0"/>
        <w:jc w:val="both"/>
      </w:pPr>
      <w:r>
        <w:rPr>
          <w:rFonts w:ascii="Times New Roman"/>
          <w:b w:val="false"/>
          <w:i w:val="false"/>
          <w:color w:val="000000"/>
          <w:sz w:val="28"/>
        </w:rPr>
        <w:t>
      1402. Опорные места контейнеров на внутреннем дне, а также районы соединительных и присоединительных конструкций рам для укладки контейнеров у элементов конструкций корпуса судна подкрепляются в соответствии с требованиями раздела 4 настоящих Правил.</w:t>
      </w:r>
    </w:p>
    <w:bookmarkEnd w:id="4640"/>
    <w:bookmarkStart w:name="z4645" w:id="4641"/>
    <w:p>
      <w:pPr>
        <w:spacing w:after="0"/>
        <w:ind w:left="0"/>
        <w:jc w:val="left"/>
      </w:pPr>
      <w:r>
        <w:rPr>
          <w:rFonts w:ascii="Times New Roman"/>
          <w:b/>
          <w:i w:val="false"/>
          <w:color w:val="000000"/>
        </w:rPr>
        <w:t xml:space="preserve"> Параграф 3. Перемещаемые палубы, платформы, рампы и</w:t>
      </w:r>
      <w:r>
        <w:br/>
      </w:r>
      <w:r>
        <w:rPr>
          <w:rFonts w:ascii="Times New Roman"/>
          <w:b/>
          <w:i w:val="false"/>
          <w:color w:val="000000"/>
        </w:rPr>
        <w:t>другие аналогичные конструкции</w:t>
      </w:r>
    </w:p>
    <w:bookmarkEnd w:id="4641"/>
    <w:bookmarkStart w:name="z4646" w:id="4642"/>
    <w:p>
      <w:pPr>
        <w:spacing w:after="0"/>
        <w:ind w:left="0"/>
        <w:jc w:val="both"/>
      </w:pPr>
      <w:r>
        <w:rPr>
          <w:rFonts w:ascii="Times New Roman"/>
          <w:b w:val="false"/>
          <w:i w:val="false"/>
          <w:color w:val="000000"/>
          <w:sz w:val="28"/>
        </w:rPr>
        <w:t>
      1403. Требования настоящей главы распространяются на перемещаемые палубы, платформы, рампы и другие аналогичные конструкции, установка которых предусматривается в двух положениях:</w:t>
      </w:r>
    </w:p>
    <w:bookmarkEnd w:id="4642"/>
    <w:bookmarkStart w:name="z4647" w:id="4643"/>
    <w:p>
      <w:pPr>
        <w:spacing w:after="0"/>
        <w:ind w:left="0"/>
        <w:jc w:val="both"/>
      </w:pPr>
      <w:r>
        <w:rPr>
          <w:rFonts w:ascii="Times New Roman"/>
          <w:b w:val="false"/>
          <w:i w:val="false"/>
          <w:color w:val="000000"/>
          <w:sz w:val="28"/>
        </w:rPr>
        <w:t>
      1) в рабочем положении, при котором они используются для перевозки, погрузки и разгрузки транспортных средств или других грузов;</w:t>
      </w:r>
    </w:p>
    <w:bookmarkEnd w:id="4643"/>
    <w:bookmarkStart w:name="z4648" w:id="4644"/>
    <w:p>
      <w:pPr>
        <w:spacing w:after="0"/>
        <w:ind w:left="0"/>
        <w:jc w:val="both"/>
      </w:pPr>
      <w:r>
        <w:rPr>
          <w:rFonts w:ascii="Times New Roman"/>
          <w:b w:val="false"/>
          <w:i w:val="false"/>
          <w:color w:val="000000"/>
          <w:sz w:val="28"/>
        </w:rPr>
        <w:t>
      2) в нерабочем положении, при котором они не используются для перевозки, погрузки или разгрузки транспортных средств или других грузов.</w:t>
      </w:r>
    </w:p>
    <w:bookmarkEnd w:id="4644"/>
    <w:bookmarkStart w:name="z4649" w:id="4645"/>
    <w:p>
      <w:pPr>
        <w:spacing w:after="0"/>
        <w:ind w:left="0"/>
        <w:jc w:val="both"/>
      </w:pPr>
      <w:r>
        <w:rPr>
          <w:rFonts w:ascii="Times New Roman"/>
          <w:b w:val="false"/>
          <w:i w:val="false"/>
          <w:color w:val="000000"/>
          <w:sz w:val="28"/>
        </w:rPr>
        <w:t>
      1404. Конструкция перемещаемых палуб, платформ, рамп и других аналогичных конструкций, а также опорные конструкции на бортах, палубах и переборках, пиллерсы или тяги для подвешивания палуб, платформ, обеспечивающие их надежную установку в рабочем положении, отвечают требованиям части 3 настоящих Правил.</w:t>
      </w:r>
    </w:p>
    <w:bookmarkEnd w:id="4645"/>
    <w:bookmarkStart w:name="z4650" w:id="4646"/>
    <w:p>
      <w:pPr>
        <w:spacing w:after="0"/>
        <w:ind w:left="0"/>
        <w:jc w:val="both"/>
      </w:pPr>
      <w:r>
        <w:rPr>
          <w:rFonts w:ascii="Times New Roman"/>
          <w:b w:val="false"/>
          <w:i w:val="false"/>
          <w:color w:val="000000"/>
          <w:sz w:val="28"/>
        </w:rPr>
        <w:t>
      1405. Предусматривают устройства, обеспечивающие надежное крепление перемещаемых палуб, платформ, рамп и других аналогичных конструкций в нерабочем положении.</w:t>
      </w:r>
    </w:p>
    <w:bookmarkEnd w:id="4646"/>
    <w:bookmarkStart w:name="z4651" w:id="4647"/>
    <w:p>
      <w:pPr>
        <w:spacing w:after="0"/>
        <w:ind w:left="0"/>
        <w:jc w:val="both"/>
      </w:pPr>
      <w:r>
        <w:rPr>
          <w:rFonts w:ascii="Times New Roman"/>
          <w:b w:val="false"/>
          <w:i w:val="false"/>
          <w:color w:val="000000"/>
          <w:sz w:val="28"/>
        </w:rPr>
        <w:t>
      1406. При закрепленных в нерабочем положении палубах, платформах, рампах и других аналогичных конструкциях их подъемное устройство и его элементы, как правило, не остаются под нагрузкой.</w:t>
      </w:r>
    </w:p>
    <w:bookmarkEnd w:id="4647"/>
    <w:bookmarkStart w:name="z4652" w:id="4648"/>
    <w:p>
      <w:pPr>
        <w:spacing w:after="0"/>
        <w:ind w:left="0"/>
        <w:jc w:val="both"/>
      </w:pPr>
      <w:r>
        <w:rPr>
          <w:rFonts w:ascii="Times New Roman"/>
          <w:b w:val="false"/>
          <w:i w:val="false"/>
          <w:color w:val="000000"/>
          <w:sz w:val="28"/>
        </w:rPr>
        <w:t>
      Не допускается крепление перемещаемых палуб, платформ, рамп и других аналогичных конструкций путем подвешивания их на тросах.</w:t>
      </w:r>
    </w:p>
    <w:bookmarkEnd w:id="4648"/>
    <w:bookmarkStart w:name="z4653" w:id="4649"/>
    <w:p>
      <w:pPr>
        <w:spacing w:after="0"/>
        <w:ind w:left="0"/>
        <w:jc w:val="both"/>
      </w:pPr>
      <w:r>
        <w:rPr>
          <w:rFonts w:ascii="Times New Roman"/>
          <w:b w:val="false"/>
          <w:i w:val="false"/>
          <w:color w:val="000000"/>
          <w:sz w:val="28"/>
        </w:rPr>
        <w:t>
      1407. Элементы конструкции устройств, указанных в пункте 1405 настоящих Правил, а также соответствующие опорные конструкции рассчитывают на действие усилий, возникающих в них при действии на центр тяжести рассматриваемой секции палубы, платформы, рампы или другой аналогичной конструкции сил Р</w:t>
      </w:r>
      <w:r>
        <w:rPr>
          <w:rFonts w:ascii="Times New Roman"/>
          <w:b w:val="false"/>
          <w:i w:val="false"/>
          <w:color w:val="000000"/>
          <w:vertAlign w:val="subscript"/>
        </w:rPr>
        <w:t>х</w:t>
      </w: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и P</w:t>
      </w:r>
      <w:r>
        <w:rPr>
          <w:rFonts w:ascii="Times New Roman"/>
          <w:b w:val="false"/>
          <w:i w:val="false"/>
          <w:color w:val="000000"/>
          <w:vertAlign w:val="subscript"/>
        </w:rPr>
        <w:t>z</w:t>
      </w:r>
      <w:r>
        <w:rPr>
          <w:rFonts w:ascii="Times New Roman"/>
          <w:b w:val="false"/>
          <w:i w:val="false"/>
          <w:color w:val="000000"/>
          <w:sz w:val="28"/>
        </w:rPr>
        <w:t>, определяемых по формулам:</w:t>
      </w:r>
    </w:p>
    <w:bookmarkEnd w:id="464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mga</w:t>
      </w:r>
      <w:r>
        <w:rPr>
          <w:rFonts w:ascii="Times New Roman"/>
          <w:b w:val="false"/>
          <w:i w:val="false"/>
          <w:color w:val="000000"/>
          <w:vertAlign w:val="subscript"/>
        </w:rPr>
        <w:t>x</w:t>
      </w:r>
      <w:r>
        <w:rPr>
          <w:rFonts w:ascii="Times New Roman"/>
          <w:b w:val="false"/>
          <w:i w:val="false"/>
          <w:color w:val="000000"/>
          <w:sz w:val="28"/>
        </w:rPr>
        <w:t>,                               (587)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color w:val="000000"/>
          <w:sz w:val="28"/>
        </w:rPr>
        <w:t>mga</w:t>
      </w:r>
      <w:r>
        <w:rPr>
          <w:rFonts w:ascii="Times New Roman"/>
          <w:b w:val="false"/>
          <w:i w:val="false"/>
          <w:color w:val="000000"/>
          <w:vertAlign w:val="subscript"/>
        </w:rPr>
        <w:t>y</w:t>
      </w:r>
      <w:r>
        <w:rPr>
          <w:rFonts w:ascii="Times New Roman"/>
          <w:b w:val="false"/>
          <w:i w:val="false"/>
          <w:color w:val="000000"/>
          <w:sz w:val="28"/>
        </w:rPr>
        <w:t>,                               (588)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xml:space="preserve"> = </w:t>
      </w:r>
      <w:r>
        <w:rPr>
          <w:rFonts w:ascii="Times New Roman"/>
          <w:b w:val="false"/>
          <w:i/>
          <w:color w:val="000000"/>
          <w:sz w:val="28"/>
        </w:rPr>
        <w:t>m-g</w:t>
      </w:r>
      <w:r>
        <w:rPr>
          <w:rFonts w:ascii="Times New Roman"/>
          <w:b w:val="false"/>
          <w:i w:val="false"/>
          <w:color w:val="000000"/>
          <w:sz w:val="28"/>
        </w:rPr>
        <w:t>(</w:t>
      </w:r>
      <w:r>
        <w:rPr>
          <w:rFonts w:ascii="Times New Roman"/>
          <w:b w:val="false"/>
          <w:i/>
          <w:color w:val="000000"/>
          <w:sz w:val="28"/>
        </w:rPr>
        <w:t>l+az</w:t>
      </w:r>
      <w:r>
        <w:rPr>
          <w:rFonts w:ascii="Times New Roman"/>
          <w:b w:val="false"/>
          <w:i w:val="false"/>
          <w:color w:val="000000"/>
          <w:sz w:val="28"/>
        </w:rPr>
        <w:t>),                          (589)</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горизонтальная сила, параллельная диаметральной плоскости судна, Н. Рассматривают случаи направления силы Р</w:t>
      </w:r>
      <w:r>
        <w:rPr>
          <w:rFonts w:ascii="Times New Roman"/>
          <w:b w:val="false"/>
          <w:i w:val="false"/>
          <w:color w:val="000000"/>
          <w:vertAlign w:val="subscript"/>
        </w:rPr>
        <w:t>х</w:t>
      </w:r>
      <w:r>
        <w:rPr>
          <w:rFonts w:ascii="Times New Roman"/>
          <w:b w:val="false"/>
          <w:i w:val="false"/>
          <w:color w:val="000000"/>
          <w:sz w:val="28"/>
        </w:rPr>
        <w:t xml:space="preserve"> как в нос, так и в корму;</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 горизонтальная сила, параллельная плоскости мидель-шпангоута, Н. Должны быть рассмотрены случаи направления силы Р</w:t>
      </w:r>
      <w:r>
        <w:rPr>
          <w:rFonts w:ascii="Times New Roman"/>
          <w:b w:val="false"/>
          <w:i w:val="false"/>
          <w:color w:val="000000"/>
          <w:vertAlign w:val="subscript"/>
        </w:rPr>
        <w:t>у</w:t>
      </w:r>
      <w:r>
        <w:rPr>
          <w:rFonts w:ascii="Times New Roman"/>
          <w:b w:val="false"/>
          <w:i w:val="false"/>
          <w:color w:val="000000"/>
          <w:sz w:val="28"/>
        </w:rPr>
        <w:t xml:space="preserve"> как в сторону ближайшего борта, так и в противоположную сторону;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z</w:t>
      </w:r>
      <w:r>
        <w:rPr>
          <w:rFonts w:ascii="Times New Roman"/>
          <w:b w:val="false"/>
          <w:i w:val="false"/>
          <w:color w:val="000000"/>
          <w:sz w:val="28"/>
        </w:rPr>
        <w:t xml:space="preserve"> — вертикальная сила, направленная вниз, 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масса рассматриваемой секции палубы, платформы, рампы или другой аналогичной конструкции,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ускорение свободного падения, равное 9,81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х</w:t>
      </w:r>
      <w:r>
        <w:rPr>
          <w:rFonts w:ascii="Times New Roman"/>
          <w:b w:val="false"/>
          <w:i w:val="false"/>
          <w:color w:val="000000"/>
          <w:sz w:val="28"/>
        </w:rPr>
        <w:t>, а</w:t>
      </w:r>
      <w:r>
        <w:rPr>
          <w:rFonts w:ascii="Times New Roman"/>
          <w:b w:val="false"/>
          <w:i w:val="false"/>
          <w:color w:val="000000"/>
          <w:vertAlign w:val="subscript"/>
        </w:rPr>
        <w:t>у</w:t>
      </w: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безразмерные коэффициенты ускорения, определяемые в соответствии с главой 45 настоящих Правил.</w:t>
      </w:r>
    </w:p>
    <w:bookmarkStart w:name="z4654" w:id="4650"/>
    <w:p>
      <w:pPr>
        <w:spacing w:after="0"/>
        <w:ind w:left="0"/>
        <w:jc w:val="both"/>
      </w:pPr>
      <w:r>
        <w:rPr>
          <w:rFonts w:ascii="Times New Roman"/>
          <w:b w:val="false"/>
          <w:i w:val="false"/>
          <w:color w:val="000000"/>
          <w:sz w:val="28"/>
        </w:rPr>
        <w:t>
      1408. При определении усилий, действующих на элементы конструкции устройств, указанных в пункте 1405 настоящих Правил, и на соответствующие опорные конструкции с учетом указаний пункта 1407 настоящих Правил, силы Р</w:t>
      </w:r>
      <w:r>
        <w:rPr>
          <w:rFonts w:ascii="Times New Roman"/>
          <w:b w:val="false"/>
          <w:i w:val="false"/>
          <w:color w:val="000000"/>
          <w:vertAlign w:val="subscript"/>
        </w:rPr>
        <w:t>х</w:t>
      </w: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и P</w:t>
      </w:r>
      <w:r>
        <w:rPr>
          <w:rFonts w:ascii="Times New Roman"/>
          <w:b w:val="false"/>
          <w:i w:val="false"/>
          <w:color w:val="000000"/>
          <w:vertAlign w:val="subscript"/>
        </w:rPr>
        <w:t>z</w:t>
      </w:r>
      <w:r>
        <w:rPr>
          <w:rFonts w:ascii="Times New Roman"/>
          <w:b w:val="false"/>
          <w:i w:val="false"/>
          <w:color w:val="000000"/>
          <w:sz w:val="28"/>
        </w:rPr>
        <w:t xml:space="preserve"> рассматриваются как действующие раздельно, то есть их совместное действие не учитывается, не учитываются также силы трения, возникающие на поверхностях соприкосновения рассматриваемых секций палуб, платформ, рамп или других аналогичных конструкций с соответствующей опорной конструкцией.</w:t>
      </w:r>
    </w:p>
    <w:bookmarkEnd w:id="4650"/>
    <w:bookmarkStart w:name="z4655" w:id="4651"/>
    <w:p>
      <w:pPr>
        <w:spacing w:after="0"/>
        <w:ind w:left="0"/>
        <w:jc w:val="both"/>
      </w:pPr>
      <w:r>
        <w:rPr>
          <w:rFonts w:ascii="Times New Roman"/>
          <w:b w:val="false"/>
          <w:i w:val="false"/>
          <w:color w:val="000000"/>
          <w:sz w:val="28"/>
        </w:rPr>
        <w:t>
      1409. При действии на элементы конструкций, указанных в пункте 1405 настоящих Правил, и на соответствующие опорные конструкции усилий, определенных в соответствии с указаниями пунктов 1407 и 1408 настоящих Правил, напряжения в них не превышает 0,8 верхнего предела текучести их материала.</w:t>
      </w:r>
    </w:p>
    <w:bookmarkEnd w:id="4651"/>
    <w:bookmarkStart w:name="z4656" w:id="4652"/>
    <w:p>
      <w:pPr>
        <w:spacing w:after="0"/>
        <w:ind w:left="0"/>
        <w:jc w:val="both"/>
      </w:pPr>
      <w:r>
        <w:rPr>
          <w:rFonts w:ascii="Times New Roman"/>
          <w:b w:val="false"/>
          <w:i w:val="false"/>
          <w:color w:val="000000"/>
          <w:sz w:val="28"/>
        </w:rPr>
        <w:t>
      При действии этих усилий запас прочности в стальных тросах равен не менее 4 относительно их разрывного усилия в целом; запас прочности в цепях — не менее 2 относительно пробной нагрузки цепи; запас устойчивости в элементах, подвергнутых напряжениям сжатия, должен быть не менее 2.</w:t>
      </w:r>
    </w:p>
    <w:bookmarkEnd w:id="4652"/>
    <w:bookmarkStart w:name="z4657" w:id="4653"/>
    <w:p>
      <w:pPr>
        <w:spacing w:after="0"/>
        <w:ind w:left="0"/>
        <w:jc w:val="both"/>
      </w:pPr>
      <w:r>
        <w:rPr>
          <w:rFonts w:ascii="Times New Roman"/>
          <w:b w:val="false"/>
          <w:i w:val="false"/>
          <w:color w:val="000000"/>
          <w:sz w:val="28"/>
        </w:rPr>
        <w:t>
      1410. Применяемые в составе устройств, указанных в пункте 1405 настоящих Правил, стальные канаты отвечают требованиям главы 595, а цепи - требованиям главы 610 настоящих Правил.</w:t>
      </w:r>
    </w:p>
    <w:bookmarkEnd w:id="4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58" w:id="4654"/>
    <w:p>
      <w:pPr>
        <w:spacing w:after="0"/>
        <w:ind w:left="0"/>
        <w:jc w:val="left"/>
      </w:pPr>
      <w:r>
        <w:rPr>
          <w:rFonts w:ascii="Times New Roman"/>
          <w:b/>
          <w:i w:val="false"/>
          <w:color w:val="000000"/>
        </w:rPr>
        <w:t xml:space="preserve"> Глава 84. Выходы, двери, коридоры, наклонные и вертикальные трапы</w:t>
      </w:r>
    </w:p>
    <w:bookmarkEnd w:id="4654"/>
    <w:p>
      <w:pPr>
        <w:spacing w:after="0"/>
        <w:ind w:left="0"/>
        <w:jc w:val="both"/>
      </w:pPr>
      <w:r>
        <w:rPr>
          <w:rFonts w:ascii="Times New Roman"/>
          <w:b w:val="false"/>
          <w:i w:val="false"/>
          <w:color w:val="ff0000"/>
          <w:sz w:val="28"/>
        </w:rPr>
        <w:t xml:space="preserve">
      Сноска. Заголовок главы 84 -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59" w:id="4655"/>
    <w:p>
      <w:pPr>
        <w:spacing w:after="0"/>
        <w:ind w:left="0"/>
        <w:jc w:val="left"/>
      </w:pPr>
      <w:r>
        <w:rPr>
          <w:rFonts w:ascii="Times New Roman"/>
          <w:b/>
          <w:i w:val="false"/>
          <w:color w:val="000000"/>
        </w:rPr>
        <w:t xml:space="preserve"> Параграф 1. Общие требования, выходы и двери</w:t>
      </w:r>
    </w:p>
    <w:bookmarkEnd w:id="4655"/>
    <w:bookmarkStart w:name="z4660" w:id="4656"/>
    <w:p>
      <w:pPr>
        <w:spacing w:after="0"/>
        <w:ind w:left="0"/>
        <w:jc w:val="both"/>
      </w:pPr>
      <w:r>
        <w:rPr>
          <w:rFonts w:ascii="Times New Roman"/>
          <w:b w:val="false"/>
          <w:i w:val="false"/>
          <w:color w:val="000000"/>
          <w:sz w:val="28"/>
        </w:rPr>
        <w:t>
      1411. Расположение и устройство выходов, дверей, коридоров, наклонных и вертикальных трапов обеспечивает возможность быстрого доступа из помещений к местам посадки в спасательные шлюпки и плоты.</w:t>
      </w:r>
    </w:p>
    <w:bookmarkEnd w:id="4656"/>
    <w:bookmarkStart w:name="z4661" w:id="4657"/>
    <w:p>
      <w:pPr>
        <w:spacing w:after="0"/>
        <w:ind w:left="0"/>
        <w:jc w:val="both"/>
      </w:pPr>
      <w:r>
        <w:rPr>
          <w:rFonts w:ascii="Times New Roman"/>
          <w:b w:val="false"/>
          <w:i w:val="false"/>
          <w:color w:val="000000"/>
          <w:sz w:val="28"/>
        </w:rPr>
        <w:t>
      1412. На пассажирских судах и судах специального назначения каждый водонепроницаемый отсек или ограниченное аналогичным образом помещение или группа помещений, расположенные ниже палубы переборок, имеют не менее двух выходов, один из которых во всяком случае независим от двери в переборке деления судна на отсеки.</w:t>
      </w:r>
    </w:p>
    <w:bookmarkEnd w:id="4657"/>
    <w:bookmarkStart w:name="z4662" w:id="4658"/>
    <w:p>
      <w:pPr>
        <w:spacing w:after="0"/>
        <w:ind w:left="0"/>
        <w:jc w:val="both"/>
      </w:pPr>
      <w:r>
        <w:rPr>
          <w:rFonts w:ascii="Times New Roman"/>
          <w:b w:val="false"/>
          <w:i w:val="false"/>
          <w:color w:val="000000"/>
          <w:sz w:val="28"/>
        </w:rPr>
        <w:t>
      Предусматривают два пути эвакуации из центрального поста управления двигателями, расположенного в машинном отделении; по крайней мере один из них обеспечивает непрерывную защиту от огня до безопасного места за пределами машинного отделения (пункт 2187 настоящих Правил).</w:t>
      </w:r>
    </w:p>
    <w:bookmarkEnd w:id="4658"/>
    <w:bookmarkStart w:name="z4663" w:id="4659"/>
    <w:p>
      <w:pPr>
        <w:spacing w:after="0"/>
        <w:ind w:left="0"/>
        <w:jc w:val="both"/>
      </w:pPr>
      <w:r>
        <w:rPr>
          <w:rFonts w:ascii="Times New Roman"/>
          <w:b w:val="false"/>
          <w:i w:val="false"/>
          <w:color w:val="000000"/>
          <w:sz w:val="28"/>
        </w:rPr>
        <w:t>
      1413. На пассажирских судах и на судах специального назначения, из каждой главной вертикальной противопожарной зоны (пункт 2198 настоящих Правил) или ограниченного аналогичным образом помещения или группы помещений, расположенных выше палубы переборок, имеет не менее двух выходов, один из которых по крайней мере, обеспечивает доступ к наклонному трапу, образующему вертикальный путь эвакуации к местам посадки в спасательные шлюпки и плоты.</w:t>
      </w:r>
    </w:p>
    <w:bookmarkEnd w:id="4659"/>
    <w:bookmarkStart w:name="z4664" w:id="4660"/>
    <w:p>
      <w:pPr>
        <w:spacing w:after="0"/>
        <w:ind w:left="0"/>
        <w:jc w:val="both"/>
      </w:pPr>
      <w:r>
        <w:rPr>
          <w:rFonts w:ascii="Times New Roman"/>
          <w:b w:val="false"/>
          <w:i w:val="false"/>
          <w:color w:val="000000"/>
          <w:sz w:val="28"/>
        </w:rPr>
        <w:t>
      1414. На пассажирских судах число и расположение выходов из помещений специальной категории (пункт 2143 настоящих Правил) является предметом специального рассмотрения Регистром судоходства; при этом степень безопасности доступа из этих помещений к местам посадки в спасательные шлюпки и плоты, по крайней мере, соответствует предусмотренной пунктами 1412 и 1413 настоящих Правил.</w:t>
      </w:r>
    </w:p>
    <w:bookmarkEnd w:id="4660"/>
    <w:bookmarkStart w:name="z4665" w:id="4661"/>
    <w:p>
      <w:pPr>
        <w:spacing w:after="0"/>
        <w:ind w:left="0"/>
        <w:jc w:val="both"/>
      </w:pPr>
      <w:r>
        <w:rPr>
          <w:rFonts w:ascii="Times New Roman"/>
          <w:b w:val="false"/>
          <w:i w:val="false"/>
          <w:color w:val="000000"/>
          <w:sz w:val="28"/>
        </w:rPr>
        <w:t>
      На грузовых судах во всех грузовых помещениях с горизонтальным способом погрузки и выгрузки, где обычно работает экипаж, количество и расположение путей эвакуации на открытую палубу являются предметом специального рассмотрения Регистром судоходства, однако в любом случае имеет не менее двух удаленных друг от друга путей эвакуации.</w:t>
      </w:r>
    </w:p>
    <w:bookmarkEnd w:id="4661"/>
    <w:bookmarkStart w:name="z4666" w:id="4662"/>
    <w:p>
      <w:pPr>
        <w:spacing w:after="0"/>
        <w:ind w:left="0"/>
        <w:jc w:val="both"/>
      </w:pPr>
      <w:r>
        <w:rPr>
          <w:rFonts w:ascii="Times New Roman"/>
          <w:b w:val="false"/>
          <w:i w:val="false"/>
          <w:color w:val="000000"/>
          <w:sz w:val="28"/>
        </w:rPr>
        <w:t>
      1415. На грузовых судах валовой вместимостью 500 и более на каждом уровне жилых помещений предусматривается не менее двух максимально удаленных друг от друга выходов из каждого ограниченного помещения или группы помещений; при этом из помещений, расположенных ниже открытой палубы, основным выходом является выход через наклонный трап, вторым выходом допускается шахта с вертикальным трапом или наклонный трап; из помещений, расположенных выше открытой палубы, выходами являются двери или наклонные трапы, ведущие на открытую палубу, или их комбинация.</w:t>
      </w:r>
    </w:p>
    <w:bookmarkEnd w:id="4662"/>
    <w:bookmarkStart w:name="z4667" w:id="4663"/>
    <w:p>
      <w:pPr>
        <w:spacing w:after="0"/>
        <w:ind w:left="0"/>
        <w:jc w:val="both"/>
      </w:pPr>
      <w:r>
        <w:rPr>
          <w:rFonts w:ascii="Times New Roman"/>
          <w:b w:val="false"/>
          <w:i w:val="false"/>
          <w:color w:val="000000"/>
          <w:sz w:val="28"/>
        </w:rPr>
        <w:t>
      1416. В исключительных случаях, принимая во внимание назначение и расположение помещений и количество людей, находящихся обычно в них, Регистр судоходства разрешает не предусматривать один из выходов, указанных в пунктах 1412 или 1415 настоящих Правил.</w:t>
      </w:r>
    </w:p>
    <w:bookmarkEnd w:id="4663"/>
    <w:bookmarkStart w:name="z4668" w:id="4664"/>
    <w:p>
      <w:pPr>
        <w:spacing w:after="0"/>
        <w:ind w:left="0"/>
        <w:jc w:val="both"/>
      </w:pPr>
      <w:r>
        <w:rPr>
          <w:rFonts w:ascii="Times New Roman"/>
          <w:b w:val="false"/>
          <w:i w:val="false"/>
          <w:color w:val="000000"/>
          <w:sz w:val="28"/>
        </w:rPr>
        <w:t>
      1417. Трапы, ведущие в помещение или на балкон в этом помещении, а также лифты не рассматриваются как выходы, приведенные в пунктах 1412 -1415 настоящих Правил.</w:t>
      </w:r>
    </w:p>
    <w:bookmarkEnd w:id="4664"/>
    <w:bookmarkStart w:name="z4669" w:id="4665"/>
    <w:p>
      <w:pPr>
        <w:spacing w:after="0"/>
        <w:ind w:left="0"/>
        <w:jc w:val="both"/>
      </w:pPr>
      <w:r>
        <w:rPr>
          <w:rFonts w:ascii="Times New Roman"/>
          <w:b w:val="false"/>
          <w:i w:val="false"/>
          <w:color w:val="000000"/>
          <w:sz w:val="28"/>
        </w:rPr>
        <w:t>
      1418. Каждый зрительный зал имеет не менее двух выходов. Оба выхода располагают как можно дальше друг от друга. Над каждым таким выходом предусматривается хорошо видимая надпись "Выход" или "Аварийный выход".</w:t>
      </w:r>
    </w:p>
    <w:bookmarkEnd w:id="4665"/>
    <w:bookmarkStart w:name="z4670" w:id="4666"/>
    <w:p>
      <w:pPr>
        <w:spacing w:after="0"/>
        <w:ind w:left="0"/>
        <w:jc w:val="both"/>
      </w:pPr>
      <w:r>
        <w:rPr>
          <w:rFonts w:ascii="Times New Roman"/>
          <w:b w:val="false"/>
          <w:i w:val="false"/>
          <w:color w:val="000000"/>
          <w:sz w:val="28"/>
        </w:rPr>
        <w:t>
      1419. Рулевая рубка имеет два выхода — по одному на каждое крыло ходового мостика — с проходом через рубку с борта на борт.</w:t>
      </w:r>
    </w:p>
    <w:bookmarkEnd w:id="4666"/>
    <w:bookmarkStart w:name="z4671" w:id="4667"/>
    <w:p>
      <w:pPr>
        <w:spacing w:after="0"/>
        <w:ind w:left="0"/>
        <w:jc w:val="both"/>
      </w:pPr>
      <w:r>
        <w:rPr>
          <w:rFonts w:ascii="Times New Roman"/>
          <w:b w:val="false"/>
          <w:i w:val="false"/>
          <w:color w:val="000000"/>
          <w:sz w:val="28"/>
        </w:rPr>
        <w:t>
      1420. Суммарная ширина выходов из зрительного зала определяется из расчета 0,8 м на каждые 50 человек, однако ширина каждого выхода равна не менее 1,1 м при числе мест более 50 и не менее 0,8 м при числе мест не более 50.</w:t>
      </w:r>
    </w:p>
    <w:bookmarkEnd w:id="4667"/>
    <w:bookmarkStart w:name="z4672" w:id="4668"/>
    <w:p>
      <w:pPr>
        <w:spacing w:after="0"/>
        <w:ind w:left="0"/>
        <w:jc w:val="both"/>
      </w:pPr>
      <w:r>
        <w:rPr>
          <w:rFonts w:ascii="Times New Roman"/>
          <w:b w:val="false"/>
          <w:i w:val="false"/>
          <w:color w:val="000000"/>
          <w:sz w:val="28"/>
        </w:rPr>
        <w:t>
      Ширина выхода из жилых и служебных помещений не менее 0,6 м. Размеры выходного люка из грузовых трюмов не менее 0,6 х 0,6 м.</w:t>
      </w:r>
    </w:p>
    <w:bookmarkEnd w:id="4668"/>
    <w:bookmarkStart w:name="z4673" w:id="4669"/>
    <w:p>
      <w:pPr>
        <w:spacing w:after="0"/>
        <w:ind w:left="0"/>
        <w:jc w:val="both"/>
      </w:pPr>
      <w:r>
        <w:rPr>
          <w:rFonts w:ascii="Times New Roman"/>
          <w:b w:val="false"/>
          <w:i w:val="false"/>
          <w:color w:val="000000"/>
          <w:sz w:val="28"/>
        </w:rPr>
        <w:t>
      1421. Устройства для закрывания выходных дверей или люков управляются с обеих сторон.</w:t>
      </w:r>
    </w:p>
    <w:bookmarkEnd w:id="4669"/>
    <w:bookmarkStart w:name="z4674" w:id="4670"/>
    <w:p>
      <w:pPr>
        <w:spacing w:after="0"/>
        <w:ind w:left="0"/>
        <w:jc w:val="both"/>
      </w:pPr>
      <w:r>
        <w:rPr>
          <w:rFonts w:ascii="Times New Roman"/>
          <w:b w:val="false"/>
          <w:i w:val="false"/>
          <w:color w:val="000000"/>
          <w:sz w:val="28"/>
        </w:rPr>
        <w:t>
      Двери должны открываться следующим образом:</w:t>
      </w:r>
    </w:p>
    <w:bookmarkEnd w:id="4670"/>
    <w:bookmarkStart w:name="z4675" w:id="4671"/>
    <w:p>
      <w:pPr>
        <w:spacing w:after="0"/>
        <w:ind w:left="0"/>
        <w:jc w:val="both"/>
      </w:pPr>
      <w:r>
        <w:rPr>
          <w:rFonts w:ascii="Times New Roman"/>
          <w:b w:val="false"/>
          <w:i w:val="false"/>
          <w:color w:val="000000"/>
          <w:sz w:val="28"/>
        </w:rPr>
        <w:t>
      1) двери жилых и служебных помещений, выходящие в коридор, — внутрь помещений;</w:t>
      </w:r>
    </w:p>
    <w:bookmarkEnd w:id="4671"/>
    <w:bookmarkStart w:name="z4676" w:id="4672"/>
    <w:p>
      <w:pPr>
        <w:spacing w:after="0"/>
        <w:ind w:left="0"/>
        <w:jc w:val="both"/>
      </w:pPr>
      <w:r>
        <w:rPr>
          <w:rFonts w:ascii="Times New Roman"/>
          <w:b w:val="false"/>
          <w:i w:val="false"/>
          <w:color w:val="000000"/>
          <w:sz w:val="28"/>
        </w:rPr>
        <w:t>
      2) двери общественных помещений — наружу или в обе стороны;</w:t>
      </w:r>
    </w:p>
    <w:bookmarkEnd w:id="4672"/>
    <w:bookmarkStart w:name="z4677" w:id="4673"/>
    <w:p>
      <w:pPr>
        <w:spacing w:after="0"/>
        <w:ind w:left="0"/>
        <w:jc w:val="both"/>
      </w:pPr>
      <w:r>
        <w:rPr>
          <w:rFonts w:ascii="Times New Roman"/>
          <w:b w:val="false"/>
          <w:i w:val="false"/>
          <w:color w:val="000000"/>
          <w:sz w:val="28"/>
        </w:rPr>
        <w:t>
      3) двери в концевых переборках надстроек и во внешних поперечных переборках рубок — наружу, в направлении ближайшего борта;</w:t>
      </w:r>
    </w:p>
    <w:bookmarkEnd w:id="4673"/>
    <w:bookmarkStart w:name="z4678" w:id="4674"/>
    <w:p>
      <w:pPr>
        <w:spacing w:after="0"/>
        <w:ind w:left="0"/>
        <w:jc w:val="both"/>
      </w:pPr>
      <w:r>
        <w:rPr>
          <w:rFonts w:ascii="Times New Roman"/>
          <w:b w:val="false"/>
          <w:i w:val="false"/>
          <w:color w:val="000000"/>
          <w:sz w:val="28"/>
        </w:rPr>
        <w:t>
      4) двери во внешних продольных переборках рубок — наружу, в направлении в нос.</w:t>
      </w:r>
    </w:p>
    <w:bookmarkEnd w:id="4674"/>
    <w:bookmarkStart w:name="z4679" w:id="4675"/>
    <w:p>
      <w:pPr>
        <w:spacing w:after="0"/>
        <w:ind w:left="0"/>
        <w:jc w:val="both"/>
      </w:pPr>
      <w:r>
        <w:rPr>
          <w:rFonts w:ascii="Times New Roman"/>
          <w:b w:val="false"/>
          <w:i w:val="false"/>
          <w:color w:val="000000"/>
          <w:sz w:val="28"/>
        </w:rPr>
        <w:t>
      Внутренние двери, дублирующие двери, указанные в подпунктах 3) и 4) пункта 1421 настоящих Правил, на грузовых судах допускается чтобы открывались внутрь.</w:t>
      </w:r>
    </w:p>
    <w:bookmarkEnd w:id="4675"/>
    <w:bookmarkStart w:name="z4680" w:id="4676"/>
    <w:p>
      <w:pPr>
        <w:spacing w:after="0"/>
        <w:ind w:left="0"/>
        <w:jc w:val="both"/>
      </w:pPr>
      <w:r>
        <w:rPr>
          <w:rFonts w:ascii="Times New Roman"/>
          <w:b w:val="false"/>
          <w:i w:val="false"/>
          <w:color w:val="000000"/>
          <w:sz w:val="28"/>
        </w:rPr>
        <w:t>
      На судах длиной 31 м и менее допускается двери, указанные в подпункте 1) пункта 1421 настоящих Правил, открывать наружу (в коридор), если они расположены в конце тупиков и не препятствуют выходу из других помещений.</w:t>
      </w:r>
    </w:p>
    <w:bookmarkEnd w:id="4676"/>
    <w:bookmarkStart w:name="z4681" w:id="4677"/>
    <w:p>
      <w:pPr>
        <w:spacing w:after="0"/>
        <w:ind w:left="0"/>
        <w:jc w:val="both"/>
      </w:pPr>
      <w:r>
        <w:rPr>
          <w:rFonts w:ascii="Times New Roman"/>
          <w:b w:val="false"/>
          <w:i w:val="false"/>
          <w:color w:val="000000"/>
          <w:sz w:val="28"/>
        </w:rPr>
        <w:t>
      Раздвижные двери у выходов и путей эвакуации не допускаются за исключением дверей рулевой рубки.</w:t>
      </w:r>
    </w:p>
    <w:bookmarkEnd w:id="4677"/>
    <w:bookmarkStart w:name="z4682" w:id="4678"/>
    <w:p>
      <w:pPr>
        <w:spacing w:after="0"/>
        <w:ind w:left="0"/>
        <w:jc w:val="both"/>
      </w:pPr>
      <w:r>
        <w:rPr>
          <w:rFonts w:ascii="Times New Roman"/>
          <w:b w:val="false"/>
          <w:i w:val="false"/>
          <w:color w:val="000000"/>
          <w:sz w:val="28"/>
        </w:rPr>
        <w:t>
      Двери, указанные в подпункте 1) пункта 1421 настоящих Правил, не имеют крючков для удержания их в открытом положении. Допускается оборудовать такие двери буферами с пружинными ловителями, фиксирующими дверь в открытом положении и позволяющими закрыть ее, не заходя в помещение.</w:t>
      </w:r>
    </w:p>
    <w:bookmarkEnd w:id="4678"/>
    <w:bookmarkStart w:name="z4683" w:id="4679"/>
    <w:p>
      <w:pPr>
        <w:spacing w:after="0"/>
        <w:ind w:left="0"/>
        <w:jc w:val="both"/>
      </w:pPr>
      <w:r>
        <w:rPr>
          <w:rFonts w:ascii="Times New Roman"/>
          <w:b w:val="false"/>
          <w:i w:val="false"/>
          <w:color w:val="000000"/>
          <w:sz w:val="28"/>
        </w:rPr>
        <w:t xml:space="preserve">
      1422. Двери жилых помещений, указанных в подпунктах 1) и 2) пункта 2135 настоящих Правил, имеют в нижней половине выбивные филенки размером 0,4 х 0,5 м; </w:t>
      </w:r>
    </w:p>
    <w:bookmarkEnd w:id="4679"/>
    <w:bookmarkStart w:name="z4684" w:id="4680"/>
    <w:p>
      <w:pPr>
        <w:spacing w:after="0"/>
        <w:ind w:left="0"/>
        <w:jc w:val="both"/>
      </w:pPr>
      <w:r>
        <w:rPr>
          <w:rFonts w:ascii="Times New Roman"/>
          <w:b w:val="false"/>
          <w:i w:val="false"/>
          <w:color w:val="000000"/>
          <w:sz w:val="28"/>
        </w:rPr>
        <w:t>
      у дверей пассажирских помещений эти филенки имеют надписи "Аварийный выход — выбить в аварийном случае".</w:t>
      </w:r>
    </w:p>
    <w:bookmarkEnd w:id="4680"/>
    <w:bookmarkStart w:name="z4685" w:id="4681"/>
    <w:p>
      <w:pPr>
        <w:spacing w:after="0"/>
        <w:ind w:left="0"/>
        <w:jc w:val="both"/>
      </w:pPr>
      <w:r>
        <w:rPr>
          <w:rFonts w:ascii="Times New Roman"/>
          <w:b w:val="false"/>
          <w:i w:val="false"/>
          <w:color w:val="000000"/>
          <w:sz w:val="28"/>
        </w:rPr>
        <w:t>
      Устройство выбивных филенок не требуется, если в помещениях предусмотрены створчатые иллюминаторы диаметром в свету не менее 400 мм или рубочные окна с меньшей стороной в свету не менее 400 мм и если через эти иллюминаторы люди могут попасть в коридор или на открытую палубу. Выход через иллюминаторы или рубочные окна при необходимости облегчают соответствующими устройствами.</w:t>
      </w:r>
    </w:p>
    <w:bookmarkEnd w:id="4681"/>
    <w:bookmarkStart w:name="z4686" w:id="4682"/>
    <w:p>
      <w:pPr>
        <w:spacing w:after="0"/>
        <w:ind w:left="0"/>
        <w:jc w:val="left"/>
      </w:pPr>
      <w:r>
        <w:rPr>
          <w:rFonts w:ascii="Times New Roman"/>
          <w:b/>
          <w:i w:val="false"/>
          <w:color w:val="000000"/>
        </w:rPr>
        <w:t xml:space="preserve"> Параграф 2. Коридоры и проходы</w:t>
      </w:r>
    </w:p>
    <w:bookmarkEnd w:id="4682"/>
    <w:bookmarkStart w:name="z4687" w:id="4683"/>
    <w:p>
      <w:pPr>
        <w:spacing w:after="0"/>
        <w:ind w:left="0"/>
        <w:jc w:val="both"/>
      </w:pPr>
      <w:r>
        <w:rPr>
          <w:rFonts w:ascii="Times New Roman"/>
          <w:b w:val="false"/>
          <w:i w:val="false"/>
          <w:color w:val="000000"/>
          <w:sz w:val="28"/>
        </w:rPr>
        <w:t>
      1423. Все коридоры и проходы обеспечивают беспрепятственное перемещение людей по ним. Вестибюль, коридор или часть коридора на пассажирских судах и судах специального назначения, имеющих на борту более 50 человек специального персонала, имеют более одного пути эвакуации.</w:t>
      </w:r>
    </w:p>
    <w:bookmarkEnd w:id="4683"/>
    <w:bookmarkStart w:name="z4688" w:id="4684"/>
    <w:p>
      <w:pPr>
        <w:spacing w:after="0"/>
        <w:ind w:left="0"/>
        <w:jc w:val="both"/>
      </w:pPr>
      <w:r>
        <w:rPr>
          <w:rFonts w:ascii="Times New Roman"/>
          <w:b w:val="false"/>
          <w:i w:val="false"/>
          <w:color w:val="000000"/>
          <w:sz w:val="28"/>
        </w:rPr>
        <w:t>
      На грузовых судах и судах специального назначения, имеющих на борту не более 50 человек специального персонала, не допускается иметь тупиковых коридоров длиной более 7 м. Тупиковый коридор — это коридор или часть коридора, из которого имеется только один путь эвакуации.</w:t>
      </w:r>
    </w:p>
    <w:bookmarkEnd w:id="4684"/>
    <w:bookmarkStart w:name="z4689" w:id="4685"/>
    <w:p>
      <w:pPr>
        <w:spacing w:after="0"/>
        <w:ind w:left="0"/>
        <w:jc w:val="both"/>
      </w:pPr>
      <w:r>
        <w:rPr>
          <w:rFonts w:ascii="Times New Roman"/>
          <w:b w:val="false"/>
          <w:i w:val="false"/>
          <w:color w:val="000000"/>
          <w:sz w:val="28"/>
        </w:rPr>
        <w:t>
      На грузовых судах коридоры, используемые как пути эвакуации, имеют ширину не менее 700 мм и имеют поручень по одной своей стороне. Коридоры шириной 1800 мм и более имеют поручни по обеим своим сторонам. Ширина коридора определяется как расстояние между поручнем и противоположной переборкой или как расстояние между поручнями.</w:t>
      </w:r>
    </w:p>
    <w:bookmarkEnd w:id="4685"/>
    <w:bookmarkStart w:name="z4690" w:id="4686"/>
    <w:p>
      <w:pPr>
        <w:spacing w:after="0"/>
        <w:ind w:left="0"/>
        <w:jc w:val="both"/>
      </w:pPr>
      <w:r>
        <w:rPr>
          <w:rFonts w:ascii="Times New Roman"/>
          <w:b w:val="false"/>
          <w:i w:val="false"/>
          <w:color w:val="000000"/>
          <w:sz w:val="28"/>
        </w:rPr>
        <w:t>
      1424. Ширина магистральных коридоров в районе жилых помещений пассажиров и экипажа составляет не менее 0,9 м, а ответвляющихся — не менее 0,8 м. Если число пассажиров или экипажа, пользующихся коридором, превышает 50 человек, указанные выше ширины увеличивают на 0,1 м.</w:t>
      </w:r>
    </w:p>
    <w:bookmarkEnd w:id="4686"/>
    <w:bookmarkStart w:name="z4691" w:id="4687"/>
    <w:p>
      <w:pPr>
        <w:spacing w:after="0"/>
        <w:ind w:left="0"/>
        <w:jc w:val="both"/>
      </w:pPr>
      <w:r>
        <w:rPr>
          <w:rFonts w:ascii="Times New Roman"/>
          <w:b w:val="false"/>
          <w:i w:val="false"/>
          <w:color w:val="000000"/>
          <w:sz w:val="28"/>
        </w:rPr>
        <w:t>
      На судах (в том числе и на буксирах) валовой вместимостью менее 500 и на буксирах мощностью менее 370 кВт ширину магистральных коридоров разрешается уменьшать до 0,8 м, а ответвляющихся — до 0,6 м.</w:t>
      </w:r>
    </w:p>
    <w:bookmarkEnd w:id="4687"/>
    <w:bookmarkStart w:name="z4692" w:id="4688"/>
    <w:p>
      <w:pPr>
        <w:spacing w:after="0"/>
        <w:ind w:left="0"/>
        <w:jc w:val="both"/>
      </w:pPr>
      <w:r>
        <w:rPr>
          <w:rFonts w:ascii="Times New Roman"/>
          <w:b w:val="false"/>
          <w:i w:val="false"/>
          <w:color w:val="000000"/>
          <w:sz w:val="28"/>
        </w:rPr>
        <w:t>
      1425. Ширина проходов в кинозале составляет не менее 1,1 м, а в вестибюле — не менее 1,4 м.</w:t>
      </w:r>
    </w:p>
    <w:bookmarkEnd w:id="4688"/>
    <w:bookmarkStart w:name="z4693" w:id="4689"/>
    <w:p>
      <w:pPr>
        <w:spacing w:after="0"/>
        <w:ind w:left="0"/>
        <w:jc w:val="both"/>
      </w:pPr>
      <w:r>
        <w:rPr>
          <w:rFonts w:ascii="Times New Roman"/>
          <w:b w:val="false"/>
          <w:i w:val="false"/>
          <w:color w:val="000000"/>
          <w:sz w:val="28"/>
        </w:rPr>
        <w:t>
      Ширина главного прохода в ресторане или столовой, а также в кают-компании равна не менее 0,9 м, а вспомогательного — не менее 0,65 м. На судах валовой вместимостью менее 500 ширину главных проходов в кают-компании разрешается уменьшить до 0,65 м.</w:t>
      </w:r>
    </w:p>
    <w:bookmarkEnd w:id="4689"/>
    <w:bookmarkStart w:name="z4694" w:id="4690"/>
    <w:p>
      <w:pPr>
        <w:spacing w:after="0"/>
        <w:ind w:left="0"/>
        <w:jc w:val="both"/>
      </w:pPr>
      <w:r>
        <w:rPr>
          <w:rFonts w:ascii="Times New Roman"/>
          <w:b w:val="false"/>
          <w:i w:val="false"/>
          <w:color w:val="000000"/>
          <w:sz w:val="28"/>
        </w:rPr>
        <w:t>
      1426. Ширина магистрального прохода в пассажирском помещении с местами для сидения:</w:t>
      </w:r>
    </w:p>
    <w:bookmarkEnd w:id="4690"/>
    <w:bookmarkStart w:name="z4695" w:id="4691"/>
    <w:p>
      <w:pPr>
        <w:spacing w:after="0"/>
        <w:ind w:left="0"/>
        <w:jc w:val="both"/>
      </w:pPr>
      <w:r>
        <w:rPr>
          <w:rFonts w:ascii="Times New Roman"/>
          <w:b w:val="false"/>
          <w:i w:val="false"/>
          <w:color w:val="000000"/>
          <w:sz w:val="28"/>
        </w:rPr>
        <w:t>
      1) не менее 1 м — в помещениях с числом мест менее 50;</w:t>
      </w:r>
    </w:p>
    <w:bookmarkEnd w:id="4691"/>
    <w:bookmarkStart w:name="z4696" w:id="4692"/>
    <w:p>
      <w:pPr>
        <w:spacing w:after="0"/>
        <w:ind w:left="0"/>
        <w:jc w:val="both"/>
      </w:pPr>
      <w:r>
        <w:rPr>
          <w:rFonts w:ascii="Times New Roman"/>
          <w:b w:val="false"/>
          <w:i w:val="false"/>
          <w:color w:val="000000"/>
          <w:sz w:val="28"/>
        </w:rPr>
        <w:t>
      2) не менее 1,1 м — в помещениях с числом мест более 50.</w:t>
      </w:r>
    </w:p>
    <w:bookmarkEnd w:id="4692"/>
    <w:bookmarkStart w:name="z4697" w:id="4693"/>
    <w:p>
      <w:pPr>
        <w:spacing w:after="0"/>
        <w:ind w:left="0"/>
        <w:jc w:val="both"/>
      </w:pPr>
      <w:r>
        <w:rPr>
          <w:rFonts w:ascii="Times New Roman"/>
          <w:b w:val="false"/>
          <w:i w:val="false"/>
          <w:color w:val="000000"/>
          <w:sz w:val="28"/>
        </w:rPr>
        <w:t>
      1427. На пассажирских судах магистральные коридоры, смежные с машинными и котельными шахтами, имеют ширину не менее 1,2 м, однако на судах валовой вместимостью менее 500 эту ширину разрешается уменьшить до 0,9 м.</w:t>
      </w:r>
    </w:p>
    <w:bookmarkEnd w:id="4693"/>
    <w:bookmarkStart w:name="z4698" w:id="4694"/>
    <w:p>
      <w:pPr>
        <w:spacing w:after="0"/>
        <w:ind w:left="0"/>
        <w:jc w:val="both"/>
      </w:pPr>
      <w:r>
        <w:rPr>
          <w:rFonts w:ascii="Times New Roman"/>
          <w:b w:val="false"/>
          <w:i w:val="false"/>
          <w:color w:val="000000"/>
          <w:sz w:val="28"/>
        </w:rPr>
        <w:t>
      1428. Ширина прохода на мостике составляет не менее 0,8 м на судах валовой вместимостью 500 и более и не менее 0,6 м на судах валовой вместимостью менее 500.</w:t>
      </w:r>
    </w:p>
    <w:bookmarkEnd w:id="4694"/>
    <w:bookmarkStart w:name="z4699" w:id="4695"/>
    <w:p>
      <w:pPr>
        <w:spacing w:after="0"/>
        <w:ind w:left="0"/>
        <w:jc w:val="both"/>
      </w:pPr>
      <w:r>
        <w:rPr>
          <w:rFonts w:ascii="Times New Roman"/>
          <w:b w:val="false"/>
          <w:i w:val="false"/>
          <w:color w:val="000000"/>
          <w:sz w:val="28"/>
        </w:rPr>
        <w:t>
      1429. На пассажирских судах и судах специального назначения ширина палубных проходов, ведущих к местам посадки людей в спасательные шлюпки и плоты, равна не менее:</w:t>
      </w:r>
    </w:p>
    <w:bookmarkEnd w:id="4695"/>
    <w:bookmarkStart w:name="z4700" w:id="4696"/>
    <w:p>
      <w:pPr>
        <w:spacing w:after="0"/>
        <w:ind w:left="0"/>
        <w:jc w:val="both"/>
      </w:pPr>
      <w:r>
        <w:rPr>
          <w:rFonts w:ascii="Times New Roman"/>
          <w:b w:val="false"/>
          <w:i w:val="false"/>
          <w:color w:val="000000"/>
          <w:sz w:val="28"/>
        </w:rPr>
        <w:t>
      1) 0,9 м — если число мест в шлюпках на одном борту не более 50;</w:t>
      </w:r>
    </w:p>
    <w:bookmarkEnd w:id="4696"/>
    <w:bookmarkStart w:name="z4701" w:id="4697"/>
    <w:p>
      <w:pPr>
        <w:spacing w:after="0"/>
        <w:ind w:left="0"/>
        <w:jc w:val="both"/>
      </w:pPr>
      <w:r>
        <w:rPr>
          <w:rFonts w:ascii="Times New Roman"/>
          <w:b w:val="false"/>
          <w:i w:val="false"/>
          <w:color w:val="000000"/>
          <w:sz w:val="28"/>
        </w:rPr>
        <w:t>
      2) 1,0 м — если число мест в шлюпках на одном борту 50 и более, но менее 100;</w:t>
      </w:r>
    </w:p>
    <w:bookmarkEnd w:id="4697"/>
    <w:bookmarkStart w:name="z4702" w:id="4698"/>
    <w:p>
      <w:pPr>
        <w:spacing w:after="0"/>
        <w:ind w:left="0"/>
        <w:jc w:val="both"/>
      </w:pPr>
      <w:r>
        <w:rPr>
          <w:rFonts w:ascii="Times New Roman"/>
          <w:b w:val="false"/>
          <w:i w:val="false"/>
          <w:color w:val="000000"/>
          <w:sz w:val="28"/>
        </w:rPr>
        <w:t>
      3) 1,2 м — если число мест в шлюпках на одном борту 100 и более, но менее 200.</w:t>
      </w:r>
    </w:p>
    <w:bookmarkEnd w:id="4698"/>
    <w:bookmarkStart w:name="z4703" w:id="4699"/>
    <w:p>
      <w:pPr>
        <w:spacing w:after="0"/>
        <w:ind w:left="0"/>
        <w:jc w:val="both"/>
      </w:pPr>
      <w:r>
        <w:rPr>
          <w:rFonts w:ascii="Times New Roman"/>
          <w:b w:val="false"/>
          <w:i w:val="false"/>
          <w:color w:val="000000"/>
          <w:sz w:val="28"/>
        </w:rPr>
        <w:t>
      При числе мест в шлюпках на одном борту 200 и более ширина проходов является в каждом случае предметом специального рассмотрения Регистром судоходства.</w:t>
      </w:r>
    </w:p>
    <w:bookmarkEnd w:id="4699"/>
    <w:bookmarkStart w:name="z4704" w:id="4700"/>
    <w:p>
      <w:pPr>
        <w:spacing w:after="0"/>
        <w:ind w:left="0"/>
        <w:jc w:val="both"/>
      </w:pPr>
      <w:r>
        <w:rPr>
          <w:rFonts w:ascii="Times New Roman"/>
          <w:b w:val="false"/>
          <w:i w:val="false"/>
          <w:color w:val="000000"/>
          <w:sz w:val="28"/>
        </w:rPr>
        <w:t>
      На остальных судах ширина указанных выше проходов должна быть не менее 0,8 м.</w:t>
      </w:r>
    </w:p>
    <w:bookmarkEnd w:id="4700"/>
    <w:bookmarkStart w:name="z4705" w:id="4701"/>
    <w:p>
      <w:pPr>
        <w:spacing w:after="0"/>
        <w:ind w:left="0"/>
        <w:jc w:val="left"/>
      </w:pPr>
      <w:r>
        <w:rPr>
          <w:rFonts w:ascii="Times New Roman"/>
          <w:b/>
          <w:i w:val="false"/>
          <w:color w:val="000000"/>
        </w:rPr>
        <w:t xml:space="preserve"> Параграф 3. Наклонные и вертикальные трапы</w:t>
      </w:r>
    </w:p>
    <w:bookmarkEnd w:id="4701"/>
    <w:bookmarkStart w:name="z4706" w:id="4702"/>
    <w:p>
      <w:pPr>
        <w:spacing w:after="0"/>
        <w:ind w:left="0"/>
        <w:jc w:val="both"/>
      </w:pPr>
      <w:r>
        <w:rPr>
          <w:rFonts w:ascii="Times New Roman"/>
          <w:b w:val="false"/>
          <w:i w:val="false"/>
          <w:color w:val="000000"/>
          <w:sz w:val="28"/>
        </w:rPr>
        <w:t>
      1430. Все межпалубные наклонные трапы изготавливают стальными, рамной конструкции или по согласованию с Регистром судоходства из равноценного материала (глава 138 настоящих Правил). Специальные требования к расположению выгородок трапов и к защите путей эвакуации людей указаны в пунктах 2185, 2187 и 2205 настоящих Правил.</w:t>
      </w:r>
    </w:p>
    <w:bookmarkEnd w:id="4702"/>
    <w:bookmarkStart w:name="z4707" w:id="4703"/>
    <w:p>
      <w:pPr>
        <w:spacing w:after="0"/>
        <w:ind w:left="0"/>
        <w:jc w:val="both"/>
      </w:pPr>
      <w:r>
        <w:rPr>
          <w:rFonts w:ascii="Times New Roman"/>
          <w:b w:val="false"/>
          <w:i w:val="false"/>
          <w:color w:val="000000"/>
          <w:sz w:val="28"/>
        </w:rPr>
        <w:t>
      1431. На пассажирских судах и судах специального назначения, имеющих на борту более 50 человек специального персонала, выполняют следующие условия:</w:t>
      </w:r>
    </w:p>
    <w:bookmarkEnd w:id="4703"/>
    <w:bookmarkStart w:name="z4708" w:id="4704"/>
    <w:p>
      <w:pPr>
        <w:spacing w:after="0"/>
        <w:ind w:left="0"/>
        <w:jc w:val="both"/>
      </w:pPr>
      <w:r>
        <w:rPr>
          <w:rFonts w:ascii="Times New Roman"/>
          <w:b w:val="false"/>
          <w:i w:val="false"/>
          <w:color w:val="000000"/>
          <w:sz w:val="28"/>
        </w:rPr>
        <w:t>
      1) ширина трапов равна не менее 900 мм. Трапы имеют поручни с обеих сторон. Минимальная ширина трапов увеличивают на 10 мм на каждого человека сверх 90. Максимальное расстояние между поручнями трапов шириной более 900 мм равнаа 1800 мм. Общее число подлежащих эвакуации по этим трапам людей принимается из расчета двух третей от числа команды и полного числа пассажиров в районах, обслуживаемых этими трапами;</w:t>
      </w:r>
    </w:p>
    <w:bookmarkEnd w:id="4704"/>
    <w:bookmarkStart w:name="z4709" w:id="4705"/>
    <w:p>
      <w:pPr>
        <w:spacing w:after="0"/>
        <w:ind w:left="0"/>
        <w:jc w:val="both"/>
      </w:pPr>
      <w:r>
        <w:rPr>
          <w:rFonts w:ascii="Times New Roman"/>
          <w:b w:val="false"/>
          <w:i w:val="false"/>
          <w:color w:val="000000"/>
          <w:sz w:val="28"/>
        </w:rPr>
        <w:t>
      2) все трапы, рассчитанные на более чем 90 человек, располагаются вдоль судна;</w:t>
      </w:r>
    </w:p>
    <w:bookmarkEnd w:id="4705"/>
    <w:bookmarkStart w:name="z4710" w:id="4706"/>
    <w:p>
      <w:pPr>
        <w:spacing w:after="0"/>
        <w:ind w:left="0"/>
        <w:jc w:val="both"/>
      </w:pPr>
      <w:r>
        <w:rPr>
          <w:rFonts w:ascii="Times New Roman"/>
          <w:b w:val="false"/>
          <w:i w:val="false"/>
          <w:color w:val="000000"/>
          <w:sz w:val="28"/>
        </w:rPr>
        <w:t>
      3) дверные проемы, коридоры и промежуточные площадки, включенные в пути эвакуации, имеют те же размеры, что и трапы;</w:t>
      </w:r>
    </w:p>
    <w:bookmarkEnd w:id="4706"/>
    <w:bookmarkStart w:name="z4711" w:id="4707"/>
    <w:p>
      <w:pPr>
        <w:spacing w:after="0"/>
        <w:ind w:left="0"/>
        <w:jc w:val="both"/>
      </w:pPr>
      <w:r>
        <w:rPr>
          <w:rFonts w:ascii="Times New Roman"/>
          <w:b w:val="false"/>
          <w:i w:val="false"/>
          <w:color w:val="000000"/>
          <w:sz w:val="28"/>
        </w:rPr>
        <w:t>
      4) вертикальное расстояние подъема по трапам без площадки не превышает 3,5 м, и трапы не имеют угол наклона более 45</w:t>
      </w:r>
      <w:r>
        <w:rPr>
          <w:rFonts w:ascii="Times New Roman"/>
          <w:b w:val="false"/>
          <w:i w:val="false"/>
          <w:color w:val="000000"/>
          <w:vertAlign w:val="superscript"/>
        </w:rPr>
        <w:t>о</w:t>
      </w:r>
      <w:r>
        <w:rPr>
          <w:rFonts w:ascii="Times New Roman"/>
          <w:b w:val="false"/>
          <w:i w:val="false"/>
          <w:color w:val="000000"/>
          <w:sz w:val="28"/>
        </w:rPr>
        <w:t>;</w:t>
      </w:r>
    </w:p>
    <w:bookmarkEnd w:id="4707"/>
    <w:bookmarkStart w:name="z4712" w:id="4708"/>
    <w:p>
      <w:pPr>
        <w:spacing w:after="0"/>
        <w:ind w:left="0"/>
        <w:jc w:val="both"/>
      </w:pPr>
      <w:r>
        <w:rPr>
          <w:rFonts w:ascii="Times New Roman"/>
          <w:b w:val="false"/>
          <w:i w:val="false"/>
          <w:color w:val="000000"/>
          <w:sz w:val="28"/>
        </w:rPr>
        <w:t>
      5) площадки трапов на каждом уровне палуб не менее 2 м</w:t>
      </w:r>
      <w:r>
        <w:rPr>
          <w:rFonts w:ascii="Times New Roman"/>
          <w:b w:val="false"/>
          <w:i w:val="false"/>
          <w:color w:val="000000"/>
          <w:vertAlign w:val="superscript"/>
        </w:rPr>
        <w:t>2</w:t>
      </w:r>
      <w:r>
        <w:rPr>
          <w:rFonts w:ascii="Times New Roman"/>
          <w:b w:val="false"/>
          <w:i w:val="false"/>
          <w:color w:val="000000"/>
          <w:sz w:val="28"/>
        </w:rPr>
        <w:t xml:space="preserve"> и увеличивают на 1 м</w:t>
      </w:r>
      <w:r>
        <w:rPr>
          <w:rFonts w:ascii="Times New Roman"/>
          <w:b w:val="false"/>
          <w:i w:val="false"/>
          <w:color w:val="000000"/>
          <w:vertAlign w:val="superscript"/>
        </w:rPr>
        <w:t>2</w:t>
      </w:r>
      <w:r>
        <w:rPr>
          <w:rFonts w:ascii="Times New Roman"/>
          <w:b w:val="false"/>
          <w:i w:val="false"/>
          <w:color w:val="000000"/>
          <w:sz w:val="28"/>
        </w:rPr>
        <w:t xml:space="preserve"> на каждые 10 человек сверх 20, но не превышают 16 м</w:t>
      </w:r>
      <w:r>
        <w:rPr>
          <w:rFonts w:ascii="Times New Roman"/>
          <w:b w:val="false"/>
          <w:i w:val="false"/>
          <w:color w:val="000000"/>
          <w:vertAlign w:val="superscript"/>
        </w:rPr>
        <w:t>2</w:t>
      </w:r>
      <w:r>
        <w:rPr>
          <w:rFonts w:ascii="Times New Roman"/>
          <w:b w:val="false"/>
          <w:i w:val="false"/>
          <w:color w:val="000000"/>
          <w:sz w:val="28"/>
        </w:rPr>
        <w:t>, за исключением тех площадок, которые обслуживают общественные помещения, имеющие прямой доступ к выгородке трапа;</w:t>
      </w:r>
    </w:p>
    <w:bookmarkEnd w:id="4708"/>
    <w:bookmarkStart w:name="z4713" w:id="4709"/>
    <w:p>
      <w:pPr>
        <w:spacing w:after="0"/>
        <w:ind w:left="0"/>
        <w:jc w:val="both"/>
      </w:pPr>
      <w:r>
        <w:rPr>
          <w:rFonts w:ascii="Times New Roman"/>
          <w:b w:val="false"/>
          <w:i w:val="false"/>
          <w:color w:val="000000"/>
          <w:sz w:val="28"/>
        </w:rPr>
        <w:t>
      6) в любом случае ширина трапов соответствует требованиям приложения 722 настоящих Правил.</w:t>
      </w:r>
    </w:p>
    <w:bookmarkEnd w:id="4709"/>
    <w:bookmarkStart w:name="z4714" w:id="4710"/>
    <w:p>
      <w:pPr>
        <w:spacing w:after="0"/>
        <w:ind w:left="0"/>
        <w:jc w:val="both"/>
      </w:pPr>
      <w:r>
        <w:rPr>
          <w:rFonts w:ascii="Times New Roman"/>
          <w:b w:val="false"/>
          <w:i w:val="false"/>
          <w:color w:val="000000"/>
          <w:sz w:val="28"/>
        </w:rPr>
        <w:t>
      1432. На грузовых судах трапы, используемые как пути эвакуации, бывают шириной не менее 700 мм и имеют поручень по одной своей стороне. Трапы шириной 1800 мм и более имеют поручни по обеим своим сторонам. Угол наклона трапов, как правило, быть 45</w:t>
      </w:r>
      <w:r>
        <w:rPr>
          <w:rFonts w:ascii="Times New Roman"/>
          <w:b w:val="false"/>
          <w:i w:val="false"/>
          <w:color w:val="000000"/>
          <w:vertAlign w:val="superscript"/>
        </w:rPr>
        <w:t>о</w:t>
      </w:r>
      <w:r>
        <w:rPr>
          <w:rFonts w:ascii="Times New Roman"/>
          <w:b w:val="false"/>
          <w:i w:val="false"/>
          <w:color w:val="000000"/>
          <w:sz w:val="28"/>
        </w:rPr>
        <w:t>, но не более 50</w:t>
      </w:r>
      <w:r>
        <w:rPr>
          <w:rFonts w:ascii="Times New Roman"/>
          <w:b w:val="false"/>
          <w:i w:val="false"/>
          <w:color w:val="000000"/>
          <w:vertAlign w:val="superscript"/>
        </w:rPr>
        <w:t>о</w:t>
      </w:r>
      <w:r>
        <w:rPr>
          <w:rFonts w:ascii="Times New Roman"/>
          <w:b w:val="false"/>
          <w:i w:val="false"/>
          <w:color w:val="000000"/>
          <w:sz w:val="28"/>
        </w:rPr>
        <w:t>, а в машинных и небольших помещениях — не более 60</w:t>
      </w:r>
      <w:r>
        <w:rPr>
          <w:rFonts w:ascii="Times New Roman"/>
          <w:b w:val="false"/>
          <w:i w:val="false"/>
          <w:color w:val="000000"/>
          <w:vertAlign w:val="superscript"/>
        </w:rPr>
        <w:t>о</w:t>
      </w:r>
      <w:r>
        <w:rPr>
          <w:rFonts w:ascii="Times New Roman"/>
          <w:b w:val="false"/>
          <w:i w:val="false"/>
          <w:color w:val="000000"/>
          <w:sz w:val="28"/>
        </w:rPr>
        <w:t>. Проемы дверей, обеспечивающих доступ к какому-либо трапу, такого же размера, как и трап.</w:t>
      </w:r>
    </w:p>
    <w:bookmarkEnd w:id="4710"/>
    <w:bookmarkStart w:name="z4715" w:id="4711"/>
    <w:p>
      <w:pPr>
        <w:spacing w:after="0"/>
        <w:ind w:left="0"/>
        <w:jc w:val="both"/>
      </w:pPr>
      <w:r>
        <w:rPr>
          <w:rFonts w:ascii="Times New Roman"/>
          <w:b w:val="false"/>
          <w:i w:val="false"/>
          <w:color w:val="000000"/>
          <w:sz w:val="28"/>
        </w:rPr>
        <w:t>
      1433. Вертикальные трапы и скоб-трапы в грузовых трюмах, цистернах и т. п. имеют ширину не менее 300 мм.</w:t>
      </w:r>
    </w:p>
    <w:bookmarkEnd w:id="4711"/>
    <w:bookmarkStart w:name="z4716" w:id="4712"/>
    <w:p>
      <w:pPr>
        <w:spacing w:after="0"/>
        <w:ind w:left="0"/>
        <w:jc w:val="both"/>
      </w:pPr>
      <w:r>
        <w:rPr>
          <w:rFonts w:ascii="Times New Roman"/>
          <w:b w:val="false"/>
          <w:i w:val="false"/>
          <w:color w:val="000000"/>
          <w:sz w:val="28"/>
        </w:rPr>
        <w:t>
      1434. Дополнительно к аварийному освещению согласно параграфу 1 главы 535 настоящих Правил пути эвакуации, включая трапы и выходы, пассажирских судов, перевозящих более 36 пассажиров, и судов специального назначения, имеющих на борту более 200 человек специального персонала, имеют низкорасположенное освещение (далее - НРО) на всем протяжении, включая повороты и пересечения.</w:t>
      </w:r>
    </w:p>
    <w:bookmarkEnd w:id="4712"/>
    <w:bookmarkStart w:name="z4717" w:id="4713"/>
    <w:p>
      <w:pPr>
        <w:spacing w:after="0"/>
        <w:ind w:left="0"/>
        <w:jc w:val="both"/>
      </w:pPr>
      <w:r>
        <w:rPr>
          <w:rFonts w:ascii="Times New Roman"/>
          <w:b w:val="false"/>
          <w:i w:val="false"/>
          <w:color w:val="000000"/>
          <w:sz w:val="28"/>
        </w:rPr>
        <w:t>
      1435. Предусматриваются следующие системы НРО:</w:t>
      </w:r>
    </w:p>
    <w:bookmarkEnd w:id="4713"/>
    <w:bookmarkStart w:name="z4718" w:id="4714"/>
    <w:p>
      <w:pPr>
        <w:spacing w:after="0"/>
        <w:ind w:left="0"/>
        <w:jc w:val="both"/>
      </w:pPr>
      <w:r>
        <w:rPr>
          <w:rFonts w:ascii="Times New Roman"/>
          <w:b w:val="false"/>
          <w:i w:val="false"/>
          <w:color w:val="000000"/>
          <w:sz w:val="28"/>
        </w:rPr>
        <w:t>
      1) фотолюминесцентная, использующая фотолюминесцентный материал, содержащий химический продукт (например, сульфид цинка) и обладающий свойством накапливать энергию при освещении видимым светом;</w:t>
      </w:r>
    </w:p>
    <w:bookmarkEnd w:id="4714"/>
    <w:bookmarkStart w:name="z4719" w:id="4715"/>
    <w:p>
      <w:pPr>
        <w:spacing w:after="0"/>
        <w:ind w:left="0"/>
        <w:jc w:val="both"/>
      </w:pPr>
      <w:r>
        <w:rPr>
          <w:rFonts w:ascii="Times New Roman"/>
          <w:b w:val="false"/>
          <w:i w:val="false"/>
          <w:color w:val="000000"/>
          <w:sz w:val="28"/>
        </w:rPr>
        <w:t>
      2) системы с электрическим питанием, использующие лампы накаливания, световые диоды, электролюминесцентные полосы или лампы, электрофлюоресцентные лампы (параграф 4 главы 535 настоящих Правил).</w:t>
      </w:r>
    </w:p>
    <w:bookmarkEnd w:id="4715"/>
    <w:bookmarkStart w:name="z4720" w:id="4716"/>
    <w:p>
      <w:pPr>
        <w:spacing w:after="0"/>
        <w:ind w:left="0"/>
        <w:jc w:val="both"/>
      </w:pPr>
      <w:r>
        <w:rPr>
          <w:rFonts w:ascii="Times New Roman"/>
          <w:b w:val="false"/>
          <w:i w:val="false"/>
          <w:color w:val="000000"/>
          <w:sz w:val="28"/>
        </w:rPr>
        <w:t>
      1436. Система НРО работает непрерывно, по крайней мере, в течение 1 ч после ее включения. Все системы, включая и те, которые приводятся в действие автоматически или работают постоянно, включаются вручную одним действием с центрального поста управления.</w:t>
      </w:r>
    </w:p>
    <w:bookmarkEnd w:id="4716"/>
    <w:bookmarkStart w:name="z4721" w:id="4717"/>
    <w:p>
      <w:pPr>
        <w:spacing w:after="0"/>
        <w:ind w:left="0"/>
        <w:jc w:val="both"/>
      </w:pPr>
      <w:r>
        <w:rPr>
          <w:rFonts w:ascii="Times New Roman"/>
          <w:b w:val="false"/>
          <w:i w:val="false"/>
          <w:color w:val="000000"/>
          <w:sz w:val="28"/>
        </w:rPr>
        <w:t>
      1437. Необходимо чтобы во всех проходах НРО было непрерывным для обеспечения видимого очертания пути выхода, за исключением разрывов, образованных коридорами и дверями кают. НРО устанавливают, по меньшей мере, на одной стороне коридора, либо на переборке в пределах 300 мм от палубы, либо на палубе в пределах 150 мм от переборки. В коридорах шириной более 2 м НРО устанавливают с обеих сторон. В тупиках коридоров НРО имеет стрелки, размещенные на расстоянии не более 1 м, или равноценные указатели направления, указывающие выход из тупика.</w:t>
      </w:r>
    </w:p>
    <w:bookmarkEnd w:id="4717"/>
    <w:bookmarkStart w:name="z4722" w:id="4718"/>
    <w:p>
      <w:pPr>
        <w:spacing w:after="0"/>
        <w:ind w:left="0"/>
        <w:jc w:val="both"/>
      </w:pPr>
      <w:r>
        <w:rPr>
          <w:rFonts w:ascii="Times New Roman"/>
          <w:b w:val="false"/>
          <w:i w:val="false"/>
          <w:color w:val="000000"/>
          <w:sz w:val="28"/>
        </w:rPr>
        <w:t>
      1438. На всех трапах НРО располагают, по меньшей мере с одной стороны на высоте менее 300 мм выше ступенек. НРО располагают по обеим сторонам трапа, если его ширина 2 м и более. Верхняя и нижняя ступеньки каждого пролета трапа обозначают, чтобы было видно, где ступенек больше нет.</w:t>
      </w:r>
    </w:p>
    <w:bookmarkEnd w:id="4718"/>
    <w:bookmarkStart w:name="z4723" w:id="4719"/>
    <w:p>
      <w:pPr>
        <w:spacing w:after="0"/>
        <w:ind w:left="0"/>
        <w:jc w:val="both"/>
      </w:pPr>
      <w:r>
        <w:rPr>
          <w:rFonts w:ascii="Times New Roman"/>
          <w:b w:val="false"/>
          <w:i w:val="false"/>
          <w:color w:val="000000"/>
          <w:sz w:val="28"/>
        </w:rPr>
        <w:t>
      1439. Во всех каютах пассажиров на внутренней стороне двери вешают плакат, объясняющий систему НРО. Плакат имеет диаграмму, показывающую расположение двух ближайших по отношению к каюте выходов к месту сбора и путь к ним.</w:t>
      </w:r>
    </w:p>
    <w:bookmarkEnd w:id="4719"/>
    <w:bookmarkStart w:name="z4724" w:id="4720"/>
    <w:p>
      <w:pPr>
        <w:spacing w:after="0"/>
        <w:ind w:left="0"/>
        <w:jc w:val="both"/>
      </w:pPr>
      <w:r>
        <w:rPr>
          <w:rFonts w:ascii="Times New Roman"/>
          <w:b w:val="false"/>
          <w:i w:val="false"/>
          <w:color w:val="000000"/>
          <w:sz w:val="28"/>
        </w:rPr>
        <w:t>
      Материалы, использованные для изготовления НРО, не содержат радиоактивных или ядовитых компонентов.</w:t>
      </w:r>
    </w:p>
    <w:bookmarkEnd w:id="4720"/>
    <w:bookmarkStart w:name="z4725" w:id="4721"/>
    <w:p>
      <w:pPr>
        <w:spacing w:after="0"/>
        <w:ind w:left="0"/>
        <w:jc w:val="both"/>
      </w:pPr>
      <w:r>
        <w:rPr>
          <w:rFonts w:ascii="Times New Roman"/>
          <w:b w:val="false"/>
          <w:i w:val="false"/>
          <w:color w:val="000000"/>
          <w:sz w:val="28"/>
        </w:rPr>
        <w:t>
      1440. НРО указывает на ручку двери выхода; другие двери не выделяются подобным образом.</w:t>
      </w:r>
    </w:p>
    <w:bookmarkEnd w:id="4721"/>
    <w:bookmarkStart w:name="z4726" w:id="4722"/>
    <w:p>
      <w:pPr>
        <w:spacing w:after="0"/>
        <w:ind w:left="0"/>
        <w:jc w:val="both"/>
      </w:pPr>
      <w:r>
        <w:rPr>
          <w:rFonts w:ascii="Times New Roman"/>
          <w:b w:val="false"/>
          <w:i w:val="false"/>
          <w:color w:val="000000"/>
          <w:sz w:val="28"/>
        </w:rPr>
        <w:t>
      Скользящие, противопожарные и водонепроницаемые двери маркируются знаком НРО, показывающим, как открыть дверь.</w:t>
      </w:r>
    </w:p>
    <w:bookmarkEnd w:id="4722"/>
    <w:bookmarkStart w:name="z4727" w:id="4723"/>
    <w:p>
      <w:pPr>
        <w:spacing w:after="0"/>
        <w:ind w:left="0"/>
        <w:jc w:val="both"/>
      </w:pPr>
      <w:r>
        <w:rPr>
          <w:rFonts w:ascii="Times New Roman"/>
          <w:b w:val="false"/>
          <w:i w:val="false"/>
          <w:color w:val="000000"/>
          <w:sz w:val="28"/>
        </w:rPr>
        <w:t>
      Знаком НРО маркируются также все двери выходов и пути эвакуации. Знаки наносятся на расстоянии 300 мм от палубы или нижней кромки двери и контрастны по отношению к фону, на который они наносятся.</w:t>
      </w:r>
    </w:p>
    <w:bookmarkEnd w:id="4723"/>
    <w:bookmarkStart w:name="z4728" w:id="4724"/>
    <w:p>
      <w:pPr>
        <w:spacing w:after="0"/>
        <w:ind w:left="0"/>
        <w:jc w:val="both"/>
      </w:pPr>
      <w:r>
        <w:rPr>
          <w:rFonts w:ascii="Times New Roman"/>
          <w:b w:val="false"/>
          <w:i w:val="false"/>
          <w:color w:val="000000"/>
          <w:sz w:val="28"/>
        </w:rPr>
        <w:t>
      Все знаки путей эвакуации и дверей выхода изготавливают из фотолюминесцентного материала или соответствующим образом освещены.</w:t>
      </w:r>
    </w:p>
    <w:bookmarkEnd w:id="4724"/>
    <w:bookmarkStart w:name="z4729" w:id="4725"/>
    <w:p>
      <w:pPr>
        <w:spacing w:after="0"/>
        <w:ind w:left="0"/>
        <w:jc w:val="both"/>
      </w:pPr>
      <w:r>
        <w:rPr>
          <w:rFonts w:ascii="Times New Roman"/>
          <w:b w:val="false"/>
          <w:i w:val="false"/>
          <w:color w:val="000000"/>
          <w:sz w:val="28"/>
        </w:rPr>
        <w:t>
      1441. Полосы фотолюминесцентного материала имеют ширину не менее 75 мм. Полосы меньшей ширины используются только, если их яркость увеличена пропорционально уменьшению ширины. Фотолюминесцентный материал обеспечивает яркость, по меньшей мере, 15 мкд/м</w:t>
      </w:r>
      <w:r>
        <w:rPr>
          <w:rFonts w:ascii="Times New Roman"/>
          <w:b w:val="false"/>
          <w:i w:val="false"/>
          <w:color w:val="000000"/>
          <w:vertAlign w:val="superscript"/>
        </w:rPr>
        <w:t>2</w:t>
      </w:r>
      <w:r>
        <w:rPr>
          <w:rFonts w:ascii="Times New Roman"/>
          <w:b w:val="false"/>
          <w:i w:val="false"/>
          <w:color w:val="000000"/>
          <w:sz w:val="28"/>
        </w:rPr>
        <w:t>, измеренную через 10 мин после удаления всех внешних источников освещения. Система обеспечивает яркость более 2,0 мкд/м</w:t>
      </w:r>
      <w:r>
        <w:rPr>
          <w:rFonts w:ascii="Times New Roman"/>
          <w:b w:val="false"/>
          <w:i w:val="false"/>
          <w:color w:val="000000"/>
          <w:vertAlign w:val="superscript"/>
        </w:rPr>
        <w:t>2</w:t>
      </w:r>
      <w:r>
        <w:rPr>
          <w:rFonts w:ascii="Times New Roman"/>
          <w:b w:val="false"/>
          <w:i w:val="false"/>
          <w:color w:val="000000"/>
          <w:sz w:val="28"/>
        </w:rPr>
        <w:t xml:space="preserve"> в течение 1 ч.</w:t>
      </w:r>
    </w:p>
    <w:bookmarkEnd w:id="4725"/>
    <w:bookmarkStart w:name="z4730" w:id="4726"/>
    <w:p>
      <w:pPr>
        <w:spacing w:after="0"/>
        <w:ind w:left="0"/>
        <w:jc w:val="both"/>
      </w:pPr>
      <w:r>
        <w:rPr>
          <w:rFonts w:ascii="Times New Roman"/>
          <w:b w:val="false"/>
          <w:i w:val="false"/>
          <w:color w:val="000000"/>
          <w:sz w:val="28"/>
        </w:rPr>
        <w:t>
      Любая фотолюминесцентная система обеспечивается таким уровнем окружающего освещения, который необходим для зарядки фотолюминесцентного материала до вышеуказанных требований яркости.</w:t>
      </w:r>
    </w:p>
    <w:bookmarkEnd w:id="4726"/>
    <w:bookmarkStart w:name="z4731" w:id="4727"/>
    <w:p>
      <w:pPr>
        <w:spacing w:after="0"/>
        <w:ind w:left="0"/>
        <w:jc w:val="left"/>
      </w:pPr>
      <w:r>
        <w:rPr>
          <w:rFonts w:ascii="Times New Roman"/>
          <w:b/>
          <w:i w:val="false"/>
          <w:color w:val="000000"/>
        </w:rPr>
        <w:t xml:space="preserve"> Параграф 4. Дополнительные требования к путям эвакуации</w:t>
      </w:r>
      <w:r>
        <w:br/>
      </w:r>
      <w:r>
        <w:rPr>
          <w:rFonts w:ascii="Times New Roman"/>
          <w:b/>
          <w:i w:val="false"/>
          <w:color w:val="000000"/>
        </w:rPr>
        <w:t>на пассажирских накатных судах</w:t>
      </w:r>
    </w:p>
    <w:bookmarkEnd w:id="4727"/>
    <w:bookmarkStart w:name="z4732" w:id="4728"/>
    <w:p>
      <w:pPr>
        <w:spacing w:after="0"/>
        <w:ind w:left="0"/>
        <w:jc w:val="both"/>
      </w:pPr>
      <w:r>
        <w:rPr>
          <w:rFonts w:ascii="Times New Roman"/>
          <w:b w:val="false"/>
          <w:i w:val="false"/>
          <w:color w:val="000000"/>
          <w:sz w:val="28"/>
        </w:rPr>
        <w:t>
      1442. Дополнительные требования к путям эвакуации на пассажирских накатных судах устанавливаются нижеследующими пунктами настоящего парграфа.</w:t>
      </w:r>
    </w:p>
    <w:bookmarkEnd w:id="4728"/>
    <w:bookmarkStart w:name="z4733" w:id="4729"/>
    <w:p>
      <w:pPr>
        <w:spacing w:after="0"/>
        <w:ind w:left="0"/>
        <w:jc w:val="both"/>
      </w:pPr>
      <w:r>
        <w:rPr>
          <w:rFonts w:ascii="Times New Roman"/>
          <w:b w:val="false"/>
          <w:i w:val="false"/>
          <w:color w:val="000000"/>
          <w:sz w:val="28"/>
        </w:rPr>
        <w:t>
      1443. Поручни или лееры предусматривают вдоль всех путей эвакуации к местам сбора и посадки в спасательные шлюпки и плоты; конструкция поручней или лееров, насколько это возможно, жесткая. Такие поручни или лееры предусмотрены с обеих сторон продольных коридоров шириной более 1,8 м и поперечных коридоров шириной более 1 м. Особое внимание обращают на необходимость обеспечения возможности пересекать вестибюли и другие большие открытые помещения на пути эвакуации. Поручни и лееры такой прочности, что выдерживают распределенную горизонтальную нагрузку в 750 Н/м, приложенную в направлении центра коридора или помещения, и распределенную вертикальную нагрузку в 750 Н/м, приложенную по направлению вниз. Нет необходимости прилагать обе нагрузки одновременно.</w:t>
      </w:r>
    </w:p>
    <w:bookmarkEnd w:id="4729"/>
    <w:bookmarkStart w:name="z4734" w:id="4730"/>
    <w:p>
      <w:pPr>
        <w:spacing w:after="0"/>
        <w:ind w:left="0"/>
        <w:jc w:val="both"/>
      </w:pPr>
      <w:r>
        <w:rPr>
          <w:rFonts w:ascii="Times New Roman"/>
          <w:b w:val="false"/>
          <w:i w:val="false"/>
          <w:color w:val="000000"/>
          <w:sz w:val="28"/>
        </w:rPr>
        <w:t>
      1444. Пути эвакуации не загромождаются мебелью и другими препятствиями, за исключением столов и стульев, которые убирают для обеспечения свободного места. Шкафы и другие тяжелые предметы мебели в общественных помещениях и вдоль путей эвакуации закрепляют для того, чтобы предотвратить их перемещение, если судно испытывает бортовую качку или крен. Покрытия полов также закрепляют. Когда судно находится на ходу, пути эвакуации остаются свободными от препятствий.</w:t>
      </w:r>
    </w:p>
    <w:bookmarkEnd w:id="4730"/>
    <w:bookmarkStart w:name="z4735" w:id="4731"/>
    <w:p>
      <w:pPr>
        <w:spacing w:after="0"/>
        <w:ind w:left="0"/>
        <w:jc w:val="both"/>
      </w:pPr>
      <w:r>
        <w:rPr>
          <w:rFonts w:ascii="Times New Roman"/>
          <w:b w:val="false"/>
          <w:i w:val="false"/>
          <w:color w:val="000000"/>
          <w:sz w:val="28"/>
        </w:rPr>
        <w:t>
      1445. Пути эвакуации предусматривают из каждого помещения, где обычно находятся люди. Эти пути эвакуации устривают так, чтобы обеспечивался кратчайший путь к местам сбора и посадки в спасательные шлюпки и плоты, и обозначают соответствующими символами.</w:t>
      </w:r>
    </w:p>
    <w:bookmarkEnd w:id="4731"/>
    <w:bookmarkStart w:name="z4736" w:id="4732"/>
    <w:p>
      <w:pPr>
        <w:spacing w:after="0"/>
        <w:ind w:left="0"/>
        <w:jc w:val="both"/>
      </w:pPr>
      <w:r>
        <w:rPr>
          <w:rFonts w:ascii="Times New Roman"/>
          <w:b w:val="false"/>
          <w:i w:val="false"/>
          <w:color w:val="000000"/>
          <w:sz w:val="28"/>
        </w:rPr>
        <w:t>
      1446. Если закрытые помещения примыкают к открытой палубе, отверстия, ведущие из закрытого помещения на открытую палубу, где это практически осуществимо, имеют возможность использоваться в качестве аварийного выхода.</w:t>
      </w:r>
    </w:p>
    <w:bookmarkEnd w:id="4732"/>
    <w:bookmarkStart w:name="z4737" w:id="4733"/>
    <w:p>
      <w:pPr>
        <w:spacing w:after="0"/>
        <w:ind w:left="0"/>
        <w:jc w:val="both"/>
      </w:pPr>
      <w:r>
        <w:rPr>
          <w:rFonts w:ascii="Times New Roman"/>
          <w:b w:val="false"/>
          <w:i w:val="false"/>
          <w:color w:val="000000"/>
          <w:sz w:val="28"/>
        </w:rPr>
        <w:t>
      1447. Палубы нумеруют последовательно, начиная с "1" на уровне танковили уровня самой нижней палубы. Эти номера четко выделяются на площадках трапов и лифтах вестибюлей. Палубы также имеют название, но номера палуб всегда указываются рядом с названием.</w:t>
      </w:r>
    </w:p>
    <w:bookmarkEnd w:id="4733"/>
    <w:bookmarkStart w:name="z4738" w:id="4734"/>
    <w:p>
      <w:pPr>
        <w:spacing w:after="0"/>
        <w:ind w:left="0"/>
        <w:jc w:val="both"/>
      </w:pPr>
      <w:r>
        <w:rPr>
          <w:rFonts w:ascii="Times New Roman"/>
          <w:b w:val="false"/>
          <w:i w:val="false"/>
          <w:color w:val="000000"/>
          <w:sz w:val="28"/>
        </w:rPr>
        <w:t>
      1448. Простые, четкие, схематичные планы, показывающие местонахождение ("Вы находитесь здесь") и пути эвакуации, обозначенные стрелками, помещаются на внутренней стороне каждой двери каюты и в общественных помещениях.</w:t>
      </w:r>
    </w:p>
    <w:bookmarkEnd w:id="4734"/>
    <w:bookmarkStart w:name="z4739" w:id="4735"/>
    <w:p>
      <w:pPr>
        <w:spacing w:after="0"/>
        <w:ind w:left="0"/>
        <w:jc w:val="both"/>
      </w:pPr>
      <w:r>
        <w:rPr>
          <w:rFonts w:ascii="Times New Roman"/>
          <w:b w:val="false"/>
          <w:i w:val="false"/>
          <w:color w:val="000000"/>
          <w:sz w:val="28"/>
        </w:rPr>
        <w:t>
      1449. Необходимо чтобы к дверям отдельных кают и кают, состоящих из нескольких помещений, не требовались ключи для их открытия с внутренней стороны. Никаких дверей, которые бы требовали ключей для их открытия, не должно быть вдоль установленных путей эвакуации.</w:t>
      </w:r>
    </w:p>
    <w:bookmarkEnd w:id="4735"/>
    <w:bookmarkStart w:name="z4740" w:id="4736"/>
    <w:p>
      <w:pPr>
        <w:spacing w:after="0"/>
        <w:ind w:left="0"/>
        <w:jc w:val="both"/>
      </w:pPr>
      <w:r>
        <w:rPr>
          <w:rFonts w:ascii="Times New Roman"/>
          <w:b w:val="false"/>
          <w:i w:val="false"/>
          <w:color w:val="000000"/>
          <w:sz w:val="28"/>
        </w:rPr>
        <w:t>
      1450. Необходимо чтобы нижние части переборок вдоль путей эвакуации до высоты 0,5 м были способны выдержать нагрузку в 750 Н/м для того, чтобы допускать их использование в качестве поверхностей для ходьбы при больших углах крена судна.</w:t>
      </w:r>
    </w:p>
    <w:bookmarkEnd w:id="4736"/>
    <w:bookmarkStart w:name="z4741" w:id="4737"/>
    <w:p>
      <w:pPr>
        <w:spacing w:after="0"/>
        <w:ind w:left="0"/>
        <w:jc w:val="both"/>
      </w:pPr>
      <w:r>
        <w:rPr>
          <w:rFonts w:ascii="Times New Roman"/>
          <w:b w:val="false"/>
          <w:i w:val="false"/>
          <w:color w:val="000000"/>
          <w:sz w:val="28"/>
        </w:rPr>
        <w:t>
      1451. Пути эвакуации из кают к выгородкам трапов, насколько это возможно, быть прямыми, с минимальным числом изменений направления. Необходимо чтобы не было необходимости переходить с одного борта судна на другой, чтобы выйти на путь эвакуации. Необходимо чтобы не было необходимости более чем на две палубы подниматься вверх или спускаться вниз, чтобы выйти к месту сбора или на открытую палубу из любого помещения для пассажиров.</w:t>
      </w:r>
    </w:p>
    <w:bookmarkEnd w:id="4737"/>
    <w:bookmarkStart w:name="z4742" w:id="4738"/>
    <w:p>
      <w:pPr>
        <w:spacing w:after="0"/>
        <w:ind w:left="0"/>
        <w:jc w:val="both"/>
      </w:pPr>
      <w:r>
        <w:rPr>
          <w:rFonts w:ascii="Times New Roman"/>
          <w:b w:val="false"/>
          <w:i w:val="false"/>
          <w:color w:val="000000"/>
          <w:sz w:val="28"/>
        </w:rPr>
        <w:t>
      1452. Со всех открытых палуб, указанных в пункте 1451 настоящих Правил, предусматривают внешние пути эвакуации к местам посадки в спасательные шлюпки или плоты.</w:t>
      </w:r>
    </w:p>
    <w:bookmarkEnd w:id="4738"/>
    <w:bookmarkStart w:name="z4743" w:id="4739"/>
    <w:p>
      <w:pPr>
        <w:spacing w:after="0"/>
        <w:ind w:left="0"/>
        <w:jc w:val="left"/>
      </w:pPr>
      <w:r>
        <w:rPr>
          <w:rFonts w:ascii="Times New Roman"/>
          <w:b/>
          <w:i w:val="false"/>
          <w:color w:val="000000"/>
        </w:rPr>
        <w:t xml:space="preserve"> Глава 85. Леерное ограждение, фальшборт и переходные мостики</w:t>
      </w:r>
    </w:p>
    <w:bookmarkEnd w:id="4739"/>
    <w:p>
      <w:pPr>
        <w:spacing w:after="0"/>
        <w:ind w:left="0"/>
        <w:jc w:val="both"/>
      </w:pPr>
      <w:r>
        <w:rPr>
          <w:rFonts w:ascii="Times New Roman"/>
          <w:b w:val="false"/>
          <w:i w:val="false"/>
          <w:color w:val="ff0000"/>
          <w:sz w:val="28"/>
        </w:rPr>
        <w:t xml:space="preserve">
      Сноска. Заголовок главы 85 -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44" w:id="4740"/>
    <w:p>
      <w:pPr>
        <w:spacing w:after="0"/>
        <w:ind w:left="0"/>
        <w:jc w:val="both"/>
      </w:pPr>
      <w:r>
        <w:rPr>
          <w:rFonts w:ascii="Times New Roman"/>
          <w:b w:val="false"/>
          <w:i w:val="false"/>
          <w:color w:val="000000"/>
          <w:sz w:val="28"/>
        </w:rPr>
        <w:t>
      1453. На всех открытых участках палубы надводного борта и палуб надстроек и рубок устанавливают надежные леерные ограждения или фальшборты, а для судов, предназначенных для перевозки палубного лесного груза, предусматривают съемные ограждения или штормовые лееры, устанавливаемые на этом грузе.</w:t>
      </w:r>
    </w:p>
    <w:bookmarkEnd w:id="4740"/>
    <w:bookmarkStart w:name="z4745" w:id="4741"/>
    <w:p>
      <w:pPr>
        <w:spacing w:after="0"/>
        <w:ind w:left="0"/>
        <w:jc w:val="both"/>
      </w:pPr>
      <w:r>
        <w:rPr>
          <w:rFonts w:ascii="Times New Roman"/>
          <w:b w:val="false"/>
          <w:i w:val="false"/>
          <w:color w:val="000000"/>
          <w:sz w:val="28"/>
        </w:rPr>
        <w:t>
      1454. Высота фальшбортов или леерных ограждений равна не менее 1 м от палубы. Однако если такая высота будет мешать нормальной работе на судне, то возможно одобрение меньшей высоты, если Регистр судоходства будет убежден, что обеспечена достаточная защита экипажа и пассажиров.</w:t>
      </w:r>
    </w:p>
    <w:bookmarkEnd w:id="4741"/>
    <w:bookmarkStart w:name="z4746" w:id="4742"/>
    <w:p>
      <w:pPr>
        <w:spacing w:after="0"/>
        <w:ind w:left="0"/>
        <w:jc w:val="both"/>
      </w:pPr>
      <w:r>
        <w:rPr>
          <w:rFonts w:ascii="Times New Roman"/>
          <w:b w:val="false"/>
          <w:i w:val="false"/>
          <w:color w:val="000000"/>
          <w:sz w:val="28"/>
        </w:rPr>
        <w:t>
      1455. Расстояние между стойками леерного ограждения не более 1,5 м, причем по крайней мере каждая третья стойка должна быть с контрфорсом.</w:t>
      </w:r>
    </w:p>
    <w:bookmarkEnd w:id="4742"/>
    <w:bookmarkStart w:name="z4747" w:id="4743"/>
    <w:p>
      <w:pPr>
        <w:spacing w:after="0"/>
        <w:ind w:left="0"/>
        <w:jc w:val="both"/>
      </w:pPr>
      <w:r>
        <w:rPr>
          <w:rFonts w:ascii="Times New Roman"/>
          <w:b w:val="false"/>
          <w:i w:val="false"/>
          <w:color w:val="000000"/>
          <w:sz w:val="28"/>
        </w:rPr>
        <w:t>
      Предусматривается возможность стопорения съемных и заваливающихся стоек в вертикальном положении.</w:t>
      </w:r>
    </w:p>
    <w:bookmarkEnd w:id="4743"/>
    <w:bookmarkStart w:name="z4748" w:id="4744"/>
    <w:p>
      <w:pPr>
        <w:spacing w:after="0"/>
        <w:ind w:left="0"/>
        <w:jc w:val="both"/>
      </w:pPr>
      <w:r>
        <w:rPr>
          <w:rFonts w:ascii="Times New Roman"/>
          <w:b w:val="false"/>
          <w:i w:val="false"/>
          <w:color w:val="000000"/>
          <w:sz w:val="28"/>
        </w:rPr>
        <w:t>
      Допускается использование плоских стальных стоек с увеличивающейся шириной к месту приварки стойки к палубе. В приложении 186 настоящих Правил показана схема и частота установки указанных стоек в зависимости от ширины нижней кромки, привариваемой к палубе. Палуба в местах приварки стойки подкрепляется ребром жесткости, минимальные размеры которого по ширине и толщине должны составлять 100x12 мм. При толщине палубы более 20 мм палубу допускается не подкреплять.</w:t>
      </w:r>
    </w:p>
    <w:bookmarkEnd w:id="4744"/>
    <w:bookmarkStart w:name="z4749" w:id="4745"/>
    <w:p>
      <w:pPr>
        <w:spacing w:after="0"/>
        <w:ind w:left="0"/>
        <w:jc w:val="both"/>
      </w:pPr>
      <w:r>
        <w:rPr>
          <w:rFonts w:ascii="Times New Roman"/>
          <w:b w:val="false"/>
          <w:i w:val="false"/>
          <w:color w:val="000000"/>
          <w:sz w:val="28"/>
        </w:rPr>
        <w:t>
      1456. Планширь, поручень и леера леерного ограждения, как правило, имеют жесткую конструкцию; только в особых случаях допускается применение стальных тросов в качестве леерного ограждения, причем только тросов в виде отрезков ограниченных длин; стальные тросы в этих случаях набивается посредством талрепов.</w:t>
      </w:r>
    </w:p>
    <w:bookmarkEnd w:id="4745"/>
    <w:bookmarkStart w:name="z4750" w:id="4746"/>
    <w:p>
      <w:pPr>
        <w:spacing w:after="0"/>
        <w:ind w:left="0"/>
        <w:jc w:val="both"/>
      </w:pPr>
      <w:r>
        <w:rPr>
          <w:rFonts w:ascii="Times New Roman"/>
          <w:b w:val="false"/>
          <w:i w:val="false"/>
          <w:color w:val="000000"/>
          <w:sz w:val="28"/>
        </w:rPr>
        <w:t>
      Отрезки цепи применяются взамен поручней и лееров жесткой конструкции только при условии установки их между двумя постоянными стойками или между постоянной стойкой и фальшбортом.</w:t>
      </w:r>
    </w:p>
    <w:bookmarkEnd w:id="4746"/>
    <w:bookmarkStart w:name="z4751" w:id="4747"/>
    <w:p>
      <w:pPr>
        <w:spacing w:after="0"/>
        <w:ind w:left="0"/>
        <w:jc w:val="both"/>
      </w:pPr>
      <w:r>
        <w:rPr>
          <w:rFonts w:ascii="Times New Roman"/>
          <w:b w:val="false"/>
          <w:i w:val="false"/>
          <w:color w:val="000000"/>
          <w:sz w:val="28"/>
        </w:rPr>
        <w:t>
      1457. Просвет под самым нижним леером леерных ограждений не превышает 230 мм. Расстояние между другими леерами равно не более 380 мм. Исключение делается для леерного ограждения, установленного на палубном лесном грузе, для которого высота от основания до нижнего леера и расстояние между остальными леерами не превышает 330 мм. Если судно имеет закругленный ширстрек, леерные стоики устанавливают на плоской части палубы.</w:t>
      </w:r>
    </w:p>
    <w:bookmarkEnd w:id="4747"/>
    <w:bookmarkStart w:name="z4752" w:id="4748"/>
    <w:p>
      <w:pPr>
        <w:spacing w:after="0"/>
        <w:ind w:left="0"/>
        <w:jc w:val="both"/>
      </w:pPr>
      <w:r>
        <w:rPr>
          <w:rFonts w:ascii="Times New Roman"/>
          <w:b w:val="false"/>
          <w:i w:val="false"/>
          <w:color w:val="000000"/>
          <w:sz w:val="28"/>
        </w:rPr>
        <w:t>
      1458. Суда типа А с фальшбортами, а также суда типа В с надводным бортом, уменьшенным до требуемого для судов типа А, имеют открытые леерные ограждения, установленные по крайней мере на половине длины незащищенных частей открытой палубы, или другие эффективные средства для удаления воды. Верхняя кромка ширстрека располагается настолько низко, насколько это возможно.</w:t>
      </w:r>
    </w:p>
    <w:bookmarkEnd w:id="4748"/>
    <w:bookmarkStart w:name="z4753" w:id="4749"/>
    <w:p>
      <w:pPr>
        <w:spacing w:after="0"/>
        <w:ind w:left="0"/>
        <w:jc w:val="both"/>
      </w:pPr>
      <w:r>
        <w:rPr>
          <w:rFonts w:ascii="Times New Roman"/>
          <w:b w:val="false"/>
          <w:i w:val="false"/>
          <w:color w:val="000000"/>
          <w:sz w:val="28"/>
        </w:rPr>
        <w:t>
      Если надстройки соединены ящиками, то предусматривают открытые леерные ограждения по всей длине палубы надводного борта между надстройками.</w:t>
      </w:r>
    </w:p>
    <w:bookmarkEnd w:id="4749"/>
    <w:bookmarkStart w:name="z4754" w:id="4750"/>
    <w:p>
      <w:pPr>
        <w:spacing w:after="0"/>
        <w:ind w:left="0"/>
        <w:jc w:val="both"/>
      </w:pPr>
      <w:r>
        <w:rPr>
          <w:rFonts w:ascii="Times New Roman"/>
          <w:b w:val="false"/>
          <w:i w:val="false"/>
          <w:color w:val="000000"/>
          <w:sz w:val="28"/>
        </w:rPr>
        <w:t>
      1459. При наличии фальшборта он отвечает требованиям главы 39 настоящих Правил.</w:t>
      </w:r>
    </w:p>
    <w:bookmarkEnd w:id="4750"/>
    <w:bookmarkStart w:name="z4755" w:id="4751"/>
    <w:p>
      <w:pPr>
        <w:spacing w:after="0"/>
        <w:ind w:left="0"/>
        <w:jc w:val="both"/>
      </w:pPr>
      <w:r>
        <w:rPr>
          <w:rFonts w:ascii="Times New Roman"/>
          <w:b w:val="false"/>
          <w:i w:val="false"/>
          <w:color w:val="000000"/>
          <w:sz w:val="28"/>
        </w:rPr>
        <w:t>
      1460. Для защиты экипажа от воздействия моря при переходах в жилые помещения, машинное отделение и все другие места, используемые при эксплуатации судна, и обратно предусматривают удовлетворительные средства в виде спасательных лееров, переходных мостиков, подпалубных переходов.</w:t>
      </w:r>
    </w:p>
    <w:bookmarkEnd w:id="4751"/>
    <w:bookmarkStart w:name="z4756" w:id="4752"/>
    <w:p>
      <w:pPr>
        <w:spacing w:after="0"/>
        <w:ind w:left="0"/>
        <w:jc w:val="both"/>
      </w:pPr>
      <w:r>
        <w:rPr>
          <w:rFonts w:ascii="Times New Roman"/>
          <w:b w:val="false"/>
          <w:i w:val="false"/>
          <w:color w:val="000000"/>
          <w:sz w:val="28"/>
        </w:rPr>
        <w:t xml:space="preserve">
      1461. На судах типа А на уровне палубы надстроек, между ютом и средней надстройкой или рубкой, если они имеются, устанавливают в продольном направлении, вблизи от диаметральной плоскости судна, постоянный переходный мостик или предусматривают другие равноценные средства доступа, заменяющие переходный мостик, например, подпалубные переходы. Ширина проходов составляет не менее 1 м. Переходные мостики по всей длине настила с каждой стороны оборудуют продольными ограничительными планками. </w:t>
      </w:r>
    </w:p>
    <w:bookmarkEnd w:id="4752"/>
    <w:bookmarkStart w:name="z4757" w:id="4753"/>
    <w:p>
      <w:pPr>
        <w:spacing w:after="0"/>
        <w:ind w:left="0"/>
        <w:jc w:val="both"/>
      </w:pPr>
      <w:r>
        <w:rPr>
          <w:rFonts w:ascii="Times New Roman"/>
          <w:b w:val="false"/>
          <w:i w:val="false"/>
          <w:color w:val="000000"/>
          <w:sz w:val="28"/>
        </w:rPr>
        <w:t>
      Устанавливают надежное леерное ограждение, конструктивные размеры которого отвечают требованиям пунктов 1454, 1455 и 1457 настоящей главы, а также пункта 699 настоящих Правил).</w:t>
      </w:r>
    </w:p>
    <w:bookmarkEnd w:id="4753"/>
    <w:bookmarkStart w:name="z4758" w:id="4754"/>
    <w:p>
      <w:pPr>
        <w:spacing w:after="0"/>
        <w:ind w:left="0"/>
        <w:jc w:val="both"/>
      </w:pPr>
      <w:r>
        <w:rPr>
          <w:rFonts w:ascii="Times New Roman"/>
          <w:b w:val="false"/>
          <w:i w:val="false"/>
          <w:color w:val="000000"/>
          <w:sz w:val="28"/>
        </w:rPr>
        <w:t>
      Конструкция переходных мостиков выполняется из огнестойкого, а настил, кроме того, из нескользящего материала.</w:t>
      </w:r>
    </w:p>
    <w:bookmarkEnd w:id="4754"/>
    <w:bookmarkStart w:name="z4759" w:id="4755"/>
    <w:p>
      <w:pPr>
        <w:spacing w:after="0"/>
        <w:ind w:left="0"/>
        <w:jc w:val="both"/>
      </w:pPr>
      <w:r>
        <w:rPr>
          <w:rFonts w:ascii="Times New Roman"/>
          <w:b w:val="false"/>
          <w:i w:val="false"/>
          <w:color w:val="000000"/>
          <w:sz w:val="28"/>
        </w:rPr>
        <w:t>
      На судах, не имеющих средней надстройки, предусматривают одобренные Регистром судоходства устройства, обеспечивающие безопасность экипажа при переходе во все районы судна, доступ в которые требуется при нахождении судна в море.</w:t>
      </w:r>
    </w:p>
    <w:bookmarkEnd w:id="4755"/>
    <w:bookmarkStart w:name="z4760" w:id="4756"/>
    <w:p>
      <w:pPr>
        <w:spacing w:after="0"/>
        <w:ind w:left="0"/>
        <w:jc w:val="both"/>
      </w:pPr>
      <w:r>
        <w:rPr>
          <w:rFonts w:ascii="Times New Roman"/>
          <w:b w:val="false"/>
          <w:i w:val="false"/>
          <w:color w:val="000000"/>
          <w:sz w:val="28"/>
        </w:rPr>
        <w:t>
      1462. Преудсматривают безопасные и удобные сходные трапы с уровня переходного мостика на палубу; расстояние между трапами не превышает 40 м.</w:t>
      </w:r>
    </w:p>
    <w:bookmarkEnd w:id="4756"/>
    <w:bookmarkStart w:name="z4761" w:id="4757"/>
    <w:p>
      <w:pPr>
        <w:spacing w:after="0"/>
        <w:ind w:left="0"/>
        <w:jc w:val="both"/>
      </w:pPr>
      <w:r>
        <w:rPr>
          <w:rFonts w:ascii="Times New Roman"/>
          <w:b w:val="false"/>
          <w:i w:val="false"/>
          <w:color w:val="000000"/>
          <w:sz w:val="28"/>
        </w:rPr>
        <w:t>
      В случае, если длина палубы превышает 70 м, на пути передвижения по переходному мостику или других средств доступа предусматривают специальные трехсторонние укрытия (нос — борта) для защиты экипажа от непогоды. Такие укрытия рассчитывают по крайней мере на одного человека и устанавливаются с интервалом, не превышающим 45 м. Необходимо чтобы трубы или другое палубное оборудование не препятствовали безопасному проходу людей.</w:t>
      </w:r>
    </w:p>
    <w:bookmarkEnd w:id="4757"/>
    <w:bookmarkStart w:name="z4762" w:id="4758"/>
    <w:p>
      <w:pPr>
        <w:spacing w:after="0"/>
        <w:ind w:left="0"/>
        <w:jc w:val="both"/>
      </w:pPr>
      <w:r>
        <w:rPr>
          <w:rFonts w:ascii="Times New Roman"/>
          <w:b w:val="false"/>
          <w:i w:val="false"/>
          <w:color w:val="000000"/>
          <w:sz w:val="28"/>
        </w:rPr>
        <w:t>
      1463. К судовым баржам требования пунктов 1453 – 1457 и 1461 настоящих Правил не применяются. В этом случае, по крайней мере, предусматривают спасательные леера.</w:t>
      </w:r>
    </w:p>
    <w:bookmarkEnd w:id="4758"/>
    <w:bookmarkStart w:name="z4763" w:id="4759"/>
    <w:p>
      <w:pPr>
        <w:spacing w:after="0"/>
        <w:ind w:left="0"/>
        <w:jc w:val="both"/>
      </w:pPr>
      <w:r>
        <w:rPr>
          <w:rFonts w:ascii="Times New Roman"/>
          <w:b w:val="false"/>
          <w:i w:val="false"/>
          <w:color w:val="000000"/>
          <w:sz w:val="28"/>
        </w:rPr>
        <w:t>
      1464. Элементы подъемного устройства судовых барж, поднимаемых на борт баржевоза краном (проушины, обухи, рымы, скобы, захваты), рассчитывают на воздействие усилий, возникающих в них при подъеме равномерно загруженной спецификационным грузом судовой баржи за две точки, расположенные по диагонали. При действии указанных усилий напряжения в элементах подъемного устройства не превышает 0,7 верхнего предела текучести их материала.</w:t>
      </w:r>
    </w:p>
    <w:bookmarkEnd w:id="4759"/>
    <w:bookmarkStart w:name="z4764" w:id="4760"/>
    <w:p>
      <w:pPr>
        <w:spacing w:after="0"/>
        <w:ind w:left="0"/>
        <w:jc w:val="left"/>
      </w:pPr>
      <w:r>
        <w:rPr>
          <w:rFonts w:ascii="Times New Roman"/>
          <w:b/>
          <w:i w:val="false"/>
          <w:color w:val="000000"/>
        </w:rPr>
        <w:t xml:space="preserve"> Подраздел 6. Аварийное снабжение</w:t>
      </w:r>
      <w:r>
        <w:br/>
      </w:r>
      <w:r>
        <w:rPr>
          <w:rFonts w:ascii="Times New Roman"/>
          <w:b/>
          <w:i w:val="false"/>
          <w:color w:val="000000"/>
        </w:rPr>
        <w:t>Глава 86. Общие положения, нормы снабжения</w:t>
      </w:r>
    </w:p>
    <w:bookmarkEnd w:id="4760"/>
    <w:p>
      <w:pPr>
        <w:spacing w:after="0"/>
        <w:ind w:left="0"/>
        <w:jc w:val="both"/>
      </w:pPr>
      <w:r>
        <w:rPr>
          <w:rFonts w:ascii="Times New Roman"/>
          <w:b w:val="false"/>
          <w:i w:val="false"/>
          <w:color w:val="ff0000"/>
          <w:sz w:val="28"/>
        </w:rPr>
        <w:t xml:space="preserve">
      Сноска. Заголовок главы 86 -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66" w:id="4761"/>
    <w:p>
      <w:pPr>
        <w:spacing w:after="0"/>
        <w:ind w:left="0"/>
        <w:jc w:val="both"/>
      </w:pPr>
      <w:r>
        <w:rPr>
          <w:rFonts w:ascii="Times New Roman"/>
          <w:b w:val="false"/>
          <w:i w:val="false"/>
          <w:color w:val="000000"/>
          <w:sz w:val="28"/>
        </w:rPr>
        <w:t>
      1465. Предметы снабжения, перечисленные в приложениях 182, 183, 184 и 185 настоящих Правил, зачисляют в аварийное снабжение из имеющихся на судне, но предназначенных для других целей, если они имеют соответствующую маркировку и место их постоянного хранения расположено выше палубы переборок.</w:t>
      </w:r>
    </w:p>
    <w:bookmarkEnd w:id="4761"/>
    <w:bookmarkStart w:name="z4767" w:id="4762"/>
    <w:p>
      <w:pPr>
        <w:spacing w:after="0"/>
        <w:ind w:left="0"/>
        <w:jc w:val="both"/>
      </w:pPr>
      <w:r>
        <w:rPr>
          <w:rFonts w:ascii="Times New Roman"/>
          <w:b w:val="false"/>
          <w:i w:val="false"/>
          <w:color w:val="000000"/>
          <w:sz w:val="28"/>
        </w:rPr>
        <w:t>
      1466. Все суда, за исключением тех, которые указаны в пунктах 1469 и 1470 настоящих Правил, имеют аварийное снабжение в объеме, не менее указанного в приложении 182 настоящих Правил.</w:t>
      </w:r>
    </w:p>
    <w:bookmarkEnd w:id="4762"/>
    <w:bookmarkStart w:name="z4768" w:id="4763"/>
    <w:p>
      <w:pPr>
        <w:spacing w:after="0"/>
        <w:ind w:left="0"/>
        <w:jc w:val="both"/>
      </w:pPr>
      <w:r>
        <w:rPr>
          <w:rFonts w:ascii="Times New Roman"/>
          <w:b w:val="false"/>
          <w:i w:val="false"/>
          <w:color w:val="000000"/>
          <w:sz w:val="28"/>
        </w:rPr>
        <w:t>
      Для несамоходных судов, эксплуатирующихся без экипажа, аварийного снабжения не требуется. Несамоходные суда, эксплуатирующиеся с экипажем имеют аварийное снабжение согласно пункту 1475 настоящих Правил как плавучие доки, не имеющие связи с берегом.</w:t>
      </w:r>
    </w:p>
    <w:bookmarkEnd w:id="4763"/>
    <w:bookmarkStart w:name="z4769" w:id="4764"/>
    <w:p>
      <w:pPr>
        <w:spacing w:after="0"/>
        <w:ind w:left="0"/>
        <w:jc w:val="both"/>
      </w:pPr>
      <w:r>
        <w:rPr>
          <w:rFonts w:ascii="Times New Roman"/>
          <w:b w:val="false"/>
          <w:i w:val="false"/>
          <w:color w:val="000000"/>
          <w:sz w:val="28"/>
        </w:rPr>
        <w:t>
      1467. Сверх аварийного снабжения, указанного в приложении 182 настоящих Правил, предусматривается дополнительное снабжение:</w:t>
      </w:r>
    </w:p>
    <w:bookmarkEnd w:id="4764"/>
    <w:bookmarkStart w:name="z4770" w:id="4765"/>
    <w:p>
      <w:pPr>
        <w:spacing w:after="0"/>
        <w:ind w:left="0"/>
        <w:jc w:val="both"/>
      </w:pPr>
      <w:r>
        <w:rPr>
          <w:rFonts w:ascii="Times New Roman"/>
          <w:b w:val="false"/>
          <w:i w:val="false"/>
          <w:color w:val="000000"/>
          <w:sz w:val="28"/>
        </w:rPr>
        <w:t>
      на пассажирских судах и судах специального назначения длиной 70 м и более, за исключением судов из стеклопластика, согласно приложения 182 настоящих Правил;</w:t>
      </w:r>
    </w:p>
    <w:bookmarkEnd w:id="4765"/>
    <w:bookmarkStart w:name="z4771" w:id="4766"/>
    <w:p>
      <w:pPr>
        <w:spacing w:after="0"/>
        <w:ind w:left="0"/>
        <w:jc w:val="both"/>
      </w:pPr>
      <w:r>
        <w:rPr>
          <w:rFonts w:ascii="Times New Roman"/>
          <w:b w:val="false"/>
          <w:i w:val="false"/>
          <w:color w:val="000000"/>
          <w:sz w:val="28"/>
        </w:rPr>
        <w:t>
      на судах из стеклопластика согласно приложения 183 настоящих Правил.</w:t>
      </w:r>
    </w:p>
    <w:bookmarkEnd w:id="4766"/>
    <w:bookmarkStart w:name="z4772" w:id="4767"/>
    <w:p>
      <w:pPr>
        <w:spacing w:after="0"/>
        <w:ind w:left="0"/>
        <w:jc w:val="both"/>
      </w:pPr>
      <w:r>
        <w:rPr>
          <w:rFonts w:ascii="Times New Roman"/>
          <w:b w:val="false"/>
          <w:i w:val="false"/>
          <w:color w:val="000000"/>
          <w:sz w:val="28"/>
        </w:rPr>
        <w:t>
      1468. Наборы слесарного и такелажного инструмента, указанные в приложении 182 настоящих Правил, комплектуют в соответствии с приложением 185 настоящих Правил.</w:t>
      </w:r>
    </w:p>
    <w:bookmarkEnd w:id="4767"/>
    <w:bookmarkStart w:name="z4773" w:id="4768"/>
    <w:p>
      <w:pPr>
        <w:spacing w:after="0"/>
        <w:ind w:left="0"/>
        <w:jc w:val="both"/>
      </w:pPr>
      <w:r>
        <w:rPr>
          <w:rFonts w:ascii="Times New Roman"/>
          <w:b w:val="false"/>
          <w:i w:val="false"/>
          <w:color w:val="000000"/>
          <w:sz w:val="28"/>
        </w:rPr>
        <w:t>
      1469. Для судов ограниченных районов плавания Rl, R2, R2-RSN и R3-RSN нормы снабжения аварийным имуществом и материалами устанавливаются по ближайшей низшей группе деления судов в зависимости от их длины согласно приложению 182 настоящих Правил.</w:t>
      </w:r>
    </w:p>
    <w:bookmarkEnd w:id="4768"/>
    <w:bookmarkStart w:name="z4774" w:id="4769"/>
    <w:p>
      <w:pPr>
        <w:spacing w:after="0"/>
        <w:ind w:left="0"/>
        <w:jc w:val="both"/>
      </w:pPr>
      <w:r>
        <w:rPr>
          <w:rFonts w:ascii="Times New Roman"/>
          <w:b w:val="false"/>
          <w:i w:val="false"/>
          <w:color w:val="000000"/>
          <w:sz w:val="28"/>
        </w:rPr>
        <w:t>
      Минимальные нормы аварийного снабжения судов ограниченного района плавания R3 являются в каждом случае предметом специального рассмотрения Регистром судоходства.</w:t>
      </w:r>
    </w:p>
    <w:bookmarkEnd w:id="4769"/>
    <w:bookmarkStart w:name="z4775" w:id="4770"/>
    <w:p>
      <w:pPr>
        <w:spacing w:after="0"/>
        <w:ind w:left="0"/>
        <w:jc w:val="both"/>
      </w:pPr>
      <w:r>
        <w:rPr>
          <w:rFonts w:ascii="Times New Roman"/>
          <w:b w:val="false"/>
          <w:i w:val="false"/>
          <w:color w:val="000000"/>
          <w:sz w:val="28"/>
        </w:rPr>
        <w:t>
      1470. Для судов из стеклопластика не требуется наличия аварийного снабжения, указанного в пунктах 6, 9, 17, 21 — 24, 26 — 29, 31, 35, 36, 39 и 40 приложения 182 настоящих Правил.</w:t>
      </w:r>
    </w:p>
    <w:bookmarkEnd w:id="4770"/>
    <w:bookmarkStart w:name="z4776" w:id="4771"/>
    <w:p>
      <w:pPr>
        <w:spacing w:after="0"/>
        <w:ind w:left="0"/>
        <w:jc w:val="both"/>
      </w:pPr>
      <w:r>
        <w:rPr>
          <w:rFonts w:ascii="Times New Roman"/>
          <w:b w:val="false"/>
          <w:i w:val="false"/>
          <w:color w:val="000000"/>
          <w:sz w:val="28"/>
        </w:rPr>
        <w:t>
      1471. На судах, перевозящих легковоспламеняющиеся и взрывоопасные грузы, инструменты аварийного снабжения по возможности изготавливают из материалов, исключающих искрообразование.</w:t>
      </w:r>
    </w:p>
    <w:bookmarkEnd w:id="4771"/>
    <w:bookmarkStart w:name="z4777" w:id="4772"/>
    <w:p>
      <w:pPr>
        <w:spacing w:after="0"/>
        <w:ind w:left="0"/>
        <w:jc w:val="both"/>
      </w:pPr>
      <w:r>
        <w:rPr>
          <w:rFonts w:ascii="Times New Roman"/>
          <w:b w:val="false"/>
          <w:i w:val="false"/>
          <w:color w:val="000000"/>
          <w:sz w:val="28"/>
        </w:rPr>
        <w:t>
      1472. Буксирам ограниченного района плавания R3 допускается не иметь аварийного снабжения, за исключением комплектов слесарного и такелажного инструментов, необходимых согласно приложения 185 настоящих Правил.</w:t>
      </w:r>
    </w:p>
    <w:bookmarkEnd w:id="4772"/>
    <w:bookmarkStart w:name="z4778" w:id="4773"/>
    <w:p>
      <w:pPr>
        <w:spacing w:after="0"/>
        <w:ind w:left="0"/>
        <w:jc w:val="both"/>
      </w:pPr>
      <w:r>
        <w:rPr>
          <w:rFonts w:ascii="Times New Roman"/>
          <w:b w:val="false"/>
          <w:i w:val="false"/>
          <w:color w:val="000000"/>
          <w:sz w:val="28"/>
        </w:rPr>
        <w:t xml:space="preserve">
      1473. Плавучие доки, не имеющие постоянной непосредственной связи с берегом, имеют аварийное снабжение, указанное в пунктах 5, 6, 19 — 26, 32 — 34 и 37 приложения 182 настоящих Правил, принимая при этом вместо длины судна </w:t>
      </w:r>
      <w:r>
        <w:rPr>
          <w:rFonts w:ascii="Times New Roman"/>
          <w:b w:val="false"/>
          <w:i/>
          <w:color w:val="000000"/>
          <w:sz w:val="28"/>
        </w:rPr>
        <w:t>L</w:t>
      </w:r>
      <w:r>
        <w:rPr>
          <w:rFonts w:ascii="Times New Roman"/>
          <w:b w:val="false"/>
          <w:i w:val="false"/>
          <w:color w:val="000000"/>
          <w:sz w:val="28"/>
        </w:rPr>
        <w:t xml:space="preserve"> длину плавучего дока </w:t>
      </w:r>
      <w:r>
        <w:rPr>
          <w:rFonts w:ascii="Times New Roman"/>
          <w:b w:val="false"/>
          <w:i/>
          <w:color w:val="000000"/>
          <w:sz w:val="28"/>
        </w:rPr>
        <w:t>L</w:t>
      </w:r>
      <w:r>
        <w:rPr>
          <w:rFonts w:ascii="Times New Roman"/>
          <w:b w:val="false"/>
          <w:i w:val="false"/>
          <w:color w:val="000000"/>
          <w:sz w:val="28"/>
        </w:rPr>
        <w:t>.</w:t>
      </w:r>
    </w:p>
    <w:bookmarkEnd w:id="4773"/>
    <w:bookmarkStart w:name="z4779" w:id="4774"/>
    <w:p>
      <w:pPr>
        <w:spacing w:after="0"/>
        <w:ind w:left="0"/>
        <w:jc w:val="both"/>
      </w:pPr>
      <w:r>
        <w:rPr>
          <w:rFonts w:ascii="Times New Roman"/>
          <w:b w:val="false"/>
          <w:i w:val="false"/>
          <w:color w:val="000000"/>
          <w:sz w:val="28"/>
        </w:rPr>
        <w:t>
      Плавучие доки, имеющие постоянную непосредственную связь с берегом, аварийного снабжения могут не иметь.</w:t>
      </w:r>
    </w:p>
    <w:bookmarkEnd w:id="4774"/>
    <w:bookmarkStart w:name="z4780" w:id="4775"/>
    <w:p>
      <w:pPr>
        <w:spacing w:after="0"/>
        <w:ind w:left="0"/>
        <w:jc w:val="both"/>
      </w:pPr>
      <w:r>
        <w:rPr>
          <w:rFonts w:ascii="Times New Roman"/>
          <w:b w:val="false"/>
          <w:i w:val="false"/>
          <w:color w:val="000000"/>
          <w:sz w:val="28"/>
        </w:rPr>
        <w:t>
      1474. Нормы снабжения стоечных судов определяются по усмотрению судовладельца.</w:t>
      </w:r>
    </w:p>
    <w:bookmarkEnd w:id="4775"/>
    <w:bookmarkStart w:name="z4781" w:id="4776"/>
    <w:p>
      <w:pPr>
        <w:spacing w:after="0"/>
        <w:ind w:left="0"/>
        <w:jc w:val="both"/>
      </w:pPr>
      <w:r>
        <w:rPr>
          <w:rFonts w:ascii="Times New Roman"/>
          <w:b w:val="false"/>
          <w:i w:val="false"/>
          <w:color w:val="000000"/>
          <w:sz w:val="28"/>
        </w:rPr>
        <w:t>
      475. Суда со знаком FF1, FF1WS, FF2 и FF3WS в символе класса имеют два прожектора, способные обеспечить эффективный горизонтальный и вертикальный диапазон освещения поверхности диаметром не менее 10 м на расстоянии до 250 м при минимальном уровне освещенности до 50 лк в темное время суток и чистом воздухе.</w:t>
      </w:r>
    </w:p>
    <w:bookmarkEnd w:id="4776"/>
    <w:bookmarkStart w:name="z4782" w:id="4777"/>
    <w:p>
      <w:pPr>
        <w:spacing w:after="0"/>
        <w:ind w:left="0"/>
        <w:jc w:val="left"/>
      </w:pPr>
      <w:r>
        <w:rPr>
          <w:rFonts w:ascii="Times New Roman"/>
          <w:b/>
          <w:i w:val="false"/>
          <w:color w:val="000000"/>
        </w:rPr>
        <w:t xml:space="preserve"> Глава 87. Хранение аварийного снабжения, маркировка</w:t>
      </w:r>
    </w:p>
    <w:bookmarkEnd w:id="4777"/>
    <w:p>
      <w:pPr>
        <w:spacing w:after="0"/>
        <w:ind w:left="0"/>
        <w:jc w:val="both"/>
      </w:pPr>
      <w:r>
        <w:rPr>
          <w:rFonts w:ascii="Times New Roman"/>
          <w:b w:val="false"/>
          <w:i w:val="false"/>
          <w:color w:val="ff0000"/>
          <w:sz w:val="28"/>
        </w:rPr>
        <w:t xml:space="preserve">
      Сноска. Заголовок главы 87 -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83" w:id="4778"/>
    <w:p>
      <w:pPr>
        <w:spacing w:after="0"/>
        <w:ind w:left="0"/>
        <w:jc w:val="both"/>
      </w:pPr>
      <w:r>
        <w:rPr>
          <w:rFonts w:ascii="Times New Roman"/>
          <w:b w:val="false"/>
          <w:i w:val="false"/>
          <w:color w:val="000000"/>
          <w:sz w:val="28"/>
        </w:rPr>
        <w:t>
      1476. Аварийное снабжение, указанное в главе 86 настоящих Правил, хранятся как минимум на двух аварийных постах, один из которых расположен в машинном помещении. Аварийными постами являются специальные помещения, ящики или места, отведенные на палубе или в помещениях.</w:t>
      </w:r>
    </w:p>
    <w:bookmarkEnd w:id="4778"/>
    <w:bookmarkStart w:name="z4784" w:id="4779"/>
    <w:p>
      <w:pPr>
        <w:spacing w:after="0"/>
        <w:ind w:left="0"/>
        <w:jc w:val="both"/>
      </w:pPr>
      <w:r>
        <w:rPr>
          <w:rFonts w:ascii="Times New Roman"/>
          <w:b w:val="false"/>
          <w:i w:val="false"/>
          <w:color w:val="000000"/>
          <w:sz w:val="28"/>
        </w:rPr>
        <w:t>
      В аварийном посту, расположенном в машинном помещении, хранится снабжение, необходимое для производства аварийных работ изнутри этого помещения, остальное аварийное снабжение, как правило, хранится в аварийных постах, расположенных выше палубы переборок; на судах длиной менее 45м допускается расположение аварийного поста ниже палубы переборок при условии обеспечения постоянного доступа к этому посту.</w:t>
      </w:r>
    </w:p>
    <w:bookmarkEnd w:id="4779"/>
    <w:bookmarkStart w:name="z4785" w:id="4780"/>
    <w:p>
      <w:pPr>
        <w:spacing w:after="0"/>
        <w:ind w:left="0"/>
        <w:jc w:val="both"/>
      </w:pPr>
      <w:r>
        <w:rPr>
          <w:rFonts w:ascii="Times New Roman"/>
          <w:b w:val="false"/>
          <w:i w:val="false"/>
          <w:color w:val="000000"/>
          <w:sz w:val="28"/>
        </w:rPr>
        <w:t>
      На судах длиной 31м и менее допускается хранение аварийного снабжения только на одном аварийном посту.</w:t>
      </w:r>
    </w:p>
    <w:bookmarkEnd w:id="4780"/>
    <w:bookmarkStart w:name="z4786" w:id="4781"/>
    <w:p>
      <w:pPr>
        <w:spacing w:after="0"/>
        <w:ind w:left="0"/>
        <w:jc w:val="both"/>
      </w:pPr>
      <w:r>
        <w:rPr>
          <w:rFonts w:ascii="Times New Roman"/>
          <w:b w:val="false"/>
          <w:i w:val="false"/>
          <w:color w:val="000000"/>
          <w:sz w:val="28"/>
        </w:rPr>
        <w:t>
      1477. Перед аварийным постом предусматривают свободный проход; ширина прохода выбирается в зависимости от габаритов хранимого на посту снабжения, но не менее 1,2м. Допускается уменьшение ширины прохода до 0,8 м на судах длиной менее 70 м и до 0,6 м — на судах длиной 31 м и менее.</w:t>
      </w:r>
    </w:p>
    <w:bookmarkEnd w:id="4781"/>
    <w:bookmarkStart w:name="z4787" w:id="4782"/>
    <w:p>
      <w:pPr>
        <w:spacing w:after="0"/>
        <w:ind w:left="0"/>
        <w:jc w:val="both"/>
      </w:pPr>
      <w:r>
        <w:rPr>
          <w:rFonts w:ascii="Times New Roman"/>
          <w:b w:val="false"/>
          <w:i w:val="false"/>
          <w:color w:val="000000"/>
          <w:sz w:val="28"/>
        </w:rPr>
        <w:t>
      Необходимо чтобы проходы к аварийным постам были по возможности прямыми и короткими.</w:t>
      </w:r>
    </w:p>
    <w:bookmarkEnd w:id="4782"/>
    <w:bookmarkStart w:name="z4788" w:id="4783"/>
    <w:p>
      <w:pPr>
        <w:spacing w:after="0"/>
        <w:ind w:left="0"/>
        <w:jc w:val="both"/>
      </w:pPr>
      <w:r>
        <w:rPr>
          <w:rFonts w:ascii="Times New Roman"/>
          <w:b w:val="false"/>
          <w:i w:val="false"/>
          <w:color w:val="000000"/>
          <w:sz w:val="28"/>
        </w:rPr>
        <w:t>
      1478. Предметы аварийного снабжения или тара для их хранения (за исключением пластырей) красят синей краской либо полностью, либо полосой. Тара для хранения аварийного имущества имеет четкую надпись с указанием наименования материала, массы и допустимого срока его хранения.</w:t>
      </w:r>
    </w:p>
    <w:bookmarkEnd w:id="4783"/>
    <w:bookmarkStart w:name="z4789" w:id="4784"/>
    <w:p>
      <w:pPr>
        <w:spacing w:after="0"/>
        <w:ind w:left="0"/>
        <w:jc w:val="both"/>
      </w:pPr>
      <w:r>
        <w:rPr>
          <w:rFonts w:ascii="Times New Roman"/>
          <w:b w:val="false"/>
          <w:i w:val="false"/>
          <w:color w:val="000000"/>
          <w:sz w:val="28"/>
        </w:rPr>
        <w:t>
      1479. У аварийных постов имеются четкие надписи "Аварийный пост".</w:t>
      </w:r>
    </w:p>
    <w:bookmarkEnd w:id="4784"/>
    <w:bookmarkStart w:name="z4790" w:id="4785"/>
    <w:p>
      <w:pPr>
        <w:spacing w:after="0"/>
        <w:ind w:left="0"/>
        <w:jc w:val="both"/>
      </w:pPr>
      <w:r>
        <w:rPr>
          <w:rFonts w:ascii="Times New Roman"/>
          <w:b w:val="false"/>
          <w:i w:val="false"/>
          <w:color w:val="000000"/>
          <w:sz w:val="28"/>
        </w:rPr>
        <w:t>
      Кроме того, в проходах и на палубах предусматривают указатели мест расположения аварийных постов.</w:t>
      </w:r>
    </w:p>
    <w:bookmarkEnd w:id="4785"/>
    <w:bookmarkStart w:name="z4791" w:id="4786"/>
    <w:p>
      <w:pPr>
        <w:spacing w:after="0"/>
        <w:ind w:left="0"/>
        <w:jc w:val="left"/>
      </w:pPr>
      <w:r>
        <w:rPr>
          <w:rFonts w:ascii="Times New Roman"/>
          <w:b/>
          <w:i w:val="false"/>
          <w:color w:val="000000"/>
        </w:rPr>
        <w:t xml:space="preserve"> Глава 88. Пластыри</w:t>
      </w:r>
    </w:p>
    <w:bookmarkEnd w:id="4786"/>
    <w:p>
      <w:pPr>
        <w:spacing w:after="0"/>
        <w:ind w:left="0"/>
        <w:jc w:val="both"/>
      </w:pPr>
      <w:r>
        <w:rPr>
          <w:rFonts w:ascii="Times New Roman"/>
          <w:b w:val="false"/>
          <w:i w:val="false"/>
          <w:color w:val="ff0000"/>
          <w:sz w:val="28"/>
        </w:rPr>
        <w:t xml:space="preserve">
      Сноска. Заголовок главы 88 -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92" w:id="4787"/>
    <w:p>
      <w:pPr>
        <w:spacing w:after="0"/>
        <w:ind w:left="0"/>
        <w:jc w:val="both"/>
      </w:pPr>
      <w:r>
        <w:rPr>
          <w:rFonts w:ascii="Times New Roman"/>
          <w:b w:val="false"/>
          <w:i w:val="false"/>
          <w:color w:val="000000"/>
          <w:sz w:val="28"/>
        </w:rPr>
        <w:t>
      1480. Пластыри изготавливаются из парусины водоупорной пропитки или другой равноценной ткани и в зависимости от типа имеют мягкую или проволочную прослойку. Пластыри окантовываются ликтросом с заделанными в него четырьмя коушами по углам. Кроме того, предусматривают кренгельсы по числу тросов, указанному в приложении 187 настоящих Правил.</w:t>
      </w:r>
    </w:p>
    <w:bookmarkEnd w:id="4787"/>
    <w:bookmarkStart w:name="z4793" w:id="4788"/>
    <w:p>
      <w:pPr>
        <w:spacing w:after="0"/>
        <w:ind w:left="0"/>
        <w:jc w:val="both"/>
      </w:pPr>
      <w:r>
        <w:rPr>
          <w:rFonts w:ascii="Times New Roman"/>
          <w:b w:val="false"/>
          <w:i w:val="false"/>
          <w:color w:val="000000"/>
          <w:sz w:val="28"/>
        </w:rPr>
        <w:t>
      Технические данные, снабжение и вооружение пластырей приведены в приложениях 186 и 187 настоящих Правил.</w:t>
      </w:r>
    </w:p>
    <w:bookmarkEnd w:id="4788"/>
    <w:bookmarkStart w:name="z4794" w:id="4789"/>
    <w:p>
      <w:pPr>
        <w:spacing w:after="0"/>
        <w:ind w:left="0"/>
        <w:jc w:val="both"/>
      </w:pPr>
      <w:r>
        <w:rPr>
          <w:rFonts w:ascii="Times New Roman"/>
          <w:b w:val="false"/>
          <w:i w:val="false"/>
          <w:color w:val="000000"/>
          <w:sz w:val="28"/>
        </w:rPr>
        <w:t>
      1481. Маты изготавливаются из прядей растительного троса и шпиговаться растительным шкимушгаром. С нижней стороны мата пришита парусина.</w:t>
      </w:r>
    </w:p>
    <w:bookmarkEnd w:id="4789"/>
    <w:bookmarkStart w:name="z4795" w:id="4790"/>
    <w:p>
      <w:pPr>
        <w:spacing w:after="0"/>
        <w:ind w:left="0"/>
        <w:jc w:val="both"/>
      </w:pPr>
      <w:r>
        <w:rPr>
          <w:rFonts w:ascii="Times New Roman"/>
          <w:b w:val="false"/>
          <w:i w:val="false"/>
          <w:color w:val="000000"/>
          <w:sz w:val="28"/>
        </w:rPr>
        <w:t>
      1482. Шкоты и оттяжки кольчужных пластырей изготовлены из гибких стальных тросов, контрольные штерты — из растительных тросов, а подкильные концы для всех пластырей — из гибких стальных тросов или цепей соответствующего калибра.</w:t>
      </w:r>
    </w:p>
    <w:bookmarkEnd w:id="4790"/>
    <w:bookmarkStart w:name="z4796" w:id="4791"/>
    <w:p>
      <w:pPr>
        <w:spacing w:after="0"/>
        <w:ind w:left="0"/>
        <w:jc w:val="both"/>
      </w:pPr>
      <w:r>
        <w:rPr>
          <w:rFonts w:ascii="Times New Roman"/>
          <w:b w:val="false"/>
          <w:i w:val="false"/>
          <w:color w:val="000000"/>
          <w:sz w:val="28"/>
        </w:rPr>
        <w:t>
      Проволоки всех стальных тросов имеют толстое цинковое покрытие в соответствии с национальными стандартами.</w:t>
      </w:r>
    </w:p>
    <w:bookmarkEnd w:id="4791"/>
    <w:bookmarkStart w:name="z4797" w:id="4792"/>
    <w:p>
      <w:pPr>
        <w:spacing w:after="0"/>
        <w:ind w:left="0"/>
        <w:jc w:val="both"/>
      </w:pPr>
      <w:r>
        <w:rPr>
          <w:rFonts w:ascii="Times New Roman"/>
          <w:b w:val="false"/>
          <w:i w:val="false"/>
          <w:color w:val="000000"/>
          <w:sz w:val="28"/>
        </w:rPr>
        <w:t>
      Длину шкотов следует подбирать так, чтобы с помощью пластыря можно было заделать пробоину в любом месте наружной обшивки и концы тросов могли быть надежно закреплены на палубе.</w:t>
      </w:r>
    </w:p>
    <w:bookmarkEnd w:id="4792"/>
    <w:bookmarkStart w:name="z4798" w:id="4793"/>
    <w:p>
      <w:pPr>
        <w:spacing w:after="0"/>
        <w:ind w:left="0"/>
        <w:jc w:val="both"/>
      </w:pPr>
      <w:r>
        <w:rPr>
          <w:rFonts w:ascii="Times New Roman"/>
          <w:b w:val="false"/>
          <w:i w:val="false"/>
          <w:color w:val="000000"/>
          <w:sz w:val="28"/>
        </w:rPr>
        <w:t>
      Разрывное усилие шкотов в целом не меньше чем на 25 % превышает разрывное усилие ликтросов.</w:t>
      </w:r>
    </w:p>
    <w:bookmarkEnd w:id="4793"/>
    <w:bookmarkStart w:name="z4799" w:id="4794"/>
    <w:p>
      <w:pPr>
        <w:spacing w:after="0"/>
        <w:ind w:left="0"/>
        <w:jc w:val="both"/>
      </w:pPr>
      <w:r>
        <w:rPr>
          <w:rFonts w:ascii="Times New Roman"/>
          <w:b w:val="false"/>
          <w:i w:val="false"/>
          <w:color w:val="000000"/>
          <w:sz w:val="28"/>
        </w:rPr>
        <w:t>
      1483. Блоки аварийного снабжения могут иметь в качестве подвесок гаки. Допускаемая нагрузка на скобы, соединяющие тросы, не менее 0,25 разрывного усилия указанных тросов в целом.</w:t>
      </w:r>
    </w:p>
    <w:bookmarkEnd w:id="4794"/>
    <w:bookmarkStart w:name="z4800" w:id="4795"/>
    <w:p>
      <w:pPr>
        <w:spacing w:after="0"/>
        <w:ind w:left="0"/>
        <w:jc w:val="left"/>
      </w:pPr>
      <w:r>
        <w:rPr>
          <w:rFonts w:ascii="Times New Roman"/>
          <w:b/>
          <w:i w:val="false"/>
          <w:color w:val="000000"/>
        </w:rPr>
        <w:t xml:space="preserve"> Раздел 6. Остойчивость</w:t>
      </w:r>
      <w:r>
        <w:br/>
      </w:r>
      <w:r>
        <w:rPr>
          <w:rFonts w:ascii="Times New Roman"/>
          <w:b/>
          <w:i w:val="false"/>
          <w:color w:val="000000"/>
        </w:rPr>
        <w:t>Подраздел 1. Общие положения</w:t>
      </w:r>
      <w:r>
        <w:br/>
      </w:r>
      <w:r>
        <w:rPr>
          <w:rFonts w:ascii="Times New Roman"/>
          <w:b/>
          <w:i w:val="false"/>
          <w:color w:val="000000"/>
        </w:rPr>
        <w:t>Глава 89. Область распространения</w:t>
      </w:r>
    </w:p>
    <w:bookmarkEnd w:id="4795"/>
    <w:p>
      <w:pPr>
        <w:spacing w:after="0"/>
        <w:ind w:left="0"/>
        <w:jc w:val="both"/>
      </w:pPr>
      <w:r>
        <w:rPr>
          <w:rFonts w:ascii="Times New Roman"/>
          <w:b w:val="false"/>
          <w:i w:val="false"/>
          <w:color w:val="ff0000"/>
          <w:sz w:val="28"/>
        </w:rPr>
        <w:t xml:space="preserve">
      Сноска. Заголовок главы 89 -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03" w:id="4796"/>
    <w:p>
      <w:pPr>
        <w:spacing w:after="0"/>
        <w:ind w:left="0"/>
        <w:jc w:val="both"/>
      </w:pPr>
      <w:r>
        <w:rPr>
          <w:rFonts w:ascii="Times New Roman"/>
          <w:b w:val="false"/>
          <w:i w:val="false"/>
          <w:color w:val="000000"/>
          <w:sz w:val="28"/>
        </w:rPr>
        <w:t>
      1484. Требования настоящего раздела Правил распространяются на закрытые (палубные) суда</w:t>
      </w:r>
      <w:r>
        <w:rPr>
          <w:rFonts w:ascii="Times New Roman"/>
          <w:b w:val="false"/>
          <w:i w:val="false"/>
          <w:color w:val="000000"/>
          <w:vertAlign w:val="superscript"/>
        </w:rPr>
        <w:t>1</w:t>
      </w:r>
      <w:r>
        <w:rPr>
          <w:rFonts w:ascii="Times New Roman"/>
          <w:b w:val="false"/>
          <w:i w:val="false"/>
          <w:color w:val="000000"/>
          <w:sz w:val="28"/>
        </w:rPr>
        <w:t xml:space="preserve"> плавающие в водоизмещающем состоянии. На парусные суда (при плавании под парусами) требования настоящего раздела распространяются в той мере, в какой это целесообразно и осуществимо.</w:t>
      </w:r>
    </w:p>
    <w:bookmarkEnd w:id="4796"/>
    <w:bookmarkStart w:name="z4804" w:id="4797"/>
    <w:p>
      <w:pPr>
        <w:spacing w:after="0"/>
        <w:ind w:left="0"/>
        <w:jc w:val="both"/>
      </w:pPr>
      <w:r>
        <w:rPr>
          <w:rFonts w:ascii="Times New Roman"/>
          <w:b w:val="false"/>
          <w:i w:val="false"/>
          <w:color w:val="000000"/>
          <w:sz w:val="28"/>
        </w:rPr>
        <w:t>
      1485. Если не оговорено иное, требования настоящего раздела Правил распространяются на суда, находящиеся в эксплуатации, в той мере, в какой это целесообразно и осуществимо, однако являются применяются для судов, подвергающихся восстановительному ремонту, значительному ремонту, переоборудованию или модернизации, если в результате этого изменяется их остойчивость.</w:t>
      </w:r>
    </w:p>
    <w:bookmarkEnd w:id="4797"/>
    <w:bookmarkStart w:name="z4805" w:id="4798"/>
    <w:p>
      <w:pPr>
        <w:spacing w:after="0"/>
        <w:ind w:left="0"/>
        <w:jc w:val="both"/>
      </w:pPr>
      <w:r>
        <w:rPr>
          <w:rFonts w:ascii="Times New Roman"/>
          <w:b w:val="false"/>
          <w:i w:val="false"/>
          <w:color w:val="000000"/>
          <w:sz w:val="28"/>
        </w:rPr>
        <w:t>
      Необходимо чтобы остойчивость судов длиной менее 24м после восстановительного ремонта, значительного ремонта, переоборудования или модернизации отвечала требованиям настоящего раздела, или требованиям, которые предъявлялись к остойчивости этих судов до восстановительного ремонта, значительного ремонта, переоборудования или модернизации.</w:t>
      </w:r>
    </w:p>
    <w:bookmarkEnd w:id="4798"/>
    <w:bookmarkStart w:name="z4806" w:id="4799"/>
    <w:p>
      <w:pPr>
        <w:spacing w:after="0"/>
        <w:ind w:left="0"/>
        <w:jc w:val="both"/>
      </w:pPr>
      <w:r>
        <w:rPr>
          <w:rFonts w:ascii="Times New Roman"/>
          <w:b w:val="false"/>
          <w:i w:val="false"/>
          <w:color w:val="000000"/>
          <w:sz w:val="28"/>
        </w:rPr>
        <w:t>
      1486. Требования настоящего раздела Правил не распространяются на вариант нагрузки "судно порожнем", за исключением требований пункта 1569 настоящих Правил.</w:t>
      </w:r>
    </w:p>
    <w:bookmarkEnd w:id="4799"/>
    <w:bookmarkStart w:name="z4807" w:id="4800"/>
    <w:p>
      <w:pPr>
        <w:spacing w:after="0"/>
        <w:ind w:left="0"/>
        <w:jc w:val="both"/>
      </w:pPr>
      <w:r>
        <w:rPr>
          <w:rFonts w:ascii="Times New Roman"/>
          <w:b w:val="false"/>
          <w:i w:val="false"/>
          <w:color w:val="000000"/>
          <w:sz w:val="28"/>
        </w:rPr>
        <w:t>
      1В подразделе 1 раздела 6 настоящих Правил термин "судно" также включает плавучий кран, крановое судно, док, транспортный понтон и стоечное судно, если нет особой оговорки и отсутствуют специальные требования), плавающие в водоизмещающем состоянии. На парусные суда (при плавании под парусами.</w:t>
      </w:r>
    </w:p>
    <w:bookmarkEnd w:id="4800"/>
    <w:bookmarkStart w:name="z4808" w:id="4801"/>
    <w:p>
      <w:pPr>
        <w:spacing w:after="0"/>
        <w:ind w:left="0"/>
        <w:jc w:val="both"/>
      </w:pPr>
      <w:r>
        <w:rPr>
          <w:rFonts w:ascii="Times New Roman"/>
          <w:b w:val="false"/>
          <w:i w:val="false"/>
          <w:color w:val="000000"/>
          <w:sz w:val="28"/>
        </w:rPr>
        <w:t>
      1487. Определения и пояснения, относящиеся к общей терминологии Правил, приведены в пункте 6 настоящих Правил.</w:t>
      </w:r>
    </w:p>
    <w:bookmarkEnd w:id="4801"/>
    <w:bookmarkStart w:name="z4809" w:id="4802"/>
    <w:p>
      <w:pPr>
        <w:spacing w:after="0"/>
        <w:ind w:left="0"/>
        <w:jc w:val="left"/>
      </w:pPr>
      <w:r>
        <w:rPr>
          <w:rFonts w:ascii="Times New Roman"/>
          <w:b/>
          <w:i w:val="false"/>
          <w:color w:val="000000"/>
        </w:rPr>
        <w:t xml:space="preserve"> Глава 90. Объем освидетельствований</w:t>
      </w:r>
    </w:p>
    <w:bookmarkEnd w:id="4802"/>
    <w:p>
      <w:pPr>
        <w:spacing w:after="0"/>
        <w:ind w:left="0"/>
        <w:jc w:val="both"/>
      </w:pPr>
      <w:r>
        <w:rPr>
          <w:rFonts w:ascii="Times New Roman"/>
          <w:b w:val="false"/>
          <w:i w:val="false"/>
          <w:color w:val="ff0000"/>
          <w:sz w:val="28"/>
        </w:rPr>
        <w:t xml:space="preserve">
      Сноска. Заголовок главы 90 -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10" w:id="4803"/>
    <w:p>
      <w:pPr>
        <w:spacing w:after="0"/>
        <w:ind w:left="0"/>
        <w:jc w:val="both"/>
      </w:pPr>
      <w:r>
        <w:rPr>
          <w:rFonts w:ascii="Times New Roman"/>
          <w:b w:val="false"/>
          <w:i w:val="false"/>
          <w:color w:val="000000"/>
          <w:sz w:val="28"/>
        </w:rPr>
        <w:t>
      1488. Общие положения, относящиеся к порядку классификации и освидетельствований, а также требования к технической документации, представляемой на рассмотрение и одобрение Регистру судоходства, изложены в части 1 настоящих Правил.</w:t>
      </w:r>
    </w:p>
    <w:bookmarkEnd w:id="4803"/>
    <w:bookmarkStart w:name="z4811" w:id="4804"/>
    <w:p>
      <w:pPr>
        <w:spacing w:after="0"/>
        <w:ind w:left="0"/>
        <w:jc w:val="both"/>
      </w:pPr>
      <w:r>
        <w:rPr>
          <w:rFonts w:ascii="Times New Roman"/>
          <w:b w:val="false"/>
          <w:i w:val="false"/>
          <w:color w:val="000000"/>
          <w:sz w:val="28"/>
        </w:rPr>
        <w:t>
      1489. Для каждого судна, на которое распространяются требования настоящей части Правил, Регистр судоходства осуществляет:</w:t>
      </w:r>
    </w:p>
    <w:bookmarkEnd w:id="4804"/>
    <w:bookmarkStart w:name="z4812" w:id="4805"/>
    <w:p>
      <w:pPr>
        <w:spacing w:after="0"/>
        <w:ind w:left="0"/>
        <w:jc w:val="both"/>
      </w:pPr>
      <w:r>
        <w:rPr>
          <w:rFonts w:ascii="Times New Roman"/>
          <w:b w:val="false"/>
          <w:i w:val="false"/>
          <w:color w:val="000000"/>
          <w:sz w:val="28"/>
        </w:rPr>
        <w:t>
      1) до постройки и переоборудования судна — рассмотрение и одобрение технической документации, относящейся к остойчивости судна;</w:t>
      </w:r>
    </w:p>
    <w:bookmarkEnd w:id="4805"/>
    <w:bookmarkStart w:name="z4813" w:id="4806"/>
    <w:p>
      <w:pPr>
        <w:spacing w:after="0"/>
        <w:ind w:left="0"/>
        <w:jc w:val="both"/>
      </w:pPr>
      <w:r>
        <w:rPr>
          <w:rFonts w:ascii="Times New Roman"/>
          <w:b w:val="false"/>
          <w:i w:val="false"/>
          <w:color w:val="000000"/>
          <w:sz w:val="28"/>
        </w:rPr>
        <w:t>
      2) во время постройки, переоборудования и испытания судна — наблюдение за проведением опыта кренования или взвешивания; рассмотрение и одобрение Информации об остойчивости; рассмотрение и одобрение Руководства по безопасной замене балласта в море;</w:t>
      </w:r>
    </w:p>
    <w:bookmarkEnd w:id="4806"/>
    <w:bookmarkStart w:name="z4814" w:id="4807"/>
    <w:p>
      <w:pPr>
        <w:spacing w:after="0"/>
        <w:ind w:left="0"/>
        <w:jc w:val="both"/>
      </w:pPr>
      <w:r>
        <w:rPr>
          <w:rFonts w:ascii="Times New Roman"/>
          <w:b w:val="false"/>
          <w:i w:val="false"/>
          <w:color w:val="000000"/>
          <w:sz w:val="28"/>
        </w:rPr>
        <w:t>
      3) при очередных освидетельствованиях для возобновления класса, а также после ремонта и модернизации судна — установление изменений в нагрузке судна порожнем с целью заключения о дальнейшей пригодности Информации об остойчивости, определение веса судна порожнем опытным путем на пассажирских и рыболовных судах и наблюдение за проведением опыта кренования и взвешивания.</w:t>
      </w:r>
    </w:p>
    <w:bookmarkEnd w:id="4807"/>
    <w:bookmarkStart w:name="z4815" w:id="4808"/>
    <w:p>
      <w:pPr>
        <w:spacing w:after="0"/>
        <w:ind w:left="0"/>
        <w:jc w:val="left"/>
      </w:pPr>
      <w:r>
        <w:rPr>
          <w:rFonts w:ascii="Times New Roman"/>
          <w:b/>
          <w:i w:val="false"/>
          <w:color w:val="000000"/>
        </w:rPr>
        <w:t xml:space="preserve"> Глава 91. Общие технические требования</w:t>
      </w:r>
    </w:p>
    <w:bookmarkEnd w:id="4808"/>
    <w:p>
      <w:pPr>
        <w:spacing w:after="0"/>
        <w:ind w:left="0"/>
        <w:jc w:val="both"/>
      </w:pPr>
      <w:r>
        <w:rPr>
          <w:rFonts w:ascii="Times New Roman"/>
          <w:b w:val="false"/>
          <w:i w:val="false"/>
          <w:color w:val="ff0000"/>
          <w:sz w:val="28"/>
        </w:rPr>
        <w:t xml:space="preserve">
      Сноска. Заголовок главы 91 -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16" w:id="4809"/>
    <w:p>
      <w:pPr>
        <w:spacing w:after="0"/>
        <w:ind w:left="0"/>
        <w:jc w:val="left"/>
      </w:pPr>
      <w:r>
        <w:rPr>
          <w:rFonts w:ascii="Times New Roman"/>
          <w:b/>
          <w:i w:val="false"/>
          <w:color w:val="000000"/>
        </w:rPr>
        <w:t xml:space="preserve"> Параграф 1. Расчет остойчивости формы</w:t>
      </w:r>
    </w:p>
    <w:bookmarkEnd w:id="4809"/>
    <w:bookmarkStart w:name="z4817" w:id="4810"/>
    <w:p>
      <w:pPr>
        <w:spacing w:after="0"/>
        <w:ind w:left="0"/>
        <w:jc w:val="both"/>
      </w:pPr>
      <w:r>
        <w:rPr>
          <w:rFonts w:ascii="Times New Roman"/>
          <w:b w:val="false"/>
          <w:i w:val="false"/>
          <w:color w:val="000000"/>
          <w:sz w:val="28"/>
        </w:rPr>
        <w:t>
      1490. Расчеты выполняются общепринятыми в теории корабля методами. При использовании вычислительных машин методика расчета и программа вычислений одобряется Регистром судоходства.</w:t>
      </w:r>
    </w:p>
    <w:bookmarkEnd w:id="4810"/>
    <w:bookmarkStart w:name="z4818" w:id="4811"/>
    <w:p>
      <w:pPr>
        <w:spacing w:after="0"/>
        <w:ind w:left="0"/>
        <w:jc w:val="both"/>
      </w:pPr>
      <w:r>
        <w:rPr>
          <w:rFonts w:ascii="Times New Roman"/>
          <w:b w:val="false"/>
          <w:i w:val="false"/>
          <w:color w:val="000000"/>
          <w:sz w:val="28"/>
        </w:rPr>
        <w:t>
      1491. Расчеты плеч остойчивости формы выполняется по ватерлинию, параллельную конструктивной.</w:t>
      </w:r>
    </w:p>
    <w:bookmarkEnd w:id="4811"/>
    <w:bookmarkStart w:name="z4819" w:id="4812"/>
    <w:p>
      <w:pPr>
        <w:spacing w:after="0"/>
        <w:ind w:left="0"/>
        <w:jc w:val="both"/>
      </w:pPr>
      <w:r>
        <w:rPr>
          <w:rFonts w:ascii="Times New Roman"/>
          <w:b w:val="false"/>
          <w:i w:val="false"/>
          <w:color w:val="000000"/>
          <w:sz w:val="28"/>
        </w:rPr>
        <w:t>
      Для судов, эксплуатирующихся с постоянным значительным начальным дифферентом, расчеты плеч остойчивости формы выполняются с учетом начального дифферента.</w:t>
      </w:r>
    </w:p>
    <w:bookmarkEnd w:id="4812"/>
    <w:bookmarkStart w:name="z4820" w:id="4813"/>
    <w:p>
      <w:pPr>
        <w:spacing w:after="0"/>
        <w:ind w:left="0"/>
        <w:jc w:val="both"/>
      </w:pPr>
      <w:r>
        <w:rPr>
          <w:rFonts w:ascii="Times New Roman"/>
          <w:b w:val="false"/>
          <w:i w:val="false"/>
          <w:color w:val="000000"/>
          <w:sz w:val="28"/>
        </w:rPr>
        <w:t>
      Расчеты плеч остойчивости формы следует выполнять с учетом сопутствующего дифферента.</w:t>
      </w:r>
    </w:p>
    <w:bookmarkEnd w:id="4813"/>
    <w:bookmarkStart w:name="z4821" w:id="4814"/>
    <w:p>
      <w:pPr>
        <w:spacing w:after="0"/>
        <w:ind w:left="0"/>
        <w:jc w:val="both"/>
      </w:pPr>
      <w:r>
        <w:rPr>
          <w:rFonts w:ascii="Times New Roman"/>
          <w:b w:val="false"/>
          <w:i w:val="false"/>
          <w:color w:val="000000"/>
          <w:sz w:val="28"/>
        </w:rPr>
        <w:t>
      1492. При расчете плеч остойчивости формы могут полностью учитываться те ярусы надстройки, которые:</w:t>
      </w:r>
    </w:p>
    <w:bookmarkEnd w:id="4814"/>
    <w:bookmarkStart w:name="z4822" w:id="4815"/>
    <w:p>
      <w:pPr>
        <w:spacing w:after="0"/>
        <w:ind w:left="0"/>
        <w:jc w:val="both"/>
      </w:pPr>
      <w:r>
        <w:rPr>
          <w:rFonts w:ascii="Times New Roman"/>
          <w:b w:val="false"/>
          <w:i w:val="false"/>
          <w:color w:val="000000"/>
          <w:sz w:val="28"/>
        </w:rPr>
        <w:t>
      1) отвечают требованиям главы 70 настоящих Правил к первому ярусу надстройки (считая от палубы надводного борта); причем иллюминаторы по надежности их закрытия отвечают требованиям пунктов 1192 – 1194 настоящих Правил;</w:t>
      </w:r>
    </w:p>
    <w:bookmarkEnd w:id="4815"/>
    <w:bookmarkStart w:name="z4823" w:id="4816"/>
    <w:p>
      <w:pPr>
        <w:spacing w:after="0"/>
        <w:ind w:left="0"/>
        <w:jc w:val="both"/>
      </w:pPr>
      <w:r>
        <w:rPr>
          <w:rFonts w:ascii="Times New Roman"/>
          <w:b w:val="false"/>
          <w:i w:val="false"/>
          <w:color w:val="000000"/>
          <w:sz w:val="28"/>
        </w:rPr>
        <w:t>
      2) имеют доступ для экипажа с вышележащей открытой палубы в рабочие помещения внутри этих надстроек, а также в машинное отделение другими путями во все время, когда отверстия в переборках надстройки закрыты.</w:t>
      </w:r>
    </w:p>
    <w:bookmarkEnd w:id="4816"/>
    <w:bookmarkStart w:name="z4824" w:id="4817"/>
    <w:p>
      <w:pPr>
        <w:spacing w:after="0"/>
        <w:ind w:left="0"/>
        <w:jc w:val="both"/>
      </w:pPr>
      <w:r>
        <w:rPr>
          <w:rFonts w:ascii="Times New Roman"/>
          <w:b w:val="false"/>
          <w:i w:val="false"/>
          <w:color w:val="000000"/>
          <w:sz w:val="28"/>
        </w:rPr>
        <w:t>
      Если средняя надстройка и ют отвечают требованиям главы 70 настоящих Правил, но двери в переборках надстроек являются единственными выходами на палубу и при этом верхняя кромка комингсов дверей надстроек погружается в воду у судна в полном грузу при угле крена, меньшем 60</w:t>
      </w:r>
      <w:r>
        <w:rPr>
          <w:rFonts w:ascii="Times New Roman"/>
          <w:b w:val="false"/>
          <w:i w:val="false"/>
          <w:color w:val="000000"/>
          <w:vertAlign w:val="superscript"/>
        </w:rPr>
        <w:t>о</w:t>
      </w:r>
      <w:r>
        <w:rPr>
          <w:rFonts w:ascii="Times New Roman"/>
          <w:b w:val="false"/>
          <w:i w:val="false"/>
          <w:color w:val="000000"/>
          <w:sz w:val="28"/>
        </w:rPr>
        <w:t>, расчетная высота надстроек условно должна приниматься равной половине действительной высоты, а двери в надстройке считаются закрытыми. Если верхняя кромка комингсов дверей погружается в воду при угле крена судна в полном грузу, равном или большем 60</w:t>
      </w:r>
      <w:r>
        <w:rPr>
          <w:rFonts w:ascii="Times New Roman"/>
          <w:b w:val="false"/>
          <w:i w:val="false"/>
          <w:color w:val="000000"/>
          <w:vertAlign w:val="superscript"/>
        </w:rPr>
        <w:t>о</w:t>
      </w:r>
      <w:r>
        <w:rPr>
          <w:rFonts w:ascii="Times New Roman"/>
          <w:b w:val="false"/>
          <w:i w:val="false"/>
          <w:color w:val="000000"/>
          <w:sz w:val="28"/>
        </w:rPr>
        <w:t>, расчетная высота надстройки над палубой принимается равной действительной высоте.</w:t>
      </w:r>
    </w:p>
    <w:bookmarkEnd w:id="4817"/>
    <w:bookmarkStart w:name="z4825" w:id="4818"/>
    <w:p>
      <w:pPr>
        <w:spacing w:after="0"/>
        <w:ind w:left="0"/>
        <w:jc w:val="both"/>
      </w:pPr>
      <w:r>
        <w:rPr>
          <w:rFonts w:ascii="Times New Roman"/>
          <w:b w:val="false"/>
          <w:i w:val="false"/>
          <w:color w:val="000000"/>
          <w:sz w:val="28"/>
        </w:rPr>
        <w:t>
      1493. При расчете плеч остойчивости формы также учитывают те ярусы рубки, которые:</w:t>
      </w:r>
    </w:p>
    <w:bookmarkEnd w:id="4818"/>
    <w:bookmarkStart w:name="z4826" w:id="4819"/>
    <w:p>
      <w:pPr>
        <w:spacing w:after="0"/>
        <w:ind w:left="0"/>
        <w:jc w:val="both"/>
      </w:pPr>
      <w:r>
        <w:rPr>
          <w:rFonts w:ascii="Times New Roman"/>
          <w:b w:val="false"/>
          <w:i w:val="false"/>
          <w:color w:val="000000"/>
          <w:sz w:val="28"/>
        </w:rPr>
        <w:t>
      1) отвечают требованиям главы 70 настоящих Правил к первому ярусу рубки (считая от палубы надводного борта); причем иллюминаторы по надежности их закрытия отвечают требованиям пунктов 1192 — 1194 настоящих Правил;</w:t>
      </w:r>
    </w:p>
    <w:bookmarkEnd w:id="4819"/>
    <w:bookmarkStart w:name="z4827" w:id="4820"/>
    <w:p>
      <w:pPr>
        <w:spacing w:after="0"/>
        <w:ind w:left="0"/>
        <w:jc w:val="both"/>
      </w:pPr>
      <w:r>
        <w:rPr>
          <w:rFonts w:ascii="Times New Roman"/>
          <w:b w:val="false"/>
          <w:i w:val="false"/>
          <w:color w:val="000000"/>
          <w:sz w:val="28"/>
        </w:rPr>
        <w:t>
      2) имеют дополнительный выход на вышележащую палубу.</w:t>
      </w:r>
    </w:p>
    <w:bookmarkEnd w:id="4820"/>
    <w:bookmarkStart w:name="z4828" w:id="4821"/>
    <w:p>
      <w:pPr>
        <w:spacing w:after="0"/>
        <w:ind w:left="0"/>
        <w:jc w:val="both"/>
      </w:pPr>
      <w:r>
        <w:rPr>
          <w:rFonts w:ascii="Times New Roman"/>
          <w:b w:val="false"/>
          <w:i w:val="false"/>
          <w:color w:val="000000"/>
          <w:sz w:val="28"/>
        </w:rPr>
        <w:t>
      При выполнении перечисленных условий рубки засчитываются на полную высоту. Если рубки отвечают требованиям главы 70 настоящих Правил, но отсутствует дополнительный выход на вышележащую палубу, то такие рубки при расчете плеч остойчивости формы не учитываются, а находящиеся под ними отверстия в палубе судна условно считаются закрытыми независимо от того, имеют они закрытия или нет. Рубки, закрытия которых не отвечают требованиям главы 70 настоящих Правил, при расчете плеч остойчивости формы не принимаются во внимание. Находящиеся под ними отверстия в палубе считаются закрытыми только в том случае, если их комингсы и устройства для закрывания отвечают требованиям главы 70 настоящих Правил.</w:t>
      </w:r>
    </w:p>
    <w:bookmarkEnd w:id="4821"/>
    <w:bookmarkStart w:name="z4829" w:id="4822"/>
    <w:p>
      <w:pPr>
        <w:spacing w:after="0"/>
        <w:ind w:left="0"/>
        <w:jc w:val="both"/>
      </w:pPr>
      <w:r>
        <w:rPr>
          <w:rFonts w:ascii="Times New Roman"/>
          <w:b w:val="false"/>
          <w:i w:val="false"/>
          <w:color w:val="000000"/>
          <w:sz w:val="28"/>
        </w:rPr>
        <w:t>
      1494. У судов, имеющих закрытия люков, отвечающие требованиям подраздела 7 раздела 5 настоящих Правил, возможно учесть объемы люков.</w:t>
      </w:r>
    </w:p>
    <w:bookmarkEnd w:id="4822"/>
    <w:bookmarkStart w:name="z4830" w:id="4823"/>
    <w:p>
      <w:pPr>
        <w:spacing w:after="0"/>
        <w:ind w:left="0"/>
        <w:jc w:val="both"/>
      </w:pPr>
      <w:r>
        <w:rPr>
          <w:rFonts w:ascii="Times New Roman"/>
          <w:b w:val="false"/>
          <w:i w:val="false"/>
          <w:color w:val="000000"/>
          <w:sz w:val="28"/>
        </w:rPr>
        <w:t>
      1495. На чертеже кривых плеч остойчивости формы в малом масштабе приводится схема учитываемых надстроек и рубок с указанием отверстий, считающихся открытыми.</w:t>
      </w:r>
    </w:p>
    <w:bookmarkEnd w:id="4823"/>
    <w:bookmarkStart w:name="z4831" w:id="4824"/>
    <w:p>
      <w:pPr>
        <w:spacing w:after="0"/>
        <w:ind w:left="0"/>
        <w:jc w:val="both"/>
      </w:pPr>
      <w:r>
        <w:rPr>
          <w:rFonts w:ascii="Times New Roman"/>
          <w:b w:val="false"/>
          <w:i w:val="false"/>
          <w:color w:val="000000"/>
          <w:sz w:val="28"/>
        </w:rPr>
        <w:t>
      Указывают положение точки, относительно которой рассчитаны плечи остойчивости формы.</w:t>
      </w:r>
    </w:p>
    <w:bookmarkEnd w:id="4824"/>
    <w:bookmarkStart w:name="z4832" w:id="4825"/>
    <w:p>
      <w:pPr>
        <w:spacing w:after="0"/>
        <w:ind w:left="0"/>
        <w:jc w:val="left"/>
      </w:pPr>
      <w:r>
        <w:rPr>
          <w:rFonts w:ascii="Times New Roman"/>
          <w:b/>
          <w:i w:val="false"/>
          <w:color w:val="000000"/>
        </w:rPr>
        <w:t xml:space="preserve"> Параграф 2. Схема отсеков, план палуб</w:t>
      </w:r>
    </w:p>
    <w:bookmarkEnd w:id="4825"/>
    <w:bookmarkStart w:name="z4833" w:id="4826"/>
    <w:p>
      <w:pPr>
        <w:spacing w:after="0"/>
        <w:ind w:left="0"/>
        <w:jc w:val="both"/>
      </w:pPr>
      <w:r>
        <w:rPr>
          <w:rFonts w:ascii="Times New Roman"/>
          <w:b w:val="false"/>
          <w:i w:val="false"/>
          <w:color w:val="000000"/>
          <w:sz w:val="28"/>
        </w:rPr>
        <w:t>
      1496. Схема непроницаемых отсеков содержат данные, необходимые для расчета положения центров тяжести отдельных цистерн, заполненных жидкими грузами, и величин поправок на влияние свободных поверхностей жидких грузов на остойчивость.</w:t>
      </w:r>
    </w:p>
    <w:bookmarkEnd w:id="4826"/>
    <w:bookmarkStart w:name="z4834" w:id="4827"/>
    <w:p>
      <w:pPr>
        <w:spacing w:after="0"/>
        <w:ind w:left="0"/>
        <w:jc w:val="both"/>
      </w:pPr>
      <w:r>
        <w:rPr>
          <w:rFonts w:ascii="Times New Roman"/>
          <w:b w:val="false"/>
          <w:i w:val="false"/>
          <w:color w:val="000000"/>
          <w:sz w:val="28"/>
        </w:rPr>
        <w:t>
      1497. Планы палуб содержат все данные для определения центров тяжести палубных грузов.</w:t>
      </w:r>
    </w:p>
    <w:bookmarkEnd w:id="4827"/>
    <w:bookmarkStart w:name="z4835" w:id="4828"/>
    <w:p>
      <w:pPr>
        <w:spacing w:after="0"/>
        <w:ind w:left="0"/>
        <w:jc w:val="both"/>
      </w:pPr>
      <w:r>
        <w:rPr>
          <w:rFonts w:ascii="Times New Roman"/>
          <w:b w:val="false"/>
          <w:i w:val="false"/>
          <w:color w:val="000000"/>
          <w:sz w:val="28"/>
        </w:rPr>
        <w:t>
      1498. На планах палуб для пассажирских судов указывают площадь палубы, по которой свободно передвигаются пассажиры, и показано максимально возможное скопление людей на свободных площадях палубы при переходе пассажиров на один борт судна (пункт 1580 настоящих Правил).</w:t>
      </w:r>
    </w:p>
    <w:bookmarkEnd w:id="4828"/>
    <w:bookmarkStart w:name="z4836" w:id="4829"/>
    <w:p>
      <w:pPr>
        <w:spacing w:after="0"/>
        <w:ind w:left="0"/>
        <w:jc w:val="left"/>
      </w:pPr>
      <w:r>
        <w:rPr>
          <w:rFonts w:ascii="Times New Roman"/>
          <w:b/>
          <w:i w:val="false"/>
          <w:color w:val="000000"/>
        </w:rPr>
        <w:t xml:space="preserve"> Параграф 3. Схема расположения дверей, сходных люков и</w:t>
      </w:r>
      <w:r>
        <w:br/>
      </w:r>
      <w:r>
        <w:rPr>
          <w:rFonts w:ascii="Times New Roman"/>
          <w:b/>
          <w:i w:val="false"/>
          <w:color w:val="000000"/>
        </w:rPr>
        <w:t>иллюминаторов. Угол заливания</w:t>
      </w:r>
    </w:p>
    <w:bookmarkEnd w:id="4829"/>
    <w:bookmarkStart w:name="z4837" w:id="4830"/>
    <w:p>
      <w:pPr>
        <w:spacing w:after="0"/>
        <w:ind w:left="0"/>
        <w:jc w:val="both"/>
      </w:pPr>
      <w:r>
        <w:rPr>
          <w:rFonts w:ascii="Times New Roman"/>
          <w:b w:val="false"/>
          <w:i w:val="false"/>
          <w:color w:val="000000"/>
          <w:sz w:val="28"/>
        </w:rPr>
        <w:t>
      1499. Схема расположения дверей и сходных люков включает все двери и сходные люки, ведущие на открытые палубы, а также все двери и люки в наружной обшивке с соответствующими ссылками на их конструкцию.</w:t>
      </w:r>
    </w:p>
    <w:bookmarkEnd w:id="4830"/>
    <w:bookmarkStart w:name="z4838" w:id="4831"/>
    <w:p>
      <w:pPr>
        <w:spacing w:after="0"/>
        <w:ind w:left="0"/>
        <w:jc w:val="both"/>
      </w:pPr>
      <w:r>
        <w:rPr>
          <w:rFonts w:ascii="Times New Roman"/>
          <w:b w:val="false"/>
          <w:i w:val="false"/>
          <w:color w:val="000000"/>
          <w:sz w:val="28"/>
        </w:rPr>
        <w:t>
      1500. Схема расположения иллюминаторов включает в себя все иллюминаторы, расположенные ниже верхней непрерывной палубы, а также в надстройках и рубках, учитываемых при вычислении плеч остойчивости формы.</w:t>
      </w:r>
    </w:p>
    <w:bookmarkEnd w:id="4831"/>
    <w:bookmarkStart w:name="z4839" w:id="4832"/>
    <w:p>
      <w:pPr>
        <w:spacing w:after="0"/>
        <w:ind w:left="0"/>
        <w:jc w:val="both"/>
      </w:pPr>
      <w:r>
        <w:rPr>
          <w:rFonts w:ascii="Times New Roman"/>
          <w:b w:val="false"/>
          <w:i w:val="false"/>
          <w:color w:val="000000"/>
          <w:sz w:val="28"/>
        </w:rPr>
        <w:t>
      1501. К расчетам плеч остойчивости формы каждого судна прикладывается кривая углов заливания через самое низкое считающееся открытым отверстие в борту, палубе или надстройке судна. Отверстия вентиляции машинных помещений, отверстия вентиляции пассажирских помещений и другие отверстия, которые открыты для поступления воздуха внутрь судна при плавании в штормовых условиях, рассматриваются как открытые отверстия даже если они оборудованы непроницаемыми при воздействии моря закрытиями.</w:t>
      </w:r>
    </w:p>
    <w:bookmarkEnd w:id="4832"/>
    <w:bookmarkStart w:name="z4840" w:id="4833"/>
    <w:p>
      <w:pPr>
        <w:spacing w:after="0"/>
        <w:ind w:left="0"/>
        <w:jc w:val="left"/>
      </w:pPr>
      <w:r>
        <w:rPr>
          <w:rFonts w:ascii="Times New Roman"/>
          <w:b/>
          <w:i w:val="false"/>
          <w:color w:val="000000"/>
        </w:rPr>
        <w:t xml:space="preserve"> Параграф 4. Расчет парусности судна</w:t>
      </w:r>
      <w:r>
        <w:br/>
      </w:r>
      <w:r>
        <w:rPr>
          <w:rFonts w:ascii="Times New Roman"/>
          <w:b/>
          <w:i w:val="false"/>
          <w:color w:val="000000"/>
        </w:rPr>
        <w:t>(кроме плавучего крана и кранового судна)</w:t>
      </w:r>
    </w:p>
    <w:bookmarkEnd w:id="4833"/>
    <w:bookmarkStart w:name="z4841" w:id="4834"/>
    <w:p>
      <w:pPr>
        <w:spacing w:after="0"/>
        <w:ind w:left="0"/>
        <w:jc w:val="both"/>
      </w:pPr>
      <w:r>
        <w:rPr>
          <w:rFonts w:ascii="Times New Roman"/>
          <w:b w:val="false"/>
          <w:i w:val="false"/>
          <w:color w:val="000000"/>
          <w:sz w:val="28"/>
        </w:rPr>
        <w:t>
      1502. В площадь парусности зачтены проекции всех сплошных стенок и поверхностей корпуса, надстроек и рубок судна на диаметральную плоскость, проекции мачт, вентиляторов, шлюпок, палубных механизмов, всех тентов, которые могут оказаться натянутыми при штормовой погоде, а также проекции боковых поверхностей палубных грузов, включая лесной, перевозка которых на судне предусматривается проектом.</w:t>
      </w:r>
    </w:p>
    <w:bookmarkEnd w:id="4834"/>
    <w:bookmarkStart w:name="z4842" w:id="4835"/>
    <w:p>
      <w:pPr>
        <w:spacing w:after="0"/>
        <w:ind w:left="0"/>
        <w:jc w:val="both"/>
      </w:pPr>
      <w:r>
        <w:rPr>
          <w:rFonts w:ascii="Times New Roman"/>
          <w:b w:val="false"/>
          <w:i w:val="false"/>
          <w:color w:val="000000"/>
          <w:sz w:val="28"/>
        </w:rPr>
        <w:t>
      Для судов, имеющих вспомогательное парусное вооружение, площадь парусности свернутых парусов учитывается отдельно по чертежу бокового вида и включается в общую площадь парусности сплошных поверхностей.</w:t>
      </w:r>
    </w:p>
    <w:bookmarkEnd w:id="4835"/>
    <w:bookmarkStart w:name="z4843" w:id="4836"/>
    <w:p>
      <w:pPr>
        <w:spacing w:after="0"/>
        <w:ind w:left="0"/>
        <w:jc w:val="both"/>
      </w:pPr>
      <w:r>
        <w:rPr>
          <w:rFonts w:ascii="Times New Roman"/>
          <w:b w:val="false"/>
          <w:i w:val="false"/>
          <w:color w:val="000000"/>
          <w:sz w:val="28"/>
        </w:rPr>
        <w:t>
      Парусность несплошных поверхностей лееров, рангоута (кроме мачт) и такелажа судов, не имеющих парусного вооружения, и парусность разных мелких предметов рекомендуется учитывать путем увеличения вычисленной для минимальной осадки d</w:t>
      </w:r>
      <w:r>
        <w:rPr>
          <w:rFonts w:ascii="Times New Roman"/>
          <w:b w:val="false"/>
          <w:i w:val="false"/>
          <w:color w:val="000000"/>
          <w:vertAlign w:val="subscript"/>
        </w:rPr>
        <w:t>min</w:t>
      </w:r>
      <w:r>
        <w:rPr>
          <w:rFonts w:ascii="Times New Roman"/>
          <w:b w:val="false"/>
          <w:i w:val="false"/>
          <w:color w:val="000000"/>
          <w:sz w:val="28"/>
        </w:rPr>
        <w:t xml:space="preserve"> суммарной площади парусности сплошных поверхностей на 5 % и статического момента этой площади относительно основной плоскости на 10 %.</w:t>
      </w:r>
    </w:p>
    <w:bookmarkEnd w:id="4836"/>
    <w:bookmarkStart w:name="z4844" w:id="4837"/>
    <w:p>
      <w:pPr>
        <w:spacing w:after="0"/>
        <w:ind w:left="0"/>
        <w:jc w:val="both"/>
      </w:pPr>
      <w:r>
        <w:rPr>
          <w:rFonts w:ascii="Times New Roman"/>
          <w:b w:val="false"/>
          <w:i w:val="false"/>
          <w:color w:val="000000"/>
          <w:sz w:val="28"/>
        </w:rPr>
        <w:t>
      Для определения парусности несплошных поверхностей у судов, подвергающихся обледенению, площадь и статический момент площади парусности сплошных поверхностей относительно основной плоскости, рассчитанные для осадки d</w:t>
      </w:r>
      <w:r>
        <w:rPr>
          <w:rFonts w:ascii="Times New Roman"/>
          <w:b w:val="false"/>
          <w:i w:val="false"/>
          <w:color w:val="000000"/>
          <w:vertAlign w:val="subscript"/>
        </w:rPr>
        <w:t>min</w:t>
      </w:r>
      <w:r>
        <w:rPr>
          <w:rFonts w:ascii="Times New Roman"/>
          <w:b w:val="false"/>
          <w:i w:val="false"/>
          <w:color w:val="000000"/>
          <w:sz w:val="28"/>
        </w:rPr>
        <w:t>, увеличиваются в условиях обледенения соответственно на 10 и 20 % или на 7,5 и 15 % в зависимости от норм обледенения, указанных в главе 96 настоящих Правил. При этом площадь парусности несплошных поверхностей и положение ее центра тяжести по высоте относительно основной плоскости принимаются постоянными для всех вариантов нагрузки.</w:t>
      </w:r>
    </w:p>
    <w:bookmarkEnd w:id="4837"/>
    <w:bookmarkStart w:name="z4845" w:id="4838"/>
    <w:p>
      <w:pPr>
        <w:spacing w:after="0"/>
        <w:ind w:left="0"/>
        <w:jc w:val="both"/>
      </w:pPr>
      <w:r>
        <w:rPr>
          <w:rFonts w:ascii="Times New Roman"/>
          <w:b w:val="false"/>
          <w:i w:val="false"/>
          <w:color w:val="000000"/>
          <w:sz w:val="28"/>
        </w:rPr>
        <w:t>
      Для контейнеровозов боковая проекция палубных контейнеров засчитывается в площадь парусности как сплошная стенка, без учета зазоров между отдельными контейнерами.</w:t>
      </w:r>
    </w:p>
    <w:bookmarkEnd w:id="4838"/>
    <w:bookmarkStart w:name="z4846" w:id="4839"/>
    <w:p>
      <w:pPr>
        <w:spacing w:after="0"/>
        <w:ind w:left="0"/>
        <w:jc w:val="both"/>
      </w:pPr>
      <w:r>
        <w:rPr>
          <w:rFonts w:ascii="Times New Roman"/>
          <w:b w:val="false"/>
          <w:i w:val="false"/>
          <w:color w:val="000000"/>
          <w:sz w:val="28"/>
        </w:rPr>
        <w:t>
      1503. Применение указанных приближенных приемов для учета парусности несплошных поверхностей и мелких предметов не является обязательным. По желанию проектанта эти части парусности определяют более детально.</w:t>
      </w:r>
    </w:p>
    <w:bookmarkEnd w:id="4839"/>
    <w:bookmarkStart w:name="z4847" w:id="4840"/>
    <w:p>
      <w:pPr>
        <w:spacing w:after="0"/>
        <w:ind w:left="0"/>
        <w:jc w:val="both"/>
      </w:pPr>
      <w:r>
        <w:rPr>
          <w:rFonts w:ascii="Times New Roman"/>
          <w:b w:val="false"/>
          <w:i w:val="false"/>
          <w:color w:val="000000"/>
          <w:sz w:val="28"/>
        </w:rPr>
        <w:t>
      В этом случае при вычислении парусности лееров, крановых ферм решетчатого типа, засчитываемые габаритные площади умножаются на коэффициенты заполнения, которые принимаются соответственно приложению 188 настоящих Правил.</w:t>
      </w:r>
    </w:p>
    <w:bookmarkEnd w:id="4840"/>
    <w:bookmarkStart w:name="z4848" w:id="4841"/>
    <w:p>
      <w:pPr>
        <w:spacing w:after="0"/>
        <w:ind w:left="0"/>
        <w:jc w:val="both"/>
      </w:pPr>
      <w:r>
        <w:rPr>
          <w:rFonts w:ascii="Times New Roman"/>
          <w:b w:val="false"/>
          <w:i w:val="false"/>
          <w:color w:val="000000"/>
          <w:sz w:val="28"/>
        </w:rPr>
        <w:t>
      Для рангоута, снастей и вант судов, не имеющих парусного вооружения, коэффициенты заполнения принимаются по приложению 189 настоящих Правил в зависимости от отношения z</w:t>
      </w:r>
      <w:r>
        <w:rPr>
          <w:rFonts w:ascii="Times New Roman"/>
          <w:b w:val="false"/>
          <w:i w:val="false"/>
          <w:color w:val="000000"/>
          <w:vertAlign w:val="subscript"/>
        </w:rPr>
        <w:t>0</w:t>
      </w:r>
      <w:r>
        <w:rPr>
          <w:rFonts w:ascii="Times New Roman"/>
          <w:b w:val="false"/>
          <w:i w:val="false"/>
          <w:color w:val="000000"/>
          <w:sz w:val="28"/>
        </w:rPr>
        <w:t>/b</w:t>
      </w:r>
      <w:r>
        <w:rPr>
          <w:rFonts w:ascii="Times New Roman"/>
          <w:b w:val="false"/>
          <w:i w:val="false"/>
          <w:color w:val="000000"/>
          <w:vertAlign w:val="subscript"/>
        </w:rPr>
        <w:t>0</w:t>
      </w:r>
      <w:r>
        <w:rPr>
          <w:rFonts w:ascii="Times New Roman"/>
          <w:b w:val="false"/>
          <w:i w:val="false"/>
          <w:color w:val="000000"/>
          <w:sz w:val="28"/>
        </w:rPr>
        <w:t>, где z</w:t>
      </w:r>
      <w:r>
        <w:rPr>
          <w:rFonts w:ascii="Times New Roman"/>
          <w:b w:val="false"/>
          <w:i w:val="false"/>
          <w:color w:val="000000"/>
          <w:vertAlign w:val="subscript"/>
        </w:rPr>
        <w:t>0</w:t>
      </w:r>
      <w:r>
        <w:rPr>
          <w:rFonts w:ascii="Times New Roman"/>
          <w:b w:val="false"/>
          <w:i w:val="false"/>
          <w:color w:val="000000"/>
          <w:sz w:val="28"/>
        </w:rPr>
        <w:t xml:space="preserve"> — возвышение точки крепления вант к мачте над фальшбортом; b</w:t>
      </w:r>
      <w:r>
        <w:rPr>
          <w:rFonts w:ascii="Times New Roman"/>
          <w:b w:val="false"/>
          <w:i w:val="false"/>
          <w:color w:val="000000"/>
          <w:vertAlign w:val="subscript"/>
        </w:rPr>
        <w:t>0</w:t>
      </w:r>
      <w:r>
        <w:rPr>
          <w:rFonts w:ascii="Times New Roman"/>
          <w:b w:val="false"/>
          <w:i w:val="false"/>
          <w:color w:val="000000"/>
          <w:sz w:val="28"/>
        </w:rPr>
        <w:t xml:space="preserve"> — величина разноса вант у фальшборта.</w:t>
      </w:r>
    </w:p>
    <w:bookmarkEnd w:id="4841"/>
    <w:bookmarkStart w:name="z4849" w:id="4842"/>
    <w:p>
      <w:pPr>
        <w:spacing w:after="0"/>
        <w:ind w:left="0"/>
        <w:jc w:val="both"/>
      </w:pPr>
      <w:r>
        <w:rPr>
          <w:rFonts w:ascii="Times New Roman"/>
          <w:b w:val="false"/>
          <w:i w:val="false"/>
          <w:color w:val="000000"/>
          <w:sz w:val="28"/>
        </w:rPr>
        <w:t>
      Проекции надводной части корпуса, рубок и надстроек засчитываются с коэффициентом обтекания 1,0. Проекции конструкций круглого сечения, отдельно расположенных на палубе (труб, вентиляторов, мачт), принимается с коэффициентом обтекания 0,6. При детальном подсчете площади парусности мелких предметов, несплошных поверхностей рангоута, такелажа, лееров, вант, снастей и т. п. следует принимать коэффициент обтекания равным 1,0. Если проекции отдельных частей площади парусности полностью или частично перекрывают одна другую, в расчет следует вводить площадь только одной из перекрывающих проекций.</w:t>
      </w:r>
    </w:p>
    <w:bookmarkEnd w:id="4842"/>
    <w:bookmarkStart w:name="z4850" w:id="4843"/>
    <w:p>
      <w:pPr>
        <w:spacing w:after="0"/>
        <w:ind w:left="0"/>
        <w:jc w:val="both"/>
      </w:pPr>
      <w:r>
        <w:rPr>
          <w:rFonts w:ascii="Times New Roman"/>
          <w:b w:val="false"/>
          <w:i w:val="false"/>
          <w:color w:val="000000"/>
          <w:sz w:val="28"/>
        </w:rPr>
        <w:t>
      Если перекрывающие проекции имеют различные коэффициенты обтекания, в расчет вводятся проекции с более высокими коэффициентами обтекания.</w:t>
      </w:r>
    </w:p>
    <w:bookmarkEnd w:id="4843"/>
    <w:bookmarkStart w:name="z4851" w:id="4844"/>
    <w:p>
      <w:pPr>
        <w:spacing w:after="0"/>
        <w:ind w:left="0"/>
        <w:jc w:val="both"/>
      </w:pPr>
      <w:r>
        <w:rPr>
          <w:rFonts w:ascii="Times New Roman"/>
          <w:b w:val="false"/>
          <w:i w:val="false"/>
          <w:color w:val="000000"/>
          <w:sz w:val="28"/>
        </w:rPr>
        <w:t>
      1504. Для расчета плеча кренящего момента от давления ветра согласно параграфу 2 главы 95 настоящих Правил плечо парусности z</w:t>
      </w:r>
    </w:p>
    <w:bookmarkEnd w:id="4844"/>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как расстояние, м, между центром парусности и центром площади проекции подводной части корпуса на диаметральную плоскость в прямом положении судна на спокойной воде. Положение центра парусности определяется способом, обычно применяемым для нахождения координат центра тяжести плоской фигуры.</w:t>
      </w:r>
      <w:r>
        <w:br/>
      </w:r>
      <w:r>
        <w:rPr>
          <w:rFonts w:ascii="Times New Roman"/>
          <w:b w:val="false"/>
          <w:i w:val="false"/>
          <w:color w:val="000000"/>
          <w:sz w:val="28"/>
        </w:rPr>
        <w:t>
</w:t>
      </w:r>
    </w:p>
    <w:bookmarkStart w:name="z4852" w:id="4845"/>
    <w:p>
      <w:pPr>
        <w:spacing w:after="0"/>
        <w:ind w:left="0"/>
        <w:jc w:val="both"/>
      </w:pPr>
      <w:r>
        <w:rPr>
          <w:rFonts w:ascii="Times New Roman"/>
          <w:b w:val="false"/>
          <w:i w:val="false"/>
          <w:color w:val="000000"/>
          <w:sz w:val="28"/>
        </w:rPr>
        <w:t>
      1505. Площадь парусности и ее статический момент вычисляется для осадки судна d</w:t>
      </w:r>
      <w:r>
        <w:rPr>
          <w:rFonts w:ascii="Times New Roman"/>
          <w:b w:val="false"/>
          <w:i w:val="false"/>
          <w:color w:val="000000"/>
          <w:vertAlign w:val="subscript"/>
        </w:rPr>
        <w:t>min</w:t>
      </w:r>
      <w:r>
        <w:rPr>
          <w:rFonts w:ascii="Times New Roman"/>
          <w:b w:val="false"/>
          <w:i w:val="false"/>
          <w:color w:val="000000"/>
          <w:sz w:val="28"/>
        </w:rPr>
        <w:t>. Элементы парусности при остальных осадках определяются пересчетом. Допускается пользоваться линейной интерполяцией, приняв вторую точку по осадке, соответствующей летней грузовой марке.</w:t>
      </w:r>
    </w:p>
    <w:bookmarkEnd w:id="4845"/>
    <w:bookmarkStart w:name="z4853" w:id="4846"/>
    <w:p>
      <w:pPr>
        <w:spacing w:after="0"/>
        <w:ind w:left="0"/>
        <w:jc w:val="left"/>
      </w:pPr>
      <w:r>
        <w:rPr>
          <w:rFonts w:ascii="Times New Roman"/>
          <w:b/>
          <w:i w:val="false"/>
          <w:color w:val="000000"/>
        </w:rPr>
        <w:t xml:space="preserve"> Параграф 5. Расчет влияния жидких грузов</w:t>
      </w:r>
    </w:p>
    <w:bookmarkEnd w:id="4846"/>
    <w:bookmarkStart w:name="z4854" w:id="4847"/>
    <w:p>
      <w:pPr>
        <w:spacing w:after="0"/>
        <w:ind w:left="0"/>
        <w:jc w:val="both"/>
      </w:pPr>
      <w:r>
        <w:rPr>
          <w:rFonts w:ascii="Times New Roman"/>
          <w:b w:val="false"/>
          <w:i w:val="false"/>
          <w:color w:val="000000"/>
          <w:sz w:val="28"/>
        </w:rPr>
        <w:t>
      1506. При заполнении цистерны (танка) судна жидкостью менее чем на 100 % от максимального объема, в ней всегда образуется свободная поверхность, уменьшающая остойчивость судна. В случае, если общая поправка на влияние свободных поверхностей полностью заполненных (то есть на 98 % или выше) цистерн мала по сравнению с начальной метацентрической высотой, по согласованию с Регистром судоходства влияние свободных поверхностей в таких цистернах на остойчивость допускается не учитывать. При заполнении цистерны менее чем на 98 % учитывать влияние свободной поверхности следует всегда.</w:t>
      </w:r>
    </w:p>
    <w:bookmarkEnd w:id="4847"/>
    <w:bookmarkStart w:name="z4855" w:id="4848"/>
    <w:p>
      <w:pPr>
        <w:spacing w:after="0"/>
        <w:ind w:left="0"/>
        <w:jc w:val="both"/>
      </w:pPr>
      <w:r>
        <w:rPr>
          <w:rFonts w:ascii="Times New Roman"/>
          <w:b w:val="false"/>
          <w:i w:val="false"/>
          <w:color w:val="000000"/>
          <w:sz w:val="28"/>
        </w:rPr>
        <w:t>
      1507. Цистерны, учитываемые при определении поправки на влияние свободной поверхности, возможно отнести к одной из двух категорий:</w:t>
      </w:r>
    </w:p>
    <w:bookmarkEnd w:id="4848"/>
    <w:bookmarkStart w:name="z4856" w:id="4849"/>
    <w:p>
      <w:pPr>
        <w:spacing w:after="0"/>
        <w:ind w:left="0"/>
        <w:jc w:val="both"/>
      </w:pPr>
      <w:r>
        <w:rPr>
          <w:rFonts w:ascii="Times New Roman"/>
          <w:b w:val="false"/>
          <w:i w:val="false"/>
          <w:color w:val="000000"/>
          <w:sz w:val="28"/>
        </w:rPr>
        <w:t>
      цистерны с постоянным уровнем заполнения (например, грузовой танк с жидким грузом, цистерна водяного балласта). Поправки на влияние свободной поверхности определяются для фактического уровня заполнения, предусмотренного для каждой цистерны;</w:t>
      </w:r>
    </w:p>
    <w:bookmarkEnd w:id="4849"/>
    <w:bookmarkStart w:name="z4857" w:id="4850"/>
    <w:p>
      <w:pPr>
        <w:spacing w:after="0"/>
        <w:ind w:left="0"/>
        <w:jc w:val="both"/>
      </w:pPr>
      <w:r>
        <w:rPr>
          <w:rFonts w:ascii="Times New Roman"/>
          <w:b w:val="false"/>
          <w:i w:val="false"/>
          <w:color w:val="000000"/>
          <w:sz w:val="28"/>
        </w:rPr>
        <w:t>
      цистерны с переменным уровнем заполнения (например, расходуемые жидкости, такие как, топливо, масло, пресная вода, а также жидкий груз и балласт при выполнении операций по их приему, расходованию или перекачке). За исключением того, что оговорено в пункте 1709 настоящих Правил, поправки на свободную поверхность имеют максимальные значения, определенные в пределах нижней и верхней границы заполнения каждой цистерны, предусмотренных рекомендациями по эксплуатации судна.</w:t>
      </w:r>
    </w:p>
    <w:bookmarkEnd w:id="4850"/>
    <w:bookmarkStart w:name="z4858" w:id="4851"/>
    <w:p>
      <w:pPr>
        <w:spacing w:after="0"/>
        <w:ind w:left="0"/>
        <w:jc w:val="both"/>
      </w:pPr>
      <w:r>
        <w:rPr>
          <w:rFonts w:ascii="Times New Roman"/>
          <w:b w:val="false"/>
          <w:i w:val="false"/>
          <w:color w:val="000000"/>
          <w:sz w:val="28"/>
        </w:rPr>
        <w:t>
      1508. В число цистерн, учитываемых при подсчете влияния жидкого груза на остойчивость, включаются цистерны каждого вида жидкого груза и балласта, в которых по условиям эксплуатации одновременно свободные поверхности, а также противокреновые цистерны и цистерны системы успокоителей качки независимо от типа цистерн. Для учета влияния свободных поверхностей надлежит составить расчетную комбинацию из одиночных цистерн или их сочетания по каждому виду жидкого груза. Из числа возможных в эксплуатации сочетаний цистерн по отдельным видам жидкого груза и балласта либо одиночных цистерн следует выбрать такие, у которых влияние свободных поверхностей оказывается наибольшим. При этом углы крена, для которых определяются максимальные поправки, выбираются в зависимости от применяемых к судну критериев остойчивости.</w:t>
      </w:r>
    </w:p>
    <w:bookmarkEnd w:id="4851"/>
    <w:bookmarkStart w:name="z4859" w:id="4852"/>
    <w:p>
      <w:pPr>
        <w:spacing w:after="0"/>
        <w:ind w:left="0"/>
        <w:jc w:val="both"/>
      </w:pPr>
      <w:r>
        <w:rPr>
          <w:rFonts w:ascii="Times New Roman"/>
          <w:b w:val="false"/>
          <w:i w:val="false"/>
          <w:color w:val="000000"/>
          <w:sz w:val="28"/>
        </w:rPr>
        <w:t>
      1509. Для судна, осуществляющего операцию по перекачке жидкостей, поправка на влияние свободных поверхностей на любой стадии операции определяется для фактического уровня заполнения каждой цистерны на данной стадии перекачки.</w:t>
      </w:r>
    </w:p>
    <w:bookmarkEnd w:id="4852"/>
    <w:bookmarkStart w:name="z4860" w:id="4853"/>
    <w:p>
      <w:pPr>
        <w:spacing w:after="0"/>
        <w:ind w:left="0"/>
        <w:jc w:val="both"/>
      </w:pPr>
      <w:r>
        <w:rPr>
          <w:rFonts w:ascii="Times New Roman"/>
          <w:b w:val="false"/>
          <w:i w:val="false"/>
          <w:color w:val="000000"/>
          <w:sz w:val="28"/>
        </w:rPr>
        <w:t>
      1510. Поправки к начальной метацентрической высоте и к диаграмме остойчивости рассчитываются по отдельности следующим образом.</w:t>
      </w:r>
    </w:p>
    <w:bookmarkEnd w:id="4853"/>
    <w:bookmarkStart w:name="z4861" w:id="4854"/>
    <w:p>
      <w:pPr>
        <w:spacing w:after="0"/>
        <w:ind w:left="0"/>
        <w:jc w:val="both"/>
      </w:pPr>
      <w:r>
        <w:rPr>
          <w:rFonts w:ascii="Times New Roman"/>
          <w:b w:val="false"/>
          <w:i w:val="false"/>
          <w:color w:val="000000"/>
          <w:sz w:val="28"/>
        </w:rPr>
        <w:t xml:space="preserve">
      . Поправки к начальной метацентрической высоте </w:t>
      </w:r>
    </w:p>
    <w:bookmarkEnd w:id="4854"/>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определяются как произведение плотностей жидких грузов на собственные поперечные моменты инерции свободных поверхностей в цистернах, рассчитанные для положения судна без крена в соответствии с категориями цистерн, определенными в пункте 1507 настоящих Правил.</w:t>
      </w:r>
      <w:r>
        <w:br/>
      </w:r>
      <w:r>
        <w:rPr>
          <w:rFonts w:ascii="Times New Roman"/>
          <w:b w:val="false"/>
          <w:i w:val="false"/>
          <w:color w:val="000000"/>
          <w:sz w:val="28"/>
        </w:rPr>
        <w:t>
</w:t>
      </w:r>
    </w:p>
    <w:bookmarkStart w:name="z4862" w:id="4855"/>
    <w:p>
      <w:pPr>
        <w:spacing w:after="0"/>
        <w:ind w:left="0"/>
        <w:jc w:val="both"/>
      </w:pPr>
      <w:r>
        <w:rPr>
          <w:rFonts w:ascii="Times New Roman"/>
          <w:b w:val="false"/>
          <w:i w:val="false"/>
          <w:color w:val="000000"/>
          <w:sz w:val="28"/>
        </w:rPr>
        <w:t xml:space="preserve">
      . Поправки к плечам диаграммы остойчивости </w:t>
      </w:r>
    </w:p>
    <w:bookmarkEnd w:id="4855"/>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ө</w:t>
      </w:r>
      <w:r>
        <w:rPr>
          <w:rFonts w:ascii="Times New Roman"/>
          <w:b w:val="false"/>
          <w:i w:val="false"/>
          <w:color w:val="000000"/>
          <w:sz w:val="28"/>
        </w:rPr>
        <w:t xml:space="preserve"> по согласованию с Регистром судоходства определяют одним из трех следующих способов:</w:t>
      </w:r>
      <w:r>
        <w:br/>
      </w:r>
      <w:r>
        <w:rPr>
          <w:rFonts w:ascii="Times New Roman"/>
          <w:b w:val="false"/>
          <w:i w:val="false"/>
          <w:color w:val="000000"/>
          <w:sz w:val="28"/>
        </w:rPr>
        <w:t>
</w:t>
      </w:r>
    </w:p>
    <w:bookmarkStart w:name="z4863" w:id="4856"/>
    <w:p>
      <w:pPr>
        <w:spacing w:after="0"/>
        <w:ind w:left="0"/>
        <w:jc w:val="both"/>
      </w:pPr>
      <w:r>
        <w:rPr>
          <w:rFonts w:ascii="Times New Roman"/>
          <w:b w:val="false"/>
          <w:i w:val="false"/>
          <w:color w:val="000000"/>
          <w:sz w:val="28"/>
        </w:rPr>
        <w:t>
      1) расчет поправки базируется на использовании фактического кренящего момента от переливания жидкости в цистернах для каждого рассматриваемого угла крена судна;</w:t>
      </w:r>
    </w:p>
    <w:bookmarkEnd w:id="4856"/>
    <w:bookmarkStart w:name="z4864" w:id="4857"/>
    <w:p>
      <w:pPr>
        <w:spacing w:after="0"/>
        <w:ind w:left="0"/>
        <w:jc w:val="both"/>
      </w:pPr>
      <w:r>
        <w:rPr>
          <w:rFonts w:ascii="Times New Roman"/>
          <w:b w:val="false"/>
          <w:i w:val="false"/>
          <w:color w:val="000000"/>
          <w:sz w:val="28"/>
        </w:rPr>
        <w:t>
      2) расчет поправки базируется на использовании собственного поперечного момента инерции свободных поверхностей в цистернах при положении судна без крена, корректируемого для каждого рассматриваемого угла крена судна и путем умножения на sin Ө;</w:t>
      </w:r>
    </w:p>
    <w:bookmarkEnd w:id="4857"/>
    <w:bookmarkStart w:name="z4865" w:id="4858"/>
    <w:p>
      <w:pPr>
        <w:spacing w:after="0"/>
        <w:ind w:left="0"/>
        <w:jc w:val="both"/>
      </w:pPr>
      <w:r>
        <w:rPr>
          <w:rFonts w:ascii="Times New Roman"/>
          <w:b w:val="false"/>
          <w:i w:val="false"/>
          <w:color w:val="000000"/>
          <w:sz w:val="28"/>
        </w:rPr>
        <w:t>
      3) расчет поправки выполняется для расчетной комбинации цистерн в соответствии с формулой (590) настоящих Правил.</w:t>
      </w:r>
    </w:p>
    <w:bookmarkEnd w:id="4858"/>
    <w:bookmarkStart w:name="z4866" w:id="4859"/>
    <w:p>
      <w:pPr>
        <w:spacing w:after="0"/>
        <w:ind w:left="0"/>
        <w:jc w:val="both"/>
      </w:pPr>
      <w:r>
        <w:rPr>
          <w:rFonts w:ascii="Times New Roman"/>
          <w:b w:val="false"/>
          <w:i w:val="false"/>
          <w:color w:val="000000"/>
          <w:sz w:val="28"/>
        </w:rPr>
        <w:t>
      Для категорий цистерн, определенных в пункте 1388 настоящих Правил, поправки вычисляют вышеуказанными способами за исключением способа подпункта 3) пункта 1512 настоящих Правил.</w:t>
      </w:r>
    </w:p>
    <w:bookmarkEnd w:id="4859"/>
    <w:bookmarkStart w:name="z4867" w:id="4860"/>
    <w:p>
      <w:pPr>
        <w:spacing w:after="0"/>
        <w:ind w:left="0"/>
        <w:jc w:val="both"/>
      </w:pPr>
      <w:r>
        <w:rPr>
          <w:rFonts w:ascii="Times New Roman"/>
          <w:b w:val="false"/>
          <w:i w:val="false"/>
          <w:color w:val="000000"/>
          <w:sz w:val="28"/>
        </w:rPr>
        <w:t>
      1513. В информации об остойчивости представляют только метод, использованный при расчете поправок к плечам диаграммы остойчивости. В случае, если в инструкции по оценке остойчивости вручную для нетипового случая загрузки предложен альтернативный способ, инструкция включает пример расчета поправки на влияние свободной поверхности с разъяснением причин отличия результатов расчета поправки вручную от результатов расчетов по принятому методу.</w:t>
      </w:r>
    </w:p>
    <w:bookmarkEnd w:id="4860"/>
    <w:bookmarkStart w:name="z4868" w:id="4861"/>
    <w:p>
      <w:pPr>
        <w:spacing w:after="0"/>
        <w:ind w:left="0"/>
        <w:jc w:val="both"/>
      </w:pPr>
      <w:r>
        <w:rPr>
          <w:rFonts w:ascii="Times New Roman"/>
          <w:b w:val="false"/>
          <w:i w:val="false"/>
          <w:color w:val="000000"/>
          <w:sz w:val="28"/>
        </w:rPr>
        <w:t>
      1514. Значения поправки к плечам диаграммы остойчивости определяют с помощью приближенной формулы:</w:t>
      </w:r>
    </w:p>
    <w:bookmarkEnd w:id="48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ө</w:t>
      </w:r>
      <w:r>
        <w:rPr>
          <w:rFonts w:ascii="Times New Roman"/>
          <w:b w:val="false"/>
          <w:i w:val="false"/>
          <w:color w:val="000000"/>
          <w:sz w:val="28"/>
        </w:rPr>
        <w:t xml:space="preserve"> = </w:t>
      </w:r>
    </w:p>
    <w:p>
      <w:pPr>
        <w:spacing w:after="0"/>
        <w:ind w:left="0"/>
        <w:jc w:val="both"/>
      </w:pPr>
      <w:r>
        <w:drawing>
          <wp:inline distT="0" distB="0" distL="0" distR="0">
            <wp:extent cx="139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139700" cy="355600"/>
                    </a:xfrm>
                    <a:prstGeom prst="rect">
                      <a:avLst/>
                    </a:prstGeom>
                  </pic:spPr>
                </pic:pic>
              </a:graphicData>
            </a:graphic>
          </wp:inline>
        </w:drawing>
      </w:r>
    </w:p>
    <w:p>
      <w:pPr>
        <w:spacing w:after="0"/>
        <w:ind w:left="0"/>
        <w:jc w:val="left"/>
      </w:pPr>
      <w:r>
        <w:rPr>
          <w:rFonts w:ascii="Times New Roman"/>
          <w:b w:val="false"/>
          <w:i w:val="false"/>
          <w:color w:val="000000"/>
          <w:vertAlign w:val="subscript"/>
        </w:rPr>
        <w:t>ө</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b</w:t>
      </w:r>
      <w:r>
        <w:rPr>
          <w:rFonts w:ascii="Times New Roman"/>
          <w:b w:val="false"/>
          <w:i w:val="false"/>
          <w:color w:val="000000"/>
          <w:vertAlign w:val="subscript"/>
        </w:rPr>
        <w:t>т</w:t>
      </w:r>
    </w:p>
    <w:p>
      <w:pPr>
        <w:spacing w:after="0"/>
        <w:ind w:left="0"/>
        <w:jc w:val="both"/>
      </w:pPr>
      <w:r>
        <w:drawing>
          <wp:inline distT="0" distB="0" distL="0" distR="0">
            <wp:extent cx="76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76200" cy="228600"/>
                    </a:xfrm>
                    <a:prstGeom prst="rect">
                      <a:avLst/>
                    </a:prstGeom>
                  </pic:spPr>
                </pic:pic>
              </a:graphicData>
            </a:graphic>
          </wp:inline>
        </w:drawing>
      </w:r>
    </w:p>
    <w:p>
      <w:pPr>
        <w:spacing w:after="0"/>
        <w:ind w:left="0"/>
        <w:jc w:val="left"/>
      </w:pP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482600" cy="406400"/>
                    </a:xfrm>
                    <a:prstGeom prst="rect">
                      <a:avLst/>
                    </a:prstGeom>
                  </pic:spPr>
                </pic:pic>
              </a:graphicData>
            </a:graphic>
          </wp:inline>
        </w:drawing>
      </w:r>
    </w:p>
    <w:p>
      <w:pPr>
        <w:spacing w:after="0"/>
        <w:ind w:left="0"/>
        <w:jc w:val="left"/>
      </w:pPr>
      <w:r>
        <w:rPr>
          <w:rFonts w:ascii="Times New Roman"/>
          <w:b w:val="false"/>
          <w:i w:val="false"/>
          <w:color w:val="000000"/>
          <w:sz w:val="28"/>
        </w:rPr>
        <w:t>,                       (590)</w:t>
      </w:r>
      <w:r>
        <w:br/>
      </w:r>
      <w:r>
        <w:rPr>
          <w:rFonts w:ascii="Times New Roman"/>
          <w:b w:val="false"/>
          <w:i w:val="false"/>
          <w:color w:val="000000"/>
          <w:sz w:val="28"/>
        </w:rPr>
        <w:t>
</w:t>
      </w:r>
    </w:p>
    <w:bookmarkStart w:name="z4869" w:id="4862"/>
    <w:p>
      <w:pPr>
        <w:spacing w:after="0"/>
        <w:ind w:left="0"/>
        <w:jc w:val="both"/>
      </w:pPr>
      <w:r>
        <w:rPr>
          <w:rFonts w:ascii="Times New Roman"/>
          <w:b w:val="false"/>
          <w:i w:val="false"/>
          <w:color w:val="000000"/>
          <w:sz w:val="28"/>
        </w:rPr>
        <w:t>
      1515. В расчет не включаются цистерны, отвечающие условию:</w:t>
      </w:r>
    </w:p>
    <w:bookmarkEnd w:id="48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30</w:t>
      </w:r>
      <w:r>
        <w:rPr>
          <w:rFonts w:ascii="Times New Roman"/>
          <w:b w:val="false"/>
          <w:i w:val="false"/>
          <w:color w:val="000000"/>
          <w:sz w:val="28"/>
        </w:rPr>
        <w:t xml:space="preserve"> &lt; 0,01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 xml:space="preserve"> ;                        (591)</w:t>
      </w:r>
      <w:r>
        <w:br/>
      </w:r>
      <w:r>
        <w:rPr>
          <w:rFonts w:ascii="Times New Roman"/>
          <w:b w:val="false"/>
          <w:i w:val="false"/>
          <w:color w:val="000000"/>
          <w:sz w:val="28"/>
        </w:rPr>
        <w:t>
</w:t>
      </w:r>
    </w:p>
    <w:bookmarkStart w:name="z4870" w:id="4863"/>
    <w:p>
      <w:pPr>
        <w:spacing w:after="0"/>
        <w:ind w:left="0"/>
        <w:jc w:val="both"/>
      </w:pPr>
      <w:r>
        <w:rPr>
          <w:rFonts w:ascii="Times New Roman"/>
          <w:b w:val="false"/>
          <w:i w:val="false"/>
          <w:color w:val="000000"/>
          <w:sz w:val="28"/>
        </w:rPr>
        <w:t>
      для плавучих кранов в расчет не включаются цистерны, отвечающие условию</w:t>
      </w:r>
    </w:p>
    <w:bookmarkEnd w:id="48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15</w:t>
      </w:r>
      <w:r>
        <w:rPr>
          <w:rFonts w:ascii="Times New Roman"/>
          <w:b w:val="false"/>
          <w:i w:val="false"/>
          <w:color w:val="000000"/>
          <w:sz w:val="28"/>
        </w:rPr>
        <w:t xml:space="preserve"> &lt; 0,02</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 xml:space="preserve"> ;                        (592)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30</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15</w:t>
      </w:r>
      <w:r>
        <w:rPr>
          <w:rFonts w:ascii="Times New Roman"/>
          <w:b w:val="false"/>
          <w:i w:val="false"/>
          <w:color w:val="000000"/>
          <w:sz w:val="28"/>
        </w:rPr>
        <w:t xml:space="preserve"> — кренящие моменты от переливания жидкости при крене 30</w:t>
      </w:r>
      <w:r>
        <w:rPr>
          <w:rFonts w:ascii="Times New Roman"/>
          <w:b w:val="false"/>
          <w:i w:val="false"/>
          <w:color w:val="000000"/>
          <w:vertAlign w:val="superscript"/>
        </w:rPr>
        <w:t>о</w:t>
      </w:r>
      <w:r>
        <w:rPr>
          <w:rFonts w:ascii="Times New Roman"/>
          <w:b w:val="false"/>
          <w:i w:val="false"/>
          <w:color w:val="000000"/>
          <w:sz w:val="28"/>
        </w:rPr>
        <w:t xml:space="preserve"> и 15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p>
    <w:bookmarkStart w:name="z4871" w:id="4864"/>
    <w:p>
      <w:pPr>
        <w:spacing w:after="0"/>
        <w:ind w:left="0"/>
        <w:jc w:val="both"/>
      </w:pPr>
      <w:r>
        <w:rPr>
          <w:rFonts w:ascii="Times New Roman"/>
          <w:b w:val="false"/>
          <w:i w:val="false"/>
          <w:color w:val="000000"/>
          <w:sz w:val="28"/>
        </w:rPr>
        <w:t xml:space="preserve">
      Суммарная поправка </w:t>
      </w:r>
    </w:p>
    <w:bookmarkEnd w:id="4864"/>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М</w:t>
      </w:r>
      <w:r>
        <w:rPr>
          <w:rFonts w:ascii="Times New Roman"/>
          <w:b w:val="false"/>
          <w:i w:val="false"/>
          <w:color w:val="000000"/>
          <w:vertAlign w:val="subscript"/>
        </w:rPr>
        <w:t>15</w:t>
      </w:r>
      <w:r>
        <w:rPr>
          <w:rFonts w:ascii="Times New Roman"/>
          <w:b w:val="false"/>
          <w:i w:val="false"/>
          <w:color w:val="000000"/>
          <w:sz w:val="28"/>
        </w:rPr>
        <w:t xml:space="preserve"> для цистерн, которые не включаются в расчет, не превышает 0,05</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 В противном случае соответствующие поправки учитываются в расчете.</w:t>
      </w:r>
      <w:r>
        <w:br/>
      </w:r>
      <w:r>
        <w:rPr>
          <w:rFonts w:ascii="Times New Roman"/>
          <w:b w:val="false"/>
          <w:i w:val="false"/>
          <w:color w:val="000000"/>
          <w:sz w:val="28"/>
        </w:rPr>
        <w:t>
</w:t>
      </w:r>
    </w:p>
    <w:bookmarkStart w:name="z4872" w:id="4865"/>
    <w:p>
      <w:pPr>
        <w:spacing w:after="0"/>
        <w:ind w:left="0"/>
        <w:jc w:val="both"/>
      </w:pPr>
      <w:r>
        <w:rPr>
          <w:rFonts w:ascii="Times New Roman"/>
          <w:b w:val="false"/>
          <w:i w:val="false"/>
          <w:color w:val="000000"/>
          <w:sz w:val="28"/>
        </w:rPr>
        <w:t>
      Обычные остатки жидкостей в опорожненных цистернах в расчетах не учитываются при условии, что общее количество таких остатков не повлечет за собой значительного увеличения влияния свободных поверхностей на остойчивость судна.</w:t>
      </w:r>
    </w:p>
    <w:bookmarkEnd w:id="4865"/>
    <w:bookmarkStart w:name="z4873" w:id="4866"/>
    <w:p>
      <w:pPr>
        <w:spacing w:after="0"/>
        <w:ind w:left="0"/>
        <w:jc w:val="left"/>
      </w:pPr>
      <w:r>
        <w:rPr>
          <w:rFonts w:ascii="Times New Roman"/>
          <w:b/>
          <w:i w:val="false"/>
          <w:color w:val="000000"/>
        </w:rPr>
        <w:t xml:space="preserve"> Параграф 6. Состояние нагрузки</w:t>
      </w:r>
    </w:p>
    <w:bookmarkEnd w:id="4866"/>
    <w:bookmarkStart w:name="z4874" w:id="4867"/>
    <w:p>
      <w:pPr>
        <w:spacing w:after="0"/>
        <w:ind w:left="0"/>
        <w:jc w:val="both"/>
      </w:pPr>
      <w:r>
        <w:rPr>
          <w:rFonts w:ascii="Times New Roman"/>
          <w:b w:val="false"/>
          <w:i w:val="false"/>
          <w:color w:val="000000"/>
          <w:sz w:val="28"/>
        </w:rPr>
        <w:t>
      1516. Остойчивость проверяется при всех вариантах нагрузки, указанных для отдельных типов судов в подразделах 3 и 4 раздела 6 настоящих Правил.</w:t>
      </w:r>
    </w:p>
    <w:bookmarkEnd w:id="4867"/>
    <w:bookmarkStart w:name="z4875" w:id="4868"/>
    <w:p>
      <w:pPr>
        <w:spacing w:after="0"/>
        <w:ind w:left="0"/>
        <w:jc w:val="both"/>
      </w:pPr>
      <w:r>
        <w:rPr>
          <w:rFonts w:ascii="Times New Roman"/>
          <w:b w:val="false"/>
          <w:i w:val="false"/>
          <w:color w:val="000000"/>
          <w:sz w:val="28"/>
        </w:rPr>
        <w:t>
      1517. Для судов тех типов, по которым в подразделе 3 раздела 6 настоящих Правил отсутствуют специальные указания, в число вариантов нагрузки, подлежащих проверке, включают следующие:</w:t>
      </w:r>
    </w:p>
    <w:bookmarkEnd w:id="4868"/>
    <w:bookmarkStart w:name="z4876" w:id="4869"/>
    <w:p>
      <w:pPr>
        <w:spacing w:after="0"/>
        <w:ind w:left="0"/>
        <w:jc w:val="both"/>
      </w:pPr>
      <w:r>
        <w:rPr>
          <w:rFonts w:ascii="Times New Roman"/>
          <w:b w:val="false"/>
          <w:i w:val="false"/>
          <w:color w:val="000000"/>
          <w:sz w:val="28"/>
        </w:rPr>
        <w:t>
      1) судно с полным грузом, с полными запасами;</w:t>
      </w:r>
    </w:p>
    <w:bookmarkEnd w:id="4869"/>
    <w:bookmarkStart w:name="z4877" w:id="4870"/>
    <w:p>
      <w:pPr>
        <w:spacing w:after="0"/>
        <w:ind w:left="0"/>
        <w:jc w:val="both"/>
      </w:pPr>
      <w:r>
        <w:rPr>
          <w:rFonts w:ascii="Times New Roman"/>
          <w:b w:val="false"/>
          <w:i w:val="false"/>
          <w:color w:val="000000"/>
          <w:sz w:val="28"/>
        </w:rPr>
        <w:t>
      2) судно с полным грузом, с 10 % запасов;</w:t>
      </w:r>
    </w:p>
    <w:bookmarkEnd w:id="4870"/>
    <w:bookmarkStart w:name="z4878" w:id="4871"/>
    <w:p>
      <w:pPr>
        <w:spacing w:after="0"/>
        <w:ind w:left="0"/>
        <w:jc w:val="both"/>
      </w:pPr>
      <w:r>
        <w:rPr>
          <w:rFonts w:ascii="Times New Roman"/>
          <w:b w:val="false"/>
          <w:i w:val="false"/>
          <w:color w:val="000000"/>
          <w:sz w:val="28"/>
        </w:rPr>
        <w:t>
      3) судно без груза, с полными запасами;</w:t>
      </w:r>
    </w:p>
    <w:bookmarkEnd w:id="4871"/>
    <w:bookmarkStart w:name="z4879" w:id="4872"/>
    <w:p>
      <w:pPr>
        <w:spacing w:after="0"/>
        <w:ind w:left="0"/>
        <w:jc w:val="both"/>
      </w:pPr>
      <w:r>
        <w:rPr>
          <w:rFonts w:ascii="Times New Roman"/>
          <w:b w:val="false"/>
          <w:i w:val="false"/>
          <w:color w:val="000000"/>
          <w:sz w:val="28"/>
        </w:rPr>
        <w:t>
      4) судно без груза, с 10 % запасов.</w:t>
      </w:r>
    </w:p>
    <w:bookmarkEnd w:id="4872"/>
    <w:bookmarkStart w:name="z4880" w:id="4873"/>
    <w:p>
      <w:pPr>
        <w:spacing w:after="0"/>
        <w:ind w:left="0"/>
        <w:jc w:val="both"/>
      </w:pPr>
      <w:r>
        <w:rPr>
          <w:rFonts w:ascii="Times New Roman"/>
          <w:b w:val="false"/>
          <w:i w:val="false"/>
          <w:color w:val="000000"/>
          <w:sz w:val="28"/>
        </w:rPr>
        <w:t>
      1518. Если в процессе нормальной эксплуатации судна предусматриваются худшие, в отношении остойчивости, варианты нагрузки по сравнению с перечисленными в пункте 1517 настоящих Правил, либо указанными в подразделе 3 раздела 6 настоящих Правил, то для них также проверяют остойчивость.</w:t>
      </w:r>
    </w:p>
    <w:bookmarkEnd w:id="4873"/>
    <w:bookmarkStart w:name="z4881" w:id="4874"/>
    <w:p>
      <w:pPr>
        <w:spacing w:after="0"/>
        <w:ind w:left="0"/>
        <w:jc w:val="both"/>
      </w:pPr>
      <w:r>
        <w:rPr>
          <w:rFonts w:ascii="Times New Roman"/>
          <w:b w:val="false"/>
          <w:i w:val="false"/>
          <w:color w:val="000000"/>
          <w:sz w:val="28"/>
        </w:rPr>
        <w:t>
      1519. При наличии на судне твердого балласта его масса включается в состав нагрузки "судно порожнем".</w:t>
      </w:r>
    </w:p>
    <w:bookmarkEnd w:id="4874"/>
    <w:bookmarkStart w:name="z4882" w:id="4875"/>
    <w:p>
      <w:pPr>
        <w:spacing w:after="0"/>
        <w:ind w:left="0"/>
        <w:jc w:val="both"/>
      </w:pPr>
      <w:r>
        <w:rPr>
          <w:rFonts w:ascii="Times New Roman"/>
          <w:b w:val="false"/>
          <w:i w:val="false"/>
          <w:color w:val="000000"/>
          <w:sz w:val="28"/>
        </w:rPr>
        <w:t>
      1520. При всех вариантах нагрузки, возможных в эксплуатации судна, за исключением указанных в подпункте 1) пункта 1517 настоящих Правил и особо оговариваемых в подразделе 3 раздела 6 настоящих Правил, допускается, если необходимо, включать в состав нагрузки водяной балласт.</w:t>
      </w:r>
    </w:p>
    <w:bookmarkEnd w:id="4875"/>
    <w:bookmarkStart w:name="z4883" w:id="4876"/>
    <w:p>
      <w:pPr>
        <w:spacing w:after="0"/>
        <w:ind w:left="0"/>
        <w:jc w:val="left"/>
      </w:pPr>
      <w:r>
        <w:rPr>
          <w:rFonts w:ascii="Times New Roman"/>
          <w:b/>
          <w:i w:val="false"/>
          <w:color w:val="000000"/>
        </w:rPr>
        <w:t xml:space="preserve"> Параграф 7. Диаграммы остойчивости</w:t>
      </w:r>
    </w:p>
    <w:bookmarkEnd w:id="4876"/>
    <w:bookmarkStart w:name="z4884" w:id="4877"/>
    <w:p>
      <w:pPr>
        <w:spacing w:after="0"/>
        <w:ind w:left="0"/>
        <w:jc w:val="both"/>
      </w:pPr>
      <w:r>
        <w:rPr>
          <w:rFonts w:ascii="Times New Roman"/>
          <w:b w:val="false"/>
          <w:i w:val="false"/>
          <w:color w:val="000000"/>
          <w:sz w:val="28"/>
        </w:rPr>
        <w:t>
      1521. Для всех рассматриваемых вариантов нагрузки строят диаграммы остойчивости, рассчитанные с учетом поправок на влияние свободных поверхностей жидких грузов.</w:t>
      </w:r>
    </w:p>
    <w:bookmarkEnd w:id="4877"/>
    <w:bookmarkStart w:name="z4885" w:id="4878"/>
    <w:p>
      <w:pPr>
        <w:spacing w:after="0"/>
        <w:ind w:left="0"/>
        <w:jc w:val="both"/>
      </w:pPr>
      <w:r>
        <w:rPr>
          <w:rFonts w:ascii="Times New Roman"/>
          <w:b w:val="false"/>
          <w:i w:val="false"/>
          <w:color w:val="000000"/>
          <w:sz w:val="28"/>
        </w:rPr>
        <w:t>
      1522. При наличии отверстий, считающихся открытыми, в борту, верхней палубе или в надстройках судна, через которые вода попадает внутрь корпуса, диаграммы остойчивости считаются действительными до угла заливания. При накренениях судна, превышающих угол заливания, судно следует считать полностью утратившим остойчивость, и диаграммы остойчивости при этом угле обрываются.</w:t>
      </w:r>
    </w:p>
    <w:bookmarkEnd w:id="4878"/>
    <w:bookmarkStart w:name="z4886" w:id="4879"/>
    <w:p>
      <w:pPr>
        <w:spacing w:after="0"/>
        <w:ind w:left="0"/>
        <w:jc w:val="both"/>
      </w:pPr>
      <w:r>
        <w:rPr>
          <w:rFonts w:ascii="Times New Roman"/>
          <w:b w:val="false"/>
          <w:i w:val="false"/>
          <w:color w:val="000000"/>
          <w:sz w:val="28"/>
        </w:rPr>
        <w:t>
      1523. Если распространение воды, поступающей в надстройку через отверстия, считающиеся открытыми, ограничивается лишь данной надстройкой или частью ее, такая надстройка или часть ее при углах крена, превышающих угол заливания, рассматривается как несуществующая. Диаграмма статической остойчивости при этом получает уступ, а диаграмма динамической остойчивости — излом.</w:t>
      </w:r>
    </w:p>
    <w:bookmarkEnd w:id="4879"/>
    <w:bookmarkStart w:name="z4887" w:id="4880"/>
    <w:p>
      <w:pPr>
        <w:spacing w:after="0"/>
        <w:ind w:left="0"/>
        <w:jc w:val="left"/>
      </w:pPr>
      <w:r>
        <w:rPr>
          <w:rFonts w:ascii="Times New Roman"/>
          <w:b/>
          <w:i w:val="false"/>
          <w:color w:val="000000"/>
        </w:rPr>
        <w:t xml:space="preserve"> Параграф 8. Расчетные материалы, связанные с проверкой</w:t>
      </w:r>
      <w:r>
        <w:br/>
      </w:r>
      <w:r>
        <w:rPr>
          <w:rFonts w:ascii="Times New Roman"/>
          <w:b/>
          <w:i w:val="false"/>
          <w:color w:val="000000"/>
        </w:rPr>
        <w:t>остойчивости, и сводные таблицы</w:t>
      </w:r>
    </w:p>
    <w:bookmarkEnd w:id="4880"/>
    <w:bookmarkStart w:name="z4888" w:id="4881"/>
    <w:p>
      <w:pPr>
        <w:spacing w:after="0"/>
        <w:ind w:left="0"/>
        <w:jc w:val="both"/>
      </w:pPr>
      <w:r>
        <w:rPr>
          <w:rFonts w:ascii="Times New Roman"/>
          <w:b w:val="false"/>
          <w:i w:val="false"/>
          <w:color w:val="000000"/>
          <w:sz w:val="28"/>
        </w:rPr>
        <w:t>
      1524. Для обследуемых судов представляют на рассмотрение Регистру судоходства все расчетные материалы, связанные с проверкой остойчивости (расчет нагрузки, начальной остойчивости, диаграмм остойчивости, парусности, амплитуд качки, крена от скопления пассажиров на одном борту, крена на циркуляции, обледенения)</w:t>
      </w:r>
    </w:p>
    <w:bookmarkEnd w:id="4881"/>
    <w:bookmarkStart w:name="z4889" w:id="4882"/>
    <w:p>
      <w:pPr>
        <w:spacing w:after="0"/>
        <w:ind w:left="0"/>
        <w:jc w:val="both"/>
      </w:pPr>
      <w:r>
        <w:rPr>
          <w:rFonts w:ascii="Times New Roman"/>
          <w:b w:val="false"/>
          <w:i w:val="false"/>
          <w:color w:val="000000"/>
          <w:sz w:val="28"/>
        </w:rPr>
        <w:t>
      1525. Для всех расчетных вариантов нагрузки составляют сводные таблицы результатов расчета водоизмещения, положения центра тяжести, начальной остойчивости и дифферента, а также сводные таблицы результатов проверки остойчивости на соответствие требованиям настоящей части Правил.</w:t>
      </w:r>
    </w:p>
    <w:bookmarkEnd w:id="4882"/>
    <w:bookmarkStart w:name="z4890" w:id="4883"/>
    <w:p>
      <w:pPr>
        <w:spacing w:after="0"/>
        <w:ind w:left="0"/>
        <w:jc w:val="left"/>
      </w:pPr>
      <w:r>
        <w:rPr>
          <w:rFonts w:ascii="Times New Roman"/>
          <w:b/>
          <w:i w:val="false"/>
          <w:color w:val="000000"/>
        </w:rPr>
        <w:t xml:space="preserve"> Параграф 9. Требования к информации об остойчивости</w:t>
      </w:r>
    </w:p>
    <w:bookmarkEnd w:id="4883"/>
    <w:bookmarkStart w:name="z4891" w:id="4884"/>
    <w:p>
      <w:pPr>
        <w:spacing w:after="0"/>
        <w:ind w:left="0"/>
        <w:jc w:val="both"/>
      </w:pPr>
      <w:r>
        <w:rPr>
          <w:rFonts w:ascii="Times New Roman"/>
          <w:b w:val="false"/>
          <w:i w:val="false"/>
          <w:color w:val="000000"/>
          <w:sz w:val="28"/>
        </w:rPr>
        <w:t>
      1526. Для обеспечения остойчивости судна в эксплуатации на каждое судно выдается одобренная Регистром судоходства Информация об остойчивости, содержащая следующие сведения:</w:t>
      </w:r>
    </w:p>
    <w:bookmarkEnd w:id="4884"/>
    <w:bookmarkStart w:name="z4892" w:id="4885"/>
    <w:p>
      <w:pPr>
        <w:spacing w:after="0"/>
        <w:ind w:left="0"/>
        <w:jc w:val="both"/>
      </w:pPr>
      <w:r>
        <w:rPr>
          <w:rFonts w:ascii="Times New Roman"/>
          <w:b w:val="false"/>
          <w:i w:val="false"/>
          <w:color w:val="000000"/>
          <w:sz w:val="28"/>
        </w:rPr>
        <w:t>
      1) общие данные по судну;</w:t>
      </w:r>
    </w:p>
    <w:bookmarkEnd w:id="4885"/>
    <w:bookmarkStart w:name="z4893" w:id="4886"/>
    <w:p>
      <w:pPr>
        <w:spacing w:after="0"/>
        <w:ind w:left="0"/>
        <w:jc w:val="both"/>
      </w:pPr>
      <w:r>
        <w:rPr>
          <w:rFonts w:ascii="Times New Roman"/>
          <w:b w:val="false"/>
          <w:i w:val="false"/>
          <w:color w:val="000000"/>
          <w:sz w:val="28"/>
        </w:rPr>
        <w:t>
      2) характеристика выполнения судном критериев остойчивости и указания относительно безопасности судна против опрокидывания, вытекающие из выполнения требований Регистра судоходства к остойчивости;</w:t>
      </w:r>
    </w:p>
    <w:bookmarkEnd w:id="4886"/>
    <w:bookmarkStart w:name="z4894" w:id="4887"/>
    <w:p>
      <w:pPr>
        <w:spacing w:after="0"/>
        <w:ind w:left="0"/>
        <w:jc w:val="both"/>
      </w:pPr>
      <w:r>
        <w:rPr>
          <w:rFonts w:ascii="Times New Roman"/>
          <w:b w:val="false"/>
          <w:i w:val="false"/>
          <w:color w:val="000000"/>
          <w:sz w:val="28"/>
        </w:rPr>
        <w:t>
      3) рекомендации по поддержанию остойчивости судна и другие указания по безопасной эксплуатации;</w:t>
      </w:r>
    </w:p>
    <w:bookmarkEnd w:id="4887"/>
    <w:bookmarkStart w:name="z4895" w:id="4888"/>
    <w:p>
      <w:pPr>
        <w:spacing w:after="0"/>
        <w:ind w:left="0"/>
        <w:jc w:val="both"/>
      </w:pPr>
      <w:r>
        <w:rPr>
          <w:rFonts w:ascii="Times New Roman"/>
          <w:b w:val="false"/>
          <w:i w:val="false"/>
          <w:color w:val="000000"/>
          <w:sz w:val="28"/>
        </w:rPr>
        <w:t>
      4) данные об остойчивости по типовым, предусмотренным заранее случаям загрузки;</w:t>
      </w:r>
    </w:p>
    <w:bookmarkEnd w:id="4888"/>
    <w:bookmarkStart w:name="z4896" w:id="4889"/>
    <w:p>
      <w:pPr>
        <w:spacing w:after="0"/>
        <w:ind w:left="0"/>
        <w:jc w:val="both"/>
      </w:pPr>
      <w:r>
        <w:rPr>
          <w:rFonts w:ascii="Times New Roman"/>
          <w:b w:val="false"/>
          <w:i w:val="false"/>
          <w:color w:val="000000"/>
          <w:sz w:val="28"/>
        </w:rPr>
        <w:t>
      5) указания и материалы, необходимые для определения посадки и остойчивости судна для любого эксплуатационного случая полной и частичной загрузки судна.</w:t>
      </w:r>
    </w:p>
    <w:bookmarkEnd w:id="4889"/>
    <w:bookmarkStart w:name="z4897" w:id="4890"/>
    <w:p>
      <w:pPr>
        <w:spacing w:after="0"/>
        <w:ind w:left="0"/>
        <w:jc w:val="both"/>
      </w:pPr>
      <w:r>
        <w:rPr>
          <w:rFonts w:ascii="Times New Roman"/>
          <w:b w:val="false"/>
          <w:i w:val="false"/>
          <w:color w:val="000000"/>
          <w:sz w:val="28"/>
        </w:rPr>
        <w:t>
      Определение посадки и остойчивости судна всегда производится расчетным путем.</w:t>
      </w:r>
    </w:p>
    <w:bookmarkEnd w:id="4890"/>
    <w:bookmarkStart w:name="z4898" w:id="4891"/>
    <w:p>
      <w:pPr>
        <w:spacing w:after="0"/>
        <w:ind w:left="0"/>
        <w:jc w:val="both"/>
      </w:pPr>
      <w:r>
        <w:rPr>
          <w:rFonts w:ascii="Times New Roman"/>
          <w:b w:val="false"/>
          <w:i w:val="false"/>
          <w:color w:val="000000"/>
          <w:sz w:val="28"/>
        </w:rPr>
        <w:t>
      Информация об остойчивости составляется строго в соответствии с указаниями приложения 226 к настоящим Правилам.</w:t>
      </w:r>
    </w:p>
    <w:bookmarkEnd w:id="4891"/>
    <w:bookmarkStart w:name="z4899" w:id="4892"/>
    <w:p>
      <w:pPr>
        <w:spacing w:after="0"/>
        <w:ind w:left="0"/>
        <w:jc w:val="both"/>
      </w:pPr>
      <w:r>
        <w:rPr>
          <w:rFonts w:ascii="Times New Roman"/>
          <w:b w:val="false"/>
          <w:i w:val="false"/>
          <w:color w:val="000000"/>
          <w:sz w:val="28"/>
        </w:rPr>
        <w:t>
      1527. Информация об остойчивости составляется по материалам кренования судна.</w:t>
      </w:r>
    </w:p>
    <w:bookmarkEnd w:id="4892"/>
    <w:bookmarkStart w:name="z4900" w:id="4893"/>
    <w:p>
      <w:pPr>
        <w:spacing w:after="0"/>
        <w:ind w:left="0"/>
        <w:jc w:val="both"/>
      </w:pPr>
      <w:r>
        <w:rPr>
          <w:rFonts w:ascii="Times New Roman"/>
          <w:b w:val="false"/>
          <w:i w:val="false"/>
          <w:color w:val="000000"/>
          <w:sz w:val="28"/>
        </w:rPr>
        <w:t>
      Для судов, для которых в соответствии с подпунктом 1) пункта 1532 настоящих Правил разрешено заменить опыт кренования опытом взвешивания, в Информации используются данные по водоизмещению и абсциссе центра тяжести судна порожнем, полученные по результатам взвешивания, а величина аппликаты центра тяжести судна порожнем принимается по материалам кренования.</w:t>
      </w:r>
    </w:p>
    <w:bookmarkEnd w:id="4893"/>
    <w:bookmarkStart w:name="z4901" w:id="4894"/>
    <w:p>
      <w:pPr>
        <w:spacing w:after="0"/>
        <w:ind w:left="0"/>
        <w:jc w:val="both"/>
      </w:pPr>
      <w:r>
        <w:rPr>
          <w:rFonts w:ascii="Times New Roman"/>
          <w:b w:val="false"/>
          <w:i w:val="false"/>
          <w:color w:val="000000"/>
          <w:sz w:val="28"/>
        </w:rPr>
        <w:t>
      Для судов, у которых изменения характеристик веса порожнем находятся в пределах, указанных в подпункте 2) пункта 1532 настоящих Правил, в Информации используются данные по водоизмещению и абсциссе центра тяжести судна порожнем, полученные по результатам взвешивания, а величина аппликаты центра тяжести судна порожнем принимается наибольшей из определенной по опыту кренования головного судна (предыдущего судна серии) и расчетной аппликатой.</w:t>
      </w:r>
    </w:p>
    <w:bookmarkEnd w:id="4894"/>
    <w:bookmarkStart w:name="z4902" w:id="4895"/>
    <w:p>
      <w:pPr>
        <w:spacing w:after="0"/>
        <w:ind w:left="0"/>
        <w:jc w:val="both"/>
      </w:pPr>
      <w:r>
        <w:rPr>
          <w:rFonts w:ascii="Times New Roman"/>
          <w:b w:val="false"/>
          <w:i w:val="false"/>
          <w:color w:val="000000"/>
          <w:sz w:val="28"/>
        </w:rPr>
        <w:t>
      Для судов, у которых изменения характеристик веса порожнем находятся в пределах, приведенных в пункте 1537 настоящих Правил, в Информации используются данные по водоизмещению и абсциссе центра тяжести судна порожнем, полученные по результатам взвешивания, а величина аппликаты центра тяжести судна порожнем принимается наибольшей из определенной по опыту кренования судна до переоборудования и расчетной аппликатой после переоборудования.</w:t>
      </w:r>
    </w:p>
    <w:bookmarkEnd w:id="4895"/>
    <w:bookmarkStart w:name="z4903" w:id="4896"/>
    <w:p>
      <w:pPr>
        <w:spacing w:after="0"/>
        <w:ind w:left="0"/>
        <w:jc w:val="both"/>
      </w:pPr>
      <w:r>
        <w:rPr>
          <w:rFonts w:ascii="Times New Roman"/>
          <w:b w:val="false"/>
          <w:i w:val="false"/>
          <w:color w:val="000000"/>
          <w:sz w:val="28"/>
        </w:rPr>
        <w:t>
      Для судов, которые освобождены от кренования согласно пункту 1537 настоящих Правил, в Информации об остойчивости используются водоизмещение и абсцисса центра тяжести судна порожнем, определенные по результатам опыта взвешивания, а аппликата центра тяжести судна порожнем определяется согласно пункту 1537 настоящих Правил. Одновременно в Информации указывается, что вместо кренования судно подвергалось взвешиванию, и аппликата центра тяжести судна порожнем вычислена согласно пункту 1537 настоящих Правил.</w:t>
      </w:r>
    </w:p>
    <w:bookmarkEnd w:id="4896"/>
    <w:bookmarkStart w:name="z4904" w:id="4897"/>
    <w:p>
      <w:pPr>
        <w:spacing w:after="0"/>
        <w:ind w:left="0"/>
        <w:jc w:val="both"/>
      </w:pPr>
      <w:r>
        <w:rPr>
          <w:rFonts w:ascii="Times New Roman"/>
          <w:b w:val="false"/>
          <w:i w:val="false"/>
          <w:color w:val="000000"/>
          <w:sz w:val="28"/>
        </w:rPr>
        <w:t>
      1528. При перевозке незерновых навалочных грузов судно снабжают отдельной Информацией об остойчивости и прочности судна при перевозке незерновых навалочных грузов, разработанной в соответствии с пунктом 218 настоящих Правил.</w:t>
      </w:r>
    </w:p>
    <w:bookmarkEnd w:id="4897"/>
    <w:bookmarkStart w:name="z4905" w:id="4898"/>
    <w:p>
      <w:pPr>
        <w:spacing w:after="0"/>
        <w:ind w:left="0"/>
        <w:jc w:val="left"/>
      </w:pPr>
      <w:r>
        <w:rPr>
          <w:rFonts w:ascii="Times New Roman"/>
          <w:b/>
          <w:i w:val="false"/>
          <w:color w:val="000000"/>
        </w:rPr>
        <w:t xml:space="preserve"> Параграф 10. Требования к прибору контроля остойчивости</w:t>
      </w:r>
      <w:r>
        <w:br/>
      </w:r>
      <w:r>
        <w:rPr>
          <w:rFonts w:ascii="Times New Roman"/>
          <w:b/>
          <w:i w:val="false"/>
          <w:color w:val="000000"/>
        </w:rPr>
        <w:t>и руководству по безопасной замене балласта в море</w:t>
      </w:r>
    </w:p>
    <w:bookmarkEnd w:id="4898"/>
    <w:bookmarkStart w:name="z4906" w:id="4899"/>
    <w:p>
      <w:pPr>
        <w:spacing w:after="0"/>
        <w:ind w:left="0"/>
        <w:jc w:val="both"/>
      </w:pPr>
      <w:r>
        <w:rPr>
          <w:rFonts w:ascii="Times New Roman"/>
          <w:b w:val="false"/>
          <w:i w:val="false"/>
          <w:color w:val="000000"/>
          <w:sz w:val="28"/>
        </w:rPr>
        <w:t>
      1529. Если для определения посадки и остойчивости на судне применяются компьютерные программы, то они подлежат одобрению Регистром судоходства. Требования, относящиеся к аппаратному обеспечению, приведены в настоящих Правилах.</w:t>
      </w:r>
    </w:p>
    <w:bookmarkEnd w:id="4899"/>
    <w:bookmarkStart w:name="z4907" w:id="4900"/>
    <w:p>
      <w:pPr>
        <w:spacing w:after="0"/>
        <w:ind w:left="0"/>
        <w:jc w:val="both"/>
      </w:pPr>
      <w:r>
        <w:rPr>
          <w:rFonts w:ascii="Times New Roman"/>
          <w:b w:val="false"/>
          <w:i w:val="false"/>
          <w:color w:val="000000"/>
          <w:sz w:val="28"/>
        </w:rPr>
        <w:t>
      Наличие на судне одобренного Регистром судоходства программного обеспечения для контроля остойчивости и посадки судна не является основанием для исключения какого-либо раздела Информации об остойчивости.</w:t>
      </w:r>
    </w:p>
    <w:bookmarkEnd w:id="4900"/>
    <w:bookmarkStart w:name="z4908" w:id="4901"/>
    <w:p>
      <w:pPr>
        <w:spacing w:after="0"/>
        <w:ind w:left="0"/>
        <w:jc w:val="both"/>
      </w:pPr>
      <w:r>
        <w:rPr>
          <w:rFonts w:ascii="Times New Roman"/>
          <w:b w:val="false"/>
          <w:i w:val="false"/>
          <w:color w:val="000000"/>
          <w:sz w:val="28"/>
        </w:rPr>
        <w:t>
      Порядок использования программного обеспечения оговаривается в Руководстве для пользователя прибором контроля остойчивости. Руководство составляется на языке пользователя. При этом в Руководстве указывается, что исправность прибора контроля остойчивости перед его использованием контролируется судовым персоналом.</w:t>
      </w:r>
    </w:p>
    <w:bookmarkEnd w:id="4901"/>
    <w:bookmarkStart w:name="z4909" w:id="4902"/>
    <w:p>
      <w:pPr>
        <w:spacing w:after="0"/>
        <w:ind w:left="0"/>
        <w:jc w:val="both"/>
      </w:pPr>
      <w:r>
        <w:rPr>
          <w:rFonts w:ascii="Times New Roman"/>
          <w:b w:val="false"/>
          <w:i w:val="false"/>
          <w:color w:val="000000"/>
          <w:sz w:val="28"/>
        </w:rPr>
        <w:t>
      1530. Если эксплуатирующиеся суда посещают порты, перед заходом в которые требуется замена водяного балласта в море, то необходимо чтобы они были снабжены Руководством по безопасной замене балласта в море.</w:t>
      </w:r>
    </w:p>
    <w:bookmarkEnd w:id="4902"/>
    <w:bookmarkStart w:name="z4910" w:id="4903"/>
    <w:p>
      <w:pPr>
        <w:spacing w:after="0"/>
        <w:ind w:left="0"/>
        <w:jc w:val="left"/>
      </w:pPr>
      <w:r>
        <w:rPr>
          <w:rFonts w:ascii="Times New Roman"/>
          <w:b/>
          <w:i w:val="false"/>
          <w:color w:val="000000"/>
        </w:rPr>
        <w:t xml:space="preserve"> Глава 92. Опыты кренования и взвешивания</w:t>
      </w:r>
    </w:p>
    <w:bookmarkEnd w:id="4903"/>
    <w:p>
      <w:pPr>
        <w:spacing w:after="0"/>
        <w:ind w:left="0"/>
        <w:jc w:val="both"/>
      </w:pPr>
      <w:r>
        <w:rPr>
          <w:rFonts w:ascii="Times New Roman"/>
          <w:b w:val="false"/>
          <w:i w:val="false"/>
          <w:color w:val="ff0000"/>
          <w:sz w:val="28"/>
        </w:rPr>
        <w:t xml:space="preserve">
      Сноска. Заголовок главы 92 -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11" w:id="4904"/>
    <w:p>
      <w:pPr>
        <w:spacing w:after="0"/>
        <w:ind w:left="0"/>
        <w:jc w:val="both"/>
      </w:pPr>
      <w:r>
        <w:rPr>
          <w:rFonts w:ascii="Times New Roman"/>
          <w:b w:val="false"/>
          <w:i w:val="false"/>
          <w:color w:val="000000"/>
          <w:sz w:val="28"/>
        </w:rPr>
        <w:t>
      1531. Кренованию подвергаются:</w:t>
      </w:r>
    </w:p>
    <w:bookmarkEnd w:id="4904"/>
    <w:bookmarkStart w:name="z4912" w:id="4905"/>
    <w:p>
      <w:pPr>
        <w:spacing w:after="0"/>
        <w:ind w:left="0"/>
        <w:jc w:val="both"/>
      </w:pPr>
      <w:r>
        <w:rPr>
          <w:rFonts w:ascii="Times New Roman"/>
          <w:b w:val="false"/>
          <w:i w:val="false"/>
          <w:color w:val="000000"/>
          <w:sz w:val="28"/>
        </w:rPr>
        <w:t>
      1) суда серийной постройки согласно пункту 1532 настоящих Правил;</w:t>
      </w:r>
    </w:p>
    <w:bookmarkEnd w:id="4905"/>
    <w:bookmarkStart w:name="z4913" w:id="4906"/>
    <w:p>
      <w:pPr>
        <w:spacing w:after="0"/>
        <w:ind w:left="0"/>
        <w:jc w:val="both"/>
      </w:pPr>
      <w:r>
        <w:rPr>
          <w:rFonts w:ascii="Times New Roman"/>
          <w:b w:val="false"/>
          <w:i w:val="false"/>
          <w:color w:val="000000"/>
          <w:sz w:val="28"/>
        </w:rPr>
        <w:t>
      2) каждое судно несерийной постройки;</w:t>
      </w:r>
    </w:p>
    <w:bookmarkEnd w:id="4906"/>
    <w:bookmarkStart w:name="z4914" w:id="4907"/>
    <w:p>
      <w:pPr>
        <w:spacing w:after="0"/>
        <w:ind w:left="0"/>
        <w:jc w:val="both"/>
      </w:pPr>
      <w:r>
        <w:rPr>
          <w:rFonts w:ascii="Times New Roman"/>
          <w:b w:val="false"/>
          <w:i w:val="false"/>
          <w:color w:val="000000"/>
          <w:sz w:val="28"/>
        </w:rPr>
        <w:t>
      3) каждое судно после восстановительного ремонта;</w:t>
      </w:r>
    </w:p>
    <w:bookmarkEnd w:id="4907"/>
    <w:bookmarkStart w:name="z4915" w:id="4908"/>
    <w:p>
      <w:pPr>
        <w:spacing w:after="0"/>
        <w:ind w:left="0"/>
        <w:jc w:val="both"/>
      </w:pPr>
      <w:r>
        <w:rPr>
          <w:rFonts w:ascii="Times New Roman"/>
          <w:b w:val="false"/>
          <w:i w:val="false"/>
          <w:color w:val="000000"/>
          <w:sz w:val="28"/>
        </w:rPr>
        <w:t>
      4) суда после значительного ремонта, переоборудования или модернизации согласно пункту 1533 настоящих Правил;</w:t>
      </w:r>
    </w:p>
    <w:bookmarkEnd w:id="4908"/>
    <w:bookmarkStart w:name="z4916" w:id="4909"/>
    <w:p>
      <w:pPr>
        <w:spacing w:after="0"/>
        <w:ind w:left="0"/>
        <w:jc w:val="both"/>
      </w:pPr>
      <w:r>
        <w:rPr>
          <w:rFonts w:ascii="Times New Roman"/>
          <w:b w:val="false"/>
          <w:i w:val="false"/>
          <w:color w:val="000000"/>
          <w:sz w:val="28"/>
        </w:rPr>
        <w:t>
      5) суда после укладки постоянного твердого балласта согласно пункту 1734 настоящих Правил;</w:t>
      </w:r>
    </w:p>
    <w:bookmarkEnd w:id="4909"/>
    <w:bookmarkStart w:name="z4917" w:id="4910"/>
    <w:p>
      <w:pPr>
        <w:spacing w:after="0"/>
        <w:ind w:left="0"/>
        <w:jc w:val="both"/>
      </w:pPr>
      <w:r>
        <w:rPr>
          <w:rFonts w:ascii="Times New Roman"/>
          <w:b w:val="false"/>
          <w:i w:val="false"/>
          <w:color w:val="000000"/>
          <w:sz w:val="28"/>
        </w:rPr>
        <w:t>
      6) суда, остойчивость которых неизвестна или подлежит проверке;</w:t>
      </w:r>
    </w:p>
    <w:bookmarkEnd w:id="4910"/>
    <w:bookmarkStart w:name="z4918" w:id="4911"/>
    <w:p>
      <w:pPr>
        <w:spacing w:after="0"/>
        <w:ind w:left="0"/>
        <w:jc w:val="both"/>
      </w:pPr>
      <w:r>
        <w:rPr>
          <w:rFonts w:ascii="Times New Roman"/>
          <w:b w:val="false"/>
          <w:i w:val="false"/>
          <w:color w:val="000000"/>
          <w:sz w:val="28"/>
        </w:rPr>
        <w:t>
      7) пассажирские суда, находящиеся в эксплуатации, через промежутки времени, не превышающие пяти лет, если это необходимо в соответствии с пунктом 1535 настоящих Правил;</w:t>
      </w:r>
    </w:p>
    <w:bookmarkEnd w:id="4911"/>
    <w:bookmarkStart w:name="z4919" w:id="4912"/>
    <w:p>
      <w:pPr>
        <w:spacing w:after="0"/>
        <w:ind w:left="0"/>
        <w:jc w:val="both"/>
      </w:pPr>
      <w:r>
        <w:rPr>
          <w:rFonts w:ascii="Times New Roman"/>
          <w:b w:val="false"/>
          <w:i w:val="false"/>
          <w:color w:val="000000"/>
          <w:sz w:val="28"/>
        </w:rPr>
        <w:t>
      8) рыболовные суда длиной 30 м и менее, находящиеся в эксплуатации, через промежутки времени не более 15 лет, а также рыболовные суда длиной более 30 м, если это необходимо в соответствии с пунктом 1535 настоящих Правил;</w:t>
      </w:r>
    </w:p>
    <w:bookmarkEnd w:id="4912"/>
    <w:bookmarkStart w:name="z4920" w:id="4913"/>
    <w:p>
      <w:pPr>
        <w:spacing w:after="0"/>
        <w:ind w:left="0"/>
        <w:jc w:val="both"/>
      </w:pPr>
      <w:r>
        <w:rPr>
          <w:rFonts w:ascii="Times New Roman"/>
          <w:b w:val="false"/>
          <w:i w:val="false"/>
          <w:color w:val="000000"/>
          <w:sz w:val="28"/>
        </w:rPr>
        <w:t>
      1532. Из серии судов, строящихся на каждом заводе, кренованию подвергаются:</w:t>
      </w:r>
    </w:p>
    <w:bookmarkEnd w:id="4913"/>
    <w:bookmarkStart w:name="z4921" w:id="4914"/>
    <w:p>
      <w:pPr>
        <w:spacing w:after="0"/>
        <w:ind w:left="0"/>
        <w:jc w:val="both"/>
      </w:pPr>
      <w:r>
        <w:rPr>
          <w:rFonts w:ascii="Times New Roman"/>
          <w:b w:val="false"/>
          <w:i w:val="false"/>
          <w:color w:val="000000"/>
          <w:sz w:val="28"/>
        </w:rPr>
        <w:t>
      1) первое, а затем каждое пятое судно серии (то есть шестое, одиннадцатое). Для остальных судов серии по согласованию с Морской администрацией (по каждому судну) опыт кренования возможно заменить опытом взвешивания в соответствии с пунктом 1544 настоящих Правил.</w:t>
      </w:r>
    </w:p>
    <w:bookmarkEnd w:id="4914"/>
    <w:bookmarkStart w:name="z4922" w:id="4915"/>
    <w:p>
      <w:pPr>
        <w:spacing w:after="0"/>
        <w:ind w:left="0"/>
        <w:jc w:val="both"/>
      </w:pPr>
      <w:r>
        <w:rPr>
          <w:rFonts w:ascii="Times New Roman"/>
          <w:b w:val="false"/>
          <w:i w:val="false"/>
          <w:color w:val="000000"/>
          <w:sz w:val="28"/>
        </w:rPr>
        <w:t>
      В зависимости от сезонных условий во время сдачи судна допускается по согласованию с Регистром судоходства перенос кренования очередного судна на ближайшее судно серии. Начиная с двенадцатого судна серии, Регистр судоходства ограничивается требованием кренования меньшего количества судов, если к удовлетворению Регистра судоходства будет установлено, что при постройке судов серии обеспечивается стабильность их массы и положения центра тяжести в пределах, оговоренных в подпункте 2) пункта 1532 настоящих Правил;</w:t>
      </w:r>
    </w:p>
    <w:bookmarkEnd w:id="4915"/>
    <w:bookmarkStart w:name="z4923" w:id="4916"/>
    <w:p>
      <w:pPr>
        <w:spacing w:after="0"/>
        <w:ind w:left="0"/>
        <w:jc w:val="both"/>
      </w:pPr>
      <w:r>
        <w:rPr>
          <w:rFonts w:ascii="Times New Roman"/>
          <w:b w:val="false"/>
          <w:i w:val="false"/>
          <w:color w:val="000000"/>
          <w:sz w:val="28"/>
        </w:rPr>
        <w:t>
      2) серийное судно, на котором конструктивные изменения по сравнению с первым судном серии по данным расчета вызывают:</w:t>
      </w:r>
    </w:p>
    <w:bookmarkEnd w:id="4916"/>
    <w:bookmarkStart w:name="z4924" w:id="4917"/>
    <w:p>
      <w:pPr>
        <w:spacing w:after="0"/>
        <w:ind w:left="0"/>
        <w:jc w:val="both"/>
      </w:pPr>
      <w:r>
        <w:rPr>
          <w:rFonts w:ascii="Times New Roman"/>
          <w:b w:val="false"/>
          <w:i w:val="false"/>
          <w:color w:val="000000"/>
          <w:sz w:val="28"/>
        </w:rPr>
        <w:t xml:space="preserve">
      изменение водоизмещения судна порожнем длиной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50 м более чем на 2 %, длиной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160 м более чем на 1 %, для промежуточных значений </w:t>
      </w:r>
      <w:r>
        <w:rPr>
          <w:rFonts w:ascii="Times New Roman"/>
          <w:b w:val="false"/>
          <w:i/>
          <w:color w:val="000000"/>
          <w:sz w:val="28"/>
        </w:rPr>
        <w:t>L</w:t>
      </w:r>
      <w:r>
        <w:rPr>
          <w:rFonts w:ascii="Times New Roman"/>
          <w:b w:val="false"/>
          <w:i w:val="false"/>
          <w:color w:val="000000"/>
          <w:sz w:val="28"/>
        </w:rPr>
        <w:t xml:space="preserve"> допускаемая величина отклонения определяются линейной интерполяцией; или</w:t>
      </w:r>
    </w:p>
    <w:bookmarkEnd w:id="4917"/>
    <w:bookmarkStart w:name="z4925" w:id="4918"/>
    <w:p>
      <w:pPr>
        <w:spacing w:after="0"/>
        <w:ind w:left="0"/>
        <w:jc w:val="both"/>
      </w:pPr>
      <w:r>
        <w:rPr>
          <w:rFonts w:ascii="Times New Roman"/>
          <w:b w:val="false"/>
          <w:i w:val="false"/>
          <w:color w:val="000000"/>
          <w:sz w:val="28"/>
        </w:rPr>
        <w:t>
      изменение абсциссы центра тяжести судна порожнем более чем на 0,5 % длины первого судна серии; или</w:t>
      </w:r>
    </w:p>
    <w:bookmarkEnd w:id="4918"/>
    <w:bookmarkStart w:name="z4926" w:id="4919"/>
    <w:p>
      <w:pPr>
        <w:spacing w:after="0"/>
        <w:ind w:left="0"/>
        <w:jc w:val="both"/>
      </w:pPr>
      <w:r>
        <w:rPr>
          <w:rFonts w:ascii="Times New Roman"/>
          <w:b w:val="false"/>
          <w:i w:val="false"/>
          <w:color w:val="000000"/>
          <w:sz w:val="28"/>
        </w:rPr>
        <w:t>
      возрастание аппликаты центра тяжести судна порожнем,  превышающее одновременно 4 см (а для плавучих кранов и крановых судов — 10 см) и величину, вычисленную по формулам:</w:t>
      </w:r>
    </w:p>
    <w:bookmarkEnd w:id="49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g</w:t>
      </w:r>
      <w:r>
        <w:rPr>
          <w:rFonts w:ascii="Times New Roman"/>
          <w:b w:val="false"/>
          <w:i w:val="false"/>
          <w:color w:val="000000"/>
          <w:sz w:val="28"/>
        </w:rPr>
        <w:t xml:space="preserve"> = 0,l</w:t>
      </w:r>
    </w:p>
    <w:p>
      <w:pPr>
        <w:spacing w:after="0"/>
        <w:ind w:left="0"/>
        <w:jc w:val="both"/>
      </w:pPr>
      <w:r>
        <w:drawing>
          <wp:inline distT="0" distB="0" distL="0" distR="0">
            <wp:extent cx="36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368300" cy="6604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(593)</w:t>
      </w:r>
      <w:r>
        <w:br/>
      </w:r>
      <w:r>
        <w:rPr>
          <w:rFonts w:ascii="Times New Roman"/>
          <w:b w:val="false"/>
          <w:i w:val="false"/>
          <w:color w:val="000000"/>
          <w:sz w:val="28"/>
        </w:rPr>
        <w:t>
</w:t>
      </w:r>
      <w:r>
        <w:br/>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z</w:t>
      </w:r>
      <w:r>
        <w:rPr>
          <w:rFonts w:ascii="Times New Roman"/>
          <w:b w:val="false"/>
          <w:i w:val="false"/>
          <w:color w:val="000000"/>
          <w:vertAlign w:val="subscript"/>
        </w:rPr>
        <w:t>g</w:t>
      </w:r>
      <w:r>
        <w:rPr>
          <w:rFonts w:ascii="Times New Roman"/>
          <w:b w:val="false"/>
          <w:i w:val="false"/>
          <w:color w:val="000000"/>
          <w:sz w:val="28"/>
        </w:rPr>
        <w:t xml:space="preserve"> = 0,l</w:t>
      </w:r>
    </w:p>
    <w:p>
      <w:pPr>
        <w:spacing w:after="0"/>
        <w:ind w:left="0"/>
        <w:jc w:val="both"/>
      </w:pPr>
      <w:r>
        <w:drawing>
          <wp:inline distT="0" distB="0" distL="0" distR="0">
            <wp:extent cx="368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368300" cy="6604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sz w:val="28"/>
        </w:rPr>
        <w:t>,                          (594)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зависимости от того, что меньше.</w:t>
      </w:r>
    </w:p>
    <w:p>
      <w:pPr>
        <w:spacing w:after="0"/>
        <w:ind w:left="0"/>
        <w:jc w:val="both"/>
      </w:pPr>
      <w:r>
        <w:rPr>
          <w:rFonts w:ascii="Times New Roman"/>
          <w:b w:val="false"/>
          <w:i w:val="false"/>
          <w:color w:val="000000"/>
          <w:sz w:val="28"/>
        </w:rPr>
        <w:t xml:space="preserve">
      Здесь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0 — водоизмещение судна порожнем, т;</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водоизмещение судна при наихудшем, по величине </w:t>
      </w:r>
      <w:r>
        <w:rPr>
          <w:rFonts w:ascii="Times New Roman"/>
          <w:b w:val="false"/>
          <w:i/>
          <w:color w:val="000000"/>
          <w:sz w:val="28"/>
        </w:rPr>
        <w:t>h</w:t>
      </w:r>
      <w:r>
        <w:rPr>
          <w:rFonts w:ascii="Times New Roman"/>
          <w:b w:val="false"/>
          <w:i w:val="false"/>
          <w:color w:val="000000"/>
          <w:sz w:val="28"/>
        </w:rPr>
        <w:t xml:space="preserve"> или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варианте нагрузки,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 максимальное плечо диаграммы статической остойчивости при наихудшем, по его значению, расчетном варианте нагрузки;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исправленная начальная метацентрическая высота при наихудшем, по ее значению, расчетном варианте нагрузки;</w:t>
      </w:r>
    </w:p>
    <w:p>
      <w:pPr>
        <w:spacing w:after="0"/>
        <w:ind w:left="0"/>
        <w:jc w:val="both"/>
      </w:pPr>
      <w:r>
        <w:rPr>
          <w:rFonts w:ascii="Times New Roman"/>
          <w:b w:val="false"/>
          <w:i w:val="false"/>
          <w:color w:val="000000"/>
          <w:sz w:val="28"/>
        </w:rPr>
        <w:t>
      или</w:t>
      </w:r>
    </w:p>
    <w:bookmarkStart w:name="z4927" w:id="4920"/>
    <w:p>
      <w:pPr>
        <w:spacing w:after="0"/>
        <w:ind w:left="0"/>
        <w:jc w:val="both"/>
      </w:pPr>
      <w:r>
        <w:rPr>
          <w:rFonts w:ascii="Times New Roman"/>
          <w:b w:val="false"/>
          <w:i w:val="false"/>
          <w:color w:val="000000"/>
          <w:sz w:val="28"/>
        </w:rPr>
        <w:t>
      нарушение требований настоящей части Правил для проектных вариантов нагрузки при z</w:t>
      </w:r>
      <w:r>
        <w:rPr>
          <w:rFonts w:ascii="Times New Roman"/>
          <w:b w:val="false"/>
          <w:i w:val="false"/>
          <w:color w:val="000000"/>
          <w:vertAlign w:val="subscript"/>
        </w:rPr>
        <w:t>g</w:t>
      </w:r>
      <w:r>
        <w:rPr>
          <w:rFonts w:ascii="Times New Roman"/>
          <w:b w:val="false"/>
          <w:i w:val="false"/>
          <w:color w:val="000000"/>
          <w:sz w:val="28"/>
        </w:rPr>
        <w:t xml:space="preserve"> = 1,2z</w:t>
      </w:r>
      <w:r>
        <w:rPr>
          <w:rFonts w:ascii="Times New Roman"/>
          <w:b w:val="false"/>
          <w:i w:val="false"/>
          <w:color w:val="000000"/>
          <w:vertAlign w:val="subscript"/>
        </w:rPr>
        <w:t>g2</w:t>
      </w:r>
      <w:r>
        <w:rPr>
          <w:rFonts w:ascii="Times New Roman"/>
          <w:b w:val="false"/>
          <w:i w:val="false"/>
          <w:color w:val="000000"/>
          <w:sz w:val="28"/>
        </w:rPr>
        <w:t xml:space="preserve"> — 0,2z</w:t>
      </w:r>
      <w:r>
        <w:rPr>
          <w:rFonts w:ascii="Times New Roman"/>
          <w:b w:val="false"/>
          <w:i w:val="false"/>
          <w:color w:val="000000"/>
          <w:vertAlign w:val="subscript"/>
        </w:rPr>
        <w:t>g1</w:t>
      </w:r>
      <w:r>
        <w:rPr>
          <w:rFonts w:ascii="Times New Roman"/>
          <w:b w:val="false"/>
          <w:i w:val="false"/>
          <w:color w:val="000000"/>
          <w:sz w:val="28"/>
        </w:rPr>
        <w:t>, где z</w:t>
      </w:r>
      <w:r>
        <w:rPr>
          <w:rFonts w:ascii="Times New Roman"/>
          <w:b w:val="false"/>
          <w:i w:val="false"/>
          <w:color w:val="000000"/>
          <w:vertAlign w:val="subscript"/>
        </w:rPr>
        <w:t>g1</w:t>
      </w:r>
      <w:r>
        <w:rPr>
          <w:rFonts w:ascii="Times New Roman"/>
          <w:b w:val="false"/>
          <w:i w:val="false"/>
          <w:color w:val="000000"/>
          <w:sz w:val="28"/>
        </w:rPr>
        <w:t xml:space="preserve"> (z</w:t>
      </w:r>
      <w:r>
        <w:rPr>
          <w:rFonts w:ascii="Times New Roman"/>
          <w:b w:val="false"/>
          <w:i w:val="false"/>
          <w:color w:val="000000"/>
          <w:vertAlign w:val="subscript"/>
        </w:rPr>
        <w:t>g2</w:t>
      </w:r>
      <w:r>
        <w:rPr>
          <w:rFonts w:ascii="Times New Roman"/>
          <w:b w:val="false"/>
          <w:i w:val="false"/>
          <w:color w:val="000000"/>
          <w:sz w:val="28"/>
        </w:rPr>
        <w:t>) — расчетная аппликата центра тяжести судна порожнем до (после) конструктивных изменений; z</w:t>
      </w:r>
      <w:r>
        <w:rPr>
          <w:rFonts w:ascii="Times New Roman"/>
          <w:b w:val="false"/>
          <w:i w:val="false"/>
          <w:color w:val="000000"/>
          <w:vertAlign w:val="subscript"/>
        </w:rPr>
        <w:t>g</w:t>
      </w:r>
      <w:r>
        <w:rPr>
          <w:rFonts w:ascii="Times New Roman"/>
          <w:b w:val="false"/>
          <w:i w:val="false"/>
          <w:color w:val="000000"/>
          <w:sz w:val="28"/>
        </w:rPr>
        <w:t xml:space="preserve"> — условная аппликата центра тяжести судна порожнем.</w:t>
      </w:r>
    </w:p>
    <w:bookmarkEnd w:id="4920"/>
    <w:bookmarkStart w:name="z4928" w:id="4921"/>
    <w:p>
      <w:pPr>
        <w:spacing w:after="0"/>
        <w:ind w:left="0"/>
        <w:jc w:val="both"/>
      </w:pPr>
      <w:r>
        <w:rPr>
          <w:rFonts w:ascii="Times New Roman"/>
          <w:b w:val="false"/>
          <w:i w:val="false"/>
          <w:color w:val="000000"/>
          <w:sz w:val="28"/>
        </w:rPr>
        <w:t>
      Такое судно считается первым, в отношении остойчивости, судном новой серии, и необходимо чтобы порядок кренования последующих судов соответствовал требованиям подпункта 1) пункта 1532 настоящих Правил.</w:t>
      </w:r>
    </w:p>
    <w:bookmarkEnd w:id="4921"/>
    <w:bookmarkStart w:name="z4929" w:id="4922"/>
    <w:p>
      <w:pPr>
        <w:spacing w:after="0"/>
        <w:ind w:left="0"/>
        <w:jc w:val="both"/>
      </w:pPr>
      <w:r>
        <w:rPr>
          <w:rFonts w:ascii="Times New Roman"/>
          <w:b w:val="false"/>
          <w:i w:val="false"/>
          <w:color w:val="000000"/>
          <w:sz w:val="28"/>
        </w:rPr>
        <w:t>
      1533. После значительного ремонта, переоборудования или модернизации кренованию подвергают суда, на которых конструктивные изменения по данным расчета вызывают:</w:t>
      </w:r>
    </w:p>
    <w:bookmarkEnd w:id="4922"/>
    <w:bookmarkStart w:name="z4930" w:id="4923"/>
    <w:p>
      <w:pPr>
        <w:spacing w:after="0"/>
        <w:ind w:left="0"/>
        <w:jc w:val="both"/>
      </w:pPr>
      <w:r>
        <w:rPr>
          <w:rFonts w:ascii="Times New Roman"/>
          <w:b w:val="false"/>
          <w:i w:val="false"/>
          <w:color w:val="000000"/>
          <w:sz w:val="28"/>
        </w:rPr>
        <w:t>
      1) изменение нагрузки (суммарная масса снимаемых и добавляемых грузов) более чем на 6 % водоизмещения судна порожнем; или</w:t>
      </w:r>
    </w:p>
    <w:bookmarkEnd w:id="4923"/>
    <w:bookmarkStart w:name="z4931" w:id="4924"/>
    <w:p>
      <w:pPr>
        <w:spacing w:after="0"/>
        <w:ind w:left="0"/>
        <w:jc w:val="both"/>
      </w:pPr>
      <w:r>
        <w:rPr>
          <w:rFonts w:ascii="Times New Roman"/>
          <w:b w:val="false"/>
          <w:i w:val="false"/>
          <w:color w:val="000000"/>
          <w:sz w:val="28"/>
        </w:rPr>
        <w:t>
      2) изменение водоизмещения судна порожнем более чем на 2 % или 2 тонны в зависимости от того, что больше; или</w:t>
      </w:r>
    </w:p>
    <w:bookmarkEnd w:id="4924"/>
    <w:bookmarkStart w:name="z4932" w:id="4925"/>
    <w:p>
      <w:pPr>
        <w:spacing w:after="0"/>
        <w:ind w:left="0"/>
        <w:jc w:val="both"/>
      </w:pPr>
      <w:r>
        <w:rPr>
          <w:rFonts w:ascii="Times New Roman"/>
          <w:b w:val="false"/>
          <w:i w:val="false"/>
          <w:color w:val="000000"/>
          <w:sz w:val="28"/>
        </w:rPr>
        <w:t>
      3) изменение абсциссы центра тяжести судна порожнем более чем на 1,0 % длины судна; или</w:t>
      </w:r>
    </w:p>
    <w:bookmarkEnd w:id="4925"/>
    <w:bookmarkStart w:name="z4933" w:id="4926"/>
    <w:p>
      <w:pPr>
        <w:spacing w:after="0"/>
        <w:ind w:left="0"/>
        <w:jc w:val="both"/>
      </w:pPr>
      <w:r>
        <w:rPr>
          <w:rFonts w:ascii="Times New Roman"/>
          <w:b w:val="false"/>
          <w:i w:val="false"/>
          <w:color w:val="000000"/>
          <w:sz w:val="28"/>
        </w:rPr>
        <w:t>
      4) возрастание аппликаты центра тяжести судна порожнем более чем на величину, вычисленную согласно пункта 1532 по формулам (593, 594) настоящих Правил; или</w:t>
      </w:r>
    </w:p>
    <w:bookmarkEnd w:id="4926"/>
    <w:bookmarkStart w:name="z4934" w:id="4927"/>
    <w:p>
      <w:pPr>
        <w:spacing w:after="0"/>
        <w:ind w:left="0"/>
        <w:jc w:val="both"/>
      </w:pPr>
      <w:r>
        <w:rPr>
          <w:rFonts w:ascii="Times New Roman"/>
          <w:b w:val="false"/>
          <w:i w:val="false"/>
          <w:color w:val="000000"/>
          <w:sz w:val="28"/>
        </w:rPr>
        <w:t>
      5) нарушение требований настоящей части Правил для проектных вариантов нагрузки при условии, оговоренном в подпункте 2) пункта 1532 настоящих Правил.</w:t>
      </w:r>
    </w:p>
    <w:bookmarkEnd w:id="4927"/>
    <w:bookmarkStart w:name="z4935" w:id="4928"/>
    <w:p>
      <w:pPr>
        <w:spacing w:after="0"/>
        <w:ind w:left="0"/>
        <w:jc w:val="both"/>
      </w:pPr>
      <w:r>
        <w:rPr>
          <w:rFonts w:ascii="Times New Roman"/>
          <w:b w:val="false"/>
          <w:i w:val="false"/>
          <w:color w:val="000000"/>
          <w:sz w:val="28"/>
        </w:rPr>
        <w:t>
      Если в соответствии с результатами расчета кренование не требуется, проводят взвешивание в соответствии с пунктом 1544 настоящих Правил.</w:t>
      </w:r>
    </w:p>
    <w:bookmarkEnd w:id="4928"/>
    <w:bookmarkStart w:name="z4936" w:id="4929"/>
    <w:p>
      <w:pPr>
        <w:spacing w:after="0"/>
        <w:ind w:left="0"/>
        <w:jc w:val="both"/>
      </w:pPr>
      <w:r>
        <w:rPr>
          <w:rFonts w:ascii="Times New Roman"/>
          <w:b w:val="false"/>
          <w:i w:val="false"/>
          <w:color w:val="000000"/>
          <w:sz w:val="28"/>
        </w:rPr>
        <w:t>
      Независимо от представленных расчетов Регистр судоходства согласно подпункту 6) пункта 1531 требует проведения кренования, исходя из технического состояния судна.</w:t>
      </w:r>
    </w:p>
    <w:bookmarkEnd w:id="4929"/>
    <w:bookmarkStart w:name="z4937" w:id="4930"/>
    <w:p>
      <w:pPr>
        <w:spacing w:after="0"/>
        <w:ind w:left="0"/>
        <w:jc w:val="both"/>
      </w:pPr>
      <w:r>
        <w:rPr>
          <w:rFonts w:ascii="Times New Roman"/>
          <w:b w:val="false"/>
          <w:i w:val="false"/>
          <w:color w:val="000000"/>
          <w:sz w:val="28"/>
        </w:rPr>
        <w:t>
      1534. После укладки постоянного твердого балласта каждое судно подвергают кренованию.</w:t>
      </w:r>
    </w:p>
    <w:bookmarkEnd w:id="4930"/>
    <w:bookmarkStart w:name="z4938" w:id="4931"/>
    <w:p>
      <w:pPr>
        <w:spacing w:after="0"/>
        <w:ind w:left="0"/>
        <w:jc w:val="both"/>
      </w:pPr>
      <w:r>
        <w:rPr>
          <w:rFonts w:ascii="Times New Roman"/>
          <w:b w:val="false"/>
          <w:i w:val="false"/>
          <w:color w:val="000000"/>
          <w:sz w:val="28"/>
        </w:rPr>
        <w:t>
      Судно возможно освободить от кренования в том случае, если к удовлетворению Регистра судоходства будет установлено, что при укладке балласта налажен надежный контроль, обеспечивающий проектные значения массы и положения центра тяжести балласта, либо они достаточно надежно подтверждаются расчетным путем.</w:t>
      </w:r>
    </w:p>
    <w:bookmarkEnd w:id="4931"/>
    <w:bookmarkStart w:name="z4939" w:id="4932"/>
    <w:p>
      <w:pPr>
        <w:spacing w:after="0"/>
        <w:ind w:left="0"/>
        <w:jc w:val="both"/>
      </w:pPr>
      <w:r>
        <w:rPr>
          <w:rFonts w:ascii="Times New Roman"/>
          <w:b w:val="false"/>
          <w:i w:val="false"/>
          <w:color w:val="000000"/>
          <w:sz w:val="28"/>
        </w:rPr>
        <w:t>
      1535. С целью определения необходимости проведения опыта кренования в соответствии с подпунктами 7) и 8) пункта 1531 настоящих Правил производится периодическое взвешивание судна (опытное определение водоизмещения порожнем и абсциссы центра тяжести) для:</w:t>
      </w:r>
    </w:p>
    <w:bookmarkEnd w:id="4932"/>
    <w:bookmarkStart w:name="z4940" w:id="4933"/>
    <w:p>
      <w:pPr>
        <w:spacing w:after="0"/>
        <w:ind w:left="0"/>
        <w:jc w:val="both"/>
      </w:pPr>
      <w:r>
        <w:rPr>
          <w:rFonts w:ascii="Times New Roman"/>
          <w:b w:val="false"/>
          <w:i w:val="false"/>
          <w:color w:val="000000"/>
          <w:sz w:val="28"/>
        </w:rPr>
        <w:t>
      1) пассажирских судов;</w:t>
      </w:r>
    </w:p>
    <w:bookmarkEnd w:id="4933"/>
    <w:bookmarkStart w:name="z4941" w:id="4934"/>
    <w:p>
      <w:pPr>
        <w:spacing w:after="0"/>
        <w:ind w:left="0"/>
        <w:jc w:val="both"/>
      </w:pPr>
      <w:r>
        <w:rPr>
          <w:rFonts w:ascii="Times New Roman"/>
          <w:b w:val="false"/>
          <w:i w:val="false"/>
          <w:color w:val="000000"/>
          <w:sz w:val="28"/>
        </w:rPr>
        <w:t>
      2) рыболовных судов длиной более 30 м после 10 лет эксплуатации с момента постройки или последнего кренования.</w:t>
      </w:r>
    </w:p>
    <w:bookmarkEnd w:id="4934"/>
    <w:bookmarkStart w:name="z4942" w:id="4935"/>
    <w:p>
      <w:pPr>
        <w:spacing w:after="0"/>
        <w:ind w:left="0"/>
        <w:jc w:val="both"/>
      </w:pPr>
      <w:r>
        <w:rPr>
          <w:rFonts w:ascii="Times New Roman"/>
          <w:b w:val="false"/>
          <w:i w:val="false"/>
          <w:color w:val="000000"/>
          <w:sz w:val="28"/>
        </w:rPr>
        <w:t>
      Взвешивание производится через промежутки времени, не превышающие 5 лет.</w:t>
      </w:r>
    </w:p>
    <w:bookmarkEnd w:id="4935"/>
    <w:bookmarkStart w:name="z4943" w:id="4936"/>
    <w:p>
      <w:pPr>
        <w:spacing w:after="0"/>
        <w:ind w:left="0"/>
        <w:jc w:val="both"/>
      </w:pPr>
      <w:r>
        <w:rPr>
          <w:rFonts w:ascii="Times New Roman"/>
          <w:b w:val="false"/>
          <w:i w:val="false"/>
          <w:color w:val="000000"/>
          <w:sz w:val="28"/>
        </w:rPr>
        <w:t>
      Если по результатам взвешивания будет обнаружено отклонение водоизмещения судна порожнем более чем на 2 % или отклонение продольного положения центра тяжести более чем на 1 % длины судна по сравнению с одобренной Информацией об остойчивости, то в этом случае судно подвергается кренованию.</w:t>
      </w:r>
    </w:p>
    <w:bookmarkEnd w:id="4936"/>
    <w:bookmarkStart w:name="z4944" w:id="4937"/>
    <w:p>
      <w:pPr>
        <w:spacing w:after="0"/>
        <w:ind w:left="0"/>
        <w:jc w:val="both"/>
      </w:pPr>
      <w:r>
        <w:rPr>
          <w:rFonts w:ascii="Times New Roman"/>
          <w:b w:val="false"/>
          <w:i w:val="false"/>
          <w:color w:val="000000"/>
          <w:sz w:val="28"/>
        </w:rPr>
        <w:t>
      1536. Если по результатам кренования вновь построенного судна аппликата центра тяжести судна порожнем превышает проектную величину настолько, что это вызывает нарушение требований настоящей части Правил, к Протоколу кренования прикладывают расчетное разъяснение причин таких изменений.</w:t>
      </w:r>
    </w:p>
    <w:bookmarkEnd w:id="4937"/>
    <w:bookmarkStart w:name="z4945" w:id="4938"/>
    <w:p>
      <w:pPr>
        <w:spacing w:after="0"/>
        <w:ind w:left="0"/>
        <w:jc w:val="both"/>
      </w:pPr>
      <w:r>
        <w:rPr>
          <w:rFonts w:ascii="Times New Roman"/>
          <w:b w:val="false"/>
          <w:i w:val="false"/>
          <w:color w:val="000000"/>
          <w:sz w:val="28"/>
        </w:rPr>
        <w:t>
      По результатам анализа представленных материалов, либо при их отсутствии, Регистр судоходства требует проведения повторного (контрольного) кренования судна. В этом случае на рассмотрение Регистра судоходства представляются оба протокола кренования.</w:t>
      </w:r>
    </w:p>
    <w:bookmarkEnd w:id="4938"/>
    <w:bookmarkStart w:name="z4946" w:id="4939"/>
    <w:p>
      <w:pPr>
        <w:spacing w:after="0"/>
        <w:ind w:left="0"/>
        <w:jc w:val="both"/>
      </w:pPr>
      <w:r>
        <w:rPr>
          <w:rFonts w:ascii="Times New Roman"/>
          <w:b w:val="false"/>
          <w:i w:val="false"/>
          <w:color w:val="000000"/>
          <w:sz w:val="28"/>
        </w:rPr>
        <w:t>
      1537. За исключением судов, совершающих международные рейсы, по желанию судовладельца Регистр судоходства заменяет опыт кренования вновь построенного судна опытом взвешивания, если при аппликате центра тяжести судна порожнем, увеличенной на 20 % по сравнению с проектной, требования настоящей части Правил не нарушаются.</w:t>
      </w:r>
    </w:p>
    <w:bookmarkEnd w:id="4939"/>
    <w:bookmarkStart w:name="z4947" w:id="4940"/>
    <w:p>
      <w:pPr>
        <w:spacing w:after="0"/>
        <w:ind w:left="0"/>
        <w:jc w:val="both"/>
      </w:pPr>
      <w:r>
        <w:rPr>
          <w:rFonts w:ascii="Times New Roman"/>
          <w:b w:val="false"/>
          <w:i w:val="false"/>
          <w:color w:val="000000"/>
          <w:sz w:val="28"/>
        </w:rPr>
        <w:t>
      Если по результатам взвешивания величина водоизмещения порожнем отличается от расчетной величины более чем на 2 % или величина продольного положения центра тяжести судна порожнем отличается от расчетной величины более чем на 1 %, к Протоколу взвешивания прикладывают расчетное разъяснение причин такого расхождения.</w:t>
      </w:r>
    </w:p>
    <w:bookmarkEnd w:id="4940"/>
    <w:bookmarkStart w:name="z4948" w:id="4941"/>
    <w:p>
      <w:pPr>
        <w:spacing w:after="0"/>
        <w:ind w:left="0"/>
        <w:jc w:val="both"/>
      </w:pPr>
      <w:r>
        <w:rPr>
          <w:rFonts w:ascii="Times New Roman"/>
          <w:b w:val="false"/>
          <w:i w:val="false"/>
          <w:color w:val="000000"/>
          <w:sz w:val="28"/>
        </w:rPr>
        <w:t>
      1538. Нагрузка судна при креновании производится максимально близкой к его водоизмещению порожнем. Масса недостающих грузов не превышает 2 % водоизмещения судна порожнем, а масса излишних грузов, исключая крен-балласт и балласт согласно пункту 1539 настоящих Правил, — 4 %.</w:t>
      </w:r>
    </w:p>
    <w:bookmarkEnd w:id="4941"/>
    <w:bookmarkStart w:name="z4949" w:id="4942"/>
    <w:p>
      <w:pPr>
        <w:spacing w:after="0"/>
        <w:ind w:left="0"/>
        <w:jc w:val="both"/>
      </w:pPr>
      <w:r>
        <w:rPr>
          <w:rFonts w:ascii="Times New Roman"/>
          <w:b w:val="false"/>
          <w:i w:val="false"/>
          <w:color w:val="000000"/>
          <w:sz w:val="28"/>
        </w:rPr>
        <w:t>
      1539. Метацентрическая высота судна при креновании равна не менее 0,20 м. Для достижения этого допускается прием необходимого балласта. В случае приема жидкого балласта цистерны тщательно запрессовывают.</w:t>
      </w:r>
    </w:p>
    <w:bookmarkEnd w:id="4942"/>
    <w:bookmarkStart w:name="z4950" w:id="4943"/>
    <w:p>
      <w:pPr>
        <w:spacing w:after="0"/>
        <w:ind w:left="0"/>
        <w:jc w:val="both"/>
      </w:pPr>
      <w:r>
        <w:rPr>
          <w:rFonts w:ascii="Times New Roman"/>
          <w:b w:val="false"/>
          <w:i w:val="false"/>
          <w:color w:val="000000"/>
          <w:sz w:val="28"/>
        </w:rPr>
        <w:t>
      1540. Для замеров углов наклонения при проведении опыта кренования на судне устанавливают не менее трех весков длиной не менее 3 м. Для судов длиной менее 30 м допускается установка двух весков длиной не менее 2 м.</w:t>
      </w:r>
    </w:p>
    <w:bookmarkEnd w:id="4943"/>
    <w:bookmarkStart w:name="z4951" w:id="4944"/>
    <w:p>
      <w:pPr>
        <w:spacing w:after="0"/>
        <w:ind w:left="0"/>
        <w:jc w:val="both"/>
      </w:pPr>
      <w:r>
        <w:rPr>
          <w:rFonts w:ascii="Times New Roman"/>
          <w:b w:val="false"/>
          <w:i w:val="false"/>
          <w:color w:val="000000"/>
          <w:sz w:val="28"/>
        </w:rPr>
        <w:t>
      Один или более весков заменяют другими одобренными Регистром судоходства измерительными устройствами.</w:t>
      </w:r>
    </w:p>
    <w:bookmarkEnd w:id="4944"/>
    <w:bookmarkStart w:name="z4952" w:id="4945"/>
    <w:p>
      <w:pPr>
        <w:spacing w:after="0"/>
        <w:ind w:left="0"/>
        <w:jc w:val="both"/>
      </w:pPr>
      <w:r>
        <w:rPr>
          <w:rFonts w:ascii="Times New Roman"/>
          <w:b w:val="false"/>
          <w:i w:val="false"/>
          <w:color w:val="000000"/>
          <w:sz w:val="28"/>
        </w:rPr>
        <w:t>
      1541. При качественно выполненном креновании полученное значение метацентрической высоты принимается в расчет без вычета из него вероятной ошибки опыта.</w:t>
      </w:r>
    </w:p>
    <w:bookmarkEnd w:id="4945"/>
    <w:bookmarkStart w:name="z4953" w:id="4946"/>
    <w:p>
      <w:pPr>
        <w:spacing w:after="0"/>
        <w:ind w:left="0"/>
        <w:jc w:val="both"/>
      </w:pPr>
      <w:r>
        <w:rPr>
          <w:rFonts w:ascii="Times New Roman"/>
          <w:b w:val="false"/>
          <w:i w:val="false"/>
          <w:color w:val="000000"/>
          <w:sz w:val="28"/>
        </w:rPr>
        <w:t>
      Кренование признается качественным:</w:t>
      </w:r>
    </w:p>
    <w:bookmarkEnd w:id="4946"/>
    <w:bookmarkStart w:name="z4954" w:id="4947"/>
    <w:p>
      <w:pPr>
        <w:spacing w:after="0"/>
        <w:ind w:left="0"/>
        <w:jc w:val="both"/>
      </w:pPr>
      <w:r>
        <w:rPr>
          <w:rFonts w:ascii="Times New Roman"/>
          <w:b w:val="false"/>
          <w:i w:val="false"/>
          <w:color w:val="000000"/>
          <w:sz w:val="28"/>
        </w:rPr>
        <w:t>
      1) если для каждого замера выполняется условие:</w:t>
      </w:r>
    </w:p>
    <w:bookmarkEnd w:id="4947"/>
    <w:p>
      <w:pPr>
        <w:spacing w:after="0"/>
        <w:ind w:left="0"/>
        <w:jc w:val="both"/>
      </w:pP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sz w:val="28"/>
        </w:rPr>
        <w:t xml:space="preserve">i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w:t>
      </w:r>
    </w:p>
    <w:p>
      <w:pPr>
        <w:spacing w:after="0"/>
        <w:ind w:left="0"/>
        <w:jc w:val="both"/>
      </w:pPr>
      <w:r>
        <w:drawing>
          <wp:inline distT="0" distB="0" distL="0" distR="0">
            <wp:extent cx="1333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1333500" cy="685800"/>
                    </a:xfrm>
                    <a:prstGeom prst="rect">
                      <a:avLst/>
                    </a:prstGeom>
                  </pic:spPr>
                </pic:pic>
              </a:graphicData>
            </a:graphic>
          </wp:inline>
        </w:drawing>
      </w:r>
    </w:p>
    <w:p>
      <w:pPr>
        <w:spacing w:after="0"/>
        <w:ind w:left="0"/>
        <w:jc w:val="left"/>
      </w:pPr>
      <w:r>
        <w:rPr>
          <w:rFonts w:ascii="Times New Roman"/>
          <w:b w:val="false"/>
          <w:i w:val="false"/>
          <w:color w:val="000000"/>
          <w:sz w:val="28"/>
        </w:rPr>
        <w:t>,                (595)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метацентрическая высота, полученная по отдельному замеру;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sz w:val="28"/>
        </w:rPr>
        <w:t xml:space="preserve"> — метацентрическая высота, полученная при креновании;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замеров.</w:t>
      </w:r>
    </w:p>
    <w:bookmarkStart w:name="z4955" w:id="4948"/>
    <w:p>
      <w:pPr>
        <w:spacing w:after="0"/>
        <w:ind w:left="0"/>
        <w:jc w:val="both"/>
      </w:pPr>
      <w:r>
        <w:rPr>
          <w:rFonts w:ascii="Times New Roman"/>
          <w:b w:val="false"/>
          <w:i w:val="false"/>
          <w:color w:val="000000"/>
          <w:sz w:val="28"/>
        </w:rPr>
        <w:t xml:space="preserve">
      Замеры, не отвечающие этому условию, исключаются из обработки с соответствующими изменениями их общего числа n и повторным вычислением метацентрической высоты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w:t>
      </w:r>
    </w:p>
    <w:bookmarkEnd w:id="4948"/>
    <w:bookmarkStart w:name="z4956" w:id="4949"/>
    <w:p>
      <w:pPr>
        <w:spacing w:after="0"/>
        <w:ind w:left="0"/>
        <w:jc w:val="both"/>
      </w:pPr>
      <w:r>
        <w:rPr>
          <w:rFonts w:ascii="Times New Roman"/>
          <w:b w:val="false"/>
          <w:i w:val="false"/>
          <w:color w:val="000000"/>
          <w:sz w:val="28"/>
        </w:rPr>
        <w:t>
      Из расчета исключается не более одного замера (большее число замеров исключают только в обоснованных случаях по согласованию с Регистром судоходства);</w:t>
      </w:r>
    </w:p>
    <w:bookmarkEnd w:id="4949"/>
    <w:bookmarkStart w:name="z4957" w:id="4950"/>
    <w:p>
      <w:pPr>
        <w:spacing w:after="0"/>
        <w:ind w:left="0"/>
        <w:jc w:val="both"/>
      </w:pPr>
      <w:r>
        <w:rPr>
          <w:rFonts w:ascii="Times New Roman"/>
          <w:b w:val="false"/>
          <w:i w:val="false"/>
          <w:color w:val="000000"/>
          <w:sz w:val="28"/>
        </w:rPr>
        <w:t>
      2) если вероятная ошибка опыта</w:t>
      </w:r>
    </w:p>
    <w:bookmarkEnd w:id="49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1485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отвечает условию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14859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0,02(1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при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 м;      (596)</w:t>
      </w:r>
      <w:r>
        <w:br/>
      </w:r>
      <w:r>
        <w:rPr>
          <w:rFonts w:ascii="Times New Roman"/>
          <w:b w:val="false"/>
          <w:i w:val="false"/>
          <w:color w:val="000000"/>
          <w:sz w:val="28"/>
        </w:rPr>
        <w:t>
</w:t>
      </w:r>
      <w:r>
        <w:br/>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14859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0,01(4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при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&gt; 2 м.      (597)</w:t>
      </w:r>
      <w:r>
        <w:br/>
      </w:r>
      <w:r>
        <w:rPr>
          <w:rFonts w:ascii="Times New Roman"/>
          <w:b w:val="false"/>
          <w:i w:val="false"/>
          <w:color w:val="000000"/>
          <w:sz w:val="28"/>
        </w:rPr>
        <w:t>
</w:t>
      </w:r>
    </w:p>
    <w:bookmarkStart w:name="z4958" w:id="4951"/>
    <w:p>
      <w:pPr>
        <w:spacing w:after="0"/>
        <w:ind w:left="0"/>
        <w:jc w:val="both"/>
      </w:pPr>
      <w:r>
        <w:rPr>
          <w:rFonts w:ascii="Times New Roman"/>
          <w:b w:val="false"/>
          <w:i w:val="false"/>
          <w:color w:val="000000"/>
          <w:sz w:val="28"/>
        </w:rPr>
        <w:t xml:space="preserve">
      Здесь коэффициент </w:t>
      </w:r>
    </w:p>
    <w:bookmarkEnd w:id="4951"/>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принимается по приложению 191 настоящих Правил;</w:t>
      </w:r>
      <w:r>
        <w:br/>
      </w:r>
      <w:r>
        <w:rPr>
          <w:rFonts w:ascii="Times New Roman"/>
          <w:b w:val="false"/>
          <w:i w:val="false"/>
          <w:color w:val="000000"/>
          <w:sz w:val="28"/>
        </w:rPr>
        <w:t>
</w:t>
      </w:r>
    </w:p>
    <w:bookmarkStart w:name="z4959" w:id="4952"/>
    <w:p>
      <w:pPr>
        <w:spacing w:after="0"/>
        <w:ind w:left="0"/>
        <w:jc w:val="both"/>
      </w:pPr>
      <w:r>
        <w:rPr>
          <w:rFonts w:ascii="Times New Roman"/>
          <w:b w:val="false"/>
          <w:i w:val="false"/>
          <w:color w:val="000000"/>
          <w:sz w:val="28"/>
        </w:rPr>
        <w:t xml:space="preserve">
      3) если с учетом величин </w:t>
      </w:r>
      <w:r>
        <w:rPr>
          <w:rFonts w:ascii="Times New Roman"/>
          <w:b w:val="false"/>
          <w:i/>
          <w:color w:val="000000"/>
          <w:sz w:val="28"/>
        </w:rPr>
        <w:t>h</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при наихудших, по их значениям, расчетных вариантах нагрузки выполняется условие</w:t>
      </w:r>
    </w:p>
    <w:bookmarkEnd w:id="49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1485900" cy="698500"/>
                    </a:xfrm>
                    <a:prstGeom prst="rect">
                      <a:avLst/>
                    </a:prstGeom>
                  </pic:spPr>
                </pic:pic>
              </a:graphicData>
            </a:graphic>
          </wp:inline>
        </w:drawing>
      </w:r>
    </w:p>
    <w:p>
      <w:pPr>
        <w:spacing w:after="0"/>
        <w:ind w:left="0"/>
        <w:jc w:val="both"/>
      </w:pPr>
      <w:r>
        <w:drawing>
          <wp:inline distT="0" distB="0" distL="0" distR="0">
            <wp:extent cx="330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3302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143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p>
    <w:p>
      <w:pPr>
        <w:spacing w:after="0"/>
        <w:ind w:left="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114300" cy="152400"/>
                    </a:xfrm>
                    <a:prstGeom prst="rect">
                      <a:avLst/>
                    </a:prstGeom>
                  </pic:spPr>
                </pic:pic>
              </a:graphicData>
            </a:graphic>
          </wp:inline>
        </w:drawing>
      </w:r>
    </w:p>
    <w:p>
      <w:pPr>
        <w:spacing w:after="0"/>
        <w:ind w:left="0"/>
        <w:jc w:val="left"/>
      </w:pPr>
      <w:r>
        <w:rPr>
          <w:rFonts w:ascii="Times New Roman"/>
          <w:b w:val="false"/>
          <w:i w:val="false"/>
          <w:color w:val="000000"/>
          <w:sz w:val="28"/>
        </w:rPr>
        <w:t>= 0,05</w:t>
      </w:r>
      <w:r>
        <w:rPr>
          <w:rFonts w:ascii="Times New Roman"/>
          <w:b w:val="false"/>
          <w:i/>
          <w:color w:val="000000"/>
          <w:sz w:val="28"/>
        </w:rPr>
        <w:t>h</w:t>
      </w:r>
      <w:r>
        <w:rPr>
          <w:rFonts w:ascii="Times New Roman"/>
          <w:b w:val="false"/>
          <w:i w:val="false"/>
          <w:color w:val="000000"/>
          <w:sz w:val="28"/>
        </w:rPr>
        <w:t xml:space="preserve"> или 0,10</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(598)</w:t>
      </w:r>
      <w:r>
        <w:br/>
      </w:r>
      <w:r>
        <w:rPr>
          <w:rFonts w:ascii="Times New Roman"/>
          <w:b w:val="false"/>
          <w:i w:val="false"/>
          <w:color w:val="000000"/>
          <w:sz w:val="28"/>
        </w:rPr>
        <w:t>
</w:t>
      </w:r>
    </w:p>
    <w:bookmarkStart w:name="z4960" w:id="4953"/>
    <w:p>
      <w:pPr>
        <w:spacing w:after="0"/>
        <w:ind w:left="0"/>
        <w:jc w:val="both"/>
      </w:pPr>
      <w:r>
        <w:rPr>
          <w:rFonts w:ascii="Times New Roman"/>
          <w:b w:val="false"/>
          <w:i w:val="false"/>
          <w:color w:val="000000"/>
          <w:sz w:val="28"/>
        </w:rPr>
        <w:t>
      смотря по тому, что меньше, но не меньше 4 см;</w:t>
      </w:r>
    </w:p>
    <w:bookmarkEnd w:id="4953"/>
    <w:bookmarkStart w:name="z4961" w:id="4954"/>
    <w:p>
      <w:pPr>
        <w:spacing w:after="0"/>
        <w:ind w:left="0"/>
        <w:jc w:val="both"/>
      </w:pPr>
      <w:r>
        <w:rPr>
          <w:rFonts w:ascii="Times New Roman"/>
          <w:b w:val="false"/>
          <w:i w:val="false"/>
          <w:color w:val="000000"/>
          <w:sz w:val="28"/>
        </w:rPr>
        <w:t>
      4) если общее число удовлетворительных замеров не менее 8.</w:t>
      </w:r>
    </w:p>
    <w:bookmarkEnd w:id="4954"/>
    <w:bookmarkStart w:name="z4962" w:id="4955"/>
    <w:p>
      <w:pPr>
        <w:spacing w:after="0"/>
        <w:ind w:left="0"/>
        <w:jc w:val="both"/>
      </w:pPr>
      <w:r>
        <w:rPr>
          <w:rFonts w:ascii="Times New Roman"/>
          <w:b w:val="false"/>
          <w:i w:val="false"/>
          <w:color w:val="000000"/>
          <w:sz w:val="28"/>
        </w:rPr>
        <w:t>
      1542. При невыполнении требований пункта 1541 настоящих Правил допускается по согласованию с Регистром судоходства принимать в расчет полученное при креновании значение метацентрической высоты за вычетом из него вероятной ошибки опыта, вычисленной согласно подпункта 2) пункта 1541 настоящих Правил.</w:t>
      </w:r>
    </w:p>
    <w:bookmarkEnd w:id="4955"/>
    <w:bookmarkStart w:name="z4963" w:id="4956"/>
    <w:p>
      <w:pPr>
        <w:spacing w:after="0"/>
        <w:ind w:left="0"/>
        <w:jc w:val="both"/>
      </w:pPr>
      <w:r>
        <w:rPr>
          <w:rFonts w:ascii="Times New Roman"/>
          <w:b w:val="false"/>
          <w:i w:val="false"/>
          <w:color w:val="000000"/>
          <w:sz w:val="28"/>
        </w:rPr>
        <w:t>
      1543. Кренование проводится в соответствии с инструктивными указаниями по кренованию судов в присутствии работника Регистра судоходства.</w:t>
      </w:r>
    </w:p>
    <w:bookmarkEnd w:id="4956"/>
    <w:bookmarkStart w:name="z4964" w:id="4957"/>
    <w:p>
      <w:pPr>
        <w:spacing w:after="0"/>
        <w:ind w:left="0"/>
        <w:jc w:val="both"/>
      </w:pPr>
      <w:r>
        <w:rPr>
          <w:rFonts w:ascii="Times New Roman"/>
          <w:b w:val="false"/>
          <w:i w:val="false"/>
          <w:color w:val="000000"/>
          <w:sz w:val="28"/>
        </w:rPr>
        <w:t>
      Возможно применять и другие способы опытного определения веса судна порожнем и его координат центра тяжести, если к удовлетворению Регистра судоходства будет показано, что достоверность результатов опыта отвечает настоящим требованиям.</w:t>
      </w:r>
    </w:p>
    <w:bookmarkEnd w:id="4957"/>
    <w:bookmarkStart w:name="z4965" w:id="4958"/>
    <w:p>
      <w:pPr>
        <w:spacing w:after="0"/>
        <w:ind w:left="0"/>
        <w:jc w:val="both"/>
      </w:pPr>
      <w:r>
        <w:rPr>
          <w:rFonts w:ascii="Times New Roman"/>
          <w:b w:val="false"/>
          <w:i w:val="false"/>
          <w:color w:val="000000"/>
          <w:sz w:val="28"/>
        </w:rPr>
        <w:t>
      1544. Взвешивание судна проводится в соответствии с инструктивными указаниями по взвешиванию в присутствии работника Регистра судоходства.</w:t>
      </w:r>
    </w:p>
    <w:bookmarkEnd w:id="4958"/>
    <w:bookmarkStart w:name="z4966" w:id="4959"/>
    <w:p>
      <w:pPr>
        <w:spacing w:after="0"/>
        <w:ind w:left="0"/>
        <w:jc w:val="both"/>
      </w:pPr>
      <w:r>
        <w:rPr>
          <w:rFonts w:ascii="Times New Roman"/>
          <w:b w:val="false"/>
          <w:i w:val="false"/>
          <w:color w:val="000000"/>
          <w:sz w:val="28"/>
        </w:rPr>
        <w:t>
      Взвешивание выполняется с целью:</w:t>
      </w:r>
    </w:p>
    <w:bookmarkEnd w:id="4959"/>
    <w:bookmarkStart w:name="z4967" w:id="4960"/>
    <w:p>
      <w:pPr>
        <w:spacing w:after="0"/>
        <w:ind w:left="0"/>
        <w:jc w:val="both"/>
      </w:pPr>
      <w:r>
        <w:rPr>
          <w:rFonts w:ascii="Times New Roman"/>
          <w:b w:val="false"/>
          <w:i w:val="false"/>
          <w:color w:val="000000"/>
          <w:sz w:val="28"/>
        </w:rPr>
        <w:t>
      1) определения необходимости проведения опыта кренования в соответствии с пунктом 1535 настоящих Правил;</w:t>
      </w:r>
    </w:p>
    <w:bookmarkEnd w:id="4960"/>
    <w:bookmarkStart w:name="z4968" w:id="4961"/>
    <w:p>
      <w:pPr>
        <w:spacing w:after="0"/>
        <w:ind w:left="0"/>
        <w:jc w:val="both"/>
      </w:pPr>
      <w:r>
        <w:rPr>
          <w:rFonts w:ascii="Times New Roman"/>
          <w:b w:val="false"/>
          <w:i w:val="false"/>
          <w:color w:val="000000"/>
          <w:sz w:val="28"/>
        </w:rPr>
        <w:t>
      2) корректировки документации по остойчивости серийных и переоборудованных судов как определено в пункте 1527 настоящих Правил;</w:t>
      </w:r>
    </w:p>
    <w:bookmarkEnd w:id="4961"/>
    <w:bookmarkStart w:name="z4969" w:id="4962"/>
    <w:p>
      <w:pPr>
        <w:spacing w:after="0"/>
        <w:ind w:left="0"/>
        <w:jc w:val="both"/>
      </w:pPr>
      <w:r>
        <w:rPr>
          <w:rFonts w:ascii="Times New Roman"/>
          <w:b w:val="false"/>
          <w:i w:val="false"/>
          <w:color w:val="000000"/>
          <w:sz w:val="28"/>
        </w:rPr>
        <w:t>
      3) определения характеристик судна порожнем, освобожденного от кренования в соответствии с пунктом 1537 настоящих Правил.</w:t>
      </w:r>
    </w:p>
    <w:bookmarkEnd w:id="4962"/>
    <w:bookmarkStart w:name="z4970" w:id="4963"/>
    <w:p>
      <w:pPr>
        <w:spacing w:after="0"/>
        <w:ind w:left="0"/>
        <w:jc w:val="both"/>
      </w:pPr>
      <w:r>
        <w:rPr>
          <w:rFonts w:ascii="Times New Roman"/>
          <w:b w:val="false"/>
          <w:i w:val="false"/>
          <w:color w:val="000000"/>
          <w:sz w:val="28"/>
        </w:rPr>
        <w:t>
      1545. Если в отношении какого-нибудь судна возникают сомнения в достаточности его остойчивости при формальном удовлетворении требований настоящей части Правил, Регистр судоходства требует проведение проверки остойчивости судна по дополнительным критериям.</w:t>
      </w:r>
    </w:p>
    <w:bookmarkEnd w:id="4963"/>
    <w:bookmarkStart w:name="z4971" w:id="4964"/>
    <w:p>
      <w:pPr>
        <w:spacing w:after="0"/>
        <w:ind w:left="0"/>
        <w:jc w:val="both"/>
      </w:pPr>
      <w:r>
        <w:rPr>
          <w:rFonts w:ascii="Times New Roman"/>
          <w:b w:val="false"/>
          <w:i w:val="false"/>
          <w:color w:val="000000"/>
          <w:sz w:val="28"/>
        </w:rPr>
        <w:t>
      В случае, если требования настоящего раздела Правил будут признаны чрезмерно жесткими, Регистр судоходства по обоснованному заявлению проектанта и судовладельца допускает соответствующие отступления от этих требований применительно к данному судну.</w:t>
      </w:r>
    </w:p>
    <w:bookmarkEnd w:id="4964"/>
    <w:bookmarkStart w:name="z4972" w:id="4965"/>
    <w:p>
      <w:pPr>
        <w:spacing w:after="0"/>
        <w:ind w:left="0"/>
        <w:jc w:val="both"/>
      </w:pPr>
      <w:r>
        <w:rPr>
          <w:rFonts w:ascii="Times New Roman"/>
          <w:b w:val="false"/>
          <w:i w:val="false"/>
          <w:color w:val="000000"/>
          <w:sz w:val="28"/>
        </w:rPr>
        <w:t>
      1546. Если судно того или иного района плавания не соответствует требованиям настоящего раздела Правил, Регистр судоходства в каждом случае либо ограничивает район плавания судна, либо налагает другие ограничения в зависимости от показателей остойчивости судна и условий его эксплуатации и назначения.</w:t>
      </w:r>
    </w:p>
    <w:bookmarkEnd w:id="4965"/>
    <w:bookmarkStart w:name="z4973" w:id="4966"/>
    <w:p>
      <w:pPr>
        <w:spacing w:after="0"/>
        <w:ind w:left="0"/>
        <w:jc w:val="left"/>
      </w:pPr>
      <w:r>
        <w:rPr>
          <w:rFonts w:ascii="Times New Roman"/>
          <w:b/>
          <w:i w:val="false"/>
          <w:color w:val="000000"/>
        </w:rPr>
        <w:t xml:space="preserve"> Глава 93. Условия достаточной остойчивости и перегон судов</w:t>
      </w:r>
    </w:p>
    <w:bookmarkEnd w:id="4966"/>
    <w:p>
      <w:pPr>
        <w:spacing w:after="0"/>
        <w:ind w:left="0"/>
        <w:jc w:val="both"/>
      </w:pPr>
      <w:r>
        <w:rPr>
          <w:rFonts w:ascii="Times New Roman"/>
          <w:b w:val="false"/>
          <w:i w:val="false"/>
          <w:color w:val="ff0000"/>
          <w:sz w:val="28"/>
        </w:rPr>
        <w:t xml:space="preserve">
      Сноска. Заголовок главы 94 -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74" w:id="4967"/>
    <w:p>
      <w:pPr>
        <w:spacing w:after="0"/>
        <w:ind w:left="0"/>
        <w:jc w:val="both"/>
      </w:pPr>
      <w:r>
        <w:rPr>
          <w:rFonts w:ascii="Times New Roman"/>
          <w:b w:val="false"/>
          <w:i w:val="false"/>
          <w:color w:val="000000"/>
          <w:sz w:val="28"/>
        </w:rPr>
        <w:t>
      1547. При наихудших, в отношении остойчивости, вариантах нагрузки остойчивость судов, кроме плавучих кранов, крановых судов, транспортных понтонов, доков и стоечных судов, отвечает следующим требованиям:</w:t>
      </w:r>
    </w:p>
    <w:bookmarkEnd w:id="4967"/>
    <w:bookmarkStart w:name="z4975" w:id="4968"/>
    <w:p>
      <w:pPr>
        <w:spacing w:after="0"/>
        <w:ind w:left="0"/>
        <w:jc w:val="both"/>
      </w:pPr>
      <w:r>
        <w:rPr>
          <w:rFonts w:ascii="Times New Roman"/>
          <w:b w:val="false"/>
          <w:i w:val="false"/>
          <w:color w:val="000000"/>
          <w:sz w:val="28"/>
        </w:rPr>
        <w:t>
      1) судно, не опрокидываясь, противостоит одновременному действию динамически приложенного давления ветра и бортовой качки, параметры которых определяются, как указано в подразделе 2 раздела 6 настоящих Правил.</w:t>
      </w:r>
    </w:p>
    <w:bookmarkEnd w:id="4968"/>
    <w:bookmarkStart w:name="z4976" w:id="4969"/>
    <w:p>
      <w:pPr>
        <w:spacing w:after="0"/>
        <w:ind w:left="0"/>
        <w:jc w:val="both"/>
      </w:pPr>
      <w:r>
        <w:rPr>
          <w:rFonts w:ascii="Times New Roman"/>
          <w:b w:val="false"/>
          <w:i w:val="false"/>
          <w:color w:val="000000"/>
          <w:sz w:val="28"/>
        </w:rPr>
        <w:t>
      2) числовые значения параметров диаграммы статической остойчивости судна на тихой воде и исправленной начальной метацентрической высоты не ниже указанных в подразделе 2 раздела 6 настоящих Правил;</w:t>
      </w:r>
    </w:p>
    <w:bookmarkEnd w:id="4969"/>
    <w:bookmarkStart w:name="z4977" w:id="4970"/>
    <w:p>
      <w:pPr>
        <w:spacing w:after="0"/>
        <w:ind w:left="0"/>
        <w:jc w:val="both"/>
      </w:pPr>
      <w:r>
        <w:rPr>
          <w:rFonts w:ascii="Times New Roman"/>
          <w:b w:val="false"/>
          <w:i w:val="false"/>
          <w:color w:val="000000"/>
          <w:sz w:val="28"/>
        </w:rPr>
        <w:t>
      3) учитывают согласно подразделу 2 раздела 6 настоящих Правил влияние на остойчивость последствий возможного обледенения;</w:t>
      </w:r>
    </w:p>
    <w:bookmarkEnd w:id="4970"/>
    <w:bookmarkStart w:name="z4978" w:id="4971"/>
    <w:p>
      <w:pPr>
        <w:spacing w:after="0"/>
        <w:ind w:left="0"/>
        <w:jc w:val="both"/>
      </w:pPr>
      <w:r>
        <w:rPr>
          <w:rFonts w:ascii="Times New Roman"/>
          <w:b w:val="false"/>
          <w:i w:val="false"/>
          <w:color w:val="000000"/>
          <w:sz w:val="28"/>
        </w:rPr>
        <w:t>
      4) остойчивость судна отвечает требованиям подраздела 3 раздела 6 настоящих Правил.</w:t>
      </w:r>
    </w:p>
    <w:bookmarkEnd w:id="4971"/>
    <w:bookmarkStart w:name="z4979" w:id="4972"/>
    <w:p>
      <w:pPr>
        <w:spacing w:after="0"/>
        <w:ind w:left="0"/>
        <w:jc w:val="both"/>
      </w:pPr>
      <w:r>
        <w:rPr>
          <w:rFonts w:ascii="Times New Roman"/>
          <w:b w:val="false"/>
          <w:i w:val="false"/>
          <w:color w:val="000000"/>
          <w:sz w:val="28"/>
        </w:rPr>
        <w:t>
      1548. Остойчивость плавучих кранов, крановых судов, транспортных понтонов, доков и стоечных судов отвечает требованиям подраздела 4 раздела 6 настоящих Правил.</w:t>
      </w:r>
    </w:p>
    <w:bookmarkEnd w:id="4972"/>
    <w:bookmarkStart w:name="z4980" w:id="4973"/>
    <w:p>
      <w:pPr>
        <w:spacing w:after="0"/>
        <w:ind w:left="0"/>
        <w:jc w:val="both"/>
      </w:pPr>
      <w:r>
        <w:rPr>
          <w:rFonts w:ascii="Times New Roman"/>
          <w:b w:val="false"/>
          <w:i w:val="false"/>
          <w:color w:val="000000"/>
          <w:sz w:val="28"/>
        </w:rPr>
        <w:t>
      1549. Для судов, на которые распространяются требования раздела 7 настоящих Правил, необходимо чтобы остойчивость в неповрежденном состоянии была достаточной для того, чтобы в аварийных условиях она отвечала этим требованиям.</w:t>
      </w:r>
    </w:p>
    <w:bookmarkEnd w:id="4973"/>
    <w:bookmarkStart w:name="z4981" w:id="4974"/>
    <w:p>
      <w:pPr>
        <w:spacing w:after="0"/>
        <w:ind w:left="0"/>
        <w:jc w:val="both"/>
      </w:pPr>
      <w:r>
        <w:rPr>
          <w:rFonts w:ascii="Times New Roman"/>
          <w:b w:val="false"/>
          <w:i w:val="false"/>
          <w:color w:val="000000"/>
          <w:sz w:val="28"/>
        </w:rPr>
        <w:t>
      1550. Остойчивость судов, в символе класса которых имеются знаки оснащенности средствами борьбы с пожаром на других судах, также отвечала бы требованиям настоящей части во время операций по борьбе с пожаром, исходя из условия, что все лафетные стволы работают одновременно с максимальной подачей в направлении, соответствующем минимальной остойчивости судна.</w:t>
      </w:r>
    </w:p>
    <w:bookmarkEnd w:id="4974"/>
    <w:bookmarkStart w:name="z4982" w:id="4975"/>
    <w:p>
      <w:pPr>
        <w:spacing w:after="0"/>
        <w:ind w:left="0"/>
        <w:jc w:val="both"/>
      </w:pPr>
      <w:r>
        <w:rPr>
          <w:rFonts w:ascii="Times New Roman"/>
          <w:b w:val="false"/>
          <w:i w:val="false"/>
          <w:color w:val="000000"/>
          <w:sz w:val="28"/>
        </w:rPr>
        <w:t>
      1551. Необходимо чтобы при перегоне остойчивость судна соответствовала требованиям, предъявляемым к судам, плавающим в бассейне, через который предполагается совершить перегон.</w:t>
      </w:r>
    </w:p>
    <w:bookmarkEnd w:id="4975"/>
    <w:bookmarkStart w:name="z4983" w:id="4976"/>
    <w:p>
      <w:pPr>
        <w:spacing w:after="0"/>
        <w:ind w:left="0"/>
        <w:jc w:val="both"/>
      </w:pPr>
      <w:r>
        <w:rPr>
          <w:rFonts w:ascii="Times New Roman"/>
          <w:b w:val="false"/>
          <w:i w:val="false"/>
          <w:color w:val="000000"/>
          <w:sz w:val="28"/>
        </w:rPr>
        <w:t>
      1552. Судно, остойчивость которого не доводится до требуемой пунктом 1551 настоящих Правил, Регистр судоходства допускает к перегону при условии, что ограничения по погоде будут соответствовать его остойчивости.</w:t>
      </w:r>
    </w:p>
    <w:bookmarkEnd w:id="4976"/>
    <w:bookmarkStart w:name="z4984" w:id="4977"/>
    <w:p>
      <w:pPr>
        <w:spacing w:after="0"/>
        <w:ind w:left="0"/>
        <w:jc w:val="left"/>
      </w:pPr>
      <w:r>
        <w:rPr>
          <w:rFonts w:ascii="Times New Roman"/>
          <w:b/>
          <w:i w:val="false"/>
          <w:color w:val="000000"/>
        </w:rPr>
        <w:t xml:space="preserve"> Подраздел 2. Общие требования к остойчивости</w:t>
      </w:r>
      <w:r>
        <w:br/>
      </w:r>
      <w:r>
        <w:rPr>
          <w:rFonts w:ascii="Times New Roman"/>
          <w:b/>
          <w:i w:val="false"/>
          <w:color w:val="000000"/>
        </w:rPr>
        <w:t>Глава 94. Критерий погоды</w:t>
      </w:r>
    </w:p>
    <w:bookmarkEnd w:id="4977"/>
    <w:p>
      <w:pPr>
        <w:spacing w:after="0"/>
        <w:ind w:left="0"/>
        <w:jc w:val="both"/>
      </w:pPr>
      <w:r>
        <w:rPr>
          <w:rFonts w:ascii="Times New Roman"/>
          <w:b w:val="false"/>
          <w:i w:val="false"/>
          <w:color w:val="ff0000"/>
          <w:sz w:val="28"/>
        </w:rPr>
        <w:t xml:space="preserve">
      Сноска. Заголовок главы 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86" w:id="4978"/>
    <w:p>
      <w:pPr>
        <w:spacing w:after="0"/>
        <w:ind w:left="0"/>
        <w:jc w:val="left"/>
      </w:pPr>
      <w:r>
        <w:rPr>
          <w:rFonts w:ascii="Times New Roman"/>
          <w:b/>
          <w:i w:val="false"/>
          <w:color w:val="000000"/>
        </w:rPr>
        <w:t xml:space="preserve"> Параграф 1. Общие положения</w:t>
      </w:r>
    </w:p>
    <w:bookmarkEnd w:id="4978"/>
    <w:bookmarkStart w:name="z4987" w:id="4979"/>
    <w:p>
      <w:pPr>
        <w:spacing w:after="0"/>
        <w:ind w:left="0"/>
        <w:jc w:val="both"/>
      </w:pPr>
      <w:r>
        <w:rPr>
          <w:rFonts w:ascii="Times New Roman"/>
          <w:b w:val="false"/>
          <w:i w:val="false"/>
          <w:color w:val="000000"/>
          <w:sz w:val="28"/>
        </w:rPr>
        <w:t>
      1553. Требования к остойчивости, изложенные в настоящем подразделе Правил, дифференцированы в зависимости от района плавания судна.</w:t>
      </w:r>
    </w:p>
    <w:bookmarkEnd w:id="4979"/>
    <w:bookmarkStart w:name="z4988" w:id="4980"/>
    <w:p>
      <w:pPr>
        <w:spacing w:after="0"/>
        <w:ind w:left="0"/>
        <w:jc w:val="both"/>
      </w:pPr>
      <w:r>
        <w:rPr>
          <w:rFonts w:ascii="Times New Roman"/>
          <w:b w:val="false"/>
          <w:i w:val="false"/>
          <w:color w:val="000000"/>
          <w:sz w:val="28"/>
        </w:rPr>
        <w:t>
      Определения ограниченных районов плавания приведены в пункте 6 настоящих Правил.</w:t>
      </w:r>
    </w:p>
    <w:bookmarkEnd w:id="4980"/>
    <w:bookmarkStart w:name="z4989" w:id="4981"/>
    <w:p>
      <w:pPr>
        <w:spacing w:after="0"/>
        <w:ind w:left="0"/>
        <w:jc w:val="both"/>
      </w:pPr>
      <w:r>
        <w:rPr>
          <w:rFonts w:ascii="Times New Roman"/>
          <w:b w:val="false"/>
          <w:i w:val="false"/>
          <w:color w:val="000000"/>
          <w:sz w:val="28"/>
        </w:rPr>
        <w:t>
      1554. Остойчивость судов неограниченного и ограниченных Rl, R2, R2-RSN и R3-RSN районов плавания считается по критерию погоды K достаточной, если при указанном ниже условном действии ветра и волнения выполняются требования подпункта 5) настоящего пункта, при этом:</w:t>
      </w:r>
    </w:p>
    <w:bookmarkEnd w:id="4981"/>
    <w:bookmarkStart w:name="z4990" w:id="4982"/>
    <w:p>
      <w:pPr>
        <w:spacing w:after="0"/>
        <w:ind w:left="0"/>
        <w:jc w:val="both"/>
      </w:pPr>
      <w:r>
        <w:rPr>
          <w:rFonts w:ascii="Times New Roman"/>
          <w:b w:val="false"/>
          <w:i w:val="false"/>
          <w:color w:val="000000"/>
          <w:sz w:val="28"/>
        </w:rPr>
        <w:t xml:space="preserve">
      1) судно находится под действием ветра постоянной скорости, направленного перпендикулярно к его диаметральной плоскости, которому соответствует плечо ветрового кренящего момента </w:t>
      </w:r>
      <w:r>
        <w:rPr>
          <w:rFonts w:ascii="Times New Roman"/>
          <w:b w:val="false"/>
          <w:i/>
          <w:color w:val="000000"/>
          <w:sz w:val="28"/>
        </w:rPr>
        <w:t>l</w:t>
      </w:r>
      <w:r>
        <w:rPr>
          <w:rFonts w:ascii="Times New Roman"/>
          <w:b w:val="false"/>
          <w:i w:val="false"/>
          <w:color w:val="000000"/>
          <w:vertAlign w:val="subscript"/>
        </w:rPr>
        <w:t>w1</w:t>
      </w:r>
      <w:r>
        <w:rPr>
          <w:rFonts w:ascii="Times New Roman"/>
          <w:b w:val="false"/>
          <w:i w:val="false"/>
          <w:color w:val="000000"/>
          <w:sz w:val="28"/>
        </w:rPr>
        <w:t xml:space="preserve"> (приложение 192 настоящих Правил);</w:t>
      </w:r>
    </w:p>
    <w:bookmarkEnd w:id="4982"/>
    <w:bookmarkStart w:name="z4991" w:id="4983"/>
    <w:p>
      <w:pPr>
        <w:spacing w:after="0"/>
        <w:ind w:left="0"/>
        <w:jc w:val="both"/>
      </w:pPr>
      <w:r>
        <w:rPr>
          <w:rFonts w:ascii="Times New Roman"/>
          <w:b w:val="false"/>
          <w:i w:val="false"/>
          <w:color w:val="000000"/>
          <w:sz w:val="28"/>
        </w:rPr>
        <w:t>
      2) от статического угла крена Ө</w:t>
      </w:r>
      <w:r>
        <w:rPr>
          <w:rFonts w:ascii="Times New Roman"/>
          <w:b w:val="false"/>
          <w:i w:val="false"/>
          <w:color w:val="000000"/>
          <w:vertAlign w:val="subscript"/>
        </w:rPr>
        <w:t>w1</w:t>
      </w:r>
      <w:r>
        <w:rPr>
          <w:rFonts w:ascii="Times New Roman"/>
          <w:b w:val="false"/>
          <w:i w:val="false"/>
          <w:color w:val="000000"/>
          <w:sz w:val="28"/>
        </w:rPr>
        <w:t xml:space="preserve">, вызванного постоянным ветром и соответствующего первой точке пересечения горизонтальной прямой </w:t>
      </w:r>
      <w:r>
        <w:rPr>
          <w:rFonts w:ascii="Times New Roman"/>
          <w:b w:val="false"/>
          <w:i/>
          <w:color w:val="000000"/>
          <w:sz w:val="28"/>
        </w:rPr>
        <w:t>l</w:t>
      </w:r>
      <w:r>
        <w:rPr>
          <w:rFonts w:ascii="Times New Roman"/>
          <w:b w:val="false"/>
          <w:i w:val="false"/>
          <w:color w:val="000000"/>
          <w:vertAlign w:val="subscript"/>
        </w:rPr>
        <w:t>w1</w:t>
      </w:r>
      <w:r>
        <w:rPr>
          <w:rFonts w:ascii="Times New Roman"/>
          <w:b w:val="false"/>
          <w:i w:val="false"/>
          <w:color w:val="000000"/>
          <w:sz w:val="28"/>
        </w:rPr>
        <w:t xml:space="preserve"> с кривой восстанавливающих плеч </w:t>
      </w:r>
      <w:r>
        <w:rPr>
          <w:rFonts w:ascii="Times New Roman"/>
          <w:b w:val="false"/>
          <w:i/>
          <w:color w:val="000000"/>
          <w:sz w:val="28"/>
        </w:rPr>
        <w:t>l</w:t>
      </w:r>
      <w:r>
        <w:rPr>
          <w:rFonts w:ascii="Times New Roman"/>
          <w:b w:val="false"/>
          <w:i w:val="false"/>
          <w:color w:val="000000"/>
          <w:sz w:val="28"/>
        </w:rPr>
        <w:t>(Ө), под воздействием волн судно кренится на наветренный борт на угол, равный амплитуде бортовой качки Ө</w:t>
      </w:r>
      <w:r>
        <w:rPr>
          <w:rFonts w:ascii="Times New Roman"/>
          <w:b w:val="false"/>
          <w:i w:val="false"/>
          <w:color w:val="000000"/>
          <w:vertAlign w:val="subscript"/>
        </w:rPr>
        <w:t>1r</w:t>
      </w:r>
      <w:r>
        <w:rPr>
          <w:rFonts w:ascii="Times New Roman"/>
          <w:b w:val="false"/>
          <w:i w:val="false"/>
          <w:color w:val="000000"/>
          <w:sz w:val="28"/>
        </w:rPr>
        <w:t xml:space="preserve"> (приложение 192 настоящих Правил);</w:t>
      </w:r>
    </w:p>
    <w:bookmarkEnd w:id="4983"/>
    <w:bookmarkStart w:name="z4992" w:id="4984"/>
    <w:p>
      <w:pPr>
        <w:spacing w:after="0"/>
        <w:ind w:left="0"/>
        <w:jc w:val="both"/>
      </w:pPr>
      <w:r>
        <w:rPr>
          <w:rFonts w:ascii="Times New Roman"/>
          <w:b w:val="false"/>
          <w:i w:val="false"/>
          <w:color w:val="000000"/>
          <w:sz w:val="28"/>
        </w:rPr>
        <w:t xml:space="preserve">
      3) на накрененное судно динамически действует порыв ветра, которому соответствует плечо кренящего момента </w:t>
      </w:r>
      <w:r>
        <w:rPr>
          <w:rFonts w:ascii="Times New Roman"/>
          <w:b w:val="false"/>
          <w:i/>
          <w:color w:val="000000"/>
          <w:sz w:val="28"/>
        </w:rPr>
        <w:t>l</w:t>
      </w:r>
      <w:r>
        <w:rPr>
          <w:rFonts w:ascii="Times New Roman"/>
          <w:b w:val="false"/>
          <w:i w:val="false"/>
          <w:color w:val="000000"/>
          <w:vertAlign w:val="subscript"/>
        </w:rPr>
        <w:t>w2</w:t>
      </w:r>
      <w:r>
        <w:rPr>
          <w:rFonts w:ascii="Times New Roman"/>
          <w:b w:val="false"/>
          <w:i w:val="false"/>
          <w:color w:val="000000"/>
          <w:sz w:val="28"/>
        </w:rPr>
        <w:t>;</w:t>
      </w:r>
    </w:p>
    <w:bookmarkEnd w:id="4984"/>
    <w:bookmarkStart w:name="z4993" w:id="4985"/>
    <w:p>
      <w:pPr>
        <w:spacing w:after="0"/>
        <w:ind w:left="0"/>
        <w:jc w:val="both"/>
      </w:pPr>
      <w:r>
        <w:rPr>
          <w:rFonts w:ascii="Times New Roman"/>
          <w:b w:val="false"/>
          <w:i w:val="false"/>
          <w:color w:val="000000"/>
          <w:sz w:val="28"/>
        </w:rPr>
        <w:t xml:space="preserve">
      4) вычисляются и сравниваются площади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заштрихованные в приложении 192 настоящих Правил. Площадь </w:t>
      </w:r>
      <w:r>
        <w:rPr>
          <w:rFonts w:ascii="Times New Roman"/>
          <w:b w:val="false"/>
          <w:i/>
          <w:color w:val="000000"/>
          <w:sz w:val="28"/>
        </w:rPr>
        <w:t>b</w:t>
      </w:r>
      <w:r>
        <w:rPr>
          <w:rFonts w:ascii="Times New Roman"/>
          <w:b w:val="false"/>
          <w:i w:val="false"/>
          <w:color w:val="000000"/>
          <w:sz w:val="28"/>
        </w:rPr>
        <w:t xml:space="preserve"> ограничена кривой </w:t>
      </w:r>
      <w:r>
        <w:rPr>
          <w:rFonts w:ascii="Times New Roman"/>
          <w:b w:val="false"/>
          <w:i/>
          <w:color w:val="000000"/>
          <w:sz w:val="28"/>
        </w:rPr>
        <w:t>l</w:t>
      </w:r>
      <w:r>
        <w:rPr>
          <w:rFonts w:ascii="Times New Roman"/>
          <w:b w:val="false"/>
          <w:i w:val="false"/>
          <w:color w:val="000000"/>
          <w:sz w:val="28"/>
        </w:rPr>
        <w:t xml:space="preserve">(Ө) восстанавливающих плеч, горизонтальной прямой, соответствующей кренящему плечу </w:t>
      </w:r>
      <w:r>
        <w:rPr>
          <w:rFonts w:ascii="Times New Roman"/>
          <w:b w:val="false"/>
          <w:i/>
          <w:color w:val="000000"/>
          <w:sz w:val="28"/>
        </w:rPr>
        <w:t>l</w:t>
      </w:r>
      <w:r>
        <w:rPr>
          <w:rFonts w:ascii="Times New Roman"/>
          <w:b w:val="false"/>
          <w:i w:val="false"/>
          <w:color w:val="000000"/>
          <w:vertAlign w:val="subscript"/>
        </w:rPr>
        <w:t>w2</w:t>
      </w:r>
      <w:r>
        <w:rPr>
          <w:rFonts w:ascii="Times New Roman"/>
          <w:b w:val="false"/>
          <w:i w:val="false"/>
          <w:color w:val="000000"/>
          <w:sz w:val="28"/>
        </w:rPr>
        <w:t>, и углом крена Ө</w:t>
      </w:r>
      <w:r>
        <w:rPr>
          <w:rFonts w:ascii="Times New Roman"/>
          <w:b w:val="false"/>
          <w:i w:val="false"/>
          <w:color w:val="000000"/>
          <w:vertAlign w:val="subscript"/>
        </w:rPr>
        <w:t>w2</w:t>
      </w:r>
      <w:r>
        <w:rPr>
          <w:rFonts w:ascii="Times New Roman"/>
          <w:b w:val="false"/>
          <w:i w:val="false"/>
          <w:color w:val="000000"/>
          <w:sz w:val="28"/>
        </w:rPr>
        <w:t xml:space="preserve"> = 50</w:t>
      </w:r>
      <w:r>
        <w:rPr>
          <w:rFonts w:ascii="Times New Roman"/>
          <w:b w:val="false"/>
          <w:i w:val="false"/>
          <w:color w:val="000000"/>
          <w:vertAlign w:val="superscript"/>
        </w:rPr>
        <w:t>о</w:t>
      </w:r>
      <w:r>
        <w:rPr>
          <w:rFonts w:ascii="Times New Roman"/>
          <w:b w:val="false"/>
          <w:i w:val="false"/>
          <w:color w:val="000000"/>
          <w:sz w:val="28"/>
        </w:rPr>
        <w:t xml:space="preserve">, либо углом заливания </w:t>
      </w:r>
    </w:p>
    <w:bookmarkEnd w:id="4985"/>
    <w:p>
      <w:pPr>
        <w:spacing w:after="0"/>
        <w:ind w:left="0"/>
        <w:jc w:val="both"/>
      </w:pPr>
      <w:r>
        <w:drawing>
          <wp:inline distT="0" distB="0" distL="0" distR="0">
            <wp:extent cx="19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190500" cy="406400"/>
                    </a:xfrm>
                    <a:prstGeom prst="rect">
                      <a:avLst/>
                    </a:prstGeom>
                  </pic:spPr>
                </pic:pic>
              </a:graphicData>
            </a:graphic>
          </wp:inline>
        </w:drawing>
      </w:r>
    </w:p>
    <w:p>
      <w:pPr>
        <w:spacing w:after="0"/>
        <w:ind w:left="0"/>
        <w:jc w:val="left"/>
      </w:pPr>
      <w:r>
        <w:rPr>
          <w:rFonts w:ascii="Times New Roman"/>
          <w:b w:val="false"/>
          <w:i w:val="false"/>
          <w:color w:val="000000"/>
          <w:sz w:val="28"/>
        </w:rPr>
        <w:t>, либо углом крена Ө</w:t>
      </w:r>
      <w:r>
        <w:rPr>
          <w:rFonts w:ascii="Times New Roman"/>
          <w:b w:val="false"/>
          <w:i w:val="false"/>
          <w:color w:val="000000"/>
          <w:vertAlign w:val="subscript"/>
        </w:rPr>
        <w:t>с</w:t>
      </w:r>
      <w:r>
        <w:rPr>
          <w:rFonts w:ascii="Times New Roman"/>
          <w:b w:val="false"/>
          <w:i w:val="false"/>
          <w:color w:val="000000"/>
          <w:sz w:val="28"/>
        </w:rPr>
        <w:t xml:space="preserve">, соответствующим точке второго пересечения прямой </w:t>
      </w:r>
      <w:r>
        <w:rPr>
          <w:rFonts w:ascii="Times New Roman"/>
          <w:b w:val="false"/>
          <w:i/>
          <w:color w:val="000000"/>
          <w:sz w:val="28"/>
        </w:rPr>
        <w:t>l</w:t>
      </w:r>
      <w:r>
        <w:rPr>
          <w:rFonts w:ascii="Times New Roman"/>
          <w:b w:val="false"/>
          <w:i w:val="false"/>
          <w:color w:val="000000"/>
          <w:vertAlign w:val="subscript"/>
        </w:rPr>
        <w:t>w2</w:t>
      </w:r>
      <w:r>
        <w:rPr>
          <w:rFonts w:ascii="Times New Roman"/>
          <w:b w:val="false"/>
          <w:i w:val="false"/>
          <w:color w:val="000000"/>
          <w:sz w:val="28"/>
        </w:rPr>
        <w:t xml:space="preserve"> с кривой восстанавливающих плеч, в зависимости от того, какой из этих углов меньше.</w:t>
      </w:r>
      <w:r>
        <w:br/>
      </w:r>
      <w:r>
        <w:rPr>
          <w:rFonts w:ascii="Times New Roman"/>
          <w:b w:val="false"/>
          <w:i w:val="false"/>
          <w:color w:val="000000"/>
          <w:sz w:val="28"/>
        </w:rPr>
        <w:t>
</w:t>
      </w:r>
    </w:p>
    <w:bookmarkStart w:name="z4994" w:id="4986"/>
    <w:p>
      <w:pPr>
        <w:spacing w:after="0"/>
        <w:ind w:left="0"/>
        <w:jc w:val="both"/>
      </w:pPr>
      <w:r>
        <w:rPr>
          <w:rFonts w:ascii="Times New Roman"/>
          <w:b w:val="false"/>
          <w:i w:val="false"/>
          <w:color w:val="000000"/>
          <w:sz w:val="28"/>
        </w:rPr>
        <w:t xml:space="preserve">
      Площадь </w:t>
      </w:r>
      <w:r>
        <w:rPr>
          <w:rFonts w:ascii="Times New Roman"/>
          <w:b w:val="false"/>
          <w:i/>
          <w:color w:val="000000"/>
          <w:sz w:val="28"/>
        </w:rPr>
        <w:t>а</w:t>
      </w:r>
      <w:r>
        <w:rPr>
          <w:rFonts w:ascii="Times New Roman"/>
          <w:b w:val="false"/>
          <w:i w:val="false"/>
          <w:color w:val="000000"/>
          <w:sz w:val="28"/>
        </w:rPr>
        <w:t xml:space="preserve"> ограничена кривой восстанавливающих плеч, прямой </w:t>
      </w:r>
      <w:r>
        <w:rPr>
          <w:rFonts w:ascii="Times New Roman"/>
          <w:b w:val="false"/>
          <w:i/>
          <w:color w:val="000000"/>
          <w:sz w:val="28"/>
        </w:rPr>
        <w:t>l</w:t>
      </w:r>
      <w:r>
        <w:rPr>
          <w:rFonts w:ascii="Times New Roman"/>
          <w:b w:val="false"/>
          <w:i w:val="false"/>
          <w:color w:val="000000"/>
          <w:vertAlign w:val="subscript"/>
        </w:rPr>
        <w:t>w2</w:t>
      </w:r>
      <w:r>
        <w:rPr>
          <w:rFonts w:ascii="Times New Roman"/>
          <w:b w:val="false"/>
          <w:i w:val="false"/>
          <w:color w:val="000000"/>
          <w:sz w:val="28"/>
        </w:rPr>
        <w:t xml:space="preserve"> и углом крена, равным Ө</w:t>
      </w:r>
      <w:r>
        <w:rPr>
          <w:rFonts w:ascii="Times New Roman"/>
          <w:b w:val="false"/>
          <w:i w:val="false"/>
          <w:color w:val="000000"/>
          <w:vertAlign w:val="subscript"/>
        </w:rPr>
        <w:t>w1</w:t>
      </w:r>
      <w:r>
        <w:rPr>
          <w:rFonts w:ascii="Times New Roman"/>
          <w:b w:val="false"/>
          <w:i w:val="false"/>
          <w:color w:val="000000"/>
          <w:sz w:val="28"/>
        </w:rPr>
        <w:t xml:space="preserve"> – Ө</w:t>
      </w:r>
      <w:r>
        <w:rPr>
          <w:rFonts w:ascii="Times New Roman"/>
          <w:b w:val="false"/>
          <w:i w:val="false"/>
          <w:color w:val="000000"/>
          <w:vertAlign w:val="subscript"/>
        </w:rPr>
        <w:t>1r</w:t>
      </w:r>
      <w:r>
        <w:rPr>
          <w:rFonts w:ascii="Times New Roman"/>
          <w:b w:val="false"/>
          <w:i w:val="false"/>
          <w:color w:val="000000"/>
          <w:sz w:val="28"/>
        </w:rPr>
        <w:t>;</w:t>
      </w:r>
    </w:p>
    <w:bookmarkEnd w:id="4986"/>
    <w:bookmarkStart w:name="z4995" w:id="4987"/>
    <w:p>
      <w:pPr>
        <w:spacing w:after="0"/>
        <w:ind w:left="0"/>
        <w:jc w:val="both"/>
      </w:pPr>
      <w:r>
        <w:rPr>
          <w:rFonts w:ascii="Times New Roman"/>
          <w:b w:val="false"/>
          <w:i w:val="false"/>
          <w:color w:val="000000"/>
          <w:sz w:val="28"/>
        </w:rPr>
        <w:t xml:space="preserve">
      5) остойчивость судна по критерию погоды K = </w:t>
      </w:r>
      <w:r>
        <w:rPr>
          <w:rFonts w:ascii="Times New Roman"/>
          <w:b w:val="false"/>
          <w:i/>
          <w:color w:val="000000"/>
          <w:sz w:val="28"/>
        </w:rPr>
        <w:t>b/а</w:t>
      </w:r>
      <w:r>
        <w:rPr>
          <w:rFonts w:ascii="Times New Roman"/>
          <w:b w:val="false"/>
          <w:i w:val="false"/>
          <w:color w:val="000000"/>
          <w:sz w:val="28"/>
        </w:rPr>
        <w:t xml:space="preserve"> считается достаточной, если площадь </w:t>
      </w:r>
      <w:r>
        <w:rPr>
          <w:rFonts w:ascii="Times New Roman"/>
          <w:b w:val="false"/>
          <w:i/>
          <w:color w:val="000000"/>
          <w:sz w:val="28"/>
        </w:rPr>
        <w:t>b</w:t>
      </w:r>
      <w:r>
        <w:rPr>
          <w:rFonts w:ascii="Times New Roman"/>
          <w:b w:val="false"/>
          <w:i w:val="false"/>
          <w:color w:val="000000"/>
          <w:sz w:val="28"/>
        </w:rPr>
        <w:t xml:space="preserve"> равна или больше площади </w:t>
      </w:r>
      <w:r>
        <w:rPr>
          <w:rFonts w:ascii="Times New Roman"/>
          <w:b w:val="false"/>
          <w:i/>
          <w:color w:val="000000"/>
          <w:sz w:val="28"/>
        </w:rPr>
        <w:t>а</w:t>
      </w:r>
      <w:r>
        <w:rPr>
          <w:rFonts w:ascii="Times New Roman"/>
          <w:b w:val="false"/>
          <w:i w:val="false"/>
          <w:color w:val="000000"/>
          <w:sz w:val="28"/>
        </w:rPr>
        <w:t xml:space="preserve">, то есть K </w:t>
      </w:r>
      <w:r>
        <w:rPr>
          <w:rFonts w:ascii="Times New Roman"/>
          <w:b w:val="false"/>
          <w:i w:val="false"/>
          <w:color w:val="000000"/>
          <w:sz w:val="28"/>
          <w:u w:val="single"/>
        </w:rPr>
        <w:t>&gt;</w:t>
      </w:r>
      <w:r>
        <w:rPr>
          <w:rFonts w:ascii="Times New Roman"/>
          <w:b w:val="false"/>
          <w:i w:val="false"/>
          <w:color w:val="000000"/>
          <w:sz w:val="28"/>
        </w:rPr>
        <w:t xml:space="preserve"> 1. Для метеорологических судов значение критерия погоды K является в каждом случае предметом специального рассмотрения Регистром судоходства; при этом рекомендуется, чтобы эта величина была не менее 1,5.</w:t>
      </w:r>
    </w:p>
    <w:bookmarkEnd w:id="4987"/>
    <w:bookmarkStart w:name="z4996" w:id="4988"/>
    <w:p>
      <w:pPr>
        <w:spacing w:after="0"/>
        <w:ind w:left="0"/>
        <w:jc w:val="both"/>
      </w:pPr>
      <w:r>
        <w:rPr>
          <w:rFonts w:ascii="Times New Roman"/>
          <w:b w:val="false"/>
          <w:i w:val="false"/>
          <w:color w:val="000000"/>
          <w:sz w:val="28"/>
        </w:rPr>
        <w:t>
      1555. Статический угол крена Ө</w:t>
      </w:r>
      <w:r>
        <w:rPr>
          <w:rFonts w:ascii="Times New Roman"/>
          <w:b w:val="false"/>
          <w:i w:val="false"/>
          <w:color w:val="000000"/>
          <w:vertAlign w:val="subscript"/>
        </w:rPr>
        <w:t>w1</w:t>
      </w:r>
      <w:r>
        <w:rPr>
          <w:rFonts w:ascii="Times New Roman"/>
          <w:b w:val="false"/>
          <w:i w:val="false"/>
          <w:color w:val="000000"/>
          <w:sz w:val="28"/>
        </w:rPr>
        <w:t xml:space="preserve"> от действия постоянного ветра не должен превышать 16</w:t>
      </w:r>
      <w:r>
        <w:rPr>
          <w:rFonts w:ascii="Times New Roman"/>
          <w:b w:val="false"/>
          <w:i w:val="false"/>
          <w:color w:val="000000"/>
          <w:vertAlign w:val="superscript"/>
        </w:rPr>
        <w:t>о</w:t>
      </w:r>
      <w:r>
        <w:rPr>
          <w:rFonts w:ascii="Times New Roman"/>
          <w:b w:val="false"/>
          <w:i w:val="false"/>
          <w:color w:val="000000"/>
          <w:sz w:val="28"/>
        </w:rPr>
        <w:t>, либо угла, равного 0,8 угла входа в воду кромки открытой палубы, в зависимости от того, какой из них меньше.</w:t>
      </w:r>
    </w:p>
    <w:bookmarkEnd w:id="4988"/>
    <w:bookmarkStart w:name="z4997" w:id="4989"/>
    <w:p>
      <w:pPr>
        <w:spacing w:after="0"/>
        <w:ind w:left="0"/>
        <w:jc w:val="both"/>
      </w:pPr>
      <w:r>
        <w:rPr>
          <w:rFonts w:ascii="Times New Roman"/>
          <w:b w:val="false"/>
          <w:i w:val="false"/>
          <w:color w:val="000000"/>
          <w:sz w:val="28"/>
        </w:rPr>
        <w:t>
      Требования к статическому углу крена лесовозов и контейнеровозов изложены в главах 98 и 106 настоящих Правил.</w:t>
      </w:r>
    </w:p>
    <w:bookmarkEnd w:id="4989"/>
    <w:bookmarkStart w:name="z4998" w:id="4990"/>
    <w:p>
      <w:pPr>
        <w:spacing w:after="0"/>
        <w:ind w:left="0"/>
        <w:jc w:val="left"/>
      </w:pPr>
      <w:r>
        <w:rPr>
          <w:rFonts w:ascii="Times New Roman"/>
          <w:b/>
          <w:i w:val="false"/>
          <w:color w:val="000000"/>
        </w:rPr>
        <w:t xml:space="preserve"> Параграф 2. Расчет плеча кренящего момента от давления ветра</w:t>
      </w:r>
    </w:p>
    <w:bookmarkEnd w:id="4990"/>
    <w:bookmarkStart w:name="z4999" w:id="4991"/>
    <w:p>
      <w:pPr>
        <w:spacing w:after="0"/>
        <w:ind w:left="0"/>
        <w:jc w:val="both"/>
      </w:pPr>
      <w:r>
        <w:rPr>
          <w:rFonts w:ascii="Times New Roman"/>
          <w:b w:val="false"/>
          <w:i w:val="false"/>
          <w:color w:val="000000"/>
          <w:sz w:val="28"/>
        </w:rPr>
        <w:t xml:space="preserve">
      1556. Кренящее плечо </w:t>
      </w:r>
      <w:r>
        <w:rPr>
          <w:rFonts w:ascii="Times New Roman"/>
          <w:b w:val="false"/>
          <w:i/>
          <w:color w:val="000000"/>
          <w:sz w:val="28"/>
        </w:rPr>
        <w:t>l</w:t>
      </w:r>
      <w:r>
        <w:rPr>
          <w:rFonts w:ascii="Times New Roman"/>
          <w:b w:val="false"/>
          <w:i w:val="false"/>
          <w:color w:val="000000"/>
          <w:vertAlign w:val="subscript"/>
        </w:rPr>
        <w:t>w1</w:t>
      </w:r>
      <w:r>
        <w:rPr>
          <w:rFonts w:ascii="Times New Roman"/>
          <w:b w:val="false"/>
          <w:i w:val="false"/>
          <w:color w:val="000000"/>
          <w:sz w:val="28"/>
        </w:rPr>
        <w:t>, м, принимается постоянным для всех углов крена и рассчитывается по формуле:</w:t>
      </w:r>
    </w:p>
    <w:bookmarkEnd w:id="499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wl</w:t>
      </w:r>
      <w:r>
        <w:rPr>
          <w:rFonts w:ascii="Times New Roman"/>
          <w:b w:val="false"/>
          <w:i w:val="false"/>
          <w:color w:val="000000"/>
          <w:sz w:val="28"/>
        </w:rPr>
        <w:t xml:space="preserve"> = р</w:t>
      </w:r>
      <w:r>
        <w:rPr>
          <w:rFonts w:ascii="Times New Roman"/>
          <w:b w:val="false"/>
          <w:i w:val="false"/>
          <w:color w:val="000000"/>
          <w:vertAlign w:val="subscript"/>
        </w:rPr>
        <w:t>v</w:t>
      </w:r>
      <w:r>
        <w:rPr>
          <w:rFonts w:ascii="Times New Roman"/>
          <w:b w:val="false"/>
          <w:i w:val="false"/>
          <w:color w:val="000000"/>
          <w:sz w:val="28"/>
        </w:rPr>
        <w:t>A</w:t>
      </w:r>
      <w:r>
        <w:rPr>
          <w:rFonts w:ascii="Times New Roman"/>
          <w:b w:val="false"/>
          <w:i w:val="false"/>
          <w:color w:val="000000"/>
          <w:vertAlign w:val="subscript"/>
        </w:rPr>
        <w:t>v</w:t>
      </w:r>
      <w:r>
        <w:rPr>
          <w:rFonts w:ascii="Times New Roman"/>
          <w:b w:val="false"/>
          <w:i w:val="false"/>
          <w:color w:val="000000"/>
          <w:sz w:val="28"/>
        </w:rPr>
        <w:t>z</w:t>
      </w:r>
      <w:r>
        <w:rPr>
          <w:rFonts w:ascii="Times New Roman"/>
          <w:b w:val="false"/>
          <w:i w:val="false"/>
          <w:color w:val="000000"/>
          <w:vertAlign w:val="subscript"/>
        </w:rPr>
        <w:t>v</w:t>
      </w:r>
      <w:r>
        <w:rPr>
          <w:rFonts w:ascii="Times New Roman"/>
          <w:b w:val="false"/>
          <w:i w:val="false"/>
          <w:color w:val="000000"/>
          <w:sz w:val="28"/>
        </w:rPr>
        <w:t>/1000g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(599)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vertAlign w:val="subscript"/>
        </w:rPr>
        <w:t>v</w:t>
      </w:r>
      <w:r>
        <w:rPr>
          <w:rFonts w:ascii="Times New Roman"/>
          <w:b w:val="false"/>
          <w:i w:val="false"/>
          <w:color w:val="000000"/>
          <w:sz w:val="28"/>
        </w:rPr>
        <w:t xml:space="preserve"> — давление ветра, Па, определяемое по приложению 193 настоящих Правил в зависимости от района плавания судна;</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v</w:t>
      </w:r>
      <w:r>
        <w:rPr>
          <w:rFonts w:ascii="Times New Roman"/>
          <w:b w:val="false"/>
          <w:i w:val="false"/>
          <w:color w:val="000000"/>
          <w:sz w:val="28"/>
        </w:rPr>
        <w:t xml:space="preserve"> — плечо парусности, м, принимаемое равным измеренному по вертикали расстоянию от центра площади парусности A</w:t>
      </w:r>
      <w:r>
        <w:rPr>
          <w:rFonts w:ascii="Times New Roman"/>
          <w:b w:val="false"/>
          <w:i w:val="false"/>
          <w:color w:val="000000"/>
          <w:vertAlign w:val="subscript"/>
        </w:rPr>
        <w:t>v</w:t>
      </w:r>
      <w:r>
        <w:rPr>
          <w:rFonts w:ascii="Times New Roman"/>
          <w:b w:val="false"/>
          <w:i w:val="false"/>
          <w:color w:val="000000"/>
          <w:sz w:val="28"/>
        </w:rPr>
        <w:t xml:space="preserve"> до центра площади проекции подводной части корпуса на диаметральную плоскость, или, приближенно, до середины осадки судна;</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v</w:t>
      </w:r>
      <w:r>
        <w:rPr>
          <w:rFonts w:ascii="Times New Roman"/>
          <w:b w:val="false"/>
          <w:i w:val="false"/>
          <w:color w:val="000000"/>
          <w:sz w:val="28"/>
        </w:rPr>
        <w:t xml:space="preserve"> — площадь парусности, м</w:t>
      </w:r>
      <w:r>
        <w:rPr>
          <w:rFonts w:ascii="Times New Roman"/>
          <w:b w:val="false"/>
          <w:i w:val="false"/>
          <w:color w:val="000000"/>
          <w:vertAlign w:val="superscript"/>
        </w:rPr>
        <w:t>2</w:t>
      </w:r>
      <w:r>
        <w:rPr>
          <w:rFonts w:ascii="Times New Roman"/>
          <w:b w:val="false"/>
          <w:i w:val="false"/>
          <w:color w:val="000000"/>
          <w:sz w:val="28"/>
        </w:rPr>
        <w:t>, определяемая согласно параграфу 4 главы 91 настоящих Правил;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судна,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ускорение свободного падения, равное 9,81 м/с</w:t>
      </w:r>
      <w:r>
        <w:rPr>
          <w:rFonts w:ascii="Times New Roman"/>
          <w:b w:val="false"/>
          <w:i w:val="false"/>
          <w:color w:val="000000"/>
          <w:vertAlign w:val="superscript"/>
        </w:rPr>
        <w:t>2</w:t>
      </w:r>
      <w:r>
        <w:rPr>
          <w:rFonts w:ascii="Times New Roman"/>
          <w:b w:val="false"/>
          <w:i w:val="false"/>
          <w:color w:val="000000"/>
          <w:sz w:val="28"/>
        </w:rPr>
        <w:t>.</w:t>
      </w:r>
    </w:p>
    <w:bookmarkStart w:name="z5000" w:id="4992"/>
    <w:p>
      <w:pPr>
        <w:spacing w:after="0"/>
        <w:ind w:left="0"/>
        <w:jc w:val="both"/>
      </w:pPr>
      <w:r>
        <w:rPr>
          <w:rFonts w:ascii="Times New Roman"/>
          <w:b w:val="false"/>
          <w:i w:val="false"/>
          <w:color w:val="000000"/>
          <w:sz w:val="28"/>
        </w:rPr>
        <w:t xml:space="preserve">
      Кренящее плечо </w:t>
      </w:r>
      <w:r>
        <w:rPr>
          <w:rFonts w:ascii="Times New Roman"/>
          <w:b w:val="false"/>
          <w:i/>
          <w:color w:val="000000"/>
          <w:sz w:val="28"/>
        </w:rPr>
        <w:t>l</w:t>
      </w:r>
      <w:r>
        <w:rPr>
          <w:rFonts w:ascii="Times New Roman"/>
          <w:b w:val="false"/>
          <w:i w:val="false"/>
          <w:color w:val="000000"/>
          <w:vertAlign w:val="subscript"/>
        </w:rPr>
        <w:t>w2</w:t>
      </w:r>
      <w:r>
        <w:rPr>
          <w:rFonts w:ascii="Times New Roman"/>
          <w:b w:val="false"/>
          <w:i w:val="false"/>
          <w:color w:val="000000"/>
          <w:sz w:val="28"/>
        </w:rPr>
        <w:t xml:space="preserve"> определяется по формуле:</w:t>
      </w:r>
    </w:p>
    <w:bookmarkEnd w:id="4992"/>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w2</w:t>
      </w:r>
      <w:r>
        <w:rPr>
          <w:rFonts w:ascii="Times New Roman"/>
          <w:b w:val="false"/>
          <w:i w:val="false"/>
          <w:color w:val="000000"/>
          <w:sz w:val="28"/>
        </w:rPr>
        <w:t xml:space="preserve"> = 1,5 </w:t>
      </w:r>
      <w:r>
        <w:rPr>
          <w:rFonts w:ascii="Times New Roman"/>
          <w:b w:val="false"/>
          <w:i/>
          <w:color w:val="000000"/>
          <w:sz w:val="28"/>
        </w:rPr>
        <w:t>l</w:t>
      </w:r>
      <w:r>
        <w:rPr>
          <w:rFonts w:ascii="Times New Roman"/>
          <w:b w:val="false"/>
          <w:i w:val="false"/>
          <w:color w:val="000000"/>
          <w:vertAlign w:val="subscript"/>
        </w:rPr>
        <w:t>w1</w:t>
      </w:r>
      <w:r>
        <w:rPr>
          <w:rFonts w:ascii="Times New Roman"/>
          <w:b w:val="false"/>
          <w:i w:val="false"/>
          <w:color w:val="000000"/>
          <w:sz w:val="28"/>
        </w:rPr>
        <w:t>.                           (600)</w:t>
      </w:r>
    </w:p>
    <w:bookmarkStart w:name="z5001" w:id="4993"/>
    <w:p>
      <w:pPr>
        <w:spacing w:after="0"/>
        <w:ind w:left="0"/>
        <w:jc w:val="both"/>
      </w:pPr>
      <w:r>
        <w:rPr>
          <w:rFonts w:ascii="Times New Roman"/>
          <w:b w:val="false"/>
          <w:i w:val="false"/>
          <w:color w:val="000000"/>
          <w:sz w:val="28"/>
        </w:rPr>
        <w:t>
      1557. Для рыболовных судов длиной от 24 до 45 м давление ветра в формуле (599) настоящих Правил принимается по приложению 194 настоящих Правил в зависимости от расстояния Z от центра площади парусности до ватерлинии.</w:t>
      </w:r>
    </w:p>
    <w:bookmarkEnd w:id="4993"/>
    <w:bookmarkStart w:name="z5002" w:id="4994"/>
    <w:p>
      <w:pPr>
        <w:spacing w:after="0"/>
        <w:ind w:left="0"/>
        <w:jc w:val="both"/>
      </w:pPr>
      <w:r>
        <w:rPr>
          <w:rFonts w:ascii="Times New Roman"/>
          <w:b w:val="false"/>
          <w:i w:val="false"/>
          <w:color w:val="000000"/>
          <w:sz w:val="28"/>
        </w:rPr>
        <w:t>
      1558. Суда, остойчивость которых по критерию погоды не отвечает требованиям, предъявляемым к судам ограниченного района плавания R2, допускаются к эксплуатации как суда ограниченного района плавания R3 с установлением для них дополнительных ограничений по усмотрению Регистра судоходства с учетом особенностей района плавания и характера эксплуатации.</w:t>
      </w:r>
    </w:p>
    <w:bookmarkEnd w:id="4994"/>
    <w:bookmarkStart w:name="z5003" w:id="4995"/>
    <w:p>
      <w:pPr>
        <w:spacing w:after="0"/>
        <w:ind w:left="0"/>
        <w:jc w:val="both"/>
      </w:pPr>
      <w:r>
        <w:rPr>
          <w:rFonts w:ascii="Times New Roman"/>
          <w:b w:val="false"/>
          <w:i w:val="false"/>
          <w:color w:val="000000"/>
          <w:sz w:val="28"/>
        </w:rPr>
        <w:t>
      Требования к остойчивости плавучих кранов и крановых судов изложены в главе 109 настоящих Правил.</w:t>
      </w:r>
    </w:p>
    <w:bookmarkEnd w:id="4995"/>
    <w:bookmarkStart w:name="z5004" w:id="4996"/>
    <w:p>
      <w:pPr>
        <w:spacing w:after="0"/>
        <w:ind w:left="0"/>
        <w:jc w:val="left"/>
      </w:pPr>
      <w:r>
        <w:rPr>
          <w:rFonts w:ascii="Times New Roman"/>
          <w:b/>
          <w:i w:val="false"/>
          <w:color w:val="000000"/>
        </w:rPr>
        <w:t xml:space="preserve"> Параграф 3. Расчет амплитуды качки</w:t>
      </w:r>
    </w:p>
    <w:bookmarkEnd w:id="4996"/>
    <w:bookmarkStart w:name="z5005" w:id="4997"/>
    <w:p>
      <w:pPr>
        <w:spacing w:after="0"/>
        <w:ind w:left="0"/>
        <w:jc w:val="both"/>
      </w:pPr>
      <w:r>
        <w:rPr>
          <w:rFonts w:ascii="Times New Roman"/>
          <w:b w:val="false"/>
          <w:i w:val="false"/>
          <w:color w:val="000000"/>
          <w:sz w:val="28"/>
        </w:rPr>
        <w:t>
      1559. Амплитуда качки судна с круглой скулой, град., вычисляется по формуле:</w:t>
      </w:r>
    </w:p>
    <w:bookmarkEnd w:id="4997"/>
    <w:p>
      <w:pPr>
        <w:spacing w:after="0"/>
        <w:ind w:left="0"/>
        <w:jc w:val="both"/>
      </w:pPr>
      <w:r>
        <w:rPr>
          <w:rFonts w:ascii="Times New Roman"/>
          <w:b w:val="false"/>
          <w:i w:val="false"/>
          <w:color w:val="000000"/>
          <w:sz w:val="28"/>
        </w:rPr>
        <w:t>
      Ө</w:t>
      </w:r>
      <w:r>
        <w:rPr>
          <w:rFonts w:ascii="Times New Roman"/>
          <w:b w:val="false"/>
          <w:i w:val="false"/>
          <w:color w:val="000000"/>
          <w:vertAlign w:val="subscript"/>
        </w:rPr>
        <w:t>1r</w:t>
      </w:r>
      <w:r>
        <w:rPr>
          <w:rFonts w:ascii="Times New Roman"/>
          <w:b w:val="false"/>
          <w:i w:val="false"/>
          <w:color w:val="000000"/>
          <w:sz w:val="28"/>
        </w:rPr>
        <w:t xml:space="preserve"> = 109</w:t>
      </w:r>
      <w:r>
        <w:rPr>
          <w:rFonts w:ascii="Times New Roman"/>
          <w:b w:val="false"/>
          <w:i/>
          <w:color w:val="000000"/>
          <w:sz w:val="28"/>
        </w:rPr>
        <w:t>kX</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2</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(602)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коэффициент, учитывающий влияние скуловых и/или брускового килей и определяемый в соответствии с пунктом 1760 настоящих Правил; значение </w:t>
      </w:r>
      <w:r>
        <w:rPr>
          <w:rFonts w:ascii="Times New Roman"/>
          <w:b w:val="false"/>
          <w:i/>
          <w:color w:val="000000"/>
          <w:sz w:val="28"/>
        </w:rPr>
        <w:t>k</w:t>
      </w:r>
      <w:r>
        <w:rPr>
          <w:rFonts w:ascii="Times New Roman"/>
          <w:b w:val="false"/>
          <w:i w:val="false"/>
          <w:color w:val="000000"/>
          <w:sz w:val="28"/>
        </w:rPr>
        <w:t xml:space="preserve"> принимается равным 1, если кили отсутствуют;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 безразмерный множитель, определяемый по приложению 195 настоящих Правил в зависимости от отношения ширины к осадке </w:t>
      </w:r>
      <w:r>
        <w:rPr>
          <w:rFonts w:ascii="Times New Roman"/>
          <w:b w:val="false"/>
          <w:i/>
          <w:color w:val="000000"/>
          <w:sz w:val="28"/>
        </w:rPr>
        <w:t>B/d</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2</w:t>
      </w:r>
      <w:r>
        <w:rPr>
          <w:rFonts w:ascii="Times New Roman"/>
          <w:b w:val="false"/>
          <w:i w:val="false"/>
          <w:color w:val="000000"/>
          <w:sz w:val="28"/>
        </w:rPr>
        <w:t xml:space="preserve"> — безразмерный множитель, определяемый по приложению 196 настоящих Правил в зависимости от коэффициента общей полноты судна С</w:t>
      </w:r>
      <w:r>
        <w:rPr>
          <w:rFonts w:ascii="Times New Roman"/>
          <w:b w:val="false"/>
          <w:i w:val="false"/>
          <w:color w:val="000000"/>
          <w:vertAlign w:val="subscript"/>
        </w:rPr>
        <w:t>в</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параметр, определяемый по формуле </w:t>
      </w:r>
      <w:r>
        <w:rPr>
          <w:rFonts w:ascii="Times New Roman"/>
          <w:b w:val="false"/>
          <w:i/>
          <w:color w:val="000000"/>
          <w:sz w:val="28"/>
        </w:rPr>
        <w:t>r</w:t>
      </w:r>
      <w:r>
        <w:rPr>
          <w:rFonts w:ascii="Times New Roman"/>
          <w:b w:val="false"/>
          <w:i w:val="false"/>
          <w:color w:val="000000"/>
          <w:sz w:val="28"/>
        </w:rPr>
        <w:t xml:space="preserve"> = 0,73 + 0,6(z</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Значение </w:t>
      </w:r>
      <w:r>
        <w:rPr>
          <w:rFonts w:ascii="Times New Roman"/>
          <w:b w:val="false"/>
          <w:i/>
          <w:color w:val="000000"/>
          <w:sz w:val="28"/>
        </w:rPr>
        <w:t>r</w:t>
      </w:r>
      <w:r>
        <w:rPr>
          <w:rFonts w:ascii="Times New Roman"/>
          <w:b w:val="false"/>
          <w:i w:val="false"/>
          <w:color w:val="000000"/>
          <w:sz w:val="28"/>
        </w:rPr>
        <w:t xml:space="preserve"> не принимается больше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безразмерный множитель, определяемый по приложению 197 настоящих Правил в зависимости от района плавания судна и периода качки </w:t>
      </w:r>
      <w:r>
        <w:rPr>
          <w:rFonts w:ascii="Times New Roman"/>
          <w:b w:val="false"/>
          <w:i/>
          <w:color w:val="000000"/>
          <w:sz w:val="28"/>
        </w:rPr>
        <w:t>Т</w:t>
      </w:r>
      <w:r>
        <w:rPr>
          <w:rFonts w:ascii="Times New Roman"/>
          <w:b w:val="false"/>
          <w:i w:val="false"/>
          <w:color w:val="000000"/>
          <w:sz w:val="28"/>
        </w:rPr>
        <w:t>, который рассчитывается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2сВ/</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 = 0,373 + 0,023B/d – 0,043L</w:t>
      </w:r>
      <w:r>
        <w:rPr>
          <w:rFonts w:ascii="Times New Roman"/>
          <w:b w:val="false"/>
          <w:i w:val="false"/>
          <w:color w:val="000000"/>
          <w:vertAlign w:val="subscript"/>
        </w:rPr>
        <w:t>wl</w:t>
      </w:r>
      <w:r>
        <w:rPr>
          <w:rFonts w:ascii="Times New Roman"/>
          <w:b w:val="false"/>
          <w:i w:val="false"/>
          <w:color w:val="000000"/>
          <w:sz w:val="28"/>
        </w:rPr>
        <w:t>/100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исправленная метацентрическая высота (с поправкой на свободные поверхности жидких грузов);</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wl</w:t>
      </w:r>
      <w:r>
        <w:rPr>
          <w:rFonts w:ascii="Times New Roman"/>
          <w:b w:val="false"/>
          <w:i w:val="false"/>
          <w:color w:val="000000"/>
          <w:sz w:val="28"/>
        </w:rPr>
        <w:t xml:space="preserve"> — длина судна по ватерлинии.</w:t>
      </w:r>
    </w:p>
    <w:bookmarkStart w:name="z5006" w:id="4998"/>
    <w:p>
      <w:pPr>
        <w:spacing w:after="0"/>
        <w:ind w:left="0"/>
        <w:jc w:val="both"/>
      </w:pPr>
      <w:r>
        <w:rPr>
          <w:rFonts w:ascii="Times New Roman"/>
          <w:b w:val="false"/>
          <w:i w:val="false"/>
          <w:color w:val="000000"/>
          <w:sz w:val="28"/>
        </w:rPr>
        <w:t xml:space="preserve">
      1560. Для судов, имеющих скуловые кили или брусковый киль, или то и другое вместе, коэффициент </w:t>
      </w:r>
      <w:r>
        <w:rPr>
          <w:rFonts w:ascii="Times New Roman"/>
          <w:b w:val="false"/>
          <w:i/>
          <w:color w:val="000000"/>
          <w:sz w:val="28"/>
        </w:rPr>
        <w:t>k</w:t>
      </w:r>
      <w:r>
        <w:rPr>
          <w:rFonts w:ascii="Times New Roman"/>
          <w:b w:val="false"/>
          <w:i w:val="false"/>
          <w:color w:val="000000"/>
          <w:sz w:val="28"/>
        </w:rPr>
        <w:t xml:space="preserve"> определяется по приложению 198 настоящих Правил в зависимости от отношения A</w:t>
      </w:r>
      <w:r>
        <w:rPr>
          <w:rFonts w:ascii="Times New Roman"/>
          <w:b w:val="false"/>
          <w:i w:val="false"/>
          <w:color w:val="000000"/>
          <w:vertAlign w:val="subscript"/>
        </w:rPr>
        <w:t>k</w:t>
      </w:r>
      <w:r>
        <w:rPr>
          <w:rFonts w:ascii="Times New Roman"/>
          <w:b w:val="false"/>
          <w:i w:val="false"/>
          <w:color w:val="000000"/>
          <w:sz w:val="28"/>
        </w:rPr>
        <w:t>/L</w:t>
      </w:r>
      <w:r>
        <w:rPr>
          <w:rFonts w:ascii="Times New Roman"/>
          <w:b w:val="false"/>
          <w:i w:val="false"/>
          <w:color w:val="000000"/>
          <w:vertAlign w:val="subscript"/>
        </w:rPr>
        <w:t>wl</w:t>
      </w:r>
      <w:r>
        <w:rPr>
          <w:rFonts w:ascii="Times New Roman"/>
          <w:b w:val="false"/>
          <w:i w:val="false"/>
          <w:color w:val="000000"/>
          <w:sz w:val="28"/>
        </w:rPr>
        <w:t>, в котором A</w:t>
      </w:r>
      <w:r>
        <w:rPr>
          <w:rFonts w:ascii="Times New Roman"/>
          <w:b w:val="false"/>
          <w:i w:val="false"/>
          <w:color w:val="000000"/>
          <w:vertAlign w:val="subscript"/>
        </w:rPr>
        <w:t>k</w:t>
      </w:r>
      <w:r>
        <w:rPr>
          <w:rFonts w:ascii="Times New Roman"/>
          <w:b w:val="false"/>
          <w:i w:val="false"/>
          <w:color w:val="000000"/>
          <w:sz w:val="28"/>
        </w:rPr>
        <w:t xml:space="preserve"> — суммарная габаритная площадь скуловых килей, либо площадь боковой проекции брускового киля, либо сумма этих площадей, м</w:t>
      </w:r>
      <w:r>
        <w:rPr>
          <w:rFonts w:ascii="Times New Roman"/>
          <w:b w:val="false"/>
          <w:i w:val="false"/>
          <w:color w:val="000000"/>
          <w:vertAlign w:val="superscript"/>
        </w:rPr>
        <w:t>2</w:t>
      </w:r>
      <w:r>
        <w:rPr>
          <w:rFonts w:ascii="Times New Roman"/>
          <w:b w:val="false"/>
          <w:i w:val="false"/>
          <w:color w:val="000000"/>
          <w:sz w:val="28"/>
        </w:rPr>
        <w:t>.</w:t>
      </w:r>
    </w:p>
    <w:bookmarkEnd w:id="4998"/>
    <w:bookmarkStart w:name="z5007" w:id="4999"/>
    <w:p>
      <w:pPr>
        <w:spacing w:after="0"/>
        <w:ind w:left="0"/>
        <w:jc w:val="both"/>
      </w:pPr>
      <w:r>
        <w:rPr>
          <w:rFonts w:ascii="Times New Roman"/>
          <w:b w:val="false"/>
          <w:i w:val="false"/>
          <w:color w:val="000000"/>
          <w:sz w:val="28"/>
        </w:rPr>
        <w:t xml:space="preserve">
      1561. При расчете амплитуды качки по формуле (601) настоящих Правил для судна с острой скулой коэффициент </w:t>
      </w:r>
      <w:r>
        <w:rPr>
          <w:rFonts w:ascii="Times New Roman"/>
          <w:b w:val="false"/>
          <w:i/>
          <w:color w:val="000000"/>
          <w:sz w:val="28"/>
        </w:rPr>
        <w:t>k</w:t>
      </w:r>
      <w:r>
        <w:rPr>
          <w:rFonts w:ascii="Times New Roman"/>
          <w:b w:val="false"/>
          <w:i w:val="false"/>
          <w:color w:val="000000"/>
          <w:sz w:val="28"/>
        </w:rPr>
        <w:t xml:space="preserve"> следует принимать равным 0,7.</w:t>
      </w:r>
    </w:p>
    <w:bookmarkEnd w:id="4999"/>
    <w:bookmarkStart w:name="z5008" w:id="5000"/>
    <w:p>
      <w:pPr>
        <w:spacing w:after="0"/>
        <w:ind w:left="0"/>
        <w:jc w:val="both"/>
      </w:pPr>
      <w:r>
        <w:rPr>
          <w:rFonts w:ascii="Times New Roman"/>
          <w:b w:val="false"/>
          <w:i w:val="false"/>
          <w:color w:val="000000"/>
          <w:sz w:val="28"/>
        </w:rPr>
        <w:t>
      1562. Амплитуда качки судов, снабженных успокоителями качки, определяется без учета их работы.</w:t>
      </w:r>
    </w:p>
    <w:bookmarkEnd w:id="5000"/>
    <w:bookmarkStart w:name="z5009" w:id="5001"/>
    <w:p>
      <w:pPr>
        <w:spacing w:after="0"/>
        <w:ind w:left="0"/>
        <w:jc w:val="both"/>
      </w:pPr>
      <w:r>
        <w:rPr>
          <w:rFonts w:ascii="Times New Roman"/>
          <w:b w:val="false"/>
          <w:i w:val="false"/>
          <w:color w:val="000000"/>
          <w:sz w:val="28"/>
        </w:rPr>
        <w:t>
      1563. Промежуточные величины в приложениях 195 – 198 настоящих Правил определяются путем линейной интерполяции. Расчетные значения амплитуды качки следует округлить до целых градусов.</w:t>
      </w:r>
    </w:p>
    <w:bookmarkEnd w:id="5001"/>
    <w:bookmarkStart w:name="z5010" w:id="5002"/>
    <w:p>
      <w:pPr>
        <w:spacing w:after="0"/>
        <w:ind w:left="0"/>
        <w:jc w:val="left"/>
      </w:pPr>
      <w:r>
        <w:rPr>
          <w:rFonts w:ascii="Times New Roman"/>
          <w:b/>
          <w:i w:val="false"/>
          <w:color w:val="000000"/>
        </w:rPr>
        <w:t xml:space="preserve"> Глава 95. Диаграмма статической остойчивости</w:t>
      </w:r>
    </w:p>
    <w:bookmarkEnd w:id="5002"/>
    <w:p>
      <w:pPr>
        <w:spacing w:after="0"/>
        <w:ind w:left="0"/>
        <w:jc w:val="both"/>
      </w:pPr>
      <w:r>
        <w:rPr>
          <w:rFonts w:ascii="Times New Roman"/>
          <w:b w:val="false"/>
          <w:i w:val="false"/>
          <w:color w:val="ff0000"/>
          <w:sz w:val="28"/>
        </w:rPr>
        <w:t xml:space="preserve">
      Сноска. Заголовок главы 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11" w:id="5003"/>
    <w:p>
      <w:pPr>
        <w:spacing w:after="0"/>
        <w:ind w:left="0"/>
        <w:jc w:val="both"/>
      </w:pPr>
      <w:r>
        <w:rPr>
          <w:rFonts w:ascii="Times New Roman"/>
          <w:b w:val="false"/>
          <w:i w:val="false"/>
          <w:color w:val="000000"/>
          <w:sz w:val="28"/>
        </w:rPr>
        <w:t>
      1564. Площадь под положительной частью диаграммы статической остойчивости равна не менее, чем 0,055 м•рад до угла крена 30</w:t>
      </w:r>
      <w:r>
        <w:rPr>
          <w:rFonts w:ascii="Times New Roman"/>
          <w:b w:val="false"/>
          <w:i w:val="false"/>
          <w:color w:val="000000"/>
          <w:vertAlign w:val="superscript"/>
        </w:rPr>
        <w:t>о</w:t>
      </w:r>
      <w:r>
        <w:rPr>
          <w:rFonts w:ascii="Times New Roman"/>
          <w:b w:val="false"/>
          <w:i w:val="false"/>
          <w:color w:val="000000"/>
          <w:sz w:val="28"/>
        </w:rPr>
        <w:t xml:space="preserve"> и не менее, чем 0,09 м•рад до угла крена 40</w:t>
      </w:r>
      <w:r>
        <w:rPr>
          <w:rFonts w:ascii="Times New Roman"/>
          <w:b w:val="false"/>
          <w:i w:val="false"/>
          <w:color w:val="000000"/>
          <w:vertAlign w:val="superscript"/>
        </w:rPr>
        <w:t>о</w:t>
      </w:r>
      <w:r>
        <w:rPr>
          <w:rFonts w:ascii="Times New Roman"/>
          <w:b w:val="false"/>
          <w:i w:val="false"/>
          <w:color w:val="000000"/>
          <w:sz w:val="28"/>
        </w:rPr>
        <w:t>. Дополнительно, площадь между углами крена 30Ү и 40</w:t>
      </w:r>
      <w:r>
        <w:rPr>
          <w:rFonts w:ascii="Times New Roman"/>
          <w:b w:val="false"/>
          <w:i w:val="false"/>
          <w:color w:val="000000"/>
          <w:vertAlign w:val="superscript"/>
        </w:rPr>
        <w:t>о</w:t>
      </w:r>
      <w:r>
        <w:rPr>
          <w:rFonts w:ascii="Times New Roman"/>
          <w:b w:val="false"/>
          <w:i w:val="false"/>
          <w:color w:val="000000"/>
          <w:sz w:val="28"/>
        </w:rPr>
        <w:t xml:space="preserve"> равна не менее 0,03 м•рад.</w:t>
      </w:r>
    </w:p>
    <w:bookmarkEnd w:id="5003"/>
    <w:bookmarkStart w:name="z5012" w:id="5004"/>
    <w:p>
      <w:pPr>
        <w:spacing w:after="0"/>
        <w:ind w:left="0"/>
        <w:jc w:val="both"/>
      </w:pPr>
      <w:r>
        <w:rPr>
          <w:rFonts w:ascii="Times New Roman"/>
          <w:b w:val="false"/>
          <w:i w:val="false"/>
          <w:color w:val="000000"/>
          <w:sz w:val="28"/>
        </w:rPr>
        <w:t xml:space="preserve">
      Максимальное плечо диаграммы статической остойчивости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не менее 0,25 м для судов длиной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80 м и 0,20 м для судов длиной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 xml:space="preserve">&gt; </w:t>
      </w:r>
      <w:r>
        <w:rPr>
          <w:rFonts w:ascii="Times New Roman"/>
          <w:b w:val="false"/>
          <w:i w:val="false"/>
          <w:color w:val="000000"/>
          <w:sz w:val="28"/>
        </w:rPr>
        <w:t xml:space="preserve">105 м при угле крена Ө </w:t>
      </w:r>
      <w:r>
        <w:rPr>
          <w:rFonts w:ascii="Times New Roman"/>
          <w:b w:val="false"/>
          <w:i w:val="false"/>
          <w:color w:val="000000"/>
          <w:sz w:val="28"/>
          <w:u w:val="single"/>
        </w:rPr>
        <w:t>&gt;</w:t>
      </w:r>
      <w:r>
        <w:rPr>
          <w:rFonts w:ascii="Times New Roman"/>
          <w:b w:val="false"/>
          <w:i w:val="false"/>
          <w:color w:val="000000"/>
          <w:sz w:val="28"/>
        </w:rPr>
        <w:t xml:space="preserve"> 30</w:t>
      </w:r>
      <w:r>
        <w:rPr>
          <w:rFonts w:ascii="Times New Roman"/>
          <w:b w:val="false"/>
          <w:i w:val="false"/>
          <w:color w:val="000000"/>
          <w:vertAlign w:val="superscript"/>
        </w:rPr>
        <w:t>o</w:t>
      </w:r>
      <w:r>
        <w:rPr>
          <w:rFonts w:ascii="Times New Roman"/>
          <w:b w:val="false"/>
          <w:i w:val="false"/>
          <w:color w:val="000000"/>
          <w:sz w:val="28"/>
        </w:rPr>
        <w:t xml:space="preserve">. Для промежуточных значений </w:t>
      </w:r>
      <w:r>
        <w:rPr>
          <w:rFonts w:ascii="Times New Roman"/>
          <w:b w:val="false"/>
          <w:i/>
          <w:color w:val="000000"/>
          <w:sz w:val="28"/>
        </w:rPr>
        <w:t>L</w:t>
      </w:r>
      <w:r>
        <w:rPr>
          <w:rFonts w:ascii="Times New Roman"/>
          <w:b w:val="false"/>
          <w:i w:val="false"/>
          <w:color w:val="000000"/>
          <w:sz w:val="28"/>
        </w:rPr>
        <w:t xml:space="preserve"> величина плеча определяется линейной интерполяцией.</w:t>
      </w:r>
    </w:p>
    <w:bookmarkEnd w:id="5004"/>
    <w:bookmarkStart w:name="z5013" w:id="5005"/>
    <w:p>
      <w:pPr>
        <w:spacing w:after="0"/>
        <w:ind w:left="0"/>
        <w:jc w:val="both"/>
      </w:pPr>
      <w:r>
        <w:rPr>
          <w:rFonts w:ascii="Times New Roman"/>
          <w:b w:val="false"/>
          <w:i w:val="false"/>
          <w:color w:val="000000"/>
          <w:sz w:val="28"/>
        </w:rPr>
        <w:t>
      По согласованию с Регистром судоходства угол, соответствующий максимуму диаграммы статической остойчивости, возможно уменьшить до 25</w:t>
      </w:r>
      <w:r>
        <w:rPr>
          <w:rFonts w:ascii="Times New Roman"/>
          <w:b w:val="false"/>
          <w:i w:val="false"/>
          <w:color w:val="000000"/>
          <w:vertAlign w:val="superscript"/>
        </w:rPr>
        <w:t>o</w:t>
      </w:r>
      <w:r>
        <w:rPr>
          <w:rFonts w:ascii="Times New Roman"/>
          <w:b w:val="false"/>
          <w:i w:val="false"/>
          <w:color w:val="000000"/>
          <w:sz w:val="28"/>
        </w:rPr>
        <w:t>.</w:t>
      </w:r>
    </w:p>
    <w:bookmarkEnd w:id="5005"/>
    <w:bookmarkStart w:name="z5014" w:id="5006"/>
    <w:p>
      <w:pPr>
        <w:spacing w:after="0"/>
        <w:ind w:left="0"/>
        <w:jc w:val="both"/>
      </w:pPr>
      <w:r>
        <w:rPr>
          <w:rFonts w:ascii="Times New Roman"/>
          <w:b w:val="false"/>
          <w:i w:val="false"/>
          <w:color w:val="000000"/>
          <w:sz w:val="28"/>
        </w:rPr>
        <w:t>
      При наличии у диаграммы статической остойчивости двух максимумов вследствие влияния надстроек или рубок требуется, чтобы первый от прямого положения максимум диаграммы наступил при крене не менее 25</w:t>
      </w:r>
      <w:r>
        <w:rPr>
          <w:rFonts w:ascii="Times New Roman"/>
          <w:b w:val="false"/>
          <w:i w:val="false"/>
          <w:color w:val="000000"/>
          <w:vertAlign w:val="superscript"/>
        </w:rPr>
        <w:t>o</w:t>
      </w:r>
      <w:r>
        <w:rPr>
          <w:rFonts w:ascii="Times New Roman"/>
          <w:b w:val="false"/>
          <w:i w:val="false"/>
          <w:color w:val="000000"/>
          <w:sz w:val="28"/>
        </w:rPr>
        <w:t>.</w:t>
      </w:r>
    </w:p>
    <w:bookmarkEnd w:id="5006"/>
    <w:bookmarkStart w:name="z5015" w:id="5007"/>
    <w:p>
      <w:pPr>
        <w:spacing w:after="0"/>
        <w:ind w:left="0"/>
        <w:jc w:val="both"/>
      </w:pPr>
      <w:r>
        <w:rPr>
          <w:rFonts w:ascii="Times New Roman"/>
          <w:b w:val="false"/>
          <w:i w:val="false"/>
          <w:color w:val="000000"/>
          <w:sz w:val="28"/>
        </w:rPr>
        <w:t>
      Предел положительной статической остойчивости (закат диаграммы) равен не менее 60</w:t>
      </w:r>
      <w:r>
        <w:rPr>
          <w:rFonts w:ascii="Times New Roman"/>
          <w:b w:val="false"/>
          <w:i w:val="false"/>
          <w:color w:val="000000"/>
          <w:vertAlign w:val="superscript"/>
        </w:rPr>
        <w:t>о</w:t>
      </w:r>
      <w:r>
        <w:rPr>
          <w:rFonts w:ascii="Times New Roman"/>
          <w:b w:val="false"/>
          <w:i w:val="false"/>
          <w:color w:val="000000"/>
          <w:sz w:val="28"/>
        </w:rPr>
        <w:t>. Однако для судов ограниченного района плавания R3-RSN его уменьшают до 50</w:t>
      </w:r>
      <w:r>
        <w:rPr>
          <w:rFonts w:ascii="Times New Roman"/>
          <w:b w:val="false"/>
          <w:i w:val="false"/>
          <w:color w:val="000000"/>
          <w:vertAlign w:val="superscript"/>
        </w:rPr>
        <w:t>о</w:t>
      </w:r>
      <w:r>
        <w:rPr>
          <w:rFonts w:ascii="Times New Roman"/>
          <w:b w:val="false"/>
          <w:i w:val="false"/>
          <w:color w:val="000000"/>
          <w:sz w:val="28"/>
        </w:rPr>
        <w:t xml:space="preserve"> при условии, что на каждый 1</w:t>
      </w:r>
      <w:r>
        <w:rPr>
          <w:rFonts w:ascii="Times New Roman"/>
          <w:b w:val="false"/>
          <w:i w:val="false"/>
          <w:color w:val="000000"/>
          <w:vertAlign w:val="superscript"/>
        </w:rPr>
        <w:t>о</w:t>
      </w:r>
      <w:r>
        <w:rPr>
          <w:rFonts w:ascii="Times New Roman"/>
          <w:b w:val="false"/>
          <w:i w:val="false"/>
          <w:color w:val="000000"/>
          <w:sz w:val="28"/>
        </w:rPr>
        <w:t xml:space="preserve"> уменьшения приходится 0,01 м увеличения максимального плеча статической остойчивости сверх нормативного значения.</w:t>
      </w:r>
    </w:p>
    <w:bookmarkEnd w:id="5007"/>
    <w:bookmarkStart w:name="z5016" w:id="5008"/>
    <w:p>
      <w:pPr>
        <w:spacing w:after="0"/>
        <w:ind w:left="0"/>
        <w:jc w:val="both"/>
      </w:pPr>
      <w:r>
        <w:rPr>
          <w:rFonts w:ascii="Times New Roman"/>
          <w:b w:val="false"/>
          <w:i w:val="false"/>
          <w:color w:val="000000"/>
          <w:sz w:val="28"/>
        </w:rPr>
        <w:t>
      1565. Судам, имеющим отношение B/D &gt; 2, разрешается плавание при уменьшенных угле заката и угле, соответствующем максимальному плечу диаграммы, по сравнению с требуемыми пункта 1764 настоящих Правил:</w:t>
      </w:r>
    </w:p>
    <w:bookmarkEnd w:id="5008"/>
    <w:p>
      <w:pPr>
        <w:spacing w:after="0"/>
        <w:ind w:left="0"/>
        <w:jc w:val="both"/>
      </w:pPr>
      <w:r>
        <w:rPr>
          <w:rFonts w:ascii="Times New Roman"/>
          <w:b w:val="false"/>
          <w:i w:val="false"/>
          <w:color w:val="000000"/>
          <w:sz w:val="28"/>
        </w:rPr>
        <w:t xml:space="preserve">
      ) для угла заката — на величину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Ө</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определяемую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Ө</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40</w:t>
      </w:r>
      <w:r>
        <w:rPr>
          <w:rFonts w:ascii="Times New Roman"/>
          <w:b w:val="false"/>
          <w:i w:val="false"/>
          <w:color w:val="000000"/>
          <w:vertAlign w:val="superscript"/>
        </w:rPr>
        <w:t>о</w:t>
      </w:r>
      <w:r>
        <w:rPr>
          <w:rFonts w:ascii="Times New Roman"/>
          <w:b w:val="false"/>
          <w:i w:val="false"/>
          <w:color w:val="000000"/>
          <w:sz w:val="28"/>
        </w:rPr>
        <w:t xml:space="preserve"> (</w:t>
      </w:r>
    </w:p>
    <w:p>
      <w:pPr>
        <w:spacing w:after="0"/>
        <w:ind w:left="0"/>
        <w:jc w:val="both"/>
      </w:pPr>
      <w:r>
        <w:drawing>
          <wp:inline distT="0" distB="0" distL="0" distR="0">
            <wp:extent cx="26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266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2)(K – 1).              (602)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B/D &gt; 2,5 принимается B/D = 2,5;</w:t>
      </w:r>
    </w:p>
    <w:p>
      <w:pPr>
        <w:spacing w:after="0"/>
        <w:ind w:left="0"/>
        <w:jc w:val="both"/>
      </w:pPr>
      <w:r>
        <w:rPr>
          <w:rFonts w:ascii="Times New Roman"/>
          <w:b w:val="false"/>
          <w:i w:val="false"/>
          <w:color w:val="000000"/>
          <w:sz w:val="28"/>
        </w:rPr>
        <w:t>
      при K &gt;1,5 принимается K = 1,5.</w:t>
      </w:r>
    </w:p>
    <w:bookmarkStart w:name="z5017" w:id="5009"/>
    <w:p>
      <w:pPr>
        <w:spacing w:after="0"/>
        <w:ind w:left="0"/>
        <w:jc w:val="both"/>
      </w:pPr>
      <w:r>
        <w:rPr>
          <w:rFonts w:ascii="Times New Roman"/>
          <w:b w:val="false"/>
          <w:i w:val="false"/>
          <w:color w:val="000000"/>
          <w:sz w:val="28"/>
        </w:rPr>
        <w:t xml:space="preserve">
      Значение </w:t>
      </w:r>
    </w:p>
    <w:bookmarkEnd w:id="500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Ө</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округляется до целого числа;</w:t>
      </w:r>
      <w:r>
        <w:br/>
      </w:r>
      <w:r>
        <w:rPr>
          <w:rFonts w:ascii="Times New Roman"/>
          <w:b w:val="false"/>
          <w:i w:val="false"/>
          <w:color w:val="000000"/>
          <w:sz w:val="28"/>
        </w:rPr>
        <w:t>
</w:t>
      </w:r>
    </w:p>
    <w:bookmarkStart w:name="z5018" w:id="5010"/>
    <w:p>
      <w:pPr>
        <w:spacing w:after="0"/>
        <w:ind w:left="0"/>
        <w:jc w:val="both"/>
      </w:pPr>
      <w:r>
        <w:rPr>
          <w:rFonts w:ascii="Times New Roman"/>
          <w:b w:val="false"/>
          <w:i w:val="false"/>
          <w:color w:val="000000"/>
          <w:sz w:val="28"/>
        </w:rPr>
        <w:t>
      2) для угла, соответствующего наибольшему плечу диаграммы, — на величину, равную половине снижения угла заката. Указанный угол не принимается менее 25</w:t>
      </w:r>
      <w:r>
        <w:rPr>
          <w:rFonts w:ascii="Times New Roman"/>
          <w:b w:val="false"/>
          <w:i w:val="false"/>
          <w:color w:val="000000"/>
          <w:vertAlign w:val="superscript"/>
        </w:rPr>
        <w:t>о</w:t>
      </w:r>
      <w:r>
        <w:rPr>
          <w:rFonts w:ascii="Times New Roman"/>
          <w:b w:val="false"/>
          <w:i w:val="false"/>
          <w:color w:val="000000"/>
          <w:sz w:val="28"/>
        </w:rPr>
        <w:t>.</w:t>
      </w:r>
    </w:p>
    <w:bookmarkEnd w:id="5010"/>
    <w:bookmarkStart w:name="z5019" w:id="5011"/>
    <w:p>
      <w:pPr>
        <w:spacing w:after="0"/>
        <w:ind w:left="0"/>
        <w:jc w:val="both"/>
      </w:pPr>
      <w:r>
        <w:rPr>
          <w:rFonts w:ascii="Times New Roman"/>
          <w:b w:val="false"/>
          <w:i w:val="false"/>
          <w:color w:val="000000"/>
          <w:sz w:val="28"/>
        </w:rPr>
        <w:t>
      1566. Необходимо чтобы судно отвечало перечисленным требованиям при учете в диаграмме статической остойчивости поправки на свободные поверхности в соответствии с параграфом 5 главы 91 настоящих Правил.</w:t>
      </w:r>
    </w:p>
    <w:bookmarkEnd w:id="5011"/>
    <w:bookmarkStart w:name="z5020" w:id="5012"/>
    <w:p>
      <w:pPr>
        <w:spacing w:after="0"/>
        <w:ind w:left="0"/>
        <w:jc w:val="both"/>
      </w:pPr>
      <w:r>
        <w:rPr>
          <w:rFonts w:ascii="Times New Roman"/>
          <w:b w:val="false"/>
          <w:i w:val="false"/>
          <w:color w:val="000000"/>
          <w:sz w:val="28"/>
        </w:rPr>
        <w:t>
      1567. Судам, не отвечающим требованиям настоящей главы по углу заката диаграммы вследствие ее обрыва при угле заливания, разрешают плавание лишь как для судов ограниченного района плавания в зависимости от выдерживаемого ветрового давления при проверке остойчивости по критерию погоды.</w:t>
      </w:r>
    </w:p>
    <w:bookmarkEnd w:id="5012"/>
    <w:bookmarkStart w:name="z5021" w:id="5013"/>
    <w:p>
      <w:pPr>
        <w:spacing w:after="0"/>
        <w:ind w:left="0"/>
        <w:jc w:val="both"/>
      </w:pPr>
      <w:r>
        <w:rPr>
          <w:rFonts w:ascii="Times New Roman"/>
          <w:b w:val="false"/>
          <w:i w:val="false"/>
          <w:color w:val="000000"/>
          <w:sz w:val="28"/>
        </w:rPr>
        <w:t>
      При выполнении условия, при котором на каждый 1</w:t>
      </w:r>
      <w:r>
        <w:rPr>
          <w:rFonts w:ascii="Times New Roman"/>
          <w:b w:val="false"/>
          <w:i w:val="false"/>
          <w:color w:val="000000"/>
          <w:vertAlign w:val="superscript"/>
        </w:rPr>
        <w:t>о</w:t>
      </w:r>
      <w:r>
        <w:rPr>
          <w:rFonts w:ascii="Times New Roman"/>
          <w:b w:val="false"/>
          <w:i w:val="false"/>
          <w:color w:val="000000"/>
          <w:sz w:val="28"/>
        </w:rPr>
        <w:t xml:space="preserve"> уменьшения величины угла заливания приходится 0,01 м увеличения максимального плеча статической остойчивости сверх нормативного значения, по согласованию с Регистром судоходства для судов длиной L </w:t>
      </w:r>
      <w:r>
        <w:rPr>
          <w:rFonts w:ascii="Times New Roman"/>
          <w:b w:val="false"/>
          <w:i w:val="false"/>
          <w:color w:val="000000"/>
          <w:sz w:val="28"/>
          <w:u w:val="single"/>
        </w:rPr>
        <w:t>&gt;</w:t>
      </w:r>
      <w:r>
        <w:rPr>
          <w:rFonts w:ascii="Times New Roman"/>
          <w:b w:val="false"/>
          <w:i w:val="false"/>
          <w:color w:val="000000"/>
          <w:sz w:val="28"/>
        </w:rPr>
        <w:t xml:space="preserve"> 105 м неограниченного района плавания угол заливания возможно уменьшить до 50</w:t>
      </w:r>
      <w:r>
        <w:rPr>
          <w:rFonts w:ascii="Times New Roman"/>
          <w:b w:val="false"/>
          <w:i w:val="false"/>
          <w:color w:val="000000"/>
          <w:vertAlign w:val="superscript"/>
        </w:rPr>
        <w:t>о</w:t>
      </w:r>
      <w:r>
        <w:rPr>
          <w:rFonts w:ascii="Times New Roman"/>
          <w:b w:val="false"/>
          <w:i w:val="false"/>
          <w:color w:val="000000"/>
          <w:sz w:val="28"/>
        </w:rPr>
        <w:t>.</w:t>
      </w:r>
    </w:p>
    <w:bookmarkEnd w:id="5013"/>
    <w:bookmarkStart w:name="z5022" w:id="5014"/>
    <w:p>
      <w:pPr>
        <w:spacing w:after="0"/>
        <w:ind w:left="0"/>
        <w:jc w:val="both"/>
      </w:pPr>
      <w:r>
        <w:rPr>
          <w:rFonts w:ascii="Times New Roman"/>
          <w:b w:val="false"/>
          <w:i w:val="false"/>
          <w:color w:val="000000"/>
          <w:sz w:val="28"/>
        </w:rPr>
        <w:t>
      Назначение района плавания в соответствии с вышеуказанным производится только при условии, что угол заката диаграммы, определенный в предположении непроницаемости закрытия отверстий под воздействия моря, через которые происходит заливание помещений корпуса судна, будет не ниже требуемого настоящей главой.</w:t>
      </w:r>
    </w:p>
    <w:bookmarkEnd w:id="5014"/>
    <w:bookmarkStart w:name="z5023" w:id="5015"/>
    <w:p>
      <w:pPr>
        <w:spacing w:after="0"/>
        <w:ind w:left="0"/>
        <w:jc w:val="both"/>
      </w:pPr>
      <w:r>
        <w:rPr>
          <w:rFonts w:ascii="Times New Roman"/>
          <w:b w:val="false"/>
          <w:i w:val="false"/>
          <w:color w:val="000000"/>
          <w:sz w:val="28"/>
        </w:rPr>
        <w:t>
      1568. Требования к диаграмме статической остойчивости плавучих кранов и крановых судов изложены в главе 109 настоящих Правил.</w:t>
      </w:r>
    </w:p>
    <w:bookmarkEnd w:id="5015"/>
    <w:bookmarkStart w:name="z5024" w:id="5016"/>
    <w:p>
      <w:pPr>
        <w:spacing w:after="0"/>
        <w:ind w:left="0"/>
        <w:jc w:val="left"/>
      </w:pPr>
      <w:r>
        <w:rPr>
          <w:rFonts w:ascii="Times New Roman"/>
          <w:b/>
          <w:i w:val="false"/>
          <w:color w:val="000000"/>
        </w:rPr>
        <w:t xml:space="preserve"> Глава 96. Метацентрическая высота, учет обледенения</w:t>
      </w:r>
    </w:p>
    <w:bookmarkEnd w:id="5016"/>
    <w:p>
      <w:pPr>
        <w:spacing w:after="0"/>
        <w:ind w:left="0"/>
        <w:jc w:val="both"/>
      </w:pPr>
      <w:r>
        <w:rPr>
          <w:rFonts w:ascii="Times New Roman"/>
          <w:b w:val="false"/>
          <w:i w:val="false"/>
          <w:color w:val="ff0000"/>
          <w:sz w:val="28"/>
        </w:rPr>
        <w:t xml:space="preserve">
      Сноска. Заголовок главы 96 -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25" w:id="5017"/>
    <w:p>
      <w:pPr>
        <w:spacing w:after="0"/>
        <w:ind w:left="0"/>
        <w:jc w:val="both"/>
      </w:pPr>
      <w:r>
        <w:rPr>
          <w:rFonts w:ascii="Times New Roman"/>
          <w:b w:val="false"/>
          <w:i w:val="false"/>
          <w:color w:val="000000"/>
          <w:sz w:val="28"/>
        </w:rPr>
        <w:t>
      1569. Исправленная начальная метацентрическая высота всех судов при всех вариантах нагрузки, за исключением "судна порожнем" имеет значение не менее 0,15 м.</w:t>
      </w:r>
    </w:p>
    <w:bookmarkEnd w:id="5017"/>
    <w:bookmarkStart w:name="z5026" w:id="5018"/>
    <w:p>
      <w:pPr>
        <w:spacing w:after="0"/>
        <w:ind w:left="0"/>
        <w:jc w:val="both"/>
      </w:pPr>
      <w:r>
        <w:rPr>
          <w:rFonts w:ascii="Times New Roman"/>
          <w:b w:val="false"/>
          <w:i w:val="false"/>
          <w:color w:val="000000"/>
          <w:sz w:val="28"/>
        </w:rPr>
        <w:t>
      Минимальная исправленная начальная метацентрическая высота имеет другую величину в случаях, особо оговоренных в подразделе 3 раздела 6 настоящих Правил.</w:t>
      </w:r>
    </w:p>
    <w:bookmarkEnd w:id="5018"/>
    <w:bookmarkStart w:name="z5027" w:id="5019"/>
    <w:p>
      <w:pPr>
        <w:spacing w:after="0"/>
        <w:ind w:left="0"/>
        <w:jc w:val="both"/>
      </w:pPr>
      <w:r>
        <w:rPr>
          <w:rFonts w:ascii="Times New Roman"/>
          <w:b w:val="false"/>
          <w:i w:val="false"/>
          <w:color w:val="000000"/>
          <w:sz w:val="28"/>
        </w:rPr>
        <w:t>
      Для всех судов, за исключением рыболовных судов, китобаз, рыбобаз и прочих судов, используемых для переработки живых ресурсов моря и не занятых их ловом, случаи отрицательной начальной метацентрической высоты для варианта нагрузки "судно порожнем" являются в каждом случае предметом специального рассмотрения Регистром судоходства.</w:t>
      </w:r>
    </w:p>
    <w:bookmarkEnd w:id="5019"/>
    <w:bookmarkStart w:name="z5028" w:id="5020"/>
    <w:p>
      <w:pPr>
        <w:spacing w:after="0"/>
        <w:ind w:left="0"/>
        <w:jc w:val="both"/>
      </w:pPr>
      <w:r>
        <w:rPr>
          <w:rFonts w:ascii="Times New Roman"/>
          <w:b w:val="false"/>
          <w:i w:val="false"/>
          <w:color w:val="000000"/>
          <w:sz w:val="28"/>
        </w:rPr>
        <w:t>
      1570. Начальная остойчивость судов, имеющих колодец, проверяется на случай попадания в него воды.</w:t>
      </w:r>
    </w:p>
    <w:bookmarkEnd w:id="5020"/>
    <w:bookmarkStart w:name="z5029" w:id="5021"/>
    <w:p>
      <w:pPr>
        <w:spacing w:after="0"/>
        <w:ind w:left="0"/>
        <w:jc w:val="both"/>
      </w:pPr>
      <w:r>
        <w:rPr>
          <w:rFonts w:ascii="Times New Roman"/>
          <w:b w:val="false"/>
          <w:i w:val="false"/>
          <w:color w:val="000000"/>
          <w:sz w:val="28"/>
        </w:rPr>
        <w:t>
      Необходимо чтобы количество воды в колодце и свободная поверхность ее соответствовали уровню воды по нижнюю кромку портиков в прямом положении судна с учетом поперечной погиби палубы.</w:t>
      </w:r>
    </w:p>
    <w:bookmarkEnd w:id="5021"/>
    <w:bookmarkStart w:name="z5030" w:id="5022"/>
    <w:p>
      <w:pPr>
        <w:spacing w:after="0"/>
        <w:ind w:left="0"/>
        <w:jc w:val="both"/>
      </w:pPr>
      <w:r>
        <w:rPr>
          <w:rFonts w:ascii="Times New Roman"/>
          <w:b w:val="false"/>
          <w:i w:val="false"/>
          <w:color w:val="000000"/>
          <w:sz w:val="28"/>
        </w:rPr>
        <w:t>
      При наличии у судна двух или более колодцев проверяют остойчивость при затоплении одного из них, имеющего наибольшие размеры.</w:t>
      </w:r>
    </w:p>
    <w:bookmarkEnd w:id="5022"/>
    <w:bookmarkStart w:name="z5031" w:id="5023"/>
    <w:p>
      <w:pPr>
        <w:spacing w:after="0"/>
        <w:ind w:left="0"/>
        <w:jc w:val="both"/>
      </w:pPr>
      <w:r>
        <w:rPr>
          <w:rFonts w:ascii="Times New Roman"/>
          <w:b w:val="false"/>
          <w:i w:val="false"/>
          <w:color w:val="000000"/>
          <w:sz w:val="28"/>
        </w:rPr>
        <w:t>
      1571. Для судов, плавающих в зимнее время в зимних сезонных зонах, установленных Правилами о грузовой марке, помимо основных вариантов нагрузки, проверяют остойчивость с учетом обледенения согласно указаниям настоящей главы. При расчете обледенения следует учитывать изменения водоизмещения, возвышения центра тяжести и площади парусности от обледенения. Расчет остойчивости при обледенении производится для наихудшего, в отношении остойчивости, расчетного варианта нагрузки. Масса льда при проверке остойчивости для случая обледенения засчитывается в перегрузку и не включается в состав дедвейта судна.</w:t>
      </w:r>
    </w:p>
    <w:bookmarkEnd w:id="5023"/>
    <w:bookmarkStart w:name="z5032" w:id="5024"/>
    <w:p>
      <w:pPr>
        <w:spacing w:after="0"/>
        <w:ind w:left="0"/>
        <w:jc w:val="both"/>
      </w:pPr>
      <w:r>
        <w:rPr>
          <w:rFonts w:ascii="Times New Roman"/>
          <w:b w:val="false"/>
          <w:i w:val="false"/>
          <w:color w:val="000000"/>
          <w:sz w:val="28"/>
        </w:rPr>
        <w:t>
      Учет обледенения при проверке остойчивости плавучих кранов и крановых судов производится в соответствии с главой 109 настоящих Правил.</w:t>
      </w:r>
    </w:p>
    <w:bookmarkEnd w:id="5024"/>
    <w:bookmarkStart w:name="z5033" w:id="5025"/>
    <w:p>
      <w:pPr>
        <w:spacing w:after="0"/>
        <w:ind w:left="0"/>
        <w:jc w:val="both"/>
      </w:pPr>
      <w:r>
        <w:rPr>
          <w:rFonts w:ascii="Times New Roman"/>
          <w:b w:val="false"/>
          <w:i w:val="false"/>
          <w:color w:val="000000"/>
          <w:sz w:val="28"/>
        </w:rPr>
        <w:t>
      1572. Для судов, плавающих в зимних сезонных зонах севернее параллели 66</w:t>
      </w:r>
      <w:r>
        <w:rPr>
          <w:rFonts w:ascii="Times New Roman"/>
          <w:b w:val="false"/>
          <w:i w:val="false"/>
          <w:color w:val="000000"/>
          <w:vertAlign w:val="superscript"/>
        </w:rPr>
        <w:t>о</w:t>
      </w:r>
      <w:r>
        <w:rPr>
          <w:rFonts w:ascii="Times New Roman"/>
          <w:b w:val="false"/>
          <w:i w:val="false"/>
          <w:color w:val="000000"/>
          <w:sz w:val="28"/>
        </w:rPr>
        <w:t>30'с.ш. и южнее параллели 60</w:t>
      </w:r>
      <w:r>
        <w:rPr>
          <w:rFonts w:ascii="Times New Roman"/>
          <w:b w:val="false"/>
          <w:i w:val="false"/>
          <w:color w:val="000000"/>
          <w:vertAlign w:val="superscript"/>
        </w:rPr>
        <w:t>о</w:t>
      </w:r>
      <w:r>
        <w:rPr>
          <w:rFonts w:ascii="Times New Roman"/>
          <w:b w:val="false"/>
          <w:i w:val="false"/>
          <w:color w:val="000000"/>
          <w:sz w:val="28"/>
        </w:rPr>
        <w:t>00'ю.ш., условные нормы обледенения принимаются, как указано в пункте 1773 и 1774 настоящих Правил.</w:t>
      </w:r>
    </w:p>
    <w:bookmarkEnd w:id="5025"/>
    <w:bookmarkStart w:name="z5034" w:id="5026"/>
    <w:p>
      <w:pPr>
        <w:spacing w:after="0"/>
        <w:ind w:left="0"/>
        <w:jc w:val="both"/>
      </w:pPr>
      <w:r>
        <w:rPr>
          <w:rFonts w:ascii="Times New Roman"/>
          <w:b w:val="false"/>
          <w:i w:val="false"/>
          <w:color w:val="000000"/>
          <w:sz w:val="28"/>
        </w:rPr>
        <w:t>
      1573. Массу льда на квадратный метр площади общей горизонтальной проекции открытых палуб следует принимать равной 30 кг. В общую горизонтальную проекцию палуб должна входить сумма горизонтальных проекций всех открытых палуб и переходов независимо от наличия навесов. Момент по высоте от этой нагрузки определяется по возвышениям центра тяжести соответствующих участков палубы и переходов.</w:t>
      </w:r>
    </w:p>
    <w:bookmarkEnd w:id="5026"/>
    <w:bookmarkStart w:name="z5035" w:id="5027"/>
    <w:p>
      <w:pPr>
        <w:spacing w:after="0"/>
        <w:ind w:left="0"/>
        <w:jc w:val="both"/>
      </w:pPr>
      <w:r>
        <w:rPr>
          <w:rFonts w:ascii="Times New Roman"/>
          <w:b w:val="false"/>
          <w:i w:val="false"/>
          <w:color w:val="000000"/>
          <w:sz w:val="28"/>
        </w:rPr>
        <w:t>
      Палубные механизмы, устройства, крышки люков входят в проекцию палуб и специально не учитываются.</w:t>
      </w:r>
    </w:p>
    <w:bookmarkEnd w:id="5027"/>
    <w:bookmarkStart w:name="z5036" w:id="5028"/>
    <w:p>
      <w:pPr>
        <w:spacing w:after="0"/>
        <w:ind w:left="0"/>
        <w:jc w:val="both"/>
      </w:pPr>
      <w:r>
        <w:rPr>
          <w:rFonts w:ascii="Times New Roman"/>
          <w:b w:val="false"/>
          <w:i w:val="false"/>
          <w:color w:val="000000"/>
          <w:sz w:val="28"/>
        </w:rPr>
        <w:t>
      Для судов, у которых набор на открытых частях палуб устанавливается снаружи, дополнительно учитывается масса льда толщиной, равной высоте основного набора.</w:t>
      </w:r>
    </w:p>
    <w:bookmarkEnd w:id="5028"/>
    <w:bookmarkStart w:name="z5037" w:id="5029"/>
    <w:p>
      <w:pPr>
        <w:spacing w:after="0"/>
        <w:ind w:left="0"/>
        <w:jc w:val="both"/>
      </w:pPr>
      <w:r>
        <w:rPr>
          <w:rFonts w:ascii="Times New Roman"/>
          <w:b w:val="false"/>
          <w:i w:val="false"/>
          <w:color w:val="000000"/>
          <w:sz w:val="28"/>
        </w:rPr>
        <w:t xml:space="preserve">
      1574. Массу льда на квадратный метр площади парусности следует принимать равной 15 кг. Площадь и возвышение центра парусности определяется при этом для осадки </w:t>
      </w:r>
      <w:r>
        <w:rPr>
          <w:rFonts w:ascii="Times New Roman"/>
          <w:b w:val="false"/>
          <w:i/>
          <w:color w:val="000000"/>
          <w:sz w:val="28"/>
        </w:rPr>
        <w:t>d</w:t>
      </w:r>
      <w:r>
        <w:rPr>
          <w:rFonts w:ascii="Times New Roman"/>
          <w:b w:val="false"/>
          <w:i w:val="false"/>
          <w:color w:val="000000"/>
          <w:vertAlign w:val="subscript"/>
        </w:rPr>
        <w:t>min</w:t>
      </w:r>
      <w:r>
        <w:rPr>
          <w:rFonts w:ascii="Times New Roman"/>
          <w:b w:val="false"/>
          <w:i w:val="false"/>
          <w:color w:val="000000"/>
          <w:sz w:val="28"/>
        </w:rPr>
        <w:t xml:space="preserve"> согласно параграфу 4 главы 91 настоящих Правил, но без учета обледенения.</w:t>
      </w:r>
    </w:p>
    <w:bookmarkEnd w:id="5029"/>
    <w:bookmarkStart w:name="z5038" w:id="5030"/>
    <w:p>
      <w:pPr>
        <w:spacing w:after="0"/>
        <w:ind w:left="0"/>
        <w:jc w:val="both"/>
      </w:pPr>
      <w:r>
        <w:rPr>
          <w:rFonts w:ascii="Times New Roman"/>
          <w:b w:val="false"/>
          <w:i w:val="false"/>
          <w:color w:val="000000"/>
          <w:sz w:val="28"/>
        </w:rPr>
        <w:t>
      1575. В остальных районах зимней сезонной зоны нормы обледенения в зимнее время следует принимать вдвое меньшими против установленных в пунктах 1573 и 1574 настоящих Правил, за исключением районов, в которых по согласованию с Регистром судоходства обледенение может не учитываться.</w:t>
      </w:r>
    </w:p>
    <w:bookmarkEnd w:id="5030"/>
    <w:bookmarkStart w:name="z5039" w:id="5031"/>
    <w:p>
      <w:pPr>
        <w:spacing w:after="0"/>
        <w:ind w:left="0"/>
        <w:jc w:val="both"/>
      </w:pPr>
      <w:r>
        <w:rPr>
          <w:rFonts w:ascii="Times New Roman"/>
          <w:b w:val="false"/>
          <w:i w:val="false"/>
          <w:color w:val="000000"/>
          <w:sz w:val="28"/>
        </w:rPr>
        <w:t>
      1576. Рассчитанные в соответствии с пунктами 1573, 1574 и 1575 настоящих Правил масса льда и момент по высоте при составлении Информации об остойчивости распространяются на все варианты нагрузки.</w:t>
      </w:r>
    </w:p>
    <w:bookmarkEnd w:id="5031"/>
    <w:bookmarkStart w:name="z5040" w:id="5032"/>
    <w:p>
      <w:pPr>
        <w:spacing w:after="0"/>
        <w:ind w:left="0"/>
        <w:jc w:val="both"/>
      </w:pPr>
      <w:r>
        <w:rPr>
          <w:rFonts w:ascii="Times New Roman"/>
          <w:b w:val="false"/>
          <w:i w:val="false"/>
          <w:color w:val="000000"/>
          <w:sz w:val="28"/>
        </w:rPr>
        <w:t>
      1577. Для диаграмм статической остойчивости, построенных с учетом обледенения, угол заката диаграммы должен быть не менее 55</w:t>
      </w:r>
      <w:r>
        <w:rPr>
          <w:rFonts w:ascii="Times New Roman"/>
          <w:b w:val="false"/>
          <w:i w:val="false"/>
          <w:color w:val="000000"/>
          <w:vertAlign w:val="superscript"/>
        </w:rPr>
        <w:t>о</w:t>
      </w:r>
      <w:r>
        <w:rPr>
          <w:rFonts w:ascii="Times New Roman"/>
          <w:b w:val="false"/>
          <w:i w:val="false"/>
          <w:color w:val="000000"/>
          <w:sz w:val="28"/>
        </w:rPr>
        <w:t>, а максимальное плечо статической остойчивости для судов ограниченного района плавания — не менее 0,2 м при крене не менее 25</w:t>
      </w:r>
      <w:r>
        <w:rPr>
          <w:rFonts w:ascii="Times New Roman"/>
          <w:b w:val="false"/>
          <w:i w:val="false"/>
          <w:color w:val="000000"/>
          <w:vertAlign w:val="superscript"/>
        </w:rPr>
        <w:t>о</w:t>
      </w:r>
      <w:r>
        <w:rPr>
          <w:rFonts w:ascii="Times New Roman"/>
          <w:b w:val="false"/>
          <w:i w:val="false"/>
          <w:color w:val="000000"/>
          <w:sz w:val="28"/>
        </w:rPr>
        <w:t>.</w:t>
      </w:r>
    </w:p>
    <w:bookmarkEnd w:id="5032"/>
    <w:bookmarkStart w:name="z5041" w:id="5033"/>
    <w:p>
      <w:pPr>
        <w:spacing w:after="0"/>
        <w:ind w:left="0"/>
        <w:jc w:val="both"/>
      </w:pPr>
      <w:r>
        <w:rPr>
          <w:rFonts w:ascii="Times New Roman"/>
          <w:b w:val="false"/>
          <w:i w:val="false"/>
          <w:color w:val="000000"/>
          <w:sz w:val="28"/>
        </w:rPr>
        <w:t>
      Для судов с отношением B/D &gt; 2 допускается дополнительное снижение угла заката диаграммы % на половину величины, вычисленной по формуле (602).</w:t>
      </w:r>
    </w:p>
    <w:bookmarkEnd w:id="5033"/>
    <w:bookmarkStart w:name="z5042" w:id="5034"/>
    <w:p>
      <w:pPr>
        <w:spacing w:after="0"/>
        <w:ind w:left="0"/>
        <w:jc w:val="both"/>
      </w:pPr>
      <w:r>
        <w:rPr>
          <w:rFonts w:ascii="Times New Roman"/>
          <w:b w:val="false"/>
          <w:i w:val="false"/>
          <w:color w:val="000000"/>
          <w:sz w:val="28"/>
        </w:rPr>
        <w:t>
      1578. Для судов, плавающих в зимнее время в районах Черного и Азовского морей севернее параллели 44</w:t>
      </w:r>
      <w:r>
        <w:rPr>
          <w:rFonts w:ascii="Times New Roman"/>
          <w:b w:val="false"/>
          <w:i w:val="false"/>
          <w:color w:val="000000"/>
          <w:vertAlign w:val="superscript"/>
        </w:rPr>
        <w:t>о</w:t>
      </w:r>
      <w:r>
        <w:rPr>
          <w:rFonts w:ascii="Times New Roman"/>
          <w:b w:val="false"/>
          <w:i w:val="false"/>
          <w:color w:val="000000"/>
          <w:sz w:val="28"/>
        </w:rPr>
        <w:t>00'с.ш, а также в районе Каспийского моря севернее параллели 42</w:t>
      </w:r>
      <w:r>
        <w:rPr>
          <w:rFonts w:ascii="Times New Roman"/>
          <w:b w:val="false"/>
          <w:i w:val="false"/>
          <w:color w:val="000000"/>
          <w:vertAlign w:val="superscript"/>
        </w:rPr>
        <w:t>о</w:t>
      </w:r>
      <w:r>
        <w:rPr>
          <w:rFonts w:ascii="Times New Roman"/>
          <w:b w:val="false"/>
          <w:i w:val="false"/>
          <w:color w:val="000000"/>
          <w:sz w:val="28"/>
        </w:rPr>
        <w:t>00'с.ш., обледенение учитывается в соответствии с пунктом 1575 настоящих Правил.</w:t>
      </w:r>
    </w:p>
    <w:bookmarkEnd w:id="5034"/>
    <w:bookmarkStart w:name="z5043" w:id="5035"/>
    <w:p>
      <w:pPr>
        <w:spacing w:after="0"/>
        <w:ind w:left="0"/>
        <w:jc w:val="left"/>
      </w:pPr>
      <w:r>
        <w:rPr>
          <w:rFonts w:ascii="Times New Roman"/>
          <w:b/>
          <w:i w:val="false"/>
          <w:color w:val="000000"/>
        </w:rPr>
        <w:t xml:space="preserve"> Подраздел 3. Дополнительные требования к остойчивости1</w:t>
      </w:r>
    </w:p>
    <w:bookmarkEnd w:id="5035"/>
    <w:p>
      <w:pPr>
        <w:spacing w:after="0"/>
        <w:ind w:left="0"/>
        <w:jc w:val="both"/>
      </w:pPr>
      <w:r>
        <w:rPr>
          <w:rFonts w:ascii="Times New Roman"/>
          <w:b w:val="false"/>
          <w:i w:val="false"/>
          <w:color w:val="ff0000"/>
          <w:sz w:val="28"/>
        </w:rPr>
        <w:t xml:space="preserve">
      Сноска. Заголовок подраздела 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44" w:id="5036"/>
    <w:p>
      <w:pPr>
        <w:spacing w:after="0"/>
        <w:ind w:left="0"/>
        <w:jc w:val="left"/>
      </w:pPr>
      <w:r>
        <w:rPr>
          <w:rFonts w:ascii="Times New Roman"/>
          <w:b/>
          <w:i w:val="false"/>
          <w:color w:val="000000"/>
        </w:rPr>
        <w:t xml:space="preserve"> Глава 97. Пассажирские суда</w:t>
      </w:r>
    </w:p>
    <w:bookmarkEnd w:id="5036"/>
    <w:p>
      <w:pPr>
        <w:spacing w:after="0"/>
        <w:ind w:left="0"/>
        <w:jc w:val="both"/>
      </w:pPr>
      <w:r>
        <w:rPr>
          <w:rFonts w:ascii="Times New Roman"/>
          <w:b w:val="false"/>
          <w:i w:val="false"/>
          <w:color w:val="ff0000"/>
          <w:sz w:val="28"/>
        </w:rPr>
        <w:t xml:space="preserve">
      Сноска. Заголовок главы 97 -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45" w:id="5037"/>
    <w:p>
      <w:pPr>
        <w:spacing w:after="0"/>
        <w:ind w:left="0"/>
        <w:jc w:val="both"/>
      </w:pPr>
      <w:r>
        <w:rPr>
          <w:rFonts w:ascii="Times New Roman"/>
          <w:b w:val="false"/>
          <w:i w:val="false"/>
          <w:color w:val="000000"/>
          <w:sz w:val="28"/>
        </w:rPr>
        <w:t>
      1579. Остойчивость пассажирских судов проверяется при следующих вариантах нагрузки:</w:t>
      </w:r>
    </w:p>
    <w:bookmarkEnd w:id="5037"/>
    <w:bookmarkStart w:name="z5046" w:id="5038"/>
    <w:p>
      <w:pPr>
        <w:spacing w:after="0"/>
        <w:ind w:left="0"/>
        <w:jc w:val="both"/>
      </w:pPr>
      <w:r>
        <w:rPr>
          <w:rFonts w:ascii="Times New Roman"/>
          <w:b w:val="false"/>
          <w:i w:val="false"/>
          <w:color w:val="000000"/>
          <w:sz w:val="28"/>
        </w:rPr>
        <w:t>
      1) судно с полным грузом, полным количеством классных и палубных пассажиров с багажом, с полными запасами без жидкого балласта.</w:t>
      </w:r>
    </w:p>
    <w:bookmarkEnd w:id="5038"/>
    <w:bookmarkStart w:name="z5047" w:id="5039"/>
    <w:p>
      <w:pPr>
        <w:spacing w:after="0"/>
        <w:ind w:left="0"/>
        <w:jc w:val="both"/>
      </w:pPr>
      <w:r>
        <w:rPr>
          <w:rFonts w:ascii="Times New Roman"/>
          <w:b w:val="false"/>
          <w:i w:val="false"/>
          <w:color w:val="000000"/>
          <w:sz w:val="28"/>
        </w:rPr>
        <w:t>
      2) судно с полным грузом и полным количеством классных и палубных пассажиров с багажом, но с 10 % запасов;</w:t>
      </w:r>
    </w:p>
    <w:bookmarkEnd w:id="5039"/>
    <w:bookmarkStart w:name="z5048" w:id="5040"/>
    <w:p>
      <w:pPr>
        <w:spacing w:after="0"/>
        <w:ind w:left="0"/>
        <w:jc w:val="both"/>
      </w:pPr>
      <w:r>
        <w:rPr>
          <w:rFonts w:ascii="Times New Roman"/>
          <w:b w:val="false"/>
          <w:i w:val="false"/>
          <w:color w:val="000000"/>
          <w:sz w:val="28"/>
        </w:rPr>
        <w:t>
      3) судно без груза, с полным количеством классных и палубных пассажиров с багажом, с полными запасами;</w:t>
      </w:r>
    </w:p>
    <w:bookmarkEnd w:id="5040"/>
    <w:bookmarkStart w:name="z5049" w:id="5041"/>
    <w:p>
      <w:pPr>
        <w:spacing w:after="0"/>
        <w:ind w:left="0"/>
        <w:jc w:val="both"/>
      </w:pPr>
      <w:r>
        <w:rPr>
          <w:rFonts w:ascii="Times New Roman"/>
          <w:b w:val="false"/>
          <w:i w:val="false"/>
          <w:color w:val="000000"/>
          <w:sz w:val="28"/>
        </w:rPr>
        <w:t>
      4) судно, как в третьем варианте нагрузки, но с 10 % запасов;</w:t>
      </w:r>
    </w:p>
    <w:bookmarkEnd w:id="5041"/>
    <w:bookmarkStart w:name="z5050" w:id="5042"/>
    <w:p>
      <w:pPr>
        <w:spacing w:after="0"/>
        <w:ind w:left="0"/>
        <w:jc w:val="both"/>
      </w:pPr>
      <w:r>
        <w:rPr>
          <w:rFonts w:ascii="Times New Roman"/>
          <w:b w:val="false"/>
          <w:i w:val="false"/>
          <w:color w:val="000000"/>
          <w:sz w:val="28"/>
        </w:rPr>
        <w:t>
      5) судно без груза и пассажиров, с полными запасами;</w:t>
      </w:r>
    </w:p>
    <w:bookmarkEnd w:id="5042"/>
    <w:bookmarkStart w:name="z5051" w:id="5043"/>
    <w:p>
      <w:pPr>
        <w:spacing w:after="0"/>
        <w:ind w:left="0"/>
        <w:jc w:val="both"/>
      </w:pPr>
      <w:r>
        <w:rPr>
          <w:rFonts w:ascii="Times New Roman"/>
          <w:b w:val="false"/>
          <w:i w:val="false"/>
          <w:color w:val="000000"/>
          <w:sz w:val="28"/>
        </w:rPr>
        <w:t>
      6) судно, как в пятом варианте нагрузки, но с 10 % запасов;</w:t>
      </w:r>
    </w:p>
    <w:bookmarkEnd w:id="5043"/>
    <w:bookmarkStart w:name="z5052" w:id="5044"/>
    <w:p>
      <w:pPr>
        <w:spacing w:after="0"/>
        <w:ind w:left="0"/>
        <w:jc w:val="both"/>
      </w:pPr>
      <w:r>
        <w:rPr>
          <w:rFonts w:ascii="Times New Roman"/>
          <w:b w:val="false"/>
          <w:i w:val="false"/>
          <w:color w:val="000000"/>
          <w:sz w:val="28"/>
        </w:rPr>
        <w:t>
      7) судно, как во втором варианте нагрузки, но с 50 % запасов.</w:t>
      </w:r>
    </w:p>
    <w:bookmarkEnd w:id="5044"/>
    <w:bookmarkStart w:name="z5053" w:id="5045"/>
    <w:p>
      <w:pPr>
        <w:spacing w:after="0"/>
        <w:ind w:left="0"/>
        <w:jc w:val="both"/>
      </w:pPr>
      <w:r>
        <w:rPr>
          <w:rFonts w:ascii="Times New Roman"/>
          <w:b w:val="false"/>
          <w:i w:val="false"/>
          <w:color w:val="000000"/>
          <w:sz w:val="28"/>
        </w:rPr>
        <w:t>
      При проверке остойчивости по критерию погоды следует принимать, что классные пассажиры размещены в своих помещениях, а палубные пассажиры — на своих палубах. Размещение грузов в трюмах, твиндеках и на палубах принимается для нормальных условий эксплуатации судна. Проверку остойчивости с учетом обледенения следует производить при отсутствии пассажиров на открытых палубах.</w:t>
      </w:r>
    </w:p>
    <w:bookmarkEnd w:id="5045"/>
    <w:bookmarkStart w:name="z5054" w:id="50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Дополнительные требования к остойчивости судов длиной менее 24 м изложены в главе 105 настоящих Правил.</w:t>
      </w:r>
    </w:p>
    <w:bookmarkEnd w:id="5046"/>
    <w:bookmarkStart w:name="z5055" w:id="5047"/>
    <w:p>
      <w:pPr>
        <w:spacing w:after="0"/>
        <w:ind w:left="0"/>
        <w:jc w:val="both"/>
      </w:pPr>
      <w:r>
        <w:rPr>
          <w:rFonts w:ascii="Times New Roman"/>
          <w:b w:val="false"/>
          <w:i w:val="false"/>
          <w:color w:val="000000"/>
          <w:sz w:val="28"/>
        </w:rPr>
        <w:t>
      1580. Начальная остойчивость пассажирских судов такая, чтобы при реально возможном скоплении пассажиров на верхней доступной пассажирам палубе у одного борта, возможно ближе к фальшборту, угол статического крена был не более угла, при котором палуба надводного борта входит в воду или скула выходит из воды, смотря по тому, какой угол меньше; во всяком случае угол крена не превышает 10</w:t>
      </w:r>
      <w:r>
        <w:rPr>
          <w:rFonts w:ascii="Times New Roman"/>
          <w:b w:val="false"/>
          <w:i w:val="false"/>
          <w:color w:val="000000"/>
          <w:vertAlign w:val="superscript"/>
        </w:rPr>
        <w:t>о</w:t>
      </w:r>
      <w:r>
        <w:rPr>
          <w:rFonts w:ascii="Times New Roman"/>
          <w:b w:val="false"/>
          <w:i w:val="false"/>
          <w:color w:val="000000"/>
          <w:sz w:val="28"/>
        </w:rPr>
        <w:t>.</w:t>
      </w:r>
    </w:p>
    <w:bookmarkEnd w:id="5047"/>
    <w:bookmarkStart w:name="z5056" w:id="5048"/>
    <w:p>
      <w:pPr>
        <w:spacing w:after="0"/>
        <w:ind w:left="0"/>
        <w:jc w:val="both"/>
      </w:pPr>
      <w:r>
        <w:rPr>
          <w:rFonts w:ascii="Times New Roman"/>
          <w:b w:val="false"/>
          <w:i w:val="false"/>
          <w:color w:val="000000"/>
          <w:sz w:val="28"/>
        </w:rPr>
        <w:t>
      1581. Угол крена от совместного действия кренящего момента от скопления пассажиров у борта на своих прогулочных палубах и кренящего момента на установившейся циркуляции не превышает угла, при котором палуба надводного борта входит в воду или скула выходит из воды, смотря по тому, какой угол меньше; во всяком случае угол крена не превышает 12</w:t>
      </w:r>
      <w:r>
        <w:rPr>
          <w:rFonts w:ascii="Times New Roman"/>
          <w:b w:val="false"/>
          <w:i w:val="false"/>
          <w:color w:val="000000"/>
          <w:vertAlign w:val="superscript"/>
        </w:rPr>
        <w:t>о</w:t>
      </w:r>
      <w:r>
        <w:rPr>
          <w:rFonts w:ascii="Times New Roman"/>
          <w:b w:val="false"/>
          <w:i w:val="false"/>
          <w:color w:val="000000"/>
          <w:sz w:val="28"/>
        </w:rPr>
        <w:t>.</w:t>
      </w:r>
    </w:p>
    <w:bookmarkEnd w:id="5048"/>
    <w:bookmarkStart w:name="z5057" w:id="5049"/>
    <w:p>
      <w:pPr>
        <w:spacing w:after="0"/>
        <w:ind w:left="0"/>
        <w:jc w:val="both"/>
      </w:pPr>
      <w:r>
        <w:rPr>
          <w:rFonts w:ascii="Times New Roman"/>
          <w:b w:val="false"/>
          <w:i w:val="false"/>
          <w:color w:val="000000"/>
          <w:sz w:val="28"/>
        </w:rPr>
        <w:t>
      1582. Кренящий момент от циркуляции, кН•м, определяется по формуле:</w:t>
      </w:r>
    </w:p>
    <w:bookmarkEnd w:id="5049"/>
    <w:p>
      <w:pPr>
        <w:spacing w:after="0"/>
        <w:ind w:left="0"/>
        <w:jc w:val="both"/>
      </w:pPr>
      <w:r>
        <w:rPr>
          <w:rFonts w:ascii="Times New Roman"/>
          <w:b w:val="false"/>
          <w:i w:val="false"/>
          <w:color w:val="000000"/>
          <w:sz w:val="28"/>
        </w:rPr>
        <w:t>
      M</w:t>
      </w:r>
      <w:r>
        <w:rPr>
          <w:rFonts w:ascii="Times New Roman"/>
          <w:b w:val="false"/>
          <w:i w:val="false"/>
          <w:color w:val="000000"/>
          <w:vertAlign w:val="subscript"/>
        </w:rPr>
        <w:t>R</w:t>
      </w:r>
      <w:r>
        <w:rPr>
          <w:rFonts w:ascii="Times New Roman"/>
          <w:b w:val="false"/>
          <w:i w:val="false"/>
          <w:color w:val="000000"/>
          <w:sz w:val="28"/>
        </w:rPr>
        <w:t xml:space="preserve"> = 0,196</w:t>
      </w:r>
    </w:p>
    <w:p>
      <w:pPr>
        <w:spacing w:after="0"/>
        <w:ind w:left="0"/>
        <w:jc w:val="both"/>
      </w:pPr>
      <w:r>
        <w:drawing>
          <wp:inline distT="0" distB="0" distL="0" distR="0">
            <wp:extent cx="1473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1473200" cy="698500"/>
                    </a:xfrm>
                    <a:prstGeom prst="rect">
                      <a:avLst/>
                    </a:prstGeom>
                  </pic:spPr>
                </pic:pic>
              </a:graphicData>
            </a:graphic>
          </wp:inline>
        </w:drawing>
      </w:r>
    </w:p>
    <w:p>
      <w:pPr>
        <w:spacing w:after="0"/>
        <w:ind w:left="0"/>
        <w:jc w:val="left"/>
      </w:pPr>
      <w:r>
        <w:rPr>
          <w:rFonts w:ascii="Times New Roman"/>
          <w:b w:val="false"/>
          <w:i w:val="false"/>
          <w:color w:val="000000"/>
          <w:sz w:val="28"/>
        </w:rPr>
        <w:t>,                  (603)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эксплуатационная скорость судна, м/с;</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т.</w:t>
      </w:r>
      <w:r>
        <w:br/>
      </w:r>
      <w:r>
        <w:rPr>
          <w:rFonts w:ascii="Times New Roman"/>
          <w:b w:val="false"/>
          <w:i w:val="false"/>
          <w:color w:val="000000"/>
          <w:sz w:val="28"/>
        </w:rPr>
        <w:t>
</w:t>
      </w:r>
    </w:p>
    <w:bookmarkStart w:name="z5058" w:id="5050"/>
    <w:p>
      <w:pPr>
        <w:spacing w:after="0"/>
        <w:ind w:left="0"/>
        <w:jc w:val="both"/>
      </w:pPr>
      <w:r>
        <w:rPr>
          <w:rFonts w:ascii="Times New Roman"/>
          <w:b w:val="false"/>
          <w:i w:val="false"/>
          <w:color w:val="000000"/>
          <w:sz w:val="28"/>
        </w:rPr>
        <w:t>
      1583. Проверка остойчивости судна по углу крена на циркуляции и от скопления пассажиров у борта производится без учета действия ветра и качки.</w:t>
      </w:r>
    </w:p>
    <w:bookmarkEnd w:id="5050"/>
    <w:bookmarkStart w:name="z5059" w:id="5051"/>
    <w:p>
      <w:pPr>
        <w:spacing w:after="0"/>
        <w:ind w:left="0"/>
        <w:jc w:val="both"/>
      </w:pPr>
      <w:r>
        <w:rPr>
          <w:rFonts w:ascii="Times New Roman"/>
          <w:b w:val="false"/>
          <w:i w:val="false"/>
          <w:color w:val="000000"/>
          <w:sz w:val="28"/>
        </w:rPr>
        <w:t>
      1584. При определении порядка размещения пассажиров, скопившихся у борта на своих прогулочных палубах, следует предполагать, что соблюдаются нормальные условия эксплуатации судна с учетом расположения оборудования и устройств, а также правил о допуске пассажиров на ту или иную площадь палубы.</w:t>
      </w:r>
    </w:p>
    <w:bookmarkEnd w:id="5051"/>
    <w:bookmarkStart w:name="z5060" w:id="5052"/>
    <w:p>
      <w:pPr>
        <w:spacing w:after="0"/>
        <w:ind w:left="0"/>
        <w:jc w:val="both"/>
      </w:pPr>
      <w:r>
        <w:rPr>
          <w:rFonts w:ascii="Times New Roman"/>
          <w:b w:val="false"/>
          <w:i w:val="false"/>
          <w:color w:val="000000"/>
          <w:sz w:val="28"/>
        </w:rPr>
        <w:t>
      1585. При определении площади, на которой скапливаются пассажиры, проходы между диванами следует зачислять с коэффициентом 0,5. Площадь узких наружных проходов между рубкой и фальшбортом или леерными ограждениями при ширине проходов 0,7 м и менее следует зачислять с коэффициентом 0,5.</w:t>
      </w:r>
    </w:p>
    <w:bookmarkEnd w:id="5052"/>
    <w:bookmarkStart w:name="z5061" w:id="5053"/>
    <w:p>
      <w:pPr>
        <w:spacing w:after="0"/>
        <w:ind w:left="0"/>
        <w:jc w:val="both"/>
      </w:pPr>
      <w:r>
        <w:rPr>
          <w:rFonts w:ascii="Times New Roman"/>
          <w:b w:val="false"/>
          <w:i w:val="false"/>
          <w:color w:val="000000"/>
          <w:sz w:val="28"/>
        </w:rPr>
        <w:t>
      1586. При определении угла крена от скопления пассажиров на одном борту следует принимать массу одного пассажира равной 75 кг. Плотность размещения пассажиров на палубе — 6 человек на каждый квадратный метр свободной площади палубы, центр тяжести стоящих людей — на высоте 1,1 м от уровня палубы, сидящих людей — на высоте 0,3 м над сиденьем.</w:t>
      </w:r>
    </w:p>
    <w:bookmarkEnd w:id="5053"/>
    <w:bookmarkStart w:name="z5062" w:id="5054"/>
    <w:p>
      <w:pPr>
        <w:spacing w:after="0"/>
        <w:ind w:left="0"/>
        <w:jc w:val="both"/>
      </w:pPr>
      <w:r>
        <w:rPr>
          <w:rFonts w:ascii="Times New Roman"/>
          <w:b w:val="false"/>
          <w:i w:val="false"/>
          <w:color w:val="000000"/>
          <w:sz w:val="28"/>
        </w:rPr>
        <w:t>
      1587. Все расчеты угла статического крена от скопления пассажиров на одном борту и от циркуляции производится без учета обледенения, но с учетом поправки на влияние свободных поверхностей жидких грузов в соответствии с параграфом 5 главы 91 настоящих Правил.</w:t>
      </w:r>
    </w:p>
    <w:bookmarkEnd w:id="5054"/>
    <w:bookmarkStart w:name="z5063" w:id="5055"/>
    <w:p>
      <w:pPr>
        <w:spacing w:after="0"/>
        <w:ind w:left="0"/>
        <w:jc w:val="left"/>
      </w:pPr>
      <w:r>
        <w:rPr>
          <w:rFonts w:ascii="Times New Roman"/>
          <w:b/>
          <w:i w:val="false"/>
          <w:color w:val="000000"/>
        </w:rPr>
        <w:t xml:space="preserve"> Глава 98. Сухогрузные суда</w:t>
      </w:r>
    </w:p>
    <w:bookmarkEnd w:id="5055"/>
    <w:p>
      <w:pPr>
        <w:spacing w:after="0"/>
        <w:ind w:left="0"/>
        <w:jc w:val="both"/>
      </w:pPr>
      <w:r>
        <w:rPr>
          <w:rFonts w:ascii="Times New Roman"/>
          <w:b w:val="false"/>
          <w:i w:val="false"/>
          <w:color w:val="ff0000"/>
          <w:sz w:val="28"/>
        </w:rPr>
        <w:t xml:space="preserve">
      Сноска. Заголовок главы 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64" w:id="5056"/>
    <w:p>
      <w:pPr>
        <w:spacing w:after="0"/>
        <w:ind w:left="0"/>
        <w:jc w:val="both"/>
      </w:pPr>
      <w:r>
        <w:rPr>
          <w:rFonts w:ascii="Times New Roman"/>
          <w:b w:val="false"/>
          <w:i w:val="false"/>
          <w:color w:val="000000"/>
          <w:sz w:val="28"/>
        </w:rPr>
        <w:t>
      1588. Остойчивость сухогрузных судов проверяется при следующих вариантах нагрузки:</w:t>
      </w:r>
    </w:p>
    <w:bookmarkEnd w:id="5056"/>
    <w:bookmarkStart w:name="z5065" w:id="5057"/>
    <w:p>
      <w:pPr>
        <w:spacing w:after="0"/>
        <w:ind w:left="0"/>
        <w:jc w:val="both"/>
      </w:pPr>
      <w:r>
        <w:rPr>
          <w:rFonts w:ascii="Times New Roman"/>
          <w:b w:val="false"/>
          <w:i w:val="false"/>
          <w:color w:val="000000"/>
          <w:sz w:val="28"/>
        </w:rPr>
        <w:t>
      1) судно при осадке по летнюю грузовую марку и наличии однородного груза, заполняющего грузовые трюмы, твиндеки, комингсы и шахты грузовых люков, с полными запасами и без жидкого балласта;</w:t>
      </w:r>
    </w:p>
    <w:bookmarkEnd w:id="5057"/>
    <w:bookmarkStart w:name="z5066" w:id="5058"/>
    <w:p>
      <w:pPr>
        <w:spacing w:after="0"/>
        <w:ind w:left="0"/>
        <w:jc w:val="both"/>
      </w:pPr>
      <w:r>
        <w:rPr>
          <w:rFonts w:ascii="Times New Roman"/>
          <w:b w:val="false"/>
          <w:i w:val="false"/>
          <w:color w:val="000000"/>
          <w:sz w:val="28"/>
        </w:rPr>
        <w:t>
      2) судно, как в первом варианте нагрузки, но с 10 % запасов и, если необходимо, с жидким балластом;</w:t>
      </w:r>
    </w:p>
    <w:bookmarkEnd w:id="5058"/>
    <w:bookmarkStart w:name="z5067" w:id="5059"/>
    <w:p>
      <w:pPr>
        <w:spacing w:after="0"/>
        <w:ind w:left="0"/>
        <w:jc w:val="both"/>
      </w:pPr>
      <w:r>
        <w:rPr>
          <w:rFonts w:ascii="Times New Roman"/>
          <w:b w:val="false"/>
          <w:i w:val="false"/>
          <w:color w:val="000000"/>
          <w:sz w:val="28"/>
        </w:rPr>
        <w:t>
      3) судно без груза, с полными запасами;</w:t>
      </w:r>
    </w:p>
    <w:bookmarkEnd w:id="5059"/>
    <w:bookmarkStart w:name="z5068" w:id="5060"/>
    <w:p>
      <w:pPr>
        <w:spacing w:after="0"/>
        <w:ind w:left="0"/>
        <w:jc w:val="both"/>
      </w:pPr>
      <w:r>
        <w:rPr>
          <w:rFonts w:ascii="Times New Roman"/>
          <w:b w:val="false"/>
          <w:i w:val="false"/>
          <w:color w:val="000000"/>
          <w:sz w:val="28"/>
        </w:rPr>
        <w:t>
      4) судно, как в третьем варианте нагрузки, но с 10 % запасов.</w:t>
      </w:r>
    </w:p>
    <w:bookmarkEnd w:id="5060"/>
    <w:bookmarkStart w:name="z5069" w:id="5061"/>
    <w:p>
      <w:pPr>
        <w:spacing w:after="0"/>
        <w:ind w:left="0"/>
        <w:jc w:val="both"/>
      </w:pPr>
      <w:r>
        <w:rPr>
          <w:rFonts w:ascii="Times New Roman"/>
          <w:b w:val="false"/>
          <w:i w:val="false"/>
          <w:color w:val="000000"/>
          <w:sz w:val="28"/>
        </w:rPr>
        <w:t>
      1589. Если в третьем и четвертом вариантах нагрузки, указанных в пункте 1588 настоящих Правил, используются грузовые трюмы для дополнительного приема жидкого балласта, проверяют остойчивость с жидким балластом в соответствующих трюмах. Учет влияния свободных поверхностей в цистернах судовых запасов производится в соответствии с параграфом 5 главы 91 настоящих Правил, а в трюмах, в которые принят жидкий балласт, — по их фактическому заполнению.</w:t>
      </w:r>
    </w:p>
    <w:bookmarkEnd w:id="5061"/>
    <w:bookmarkStart w:name="z5070" w:id="5062"/>
    <w:p>
      <w:pPr>
        <w:spacing w:after="0"/>
        <w:ind w:left="0"/>
        <w:jc w:val="both"/>
      </w:pPr>
      <w:r>
        <w:rPr>
          <w:rFonts w:ascii="Times New Roman"/>
          <w:b w:val="false"/>
          <w:i w:val="false"/>
          <w:color w:val="000000"/>
          <w:sz w:val="28"/>
        </w:rPr>
        <w:t>
      1590. Для судов, перевозящих в нормальных условиях эксплуатации грузы на палубах, проверяют остойчивость при следующих дополнительных вариантах:</w:t>
      </w:r>
    </w:p>
    <w:bookmarkEnd w:id="5062"/>
    <w:bookmarkStart w:name="z5071" w:id="5063"/>
    <w:p>
      <w:pPr>
        <w:spacing w:after="0"/>
        <w:ind w:left="0"/>
        <w:jc w:val="both"/>
      </w:pPr>
      <w:r>
        <w:rPr>
          <w:rFonts w:ascii="Times New Roman"/>
          <w:b w:val="false"/>
          <w:i w:val="false"/>
          <w:color w:val="000000"/>
          <w:sz w:val="28"/>
        </w:rPr>
        <w:t>
      1) судно с заполненными однородным грузом трюмами и твиндеками при осадке по летнюю грузовую марку (с учетом подпункта 1) пункта 1588 настоящих Правил), с грузом на палубах, полными запасами и, если необходимо, с жидким балластом;</w:t>
      </w:r>
    </w:p>
    <w:bookmarkEnd w:id="5063"/>
    <w:bookmarkStart w:name="z5072" w:id="5064"/>
    <w:p>
      <w:pPr>
        <w:spacing w:after="0"/>
        <w:ind w:left="0"/>
        <w:jc w:val="both"/>
      </w:pPr>
      <w:r>
        <w:rPr>
          <w:rFonts w:ascii="Times New Roman"/>
          <w:b w:val="false"/>
          <w:i w:val="false"/>
          <w:color w:val="000000"/>
          <w:sz w:val="28"/>
        </w:rPr>
        <w:t>
      2) судно, как в первом варианте нагрузки, но с 10 % запасов;</w:t>
      </w:r>
    </w:p>
    <w:bookmarkEnd w:id="5064"/>
    <w:bookmarkStart w:name="z5073" w:id="5065"/>
    <w:p>
      <w:pPr>
        <w:spacing w:after="0"/>
        <w:ind w:left="0"/>
        <w:jc w:val="both"/>
      </w:pPr>
      <w:r>
        <w:rPr>
          <w:rFonts w:ascii="Times New Roman"/>
          <w:b w:val="false"/>
          <w:i w:val="false"/>
          <w:color w:val="000000"/>
          <w:sz w:val="28"/>
        </w:rPr>
        <w:t>
      1591. Исправленная начальная метацентрическая высота накатных судов с грузом без учета обледенения равна не менее 0,2 м.</w:t>
      </w:r>
    </w:p>
    <w:bookmarkEnd w:id="5065"/>
    <w:bookmarkStart w:name="z5074" w:id="5066"/>
    <w:p>
      <w:pPr>
        <w:spacing w:after="0"/>
        <w:ind w:left="0"/>
        <w:jc w:val="both"/>
      </w:pPr>
      <w:r>
        <w:rPr>
          <w:rFonts w:ascii="Times New Roman"/>
          <w:b w:val="false"/>
          <w:i w:val="false"/>
          <w:color w:val="000000"/>
          <w:sz w:val="28"/>
        </w:rPr>
        <w:t xml:space="preserve">
      1592. Если при проверке остойчивости судна окажется, что хотя бы один из параметров </w:t>
      </w:r>
    </w:p>
    <w:bookmarkEnd w:id="5066"/>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/B и B/</w:t>
      </w:r>
      <w:r>
        <w:rPr>
          <w:rFonts w:ascii="Times New Roman"/>
          <w:b w:val="false"/>
          <w:i/>
          <w:color w:val="000000"/>
          <w:sz w:val="28"/>
        </w:rPr>
        <w:t>d</w:t>
      </w:r>
      <w:r>
        <w:rPr>
          <w:rFonts w:ascii="Times New Roman"/>
          <w:b w:val="false"/>
          <w:i w:val="false"/>
          <w:color w:val="000000"/>
          <w:sz w:val="28"/>
        </w:rPr>
        <w:t xml:space="preserve"> превышает 0,08 и 2,5 соответственно, остойчивость дополнительно проверяют по критерию ускорения в соответствии с пунктом 1904 настоящих Правил. При этом, если расчетное значение ускорения а</w:t>
      </w:r>
      <w:r>
        <w:rPr>
          <w:rFonts w:ascii="Times New Roman"/>
          <w:b w:val="false"/>
          <w:i w:val="false"/>
          <w:color w:val="000000"/>
          <w:vertAlign w:val="subscript"/>
        </w:rPr>
        <w:t>расч</w:t>
      </w:r>
      <w:r>
        <w:rPr>
          <w:rFonts w:ascii="Times New Roman"/>
          <w:b w:val="false"/>
          <w:i w:val="false"/>
          <w:color w:val="000000"/>
          <w:sz w:val="28"/>
        </w:rPr>
        <w:t xml:space="preserve"> (в долях g) оказывается выше допустимого, возможность эксплуатации судна в соответствующих вариантах нагрузки является предметом специального рассмотрения Регистром судоходства. Конкретные варианты нагрузки судна с а</w:t>
      </w:r>
      <w:r>
        <w:rPr>
          <w:rFonts w:ascii="Times New Roman"/>
          <w:b w:val="false"/>
          <w:i w:val="false"/>
          <w:color w:val="000000"/>
          <w:vertAlign w:val="subscript"/>
        </w:rPr>
        <w:t>расч</w:t>
      </w:r>
      <w:r>
        <w:rPr>
          <w:rFonts w:ascii="Times New Roman"/>
          <w:b w:val="false"/>
          <w:i w:val="false"/>
          <w:color w:val="000000"/>
          <w:sz w:val="28"/>
        </w:rPr>
        <w:t xml:space="preserve"> &gt; 0,30, при которых допускается выход в море, приводят в Информации об остойчивости.</w:t>
      </w:r>
      <w:r>
        <w:br/>
      </w:r>
      <w:r>
        <w:rPr>
          <w:rFonts w:ascii="Times New Roman"/>
          <w:b w:val="false"/>
          <w:i w:val="false"/>
          <w:color w:val="000000"/>
          <w:sz w:val="28"/>
        </w:rPr>
        <w:t>
</w:t>
      </w:r>
    </w:p>
    <w:bookmarkStart w:name="z5075" w:id="5067"/>
    <w:p>
      <w:pPr>
        <w:spacing w:after="0"/>
        <w:ind w:left="0"/>
        <w:jc w:val="both"/>
      </w:pPr>
      <w:r>
        <w:rPr>
          <w:rFonts w:ascii="Times New Roman"/>
          <w:b w:val="false"/>
          <w:i w:val="false"/>
          <w:color w:val="000000"/>
          <w:sz w:val="28"/>
        </w:rPr>
        <w:t>
      Для судна в балласте проверка по критерию ускорения возможно не проводить.</w:t>
      </w:r>
    </w:p>
    <w:bookmarkEnd w:id="5067"/>
    <w:bookmarkStart w:name="z5076" w:id="5068"/>
    <w:p>
      <w:pPr>
        <w:spacing w:after="0"/>
        <w:ind w:left="0"/>
        <w:jc w:val="both"/>
      </w:pPr>
      <w:r>
        <w:rPr>
          <w:rFonts w:ascii="Times New Roman"/>
          <w:b w:val="false"/>
          <w:i w:val="false"/>
          <w:color w:val="000000"/>
          <w:sz w:val="28"/>
        </w:rPr>
        <w:t xml:space="preserve">
      Навалочные суда длиной </w:t>
      </w:r>
      <w:r>
        <w:rPr>
          <w:rFonts w:ascii="Times New Roman"/>
          <w:b w:val="false"/>
          <w:i/>
          <w:color w:val="000000"/>
          <w:sz w:val="28"/>
        </w:rPr>
        <w:t>L</w:t>
      </w:r>
      <w:r>
        <w:rPr>
          <w:rFonts w:ascii="Times New Roman"/>
          <w:b w:val="false"/>
          <w:i w:val="false"/>
          <w:color w:val="000000"/>
          <w:sz w:val="28"/>
        </w:rPr>
        <w:t xml:space="preserve"> &lt; 150 м оборудуются прибором контроля остойчивости, отвечающим требованиям пункта 1140 настоящих Правил.</w:t>
      </w:r>
    </w:p>
    <w:bookmarkEnd w:id="5068"/>
    <w:bookmarkStart w:name="z5077" w:id="5069"/>
    <w:p>
      <w:pPr>
        <w:spacing w:after="0"/>
        <w:ind w:left="0"/>
        <w:jc w:val="left"/>
      </w:pPr>
      <w:r>
        <w:rPr>
          <w:rFonts w:ascii="Times New Roman"/>
          <w:b/>
          <w:i w:val="false"/>
          <w:color w:val="000000"/>
        </w:rPr>
        <w:t xml:space="preserve"> Глава 99. Лесовозы</w:t>
      </w:r>
    </w:p>
    <w:bookmarkEnd w:id="5069"/>
    <w:p>
      <w:pPr>
        <w:spacing w:after="0"/>
        <w:ind w:left="0"/>
        <w:jc w:val="both"/>
      </w:pPr>
      <w:r>
        <w:rPr>
          <w:rFonts w:ascii="Times New Roman"/>
          <w:b w:val="false"/>
          <w:i w:val="false"/>
          <w:color w:val="ff0000"/>
          <w:sz w:val="28"/>
        </w:rPr>
        <w:t xml:space="preserve">
      Сноска. Заголовок главы 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78" w:id="5070"/>
    <w:p>
      <w:pPr>
        <w:spacing w:after="0"/>
        <w:ind w:left="0"/>
        <w:jc w:val="both"/>
      </w:pPr>
      <w:r>
        <w:rPr>
          <w:rFonts w:ascii="Times New Roman"/>
          <w:b w:val="false"/>
          <w:i w:val="false"/>
          <w:color w:val="000000"/>
          <w:sz w:val="28"/>
        </w:rPr>
        <w:t>
      1594. Остойчивость лесовозов проверяется при следующих вариантах нагрузки:</w:t>
      </w:r>
    </w:p>
    <w:bookmarkEnd w:id="5070"/>
    <w:bookmarkStart w:name="z5079" w:id="5071"/>
    <w:p>
      <w:pPr>
        <w:spacing w:after="0"/>
        <w:ind w:left="0"/>
        <w:jc w:val="both"/>
      </w:pPr>
      <w:r>
        <w:rPr>
          <w:rFonts w:ascii="Times New Roman"/>
          <w:b w:val="false"/>
          <w:i w:val="false"/>
          <w:color w:val="000000"/>
          <w:sz w:val="28"/>
        </w:rPr>
        <w:t xml:space="preserve">
      1) судно с лесным грузом, обладающим предусмотренным в задании удельным погрузочным объемом (при отсутствии в задании указаний о значении удельного погрузочного объема лесного груза, расчет остойчивости следует выполнять, принимая </w:t>
      </w:r>
    </w:p>
    <w:bookmarkEnd w:id="5071"/>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2,32 м</w:t>
      </w:r>
      <w:r>
        <w:rPr>
          <w:rFonts w:ascii="Times New Roman"/>
          <w:b w:val="false"/>
          <w:i w:val="false"/>
          <w:color w:val="000000"/>
          <w:vertAlign w:val="superscript"/>
        </w:rPr>
        <w:t>3</w:t>
      </w:r>
      <w:r>
        <w:rPr>
          <w:rFonts w:ascii="Times New Roman"/>
          <w:b w:val="false"/>
          <w:i w:val="false"/>
          <w:color w:val="000000"/>
          <w:sz w:val="28"/>
        </w:rPr>
        <w:t>/т) и размещенным в трюмах и на палубе, при осадке по летнюю лесную грузовую марку, без балласта (с учетом подпункта 1) пункта 1588 настоящих Правил), с полными запасами;</w:t>
      </w:r>
      <w:r>
        <w:br/>
      </w:r>
      <w:r>
        <w:rPr>
          <w:rFonts w:ascii="Times New Roman"/>
          <w:b w:val="false"/>
          <w:i w:val="false"/>
          <w:color w:val="000000"/>
          <w:sz w:val="28"/>
        </w:rPr>
        <w:t>
</w:t>
      </w:r>
    </w:p>
    <w:bookmarkStart w:name="z5080" w:id="5072"/>
    <w:p>
      <w:pPr>
        <w:spacing w:after="0"/>
        <w:ind w:left="0"/>
        <w:jc w:val="both"/>
      </w:pPr>
      <w:r>
        <w:rPr>
          <w:rFonts w:ascii="Times New Roman"/>
          <w:b w:val="false"/>
          <w:i w:val="false"/>
          <w:color w:val="000000"/>
          <w:sz w:val="28"/>
        </w:rPr>
        <w:t>
      2) судно, как в первом варианте нагрузки, но с 10 % запасов и, если необходимо, с жидким балластом;</w:t>
      </w:r>
    </w:p>
    <w:bookmarkEnd w:id="5072"/>
    <w:bookmarkStart w:name="z5081" w:id="5073"/>
    <w:p>
      <w:pPr>
        <w:spacing w:after="0"/>
        <w:ind w:left="0"/>
        <w:jc w:val="both"/>
      </w:pPr>
      <w:r>
        <w:rPr>
          <w:rFonts w:ascii="Times New Roman"/>
          <w:b w:val="false"/>
          <w:i w:val="false"/>
          <w:color w:val="000000"/>
          <w:sz w:val="28"/>
        </w:rPr>
        <w:t>
      3) судно с лесным грузом, обладающим наибольшим предусмотренным в задании удельным погрузочным объемом и размещенным в трюмах и на палубе, с полными запасами, без балласта;</w:t>
      </w:r>
    </w:p>
    <w:bookmarkEnd w:id="5073"/>
    <w:bookmarkStart w:name="z5082" w:id="5074"/>
    <w:p>
      <w:pPr>
        <w:spacing w:after="0"/>
        <w:ind w:left="0"/>
        <w:jc w:val="both"/>
      </w:pPr>
      <w:r>
        <w:rPr>
          <w:rFonts w:ascii="Times New Roman"/>
          <w:b w:val="false"/>
          <w:i w:val="false"/>
          <w:color w:val="000000"/>
          <w:sz w:val="28"/>
        </w:rPr>
        <w:t>
      4) судно, как в третьем варианте нагрузки, но с 10 % запасов и, если необходимо, с жидким балластом;</w:t>
      </w:r>
    </w:p>
    <w:bookmarkEnd w:id="5074"/>
    <w:bookmarkStart w:name="z5083" w:id="5075"/>
    <w:p>
      <w:pPr>
        <w:spacing w:after="0"/>
        <w:ind w:left="0"/>
        <w:jc w:val="both"/>
      </w:pPr>
      <w:r>
        <w:rPr>
          <w:rFonts w:ascii="Times New Roman"/>
          <w:b w:val="false"/>
          <w:i w:val="false"/>
          <w:color w:val="000000"/>
          <w:sz w:val="28"/>
        </w:rPr>
        <w:t>
      5) судно без груза, с полными запасами;</w:t>
      </w:r>
    </w:p>
    <w:bookmarkEnd w:id="5075"/>
    <w:bookmarkStart w:name="z5084" w:id="5076"/>
    <w:p>
      <w:pPr>
        <w:spacing w:after="0"/>
        <w:ind w:left="0"/>
        <w:jc w:val="both"/>
      </w:pPr>
      <w:r>
        <w:rPr>
          <w:rFonts w:ascii="Times New Roman"/>
          <w:b w:val="false"/>
          <w:i w:val="false"/>
          <w:color w:val="000000"/>
          <w:sz w:val="28"/>
        </w:rPr>
        <w:t>
      6) судно, как в пятом варианте нагрузки, но с 10 % запасов.</w:t>
      </w:r>
    </w:p>
    <w:bookmarkEnd w:id="5076"/>
    <w:bookmarkStart w:name="z5085" w:id="5077"/>
    <w:p>
      <w:pPr>
        <w:spacing w:after="0"/>
        <w:ind w:left="0"/>
        <w:jc w:val="both"/>
      </w:pPr>
      <w:r>
        <w:rPr>
          <w:rFonts w:ascii="Times New Roman"/>
          <w:b w:val="false"/>
          <w:i w:val="false"/>
          <w:color w:val="000000"/>
          <w:sz w:val="28"/>
        </w:rPr>
        <w:t xml:space="preserve">
      1595. Укладка грузов на лесовозах соответствовует требованиям </w:t>
      </w:r>
      <w:r>
        <w:rPr>
          <w:rFonts w:ascii="Times New Roman"/>
          <w:b w:val="false"/>
          <w:i w:val="false"/>
          <w:color w:val="000000"/>
          <w:sz w:val="28"/>
        </w:rPr>
        <w:t xml:space="preserve"> Правил</w:t>
      </w:r>
      <w:r>
        <w:rPr>
          <w:rFonts w:ascii="Times New Roman"/>
          <w:b w:val="false"/>
          <w:i w:val="false"/>
          <w:color w:val="000000"/>
          <w:sz w:val="28"/>
        </w:rPr>
        <w:t xml:space="preserve"> о грузовой марке морских судов, утвержденных упономоченным органом, а также указаниям Информации или специальной инструкции.</w:t>
      </w:r>
    </w:p>
    <w:bookmarkEnd w:id="5077"/>
    <w:bookmarkStart w:name="z5086" w:id="5078"/>
    <w:p>
      <w:pPr>
        <w:spacing w:after="0"/>
        <w:ind w:left="0"/>
        <w:jc w:val="both"/>
      </w:pPr>
      <w:r>
        <w:rPr>
          <w:rFonts w:ascii="Times New Roman"/>
          <w:b w:val="false"/>
          <w:i w:val="false"/>
          <w:color w:val="000000"/>
          <w:sz w:val="28"/>
        </w:rPr>
        <w:t>
      1596. При расчете плеч остойчивости формы лесовозов разрешается засчитывать объем палубного груза леса на полную его ширину и высоту с коэффициентом проницаемости 0,25.</w:t>
      </w:r>
    </w:p>
    <w:bookmarkEnd w:id="5078"/>
    <w:bookmarkStart w:name="z5087" w:id="5079"/>
    <w:p>
      <w:pPr>
        <w:spacing w:after="0"/>
        <w:ind w:left="0"/>
        <w:jc w:val="both"/>
      </w:pPr>
      <w:r>
        <w:rPr>
          <w:rFonts w:ascii="Times New Roman"/>
          <w:b w:val="false"/>
          <w:i w:val="false"/>
          <w:color w:val="000000"/>
          <w:sz w:val="28"/>
        </w:rPr>
        <w:t>
      1597. В Информацию об остойчивости включают материалы, позволяющие капитану оценить остойчивость судна при перевозке палубного лесного груза, коэффициент проницаемости которого значительно отличается от 0,25. Если предполагаемые коэффициенты проницаемости неизвестны, следует принять по крайней мере три значения: 0,25, 0,4 и 0,6.</w:t>
      </w:r>
    </w:p>
    <w:bookmarkEnd w:id="5079"/>
    <w:bookmarkStart w:name="z5088" w:id="5080"/>
    <w:p>
      <w:pPr>
        <w:spacing w:after="0"/>
        <w:ind w:left="0"/>
        <w:jc w:val="both"/>
      </w:pPr>
      <w:r>
        <w:rPr>
          <w:rFonts w:ascii="Times New Roman"/>
          <w:b w:val="false"/>
          <w:i w:val="false"/>
          <w:color w:val="000000"/>
          <w:sz w:val="28"/>
        </w:rPr>
        <w:t>
      1598. Исправленная начальная метацентрическая высота лесовозов в течение всего рейса для вариантов нагрузки, перечисленных в подпунктах 1) – 4) пункта 1594 настоящих Правил, равна не менее 0,1 м, а для вариантов нагрузки, перечисленных в подпункте 5) и 6) пункта 1582 настоящих Правил, — не менее 0,15 м.</w:t>
      </w:r>
    </w:p>
    <w:bookmarkEnd w:id="5080"/>
    <w:bookmarkStart w:name="z5089" w:id="5081"/>
    <w:p>
      <w:pPr>
        <w:spacing w:after="0"/>
        <w:ind w:left="0"/>
        <w:jc w:val="both"/>
      </w:pPr>
      <w:r>
        <w:rPr>
          <w:rFonts w:ascii="Times New Roman"/>
          <w:b w:val="false"/>
          <w:i w:val="false"/>
          <w:color w:val="000000"/>
          <w:sz w:val="28"/>
        </w:rPr>
        <w:t>
      Диаграмма статической остойчивости лесовозов при вариантах загрузки, перечисленных в подпунктах 1) – 4) пункта 1594 настоящих Правил, отвечает следующим специальным требованиям:</w:t>
      </w:r>
    </w:p>
    <w:bookmarkEnd w:id="5081"/>
    <w:bookmarkStart w:name="z5090" w:id="5082"/>
    <w:p>
      <w:pPr>
        <w:spacing w:after="0"/>
        <w:ind w:left="0"/>
        <w:jc w:val="both"/>
      </w:pPr>
      <w:r>
        <w:rPr>
          <w:rFonts w:ascii="Times New Roman"/>
          <w:b w:val="false"/>
          <w:i w:val="false"/>
          <w:color w:val="000000"/>
          <w:sz w:val="28"/>
        </w:rPr>
        <w:t>
      площадь под кривой восстанавливающих плеч до угла 40</w:t>
      </w:r>
      <w:r>
        <w:rPr>
          <w:rFonts w:ascii="Times New Roman"/>
          <w:b w:val="false"/>
          <w:i w:val="false"/>
          <w:color w:val="000000"/>
          <w:vertAlign w:val="superscript"/>
        </w:rPr>
        <w:t>о</w:t>
      </w:r>
      <w:r>
        <w:rPr>
          <w:rFonts w:ascii="Times New Roman"/>
          <w:b w:val="false"/>
          <w:i w:val="false"/>
          <w:color w:val="000000"/>
          <w:sz w:val="28"/>
        </w:rPr>
        <w:t xml:space="preserve"> равна не менее 0,08 м•рад;</w:t>
      </w:r>
    </w:p>
    <w:bookmarkEnd w:id="5082"/>
    <w:bookmarkStart w:name="z5091" w:id="5083"/>
    <w:p>
      <w:pPr>
        <w:spacing w:after="0"/>
        <w:ind w:left="0"/>
        <w:jc w:val="both"/>
      </w:pPr>
      <w:r>
        <w:rPr>
          <w:rFonts w:ascii="Times New Roman"/>
          <w:b w:val="false"/>
          <w:i w:val="false"/>
          <w:color w:val="000000"/>
          <w:sz w:val="28"/>
        </w:rPr>
        <w:t>
      максимальное плечо диаграммы равна не менее 0,25 м.</w:t>
      </w:r>
    </w:p>
    <w:bookmarkEnd w:id="5083"/>
    <w:bookmarkStart w:name="z5092" w:id="5084"/>
    <w:p>
      <w:pPr>
        <w:spacing w:after="0"/>
        <w:ind w:left="0"/>
        <w:jc w:val="both"/>
      </w:pPr>
      <w:r>
        <w:rPr>
          <w:rFonts w:ascii="Times New Roman"/>
          <w:b w:val="false"/>
          <w:i w:val="false"/>
          <w:color w:val="000000"/>
          <w:sz w:val="28"/>
        </w:rPr>
        <w:t>
      Угол статического крена от действия постоянного ветра не превышает 16</w:t>
      </w:r>
      <w:r>
        <w:rPr>
          <w:rFonts w:ascii="Times New Roman"/>
          <w:b w:val="false"/>
          <w:i w:val="false"/>
          <w:color w:val="000000"/>
          <w:vertAlign w:val="superscript"/>
        </w:rPr>
        <w:t>о</w:t>
      </w:r>
      <w:r>
        <w:rPr>
          <w:rFonts w:ascii="Times New Roman"/>
          <w:b w:val="false"/>
          <w:i w:val="false"/>
          <w:color w:val="000000"/>
          <w:sz w:val="28"/>
        </w:rPr>
        <w:t>;</w:t>
      </w:r>
    </w:p>
    <w:bookmarkEnd w:id="5084"/>
    <w:bookmarkStart w:name="z5093" w:id="5085"/>
    <w:p>
      <w:pPr>
        <w:spacing w:after="0"/>
        <w:ind w:left="0"/>
        <w:jc w:val="both"/>
      </w:pPr>
      <w:r>
        <w:rPr>
          <w:rFonts w:ascii="Times New Roman"/>
          <w:b w:val="false"/>
          <w:i w:val="false"/>
          <w:color w:val="000000"/>
          <w:sz w:val="28"/>
        </w:rPr>
        <w:t>
      норматив по углу входа кромки палубы в воду для лесовозов не применяется.</w:t>
      </w:r>
    </w:p>
    <w:bookmarkEnd w:id="5085"/>
    <w:bookmarkStart w:name="z5094" w:id="5086"/>
    <w:p>
      <w:pPr>
        <w:spacing w:after="0"/>
        <w:ind w:left="0"/>
        <w:jc w:val="both"/>
      </w:pPr>
      <w:r>
        <w:rPr>
          <w:rFonts w:ascii="Times New Roman"/>
          <w:b w:val="false"/>
          <w:i w:val="false"/>
          <w:color w:val="000000"/>
          <w:sz w:val="28"/>
        </w:rPr>
        <w:t>
      1599. Расчет остойчивости судна, перевозящего палубный лесной груз, для наиболее неблагоприятного варианта нагрузки из числа указанных в пунктах подпунктах 1) – 4) пункта 1475 настоящих Правил производится с учетом возможного увеличения массы палубного лесного груза вследствие его намокания.</w:t>
      </w:r>
    </w:p>
    <w:bookmarkEnd w:id="5086"/>
    <w:bookmarkStart w:name="z5095" w:id="5087"/>
    <w:p>
      <w:pPr>
        <w:spacing w:after="0"/>
        <w:ind w:left="0"/>
        <w:jc w:val="both"/>
      </w:pPr>
      <w:r>
        <w:rPr>
          <w:rFonts w:ascii="Times New Roman"/>
          <w:b w:val="false"/>
          <w:i w:val="false"/>
          <w:color w:val="000000"/>
          <w:sz w:val="28"/>
        </w:rPr>
        <w:t>
      При отсутствии надежных данных о степени намокания различных сортов древесины в расчетах следует увеличивать массу палубного груза на 10 %. Это увеличение массы засчитывается в перегрузку и не включается в состав дедвейта судна.</w:t>
      </w:r>
    </w:p>
    <w:bookmarkEnd w:id="5087"/>
    <w:bookmarkStart w:name="z5096" w:id="5088"/>
    <w:p>
      <w:pPr>
        <w:spacing w:after="0"/>
        <w:ind w:left="0"/>
        <w:jc w:val="both"/>
      </w:pPr>
      <w:r>
        <w:rPr>
          <w:rFonts w:ascii="Times New Roman"/>
          <w:b w:val="false"/>
          <w:i w:val="false"/>
          <w:color w:val="000000"/>
          <w:sz w:val="28"/>
        </w:rPr>
        <w:t>
      1600. Для судов, перевозящих палубный лесной груз, предназначенных для эксплуатации в районах, в которых требуется учет обледенения, а также эксплуатирующихся в зимнее время в зимних сезонных зонах, производят расчет остойчивости с учетом возможного обледенения.</w:t>
      </w:r>
    </w:p>
    <w:bookmarkEnd w:id="5088"/>
    <w:bookmarkStart w:name="z5097" w:id="5089"/>
    <w:p>
      <w:pPr>
        <w:spacing w:after="0"/>
        <w:ind w:left="0"/>
        <w:jc w:val="both"/>
      </w:pPr>
      <w:r>
        <w:rPr>
          <w:rFonts w:ascii="Times New Roman"/>
          <w:b w:val="false"/>
          <w:i w:val="false"/>
          <w:color w:val="000000"/>
          <w:sz w:val="28"/>
        </w:rPr>
        <w:t>
      При расчете обледенения верхняя поверхность палубного лесного груза рассматривается как палуба, а его боковые поверхности над фальшбортом - как часть расчетной площади парусности. Норма обледенения для этих поверхностей принимается втрое больше, чем в главе 96 настоящих Правил.</w:t>
      </w:r>
    </w:p>
    <w:bookmarkEnd w:id="5089"/>
    <w:bookmarkStart w:name="z5098" w:id="5090"/>
    <w:p>
      <w:pPr>
        <w:spacing w:after="0"/>
        <w:ind w:left="0"/>
        <w:jc w:val="both"/>
      </w:pPr>
      <w:r>
        <w:rPr>
          <w:rFonts w:ascii="Times New Roman"/>
          <w:b w:val="false"/>
          <w:i w:val="false"/>
          <w:color w:val="000000"/>
          <w:sz w:val="28"/>
        </w:rPr>
        <w:t>
      1601. Если лесовоз используется для перевозки других видов груза, то для него проверяют остойчивость в соответствии с требованиями подраздела 2 и главы 98 настоящих Правил. Расчеты плеч остойчивости формы судна при этом выполняется без учета палубного лесного груза.</w:t>
      </w:r>
    </w:p>
    <w:bookmarkEnd w:id="5090"/>
    <w:bookmarkStart w:name="z5099" w:id="5091"/>
    <w:p>
      <w:pPr>
        <w:spacing w:after="0"/>
        <w:ind w:left="0"/>
        <w:jc w:val="both"/>
      </w:pPr>
      <w:r>
        <w:rPr>
          <w:rFonts w:ascii="Times New Roman"/>
          <w:b w:val="false"/>
          <w:i w:val="false"/>
          <w:color w:val="000000"/>
          <w:sz w:val="28"/>
        </w:rPr>
        <w:t>
      1602. Требования настоящей главы применимы для других типов судов при перевозке палубного лесного груза.</w:t>
      </w:r>
    </w:p>
    <w:bookmarkEnd w:id="5091"/>
    <w:bookmarkStart w:name="z5100" w:id="5092"/>
    <w:p>
      <w:pPr>
        <w:spacing w:after="0"/>
        <w:ind w:left="0"/>
        <w:jc w:val="both"/>
      </w:pPr>
      <w:r>
        <w:rPr>
          <w:rFonts w:ascii="Times New Roman"/>
          <w:b w:val="false"/>
          <w:i w:val="false"/>
          <w:color w:val="000000"/>
          <w:sz w:val="28"/>
        </w:rPr>
        <w:t>
      Если укладка палубного лесного груза не соответствует пункту 1595 настоящих Правил в отношении выполнения требований Правил о грузовой марке, плавучесть палубного лесного груза в расчетах остойчивости не учитывается, необходимо чтобы остойчивость судна удовлетворяла требованиям глав 94-96 настоящих Правил.</w:t>
      </w:r>
    </w:p>
    <w:bookmarkEnd w:id="5092"/>
    <w:bookmarkStart w:name="z5101" w:id="5093"/>
    <w:p>
      <w:pPr>
        <w:spacing w:after="0"/>
        <w:ind w:left="0"/>
        <w:jc w:val="both"/>
      </w:pPr>
      <w:r>
        <w:rPr>
          <w:rFonts w:ascii="Times New Roman"/>
          <w:b w:val="false"/>
          <w:i w:val="false"/>
          <w:color w:val="000000"/>
          <w:sz w:val="28"/>
        </w:rPr>
        <w:t>
      1603. Междудонные цистерны лесовозов, расположенные в районе половины длины судна в средней его части, имеют надлежащее водонепроницаемое продольное деление.</w:t>
      </w:r>
    </w:p>
    <w:bookmarkEnd w:id="5093"/>
    <w:bookmarkStart w:name="z5102" w:id="5094"/>
    <w:p>
      <w:pPr>
        <w:spacing w:after="0"/>
        <w:ind w:left="0"/>
        <w:jc w:val="left"/>
      </w:pPr>
      <w:r>
        <w:rPr>
          <w:rFonts w:ascii="Times New Roman"/>
          <w:b/>
          <w:i w:val="false"/>
          <w:color w:val="000000"/>
        </w:rPr>
        <w:t xml:space="preserve"> Глава 100. Наливные суда</w:t>
      </w:r>
    </w:p>
    <w:bookmarkEnd w:id="5094"/>
    <w:p>
      <w:pPr>
        <w:spacing w:after="0"/>
        <w:ind w:left="0"/>
        <w:jc w:val="both"/>
      </w:pPr>
      <w:r>
        <w:rPr>
          <w:rFonts w:ascii="Times New Roman"/>
          <w:b w:val="false"/>
          <w:i w:val="false"/>
          <w:color w:val="ff0000"/>
          <w:sz w:val="28"/>
        </w:rPr>
        <w:t xml:space="preserve">
      Сноска. Заголовок главы 100 -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03" w:id="5095"/>
    <w:p>
      <w:pPr>
        <w:spacing w:after="0"/>
        <w:ind w:left="0"/>
        <w:jc w:val="both"/>
      </w:pPr>
      <w:r>
        <w:rPr>
          <w:rFonts w:ascii="Times New Roman"/>
          <w:b w:val="false"/>
          <w:i w:val="false"/>
          <w:color w:val="000000"/>
          <w:sz w:val="28"/>
        </w:rPr>
        <w:t>
      1604. Остойчивость наливных судов, перевозящих жидкие грузы, проверяется при следующих вариантах нагрузки:</w:t>
      </w:r>
    </w:p>
    <w:bookmarkEnd w:id="5095"/>
    <w:bookmarkStart w:name="z5104" w:id="5096"/>
    <w:p>
      <w:pPr>
        <w:spacing w:after="0"/>
        <w:ind w:left="0"/>
        <w:jc w:val="both"/>
      </w:pPr>
      <w:r>
        <w:rPr>
          <w:rFonts w:ascii="Times New Roman"/>
          <w:b w:val="false"/>
          <w:i w:val="false"/>
          <w:color w:val="000000"/>
          <w:sz w:val="28"/>
        </w:rPr>
        <w:t>
      1) судно при осадке по летнюю грузовую марку с полным грузом, с полными запасами и без жидкого балласта;</w:t>
      </w:r>
    </w:p>
    <w:bookmarkEnd w:id="5096"/>
    <w:bookmarkStart w:name="z5105" w:id="5097"/>
    <w:p>
      <w:pPr>
        <w:spacing w:after="0"/>
        <w:ind w:left="0"/>
        <w:jc w:val="both"/>
      </w:pPr>
      <w:r>
        <w:rPr>
          <w:rFonts w:ascii="Times New Roman"/>
          <w:b w:val="false"/>
          <w:i w:val="false"/>
          <w:color w:val="000000"/>
          <w:sz w:val="28"/>
        </w:rPr>
        <w:t>
      2) судно с полным грузом, но с 10 % запасов;</w:t>
      </w:r>
    </w:p>
    <w:bookmarkEnd w:id="5097"/>
    <w:bookmarkStart w:name="z5106" w:id="5098"/>
    <w:p>
      <w:pPr>
        <w:spacing w:after="0"/>
        <w:ind w:left="0"/>
        <w:jc w:val="both"/>
      </w:pPr>
      <w:r>
        <w:rPr>
          <w:rFonts w:ascii="Times New Roman"/>
          <w:b w:val="false"/>
          <w:i w:val="false"/>
          <w:color w:val="000000"/>
          <w:sz w:val="28"/>
        </w:rPr>
        <w:t>
      3) судно без груза, с полными запасами;</w:t>
      </w:r>
    </w:p>
    <w:bookmarkEnd w:id="5098"/>
    <w:bookmarkStart w:name="z5107" w:id="5099"/>
    <w:p>
      <w:pPr>
        <w:spacing w:after="0"/>
        <w:ind w:left="0"/>
        <w:jc w:val="both"/>
      </w:pPr>
      <w:r>
        <w:rPr>
          <w:rFonts w:ascii="Times New Roman"/>
          <w:b w:val="false"/>
          <w:i w:val="false"/>
          <w:color w:val="000000"/>
          <w:sz w:val="28"/>
        </w:rPr>
        <w:t>
      4) судно, как в третьем варианте нагрузки, но с 10 % запасов.</w:t>
      </w:r>
    </w:p>
    <w:bookmarkEnd w:id="5099"/>
    <w:bookmarkStart w:name="z5108" w:id="5100"/>
    <w:p>
      <w:pPr>
        <w:spacing w:after="0"/>
        <w:ind w:left="0"/>
        <w:jc w:val="both"/>
      </w:pPr>
      <w:r>
        <w:rPr>
          <w:rFonts w:ascii="Times New Roman"/>
          <w:b w:val="false"/>
          <w:i w:val="false"/>
          <w:color w:val="000000"/>
          <w:sz w:val="28"/>
        </w:rPr>
        <w:t>
      Учет влияния свободных поверхностей в цистернах судовых запасов производится в соответствии с параграфом 5 главы 91 настоящих Правил, а в грузовых танках — по их фактическому заполнению.</w:t>
      </w:r>
    </w:p>
    <w:bookmarkEnd w:id="5100"/>
    <w:bookmarkStart w:name="z5109" w:id="5101"/>
    <w:p>
      <w:pPr>
        <w:spacing w:after="0"/>
        <w:ind w:left="0"/>
        <w:jc w:val="both"/>
      </w:pPr>
      <w:r>
        <w:rPr>
          <w:rFonts w:ascii="Times New Roman"/>
          <w:b w:val="false"/>
          <w:i w:val="false"/>
          <w:color w:val="000000"/>
          <w:sz w:val="28"/>
        </w:rPr>
        <w:t>
      В тех случаях, когда на открытой части палуб наливного судна установлены комингсы для предотвращения разлива груза, образуя огражденное пространство (колодец), такое пространство рассматривается как заполненное забортной водой и должно учитываться при расчете поправки к начальной метацентрической высоте.</w:t>
      </w:r>
    </w:p>
    <w:bookmarkEnd w:id="5101"/>
    <w:bookmarkStart w:name="z5110" w:id="5102"/>
    <w:p>
      <w:pPr>
        <w:spacing w:after="0"/>
        <w:ind w:left="0"/>
        <w:jc w:val="both"/>
      </w:pPr>
      <w:r>
        <w:rPr>
          <w:rFonts w:ascii="Times New Roman"/>
          <w:b w:val="false"/>
          <w:i w:val="false"/>
          <w:color w:val="000000"/>
          <w:sz w:val="28"/>
        </w:rPr>
        <w:t>
      1605. Для наливных судов-раздатчиков проверяют остойчивость при дополнительном варианте нагрузки: судно с 75 % грузов при наличии свободных поверхностей в танках каждого сорта груза и с 50 % запасов без жидкого балласта.</w:t>
      </w:r>
    </w:p>
    <w:bookmarkEnd w:id="5102"/>
    <w:bookmarkStart w:name="z5111" w:id="5103"/>
    <w:p>
      <w:pPr>
        <w:spacing w:after="0"/>
        <w:ind w:left="0"/>
        <w:jc w:val="both"/>
      </w:pPr>
      <w:r>
        <w:rPr>
          <w:rFonts w:ascii="Times New Roman"/>
          <w:b w:val="false"/>
          <w:i w:val="false"/>
          <w:color w:val="000000"/>
          <w:sz w:val="28"/>
        </w:rPr>
        <w:t>
      1606. Требования пункта 1605 применимы для нефтесборных судов.</w:t>
      </w:r>
    </w:p>
    <w:bookmarkEnd w:id="5103"/>
    <w:bookmarkStart w:name="z5112" w:id="5104"/>
    <w:p>
      <w:pPr>
        <w:spacing w:after="0"/>
        <w:ind w:left="0"/>
        <w:jc w:val="both"/>
      </w:pPr>
      <w:r>
        <w:rPr>
          <w:rFonts w:ascii="Times New Roman"/>
          <w:b w:val="false"/>
          <w:i w:val="false"/>
          <w:color w:val="000000"/>
          <w:sz w:val="28"/>
        </w:rPr>
        <w:t>
      1607. Остойчивость наливных судов с грузовыми танками или балластными цистернами, ширина которых составляет более 60 % ширины судна, во время проведения погрузочно-разгрузочных операций (далее - ПРО), включая их промежуточные стадии, отвечает нижеследующим дополнительным требованиям.</w:t>
      </w:r>
    </w:p>
    <w:bookmarkEnd w:id="5104"/>
    <w:bookmarkStart w:name="z5113" w:id="5105"/>
    <w:p>
      <w:pPr>
        <w:spacing w:after="0"/>
        <w:ind w:left="0"/>
        <w:jc w:val="both"/>
      </w:pPr>
      <w:r>
        <w:rPr>
          <w:rFonts w:ascii="Times New Roman"/>
          <w:b w:val="false"/>
          <w:i w:val="false"/>
          <w:color w:val="000000"/>
          <w:sz w:val="28"/>
        </w:rPr>
        <w:t>
      1608. При выполнении ПРО в порту исправленная начальная метацентрическая высота равна не менее 0,15 м, а протяженность диаграммы статической остойчивости - не менее 20</w:t>
      </w:r>
      <w:r>
        <w:rPr>
          <w:rFonts w:ascii="Times New Roman"/>
          <w:b w:val="false"/>
          <w:i w:val="false"/>
          <w:color w:val="000000"/>
          <w:vertAlign w:val="superscript"/>
        </w:rPr>
        <w:t>о</w:t>
      </w:r>
      <w:r>
        <w:rPr>
          <w:rFonts w:ascii="Times New Roman"/>
          <w:b w:val="false"/>
          <w:i w:val="false"/>
          <w:color w:val="000000"/>
          <w:sz w:val="28"/>
        </w:rPr>
        <w:t>.</w:t>
      </w:r>
    </w:p>
    <w:bookmarkEnd w:id="5105"/>
    <w:bookmarkStart w:name="z5114" w:id="5106"/>
    <w:p>
      <w:pPr>
        <w:spacing w:after="0"/>
        <w:ind w:left="0"/>
        <w:jc w:val="both"/>
      </w:pPr>
      <w:r>
        <w:rPr>
          <w:rFonts w:ascii="Times New Roman"/>
          <w:b w:val="false"/>
          <w:i w:val="false"/>
          <w:color w:val="000000"/>
          <w:sz w:val="28"/>
        </w:rPr>
        <w:t>
      1609. При выполнении ПРО в море и на рейде выполняются все требования настоящего раздела Правил.</w:t>
      </w:r>
    </w:p>
    <w:bookmarkEnd w:id="5106"/>
    <w:bookmarkStart w:name="z5115" w:id="5107"/>
    <w:p>
      <w:pPr>
        <w:spacing w:after="0"/>
        <w:ind w:left="0"/>
        <w:jc w:val="both"/>
      </w:pPr>
      <w:r>
        <w:rPr>
          <w:rFonts w:ascii="Times New Roman"/>
          <w:b w:val="false"/>
          <w:i w:val="false"/>
          <w:color w:val="000000"/>
          <w:sz w:val="28"/>
        </w:rPr>
        <w:t>
      1610. При определении поправки на влияние свободных поверхностей жидкостей следует одновременно учитывать максимально возможную поправку во всех грузовых танках, цистернах запасов и балластных цистернах.</w:t>
      </w:r>
    </w:p>
    <w:bookmarkEnd w:id="5107"/>
    <w:bookmarkStart w:name="z5116" w:id="5108"/>
    <w:p>
      <w:pPr>
        <w:spacing w:after="0"/>
        <w:ind w:left="0"/>
        <w:jc w:val="both"/>
      </w:pPr>
      <w:r>
        <w:rPr>
          <w:rFonts w:ascii="Times New Roman"/>
          <w:b w:val="false"/>
          <w:i w:val="false"/>
          <w:color w:val="000000"/>
          <w:sz w:val="28"/>
        </w:rPr>
        <w:t>
      1611. В случае, если требования пунктов 1608 и 1609 настоящих Правил при условии выполнения требований пункта 1608 настоящих Правил не выполняются, то по согласованию с Регистром судоходства в Информацию об остойчивости включают инструкции, содержащие эксплуатационные ограничения, позволяющие обеспечить выполнение указанных требований.</w:t>
      </w:r>
    </w:p>
    <w:bookmarkEnd w:id="5108"/>
    <w:bookmarkStart w:name="z5117" w:id="5109"/>
    <w:p>
      <w:pPr>
        <w:spacing w:after="0"/>
        <w:ind w:left="0"/>
        <w:jc w:val="both"/>
      </w:pPr>
      <w:r>
        <w:rPr>
          <w:rFonts w:ascii="Times New Roman"/>
          <w:b w:val="false"/>
          <w:i w:val="false"/>
          <w:color w:val="000000"/>
          <w:sz w:val="28"/>
        </w:rPr>
        <w:t>
      1612. Инструкции, упомянутые в пункте 1611 настоящих Правил, составляют с учетом следующего:</w:t>
      </w:r>
    </w:p>
    <w:bookmarkEnd w:id="5109"/>
    <w:bookmarkStart w:name="z5118" w:id="5110"/>
    <w:p>
      <w:pPr>
        <w:spacing w:after="0"/>
        <w:ind w:left="0"/>
        <w:jc w:val="both"/>
      </w:pPr>
      <w:r>
        <w:rPr>
          <w:rFonts w:ascii="Times New Roman"/>
          <w:b w:val="false"/>
          <w:i w:val="false"/>
          <w:color w:val="000000"/>
          <w:sz w:val="28"/>
        </w:rPr>
        <w:t>
      они составляются на языке, понятном для члена экипажа, ответственного за ПРО, и содержат перевод на английский язык;</w:t>
      </w:r>
    </w:p>
    <w:bookmarkEnd w:id="5110"/>
    <w:bookmarkStart w:name="z5119" w:id="5111"/>
    <w:p>
      <w:pPr>
        <w:spacing w:after="0"/>
        <w:ind w:left="0"/>
        <w:jc w:val="both"/>
      </w:pPr>
      <w:r>
        <w:rPr>
          <w:rFonts w:ascii="Times New Roman"/>
          <w:b w:val="false"/>
          <w:i w:val="false"/>
          <w:color w:val="000000"/>
          <w:sz w:val="28"/>
        </w:rPr>
        <w:t>
      они не требуют выполнения более сложных вычислений, чем предусмотренные в остальных разделах Информации об остойчивости;</w:t>
      </w:r>
    </w:p>
    <w:bookmarkEnd w:id="5111"/>
    <w:bookmarkStart w:name="z5120" w:id="5112"/>
    <w:p>
      <w:pPr>
        <w:spacing w:after="0"/>
        <w:ind w:left="0"/>
        <w:jc w:val="both"/>
      </w:pPr>
      <w:r>
        <w:rPr>
          <w:rFonts w:ascii="Times New Roman"/>
          <w:b w:val="false"/>
          <w:i w:val="false"/>
          <w:color w:val="000000"/>
          <w:sz w:val="28"/>
        </w:rPr>
        <w:t>
      они содержат список грузовых танков и цистерн, которые могут одновременно иметь свободные поверхности в любой стадии ПРО;</w:t>
      </w:r>
    </w:p>
    <w:bookmarkEnd w:id="5112"/>
    <w:bookmarkStart w:name="z5121" w:id="5113"/>
    <w:p>
      <w:pPr>
        <w:spacing w:after="0"/>
        <w:ind w:left="0"/>
        <w:jc w:val="both"/>
      </w:pPr>
      <w:r>
        <w:rPr>
          <w:rFonts w:ascii="Times New Roman"/>
          <w:b w:val="false"/>
          <w:i w:val="false"/>
          <w:color w:val="000000"/>
          <w:sz w:val="28"/>
        </w:rPr>
        <w:t>
      они включают типовые варианты выполнения ПРО, обеспечивающих выполнение требований к остойчивости для всех предусмотренных в Информации об остойчивости случаев нагрузки. Варианты содержат списки грузовых танков и цистерн, которые могут одновременно иметь свободные поверхности на разных стадиях ПРО;</w:t>
      </w:r>
    </w:p>
    <w:bookmarkEnd w:id="5113"/>
    <w:bookmarkStart w:name="z5122" w:id="5114"/>
    <w:p>
      <w:pPr>
        <w:spacing w:after="0"/>
        <w:ind w:left="0"/>
        <w:jc w:val="both"/>
      </w:pPr>
      <w:r>
        <w:rPr>
          <w:rFonts w:ascii="Times New Roman"/>
          <w:b w:val="false"/>
          <w:i w:val="false"/>
          <w:color w:val="000000"/>
          <w:sz w:val="28"/>
        </w:rPr>
        <w:t>
      они содержат указания, необходимые для самостоятельной разработки планов ПРО, включающие:</w:t>
      </w:r>
    </w:p>
    <w:bookmarkEnd w:id="5114"/>
    <w:bookmarkStart w:name="z5123" w:id="5115"/>
    <w:p>
      <w:pPr>
        <w:spacing w:after="0"/>
        <w:ind w:left="0"/>
        <w:jc w:val="both"/>
      </w:pPr>
      <w:r>
        <w:rPr>
          <w:rFonts w:ascii="Times New Roman"/>
          <w:b w:val="false"/>
          <w:i w:val="false"/>
          <w:color w:val="000000"/>
          <w:sz w:val="28"/>
        </w:rPr>
        <w:t>
      кривые и и/или таблицы предельных возвышений центра тяжести судна, позволяющие контролировать выполнение требований пунктов 1608, 1609 настоящих Правил,</w:t>
      </w:r>
    </w:p>
    <w:bookmarkEnd w:id="5115"/>
    <w:bookmarkStart w:name="z5124" w:id="5116"/>
    <w:p>
      <w:pPr>
        <w:spacing w:after="0"/>
        <w:ind w:left="0"/>
        <w:jc w:val="both"/>
      </w:pPr>
      <w:r>
        <w:rPr>
          <w:rFonts w:ascii="Times New Roman"/>
          <w:b w:val="false"/>
          <w:i w:val="false"/>
          <w:color w:val="000000"/>
          <w:sz w:val="28"/>
        </w:rPr>
        <w:t>
      способ оперативной оценки влияния на остойчивость изменения количества танков, одновременно имеющих свободные поверхности на каждой стадии ПРО,</w:t>
      </w:r>
    </w:p>
    <w:bookmarkEnd w:id="5116"/>
    <w:bookmarkStart w:name="z5125" w:id="5117"/>
    <w:p>
      <w:pPr>
        <w:spacing w:after="0"/>
        <w:ind w:left="0"/>
        <w:jc w:val="both"/>
      </w:pPr>
      <w:r>
        <w:rPr>
          <w:rFonts w:ascii="Times New Roman"/>
          <w:b w:val="false"/>
          <w:i w:val="false"/>
          <w:color w:val="000000"/>
          <w:sz w:val="28"/>
        </w:rPr>
        <w:t>
      описание имеющихся на судне средств для управления и контроля за ходом ПРО с точки зрения влияния на остойчивость судна,</w:t>
      </w:r>
    </w:p>
    <w:bookmarkEnd w:id="5117"/>
    <w:bookmarkStart w:name="z5126" w:id="5118"/>
    <w:p>
      <w:pPr>
        <w:spacing w:after="0"/>
        <w:ind w:left="0"/>
        <w:jc w:val="both"/>
      </w:pPr>
      <w:r>
        <w:rPr>
          <w:rFonts w:ascii="Times New Roman"/>
          <w:b w:val="false"/>
          <w:i w:val="false"/>
          <w:color w:val="000000"/>
          <w:sz w:val="28"/>
        </w:rPr>
        <w:t>
      способ контроля за ходом ПРО и заблаговременного оповещения о возможности нарушения критериев остойчивости;</w:t>
      </w:r>
    </w:p>
    <w:bookmarkEnd w:id="5118"/>
    <w:bookmarkStart w:name="z5127" w:id="5119"/>
    <w:p>
      <w:pPr>
        <w:spacing w:after="0"/>
        <w:ind w:left="0"/>
        <w:jc w:val="both"/>
      </w:pPr>
      <w:r>
        <w:rPr>
          <w:rFonts w:ascii="Times New Roman"/>
          <w:b w:val="false"/>
          <w:i w:val="false"/>
          <w:color w:val="000000"/>
          <w:sz w:val="28"/>
        </w:rPr>
        <w:t>
      описание имеющихся средств для приостановки ПРО в случае угрозы нарушения критериев остойчивости,</w:t>
      </w:r>
    </w:p>
    <w:bookmarkEnd w:id="5119"/>
    <w:bookmarkStart w:name="z5128" w:id="5120"/>
    <w:p>
      <w:pPr>
        <w:spacing w:after="0"/>
        <w:ind w:left="0"/>
        <w:jc w:val="both"/>
      </w:pPr>
      <w:r>
        <w:rPr>
          <w:rFonts w:ascii="Times New Roman"/>
          <w:b w:val="false"/>
          <w:i w:val="false"/>
          <w:color w:val="000000"/>
          <w:sz w:val="28"/>
        </w:rPr>
        <w:t>
      сведения о возможности и порядке использования судового компьютера и различных автоматизированных систем для контроля за ходом ПРО (в том числе систем контроля заполнения танков, бортовых программ для расчета посадки и остойчивости);</w:t>
      </w:r>
    </w:p>
    <w:bookmarkEnd w:id="5120"/>
    <w:bookmarkStart w:name="z5129" w:id="5121"/>
    <w:p>
      <w:pPr>
        <w:spacing w:after="0"/>
        <w:ind w:left="0"/>
        <w:jc w:val="both"/>
      </w:pPr>
      <w:r>
        <w:rPr>
          <w:rFonts w:ascii="Times New Roman"/>
          <w:b w:val="false"/>
          <w:i w:val="false"/>
          <w:color w:val="000000"/>
          <w:sz w:val="28"/>
        </w:rPr>
        <w:t>
      они включают указания по проведению корректирующих воздействий в случае неожиданных технических трудностей, которые могут возникнуть в ходе ПРО и при аварийных ситуациях.</w:t>
      </w:r>
    </w:p>
    <w:bookmarkEnd w:id="5121"/>
    <w:bookmarkStart w:name="z5130" w:id="5122"/>
    <w:p>
      <w:pPr>
        <w:spacing w:after="0"/>
        <w:ind w:left="0"/>
        <w:jc w:val="both"/>
      </w:pPr>
      <w:r>
        <w:rPr>
          <w:rFonts w:ascii="Times New Roman"/>
          <w:b w:val="false"/>
          <w:i w:val="false"/>
          <w:color w:val="000000"/>
          <w:sz w:val="28"/>
        </w:rPr>
        <w:t>
      1613. Указания инструкций, разработанных в соответствии с пунктом 1612 настоящих Правил, кроме Информации об остойчивости, отражают в имеющемся бортовом программном обеспечении по расчету посадки и остойчивости. Экземпляр инструкции хранится на посту управления ПРО.</w:t>
      </w:r>
    </w:p>
    <w:bookmarkEnd w:id="5122"/>
    <w:bookmarkStart w:name="z5131" w:id="5123"/>
    <w:p>
      <w:pPr>
        <w:spacing w:after="0"/>
        <w:ind w:left="0"/>
        <w:jc w:val="both"/>
      </w:pPr>
      <w:r>
        <w:rPr>
          <w:rFonts w:ascii="Times New Roman"/>
          <w:b w:val="false"/>
          <w:i w:val="false"/>
          <w:color w:val="000000"/>
          <w:sz w:val="28"/>
        </w:rPr>
        <w:t>
      1614. К нефтеналивным судам дедвейтом 5000 т и более применяются требования, изложенные ниже. Требования пункта 1607 настоящих Правил на указанные суда не распространяются.</w:t>
      </w:r>
    </w:p>
    <w:bookmarkEnd w:id="5123"/>
    <w:bookmarkStart w:name="z5132" w:id="5124"/>
    <w:p>
      <w:pPr>
        <w:spacing w:after="0"/>
        <w:ind w:left="0"/>
        <w:jc w:val="both"/>
      </w:pPr>
      <w:r>
        <w:rPr>
          <w:rFonts w:ascii="Times New Roman"/>
          <w:b w:val="false"/>
          <w:i w:val="false"/>
          <w:color w:val="000000"/>
          <w:sz w:val="28"/>
        </w:rPr>
        <w:t>
      1615. Каждое нефтеналивное судно отвечает требованиям, изложенным в пункте 1616 и 1617 настоящих Правил (с учетом указаний пункта 1618 и 1619 настоящих Правил), для любой эксплуатационной осадки при наихудших возможных, в соответствии с хорошей эксплуатационной практикой, условиях загрузки и балластировки, включая промежуточные стадии операций с жидкостями. При всех условиях предполагается наличие свободной поверхности жидкости в балластных танках.</w:t>
      </w:r>
    </w:p>
    <w:bookmarkEnd w:id="5124"/>
    <w:bookmarkStart w:name="z5133" w:id="5125"/>
    <w:p>
      <w:pPr>
        <w:spacing w:after="0"/>
        <w:ind w:left="0"/>
        <w:jc w:val="both"/>
      </w:pPr>
      <w:r>
        <w:rPr>
          <w:rFonts w:ascii="Times New Roman"/>
          <w:b w:val="false"/>
          <w:i w:val="false"/>
          <w:color w:val="000000"/>
          <w:sz w:val="28"/>
        </w:rPr>
        <w:t>
      1616. В порту исправленная начальная метацентрическая высота равна не менее 0,15 м.</w:t>
      </w:r>
    </w:p>
    <w:bookmarkEnd w:id="5125"/>
    <w:bookmarkStart w:name="z5134" w:id="5126"/>
    <w:p>
      <w:pPr>
        <w:spacing w:after="0"/>
        <w:ind w:left="0"/>
        <w:jc w:val="both"/>
      </w:pPr>
      <w:r>
        <w:rPr>
          <w:rFonts w:ascii="Times New Roman"/>
          <w:b w:val="false"/>
          <w:i w:val="false"/>
          <w:color w:val="000000"/>
          <w:sz w:val="28"/>
        </w:rPr>
        <w:t>
      1617. В море:</w:t>
      </w:r>
    </w:p>
    <w:bookmarkEnd w:id="5126"/>
    <w:bookmarkStart w:name="z5135" w:id="5127"/>
    <w:p>
      <w:pPr>
        <w:spacing w:after="0"/>
        <w:ind w:left="0"/>
        <w:jc w:val="both"/>
      </w:pPr>
      <w:r>
        <w:rPr>
          <w:rFonts w:ascii="Times New Roman"/>
          <w:b w:val="false"/>
          <w:i w:val="false"/>
          <w:color w:val="000000"/>
          <w:sz w:val="28"/>
        </w:rPr>
        <w:t>
      1) исправленная начальная метацентрическая высота равна не менее 0,15 м.</w:t>
      </w:r>
    </w:p>
    <w:bookmarkEnd w:id="5127"/>
    <w:bookmarkStart w:name="z5136" w:id="5128"/>
    <w:p>
      <w:pPr>
        <w:spacing w:after="0"/>
        <w:ind w:left="0"/>
        <w:jc w:val="both"/>
      </w:pPr>
      <w:r>
        <w:rPr>
          <w:rFonts w:ascii="Times New Roman"/>
          <w:b w:val="false"/>
          <w:i w:val="false"/>
          <w:color w:val="000000"/>
          <w:sz w:val="28"/>
        </w:rPr>
        <w:t>
      2) диаграмма статической остойчивости соответствует требованиям пункта 1564 настоящих Правил.</w:t>
      </w:r>
    </w:p>
    <w:bookmarkEnd w:id="5128"/>
    <w:bookmarkStart w:name="z5137" w:id="5129"/>
    <w:p>
      <w:pPr>
        <w:spacing w:after="0"/>
        <w:ind w:left="0"/>
        <w:jc w:val="both"/>
      </w:pPr>
      <w:r>
        <w:rPr>
          <w:rFonts w:ascii="Times New Roman"/>
          <w:b w:val="false"/>
          <w:i w:val="false"/>
          <w:color w:val="000000"/>
          <w:sz w:val="28"/>
        </w:rPr>
        <w:t>
      1618. При выполнении расчетов остойчивости предполагается, что каждый танк загружен до уровня, при котором сумма момента объема груза относительно основной плоскости и момента инерции свободной поверхности при крене 0</w:t>
      </w:r>
      <w:r>
        <w:rPr>
          <w:rFonts w:ascii="Times New Roman"/>
          <w:b w:val="false"/>
          <w:i w:val="false"/>
          <w:color w:val="000000"/>
          <w:vertAlign w:val="superscript"/>
        </w:rPr>
        <w:t>о</w:t>
      </w:r>
      <w:r>
        <w:rPr>
          <w:rFonts w:ascii="Times New Roman"/>
          <w:b w:val="false"/>
          <w:i w:val="false"/>
          <w:color w:val="000000"/>
          <w:sz w:val="28"/>
        </w:rPr>
        <w:t xml:space="preserve"> достигает максимального значения. Плотность груза соответствует грузоподъемности, при которой возвышение поперечного метацентра над основной плоскостью достигает минимального значения при 100 % запасов и с балластом, равным 1 % вместимости всех балластных танков. В расчетах принимается максимальное значение момента инерции свободной поверхности жидкости во всех балластных танках. При расчете начальной метацентрической высоты поправка на свободные поверхности жидкостей основывается на соответствующих моментах инерции свободных поверхностей при прямом положении судна. Плечи диаграмм статической остойчивости корректируются на основе действительных поправок на влияние свободных поверхностей жидкостей для каждого угла крена.</w:t>
      </w:r>
    </w:p>
    <w:bookmarkEnd w:id="5129"/>
    <w:bookmarkStart w:name="z5138" w:id="5130"/>
    <w:p>
      <w:pPr>
        <w:spacing w:after="0"/>
        <w:ind w:left="0"/>
        <w:jc w:val="both"/>
      </w:pPr>
      <w:r>
        <w:rPr>
          <w:rFonts w:ascii="Times New Roman"/>
          <w:b w:val="false"/>
          <w:i w:val="false"/>
          <w:color w:val="000000"/>
          <w:sz w:val="28"/>
        </w:rPr>
        <w:t>
      1619. В качестве альтернативы случаю нагрузки, регламентированному пунктом 1618 настоящих Правил, допускается выполнить проверку остойчивости при всех возможных комбинациях загрузки грузовых и балластных танков. При этом предполагается следующее:</w:t>
      </w:r>
    </w:p>
    <w:bookmarkEnd w:id="5130"/>
    <w:bookmarkStart w:name="z5139" w:id="5131"/>
    <w:p>
      <w:pPr>
        <w:spacing w:after="0"/>
        <w:ind w:left="0"/>
        <w:jc w:val="both"/>
      </w:pPr>
      <w:r>
        <w:rPr>
          <w:rFonts w:ascii="Times New Roman"/>
          <w:b w:val="false"/>
          <w:i w:val="false"/>
          <w:color w:val="000000"/>
          <w:sz w:val="28"/>
        </w:rPr>
        <w:t>
      при выполнении расчетов масса, координаты центра тяжести и кренящие моменты от переливания жидкости соответствуют действительному содержимому всех цистерн и танков;</w:t>
      </w:r>
    </w:p>
    <w:bookmarkEnd w:id="5131"/>
    <w:bookmarkStart w:name="z5140" w:id="5132"/>
    <w:p>
      <w:pPr>
        <w:spacing w:after="0"/>
        <w:ind w:left="0"/>
        <w:jc w:val="both"/>
      </w:pPr>
      <w:r>
        <w:rPr>
          <w:rFonts w:ascii="Times New Roman"/>
          <w:b w:val="false"/>
          <w:i w:val="false"/>
          <w:color w:val="000000"/>
          <w:sz w:val="28"/>
        </w:rPr>
        <w:t>
      расчеты выполняются в соответствии со следующими предположениями:</w:t>
      </w:r>
    </w:p>
    <w:bookmarkEnd w:id="5132"/>
    <w:bookmarkStart w:name="z5141" w:id="5133"/>
    <w:p>
      <w:pPr>
        <w:spacing w:after="0"/>
        <w:ind w:left="0"/>
        <w:jc w:val="both"/>
      </w:pPr>
      <w:r>
        <w:rPr>
          <w:rFonts w:ascii="Times New Roman"/>
          <w:b w:val="false"/>
          <w:i w:val="false"/>
          <w:color w:val="000000"/>
          <w:sz w:val="28"/>
        </w:rPr>
        <w:t>
      диапазон осадок начинается от осадки судна порожнем и заканчивается максимально предусмотренной осадкой;</w:t>
      </w:r>
    </w:p>
    <w:bookmarkEnd w:id="5133"/>
    <w:bookmarkStart w:name="z5142" w:id="5134"/>
    <w:p>
      <w:pPr>
        <w:spacing w:after="0"/>
        <w:ind w:left="0"/>
        <w:jc w:val="both"/>
      </w:pPr>
      <w:r>
        <w:rPr>
          <w:rFonts w:ascii="Times New Roman"/>
          <w:b w:val="false"/>
          <w:i w:val="false"/>
          <w:color w:val="000000"/>
          <w:sz w:val="28"/>
        </w:rPr>
        <w:t>
      рассмотривается нагрузка судна с 97 %, 50 % и 10 % судовых запасов, включающих топливо и пресную воду, но не ограничивающихся только ими;</w:t>
      </w:r>
    </w:p>
    <w:bookmarkEnd w:id="5134"/>
    <w:bookmarkStart w:name="z5143" w:id="5135"/>
    <w:p>
      <w:pPr>
        <w:spacing w:after="0"/>
        <w:ind w:left="0"/>
        <w:jc w:val="both"/>
      </w:pPr>
      <w:r>
        <w:rPr>
          <w:rFonts w:ascii="Times New Roman"/>
          <w:b w:val="false"/>
          <w:i w:val="false"/>
          <w:color w:val="000000"/>
          <w:sz w:val="28"/>
        </w:rPr>
        <w:t>
      для всех осадок, распределения и количества судовых запасов дедвейт включает балласт и груз таким образом, чтобы были рассмотрены все комбинации нагрузки судна в диапазоне между максимальным количеством балласта и минимальным количеством груза и наоборот. Во всех случаях перечень заполненных балластных и грузовых танков выбирают таким образом, чтобы было проверено с точки зрения остойчивости наихудшее сочетание аппликаты центра тяжести судна и поправки на влияние свободных поверхностей. Эксплуатационные ограничения по числу и перечню танков, одновременно имеющих свободные поверхности, либо их исключение из рассмотрения не допускаются. Все балластные танки считаются заполненными, по крайней мере, на 1 % от их вместимости;</w:t>
      </w:r>
    </w:p>
    <w:bookmarkEnd w:id="5135"/>
    <w:bookmarkStart w:name="z5144" w:id="5136"/>
    <w:p>
      <w:pPr>
        <w:spacing w:after="0"/>
        <w:ind w:left="0"/>
        <w:jc w:val="both"/>
      </w:pPr>
      <w:r>
        <w:rPr>
          <w:rFonts w:ascii="Times New Roman"/>
          <w:b w:val="false"/>
          <w:i w:val="false"/>
          <w:color w:val="000000"/>
          <w:sz w:val="28"/>
        </w:rPr>
        <w:t>
      рассматривается загрузка грузом, имеющим плотность в диапазоне от минимальной до максимальной из величин, предусмотренных при перевозке;</w:t>
      </w:r>
    </w:p>
    <w:bookmarkEnd w:id="5136"/>
    <w:bookmarkStart w:name="z5145" w:id="5137"/>
    <w:p>
      <w:pPr>
        <w:spacing w:after="0"/>
        <w:ind w:left="0"/>
        <w:jc w:val="both"/>
      </w:pPr>
      <w:r>
        <w:rPr>
          <w:rFonts w:ascii="Times New Roman"/>
          <w:b w:val="false"/>
          <w:i w:val="false"/>
          <w:color w:val="000000"/>
          <w:sz w:val="28"/>
        </w:rPr>
        <w:t>
      при проверке всех комбинаций нагрузки судна интервал изменений параметров такой, чтобы были проверены наихудшие с точки зрения остойчивости сочетания. Во время расчетов диапазон варьирования сочетаний распределения и массы груза и балласта между 1% и 99% общей вместимости разбивают, как минимум, на двадцать интервалов. Следует принимать во внимание, что в окрестности критических значений параметров остойчивости потребуются более мелкие интервалы.</w:t>
      </w:r>
    </w:p>
    <w:bookmarkEnd w:id="5137"/>
    <w:bookmarkStart w:name="z5146" w:id="5138"/>
    <w:p>
      <w:pPr>
        <w:spacing w:after="0"/>
        <w:ind w:left="0"/>
        <w:jc w:val="both"/>
      </w:pPr>
      <w:r>
        <w:rPr>
          <w:rFonts w:ascii="Times New Roman"/>
          <w:b w:val="false"/>
          <w:i w:val="false"/>
          <w:color w:val="000000"/>
          <w:sz w:val="28"/>
        </w:rPr>
        <w:t>
      1620. Выполнение требований пункта 1615 настоящих Правил обеспечивается проектными мерами. Для комбинированных судов допускают дополнительные простые эксплуатационные инструкции. Эти инструкции должны:</w:t>
      </w:r>
    </w:p>
    <w:bookmarkEnd w:id="5138"/>
    <w:bookmarkStart w:name="z5147" w:id="5139"/>
    <w:p>
      <w:pPr>
        <w:spacing w:after="0"/>
        <w:ind w:left="0"/>
        <w:jc w:val="both"/>
      </w:pPr>
      <w:r>
        <w:rPr>
          <w:rFonts w:ascii="Times New Roman"/>
          <w:b w:val="false"/>
          <w:i w:val="false"/>
          <w:color w:val="000000"/>
          <w:sz w:val="28"/>
        </w:rPr>
        <w:t>
      1) быть одобрены Регистром судоходства;</w:t>
      </w:r>
    </w:p>
    <w:bookmarkEnd w:id="5139"/>
    <w:bookmarkStart w:name="z5148" w:id="5140"/>
    <w:p>
      <w:pPr>
        <w:spacing w:after="0"/>
        <w:ind w:left="0"/>
        <w:jc w:val="both"/>
      </w:pPr>
      <w:r>
        <w:rPr>
          <w:rFonts w:ascii="Times New Roman"/>
          <w:b w:val="false"/>
          <w:i w:val="false"/>
          <w:color w:val="000000"/>
          <w:sz w:val="28"/>
        </w:rPr>
        <w:t>
      2) содержать перечень грузовых и балластных танков, в которых могут быть, при любых конкретных операциях с жидкостью и в диапазоне возможных плотностей груза, свободные поверхности и при этом указанные выше критерии остойчивости будут выполняться;</w:t>
      </w:r>
    </w:p>
    <w:bookmarkEnd w:id="5140"/>
    <w:bookmarkStart w:name="z5149" w:id="5141"/>
    <w:p>
      <w:pPr>
        <w:spacing w:after="0"/>
        <w:ind w:left="0"/>
        <w:jc w:val="both"/>
      </w:pPr>
      <w:r>
        <w:rPr>
          <w:rFonts w:ascii="Times New Roman"/>
          <w:b w:val="false"/>
          <w:i w:val="false"/>
          <w:color w:val="000000"/>
          <w:sz w:val="28"/>
        </w:rPr>
        <w:t>
      3) быть легко понятными для помощника капитана, ответственного за операции с жидкостями;</w:t>
      </w:r>
    </w:p>
    <w:bookmarkEnd w:id="5141"/>
    <w:bookmarkStart w:name="z5150" w:id="5142"/>
    <w:p>
      <w:pPr>
        <w:spacing w:after="0"/>
        <w:ind w:left="0"/>
        <w:jc w:val="both"/>
      </w:pPr>
      <w:r>
        <w:rPr>
          <w:rFonts w:ascii="Times New Roman"/>
          <w:b w:val="false"/>
          <w:i w:val="false"/>
          <w:color w:val="000000"/>
          <w:sz w:val="28"/>
        </w:rPr>
        <w:t>
      4) предусматривать возможность планирования последовательности операций с грузом и балластом;</w:t>
      </w:r>
    </w:p>
    <w:bookmarkEnd w:id="5142"/>
    <w:bookmarkStart w:name="z5151" w:id="5143"/>
    <w:p>
      <w:pPr>
        <w:spacing w:after="0"/>
        <w:ind w:left="0"/>
        <w:jc w:val="both"/>
      </w:pPr>
      <w:r>
        <w:rPr>
          <w:rFonts w:ascii="Times New Roman"/>
          <w:b w:val="false"/>
          <w:i w:val="false"/>
          <w:color w:val="000000"/>
          <w:sz w:val="28"/>
        </w:rPr>
        <w:t>
      5) позволять сравнивать реальные показатели остойчивости с требуемыми критериями, представленными в графической или табличной формах;</w:t>
      </w:r>
    </w:p>
    <w:bookmarkEnd w:id="5143"/>
    <w:bookmarkStart w:name="z5152" w:id="5144"/>
    <w:p>
      <w:pPr>
        <w:spacing w:after="0"/>
        <w:ind w:left="0"/>
        <w:jc w:val="both"/>
      </w:pPr>
      <w:r>
        <w:rPr>
          <w:rFonts w:ascii="Times New Roman"/>
          <w:b w:val="false"/>
          <w:i w:val="false"/>
          <w:color w:val="000000"/>
          <w:sz w:val="28"/>
        </w:rPr>
        <w:t>
      6) не требовать обширных математических расчетов от помощника капитана, ответственного за операции с жидкостями;</w:t>
      </w:r>
    </w:p>
    <w:bookmarkEnd w:id="5144"/>
    <w:bookmarkStart w:name="z5153" w:id="5145"/>
    <w:p>
      <w:pPr>
        <w:spacing w:after="0"/>
        <w:ind w:left="0"/>
        <w:jc w:val="both"/>
      </w:pPr>
      <w:r>
        <w:rPr>
          <w:rFonts w:ascii="Times New Roman"/>
          <w:b w:val="false"/>
          <w:i w:val="false"/>
          <w:color w:val="000000"/>
          <w:sz w:val="28"/>
        </w:rPr>
        <w:t>
      7) содержать указания в отношении корректирующих действий, которые должны быть предприняты помощником капитана, ответственным за операции с жидкостями, в случае отклонений от рекомендованных значений и в случае аварийных ситуаций;</w:t>
      </w:r>
    </w:p>
    <w:bookmarkEnd w:id="5145"/>
    <w:bookmarkStart w:name="z5154" w:id="5146"/>
    <w:p>
      <w:pPr>
        <w:spacing w:after="0"/>
        <w:ind w:left="0"/>
        <w:jc w:val="both"/>
      </w:pPr>
      <w:r>
        <w:rPr>
          <w:rFonts w:ascii="Times New Roman"/>
          <w:b w:val="false"/>
          <w:i w:val="false"/>
          <w:color w:val="000000"/>
          <w:sz w:val="28"/>
        </w:rPr>
        <w:t>
      8) специально выделены в Информации об остойчивости и вывешены в посту управления грузовыми операциями, а также введены в любую бортовую компьютерную программу, с помощью которой выполняются расчеты остойчивости.</w:t>
      </w:r>
    </w:p>
    <w:bookmarkEnd w:id="5146"/>
    <w:bookmarkStart w:name="z5155" w:id="5147"/>
    <w:p>
      <w:pPr>
        <w:spacing w:after="0"/>
        <w:ind w:left="0"/>
        <w:jc w:val="left"/>
      </w:pPr>
      <w:r>
        <w:rPr>
          <w:rFonts w:ascii="Times New Roman"/>
          <w:b/>
          <w:i w:val="false"/>
          <w:color w:val="000000"/>
        </w:rPr>
        <w:t xml:space="preserve"> Глава 101. Рыболовные суда</w:t>
      </w:r>
    </w:p>
    <w:bookmarkEnd w:id="5147"/>
    <w:p>
      <w:pPr>
        <w:spacing w:after="0"/>
        <w:ind w:left="0"/>
        <w:jc w:val="both"/>
      </w:pPr>
      <w:r>
        <w:rPr>
          <w:rFonts w:ascii="Times New Roman"/>
          <w:b w:val="false"/>
          <w:i w:val="false"/>
          <w:color w:val="ff0000"/>
          <w:sz w:val="28"/>
        </w:rPr>
        <w:t xml:space="preserve">
      Сноска. Заголовок главы 101 -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56" w:id="5148"/>
    <w:p>
      <w:pPr>
        <w:spacing w:after="0"/>
        <w:ind w:left="0"/>
        <w:jc w:val="both"/>
      </w:pPr>
      <w:r>
        <w:rPr>
          <w:rFonts w:ascii="Times New Roman"/>
          <w:b w:val="false"/>
          <w:i w:val="false"/>
          <w:color w:val="000000"/>
          <w:sz w:val="28"/>
        </w:rPr>
        <w:t>
      1621. Остойчивость рыболовных судов проверяется в условиях рейса при следующих вариантах нагрузки:</w:t>
      </w:r>
    </w:p>
    <w:bookmarkEnd w:id="5148"/>
    <w:bookmarkStart w:name="z5157" w:id="5149"/>
    <w:p>
      <w:pPr>
        <w:spacing w:after="0"/>
        <w:ind w:left="0"/>
        <w:jc w:val="both"/>
      </w:pPr>
      <w:r>
        <w:rPr>
          <w:rFonts w:ascii="Times New Roman"/>
          <w:b w:val="false"/>
          <w:i w:val="false"/>
          <w:color w:val="000000"/>
          <w:sz w:val="28"/>
        </w:rPr>
        <w:t>
      1) выход на промысел с полными запасами;</w:t>
      </w:r>
    </w:p>
    <w:bookmarkEnd w:id="5149"/>
    <w:bookmarkStart w:name="z5158" w:id="5150"/>
    <w:p>
      <w:pPr>
        <w:spacing w:after="0"/>
        <w:ind w:left="0"/>
        <w:jc w:val="both"/>
      </w:pPr>
      <w:r>
        <w:rPr>
          <w:rFonts w:ascii="Times New Roman"/>
          <w:b w:val="false"/>
          <w:i w:val="false"/>
          <w:color w:val="000000"/>
          <w:sz w:val="28"/>
        </w:rPr>
        <w:t>
      2) возвращение с промысла с полным уловом в трюме и на палубе, если палубный груз предусматривается проектом, и с 10 % запасов;</w:t>
      </w:r>
    </w:p>
    <w:bookmarkEnd w:id="5150"/>
    <w:bookmarkStart w:name="z5159" w:id="5151"/>
    <w:p>
      <w:pPr>
        <w:spacing w:after="0"/>
        <w:ind w:left="0"/>
        <w:jc w:val="both"/>
      </w:pPr>
      <w:r>
        <w:rPr>
          <w:rFonts w:ascii="Times New Roman"/>
          <w:b w:val="false"/>
          <w:i w:val="false"/>
          <w:color w:val="000000"/>
          <w:sz w:val="28"/>
        </w:rPr>
        <w:t>
      3) возвращение с промысла с 20 % улова в трюме или на палубе (если проектом предусматривается возможность приема груза на палубу) с 70 % нормы льда и соли и с 10 % запасов;</w:t>
      </w:r>
    </w:p>
    <w:bookmarkEnd w:id="5151"/>
    <w:bookmarkStart w:name="z5160" w:id="5152"/>
    <w:p>
      <w:pPr>
        <w:spacing w:after="0"/>
        <w:ind w:left="0"/>
        <w:jc w:val="both"/>
      </w:pPr>
      <w:r>
        <w:rPr>
          <w:rFonts w:ascii="Times New Roman"/>
          <w:b w:val="false"/>
          <w:i w:val="false"/>
          <w:color w:val="000000"/>
          <w:sz w:val="28"/>
        </w:rPr>
        <w:t>
      4) выход из района промысла для передачи улова с полным грузом и с количеством запасов, обеспечивающим осадку судна по грузовую марку.</w:t>
      </w:r>
    </w:p>
    <w:bookmarkEnd w:id="5152"/>
    <w:bookmarkStart w:name="z5161" w:id="5153"/>
    <w:p>
      <w:pPr>
        <w:spacing w:after="0"/>
        <w:ind w:left="0"/>
        <w:jc w:val="both"/>
      </w:pPr>
      <w:r>
        <w:rPr>
          <w:rFonts w:ascii="Times New Roman"/>
          <w:b w:val="false"/>
          <w:i w:val="false"/>
          <w:color w:val="000000"/>
          <w:sz w:val="28"/>
        </w:rPr>
        <w:t>
      1622. Количество полного улова определяется в зависимости от типа судна, вместимости грузовых помещений и характеристик остойчивости. Оно соответствует положению грузовой марки, согласованной с Регистром судоходства, и указывается в проверочных расчетах остойчивости, а также в Информации.</w:t>
      </w:r>
    </w:p>
    <w:bookmarkEnd w:id="5153"/>
    <w:bookmarkStart w:name="z5162" w:id="5154"/>
    <w:p>
      <w:pPr>
        <w:spacing w:after="0"/>
        <w:ind w:left="0"/>
        <w:jc w:val="both"/>
      </w:pPr>
      <w:r>
        <w:rPr>
          <w:rFonts w:ascii="Times New Roman"/>
          <w:b w:val="false"/>
          <w:i w:val="false"/>
          <w:color w:val="000000"/>
          <w:sz w:val="28"/>
        </w:rPr>
        <w:t>
      1623. Для судов, ведущих промысел сетями, во втором, третьем и четвертом вариантах нагрузки предусматривают мокрые сети на палубе.</w:t>
      </w:r>
    </w:p>
    <w:bookmarkEnd w:id="5154"/>
    <w:bookmarkStart w:name="z5163" w:id="5155"/>
    <w:p>
      <w:pPr>
        <w:spacing w:after="0"/>
        <w:ind w:left="0"/>
        <w:jc w:val="both"/>
      </w:pPr>
      <w:r>
        <w:rPr>
          <w:rFonts w:ascii="Times New Roman"/>
          <w:b w:val="false"/>
          <w:i w:val="false"/>
          <w:color w:val="000000"/>
          <w:sz w:val="28"/>
        </w:rPr>
        <w:t>
      1624. Остойчивость в условиях промысла проверяется по критерию погоды при следующем варианте нагрузки: судно на промысле без улова в трюмах с открытыми люками, с уловом и мокрыми сетями на палубе, с 25 % запасов и полной нормой льда и соли. Для судов, выбирающих сети и улов при помощи грузовых стрел, следует также учитывать подвешенный к стреле груз, равный грузоподъемности стрелы. Количество улова на палубе предусматривается в проекте и отражается в Информации.</w:t>
      </w:r>
    </w:p>
    <w:bookmarkEnd w:id="5155"/>
    <w:bookmarkStart w:name="z5164" w:id="5156"/>
    <w:p>
      <w:pPr>
        <w:spacing w:after="0"/>
        <w:ind w:left="0"/>
        <w:jc w:val="both"/>
      </w:pPr>
      <w:r>
        <w:rPr>
          <w:rFonts w:ascii="Times New Roman"/>
          <w:b w:val="false"/>
          <w:i w:val="false"/>
          <w:color w:val="000000"/>
          <w:sz w:val="28"/>
        </w:rPr>
        <w:t>
      1625. Амплитуда качки судна при варианте нагрузки, указанном в пункте 1624 настоящих Правил, принимается равной 10</w:t>
      </w:r>
      <w:r>
        <w:rPr>
          <w:rFonts w:ascii="Times New Roman"/>
          <w:b w:val="false"/>
          <w:i w:val="false"/>
          <w:color w:val="000000"/>
          <w:vertAlign w:val="superscript"/>
        </w:rPr>
        <w:t>о</w:t>
      </w:r>
      <w:r>
        <w:rPr>
          <w:rFonts w:ascii="Times New Roman"/>
          <w:b w:val="false"/>
          <w:i w:val="false"/>
          <w:color w:val="000000"/>
          <w:sz w:val="28"/>
        </w:rPr>
        <w:t>, а угол крена, при котором комингс грузового люка входит в воду, рассматривается как угол заливания судна через отверстия, считающиеся открытыми. Давление ветра при этом варианте нагрузки принимается для судов неограниченного района плавания по нормам ограниченного района плавания R1, для судов ограниченного района R1 — по нормам ограниченного района R2, а для судов ограниченного района R2 — по нормам для этих судов, уменьшенным на 30 %.</w:t>
      </w:r>
    </w:p>
    <w:bookmarkEnd w:id="5156"/>
    <w:bookmarkStart w:name="z5165" w:id="5157"/>
    <w:p>
      <w:pPr>
        <w:spacing w:after="0"/>
        <w:ind w:left="0"/>
        <w:jc w:val="both"/>
      </w:pPr>
      <w:r>
        <w:rPr>
          <w:rFonts w:ascii="Times New Roman"/>
          <w:b w:val="false"/>
          <w:i w:val="false"/>
          <w:color w:val="000000"/>
          <w:sz w:val="28"/>
        </w:rPr>
        <w:t>
      Для судов длиной от 24 до 45 м исходное давление ветра принимается в соответствии с приложением 193 настоящих Правил.</w:t>
      </w:r>
    </w:p>
    <w:bookmarkEnd w:id="5157"/>
    <w:bookmarkStart w:name="z5166" w:id="5158"/>
    <w:p>
      <w:pPr>
        <w:spacing w:after="0"/>
        <w:ind w:left="0"/>
        <w:jc w:val="both"/>
      </w:pPr>
      <w:r>
        <w:rPr>
          <w:rFonts w:ascii="Times New Roman"/>
          <w:b w:val="false"/>
          <w:i w:val="false"/>
          <w:color w:val="000000"/>
          <w:sz w:val="28"/>
        </w:rPr>
        <w:t>
      1626. Диаграмма статической остойчивости судна при варианте нагрузки 1624 настоящих Правил, ограниченная обрывающим ее углом заливания, по согласованию с Регистром судоходства может не отвечать требованиям, приведенным в пункте 1564 настоящих Правил.</w:t>
      </w:r>
    </w:p>
    <w:bookmarkEnd w:id="5158"/>
    <w:bookmarkStart w:name="z5167" w:id="5159"/>
    <w:p>
      <w:pPr>
        <w:spacing w:after="0"/>
        <w:ind w:left="0"/>
        <w:jc w:val="both"/>
      </w:pPr>
      <w:r>
        <w:rPr>
          <w:rFonts w:ascii="Times New Roman"/>
          <w:b w:val="false"/>
          <w:i w:val="false"/>
          <w:color w:val="000000"/>
          <w:sz w:val="28"/>
        </w:rPr>
        <w:t>
      Для судов, у которых требования к диаграмме статической остойчивости не выполняются, когда соответствующие рыбные трюмы затоплены частично или полностью, угол крена, при котором может произойти прогрессивное затопление рыбных трюмов через люки, остающиеся открытыми во время промысловых операций, равен не менее 20</w:t>
      </w:r>
      <w:r>
        <w:rPr>
          <w:rFonts w:ascii="Times New Roman"/>
          <w:b w:val="false"/>
          <w:i w:val="false"/>
          <w:color w:val="000000"/>
          <w:vertAlign w:val="superscript"/>
        </w:rPr>
        <w:t>О</w:t>
      </w:r>
      <w:r>
        <w:rPr>
          <w:rFonts w:ascii="Times New Roman"/>
          <w:b w:val="false"/>
          <w:i w:val="false"/>
          <w:color w:val="000000"/>
          <w:sz w:val="28"/>
        </w:rPr>
        <w:t>.</w:t>
      </w:r>
    </w:p>
    <w:bookmarkEnd w:id="5159"/>
    <w:bookmarkStart w:name="z5168" w:id="5160"/>
    <w:p>
      <w:pPr>
        <w:spacing w:after="0"/>
        <w:ind w:left="0"/>
        <w:jc w:val="both"/>
      </w:pPr>
      <w:r>
        <w:rPr>
          <w:rFonts w:ascii="Times New Roman"/>
          <w:b w:val="false"/>
          <w:i w:val="false"/>
          <w:color w:val="000000"/>
          <w:sz w:val="28"/>
        </w:rPr>
        <w:t>
      1627. Исправленная начальная метацентрическая высота для рыболовных судов, включая "судно порожнем", равна не менее 0,05 м или 0,003 ширины судна, смотря по тому, что больше.</w:t>
      </w:r>
    </w:p>
    <w:bookmarkEnd w:id="5160"/>
    <w:bookmarkStart w:name="z5169" w:id="5161"/>
    <w:p>
      <w:pPr>
        <w:spacing w:after="0"/>
        <w:ind w:left="0"/>
        <w:jc w:val="both"/>
      </w:pPr>
      <w:r>
        <w:rPr>
          <w:rFonts w:ascii="Times New Roman"/>
          <w:b w:val="false"/>
          <w:i w:val="false"/>
          <w:color w:val="000000"/>
          <w:sz w:val="28"/>
        </w:rPr>
        <w:t>
      Для однопалубных судов исправленная начальная метацентрическая высота равна не менее 0,35 м. Однако, для судов со сплошной надстройкой и для судов длиной более 70 м исправленную начальную метацентрическую высоту возможно уменьшить до 0,15 м.</w:t>
      </w:r>
    </w:p>
    <w:bookmarkEnd w:id="5161"/>
    <w:bookmarkStart w:name="z5170" w:id="5162"/>
    <w:p>
      <w:pPr>
        <w:spacing w:after="0"/>
        <w:ind w:left="0"/>
        <w:jc w:val="both"/>
      </w:pPr>
      <w:r>
        <w:rPr>
          <w:rFonts w:ascii="Times New Roman"/>
          <w:b w:val="false"/>
          <w:i w:val="false"/>
          <w:color w:val="000000"/>
          <w:sz w:val="28"/>
        </w:rPr>
        <w:t>
      1628. Остойчивость судов при всех вариантах нагрузки отвечает требованиям пунктов 1580 - 1583 и 1585 -1587 настоящих Правил, если суда используются для обработки рыбы и других живых ресурсов моря и имеют на борту более 12 членов экипажа, занятых ловом и переработкой и не участвующих в управлении судном. Применительно к упомянутым требованиям указанные члены экипажа рассматриваются как пассажиры.</w:t>
      </w:r>
    </w:p>
    <w:bookmarkEnd w:id="5162"/>
    <w:bookmarkStart w:name="z5171" w:id="5163"/>
    <w:p>
      <w:pPr>
        <w:spacing w:after="0"/>
        <w:ind w:left="0"/>
        <w:jc w:val="both"/>
      </w:pPr>
      <w:r>
        <w:rPr>
          <w:rFonts w:ascii="Times New Roman"/>
          <w:b w:val="false"/>
          <w:i w:val="false"/>
          <w:color w:val="000000"/>
          <w:sz w:val="28"/>
        </w:rPr>
        <w:t>
      1629. Параметры диаграммы статической остойчивости для случая с обледенением отвечают требованиям главы 95 настоящих Правил.</w:t>
      </w:r>
    </w:p>
    <w:bookmarkEnd w:id="5163"/>
    <w:bookmarkStart w:name="z5172" w:id="5164"/>
    <w:p>
      <w:pPr>
        <w:spacing w:after="0"/>
        <w:ind w:left="0"/>
        <w:jc w:val="both"/>
      </w:pPr>
      <w:r>
        <w:rPr>
          <w:rFonts w:ascii="Times New Roman"/>
          <w:b w:val="false"/>
          <w:i w:val="false"/>
          <w:color w:val="000000"/>
          <w:sz w:val="28"/>
        </w:rPr>
        <w:t>
      1630. Улов надлежащим образом закрепляют, чтобы предотвратить его смещение, которое возможно послужит причиной опасного крена или дифферента судна. Съемные переборки рыбных трюмов, если они устанавливаются, должны быть одобренного типа.</w:t>
      </w:r>
    </w:p>
    <w:bookmarkEnd w:id="5164"/>
    <w:bookmarkStart w:name="z5173" w:id="5165"/>
    <w:p>
      <w:pPr>
        <w:spacing w:after="0"/>
        <w:ind w:left="0"/>
        <w:jc w:val="both"/>
      </w:pPr>
      <w:r>
        <w:rPr>
          <w:rFonts w:ascii="Times New Roman"/>
          <w:b w:val="false"/>
          <w:i w:val="false"/>
          <w:color w:val="000000"/>
          <w:sz w:val="28"/>
        </w:rPr>
        <w:t>
      1631. Проверка остойчивости морских рыболовных судов длиной менее 24 м производится с учетом требований главы 105 настоящих Правил и требований Регистра судоходства.</w:t>
      </w:r>
    </w:p>
    <w:bookmarkEnd w:id="5165"/>
    <w:bookmarkStart w:name="z5174" w:id="5166"/>
    <w:p>
      <w:pPr>
        <w:spacing w:after="0"/>
        <w:ind w:left="0"/>
        <w:jc w:val="left"/>
      </w:pPr>
      <w:r>
        <w:rPr>
          <w:rFonts w:ascii="Times New Roman"/>
          <w:b/>
          <w:i w:val="false"/>
          <w:color w:val="000000"/>
        </w:rPr>
        <w:t xml:space="preserve"> Глава 102. Суда специального назначения</w:t>
      </w:r>
    </w:p>
    <w:bookmarkEnd w:id="5166"/>
    <w:p>
      <w:pPr>
        <w:spacing w:after="0"/>
        <w:ind w:left="0"/>
        <w:jc w:val="both"/>
      </w:pPr>
      <w:r>
        <w:rPr>
          <w:rFonts w:ascii="Times New Roman"/>
          <w:b w:val="false"/>
          <w:i w:val="false"/>
          <w:color w:val="ff0000"/>
          <w:sz w:val="28"/>
        </w:rPr>
        <w:t xml:space="preserve">
      Сноска. Заголовок главы 102 -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75" w:id="5167"/>
    <w:p>
      <w:pPr>
        <w:spacing w:after="0"/>
        <w:ind w:left="0"/>
        <w:jc w:val="both"/>
      </w:pPr>
      <w:r>
        <w:rPr>
          <w:rFonts w:ascii="Times New Roman"/>
          <w:b w:val="false"/>
          <w:i w:val="false"/>
          <w:color w:val="000000"/>
          <w:sz w:val="28"/>
        </w:rPr>
        <w:t>
      1632. Остойчивость китобаз, рыбобаз и прочих судов, используемых для переработки живых ресурсов моря и не занятых их ловом, проверяется при следующих вариантах нагрузки:</w:t>
      </w:r>
    </w:p>
    <w:bookmarkEnd w:id="5167"/>
    <w:bookmarkStart w:name="z5176" w:id="5168"/>
    <w:p>
      <w:pPr>
        <w:spacing w:after="0"/>
        <w:ind w:left="0"/>
        <w:jc w:val="both"/>
      </w:pPr>
      <w:r>
        <w:rPr>
          <w:rFonts w:ascii="Times New Roman"/>
          <w:b w:val="false"/>
          <w:i w:val="false"/>
          <w:color w:val="000000"/>
          <w:sz w:val="28"/>
        </w:rPr>
        <w:t>
      1) судно со специальным персоналом на борту, полными запасами, полным грузом тары и соли;</w:t>
      </w:r>
    </w:p>
    <w:bookmarkEnd w:id="5168"/>
    <w:bookmarkStart w:name="z5177" w:id="5169"/>
    <w:p>
      <w:pPr>
        <w:spacing w:after="0"/>
        <w:ind w:left="0"/>
        <w:jc w:val="both"/>
      </w:pPr>
      <w:r>
        <w:rPr>
          <w:rFonts w:ascii="Times New Roman"/>
          <w:b w:val="false"/>
          <w:i w:val="false"/>
          <w:color w:val="000000"/>
          <w:sz w:val="28"/>
        </w:rPr>
        <w:t>
      2) судно со специальным персоналом на борту, с 10 % запасов, с полным грузом продукции судна;</w:t>
      </w:r>
    </w:p>
    <w:bookmarkEnd w:id="5169"/>
    <w:bookmarkStart w:name="z5178" w:id="5170"/>
    <w:p>
      <w:pPr>
        <w:spacing w:after="0"/>
        <w:ind w:left="0"/>
        <w:jc w:val="both"/>
      </w:pPr>
      <w:r>
        <w:rPr>
          <w:rFonts w:ascii="Times New Roman"/>
          <w:b w:val="false"/>
          <w:i w:val="false"/>
          <w:color w:val="000000"/>
          <w:sz w:val="28"/>
        </w:rPr>
        <w:t>
      3) судно, как во втором варианте нагрузки, но с 20 % груза продукции и 80 % тары и соли;</w:t>
      </w:r>
    </w:p>
    <w:bookmarkEnd w:id="5170"/>
    <w:bookmarkStart w:name="z5179" w:id="5171"/>
    <w:p>
      <w:pPr>
        <w:spacing w:after="0"/>
        <w:ind w:left="0"/>
        <w:jc w:val="both"/>
      </w:pPr>
      <w:r>
        <w:rPr>
          <w:rFonts w:ascii="Times New Roman"/>
          <w:b w:val="false"/>
          <w:i w:val="false"/>
          <w:color w:val="000000"/>
          <w:sz w:val="28"/>
        </w:rPr>
        <w:t>
      4) судно, как в первом варианте нагрузки, но с 25 % запасов и грузом в обработке.</w:t>
      </w:r>
    </w:p>
    <w:bookmarkEnd w:id="5171"/>
    <w:bookmarkStart w:name="z5180" w:id="5172"/>
    <w:p>
      <w:pPr>
        <w:spacing w:after="0"/>
        <w:ind w:left="0"/>
        <w:jc w:val="both"/>
      </w:pPr>
      <w:r>
        <w:rPr>
          <w:rFonts w:ascii="Times New Roman"/>
          <w:b w:val="false"/>
          <w:i w:val="false"/>
          <w:color w:val="000000"/>
          <w:sz w:val="28"/>
        </w:rPr>
        <w:t>
      1633. Остойчивость научно-исследовательских, экспедиционных, гидрографических, учебных и подобных судов проверяется при следующих вариантах нагрузки:</w:t>
      </w:r>
    </w:p>
    <w:bookmarkEnd w:id="5172"/>
    <w:bookmarkStart w:name="z5181" w:id="5173"/>
    <w:p>
      <w:pPr>
        <w:spacing w:after="0"/>
        <w:ind w:left="0"/>
        <w:jc w:val="both"/>
      </w:pPr>
      <w:r>
        <w:rPr>
          <w:rFonts w:ascii="Times New Roman"/>
          <w:b w:val="false"/>
          <w:i w:val="false"/>
          <w:color w:val="000000"/>
          <w:sz w:val="28"/>
        </w:rPr>
        <w:t>
      1) судно со специальным персоналом на борту и полными запасами;</w:t>
      </w:r>
    </w:p>
    <w:bookmarkEnd w:id="5173"/>
    <w:bookmarkStart w:name="z5182" w:id="5174"/>
    <w:p>
      <w:pPr>
        <w:spacing w:after="0"/>
        <w:ind w:left="0"/>
        <w:jc w:val="both"/>
      </w:pPr>
      <w:r>
        <w:rPr>
          <w:rFonts w:ascii="Times New Roman"/>
          <w:b w:val="false"/>
          <w:i w:val="false"/>
          <w:color w:val="000000"/>
          <w:sz w:val="28"/>
        </w:rPr>
        <w:t>
      2) судно, как в первом варианте нагрузки, но с 50 % запасов;</w:t>
      </w:r>
    </w:p>
    <w:bookmarkEnd w:id="5174"/>
    <w:bookmarkStart w:name="z5183" w:id="5175"/>
    <w:p>
      <w:pPr>
        <w:spacing w:after="0"/>
        <w:ind w:left="0"/>
        <w:jc w:val="both"/>
      </w:pPr>
      <w:r>
        <w:rPr>
          <w:rFonts w:ascii="Times New Roman"/>
          <w:b w:val="false"/>
          <w:i w:val="false"/>
          <w:color w:val="000000"/>
          <w:sz w:val="28"/>
        </w:rPr>
        <w:t>
      3) судно, как в первом варианте нагрузки, но с 10 % запасов;</w:t>
      </w:r>
    </w:p>
    <w:bookmarkEnd w:id="5175"/>
    <w:bookmarkStart w:name="z5184" w:id="5176"/>
    <w:p>
      <w:pPr>
        <w:spacing w:after="0"/>
        <w:ind w:left="0"/>
        <w:jc w:val="both"/>
      </w:pPr>
      <w:r>
        <w:rPr>
          <w:rFonts w:ascii="Times New Roman"/>
          <w:b w:val="false"/>
          <w:i w:val="false"/>
          <w:color w:val="000000"/>
          <w:sz w:val="28"/>
        </w:rPr>
        <w:t>
      4) судно, как в вариантах 1, 2 и 3, но с полным грузом, если предусматривается его перевозка.</w:t>
      </w:r>
    </w:p>
    <w:bookmarkEnd w:id="5176"/>
    <w:bookmarkStart w:name="z5185" w:id="5177"/>
    <w:p>
      <w:pPr>
        <w:spacing w:after="0"/>
        <w:ind w:left="0"/>
        <w:jc w:val="both"/>
      </w:pPr>
      <w:r>
        <w:rPr>
          <w:rFonts w:ascii="Times New Roman"/>
          <w:b w:val="false"/>
          <w:i w:val="false"/>
          <w:color w:val="000000"/>
          <w:sz w:val="28"/>
        </w:rPr>
        <w:t>
      1634. Остойчивость судов специального назначения отвечает требованиям пунктов 1580 – 1583, 1585 - 1587 настоящих Правил. Применительно к указанным требованиям специальный персонал рассматривается как пассажиры.</w:t>
      </w:r>
    </w:p>
    <w:bookmarkEnd w:id="5177"/>
    <w:bookmarkStart w:name="z5186" w:id="5178"/>
    <w:p>
      <w:pPr>
        <w:spacing w:after="0"/>
        <w:ind w:left="0"/>
        <w:jc w:val="both"/>
      </w:pPr>
      <w:r>
        <w:rPr>
          <w:rFonts w:ascii="Times New Roman"/>
          <w:b w:val="false"/>
          <w:i w:val="false"/>
          <w:color w:val="000000"/>
          <w:sz w:val="28"/>
        </w:rPr>
        <w:t>
      1635. Для судов специального назначения, близким по типу к судам обеспечения, допускается по согласованию с Регистром судоходства снижать требования к диаграмме статической остойчивости, как это указано в пункте 1896 настоящих Правил.</w:t>
      </w:r>
    </w:p>
    <w:bookmarkEnd w:id="5178"/>
    <w:bookmarkStart w:name="z5187" w:id="5179"/>
    <w:p>
      <w:pPr>
        <w:spacing w:after="0"/>
        <w:ind w:left="0"/>
        <w:jc w:val="both"/>
      </w:pPr>
      <w:r>
        <w:rPr>
          <w:rFonts w:ascii="Times New Roman"/>
          <w:b w:val="false"/>
          <w:i w:val="false"/>
          <w:color w:val="000000"/>
          <w:sz w:val="28"/>
        </w:rPr>
        <w:t>
      1636. На китобазы, рыбобазы и прочие суда, используемые для переработки живых ресурсов моря, распространяются требования пункта 1627 настоящих Правил к начальной метацентрической высоте.</w:t>
      </w:r>
    </w:p>
    <w:bookmarkEnd w:id="5179"/>
    <w:bookmarkStart w:name="z5188" w:id="5180"/>
    <w:p>
      <w:pPr>
        <w:spacing w:after="0"/>
        <w:ind w:left="0"/>
        <w:jc w:val="both"/>
      </w:pPr>
      <w:r>
        <w:rPr>
          <w:rFonts w:ascii="Times New Roman"/>
          <w:b w:val="false"/>
          <w:i w:val="false"/>
          <w:color w:val="000000"/>
          <w:sz w:val="28"/>
        </w:rPr>
        <w:t>
      1637. На китобазы, рыбобазы и прочие суда, используемые для переработки живых ресурсов моря, распространяются требования пункта 1629 настоящих Правил к диаграмме статической остойчивости для случая с обледенением.</w:t>
      </w:r>
    </w:p>
    <w:bookmarkEnd w:id="5180"/>
    <w:bookmarkStart w:name="z5189" w:id="5181"/>
    <w:p>
      <w:pPr>
        <w:spacing w:after="0"/>
        <w:ind w:left="0"/>
        <w:jc w:val="left"/>
      </w:pPr>
      <w:r>
        <w:rPr>
          <w:rFonts w:ascii="Times New Roman"/>
          <w:b/>
          <w:i w:val="false"/>
          <w:color w:val="000000"/>
        </w:rPr>
        <w:t xml:space="preserve"> Глава 103. Буксиры</w:t>
      </w:r>
    </w:p>
    <w:bookmarkEnd w:id="5181"/>
    <w:p>
      <w:pPr>
        <w:spacing w:after="0"/>
        <w:ind w:left="0"/>
        <w:jc w:val="both"/>
      </w:pPr>
      <w:r>
        <w:rPr>
          <w:rFonts w:ascii="Times New Roman"/>
          <w:b w:val="false"/>
          <w:i w:val="false"/>
          <w:color w:val="ff0000"/>
          <w:sz w:val="28"/>
        </w:rPr>
        <w:t xml:space="preserve">
      Сноска. Заголовок главы 103 -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90" w:id="5182"/>
    <w:p>
      <w:pPr>
        <w:spacing w:after="0"/>
        <w:ind w:left="0"/>
        <w:jc w:val="left"/>
      </w:pPr>
      <w:r>
        <w:rPr>
          <w:rFonts w:ascii="Times New Roman"/>
          <w:b/>
          <w:i w:val="false"/>
          <w:color w:val="000000"/>
        </w:rPr>
        <w:t xml:space="preserve"> Параграф 1. Общие положения</w:t>
      </w:r>
    </w:p>
    <w:bookmarkEnd w:id="5182"/>
    <w:bookmarkStart w:name="z5191" w:id="5183"/>
    <w:p>
      <w:pPr>
        <w:spacing w:after="0"/>
        <w:ind w:left="0"/>
        <w:jc w:val="both"/>
      </w:pPr>
      <w:r>
        <w:rPr>
          <w:rFonts w:ascii="Times New Roman"/>
          <w:b w:val="false"/>
          <w:i w:val="false"/>
          <w:color w:val="000000"/>
          <w:sz w:val="28"/>
        </w:rPr>
        <w:t>
      1638. Остойчивость буксиров проверяется при следующих вариантах нагрузки:</w:t>
      </w:r>
    </w:p>
    <w:bookmarkEnd w:id="5183"/>
    <w:bookmarkStart w:name="z5192" w:id="5184"/>
    <w:p>
      <w:pPr>
        <w:spacing w:after="0"/>
        <w:ind w:left="0"/>
        <w:jc w:val="both"/>
      </w:pPr>
      <w:r>
        <w:rPr>
          <w:rFonts w:ascii="Times New Roman"/>
          <w:b w:val="false"/>
          <w:i w:val="false"/>
          <w:color w:val="000000"/>
          <w:sz w:val="28"/>
        </w:rPr>
        <w:t>
      1) судно с полными запасами;</w:t>
      </w:r>
    </w:p>
    <w:bookmarkEnd w:id="5184"/>
    <w:bookmarkStart w:name="z5193" w:id="5185"/>
    <w:p>
      <w:pPr>
        <w:spacing w:after="0"/>
        <w:ind w:left="0"/>
        <w:jc w:val="both"/>
      </w:pPr>
      <w:r>
        <w:rPr>
          <w:rFonts w:ascii="Times New Roman"/>
          <w:b w:val="false"/>
          <w:i w:val="false"/>
          <w:color w:val="000000"/>
          <w:sz w:val="28"/>
        </w:rPr>
        <w:t>
      2) судно с 10 % запасов; а буксиров, имеющих грузовые трюмы, кроме того:</w:t>
      </w:r>
    </w:p>
    <w:bookmarkEnd w:id="5185"/>
    <w:bookmarkStart w:name="z5194" w:id="5186"/>
    <w:p>
      <w:pPr>
        <w:spacing w:after="0"/>
        <w:ind w:left="0"/>
        <w:jc w:val="both"/>
      </w:pPr>
      <w:r>
        <w:rPr>
          <w:rFonts w:ascii="Times New Roman"/>
          <w:b w:val="false"/>
          <w:i w:val="false"/>
          <w:color w:val="000000"/>
          <w:sz w:val="28"/>
        </w:rPr>
        <w:t>
      3) судно с полным грузом в трюмах, с полными запасами;</w:t>
      </w:r>
    </w:p>
    <w:bookmarkEnd w:id="5186"/>
    <w:bookmarkStart w:name="z5195" w:id="5187"/>
    <w:p>
      <w:pPr>
        <w:spacing w:after="0"/>
        <w:ind w:left="0"/>
        <w:jc w:val="both"/>
      </w:pPr>
      <w:r>
        <w:rPr>
          <w:rFonts w:ascii="Times New Roman"/>
          <w:b w:val="false"/>
          <w:i w:val="false"/>
          <w:color w:val="000000"/>
          <w:sz w:val="28"/>
        </w:rPr>
        <w:t>
      4) судно с полным грузом в трюмах, с 10 % запасов.</w:t>
      </w:r>
    </w:p>
    <w:bookmarkEnd w:id="5187"/>
    <w:bookmarkStart w:name="z5196" w:id="5188"/>
    <w:p>
      <w:pPr>
        <w:spacing w:after="0"/>
        <w:ind w:left="0"/>
        <w:jc w:val="both"/>
      </w:pPr>
      <w:r>
        <w:rPr>
          <w:rFonts w:ascii="Times New Roman"/>
          <w:b w:val="false"/>
          <w:i w:val="false"/>
          <w:color w:val="000000"/>
          <w:sz w:val="28"/>
        </w:rPr>
        <w:t>
      1639. Помимо соответствия требованиям подраздела 2 настоящих Правил, буксиры обладают достаточной динамической остойчивостью, чтобы противостоять кренящему действию условного поперечного рывка буксирного троса при тех же вариантах нагрузки, то есть чтобы угол динамического крена Ө</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от условного рывка буксирного троса не превышал указанных ниже пределов.</w:t>
      </w:r>
    </w:p>
    <w:bookmarkEnd w:id="5188"/>
    <w:bookmarkStart w:name="z5197" w:id="5189"/>
    <w:p>
      <w:pPr>
        <w:spacing w:after="0"/>
        <w:ind w:left="0"/>
        <w:jc w:val="left"/>
      </w:pPr>
      <w:r>
        <w:rPr>
          <w:rFonts w:ascii="Times New Roman"/>
          <w:b/>
          <w:i w:val="false"/>
          <w:color w:val="000000"/>
        </w:rPr>
        <w:t xml:space="preserve"> Параграф 2. Буксиры, предназначенные</w:t>
      </w:r>
      <w:r>
        <w:br/>
      </w:r>
      <w:r>
        <w:rPr>
          <w:rFonts w:ascii="Times New Roman"/>
          <w:b/>
          <w:i w:val="false"/>
          <w:color w:val="000000"/>
        </w:rPr>
        <w:t>для работы в порту и на рейде</w:t>
      </w:r>
    </w:p>
    <w:bookmarkEnd w:id="5189"/>
    <w:bookmarkStart w:name="z5198" w:id="5190"/>
    <w:p>
      <w:pPr>
        <w:spacing w:after="0"/>
        <w:ind w:left="0"/>
        <w:jc w:val="both"/>
      </w:pPr>
      <w:r>
        <w:rPr>
          <w:rFonts w:ascii="Times New Roman"/>
          <w:b w:val="false"/>
          <w:i w:val="false"/>
          <w:color w:val="000000"/>
          <w:sz w:val="28"/>
        </w:rPr>
        <w:t>
      1640. Угол динамического крена буксиров не превышает угла заливания или угла опрокидывания, смотря по тому, какой из них меньше.</w:t>
      </w:r>
    </w:p>
    <w:bookmarkEnd w:id="5190"/>
    <w:bookmarkStart w:name="z5199" w:id="5191"/>
    <w:p>
      <w:pPr>
        <w:spacing w:after="0"/>
        <w:ind w:left="0"/>
        <w:jc w:val="both"/>
      </w:pPr>
      <w:r>
        <w:rPr>
          <w:rFonts w:ascii="Times New Roman"/>
          <w:b w:val="false"/>
          <w:i w:val="false"/>
          <w:color w:val="000000"/>
          <w:sz w:val="28"/>
        </w:rPr>
        <w:t>
      Для этого необходимо выполнить требование:</w:t>
      </w:r>
    </w:p>
    <w:bookmarkEnd w:id="5191"/>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1816100" cy="444500"/>
                    </a:xfrm>
                    <a:prstGeom prst="rect">
                      <a:avLst/>
                    </a:prstGeom>
                  </pic:spPr>
                </pic:pic>
              </a:graphicData>
            </a:graphic>
          </wp:inline>
        </w:drawing>
      </w:r>
    </w:p>
    <w:p>
      <w:pPr>
        <w:spacing w:after="0"/>
        <w:ind w:left="0"/>
        <w:jc w:val="left"/>
      </w:pPr>
      <w:r>
        <w:rPr>
          <w:rFonts w:ascii="Times New Roman"/>
          <w:b w:val="false"/>
          <w:i w:val="false"/>
          <w:color w:val="000000"/>
          <w:sz w:val="28"/>
        </w:rPr>
        <w:t>,                    (604)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d oпр</w:t>
      </w:r>
      <w:r>
        <w:rPr>
          <w:rFonts w:ascii="Times New Roman"/>
          <w:b w:val="false"/>
          <w:i w:val="false"/>
          <w:color w:val="000000"/>
          <w:sz w:val="28"/>
        </w:rPr>
        <w:t xml:space="preserve"> — плечо динамической остойчивости, определяемое как ордината диаграммы динамической остойчивости буксира при угле крена, равном углу заливания (пункт 1642 настоящих Правил) или углу опрокидывания Ө'</w:t>
      </w:r>
      <w:r>
        <w:rPr>
          <w:rFonts w:ascii="Times New Roman"/>
          <w:b w:val="false"/>
          <w:i w:val="false"/>
          <w:color w:val="000000"/>
          <w:vertAlign w:val="subscript"/>
        </w:rPr>
        <w:t>опр</w:t>
      </w:r>
      <w:r>
        <w:rPr>
          <w:rFonts w:ascii="Times New Roman"/>
          <w:b w:val="false"/>
          <w:i w:val="false"/>
          <w:color w:val="000000"/>
          <w:sz w:val="28"/>
        </w:rPr>
        <w:t>, определяемому без учета бортовой качки, в зависимости от того, какой из них меньше,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d кр</w:t>
      </w:r>
      <w:r>
        <w:rPr>
          <w:rFonts w:ascii="Times New Roman"/>
          <w:b w:val="false"/>
          <w:i w:val="false"/>
          <w:color w:val="000000"/>
          <w:sz w:val="28"/>
        </w:rPr>
        <w:t xml:space="preserve"> — динамическое кренящее плечо, характеризующее действие условного рывка буксирного троса, м.</w:t>
      </w:r>
    </w:p>
    <w:bookmarkStart w:name="z5200" w:id="5192"/>
    <w:p>
      <w:pPr>
        <w:spacing w:after="0"/>
        <w:ind w:left="0"/>
        <w:jc w:val="both"/>
      </w:pPr>
      <w:r>
        <w:rPr>
          <w:rFonts w:ascii="Times New Roman"/>
          <w:b w:val="false"/>
          <w:i w:val="false"/>
          <w:color w:val="000000"/>
          <w:sz w:val="28"/>
        </w:rPr>
        <w:t xml:space="preserve">
      1641. Динамическое кренящее плечо </w:t>
      </w:r>
      <w:r>
        <w:rPr>
          <w:rFonts w:ascii="Times New Roman"/>
          <w:b w:val="false"/>
          <w:i/>
          <w:color w:val="000000"/>
          <w:sz w:val="28"/>
        </w:rPr>
        <w:t>l</w:t>
      </w:r>
      <w:r>
        <w:rPr>
          <w:rFonts w:ascii="Times New Roman"/>
          <w:b w:val="false"/>
          <w:i w:val="false"/>
          <w:color w:val="000000"/>
          <w:vertAlign w:val="subscript"/>
        </w:rPr>
        <w:t>d кр</w:t>
      </w:r>
      <w:r>
        <w:rPr>
          <w:rFonts w:ascii="Times New Roman"/>
          <w:b w:val="false"/>
          <w:i w:val="false"/>
          <w:color w:val="000000"/>
          <w:sz w:val="28"/>
        </w:rPr>
        <w:t>, м, определяется по формуле:</w:t>
      </w:r>
    </w:p>
    <w:bookmarkEnd w:id="5192"/>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d кр</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+ 2</w:t>
      </w:r>
    </w:p>
    <w:p>
      <w:pPr>
        <w:spacing w:after="0"/>
        <w:ind w:left="0"/>
        <w:jc w:val="both"/>
      </w:pPr>
      <w:r>
        <w:drawing>
          <wp:inline distT="0" distB="0" distL="0" distR="0">
            <wp:extent cx="26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266700" cy="685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727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высота скоростного гидравлического напора, м. </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приложению 199 настоящих Правил в зависимости от мощности N</w:t>
      </w:r>
      <w:r>
        <w:rPr>
          <w:rFonts w:ascii="Times New Roman"/>
          <w:b w:val="false"/>
          <w:i w:val="false"/>
          <w:color w:val="000000"/>
          <w:vertAlign w:val="subscript"/>
        </w:rPr>
        <w:t>e</w:t>
      </w:r>
      <w:r>
        <w:rPr>
          <w:rFonts w:ascii="Times New Roman"/>
          <w:b w:val="false"/>
          <w:i w:val="false"/>
          <w:color w:val="000000"/>
          <w:sz w:val="28"/>
        </w:rPr>
        <w:t xml:space="preserve"> на валу главных двигателей судна;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4,55</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/L;                            (606)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w:t>
      </w:r>
    </w:p>
    <w:p>
      <w:pPr>
        <w:spacing w:after="0"/>
        <w:ind w:left="0"/>
        <w:jc w:val="both"/>
      </w:pPr>
      <w:r>
        <w:drawing>
          <wp:inline distT="0" distB="0" distL="0" distR="0">
            <wp:extent cx="1104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1104900" cy="584200"/>
                    </a:xfrm>
                    <a:prstGeom prst="rect">
                      <a:avLst/>
                    </a:prstGeom>
                  </pic:spPr>
                </pic:pic>
              </a:graphicData>
            </a:graphic>
          </wp:inline>
        </w:drawing>
      </w:r>
    </w:p>
    <w:p>
      <w:pPr>
        <w:spacing w:after="0"/>
        <w:ind w:left="0"/>
        <w:jc w:val="left"/>
      </w:pPr>
      <w:r>
        <w:rPr>
          <w:rFonts w:ascii="Times New Roman"/>
          <w:b w:val="false"/>
          <w:i w:val="false"/>
          <w:color w:val="000000"/>
          <w:sz w:val="28"/>
        </w:rPr>
        <w:t>;                          (607)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и </w:t>
      </w:r>
      <w:r>
        <w:rPr>
          <w:rFonts w:ascii="Times New Roman"/>
          <w:b w:val="false"/>
          <w:i/>
          <w:color w:val="000000"/>
          <w:sz w:val="28"/>
        </w:rPr>
        <w:t>е</w:t>
      </w:r>
      <w:r>
        <w:rPr>
          <w:rFonts w:ascii="Times New Roman"/>
          <w:b w:val="false"/>
          <w:i w:val="false"/>
          <w:color w:val="000000"/>
          <w:sz w:val="28"/>
        </w:rPr>
        <w:t xml:space="preserve"> вычисляются по формулам: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w:t>
      </w:r>
    </w:p>
    <w:p>
      <w:pPr>
        <w:spacing w:after="0"/>
        <w:ind w:left="0"/>
        <w:jc w:val="both"/>
      </w:pPr>
      <w:r>
        <w:drawing>
          <wp:inline distT="0" distB="0" distL="0" distR="0">
            <wp:extent cx="2171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2171700" cy="1193800"/>
                    </a:xfrm>
                    <a:prstGeom prst="rect">
                      <a:avLst/>
                    </a:prstGeom>
                  </pic:spPr>
                </pic:pic>
              </a:graphicData>
            </a:graphic>
          </wp:inline>
        </w:drawing>
      </w:r>
    </w:p>
    <w:p>
      <w:pPr>
        <w:spacing w:after="0"/>
        <w:ind w:left="0"/>
        <w:jc w:val="left"/>
      </w:pPr>
      <w:r>
        <w:rPr>
          <w:rFonts w:ascii="Times New Roman"/>
          <w:b w:val="false"/>
          <w:i w:val="false"/>
          <w:color w:val="000000"/>
          <w:sz w:val="28"/>
        </w:rPr>
        <w:t>;                  (608)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0,145 + 0,2</w:t>
      </w:r>
    </w:p>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+ 0,06</w:t>
      </w:r>
    </w:p>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(609)</w:t>
      </w:r>
      <w:r>
        <w:br/>
      </w:r>
      <w:r>
        <w:rPr>
          <w:rFonts w:ascii="Times New Roman"/>
          <w:b w:val="false"/>
          <w:i w:val="false"/>
          <w:color w:val="000000"/>
          <w:sz w:val="28"/>
        </w:rPr>
        <w:t>
</w:t>
      </w:r>
    </w:p>
    <w:bookmarkStart w:name="z5201" w:id="5193"/>
    <w:p>
      <w:pPr>
        <w:spacing w:after="0"/>
        <w:ind w:left="0"/>
        <w:jc w:val="both"/>
      </w:pPr>
      <w:r>
        <w:rPr>
          <w:rFonts w:ascii="Times New Roman"/>
          <w:b w:val="false"/>
          <w:i w:val="false"/>
          <w:color w:val="000000"/>
          <w:sz w:val="28"/>
        </w:rPr>
        <w:t>
      1642. При проверке остойчивости буксиров на действие рывка буксирного троса угол заливания определяется в предположении, что все двери, ведущие в машинные и котельные шахты и в надстройки на верхней палубе, а также двери всех сходов в помещения, расположенные ниже верхней палубы, независимо от их конструкции, открыты.</w:t>
      </w:r>
    </w:p>
    <w:bookmarkEnd w:id="5193"/>
    <w:bookmarkStart w:name="z5202" w:id="5194"/>
    <w:p>
      <w:pPr>
        <w:spacing w:after="0"/>
        <w:ind w:left="0"/>
        <w:jc w:val="both"/>
      </w:pPr>
      <w:r>
        <w:rPr>
          <w:rFonts w:ascii="Times New Roman"/>
          <w:b w:val="false"/>
          <w:i w:val="false"/>
          <w:color w:val="000000"/>
          <w:sz w:val="28"/>
        </w:rPr>
        <w:t>
      1643. Проверку остойчивости буксиров на действие рывка буксирного троса следует производить без учета обледенения и без учета влияния свободных поверхностей жидких грузов.</w:t>
      </w:r>
    </w:p>
    <w:bookmarkEnd w:id="5194"/>
    <w:bookmarkStart w:name="z5203" w:id="5195"/>
    <w:p>
      <w:pPr>
        <w:spacing w:after="0"/>
        <w:ind w:left="0"/>
        <w:jc w:val="both"/>
      </w:pPr>
      <w:r>
        <w:rPr>
          <w:rFonts w:ascii="Times New Roman"/>
          <w:b w:val="false"/>
          <w:i w:val="false"/>
          <w:color w:val="000000"/>
          <w:sz w:val="28"/>
        </w:rPr>
        <w:t xml:space="preserve">
      1644. При наличии специальных устройств, обеспечивающих смещение буксирного гака вниз или в корму при положении буксирного троса по траверзу, принятие </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 xml:space="preserve"> и </w:t>
      </w:r>
      <w:r>
        <w:rPr>
          <w:rFonts w:ascii="Times New Roman"/>
          <w:b w:val="false"/>
          <w:i/>
          <w:color w:val="000000"/>
          <w:sz w:val="28"/>
        </w:rPr>
        <w:t>z</w:t>
      </w:r>
      <w:r>
        <w:rPr>
          <w:rFonts w:ascii="Times New Roman"/>
          <w:b w:val="false"/>
          <w:i w:val="false"/>
          <w:color w:val="000000"/>
          <w:vertAlign w:val="subscript"/>
        </w:rPr>
        <w:t>H</w:t>
      </w:r>
      <w:r>
        <w:rPr>
          <w:rFonts w:ascii="Times New Roman"/>
          <w:b w:val="false"/>
          <w:i w:val="false"/>
          <w:color w:val="000000"/>
          <w:sz w:val="28"/>
        </w:rPr>
        <w:t>, отличающихся от указанных выше, является в каждом случае предметом специального рассмотрения Регистром судоходства.</w:t>
      </w:r>
    </w:p>
    <w:bookmarkEnd w:id="5195"/>
    <w:bookmarkStart w:name="z5204" w:id="5196"/>
    <w:p>
      <w:pPr>
        <w:spacing w:after="0"/>
        <w:ind w:left="0"/>
        <w:jc w:val="left"/>
      </w:pPr>
      <w:r>
        <w:rPr>
          <w:rFonts w:ascii="Times New Roman"/>
          <w:b/>
          <w:i w:val="false"/>
          <w:color w:val="000000"/>
        </w:rPr>
        <w:t xml:space="preserve"> Параграф 3. Буксиры, предназначенные</w:t>
      </w:r>
      <w:r>
        <w:br/>
      </w:r>
      <w:r>
        <w:rPr>
          <w:rFonts w:ascii="Times New Roman"/>
          <w:b/>
          <w:i w:val="false"/>
          <w:color w:val="000000"/>
        </w:rPr>
        <w:t>для проведения морских буксировок</w:t>
      </w:r>
    </w:p>
    <w:bookmarkEnd w:id="5196"/>
    <w:bookmarkStart w:name="z5205" w:id="5197"/>
    <w:p>
      <w:pPr>
        <w:spacing w:after="0"/>
        <w:ind w:left="0"/>
        <w:jc w:val="both"/>
      </w:pPr>
      <w:r>
        <w:rPr>
          <w:rFonts w:ascii="Times New Roman"/>
          <w:b w:val="false"/>
          <w:i w:val="false"/>
          <w:color w:val="000000"/>
          <w:sz w:val="28"/>
        </w:rPr>
        <w:t>
      1645. Угол крена буксиров при рывке в условиях качки не превышает угла максимума диаграммы статической остойчивости или угла заливания, в зависимости, от того, какой из них меньше.</w:t>
      </w:r>
    </w:p>
    <w:bookmarkEnd w:id="5197"/>
    <w:p>
      <w:pPr>
        <w:spacing w:after="0"/>
        <w:ind w:left="0"/>
        <w:jc w:val="both"/>
      </w:pPr>
      <w:r>
        <w:rPr>
          <w:rFonts w:ascii="Times New Roman"/>
          <w:b w:val="false"/>
          <w:i w:val="false"/>
          <w:color w:val="000000"/>
          <w:sz w:val="28"/>
        </w:rPr>
        <w:t>
      Для этого необходимо выполнить требование: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2209800" cy="406400"/>
                    </a:xfrm>
                    <a:prstGeom prst="rect">
                      <a:avLst/>
                    </a:prstGeom>
                  </pic:spPr>
                </pic:pic>
              </a:graphicData>
            </a:graphic>
          </wp:inline>
        </w:drawing>
      </w:r>
    </w:p>
    <w:p>
      <w:pPr>
        <w:spacing w:after="0"/>
        <w:ind w:left="0"/>
        <w:jc w:val="left"/>
      </w:pPr>
      <w:r>
        <w:rPr>
          <w:rFonts w:ascii="Times New Roman"/>
          <w:b w:val="false"/>
          <w:i w:val="false"/>
          <w:color w:val="000000"/>
          <w:sz w:val="28"/>
        </w:rPr>
        <w:t>,                 (610)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d max</w:t>
      </w:r>
      <w:r>
        <w:rPr>
          <w:rFonts w:ascii="Times New Roman"/>
          <w:b w:val="false"/>
          <w:i w:val="false"/>
          <w:color w:val="000000"/>
          <w:sz w:val="28"/>
        </w:rPr>
        <w:t xml:space="preserve"> — ордината диаграммы динамической остойчивости при угле крена, равном углу максимума диаграммы статической остойчивости или углу заливания, в зависимости от того, какой из них меньше,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d кр</w:t>
      </w:r>
      <w:r>
        <w:rPr>
          <w:rFonts w:ascii="Times New Roman"/>
          <w:b w:val="false"/>
          <w:i w:val="false"/>
          <w:color w:val="000000"/>
          <w:sz w:val="28"/>
        </w:rPr>
        <w:t xml:space="preserve"> — динамическое кренящее плечо, м, вычисляемое согласно пункта 1641 настоящих Правил. При этом </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принимается равной 0,20 м;</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sz w:val="28"/>
        </w:rPr>
        <w:t xml:space="preserve"> — составляющая K</w:t>
      </w:r>
      <w:r>
        <w:rPr>
          <w:rFonts w:ascii="Times New Roman"/>
          <w:b w:val="false"/>
          <w:i w:val="false"/>
          <w:color w:val="000000"/>
          <w:vertAlign w:val="subscript"/>
        </w:rPr>
        <w:t>2</w:t>
      </w:r>
      <w:r>
        <w:rPr>
          <w:rFonts w:ascii="Times New Roman"/>
          <w:b w:val="false"/>
          <w:i w:val="false"/>
          <w:color w:val="000000"/>
          <w:sz w:val="28"/>
        </w:rPr>
        <w:t>, учитывающая влияние бортовой качки на результирующий угол крена и определяемая по формуле:</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sz w:val="28"/>
        </w:rPr>
        <w:t xml:space="preserve"> = 0,03Ө</w:t>
      </w:r>
      <w:r>
        <w:rPr>
          <w:rFonts w:ascii="Times New Roman"/>
          <w:b w:val="false"/>
          <w:i w:val="false"/>
          <w:color w:val="000000"/>
          <w:vertAlign w:val="subscript"/>
        </w:rPr>
        <w:t>2r</w:t>
      </w:r>
      <w:r>
        <w:rPr>
          <w:rFonts w:ascii="Times New Roman"/>
          <w:b w:val="false"/>
          <w:i w:val="false"/>
          <w:color w:val="000000"/>
          <w:sz w:val="28"/>
        </w:rPr>
        <w:t>[</w:t>
      </w:r>
    </w:p>
    <w:p>
      <w:pPr>
        <w:spacing w:after="0"/>
        <w:ind w:left="0"/>
        <w:jc w:val="both"/>
      </w:pPr>
      <w:r>
        <w:drawing>
          <wp:inline distT="0" distB="0" distL="0" distR="0">
            <wp:extent cx="167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1676400" cy="622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9398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939800" cy="889000"/>
                    </a:xfrm>
                    <a:prstGeom prst="rect">
                      <a:avLst/>
                    </a:prstGeom>
                  </pic:spPr>
                </pic:pic>
              </a:graphicData>
            </a:graphic>
          </wp:inline>
        </w:drawing>
      </w:r>
    </w:p>
    <w:p>
      <w:pPr>
        <w:spacing w:after="0"/>
        <w:ind w:left="0"/>
        <w:jc w:val="left"/>
      </w:pPr>
      <w:r>
        <w:rPr>
          <w:rFonts w:ascii="Times New Roman"/>
          <w:b w:val="false"/>
          <w:i w:val="false"/>
          <w:color w:val="000000"/>
          <w:sz w:val="28"/>
        </w:rPr>
        <w:t>,          (611)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2r</w:t>
      </w:r>
      <w:r>
        <w:rPr>
          <w:rFonts w:ascii="Times New Roman"/>
          <w:b w:val="false"/>
          <w:i w:val="false"/>
          <w:color w:val="000000"/>
          <w:sz w:val="28"/>
        </w:rPr>
        <w:t xml:space="preserve"> — вычисляется согласно параграфу 2 главы 94 настоящих Правил, град;</w:t>
      </w:r>
    </w:p>
    <w:p>
      <w:pPr>
        <w:spacing w:after="0"/>
        <w:ind w:left="0"/>
        <w:jc w:val="both"/>
      </w:pPr>
      <w:r>
        <w:rPr>
          <w:rFonts w:ascii="Times New Roman"/>
          <w:b w:val="false"/>
          <w:i w:val="false"/>
          <w:color w:val="000000"/>
          <w:sz w:val="28"/>
        </w:rPr>
        <w:t>
      с, b, a, e — вычисляются в соответствии с пунктом 1641 настоящих Правил.</w:t>
      </w:r>
    </w:p>
    <w:bookmarkStart w:name="z5206" w:id="5198"/>
    <w:p>
      <w:pPr>
        <w:spacing w:after="0"/>
        <w:ind w:left="0"/>
        <w:jc w:val="both"/>
      </w:pPr>
      <w:r>
        <w:rPr>
          <w:rFonts w:ascii="Times New Roman"/>
          <w:b w:val="false"/>
          <w:i w:val="false"/>
          <w:color w:val="000000"/>
          <w:sz w:val="28"/>
        </w:rPr>
        <w:t>
      На буксиры, предназначенные для проведения морских буксировок, требования пункта 1642 настоящих Правил не распространяются.</w:t>
      </w:r>
    </w:p>
    <w:bookmarkEnd w:id="5198"/>
    <w:bookmarkStart w:name="z5207" w:id="5199"/>
    <w:p>
      <w:pPr>
        <w:spacing w:after="0"/>
        <w:ind w:left="0"/>
        <w:jc w:val="both"/>
      </w:pPr>
      <w:r>
        <w:rPr>
          <w:rFonts w:ascii="Times New Roman"/>
          <w:b w:val="false"/>
          <w:i w:val="false"/>
          <w:color w:val="000000"/>
          <w:sz w:val="28"/>
        </w:rPr>
        <w:t>
      1646. При проверке остойчивости буксиров:</w:t>
      </w:r>
    </w:p>
    <w:bookmarkEnd w:id="5199"/>
    <w:bookmarkStart w:name="z5208" w:id="5200"/>
    <w:p>
      <w:pPr>
        <w:spacing w:after="0"/>
        <w:ind w:left="0"/>
        <w:jc w:val="both"/>
      </w:pPr>
      <w:r>
        <w:rPr>
          <w:rFonts w:ascii="Times New Roman"/>
          <w:b w:val="false"/>
          <w:i w:val="false"/>
          <w:color w:val="000000"/>
          <w:sz w:val="28"/>
        </w:rPr>
        <w:t>
      1) сохраняет силу указание пункта 1644 настоящих Правил;</w:t>
      </w:r>
    </w:p>
    <w:bookmarkEnd w:id="5200"/>
    <w:bookmarkStart w:name="z5209" w:id="5201"/>
    <w:p>
      <w:pPr>
        <w:spacing w:after="0"/>
        <w:ind w:left="0"/>
        <w:jc w:val="both"/>
      </w:pPr>
      <w:r>
        <w:rPr>
          <w:rFonts w:ascii="Times New Roman"/>
          <w:b w:val="false"/>
          <w:i w:val="false"/>
          <w:color w:val="000000"/>
          <w:sz w:val="28"/>
        </w:rPr>
        <w:t>
      2) для диаграмм статической остойчивости с двумя максимумами или с протяженной горизонтальной площадкой в качестве угла максимума, оговоренного в пункте 1645 настоящих Правил, следует принимать значение угла при первом максимуме или угла, соответствующего середине горизонтального участка;</w:t>
      </w:r>
    </w:p>
    <w:bookmarkEnd w:id="5201"/>
    <w:bookmarkStart w:name="z5210" w:id="5202"/>
    <w:p>
      <w:pPr>
        <w:spacing w:after="0"/>
        <w:ind w:left="0"/>
        <w:jc w:val="both"/>
      </w:pPr>
      <w:r>
        <w:rPr>
          <w:rFonts w:ascii="Times New Roman"/>
          <w:b w:val="false"/>
          <w:i w:val="false"/>
          <w:color w:val="000000"/>
          <w:sz w:val="28"/>
        </w:rPr>
        <w:t>
      3) проверка остойчивости на действие рывка буксирного троса производится без учета влияния свободных поверхностей жидких грузов.</w:t>
      </w:r>
    </w:p>
    <w:bookmarkEnd w:id="5202"/>
    <w:bookmarkStart w:name="z5211" w:id="5203"/>
    <w:p>
      <w:pPr>
        <w:spacing w:after="0"/>
        <w:ind w:left="0"/>
        <w:jc w:val="both"/>
      </w:pPr>
      <w:r>
        <w:rPr>
          <w:rFonts w:ascii="Times New Roman"/>
          <w:b w:val="false"/>
          <w:i w:val="false"/>
          <w:color w:val="000000"/>
          <w:sz w:val="28"/>
        </w:rPr>
        <w:t>
      1647. При проверке соответствия остойчивости буксиров требованиям как подраздела 2 настоящих Правил, так и настоящей главы нормы обледенения принимаются:</w:t>
      </w:r>
    </w:p>
    <w:bookmarkEnd w:id="5203"/>
    <w:bookmarkStart w:name="z5212" w:id="5204"/>
    <w:p>
      <w:pPr>
        <w:spacing w:after="0"/>
        <w:ind w:left="0"/>
        <w:jc w:val="both"/>
      </w:pPr>
      <w:r>
        <w:rPr>
          <w:rFonts w:ascii="Times New Roman"/>
          <w:b w:val="false"/>
          <w:i w:val="false"/>
          <w:color w:val="000000"/>
          <w:sz w:val="28"/>
        </w:rPr>
        <w:t>
      1) для буксиров, специально предназначенных для спасательных операций, вдвое больше, чем в главе 96 настоящих Правил;</w:t>
      </w:r>
    </w:p>
    <w:bookmarkEnd w:id="5204"/>
    <w:bookmarkStart w:name="z5213" w:id="5205"/>
    <w:p>
      <w:pPr>
        <w:spacing w:after="0"/>
        <w:ind w:left="0"/>
        <w:jc w:val="both"/>
      </w:pPr>
      <w:r>
        <w:rPr>
          <w:rFonts w:ascii="Times New Roman"/>
          <w:b w:val="false"/>
          <w:i w:val="false"/>
          <w:color w:val="000000"/>
          <w:sz w:val="28"/>
        </w:rPr>
        <w:t>
      2) для прочих буксиров — согласно главы 96 настоящих Правил.</w:t>
      </w:r>
    </w:p>
    <w:bookmarkEnd w:id="5205"/>
    <w:bookmarkStart w:name="z5214" w:id="5206"/>
    <w:p>
      <w:pPr>
        <w:spacing w:after="0"/>
        <w:ind w:left="0"/>
        <w:jc w:val="both"/>
      </w:pPr>
      <w:r>
        <w:rPr>
          <w:rFonts w:ascii="Times New Roman"/>
          <w:b w:val="false"/>
          <w:i w:val="false"/>
          <w:color w:val="000000"/>
          <w:sz w:val="28"/>
        </w:rPr>
        <w:t>
      1648. Если возможность проведения портовых и рейдовых операций буксиром, предназначенным для морских буксировок, не исключена, необходимость выполнения таким буксиром требований параграфа 2 главы 103 настоящих Правил, устанавливается Регистром судоходства.</w:t>
      </w:r>
    </w:p>
    <w:bookmarkEnd w:id="5206"/>
    <w:bookmarkStart w:name="z5215" w:id="5207"/>
    <w:p>
      <w:pPr>
        <w:spacing w:after="0"/>
        <w:ind w:left="0"/>
        <w:jc w:val="left"/>
      </w:pPr>
      <w:r>
        <w:rPr>
          <w:rFonts w:ascii="Times New Roman"/>
          <w:b/>
          <w:i w:val="false"/>
          <w:color w:val="000000"/>
        </w:rPr>
        <w:t xml:space="preserve"> Глава 104. Дноуглубительные суда</w:t>
      </w:r>
    </w:p>
    <w:bookmarkEnd w:id="5207"/>
    <w:p>
      <w:pPr>
        <w:spacing w:after="0"/>
        <w:ind w:left="0"/>
        <w:jc w:val="both"/>
      </w:pPr>
      <w:r>
        <w:rPr>
          <w:rFonts w:ascii="Times New Roman"/>
          <w:b w:val="false"/>
          <w:i w:val="false"/>
          <w:color w:val="ff0000"/>
          <w:sz w:val="28"/>
        </w:rPr>
        <w:t xml:space="preserve">
      Сноска. Заголовок главы 105 -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16" w:id="5208"/>
    <w:p>
      <w:pPr>
        <w:spacing w:after="0"/>
        <w:ind w:left="0"/>
        <w:jc w:val="left"/>
      </w:pPr>
      <w:r>
        <w:rPr>
          <w:rFonts w:ascii="Times New Roman"/>
          <w:b/>
          <w:i w:val="false"/>
          <w:color w:val="000000"/>
        </w:rPr>
        <w:t xml:space="preserve"> Параграф 1. Рабочие условия, варианты нагрузки</w:t>
      </w:r>
    </w:p>
    <w:bookmarkEnd w:id="5208"/>
    <w:bookmarkStart w:name="z5217" w:id="5209"/>
    <w:p>
      <w:pPr>
        <w:spacing w:after="0"/>
        <w:ind w:left="0"/>
        <w:jc w:val="both"/>
      </w:pPr>
      <w:r>
        <w:rPr>
          <w:rFonts w:ascii="Times New Roman"/>
          <w:b w:val="false"/>
          <w:i w:val="false"/>
          <w:color w:val="000000"/>
          <w:sz w:val="28"/>
        </w:rPr>
        <w:t>
      1649. Рабочие условия — эксплуатация судна по назначению в установленных рабочих зонах:</w:t>
      </w:r>
    </w:p>
    <w:bookmarkEnd w:id="5209"/>
    <w:bookmarkStart w:name="z5218" w:id="5210"/>
    <w:p>
      <w:pPr>
        <w:spacing w:after="0"/>
        <w:ind w:left="0"/>
        <w:jc w:val="both"/>
      </w:pPr>
      <w:r>
        <w:rPr>
          <w:rFonts w:ascii="Times New Roman"/>
          <w:b w:val="false"/>
          <w:i w:val="false"/>
          <w:color w:val="000000"/>
          <w:sz w:val="28"/>
        </w:rPr>
        <w:t>
      1) зона 1 — прибрежная зона до 20 миль от берега;</w:t>
      </w:r>
    </w:p>
    <w:bookmarkEnd w:id="5210"/>
    <w:bookmarkStart w:name="z5219" w:id="5211"/>
    <w:p>
      <w:pPr>
        <w:spacing w:after="0"/>
        <w:ind w:left="0"/>
        <w:jc w:val="both"/>
      </w:pPr>
      <w:r>
        <w:rPr>
          <w:rFonts w:ascii="Times New Roman"/>
          <w:b w:val="false"/>
          <w:i w:val="false"/>
          <w:color w:val="000000"/>
          <w:sz w:val="28"/>
        </w:rPr>
        <w:t>
      2) зона 2 — зона, включающая установленный район плавания судна.</w:t>
      </w:r>
    </w:p>
    <w:bookmarkEnd w:id="5211"/>
    <w:bookmarkStart w:name="z5220" w:id="5212"/>
    <w:p>
      <w:pPr>
        <w:spacing w:after="0"/>
        <w:ind w:left="0"/>
        <w:jc w:val="both"/>
      </w:pPr>
      <w:r>
        <w:rPr>
          <w:rFonts w:ascii="Times New Roman"/>
          <w:b w:val="false"/>
          <w:i w:val="false"/>
          <w:color w:val="000000"/>
          <w:sz w:val="28"/>
        </w:rPr>
        <w:t>
      1650. Рассматриваются следующие варианты нагрузки в зависимости от типа дноуглубительного судна и его рабочих устройств.</w:t>
      </w:r>
    </w:p>
    <w:bookmarkEnd w:id="5212"/>
    <w:bookmarkStart w:name="z5221" w:id="5213"/>
    <w:p>
      <w:pPr>
        <w:spacing w:after="0"/>
        <w:ind w:left="0"/>
        <w:jc w:val="both"/>
      </w:pPr>
      <w:r>
        <w:rPr>
          <w:rFonts w:ascii="Times New Roman"/>
          <w:b w:val="false"/>
          <w:i w:val="false"/>
          <w:color w:val="000000"/>
          <w:sz w:val="28"/>
        </w:rPr>
        <w:t>
      1651. Для дноуглубительных судов всех типов при переходах:</w:t>
      </w:r>
    </w:p>
    <w:bookmarkEnd w:id="5213"/>
    <w:bookmarkStart w:name="z5222" w:id="5214"/>
    <w:p>
      <w:pPr>
        <w:spacing w:after="0"/>
        <w:ind w:left="0"/>
        <w:jc w:val="both"/>
      </w:pPr>
      <w:r>
        <w:rPr>
          <w:rFonts w:ascii="Times New Roman"/>
          <w:b w:val="false"/>
          <w:i w:val="false"/>
          <w:color w:val="000000"/>
          <w:sz w:val="28"/>
        </w:rPr>
        <w:t>
      1) судно с полными запасами, без грунта, рабочие устройства установлены "по-походному";</w:t>
      </w:r>
    </w:p>
    <w:bookmarkEnd w:id="5214"/>
    <w:bookmarkStart w:name="z5223" w:id="5215"/>
    <w:p>
      <w:pPr>
        <w:spacing w:after="0"/>
        <w:ind w:left="0"/>
        <w:jc w:val="both"/>
      </w:pPr>
      <w:r>
        <w:rPr>
          <w:rFonts w:ascii="Times New Roman"/>
          <w:b w:val="false"/>
          <w:i w:val="false"/>
          <w:color w:val="000000"/>
          <w:sz w:val="28"/>
        </w:rPr>
        <w:t>
      2) то же, с 10 % запасов.</w:t>
      </w:r>
    </w:p>
    <w:bookmarkEnd w:id="5215"/>
    <w:bookmarkStart w:name="z5224" w:id="5216"/>
    <w:p>
      <w:pPr>
        <w:spacing w:after="0"/>
        <w:ind w:left="0"/>
        <w:jc w:val="both"/>
      </w:pPr>
      <w:r>
        <w:rPr>
          <w:rFonts w:ascii="Times New Roman"/>
          <w:b w:val="false"/>
          <w:i w:val="false"/>
          <w:color w:val="000000"/>
          <w:sz w:val="28"/>
        </w:rPr>
        <w:t>
      1652. В рабочих условиях для трюмных земснарядов и грунтоотвозных шаланд:</w:t>
      </w:r>
    </w:p>
    <w:bookmarkEnd w:id="5216"/>
    <w:bookmarkStart w:name="z5225" w:id="5217"/>
    <w:p>
      <w:pPr>
        <w:spacing w:after="0"/>
        <w:ind w:left="0"/>
        <w:jc w:val="both"/>
      </w:pPr>
      <w:r>
        <w:rPr>
          <w:rFonts w:ascii="Times New Roman"/>
          <w:b w:val="false"/>
          <w:i w:val="false"/>
          <w:color w:val="000000"/>
          <w:sz w:val="28"/>
        </w:rPr>
        <w:t>
      1) судно с полными запасами, с грунтом в трюме, рабочие устройства установлены "по-походному";</w:t>
      </w:r>
    </w:p>
    <w:bookmarkEnd w:id="5217"/>
    <w:bookmarkStart w:name="z5226" w:id="5218"/>
    <w:p>
      <w:pPr>
        <w:spacing w:after="0"/>
        <w:ind w:left="0"/>
        <w:jc w:val="both"/>
      </w:pPr>
      <w:r>
        <w:rPr>
          <w:rFonts w:ascii="Times New Roman"/>
          <w:b w:val="false"/>
          <w:i w:val="false"/>
          <w:color w:val="000000"/>
          <w:sz w:val="28"/>
        </w:rPr>
        <w:t>
      2) то же, с 10 % запасов.</w:t>
      </w:r>
    </w:p>
    <w:bookmarkEnd w:id="5218"/>
    <w:bookmarkStart w:name="z5227" w:id="5219"/>
    <w:p>
      <w:pPr>
        <w:spacing w:after="0"/>
        <w:ind w:left="0"/>
        <w:jc w:val="both"/>
      </w:pPr>
      <w:r>
        <w:rPr>
          <w:rFonts w:ascii="Times New Roman"/>
          <w:b w:val="false"/>
          <w:i w:val="false"/>
          <w:color w:val="000000"/>
          <w:sz w:val="28"/>
        </w:rPr>
        <w:t>
      Для трюмных земснарядов, оборудованных грейферными кранами, рассматриваются дополнительные варианты нагрузки при работе грейферных кранов с одного борта и положении стрелы в плоскости шпангоута, с грунтом в грейфере, при максимальном грузовом моменте, а также при самом высоком расположении стрелы, с учетом начального крена. Эти варианты рассматриваются для судна с 10 % запасов и полными запасами как с грунтом, так и без грунта.</w:t>
      </w:r>
    </w:p>
    <w:bookmarkEnd w:id="5219"/>
    <w:bookmarkStart w:name="z5228" w:id="522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rPr>
          <w:rFonts w:ascii="Times New Roman"/>
          <w:b w:val="false"/>
          <w:i w:val="false"/>
          <w:color w:val="000000"/>
          <w:sz w:val="28"/>
        </w:rPr>
        <w:t>: 1) Масса грунта в грейфере принимается равной 1,6V т, где V — объем грейфера, м</w:t>
      </w:r>
      <w:r>
        <w:rPr>
          <w:rFonts w:ascii="Times New Roman"/>
          <w:b w:val="false"/>
          <w:i w:val="false"/>
          <w:color w:val="000000"/>
          <w:vertAlign w:val="superscript"/>
        </w:rPr>
        <w:t>3</w:t>
      </w:r>
      <w:r>
        <w:rPr>
          <w:rFonts w:ascii="Times New Roman"/>
          <w:b w:val="false"/>
          <w:i w:val="false"/>
          <w:color w:val="000000"/>
          <w:sz w:val="28"/>
        </w:rPr>
        <w:t>;</w:t>
      </w:r>
    </w:p>
    <w:bookmarkEnd w:id="5220"/>
    <w:bookmarkStart w:name="z5229" w:id="5221"/>
    <w:p>
      <w:pPr>
        <w:spacing w:after="0"/>
        <w:ind w:left="0"/>
        <w:jc w:val="both"/>
      </w:pPr>
      <w:r>
        <w:rPr>
          <w:rFonts w:ascii="Times New Roman"/>
          <w:b w:val="false"/>
          <w:i w:val="false"/>
          <w:color w:val="000000"/>
          <w:sz w:val="28"/>
        </w:rPr>
        <w:t>
      2) количество грунта в трюме и положение его центра тяжести определяются из условия заполнения трюма однородным грунтом по уровень верхнего перелива или верхнюю кромку комингса, если переливное устройство отсутствует, и при осадке судна по грузовую марку, допускаемую при дноуглублении.</w:t>
      </w:r>
    </w:p>
    <w:bookmarkEnd w:id="5221"/>
    <w:bookmarkStart w:name="z5230" w:id="5222"/>
    <w:p>
      <w:pPr>
        <w:spacing w:after="0"/>
        <w:ind w:left="0"/>
        <w:jc w:val="both"/>
      </w:pPr>
      <w:r>
        <w:rPr>
          <w:rFonts w:ascii="Times New Roman"/>
          <w:b w:val="false"/>
          <w:i w:val="false"/>
          <w:color w:val="000000"/>
          <w:sz w:val="28"/>
        </w:rPr>
        <w:t>
      1653. В рабочих условиях для земснарядов, оборудованных черпаковой цепью:</w:t>
      </w:r>
    </w:p>
    <w:bookmarkEnd w:id="5222"/>
    <w:bookmarkStart w:name="z5231" w:id="5223"/>
    <w:p>
      <w:pPr>
        <w:spacing w:after="0"/>
        <w:ind w:left="0"/>
        <w:jc w:val="both"/>
      </w:pPr>
      <w:r>
        <w:rPr>
          <w:rFonts w:ascii="Times New Roman"/>
          <w:b w:val="false"/>
          <w:i w:val="false"/>
          <w:color w:val="000000"/>
          <w:sz w:val="28"/>
        </w:rPr>
        <w:t>
      1) судно с полными запасами, с грунтом в черпаках, черпаковая рама установлена "по-походному";</w:t>
      </w:r>
    </w:p>
    <w:bookmarkEnd w:id="5223"/>
    <w:bookmarkStart w:name="z5232" w:id="5224"/>
    <w:p>
      <w:pPr>
        <w:spacing w:after="0"/>
        <w:ind w:left="0"/>
        <w:jc w:val="both"/>
      </w:pPr>
      <w:r>
        <w:rPr>
          <w:rFonts w:ascii="Times New Roman"/>
          <w:b w:val="false"/>
          <w:i w:val="false"/>
          <w:color w:val="000000"/>
          <w:sz w:val="28"/>
        </w:rPr>
        <w:t>
      2) то же, с 10 % запасов.</w:t>
      </w:r>
    </w:p>
    <w:bookmarkEnd w:id="5224"/>
    <w:bookmarkStart w:name="z5233" w:id="5225"/>
    <w:p>
      <w:pPr>
        <w:spacing w:after="0"/>
        <w:ind w:left="0"/>
        <w:jc w:val="both"/>
      </w:pPr>
      <w:r>
        <w:rPr>
          <w:rFonts w:ascii="Times New Roman"/>
          <w:b w:val="false"/>
          <w:i w:val="false"/>
          <w:color w:val="000000"/>
          <w:sz w:val="28"/>
        </w:rPr>
        <w:t>
      Примечание. Грунт принимается в черпаке верхней части цепи (от верхнего до нижнего барабана). Масса грунта в каждом черпаке принимается равной 2</w:t>
      </w:r>
      <w:r>
        <w:rPr>
          <w:rFonts w:ascii="Times New Roman"/>
          <w:b w:val="false"/>
          <w:i/>
          <w:color w:val="000000"/>
          <w:sz w:val="28"/>
        </w:rPr>
        <w:t>V</w:t>
      </w:r>
      <w:r>
        <w:rPr>
          <w:rFonts w:ascii="Times New Roman"/>
          <w:b w:val="false"/>
          <w:i w:val="false"/>
          <w:color w:val="000000"/>
          <w:sz w:val="28"/>
        </w:rPr>
        <w:t xml:space="preserve"> т, где </w:t>
      </w:r>
      <w:r>
        <w:rPr>
          <w:rFonts w:ascii="Times New Roman"/>
          <w:b w:val="false"/>
          <w:i/>
          <w:color w:val="000000"/>
          <w:sz w:val="28"/>
        </w:rPr>
        <w:t>V</w:t>
      </w:r>
      <w:r>
        <w:rPr>
          <w:rFonts w:ascii="Times New Roman"/>
          <w:b w:val="false"/>
          <w:i w:val="false"/>
          <w:color w:val="000000"/>
          <w:sz w:val="28"/>
        </w:rPr>
        <w:t xml:space="preserve"> — полный объем черпака, м</w:t>
      </w:r>
      <w:r>
        <w:rPr>
          <w:rFonts w:ascii="Times New Roman"/>
          <w:b w:val="false"/>
          <w:i w:val="false"/>
          <w:color w:val="000000"/>
          <w:vertAlign w:val="superscript"/>
        </w:rPr>
        <w:t>3</w:t>
      </w:r>
      <w:r>
        <w:rPr>
          <w:rFonts w:ascii="Times New Roman"/>
          <w:b w:val="false"/>
          <w:i w:val="false"/>
          <w:color w:val="000000"/>
          <w:sz w:val="28"/>
        </w:rPr>
        <w:t>.</w:t>
      </w:r>
    </w:p>
    <w:bookmarkEnd w:id="5225"/>
    <w:bookmarkStart w:name="z5234" w:id="5226"/>
    <w:p>
      <w:pPr>
        <w:spacing w:after="0"/>
        <w:ind w:left="0"/>
        <w:jc w:val="both"/>
      </w:pPr>
      <w:r>
        <w:rPr>
          <w:rFonts w:ascii="Times New Roman"/>
          <w:b w:val="false"/>
          <w:i w:val="false"/>
          <w:color w:val="000000"/>
          <w:sz w:val="28"/>
        </w:rPr>
        <w:t>
      1654. В рабочих условиях для земснарядов, кроме оборудованных черпаковой цепью:</w:t>
      </w:r>
    </w:p>
    <w:bookmarkEnd w:id="5226"/>
    <w:bookmarkStart w:name="z5235" w:id="5227"/>
    <w:p>
      <w:pPr>
        <w:spacing w:after="0"/>
        <w:ind w:left="0"/>
        <w:jc w:val="both"/>
      </w:pPr>
      <w:r>
        <w:rPr>
          <w:rFonts w:ascii="Times New Roman"/>
          <w:b w:val="false"/>
          <w:i w:val="false"/>
          <w:color w:val="000000"/>
          <w:sz w:val="28"/>
        </w:rPr>
        <w:t>
      1) судно с полными запасами, с рабочими устройствами, занимающими самое высокое положение, возможное при нормальной работе;</w:t>
      </w:r>
    </w:p>
    <w:bookmarkEnd w:id="5227"/>
    <w:bookmarkStart w:name="z5236" w:id="5228"/>
    <w:p>
      <w:pPr>
        <w:spacing w:after="0"/>
        <w:ind w:left="0"/>
        <w:jc w:val="both"/>
      </w:pPr>
      <w:r>
        <w:rPr>
          <w:rFonts w:ascii="Times New Roman"/>
          <w:b w:val="false"/>
          <w:i w:val="false"/>
          <w:color w:val="000000"/>
          <w:sz w:val="28"/>
        </w:rPr>
        <w:t>
      2) то же, с 10 % запасов.</w:t>
      </w:r>
    </w:p>
    <w:bookmarkEnd w:id="5228"/>
    <w:bookmarkStart w:name="z5237" w:id="5229"/>
    <w:p>
      <w:pPr>
        <w:spacing w:after="0"/>
        <w:ind w:left="0"/>
        <w:jc w:val="both"/>
      </w:pPr>
      <w:r>
        <w:rPr>
          <w:rFonts w:ascii="Times New Roman"/>
          <w:b w:val="false"/>
          <w:i w:val="false"/>
          <w:color w:val="000000"/>
          <w:sz w:val="28"/>
        </w:rPr>
        <w:t>
      Для земснарядов, оборудованных грейферными кранами, рассматриваются дополнительные варианты нагрузки в соответствии с пунктом 1652 настоящих Правил.</w:t>
      </w:r>
    </w:p>
    <w:bookmarkEnd w:id="5229"/>
    <w:bookmarkStart w:name="z5238" w:id="523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r>
        <w:rPr>
          <w:rFonts w:ascii="Times New Roman"/>
          <w:b w:val="false"/>
          <w:i w:val="false"/>
          <w:color w:val="000000"/>
          <w:sz w:val="28"/>
        </w:rPr>
        <w:t>: 1. Рефулерный грунтопровод в пределах судна считается заполненным грунтом плотностью 1,3 т/м</w:t>
      </w:r>
      <w:r>
        <w:rPr>
          <w:rFonts w:ascii="Times New Roman"/>
          <w:b w:val="false"/>
          <w:i w:val="false"/>
          <w:color w:val="000000"/>
          <w:vertAlign w:val="superscript"/>
        </w:rPr>
        <w:t>3</w:t>
      </w:r>
      <w:r>
        <w:rPr>
          <w:rFonts w:ascii="Times New Roman"/>
          <w:b w:val="false"/>
          <w:i w:val="false"/>
          <w:color w:val="000000"/>
          <w:sz w:val="28"/>
        </w:rPr>
        <w:t>;</w:t>
      </w:r>
    </w:p>
    <w:bookmarkEnd w:id="5230"/>
    <w:bookmarkStart w:name="z5239" w:id="5231"/>
    <w:p>
      <w:pPr>
        <w:spacing w:after="0"/>
        <w:ind w:left="0"/>
        <w:jc w:val="both"/>
      </w:pPr>
      <w:r>
        <w:rPr>
          <w:rFonts w:ascii="Times New Roman"/>
          <w:b w:val="false"/>
          <w:i w:val="false"/>
          <w:color w:val="000000"/>
          <w:sz w:val="28"/>
        </w:rPr>
        <w:t>
      2. масса грунта в грейфере (ковше) принимается равной 1,6</w:t>
      </w:r>
      <w:r>
        <w:rPr>
          <w:rFonts w:ascii="Times New Roman"/>
          <w:b w:val="false"/>
          <w:i/>
          <w:color w:val="000000"/>
          <w:sz w:val="28"/>
        </w:rPr>
        <w:t>V</w:t>
      </w:r>
      <w:r>
        <w:rPr>
          <w:rFonts w:ascii="Times New Roman"/>
          <w:b w:val="false"/>
          <w:i w:val="false"/>
          <w:color w:val="000000"/>
          <w:sz w:val="28"/>
        </w:rPr>
        <w:t xml:space="preserve">, т, где </w:t>
      </w:r>
      <w:r>
        <w:rPr>
          <w:rFonts w:ascii="Times New Roman"/>
          <w:b w:val="false"/>
          <w:i/>
          <w:color w:val="000000"/>
          <w:sz w:val="28"/>
        </w:rPr>
        <w:t>V</w:t>
      </w:r>
      <w:r>
        <w:rPr>
          <w:rFonts w:ascii="Times New Roman"/>
          <w:b w:val="false"/>
          <w:i w:val="false"/>
          <w:color w:val="000000"/>
          <w:sz w:val="28"/>
        </w:rPr>
        <w:t xml:space="preserve"> — объем грейфера (ковша), м</w:t>
      </w:r>
      <w:r>
        <w:rPr>
          <w:rFonts w:ascii="Times New Roman"/>
          <w:b w:val="false"/>
          <w:i w:val="false"/>
          <w:color w:val="000000"/>
          <w:vertAlign w:val="superscript"/>
        </w:rPr>
        <w:t>3</w:t>
      </w:r>
      <w:r>
        <w:rPr>
          <w:rFonts w:ascii="Times New Roman"/>
          <w:b w:val="false"/>
          <w:i w:val="false"/>
          <w:color w:val="000000"/>
          <w:sz w:val="28"/>
        </w:rPr>
        <w:t>.</w:t>
      </w:r>
    </w:p>
    <w:bookmarkEnd w:id="5231"/>
    <w:bookmarkStart w:name="z5240" w:id="5232"/>
    <w:p>
      <w:pPr>
        <w:spacing w:after="0"/>
        <w:ind w:left="0"/>
        <w:jc w:val="left"/>
      </w:pPr>
      <w:r>
        <w:rPr>
          <w:rFonts w:ascii="Times New Roman"/>
          <w:b/>
          <w:i w:val="false"/>
          <w:color w:val="000000"/>
        </w:rPr>
        <w:t xml:space="preserve"> Параграф 2. Расчет остойчивости формы и кренование</w:t>
      </w:r>
    </w:p>
    <w:bookmarkEnd w:id="5232"/>
    <w:bookmarkStart w:name="z5241" w:id="5233"/>
    <w:p>
      <w:pPr>
        <w:spacing w:after="0"/>
        <w:ind w:left="0"/>
        <w:jc w:val="both"/>
      </w:pPr>
      <w:r>
        <w:rPr>
          <w:rFonts w:ascii="Times New Roman"/>
          <w:b w:val="false"/>
          <w:i w:val="false"/>
          <w:color w:val="000000"/>
          <w:sz w:val="28"/>
        </w:rPr>
        <w:t>
      1655. При расчете плеч остойчивости формы дноуглубительных судов горловины воздушных ящиков считаются закрытыми независимо от высоты комингса, если они снабжены крышками, которые отвечают требованиям главы 74 настоящих Правил.</w:t>
      </w:r>
    </w:p>
    <w:bookmarkEnd w:id="5233"/>
    <w:bookmarkStart w:name="z5242" w:id="5234"/>
    <w:p>
      <w:pPr>
        <w:spacing w:after="0"/>
        <w:ind w:left="0"/>
        <w:jc w:val="both"/>
      </w:pPr>
      <w:r>
        <w:rPr>
          <w:rFonts w:ascii="Times New Roman"/>
          <w:b w:val="false"/>
          <w:i w:val="false"/>
          <w:color w:val="000000"/>
          <w:sz w:val="28"/>
        </w:rPr>
        <w:t>
      1656. Грунтоотвозные шаланды, землесосы и другие суда, на которых вследствие конструктивных особенностей невозможно обеспечить водонепроницаемость грунтового трюма, подвергаются кренованию с водой в трюме, свободно сообщающейся с забортной водой.</w:t>
      </w:r>
    </w:p>
    <w:bookmarkEnd w:id="5234"/>
    <w:bookmarkStart w:name="z5243" w:id="5235"/>
    <w:p>
      <w:pPr>
        <w:spacing w:after="0"/>
        <w:ind w:left="0"/>
        <w:jc w:val="left"/>
      </w:pPr>
      <w:r>
        <w:rPr>
          <w:rFonts w:ascii="Times New Roman"/>
          <w:b/>
          <w:i w:val="false"/>
          <w:color w:val="000000"/>
        </w:rPr>
        <w:t xml:space="preserve"> Параграф 3. Проверка остойчивости</w:t>
      </w:r>
      <w:r>
        <w:br/>
      </w:r>
      <w:r>
        <w:rPr>
          <w:rFonts w:ascii="Times New Roman"/>
          <w:b/>
          <w:i w:val="false"/>
          <w:color w:val="000000"/>
        </w:rPr>
        <w:t>в рабочих условиях и при переходах</w:t>
      </w:r>
    </w:p>
    <w:bookmarkEnd w:id="5235"/>
    <w:bookmarkStart w:name="z5244" w:id="5236"/>
    <w:p>
      <w:pPr>
        <w:spacing w:after="0"/>
        <w:ind w:left="0"/>
        <w:jc w:val="both"/>
      </w:pPr>
      <w:r>
        <w:rPr>
          <w:rFonts w:ascii="Times New Roman"/>
          <w:b w:val="false"/>
          <w:i w:val="false"/>
          <w:color w:val="000000"/>
          <w:sz w:val="28"/>
        </w:rPr>
        <w:t>
      1657. Остойчивость дноуглубительных судов при переходах проверяется в соответствии с установленным для судна районом плавания; при этом как в спецификации, так и в Информации об остойчивости указываются условия переходов, если они предусматриваются (наличие жидкого балласта, объем демонтажа рабочих устройств, положение подвеса черпаковой рамы, возможность транспортировки груза в трюме за пределы 20-мильной прибрежной зоны). Земснаряды, оборудованные черпаковым устройством, совершают переходы в неограниченном районе только со снятой черпаковой цепью.</w:t>
      </w:r>
    </w:p>
    <w:bookmarkEnd w:id="5236"/>
    <w:bookmarkStart w:name="z5245" w:id="5237"/>
    <w:p>
      <w:pPr>
        <w:spacing w:after="0"/>
        <w:ind w:left="0"/>
        <w:jc w:val="both"/>
      </w:pPr>
      <w:r>
        <w:rPr>
          <w:rFonts w:ascii="Times New Roman"/>
          <w:b w:val="false"/>
          <w:i w:val="false"/>
          <w:color w:val="000000"/>
          <w:sz w:val="28"/>
        </w:rPr>
        <w:t>
      1658. При определении остойчивости дноуглубительных судов в рабочих условиях принимаются:</w:t>
      </w:r>
    </w:p>
    <w:bookmarkEnd w:id="5237"/>
    <w:bookmarkStart w:name="z5246" w:id="5238"/>
    <w:p>
      <w:pPr>
        <w:spacing w:after="0"/>
        <w:ind w:left="0"/>
        <w:jc w:val="both"/>
      </w:pPr>
      <w:r>
        <w:rPr>
          <w:rFonts w:ascii="Times New Roman"/>
          <w:b w:val="false"/>
          <w:i w:val="false"/>
          <w:color w:val="000000"/>
          <w:sz w:val="28"/>
        </w:rPr>
        <w:t>
      1) в зоне 1 давление ветра: для судов неограниченного района плавания — по нормам ограниченного района плавания R1, для ограниченного района плавания R1 — по нормам для этого района, уменьшенное на 25 %, для остальных районов плавания — по нормам ограниченного района R2; амплитуда качки — по нормам ограниченных районов плавания;</w:t>
      </w:r>
    </w:p>
    <w:bookmarkEnd w:id="5238"/>
    <w:bookmarkStart w:name="z5247" w:id="5239"/>
    <w:p>
      <w:pPr>
        <w:spacing w:after="0"/>
        <w:ind w:left="0"/>
        <w:jc w:val="both"/>
      </w:pPr>
      <w:r>
        <w:rPr>
          <w:rFonts w:ascii="Times New Roman"/>
          <w:b w:val="false"/>
          <w:i w:val="false"/>
          <w:color w:val="000000"/>
          <w:sz w:val="28"/>
        </w:rPr>
        <w:t>
      2) в зоне 2 давление ветра и амплитуда качки — в соответствии с установленным для судна районом плавания.</w:t>
      </w:r>
    </w:p>
    <w:bookmarkEnd w:id="5239"/>
    <w:bookmarkStart w:name="z5248" w:id="5240"/>
    <w:p>
      <w:pPr>
        <w:spacing w:after="0"/>
        <w:ind w:left="0"/>
        <w:jc w:val="both"/>
      </w:pPr>
      <w:r>
        <w:rPr>
          <w:rFonts w:ascii="Times New Roman"/>
          <w:b w:val="false"/>
          <w:i w:val="false"/>
          <w:color w:val="000000"/>
          <w:sz w:val="28"/>
        </w:rPr>
        <w:t>
      1659. Амплитуда качки дноуглубительных судов определяется в соответствии с параграфом 2 главы 94 настоящих Правил.</w:t>
      </w:r>
    </w:p>
    <w:bookmarkEnd w:id="5240"/>
    <w:bookmarkStart w:name="z5249" w:id="5241"/>
    <w:p>
      <w:pPr>
        <w:spacing w:after="0"/>
        <w:ind w:left="0"/>
        <w:jc w:val="both"/>
      </w:pPr>
      <w:r>
        <w:rPr>
          <w:rFonts w:ascii="Times New Roman"/>
          <w:b w:val="false"/>
          <w:i w:val="false"/>
          <w:color w:val="000000"/>
          <w:sz w:val="28"/>
        </w:rPr>
        <w:t>
      Для ограниченных районов плавания R1 и R2 определенная по формуле (601) настоящих Правил амплитуда качки умножается на коэффициент Х</w:t>
      </w:r>
      <w:r>
        <w:rPr>
          <w:rFonts w:ascii="Times New Roman"/>
          <w:b w:val="false"/>
          <w:i w:val="false"/>
          <w:color w:val="000000"/>
          <w:vertAlign w:val="subscript"/>
        </w:rPr>
        <w:t>3</w:t>
      </w:r>
      <w:r>
        <w:rPr>
          <w:rFonts w:ascii="Times New Roman"/>
          <w:b w:val="false"/>
          <w:i w:val="false"/>
          <w:color w:val="000000"/>
          <w:sz w:val="28"/>
        </w:rPr>
        <w:t>, который принимается по приложению 200 настоящих Правил.</w:t>
      </w:r>
    </w:p>
    <w:bookmarkEnd w:id="5241"/>
    <w:bookmarkStart w:name="z5250" w:id="5242"/>
    <w:p>
      <w:pPr>
        <w:spacing w:after="0"/>
        <w:ind w:left="0"/>
        <w:jc w:val="both"/>
      </w:pPr>
      <w:r>
        <w:rPr>
          <w:rFonts w:ascii="Times New Roman"/>
          <w:b w:val="false"/>
          <w:i w:val="false"/>
          <w:color w:val="000000"/>
          <w:sz w:val="28"/>
        </w:rPr>
        <w:t xml:space="preserve">
      Для трюмных земснарядов и грунтоотвозных шаланд, имеющих ниши в днище для дверец, множитель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определяется из приложения 195 настоящих Правил при отношении </w:t>
      </w:r>
      <w:r>
        <w:rPr>
          <w:rFonts w:ascii="Times New Roman"/>
          <w:b w:val="false"/>
          <w:i/>
          <w:color w:val="000000"/>
          <w:sz w:val="28"/>
        </w:rPr>
        <w:t>B/d</w:t>
      </w:r>
      <w:r>
        <w:rPr>
          <w:rFonts w:ascii="Times New Roman"/>
          <w:b w:val="false"/>
          <w:i w:val="false"/>
          <w:color w:val="000000"/>
          <w:sz w:val="28"/>
        </w:rPr>
        <w:t>, умноженном на коэффициент (</w:t>
      </w:r>
    </w:p>
    <w:bookmarkEnd w:id="5242"/>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в)/</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объемное водоизмещение судна без учета ниш,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в — объем ниш,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5251" w:id="5243"/>
    <w:p>
      <w:pPr>
        <w:spacing w:after="0"/>
        <w:ind w:left="0"/>
        <w:jc w:val="both"/>
      </w:pPr>
      <w:r>
        <w:rPr>
          <w:rFonts w:ascii="Times New Roman"/>
          <w:b w:val="false"/>
          <w:i w:val="false"/>
          <w:color w:val="000000"/>
          <w:sz w:val="28"/>
        </w:rPr>
        <w:t>
      1660. Остойчивость земснарядов и трюмных земснарядов, оборудованных грейферными кранами, при дополнительных вариантах нагрузки (пункт 1652 настоящих Правил) отвечает требованиям главы 109 настоящих Правил.</w:t>
      </w:r>
    </w:p>
    <w:bookmarkEnd w:id="5243"/>
    <w:bookmarkStart w:name="z5252" w:id="5244"/>
    <w:p>
      <w:pPr>
        <w:spacing w:after="0"/>
        <w:ind w:left="0"/>
        <w:jc w:val="both"/>
      </w:pPr>
      <w:r>
        <w:rPr>
          <w:rFonts w:ascii="Times New Roman"/>
          <w:b w:val="false"/>
          <w:i w:val="false"/>
          <w:color w:val="000000"/>
          <w:sz w:val="28"/>
        </w:rPr>
        <w:t>
      1661. Остойчивость трюмных земснарядов и грунтоотвозных шаланд, у которых конструкция днищевых закрытий грунтового трюма и их привода не исключает возможности вывалки грунта из трюма с одного борта, должна быть проверена с учетом такой вывалки только по критерию погоды согласно указаниям пунктов 1662, 1663 настоящих Правил для худшего из вариантов нагрузки 1 и 2 (пункт 1652 настоящих Правил):</w:t>
      </w:r>
    </w:p>
    <w:bookmarkEnd w:id="5244"/>
    <w:bookmarkStart w:name="z5253" w:id="5245"/>
    <w:p>
      <w:pPr>
        <w:spacing w:after="0"/>
        <w:ind w:left="0"/>
        <w:jc w:val="both"/>
      </w:pPr>
      <w:r>
        <w:rPr>
          <w:rFonts w:ascii="Times New Roman"/>
          <w:b w:val="false"/>
          <w:i w:val="false"/>
          <w:color w:val="000000"/>
          <w:sz w:val="28"/>
        </w:rPr>
        <w:t>
      1) если плотность грунта в трюме меньше 1,3 т/м</w:t>
      </w:r>
      <w:r>
        <w:rPr>
          <w:rFonts w:ascii="Times New Roman"/>
          <w:b w:val="false"/>
          <w:i w:val="false"/>
          <w:color w:val="000000"/>
          <w:vertAlign w:val="superscript"/>
        </w:rPr>
        <w:t>3</w:t>
      </w:r>
      <w:r>
        <w:rPr>
          <w:rFonts w:ascii="Times New Roman"/>
          <w:b w:val="false"/>
          <w:i w:val="false"/>
          <w:color w:val="000000"/>
          <w:sz w:val="28"/>
        </w:rPr>
        <w:t xml:space="preserve"> – при амплитуде качки 10</w:t>
      </w:r>
      <w:r>
        <w:rPr>
          <w:rFonts w:ascii="Times New Roman"/>
          <w:b w:val="false"/>
          <w:i w:val="false"/>
          <w:color w:val="000000"/>
          <w:vertAlign w:val="superscript"/>
        </w:rPr>
        <w:t>о</w:t>
      </w:r>
      <w:r>
        <w:rPr>
          <w:rFonts w:ascii="Times New Roman"/>
          <w:b w:val="false"/>
          <w:i w:val="false"/>
          <w:color w:val="000000"/>
          <w:sz w:val="28"/>
        </w:rPr>
        <w:t xml:space="preserve"> с учетом угла статического крена, равного сумме статического крена от вывалки грунта Ө</w:t>
      </w:r>
      <w:r>
        <w:rPr>
          <w:rFonts w:ascii="Times New Roman"/>
          <w:b w:val="false"/>
          <w:i w:val="false"/>
          <w:color w:val="000000"/>
          <w:vertAlign w:val="subscript"/>
        </w:rPr>
        <w:t>sp</w:t>
      </w:r>
      <w:r>
        <w:rPr>
          <w:rFonts w:ascii="Times New Roman"/>
          <w:b w:val="false"/>
          <w:i w:val="false"/>
          <w:color w:val="000000"/>
          <w:sz w:val="28"/>
        </w:rPr>
        <w:t xml:space="preserve"> и статического крена, вызванного постоянным ветром Ө</w:t>
      </w:r>
      <w:r>
        <w:rPr>
          <w:rFonts w:ascii="Times New Roman"/>
          <w:b w:val="false"/>
          <w:i w:val="false"/>
          <w:color w:val="000000"/>
          <w:vertAlign w:val="subscript"/>
        </w:rPr>
        <w:t>w1</w:t>
      </w:r>
      <w:r>
        <w:rPr>
          <w:rFonts w:ascii="Times New Roman"/>
          <w:b w:val="false"/>
          <w:i w:val="false"/>
          <w:color w:val="000000"/>
          <w:sz w:val="28"/>
        </w:rPr>
        <w:t xml:space="preserve"> в соответствии с подпунктом 2) пункта 1554 настоящих Правил;</w:t>
      </w:r>
    </w:p>
    <w:bookmarkEnd w:id="5245"/>
    <w:bookmarkStart w:name="z5254" w:id="5246"/>
    <w:p>
      <w:pPr>
        <w:spacing w:after="0"/>
        <w:ind w:left="0"/>
        <w:jc w:val="both"/>
      </w:pPr>
      <w:r>
        <w:rPr>
          <w:rFonts w:ascii="Times New Roman"/>
          <w:b w:val="false"/>
          <w:i w:val="false"/>
          <w:color w:val="000000"/>
          <w:sz w:val="28"/>
        </w:rPr>
        <w:t>
      2) если плотность грунта в трюме равна или больше 1,3 т/м</w:t>
      </w:r>
      <w:r>
        <w:rPr>
          <w:rFonts w:ascii="Times New Roman"/>
          <w:b w:val="false"/>
          <w:i w:val="false"/>
          <w:color w:val="000000"/>
          <w:vertAlign w:val="superscript"/>
        </w:rPr>
        <w:t>3</w:t>
      </w:r>
      <w:r>
        <w:rPr>
          <w:rFonts w:ascii="Times New Roman"/>
          <w:b w:val="false"/>
          <w:i w:val="false"/>
          <w:color w:val="000000"/>
          <w:sz w:val="28"/>
        </w:rPr>
        <w:t xml:space="preserve"> – с учетом динамического характера вывалки грунта при амплитуде качки, равной сумме 10</w:t>
      </w:r>
      <w:r>
        <w:rPr>
          <w:rFonts w:ascii="Times New Roman"/>
          <w:b w:val="false"/>
          <w:i w:val="false"/>
          <w:color w:val="000000"/>
          <w:vertAlign w:val="superscript"/>
        </w:rPr>
        <w:t>о</w:t>
      </w:r>
      <w:r>
        <w:rPr>
          <w:rFonts w:ascii="Times New Roman"/>
          <w:b w:val="false"/>
          <w:i w:val="false"/>
          <w:color w:val="000000"/>
          <w:sz w:val="28"/>
        </w:rPr>
        <w:t xml:space="preserve"> и наибольшей амплитуды Ө</w:t>
      </w:r>
      <w:r>
        <w:rPr>
          <w:rFonts w:ascii="Times New Roman"/>
          <w:b w:val="false"/>
          <w:i w:val="false"/>
          <w:color w:val="000000"/>
          <w:vertAlign w:val="subscript"/>
        </w:rPr>
        <w:t>3r</w:t>
      </w:r>
      <w:r>
        <w:rPr>
          <w:rFonts w:ascii="Times New Roman"/>
          <w:b w:val="false"/>
          <w:i w:val="false"/>
          <w:color w:val="000000"/>
          <w:sz w:val="28"/>
        </w:rPr>
        <w:t xml:space="preserve"> колебаний судна относительно статического крена, равного в свою очередь сумме крена от вывалки грунта Ө</w:t>
      </w:r>
      <w:r>
        <w:rPr>
          <w:rFonts w:ascii="Times New Roman"/>
          <w:b w:val="false"/>
          <w:i w:val="false"/>
          <w:color w:val="000000"/>
          <w:vertAlign w:val="subscript"/>
        </w:rPr>
        <w:t>sp</w:t>
      </w:r>
      <w:r>
        <w:rPr>
          <w:rFonts w:ascii="Times New Roman"/>
          <w:b w:val="false"/>
          <w:i w:val="false"/>
          <w:color w:val="000000"/>
          <w:sz w:val="28"/>
        </w:rPr>
        <w:t xml:space="preserve"> и крена, вызванного постоянным ветром Ө</w:t>
      </w:r>
      <w:r>
        <w:rPr>
          <w:rFonts w:ascii="Times New Roman"/>
          <w:b w:val="false"/>
          <w:i w:val="false"/>
          <w:color w:val="000000"/>
          <w:vertAlign w:val="subscript"/>
        </w:rPr>
        <w:t>w1</w:t>
      </w:r>
      <w:r>
        <w:rPr>
          <w:rFonts w:ascii="Times New Roman"/>
          <w:b w:val="false"/>
          <w:i w:val="false"/>
          <w:color w:val="000000"/>
          <w:sz w:val="28"/>
        </w:rPr>
        <w:t xml:space="preserve"> в соответствии с подпунктом 2) пункта 1554 настоящих Правил.</w:t>
      </w:r>
    </w:p>
    <w:bookmarkEnd w:id="5246"/>
    <w:bookmarkStart w:name="z5255" w:id="5247"/>
    <w:p>
      <w:pPr>
        <w:spacing w:after="0"/>
        <w:ind w:left="0"/>
        <w:jc w:val="both"/>
      </w:pPr>
      <w:r>
        <w:rPr>
          <w:rFonts w:ascii="Times New Roman"/>
          <w:b w:val="false"/>
          <w:i w:val="false"/>
          <w:color w:val="000000"/>
          <w:sz w:val="28"/>
        </w:rPr>
        <w:t>
      Величина Ө</w:t>
      </w:r>
      <w:r>
        <w:rPr>
          <w:rFonts w:ascii="Times New Roman"/>
          <w:b w:val="false"/>
          <w:i w:val="false"/>
          <w:color w:val="000000"/>
          <w:vertAlign w:val="subscript"/>
        </w:rPr>
        <w:t>3r</w:t>
      </w:r>
      <w:r>
        <w:rPr>
          <w:rFonts w:ascii="Times New Roman"/>
          <w:b w:val="false"/>
          <w:i w:val="false"/>
          <w:color w:val="000000"/>
          <w:sz w:val="28"/>
        </w:rPr>
        <w:t>, град, определяется по формуле:</w:t>
      </w:r>
    </w:p>
    <w:bookmarkEnd w:id="5247"/>
    <w:p>
      <w:pPr>
        <w:spacing w:after="0"/>
        <w:ind w:left="0"/>
        <w:jc w:val="both"/>
      </w:pPr>
      <w:r>
        <w:rPr>
          <w:rFonts w:ascii="Times New Roman"/>
          <w:b w:val="false"/>
          <w:i w:val="false"/>
          <w:color w:val="000000"/>
          <w:sz w:val="28"/>
        </w:rPr>
        <w:t>
                              Ө</w:t>
      </w:r>
      <w:r>
        <w:rPr>
          <w:rFonts w:ascii="Times New Roman"/>
          <w:b w:val="false"/>
          <w:i w:val="false"/>
          <w:color w:val="000000"/>
          <w:vertAlign w:val="subscript"/>
        </w:rPr>
        <w:t>3r</w:t>
      </w:r>
      <w:r>
        <w:rPr>
          <w:rFonts w:ascii="Times New Roman"/>
          <w:b w:val="false"/>
          <w:i w:val="false"/>
          <w:color w:val="000000"/>
          <w:sz w:val="28"/>
        </w:rPr>
        <w:t xml:space="preserve"> = 0,2Ө</w:t>
      </w:r>
      <w:r>
        <w:rPr>
          <w:rFonts w:ascii="Times New Roman"/>
          <w:b w:val="false"/>
          <w:i w:val="false"/>
          <w:color w:val="000000"/>
          <w:vertAlign w:val="subscript"/>
        </w:rPr>
        <w:t>sp</w:t>
      </w:r>
      <w:r>
        <w:rPr>
          <w:rFonts w:ascii="Times New Roman"/>
          <w:b w:val="false"/>
          <w:i w:val="false"/>
          <w:color w:val="000000"/>
          <w:sz w:val="28"/>
        </w:rPr>
        <w:t>.                            (612)</w:t>
      </w:r>
    </w:p>
    <w:bookmarkStart w:name="z5256" w:id="5248"/>
    <w:p>
      <w:pPr>
        <w:spacing w:after="0"/>
        <w:ind w:left="0"/>
        <w:jc w:val="both"/>
      </w:pPr>
      <w:r>
        <w:rPr>
          <w:rFonts w:ascii="Times New Roman"/>
          <w:b w:val="false"/>
          <w:i w:val="false"/>
          <w:color w:val="000000"/>
          <w:sz w:val="28"/>
        </w:rPr>
        <w:t xml:space="preserve">
      1662. Горизонтальное смещение центра тяжести судна </w:t>
      </w:r>
      <w:r>
        <w:rPr>
          <w:rFonts w:ascii="Times New Roman"/>
          <w:b w:val="false"/>
          <w:i/>
          <w:color w:val="000000"/>
          <w:sz w:val="28"/>
        </w:rPr>
        <w:t>y</w:t>
      </w:r>
      <w:r>
        <w:rPr>
          <w:rFonts w:ascii="Times New Roman"/>
          <w:b w:val="false"/>
          <w:i w:val="false"/>
          <w:color w:val="000000"/>
          <w:vertAlign w:val="subscript"/>
        </w:rPr>
        <w:t>g</w:t>
      </w:r>
      <w:r>
        <w:rPr>
          <w:rFonts w:ascii="Times New Roman"/>
          <w:b w:val="false"/>
          <w:i w:val="false"/>
          <w:color w:val="000000"/>
          <w:sz w:val="28"/>
        </w:rPr>
        <w:t>, м, при вывалке с одного борта половины грунта из полностью загруженного трюма определяется по формуле:</w:t>
      </w:r>
    </w:p>
    <w:bookmarkEnd w:id="5248"/>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g</w:t>
      </w:r>
      <w:r>
        <w:rPr>
          <w:rFonts w:ascii="Times New Roman"/>
          <w:b w:val="false"/>
          <w:i w:val="false"/>
          <w:color w:val="000000"/>
          <w:sz w:val="28"/>
        </w:rPr>
        <w:t xml:space="preserve"> = P</w:t>
      </w:r>
      <w:r>
        <w:rPr>
          <w:rFonts w:ascii="Times New Roman"/>
          <w:b w:val="false"/>
          <w:i w:val="false"/>
          <w:color w:val="000000"/>
          <w:vertAlign w:val="subscript"/>
        </w:rPr>
        <w:t>y</w:t>
      </w:r>
      <w:r>
        <w:rPr>
          <w:rFonts w:ascii="Times New Roman"/>
          <w:b w:val="false"/>
          <w:i w:val="false"/>
          <w:color w:val="000000"/>
          <w:sz w:val="28"/>
        </w:rPr>
        <w:t>/(2</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(613)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Р</w:t>
      </w:r>
      <w:r>
        <w:rPr>
          <w:rFonts w:ascii="Times New Roman"/>
          <w:b w:val="false"/>
          <w:i w:val="false"/>
          <w:color w:val="000000"/>
          <w:sz w:val="28"/>
        </w:rPr>
        <w:t xml:space="preserve"> — масса всего грунта в трюме, 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отстояние центра тяжести вываливающегося с одного борта грунта от диаметральной плоскости,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val="false"/>
          <w:color w:val="000000"/>
          <w:sz w:val="28"/>
        </w:rPr>
        <w:t xml:space="preserve"> – P/2,                         (614)</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val="false"/>
          <w:color w:val="000000"/>
          <w:sz w:val="28"/>
        </w:rPr>
        <w:t xml:space="preserve"> — водоизмещение судна перед вывалкой грунта, т.</w:t>
      </w:r>
      <w:r>
        <w:br/>
      </w:r>
      <w:r>
        <w:rPr>
          <w:rFonts w:ascii="Times New Roman"/>
          <w:b w:val="false"/>
          <w:i w:val="false"/>
          <w:color w:val="000000"/>
          <w:sz w:val="28"/>
        </w:rPr>
        <w:t>
</w:t>
      </w:r>
    </w:p>
    <w:bookmarkStart w:name="z5257" w:id="5249"/>
    <w:p>
      <w:pPr>
        <w:spacing w:after="0"/>
        <w:ind w:left="0"/>
        <w:jc w:val="both"/>
      </w:pPr>
      <w:r>
        <w:rPr>
          <w:rFonts w:ascii="Times New Roman"/>
          <w:b w:val="false"/>
          <w:i w:val="false"/>
          <w:color w:val="000000"/>
          <w:sz w:val="28"/>
        </w:rPr>
        <w:t>
      1663. Диаграмма статической остойчивости судна рассчитывается по формуле:</w:t>
      </w:r>
    </w:p>
    <w:bookmarkEnd w:id="524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vertAlign w:val="subscript"/>
        </w:rPr>
        <w:t>g</w:t>
      </w:r>
      <w:r>
        <w:rPr>
          <w:rFonts w:ascii="Times New Roman"/>
          <w:b w:val="false"/>
          <w:i w:val="false"/>
          <w:color w:val="000000"/>
          <w:sz w:val="28"/>
        </w:rPr>
        <w:t xml:space="preserve"> cosӨ,                        (615)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плечо статической остойчивости, м, при водоизмещении судна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val="false"/>
          <w:color w:val="000000"/>
          <w:sz w:val="28"/>
        </w:rPr>
        <w:t>, вычисленное в предположении, что центр тяжести судна находится в диаметральной плоскости.</w:t>
      </w:r>
      <w:r>
        <w:br/>
      </w:r>
      <w:r>
        <w:rPr>
          <w:rFonts w:ascii="Times New Roman"/>
          <w:b w:val="false"/>
          <w:i w:val="false"/>
          <w:color w:val="000000"/>
          <w:sz w:val="28"/>
        </w:rPr>
        <w:t>
</w:t>
      </w:r>
    </w:p>
    <w:bookmarkStart w:name="z5258" w:id="5250"/>
    <w:p>
      <w:pPr>
        <w:spacing w:after="0"/>
        <w:ind w:left="0"/>
        <w:jc w:val="both"/>
      </w:pPr>
      <w:r>
        <w:rPr>
          <w:rFonts w:ascii="Times New Roman"/>
          <w:b w:val="false"/>
          <w:i w:val="false"/>
          <w:color w:val="000000"/>
          <w:sz w:val="28"/>
        </w:rPr>
        <w:t>
      1664. Остойчивость земснаряда при лонгку-луарном или транспортерном способе отвода грунта проверяют на случай статического действия момента сил от массы лонгкулуара или транспортера (при положении в плоскости шпангоута), заполненного грунтом (без учета действия ветра и волн). При этом остойчивость судна считается достаточной, если максимальный статический крен не превышает угла заливания либо угла, при котором надводный борт становится равным 300 мм, смотря по тому, что меньше.</w:t>
      </w:r>
    </w:p>
    <w:bookmarkEnd w:id="5250"/>
    <w:bookmarkStart w:name="z5259" w:id="5251"/>
    <w:p>
      <w:pPr>
        <w:spacing w:after="0"/>
        <w:ind w:left="0"/>
        <w:jc w:val="left"/>
      </w:pPr>
      <w:r>
        <w:rPr>
          <w:rFonts w:ascii="Times New Roman"/>
          <w:b/>
          <w:i w:val="false"/>
          <w:color w:val="000000"/>
        </w:rPr>
        <w:t xml:space="preserve"> Параграф 4. Учет влияния жидких грузов и</w:t>
      </w:r>
      <w:r>
        <w:br/>
      </w:r>
      <w:r>
        <w:rPr>
          <w:rFonts w:ascii="Times New Roman"/>
          <w:b/>
          <w:i w:val="false"/>
          <w:color w:val="000000"/>
        </w:rPr>
        <w:t>обледенения рабочих устройств</w:t>
      </w:r>
    </w:p>
    <w:bookmarkEnd w:id="5251"/>
    <w:bookmarkStart w:name="z5260" w:id="5252"/>
    <w:p>
      <w:pPr>
        <w:spacing w:after="0"/>
        <w:ind w:left="0"/>
        <w:jc w:val="both"/>
      </w:pPr>
      <w:r>
        <w:rPr>
          <w:rFonts w:ascii="Times New Roman"/>
          <w:b w:val="false"/>
          <w:i w:val="false"/>
          <w:color w:val="000000"/>
          <w:sz w:val="28"/>
        </w:rPr>
        <w:t>
      1665. При подсчете влияния жидких грузов в соответствии с указаниями параграфа 5 главы 91 настоящих Правил для трюмных земснарядов и грунтоотвозных шаланд следует полагать, что:</w:t>
      </w:r>
    </w:p>
    <w:bookmarkEnd w:id="5252"/>
    <w:bookmarkStart w:name="z5261" w:id="5253"/>
    <w:p>
      <w:pPr>
        <w:spacing w:after="0"/>
        <w:ind w:left="0"/>
        <w:jc w:val="both"/>
      </w:pPr>
      <w:r>
        <w:rPr>
          <w:rFonts w:ascii="Times New Roman"/>
          <w:b w:val="false"/>
          <w:i w:val="false"/>
          <w:color w:val="000000"/>
          <w:sz w:val="28"/>
        </w:rPr>
        <w:t>
      1) для судна с грунтом, плотность которого более 1,3 т/м</w:t>
      </w:r>
      <w:r>
        <w:rPr>
          <w:rFonts w:ascii="Times New Roman"/>
          <w:b w:val="false"/>
          <w:i w:val="false"/>
          <w:color w:val="000000"/>
          <w:vertAlign w:val="superscript"/>
        </w:rPr>
        <w:t>3</w:t>
      </w:r>
      <w:r>
        <w:rPr>
          <w:rFonts w:ascii="Times New Roman"/>
          <w:b w:val="false"/>
          <w:i w:val="false"/>
          <w:color w:val="000000"/>
          <w:sz w:val="28"/>
        </w:rPr>
        <w:t>, грунт рассматривается как твердый невыливающийся груз; расчет плеч статической и динамической остойчивости производится при постоянном водоизмещении и положении центра тяжести грунта в трюме;</w:t>
      </w:r>
    </w:p>
    <w:bookmarkEnd w:id="5253"/>
    <w:bookmarkStart w:name="z5262" w:id="5254"/>
    <w:p>
      <w:pPr>
        <w:spacing w:after="0"/>
        <w:ind w:left="0"/>
        <w:jc w:val="both"/>
      </w:pPr>
      <w:r>
        <w:rPr>
          <w:rFonts w:ascii="Times New Roman"/>
          <w:b w:val="false"/>
          <w:i w:val="false"/>
          <w:color w:val="000000"/>
          <w:sz w:val="28"/>
        </w:rPr>
        <w:t>
      2) для судна с грунтом, плотность которого равна или менее 1,3 т/м</w:t>
      </w:r>
      <w:r>
        <w:rPr>
          <w:rFonts w:ascii="Times New Roman"/>
          <w:b w:val="false"/>
          <w:i w:val="false"/>
          <w:color w:val="000000"/>
          <w:vertAlign w:val="superscript"/>
        </w:rPr>
        <w:t>3</w:t>
      </w:r>
      <w:r>
        <w:rPr>
          <w:rFonts w:ascii="Times New Roman"/>
          <w:b w:val="false"/>
          <w:i w:val="false"/>
          <w:color w:val="000000"/>
          <w:sz w:val="28"/>
        </w:rPr>
        <w:t>, грунт рассматривается как жидкий груз; расчет плеч статической и динамической остойчивости производится при переменном водоизмещении и положении центра тяжести грунта с учетом переливания грунта через борт и уменьшения осадки судна.</w:t>
      </w:r>
    </w:p>
    <w:bookmarkEnd w:id="5254"/>
    <w:bookmarkStart w:name="z5263" w:id="5255"/>
    <w:p>
      <w:pPr>
        <w:spacing w:after="0"/>
        <w:ind w:left="0"/>
        <w:jc w:val="both"/>
      </w:pPr>
      <w:r>
        <w:rPr>
          <w:rFonts w:ascii="Times New Roman"/>
          <w:b w:val="false"/>
          <w:i w:val="false"/>
          <w:color w:val="000000"/>
          <w:sz w:val="28"/>
        </w:rPr>
        <w:t>
      Подобный расчет не производится, если судно имеет продольную переборку в грунтовом трюме. В последнем случае грунт считается твердым;</w:t>
      </w:r>
    </w:p>
    <w:bookmarkEnd w:id="5255"/>
    <w:bookmarkStart w:name="z5264" w:id="5256"/>
    <w:p>
      <w:pPr>
        <w:spacing w:after="0"/>
        <w:ind w:left="0"/>
        <w:jc w:val="both"/>
      </w:pPr>
      <w:r>
        <w:rPr>
          <w:rFonts w:ascii="Times New Roman"/>
          <w:b w:val="false"/>
          <w:i w:val="false"/>
          <w:color w:val="000000"/>
          <w:sz w:val="28"/>
        </w:rPr>
        <w:t>
      3) для судна без грунта считается, что грунтовый трюм сообщается с забортной водой, то есть дверцы или клапаны открыты; расчет плеч статической и динамической остойчивости производится при постоянном водоизмещении (как для поврежденного судна).</w:t>
      </w:r>
    </w:p>
    <w:bookmarkEnd w:id="5256"/>
    <w:bookmarkStart w:name="z5265" w:id="5257"/>
    <w:p>
      <w:pPr>
        <w:spacing w:after="0"/>
        <w:ind w:left="0"/>
        <w:jc w:val="both"/>
      </w:pPr>
      <w:r>
        <w:rPr>
          <w:rFonts w:ascii="Times New Roman"/>
          <w:b w:val="false"/>
          <w:i w:val="false"/>
          <w:color w:val="000000"/>
          <w:sz w:val="28"/>
        </w:rPr>
        <w:t>
      1666. При расчете обледенения дноуглубительных судов горизонтальная проекция рабочих устройств добавляется к горизонтальной проекции палуб (проекция на ДП входит в площадь парусности). Момент по высоте от этой дополнительной ледовой нагрузки определяется по возвышению центра тяжести проекции устройства в рабочем или походном положении на диаметральную плоскость.</w:t>
      </w:r>
    </w:p>
    <w:bookmarkEnd w:id="5257"/>
    <w:bookmarkStart w:name="z5266" w:id="5258"/>
    <w:p>
      <w:pPr>
        <w:spacing w:after="0"/>
        <w:ind w:left="0"/>
        <w:jc w:val="left"/>
      </w:pPr>
      <w:r>
        <w:rPr>
          <w:rFonts w:ascii="Times New Roman"/>
          <w:b/>
          <w:i w:val="false"/>
          <w:color w:val="000000"/>
        </w:rPr>
        <w:t xml:space="preserve"> Параграф 5. Диаграмма статической остойчивости</w:t>
      </w:r>
    </w:p>
    <w:bookmarkEnd w:id="5258"/>
    <w:bookmarkStart w:name="z5267" w:id="5259"/>
    <w:p>
      <w:pPr>
        <w:spacing w:after="0"/>
        <w:ind w:left="0"/>
        <w:jc w:val="both"/>
      </w:pPr>
      <w:r>
        <w:rPr>
          <w:rFonts w:ascii="Times New Roman"/>
          <w:b w:val="false"/>
          <w:i w:val="false"/>
          <w:color w:val="000000"/>
          <w:sz w:val="28"/>
        </w:rPr>
        <w:t>
      1667. Диаграмма статической остойчивости трюмных земснарядов и грунтоотвозных шаланд при переходах и в рабочих условиях отвечает требованиям главы 95 настоящих Правил.</w:t>
      </w:r>
    </w:p>
    <w:bookmarkEnd w:id="5259"/>
    <w:bookmarkStart w:name="z5268" w:id="5260"/>
    <w:p>
      <w:pPr>
        <w:spacing w:after="0"/>
        <w:ind w:left="0"/>
        <w:jc w:val="both"/>
      </w:pPr>
      <w:r>
        <w:rPr>
          <w:rFonts w:ascii="Times New Roman"/>
          <w:b w:val="false"/>
          <w:i w:val="false"/>
          <w:color w:val="000000"/>
          <w:sz w:val="28"/>
        </w:rPr>
        <w:t>
      1668. Диаграмма статической остойчивости земснарядов, оборудованных черпаковой цепью, для всех вариантов нагрузки, указанных в параграфе 1 главы 104 настоящих Правил, а также при учете обледенения отвечает следующим требованиям:</w:t>
      </w:r>
    </w:p>
    <w:bookmarkEnd w:id="5260"/>
    <w:bookmarkStart w:name="z5269" w:id="5261"/>
    <w:p>
      <w:pPr>
        <w:spacing w:after="0"/>
        <w:ind w:left="0"/>
        <w:jc w:val="both"/>
      </w:pPr>
      <w:r>
        <w:rPr>
          <w:rFonts w:ascii="Times New Roman"/>
          <w:b w:val="false"/>
          <w:i w:val="false"/>
          <w:color w:val="000000"/>
          <w:sz w:val="28"/>
        </w:rPr>
        <w:t>
      1) угол заката диаграммы % должен быть не менее 50</w:t>
      </w:r>
      <w:r>
        <w:rPr>
          <w:rFonts w:ascii="Times New Roman"/>
          <w:b w:val="false"/>
          <w:i w:val="false"/>
          <w:color w:val="000000"/>
          <w:vertAlign w:val="superscript"/>
        </w:rPr>
        <w:t>о</w:t>
      </w:r>
      <w:r>
        <w:rPr>
          <w:rFonts w:ascii="Times New Roman"/>
          <w:b w:val="false"/>
          <w:i w:val="false"/>
          <w:color w:val="000000"/>
          <w:sz w:val="28"/>
        </w:rPr>
        <w:t>;</w:t>
      </w:r>
    </w:p>
    <w:bookmarkEnd w:id="5261"/>
    <w:bookmarkStart w:name="z5270" w:id="5262"/>
    <w:p>
      <w:pPr>
        <w:spacing w:after="0"/>
        <w:ind w:left="0"/>
        <w:jc w:val="both"/>
      </w:pPr>
      <w:r>
        <w:rPr>
          <w:rFonts w:ascii="Times New Roman"/>
          <w:b w:val="false"/>
          <w:i w:val="false"/>
          <w:color w:val="000000"/>
          <w:sz w:val="28"/>
        </w:rPr>
        <w:t>
      2) максимальное плечо диаграммы статической остойчивости при угле ит не менее 25</w:t>
      </w:r>
      <w:r>
        <w:rPr>
          <w:rFonts w:ascii="Times New Roman"/>
          <w:b w:val="false"/>
          <w:i w:val="false"/>
          <w:color w:val="000000"/>
          <w:vertAlign w:val="superscript"/>
        </w:rPr>
        <w:t>о</w:t>
      </w:r>
      <w:r>
        <w:rPr>
          <w:rFonts w:ascii="Times New Roman"/>
          <w:b w:val="false"/>
          <w:i w:val="false"/>
          <w:color w:val="000000"/>
          <w:sz w:val="28"/>
        </w:rPr>
        <w:t xml:space="preserve"> должно быть:</w:t>
      </w:r>
    </w:p>
    <w:bookmarkEnd w:id="5262"/>
    <w:bookmarkStart w:name="z5271" w:id="5263"/>
    <w:p>
      <w:pPr>
        <w:spacing w:after="0"/>
        <w:ind w:left="0"/>
        <w:jc w:val="both"/>
      </w:pPr>
      <w:r>
        <w:rPr>
          <w:rFonts w:ascii="Times New Roman"/>
          <w:b w:val="false"/>
          <w:i w:val="false"/>
          <w:color w:val="000000"/>
          <w:sz w:val="28"/>
        </w:rPr>
        <w:t>
      при работе судна в зоне 1 — не менее 0,25 м;</w:t>
      </w:r>
    </w:p>
    <w:bookmarkEnd w:id="5263"/>
    <w:bookmarkStart w:name="z5272" w:id="5264"/>
    <w:p>
      <w:pPr>
        <w:spacing w:after="0"/>
        <w:ind w:left="0"/>
        <w:jc w:val="both"/>
      </w:pPr>
      <w:r>
        <w:rPr>
          <w:rFonts w:ascii="Times New Roman"/>
          <w:b w:val="false"/>
          <w:i w:val="false"/>
          <w:color w:val="000000"/>
          <w:sz w:val="28"/>
        </w:rPr>
        <w:t>
      при переходах, перегонах и при работе в зоне 2 — не менее 0,4 м.</w:t>
      </w:r>
    </w:p>
    <w:bookmarkEnd w:id="5264"/>
    <w:bookmarkStart w:name="z5273" w:id="5265"/>
    <w:p>
      <w:pPr>
        <w:spacing w:after="0"/>
        <w:ind w:left="0"/>
        <w:jc w:val="both"/>
      </w:pPr>
      <w:r>
        <w:rPr>
          <w:rFonts w:ascii="Times New Roman"/>
          <w:b w:val="false"/>
          <w:i w:val="false"/>
          <w:color w:val="000000"/>
          <w:sz w:val="28"/>
        </w:rPr>
        <w:t xml:space="preserve">
      1669. Для земснарядов, оборудованных черпаковой цепью и имеющих отношение </w:t>
      </w:r>
      <w:r>
        <w:rPr>
          <w:rFonts w:ascii="Times New Roman"/>
          <w:b w:val="false"/>
          <w:i/>
          <w:color w:val="000000"/>
          <w:sz w:val="28"/>
        </w:rPr>
        <w:t>B/D</w:t>
      </w:r>
      <w:r>
        <w:rPr>
          <w:rFonts w:ascii="Times New Roman"/>
          <w:b w:val="false"/>
          <w:i w:val="false"/>
          <w:color w:val="000000"/>
          <w:sz w:val="28"/>
        </w:rPr>
        <w:t xml:space="preserve"> &gt; 2,5, допускается снижение углов </w:t>
      </w:r>
    </w:p>
    <w:bookmarkEnd w:id="5265"/>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и Ө</w:t>
      </w:r>
      <w:r>
        <w:rPr>
          <w:rFonts w:ascii="Times New Roman"/>
          <w:b w:val="false"/>
          <w:i w:val="false"/>
          <w:color w:val="000000"/>
          <w:vertAlign w:val="subscript"/>
        </w:rPr>
        <w:t>m</w:t>
      </w:r>
      <w:r>
        <w:rPr>
          <w:rFonts w:ascii="Times New Roman"/>
          <w:b w:val="false"/>
          <w:i w:val="false"/>
          <w:color w:val="000000"/>
          <w:sz w:val="28"/>
        </w:rPr>
        <w:t xml:space="preserve"> по сравнению с требуемыми пункта 1868 настоящих Правил:</w:t>
      </w:r>
      <w:r>
        <w:br/>
      </w:r>
      <w:r>
        <w:rPr>
          <w:rFonts w:ascii="Times New Roman"/>
          <w:b w:val="false"/>
          <w:i w:val="false"/>
          <w:color w:val="000000"/>
          <w:sz w:val="28"/>
        </w:rPr>
        <w:t>
</w:t>
      </w:r>
    </w:p>
    <w:bookmarkStart w:name="z5274" w:id="5266"/>
    <w:p>
      <w:pPr>
        <w:spacing w:after="0"/>
        <w:ind w:left="0"/>
        <w:jc w:val="both"/>
      </w:pPr>
      <w:r>
        <w:rPr>
          <w:rFonts w:ascii="Times New Roman"/>
          <w:b w:val="false"/>
          <w:i w:val="false"/>
          <w:color w:val="000000"/>
          <w:sz w:val="28"/>
        </w:rPr>
        <w:t xml:space="preserve">
      1) для угла заката — на величину дин, определяемую по следующей формуле в зависимости от отношения </w:t>
      </w:r>
      <w:r>
        <w:rPr>
          <w:rFonts w:ascii="Times New Roman"/>
          <w:b w:val="false"/>
          <w:i/>
          <w:color w:val="000000"/>
          <w:sz w:val="28"/>
        </w:rPr>
        <w:t>B/D</w:t>
      </w:r>
      <w:r>
        <w:rPr>
          <w:rFonts w:ascii="Times New Roman"/>
          <w:b w:val="false"/>
          <w:i w:val="false"/>
          <w:color w:val="000000"/>
          <w:sz w:val="28"/>
        </w:rPr>
        <w:t xml:space="preserve"> и критерия погоды при условии, что на каждый 1</w:t>
      </w:r>
      <w:r>
        <w:rPr>
          <w:rFonts w:ascii="Times New Roman"/>
          <w:b w:val="false"/>
          <w:i w:val="false"/>
          <w:color w:val="000000"/>
          <w:vertAlign w:val="superscript"/>
        </w:rPr>
        <w:t>О</w:t>
      </w:r>
      <w:r>
        <w:rPr>
          <w:rFonts w:ascii="Times New Roman"/>
          <w:b w:val="false"/>
          <w:i w:val="false"/>
          <w:color w:val="000000"/>
          <w:sz w:val="28"/>
        </w:rPr>
        <w:t xml:space="preserve"> уменьшения приходится 0,01 м увеличения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от своего нормативного значения:</w:t>
      </w:r>
    </w:p>
    <w:bookmarkEnd w:id="52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114300" cy="254000"/>
                    </a:xfrm>
                    <a:prstGeom prst="rect">
                      <a:avLst/>
                    </a:prstGeom>
                  </pic:spPr>
                </pic:pic>
              </a:graphicData>
            </a:graphic>
          </wp:inline>
        </w:drawing>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25</w:t>
      </w:r>
      <w:r>
        <w:rPr>
          <w:rFonts w:ascii="Times New Roman"/>
          <w:b w:val="false"/>
          <w:i w:val="false"/>
          <w:color w:val="000000"/>
          <w:vertAlign w:val="superscript"/>
        </w:rPr>
        <w:t>О</w:t>
      </w:r>
      <w:r>
        <w:rPr>
          <w:rFonts w:ascii="Times New Roman"/>
          <w:b w:val="false"/>
          <w:i w:val="false"/>
          <w:color w:val="000000"/>
          <w:sz w:val="28"/>
        </w:rPr>
        <w:t>(</w:t>
      </w:r>
      <w:r>
        <w:rPr>
          <w:rFonts w:ascii="Times New Roman"/>
          <w:b w:val="false"/>
          <w:i/>
          <w:color w:val="000000"/>
          <w:sz w:val="28"/>
        </w:rPr>
        <w:t>B/D</w:t>
      </w:r>
      <w:r>
        <w:rPr>
          <w:rFonts w:ascii="Times New Roman"/>
          <w:b w:val="false"/>
          <w:i w:val="false"/>
          <w:color w:val="000000"/>
          <w:sz w:val="28"/>
        </w:rPr>
        <w:t xml:space="preserve"> – 2,5)(</w:t>
      </w:r>
      <w:r>
        <w:rPr>
          <w:rFonts w:ascii="Times New Roman"/>
          <w:b w:val="false"/>
          <w:i/>
          <w:color w:val="000000"/>
          <w:sz w:val="28"/>
        </w:rPr>
        <w:t>K</w:t>
      </w:r>
      <w:r>
        <w:rPr>
          <w:rFonts w:ascii="Times New Roman"/>
          <w:b w:val="false"/>
          <w:i w:val="false"/>
          <w:color w:val="000000"/>
          <w:sz w:val="28"/>
        </w:rPr>
        <w:t xml:space="preserve"> – 1).             (616)</w:t>
      </w:r>
      <w:r>
        <w:br/>
      </w:r>
      <w:r>
        <w:rPr>
          <w:rFonts w:ascii="Times New Roman"/>
          <w:b w:val="false"/>
          <w:i w:val="false"/>
          <w:color w:val="000000"/>
          <w:sz w:val="28"/>
        </w:rPr>
        <w:t>
</w:t>
      </w:r>
    </w:p>
    <w:bookmarkStart w:name="z5275" w:id="5267"/>
    <w:p>
      <w:pPr>
        <w:spacing w:after="0"/>
        <w:ind w:left="0"/>
        <w:jc w:val="both"/>
      </w:pPr>
      <w:r>
        <w:rPr>
          <w:rFonts w:ascii="Times New Roman"/>
          <w:b w:val="false"/>
          <w:i w:val="false"/>
          <w:color w:val="000000"/>
          <w:sz w:val="28"/>
        </w:rPr>
        <w:t xml:space="preserve">
      Для </w:t>
      </w:r>
      <w:r>
        <w:rPr>
          <w:rFonts w:ascii="Times New Roman"/>
          <w:b w:val="false"/>
          <w:i/>
          <w:color w:val="000000"/>
          <w:sz w:val="28"/>
        </w:rPr>
        <w:t>B/D</w:t>
      </w:r>
      <w:r>
        <w:rPr>
          <w:rFonts w:ascii="Times New Roman"/>
          <w:b w:val="false"/>
          <w:i w:val="false"/>
          <w:color w:val="000000"/>
          <w:sz w:val="28"/>
        </w:rPr>
        <w:t xml:space="preserve"> &gt; 3,0 принимается </w:t>
      </w:r>
      <w:r>
        <w:rPr>
          <w:rFonts w:ascii="Times New Roman"/>
          <w:b w:val="false"/>
          <w:i/>
          <w:color w:val="000000"/>
          <w:sz w:val="28"/>
        </w:rPr>
        <w:t>B/D</w:t>
      </w:r>
      <w:r>
        <w:rPr>
          <w:rFonts w:ascii="Times New Roman"/>
          <w:b w:val="false"/>
          <w:i w:val="false"/>
          <w:color w:val="000000"/>
          <w:sz w:val="28"/>
        </w:rPr>
        <w:t xml:space="preserve"> = 3,0 и для </w:t>
      </w:r>
      <w:r>
        <w:rPr>
          <w:rFonts w:ascii="Times New Roman"/>
          <w:b w:val="false"/>
          <w:i/>
          <w:color w:val="000000"/>
          <w:sz w:val="28"/>
        </w:rPr>
        <w:t>K</w:t>
      </w:r>
      <w:r>
        <w:rPr>
          <w:rFonts w:ascii="Times New Roman"/>
          <w:b w:val="false"/>
          <w:i w:val="false"/>
          <w:color w:val="000000"/>
          <w:sz w:val="28"/>
        </w:rPr>
        <w:t xml:space="preserve"> &gt; 1,5 принимается </w:t>
      </w:r>
      <w:r>
        <w:rPr>
          <w:rFonts w:ascii="Times New Roman"/>
          <w:b w:val="false"/>
          <w:i/>
          <w:color w:val="000000"/>
          <w:sz w:val="28"/>
        </w:rPr>
        <w:t>K</w:t>
      </w:r>
      <w:r>
        <w:rPr>
          <w:rFonts w:ascii="Times New Roman"/>
          <w:b w:val="false"/>
          <w:i w:val="false"/>
          <w:color w:val="000000"/>
          <w:sz w:val="28"/>
        </w:rPr>
        <w:t xml:space="preserve"> = 1,5. Величина </w:t>
      </w:r>
    </w:p>
    <w:bookmarkEnd w:id="5267"/>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114300" cy="254000"/>
                    </a:xfrm>
                    <a:prstGeom prst="rect">
                      <a:avLst/>
                    </a:prstGeom>
                  </pic:spPr>
                </pic:pic>
              </a:graphicData>
            </a:graphic>
          </wp:inline>
        </w:drawing>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округляется до целого числа;</w:t>
      </w:r>
      <w:r>
        <w:br/>
      </w:r>
      <w:r>
        <w:rPr>
          <w:rFonts w:ascii="Times New Roman"/>
          <w:b w:val="false"/>
          <w:i w:val="false"/>
          <w:color w:val="000000"/>
          <w:sz w:val="28"/>
        </w:rPr>
        <w:t>
</w:t>
      </w:r>
    </w:p>
    <w:bookmarkStart w:name="z5276" w:id="5268"/>
    <w:p>
      <w:pPr>
        <w:spacing w:after="0"/>
        <w:ind w:left="0"/>
        <w:jc w:val="both"/>
      </w:pPr>
      <w:r>
        <w:rPr>
          <w:rFonts w:ascii="Times New Roman"/>
          <w:b w:val="false"/>
          <w:i w:val="false"/>
          <w:color w:val="000000"/>
          <w:sz w:val="28"/>
        </w:rPr>
        <w:t>
      2) для угла, соответствующего наибольшему плечу диаграммы, — на величину, равную половине уменьшения угла заката;</w:t>
      </w:r>
    </w:p>
    <w:bookmarkEnd w:id="5268"/>
    <w:bookmarkStart w:name="z5277" w:id="5269"/>
    <w:p>
      <w:pPr>
        <w:spacing w:after="0"/>
        <w:ind w:left="0"/>
        <w:jc w:val="both"/>
      </w:pPr>
      <w:r>
        <w:rPr>
          <w:rFonts w:ascii="Times New Roman"/>
          <w:b w:val="false"/>
          <w:i w:val="false"/>
          <w:color w:val="000000"/>
          <w:sz w:val="28"/>
        </w:rPr>
        <w:t>
      3) для земснарядов неограниченного района плавания снижение углов Ө</w:t>
      </w:r>
      <w:r>
        <w:rPr>
          <w:rFonts w:ascii="Times New Roman"/>
          <w:b w:val="false"/>
          <w:i w:val="false"/>
          <w:color w:val="000000"/>
          <w:vertAlign w:val="subscript"/>
        </w:rPr>
        <w:t>m</w:t>
      </w:r>
      <w:r>
        <w:rPr>
          <w:rFonts w:ascii="Times New Roman"/>
          <w:b w:val="false"/>
          <w:i w:val="false"/>
          <w:color w:val="000000"/>
          <w:sz w:val="28"/>
        </w:rPr>
        <w:t xml:space="preserve"> и </w:t>
      </w:r>
    </w:p>
    <w:bookmarkEnd w:id="5269"/>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не допускается.</w:t>
      </w:r>
      <w:r>
        <w:br/>
      </w:r>
      <w:r>
        <w:rPr>
          <w:rFonts w:ascii="Times New Roman"/>
          <w:b w:val="false"/>
          <w:i w:val="false"/>
          <w:color w:val="000000"/>
          <w:sz w:val="28"/>
        </w:rPr>
        <w:t>
</w:t>
      </w:r>
    </w:p>
    <w:bookmarkStart w:name="z5278" w:id="5270"/>
    <w:p>
      <w:pPr>
        <w:spacing w:after="0"/>
        <w:ind w:left="0"/>
        <w:jc w:val="left"/>
      </w:pPr>
      <w:r>
        <w:rPr>
          <w:rFonts w:ascii="Times New Roman"/>
          <w:b/>
          <w:i w:val="false"/>
          <w:color w:val="000000"/>
        </w:rPr>
        <w:t xml:space="preserve"> Глава 105. Суда длиной менее 24 метра</w:t>
      </w:r>
    </w:p>
    <w:bookmarkEnd w:id="5270"/>
    <w:p>
      <w:pPr>
        <w:spacing w:after="0"/>
        <w:ind w:left="0"/>
        <w:jc w:val="both"/>
      </w:pPr>
      <w:r>
        <w:rPr>
          <w:rFonts w:ascii="Times New Roman"/>
          <w:b w:val="false"/>
          <w:i w:val="false"/>
          <w:color w:val="ff0000"/>
          <w:sz w:val="28"/>
        </w:rPr>
        <w:t xml:space="preserve">
      Сноска. Заголовок главы 105 -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79" w:id="5271"/>
    <w:p>
      <w:pPr>
        <w:spacing w:after="0"/>
        <w:ind w:left="0"/>
        <w:jc w:val="both"/>
      </w:pPr>
      <w:r>
        <w:rPr>
          <w:rFonts w:ascii="Times New Roman"/>
          <w:b w:val="false"/>
          <w:i w:val="false"/>
          <w:color w:val="000000"/>
          <w:sz w:val="28"/>
        </w:rPr>
        <w:t>
      1670. При расчете плеч остойчивости формы допускается учитывать только рубки первого яруса, отвечающие требованиям подпункта 1) пункта 1493 настоящих Правил и имеющие либо дополнительный выход на вышележащую палубу, либо выходы на оба борта.</w:t>
      </w:r>
    </w:p>
    <w:bookmarkEnd w:id="5271"/>
    <w:bookmarkStart w:name="z5280" w:id="5272"/>
    <w:p>
      <w:pPr>
        <w:spacing w:after="0"/>
        <w:ind w:left="0"/>
        <w:jc w:val="both"/>
      </w:pPr>
      <w:r>
        <w:rPr>
          <w:rFonts w:ascii="Times New Roman"/>
          <w:b w:val="false"/>
          <w:i w:val="false"/>
          <w:color w:val="000000"/>
          <w:sz w:val="28"/>
        </w:rPr>
        <w:t>
      1671. Остойчивость по критерию погоды не проверяется. Однако эксплуатация судов допускается с ограничениями по удаленности от места убежища и условиям волнения.</w:t>
      </w:r>
    </w:p>
    <w:bookmarkEnd w:id="5272"/>
    <w:bookmarkStart w:name="z5281" w:id="5273"/>
    <w:p>
      <w:pPr>
        <w:spacing w:after="0"/>
        <w:ind w:left="0"/>
        <w:jc w:val="both"/>
      </w:pPr>
      <w:r>
        <w:rPr>
          <w:rFonts w:ascii="Times New Roman"/>
          <w:b w:val="false"/>
          <w:i w:val="false"/>
          <w:color w:val="000000"/>
          <w:sz w:val="28"/>
        </w:rPr>
        <w:t>
      Для судов малых размерений устанавливают и указывают в Информации ограничения по району и условиям плавания:</w:t>
      </w:r>
    </w:p>
    <w:bookmarkEnd w:id="5273"/>
    <w:bookmarkStart w:name="z5282" w:id="5274"/>
    <w:p>
      <w:pPr>
        <w:spacing w:after="0"/>
        <w:ind w:left="0"/>
        <w:jc w:val="both"/>
      </w:pPr>
      <w:r>
        <w:rPr>
          <w:rFonts w:ascii="Times New Roman"/>
          <w:b w:val="false"/>
          <w:i w:val="false"/>
          <w:color w:val="000000"/>
          <w:sz w:val="28"/>
        </w:rPr>
        <w:t>
      1) судам длиной менее 15 м и пассажирским судам длиной менее 24 м возможно установление ограниченного района плавания R3,</w:t>
      </w:r>
    </w:p>
    <w:bookmarkEnd w:id="5274"/>
    <w:bookmarkStart w:name="z5283" w:id="5275"/>
    <w:p>
      <w:pPr>
        <w:spacing w:after="0"/>
        <w:ind w:left="0"/>
        <w:jc w:val="both"/>
      </w:pPr>
      <w:r>
        <w:rPr>
          <w:rFonts w:ascii="Times New Roman"/>
          <w:b w:val="false"/>
          <w:i w:val="false"/>
          <w:color w:val="000000"/>
          <w:sz w:val="28"/>
        </w:rPr>
        <w:t>
      судам длиной от 15 до 20 м, за исключением пассажирских, возможно установление района плавания не выше ограниченного R2,</w:t>
      </w:r>
    </w:p>
    <w:bookmarkEnd w:id="5275"/>
    <w:bookmarkStart w:name="z5284" w:id="5276"/>
    <w:p>
      <w:pPr>
        <w:spacing w:after="0"/>
        <w:ind w:left="0"/>
        <w:jc w:val="both"/>
      </w:pPr>
      <w:r>
        <w:rPr>
          <w:rFonts w:ascii="Times New Roman"/>
          <w:b w:val="false"/>
          <w:i w:val="false"/>
          <w:color w:val="000000"/>
          <w:sz w:val="28"/>
        </w:rPr>
        <w:t>
      судам длиной от 20 до 24 м, за исключением пассажирских, возможно установление района плавания не выше ограниченного R1;</w:t>
      </w:r>
    </w:p>
    <w:bookmarkEnd w:id="5276"/>
    <w:bookmarkStart w:name="z5285" w:id="5277"/>
    <w:p>
      <w:pPr>
        <w:spacing w:after="0"/>
        <w:ind w:left="0"/>
        <w:jc w:val="both"/>
      </w:pPr>
      <w:r>
        <w:rPr>
          <w:rFonts w:ascii="Times New Roman"/>
          <w:b w:val="false"/>
          <w:i w:val="false"/>
          <w:color w:val="000000"/>
          <w:sz w:val="28"/>
        </w:rPr>
        <w:t>
      2) непассажирским судам длиной менее 15 м разрешается выход и нахождение в море при интенсивности волнения не более 4 баллов, судам длиной от 15 до 20 м — не более 5 баллов; судам длиной от 20 до 24 м — не более 6 баллов;</w:t>
      </w:r>
    </w:p>
    <w:bookmarkEnd w:id="5277"/>
    <w:bookmarkStart w:name="z5286" w:id="5278"/>
    <w:p>
      <w:pPr>
        <w:spacing w:after="0"/>
        <w:ind w:left="0"/>
        <w:jc w:val="both"/>
      </w:pPr>
      <w:r>
        <w:rPr>
          <w:rFonts w:ascii="Times New Roman"/>
          <w:b w:val="false"/>
          <w:i w:val="false"/>
          <w:color w:val="000000"/>
          <w:sz w:val="28"/>
        </w:rPr>
        <w:t>
      3) пассажирским судам длиной менее 20 м разрешается выход и нахождение в море при интенсивности волнения не более 3 баллов; судам длиной от 20 до 24 м — не более 4 баллов;</w:t>
      </w:r>
    </w:p>
    <w:bookmarkEnd w:id="5278"/>
    <w:bookmarkStart w:name="z5287" w:id="5279"/>
    <w:p>
      <w:pPr>
        <w:spacing w:after="0"/>
        <w:ind w:left="0"/>
        <w:jc w:val="both"/>
      </w:pPr>
      <w:r>
        <w:rPr>
          <w:rFonts w:ascii="Times New Roman"/>
          <w:b w:val="false"/>
          <w:i w:val="false"/>
          <w:color w:val="000000"/>
          <w:sz w:val="28"/>
        </w:rPr>
        <w:t>
      4) с учетом остойчивости и мореходности судов и в зависимости от надежности обеспечения района эксплуатации метеорологическими прогнозами и наличия опыта эксплуатации в том же районе судов подобного типа и аналогичных или близких размерений Регистр судоходства изменяет ограничения по району плавания и допустимой интенсивности волнения, приведенные в подпунктах 1) – 3) настоящего пункта;</w:t>
      </w:r>
    </w:p>
    <w:bookmarkEnd w:id="5279"/>
    <w:bookmarkStart w:name="z5288" w:id="5280"/>
    <w:p>
      <w:pPr>
        <w:spacing w:after="0"/>
        <w:ind w:left="0"/>
        <w:jc w:val="both"/>
      </w:pPr>
      <w:r>
        <w:rPr>
          <w:rFonts w:ascii="Times New Roman"/>
          <w:b w:val="false"/>
          <w:i w:val="false"/>
          <w:color w:val="000000"/>
          <w:sz w:val="28"/>
        </w:rPr>
        <w:t>
      5) при установлении предельно допустимой интенсивности волнения для малых судов, базирующихся на судах-носителях (например, малых рыболовных судов-ловцов, транспортируемых плавбазой), помимо указанного в подпунктах 2) и 3) настоящего пункта, учитывается предельная интенсивность волнения, при которой возможен их безопасный подъем на борт судна-носителя;</w:t>
      </w:r>
    </w:p>
    <w:bookmarkEnd w:id="5280"/>
    <w:bookmarkStart w:name="z5289" w:id="5281"/>
    <w:p>
      <w:pPr>
        <w:spacing w:after="0"/>
        <w:ind w:left="0"/>
        <w:jc w:val="both"/>
      </w:pPr>
      <w:r>
        <w:rPr>
          <w:rFonts w:ascii="Times New Roman"/>
          <w:b w:val="false"/>
          <w:i w:val="false"/>
          <w:color w:val="000000"/>
          <w:sz w:val="28"/>
        </w:rPr>
        <w:t>
      6) в зонах особого режима волнения вводится по усмотрению Регистра судоходства дополнительные ограничения.</w:t>
      </w:r>
    </w:p>
    <w:bookmarkEnd w:id="5281"/>
    <w:bookmarkStart w:name="z5290" w:id="5282"/>
    <w:p>
      <w:pPr>
        <w:spacing w:after="0"/>
        <w:ind w:left="0"/>
        <w:jc w:val="both"/>
      </w:pPr>
      <w:r>
        <w:rPr>
          <w:rFonts w:ascii="Times New Roman"/>
          <w:b w:val="false"/>
          <w:i w:val="false"/>
          <w:color w:val="000000"/>
          <w:sz w:val="28"/>
        </w:rPr>
        <w:t>
      К зонам особого режима волнения относятся:</w:t>
      </w:r>
    </w:p>
    <w:bookmarkEnd w:id="5282"/>
    <w:bookmarkStart w:name="z5291" w:id="5283"/>
    <w:p>
      <w:pPr>
        <w:spacing w:after="0"/>
        <w:ind w:left="0"/>
        <w:jc w:val="both"/>
      </w:pPr>
      <w:r>
        <w:rPr>
          <w:rFonts w:ascii="Times New Roman"/>
          <w:b w:val="false"/>
          <w:i w:val="false"/>
          <w:color w:val="000000"/>
          <w:sz w:val="28"/>
        </w:rPr>
        <w:t>
      зоны прибойного (разрушающегося) волнения;</w:t>
      </w:r>
    </w:p>
    <w:bookmarkEnd w:id="5283"/>
    <w:bookmarkStart w:name="z5292" w:id="5284"/>
    <w:p>
      <w:pPr>
        <w:spacing w:after="0"/>
        <w:ind w:left="0"/>
        <w:jc w:val="both"/>
      </w:pPr>
      <w:r>
        <w:rPr>
          <w:rFonts w:ascii="Times New Roman"/>
          <w:b w:val="false"/>
          <w:i w:val="false"/>
          <w:color w:val="000000"/>
          <w:sz w:val="28"/>
        </w:rPr>
        <w:t>
      зоны местного резкого увеличения высоты и крутизны волн (бары в устьях рек, волнение, именуемое "толчеей").</w:t>
      </w:r>
    </w:p>
    <w:bookmarkEnd w:id="5284"/>
    <w:bookmarkStart w:name="z5293" w:id="5285"/>
    <w:p>
      <w:pPr>
        <w:spacing w:after="0"/>
        <w:ind w:left="0"/>
        <w:jc w:val="both"/>
      </w:pPr>
      <w:r>
        <w:rPr>
          <w:rFonts w:ascii="Times New Roman"/>
          <w:b w:val="false"/>
          <w:i w:val="false"/>
          <w:color w:val="000000"/>
          <w:sz w:val="28"/>
        </w:rPr>
        <w:t>
      Зоны особых режимов волнения устанавливаются по данным местных гидрометеорологических и гидрографических учреждений.</w:t>
      </w:r>
    </w:p>
    <w:bookmarkEnd w:id="5285"/>
    <w:bookmarkStart w:name="z5294" w:id="5286"/>
    <w:p>
      <w:pPr>
        <w:spacing w:after="0"/>
        <w:ind w:left="0"/>
        <w:jc w:val="both"/>
      </w:pPr>
      <w:r>
        <w:rPr>
          <w:rFonts w:ascii="Times New Roman"/>
          <w:b w:val="false"/>
          <w:i w:val="false"/>
          <w:color w:val="000000"/>
          <w:sz w:val="28"/>
        </w:rPr>
        <w:t xml:space="preserve">
      1672. Для судов с </w:t>
      </w:r>
      <w:r>
        <w:rPr>
          <w:rFonts w:ascii="Times New Roman"/>
          <w:b w:val="false"/>
          <w:i/>
          <w:color w:val="000000"/>
          <w:sz w:val="28"/>
        </w:rPr>
        <w:t>B/D</w:t>
      </w:r>
      <w:r>
        <w:rPr>
          <w:rFonts w:ascii="Times New Roman"/>
          <w:b w:val="false"/>
          <w:i w:val="false"/>
          <w:color w:val="000000"/>
          <w:sz w:val="28"/>
        </w:rPr>
        <w:t xml:space="preserve"> &gt; 2 допускаемое уменьшение угла заката определяется по формуле (602) для постоянного значения </w:t>
      </w:r>
      <w:r>
        <w:rPr>
          <w:rFonts w:ascii="Times New Roman"/>
          <w:b w:val="false"/>
          <w:i/>
          <w:color w:val="000000"/>
          <w:sz w:val="28"/>
        </w:rPr>
        <w:t>K</w:t>
      </w:r>
      <w:r>
        <w:rPr>
          <w:rFonts w:ascii="Times New Roman"/>
          <w:b w:val="false"/>
          <w:i w:val="false"/>
          <w:color w:val="000000"/>
          <w:sz w:val="28"/>
        </w:rPr>
        <w:t xml:space="preserve"> = 1,5.</w:t>
      </w:r>
    </w:p>
    <w:bookmarkEnd w:id="5286"/>
    <w:bookmarkStart w:name="z5295" w:id="5287"/>
    <w:p>
      <w:pPr>
        <w:spacing w:after="0"/>
        <w:ind w:left="0"/>
        <w:jc w:val="both"/>
      </w:pPr>
      <w:r>
        <w:rPr>
          <w:rFonts w:ascii="Times New Roman"/>
          <w:b w:val="false"/>
          <w:i w:val="false"/>
          <w:color w:val="000000"/>
          <w:sz w:val="28"/>
        </w:rPr>
        <w:t>
      1673. Обрыв диаграммы статической остойчивости при угле заливания, разрешаемый пунктом 1567 настоящих Правил, при углах крена менее 40</w:t>
      </w:r>
      <w:r>
        <w:rPr>
          <w:rFonts w:ascii="Times New Roman"/>
          <w:b w:val="false"/>
          <w:i w:val="false"/>
          <w:color w:val="000000"/>
          <w:vertAlign w:val="superscript"/>
        </w:rPr>
        <w:t>о</w:t>
      </w:r>
      <w:r>
        <w:rPr>
          <w:rFonts w:ascii="Times New Roman"/>
          <w:b w:val="false"/>
          <w:i w:val="false"/>
          <w:color w:val="000000"/>
          <w:sz w:val="28"/>
        </w:rPr>
        <w:t xml:space="preserve"> не допускается.</w:t>
      </w:r>
    </w:p>
    <w:bookmarkEnd w:id="5287"/>
    <w:bookmarkStart w:name="z5296" w:id="5288"/>
    <w:p>
      <w:pPr>
        <w:spacing w:after="0"/>
        <w:ind w:left="0"/>
        <w:jc w:val="both"/>
      </w:pPr>
      <w:r>
        <w:rPr>
          <w:rFonts w:ascii="Times New Roman"/>
          <w:b w:val="false"/>
          <w:i w:val="false"/>
          <w:color w:val="000000"/>
          <w:sz w:val="28"/>
        </w:rPr>
        <w:t>
      1674. Диаграмма статической остойчивости рыболовного судна в условиях промысла при варианте нагрузки, указанном в пункте 1624 настоящих Правил, может не отвечать требованиям пункта 1564 настоящих Правил к максимальному плечу и пункта 1567 настоящих Правил к условному углу заката. Максимальное плечо диаграммы статической остойчивости при этом варианте нагрузки равен не менее 0,2 м.</w:t>
      </w:r>
    </w:p>
    <w:bookmarkEnd w:id="5288"/>
    <w:bookmarkStart w:name="z5297" w:id="5289"/>
    <w:p>
      <w:pPr>
        <w:spacing w:after="0"/>
        <w:ind w:left="0"/>
        <w:jc w:val="both"/>
      </w:pPr>
      <w:r>
        <w:rPr>
          <w:rFonts w:ascii="Times New Roman"/>
          <w:b w:val="false"/>
          <w:i w:val="false"/>
          <w:color w:val="000000"/>
          <w:sz w:val="28"/>
        </w:rPr>
        <w:t>
      1675. Исправленная начальная метацентрическая высота при всех вариантах нагрузки равна не менее 0,5 м, за исключением "судна порожнем" (пункт 1569 настоящих Правил) и рыболовных судов при варианте нагрузки в пункте 1624 настоящих Правил, для которых она - не менее 0,35 м.</w:t>
      </w:r>
    </w:p>
    <w:bookmarkEnd w:id="5289"/>
    <w:bookmarkStart w:name="z5298" w:id="5290"/>
    <w:p>
      <w:pPr>
        <w:spacing w:after="0"/>
        <w:ind w:left="0"/>
        <w:jc w:val="both"/>
      </w:pPr>
      <w:r>
        <w:rPr>
          <w:rFonts w:ascii="Times New Roman"/>
          <w:b w:val="false"/>
          <w:i w:val="false"/>
          <w:color w:val="000000"/>
          <w:sz w:val="28"/>
        </w:rPr>
        <w:t>
      1676. Начальная остойчивость рыболовных судов, выбирающих сети и улов при помощи грузовых стрел, (в том числе при варианте нагрузки пункта 1624 настоящих Правил) достаточной для того, чтобы угол статического крена судна при работе с сетями и грузовой стрелой при максимальном возможном вылете стрелы не превысил 10</w:t>
      </w:r>
      <w:r>
        <w:rPr>
          <w:rFonts w:ascii="Times New Roman"/>
          <w:b w:val="false"/>
          <w:i w:val="false"/>
          <w:color w:val="000000"/>
          <w:vertAlign w:val="superscript"/>
        </w:rPr>
        <w:t>о</w:t>
      </w:r>
      <w:r>
        <w:rPr>
          <w:rFonts w:ascii="Times New Roman"/>
          <w:b w:val="false"/>
          <w:i w:val="false"/>
          <w:color w:val="000000"/>
          <w:sz w:val="28"/>
        </w:rPr>
        <w:t xml:space="preserve"> или угла, при котором палуба входит в воду (смотря по тому, что меньше).</w:t>
      </w:r>
    </w:p>
    <w:bookmarkEnd w:id="5290"/>
    <w:bookmarkStart w:name="z5299" w:id="5291"/>
    <w:p>
      <w:pPr>
        <w:spacing w:after="0"/>
        <w:ind w:left="0"/>
        <w:jc w:val="both"/>
      </w:pPr>
      <w:r>
        <w:rPr>
          <w:rFonts w:ascii="Times New Roman"/>
          <w:b w:val="false"/>
          <w:i w:val="false"/>
          <w:color w:val="000000"/>
          <w:sz w:val="28"/>
        </w:rPr>
        <w:t>
      1677. Эксплуатация судов в условиях возможного обледенения, как правило, не допускается.</w:t>
      </w:r>
    </w:p>
    <w:bookmarkEnd w:id="5291"/>
    <w:bookmarkStart w:name="z5300" w:id="5292"/>
    <w:p>
      <w:pPr>
        <w:spacing w:after="0"/>
        <w:ind w:left="0"/>
        <w:jc w:val="both"/>
      </w:pPr>
      <w:r>
        <w:rPr>
          <w:rFonts w:ascii="Times New Roman"/>
          <w:b w:val="false"/>
          <w:i w:val="false"/>
          <w:color w:val="000000"/>
          <w:sz w:val="28"/>
        </w:rPr>
        <w:t>
      Если по роду работы и назначению нельзя полностью исключить возможность попадания судов в условия обледенения, числовые значения начальной метацентрической высоты и других параметров диаграмм статической остойчивости, построенных с учетом обледенения, не менее указанных в главе 95, пунктах 1672, 1673 и 1675 настоящих Правил.</w:t>
      </w:r>
    </w:p>
    <w:bookmarkEnd w:id="5292"/>
    <w:bookmarkStart w:name="z5301" w:id="5293"/>
    <w:p>
      <w:pPr>
        <w:spacing w:after="0"/>
        <w:ind w:left="0"/>
        <w:jc w:val="both"/>
      </w:pPr>
      <w:r>
        <w:rPr>
          <w:rFonts w:ascii="Times New Roman"/>
          <w:b w:val="false"/>
          <w:i w:val="false"/>
          <w:color w:val="000000"/>
          <w:sz w:val="28"/>
        </w:rPr>
        <w:t>
      1678. В Информацию об остойчивости вносят указания о допустимых скорости судна и угле перекладки руля на циркуляции. Допустимые скорость и угол перекладки руля при выходе на циркуляцию определяются опытным путем во время сдаточных испытаний головных судов из условия, что крен судна на установившейся циркуляции не превышает:</w:t>
      </w:r>
    </w:p>
    <w:bookmarkEnd w:id="5293"/>
    <w:bookmarkStart w:name="z5302" w:id="5294"/>
    <w:p>
      <w:pPr>
        <w:spacing w:after="0"/>
        <w:ind w:left="0"/>
        <w:jc w:val="both"/>
      </w:pPr>
      <w:r>
        <w:rPr>
          <w:rFonts w:ascii="Times New Roman"/>
          <w:b w:val="false"/>
          <w:i w:val="false"/>
          <w:color w:val="000000"/>
          <w:sz w:val="28"/>
        </w:rPr>
        <w:t>
      1) для непассажирских судов — угла, при котором палуба надводного борта входит в воду, или 12</w:t>
      </w:r>
      <w:r>
        <w:rPr>
          <w:rFonts w:ascii="Times New Roman"/>
          <w:b w:val="false"/>
          <w:i w:val="false"/>
          <w:color w:val="000000"/>
          <w:vertAlign w:val="superscript"/>
        </w:rPr>
        <w:t>о</w:t>
      </w:r>
      <w:r>
        <w:rPr>
          <w:rFonts w:ascii="Times New Roman"/>
          <w:b w:val="false"/>
          <w:i w:val="false"/>
          <w:color w:val="000000"/>
          <w:sz w:val="28"/>
        </w:rPr>
        <w:t>, смотря по тому, что меньше;</w:t>
      </w:r>
    </w:p>
    <w:bookmarkEnd w:id="5294"/>
    <w:bookmarkStart w:name="z5303" w:id="5295"/>
    <w:p>
      <w:pPr>
        <w:spacing w:after="0"/>
        <w:ind w:left="0"/>
        <w:jc w:val="both"/>
      </w:pPr>
      <w:r>
        <w:rPr>
          <w:rFonts w:ascii="Times New Roman"/>
          <w:b w:val="false"/>
          <w:i w:val="false"/>
          <w:color w:val="000000"/>
          <w:sz w:val="28"/>
        </w:rPr>
        <w:t>
      2) для пассажирских судов с учетом совместного действия имитированного кренящего момента от скопления пассажиров на одном борту (определенного в соответствии с пунктом 1580 настоящих Правил) — угла, при котором палуба надводного борта входит в воду, или 15</w:t>
      </w:r>
      <w:r>
        <w:rPr>
          <w:rFonts w:ascii="Times New Roman"/>
          <w:b w:val="false"/>
          <w:i w:val="false"/>
          <w:color w:val="000000"/>
          <w:vertAlign w:val="superscript"/>
        </w:rPr>
        <w:t>о</w:t>
      </w:r>
      <w:r>
        <w:rPr>
          <w:rFonts w:ascii="Times New Roman"/>
          <w:b w:val="false"/>
          <w:i w:val="false"/>
          <w:color w:val="000000"/>
          <w:sz w:val="28"/>
        </w:rPr>
        <w:t>, смотря по тому, что меньше.</w:t>
      </w:r>
    </w:p>
    <w:bookmarkEnd w:id="5295"/>
    <w:bookmarkStart w:name="z5304" w:id="5296"/>
    <w:p>
      <w:pPr>
        <w:spacing w:after="0"/>
        <w:ind w:left="0"/>
        <w:jc w:val="both"/>
      </w:pPr>
      <w:r>
        <w:rPr>
          <w:rFonts w:ascii="Times New Roman"/>
          <w:b w:val="false"/>
          <w:i w:val="false"/>
          <w:color w:val="000000"/>
          <w:sz w:val="28"/>
        </w:rPr>
        <w:t>
      Регистр судоходства предъявляет требование подпункта 2) пункта 1671 настоящих Правил к остойчивости непассажирских судов (например, при перевозке людей, не входящих в состав штатного экипажа судна).</w:t>
      </w:r>
    </w:p>
    <w:bookmarkEnd w:id="5296"/>
    <w:bookmarkStart w:name="z5305" w:id="5297"/>
    <w:p>
      <w:pPr>
        <w:spacing w:after="0"/>
        <w:ind w:left="0"/>
        <w:jc w:val="both"/>
      </w:pPr>
      <w:r>
        <w:rPr>
          <w:rFonts w:ascii="Times New Roman"/>
          <w:b w:val="false"/>
          <w:i w:val="false"/>
          <w:color w:val="000000"/>
          <w:sz w:val="28"/>
        </w:rPr>
        <w:t>
      На суда длиной менее 24 м требования пункта 1581 и 1582 настоящих Правил не распространяются.</w:t>
      </w:r>
    </w:p>
    <w:bookmarkEnd w:id="5297"/>
    <w:bookmarkStart w:name="z5306" w:id="5298"/>
    <w:p>
      <w:pPr>
        <w:spacing w:after="0"/>
        <w:ind w:left="0"/>
        <w:jc w:val="both"/>
      </w:pPr>
      <w:r>
        <w:rPr>
          <w:rFonts w:ascii="Times New Roman"/>
          <w:b w:val="false"/>
          <w:i w:val="false"/>
          <w:color w:val="000000"/>
          <w:sz w:val="28"/>
        </w:rPr>
        <w:t>
      1679. Начальная остойчивость пассажирских судов проверяют в соответствии с пунктом 1580 настоящих Правил. При этом угол крена от скопления пассажиров у одного борта не более угла, при котором до входа палубы в воду остается 0,1 м надводного борта, или 12</w:t>
      </w:r>
      <w:r>
        <w:rPr>
          <w:rFonts w:ascii="Times New Roman"/>
          <w:b w:val="false"/>
          <w:i w:val="false"/>
          <w:color w:val="000000"/>
          <w:vertAlign w:val="superscript"/>
        </w:rPr>
        <w:t>о</w:t>
      </w:r>
      <w:r>
        <w:rPr>
          <w:rFonts w:ascii="Times New Roman"/>
          <w:b w:val="false"/>
          <w:i w:val="false"/>
          <w:color w:val="000000"/>
          <w:sz w:val="28"/>
        </w:rPr>
        <w:t>, смотря по тому, что меньше.</w:t>
      </w:r>
    </w:p>
    <w:bookmarkEnd w:id="5298"/>
    <w:bookmarkStart w:name="z5307" w:id="5299"/>
    <w:p>
      <w:pPr>
        <w:spacing w:after="0"/>
        <w:ind w:left="0"/>
        <w:jc w:val="both"/>
      </w:pPr>
      <w:r>
        <w:rPr>
          <w:rFonts w:ascii="Times New Roman"/>
          <w:b w:val="false"/>
          <w:i w:val="false"/>
          <w:color w:val="000000"/>
          <w:sz w:val="28"/>
        </w:rPr>
        <w:t>
      Если необходимо, требование пункта 1780 настоящих Правил предъявляется Регистром судоходства к остойчивости непассажирских судов (например, при перевозке людей, не входящих в состав штатного экипажа судна). В этом случае крен определяется с учетом перемещения к одному борту всех находящихся на судне людей, не связанных с управлением судна.</w:t>
      </w:r>
    </w:p>
    <w:bookmarkEnd w:id="5299"/>
    <w:bookmarkStart w:name="z5308" w:id="5300"/>
    <w:p>
      <w:pPr>
        <w:spacing w:after="0"/>
        <w:ind w:left="0"/>
        <w:jc w:val="both"/>
      </w:pPr>
      <w:r>
        <w:rPr>
          <w:rFonts w:ascii="Times New Roman"/>
          <w:b w:val="false"/>
          <w:i w:val="false"/>
          <w:color w:val="000000"/>
          <w:sz w:val="28"/>
        </w:rPr>
        <w:t xml:space="preserve">
      1680. В Информацию об остойчивости вносится указание о том, что при ходе на попутном волнении при длине волны, равной или превышающей длину судна, скорость судна </w:t>
      </w:r>
    </w:p>
    <w:bookmarkEnd w:id="5300"/>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уз, не больше вычисляемой по формуле:</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 1,4</w:t>
      </w:r>
    </w:p>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(617)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судна, м.</w:t>
      </w:r>
    </w:p>
    <w:bookmarkStart w:name="z5309" w:id="5301"/>
    <w:p>
      <w:pPr>
        <w:spacing w:after="0"/>
        <w:ind w:left="0"/>
        <w:jc w:val="both"/>
      </w:pPr>
      <w:r>
        <w:rPr>
          <w:rFonts w:ascii="Times New Roman"/>
          <w:b w:val="false"/>
          <w:i w:val="false"/>
          <w:color w:val="000000"/>
          <w:sz w:val="28"/>
        </w:rPr>
        <w:t>
      1681. Применение требований главы 103 настоящих Правил к остойчивости буксиров длиной менее 24 м является предметом специального рассмотрения Регистром судоходства в каждом случае.</w:t>
      </w:r>
    </w:p>
    <w:bookmarkEnd w:id="5301"/>
    <w:bookmarkStart w:name="z5310" w:id="5302"/>
    <w:p>
      <w:pPr>
        <w:spacing w:after="0"/>
        <w:ind w:left="0"/>
        <w:jc w:val="left"/>
      </w:pPr>
      <w:r>
        <w:rPr>
          <w:rFonts w:ascii="Times New Roman"/>
          <w:b/>
          <w:i w:val="false"/>
          <w:color w:val="000000"/>
        </w:rPr>
        <w:t xml:space="preserve"> Глава 106. Контейнеровозы</w:t>
      </w:r>
    </w:p>
    <w:bookmarkEnd w:id="5302"/>
    <w:p>
      <w:pPr>
        <w:spacing w:after="0"/>
        <w:ind w:left="0"/>
        <w:jc w:val="both"/>
      </w:pPr>
      <w:r>
        <w:rPr>
          <w:rFonts w:ascii="Times New Roman"/>
          <w:b w:val="false"/>
          <w:i w:val="false"/>
          <w:color w:val="ff0000"/>
          <w:sz w:val="28"/>
        </w:rPr>
        <w:t xml:space="preserve">
      Сноска. Заголовок главы 106 -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11" w:id="5303"/>
    <w:p>
      <w:pPr>
        <w:spacing w:after="0"/>
        <w:ind w:left="0"/>
        <w:jc w:val="both"/>
      </w:pPr>
      <w:r>
        <w:rPr>
          <w:rFonts w:ascii="Times New Roman"/>
          <w:b w:val="false"/>
          <w:i w:val="false"/>
          <w:color w:val="000000"/>
          <w:sz w:val="28"/>
        </w:rPr>
        <w:t>
      1682. При расчетах остойчивости контейнеровозов положение центра тяжести каждого контейнера по высоте принимается равным половине высоты контейнера данного типа.</w:t>
      </w:r>
    </w:p>
    <w:bookmarkEnd w:id="5303"/>
    <w:bookmarkStart w:name="z5312" w:id="5304"/>
    <w:p>
      <w:pPr>
        <w:spacing w:after="0"/>
        <w:ind w:left="0"/>
        <w:jc w:val="both"/>
      </w:pPr>
      <w:r>
        <w:rPr>
          <w:rFonts w:ascii="Times New Roman"/>
          <w:b w:val="false"/>
          <w:i w:val="false"/>
          <w:color w:val="000000"/>
          <w:sz w:val="28"/>
        </w:rPr>
        <w:t>
      1683. Остойчивость контейнеровозов проверяется при следующих вариантах нагрузки:</w:t>
      </w:r>
    </w:p>
    <w:bookmarkEnd w:id="5304"/>
    <w:bookmarkStart w:name="z5313" w:id="5305"/>
    <w:p>
      <w:pPr>
        <w:spacing w:after="0"/>
        <w:ind w:left="0"/>
        <w:jc w:val="both"/>
      </w:pPr>
      <w:r>
        <w:rPr>
          <w:rFonts w:ascii="Times New Roman"/>
          <w:b w:val="false"/>
          <w:i w:val="false"/>
          <w:color w:val="000000"/>
          <w:sz w:val="28"/>
        </w:rPr>
        <w:t>
      1) судно с наибольшим числом контейнеров при массе каждого контейнера с грузом, равной одной и той же части максимальной массы брутто для каждого типа контейнеров с полными запасами при осадке по летнюю грузовую марку;</w:t>
      </w:r>
    </w:p>
    <w:bookmarkEnd w:id="5305"/>
    <w:bookmarkStart w:name="z5314" w:id="5306"/>
    <w:p>
      <w:pPr>
        <w:spacing w:after="0"/>
        <w:ind w:left="0"/>
        <w:jc w:val="both"/>
      </w:pPr>
      <w:r>
        <w:rPr>
          <w:rFonts w:ascii="Times New Roman"/>
          <w:b w:val="false"/>
          <w:i w:val="false"/>
          <w:color w:val="000000"/>
          <w:sz w:val="28"/>
        </w:rPr>
        <w:t>
      2) судно, как в первом варианте нагрузки, но с 10 % запасов;</w:t>
      </w:r>
    </w:p>
    <w:bookmarkEnd w:id="5306"/>
    <w:bookmarkStart w:name="z5315" w:id="5307"/>
    <w:p>
      <w:pPr>
        <w:spacing w:after="0"/>
        <w:ind w:left="0"/>
        <w:jc w:val="both"/>
      </w:pPr>
      <w:r>
        <w:rPr>
          <w:rFonts w:ascii="Times New Roman"/>
          <w:b w:val="false"/>
          <w:i w:val="false"/>
          <w:color w:val="000000"/>
          <w:sz w:val="28"/>
        </w:rPr>
        <w:t>
      3) судно с наибольшим числом контейнеров при массе каждого контейнера с грузом, равной 0,6 максимальной массы брутто для каждого типа контейнеров, с полными запасами;</w:t>
      </w:r>
    </w:p>
    <w:bookmarkEnd w:id="5307"/>
    <w:bookmarkStart w:name="z5316" w:id="5308"/>
    <w:p>
      <w:pPr>
        <w:spacing w:after="0"/>
        <w:ind w:left="0"/>
        <w:jc w:val="both"/>
      </w:pPr>
      <w:r>
        <w:rPr>
          <w:rFonts w:ascii="Times New Roman"/>
          <w:b w:val="false"/>
          <w:i w:val="false"/>
          <w:color w:val="000000"/>
          <w:sz w:val="28"/>
        </w:rPr>
        <w:t>
      4) судно, как в третьем варианте нагрузки, но с 10 % запасов;</w:t>
      </w:r>
    </w:p>
    <w:bookmarkEnd w:id="5308"/>
    <w:bookmarkStart w:name="z5317" w:id="5309"/>
    <w:p>
      <w:pPr>
        <w:spacing w:after="0"/>
        <w:ind w:left="0"/>
        <w:jc w:val="both"/>
      </w:pPr>
      <w:r>
        <w:rPr>
          <w:rFonts w:ascii="Times New Roman"/>
          <w:b w:val="false"/>
          <w:i w:val="false"/>
          <w:color w:val="000000"/>
          <w:sz w:val="28"/>
        </w:rPr>
        <w:t>
      5) судно с контейнерами при массе каждого контейнера с грузом, равной максимальной массе брутто для каждого типа контейнеров, с полными запасами при осадке по летнюю грузовую марку;</w:t>
      </w:r>
    </w:p>
    <w:bookmarkEnd w:id="5309"/>
    <w:bookmarkStart w:name="z5318" w:id="5310"/>
    <w:p>
      <w:pPr>
        <w:spacing w:after="0"/>
        <w:ind w:left="0"/>
        <w:jc w:val="both"/>
      </w:pPr>
      <w:r>
        <w:rPr>
          <w:rFonts w:ascii="Times New Roman"/>
          <w:b w:val="false"/>
          <w:i w:val="false"/>
          <w:color w:val="000000"/>
          <w:sz w:val="28"/>
        </w:rPr>
        <w:t>
      6) судно, как в пятом варианте нагрузки, но с 10 % запасов;</w:t>
      </w:r>
    </w:p>
    <w:bookmarkEnd w:id="5310"/>
    <w:bookmarkStart w:name="z5319" w:id="5311"/>
    <w:p>
      <w:pPr>
        <w:spacing w:after="0"/>
        <w:ind w:left="0"/>
        <w:jc w:val="both"/>
      </w:pPr>
      <w:r>
        <w:rPr>
          <w:rFonts w:ascii="Times New Roman"/>
          <w:b w:val="false"/>
          <w:i w:val="false"/>
          <w:color w:val="000000"/>
          <w:sz w:val="28"/>
        </w:rPr>
        <w:t>
      7) судно с наибольшим числом порожних контейнеров, с полными запасами;</w:t>
      </w:r>
    </w:p>
    <w:bookmarkEnd w:id="5311"/>
    <w:bookmarkStart w:name="z5320" w:id="5312"/>
    <w:p>
      <w:pPr>
        <w:spacing w:after="0"/>
        <w:ind w:left="0"/>
        <w:jc w:val="both"/>
      </w:pPr>
      <w:r>
        <w:rPr>
          <w:rFonts w:ascii="Times New Roman"/>
          <w:b w:val="false"/>
          <w:i w:val="false"/>
          <w:color w:val="000000"/>
          <w:sz w:val="28"/>
        </w:rPr>
        <w:t>
      8) судно, как в седьмом варианте нагрузки, но с 10 % запасов;</w:t>
      </w:r>
    </w:p>
    <w:bookmarkEnd w:id="5312"/>
    <w:bookmarkStart w:name="z5321" w:id="5313"/>
    <w:p>
      <w:pPr>
        <w:spacing w:after="0"/>
        <w:ind w:left="0"/>
        <w:jc w:val="both"/>
      </w:pPr>
      <w:r>
        <w:rPr>
          <w:rFonts w:ascii="Times New Roman"/>
          <w:b w:val="false"/>
          <w:i w:val="false"/>
          <w:color w:val="000000"/>
          <w:sz w:val="28"/>
        </w:rPr>
        <w:t>
      9) судно без груза, с полными запасами;</w:t>
      </w:r>
    </w:p>
    <w:bookmarkEnd w:id="5313"/>
    <w:bookmarkStart w:name="z5322" w:id="5314"/>
    <w:p>
      <w:pPr>
        <w:spacing w:after="0"/>
        <w:ind w:left="0"/>
        <w:jc w:val="both"/>
      </w:pPr>
      <w:r>
        <w:rPr>
          <w:rFonts w:ascii="Times New Roman"/>
          <w:b w:val="false"/>
          <w:i w:val="false"/>
          <w:color w:val="000000"/>
          <w:sz w:val="28"/>
        </w:rPr>
        <w:t>
      10) судно, как в девятом варианте нагрузки, но с 10 % запасов.</w:t>
      </w:r>
    </w:p>
    <w:bookmarkEnd w:id="5314"/>
    <w:bookmarkStart w:name="z5323" w:id="5315"/>
    <w:p>
      <w:pPr>
        <w:spacing w:after="0"/>
        <w:ind w:left="0"/>
        <w:jc w:val="both"/>
      </w:pPr>
      <w:r>
        <w:rPr>
          <w:rFonts w:ascii="Times New Roman"/>
          <w:b w:val="false"/>
          <w:i w:val="false"/>
          <w:color w:val="000000"/>
          <w:sz w:val="28"/>
        </w:rPr>
        <w:t>
      При выборе схемы размещения контейнеров на судне в указанных выше вариантах нагрузки следует учитывать допустимые нагрузки на конструкцию судна.</w:t>
      </w:r>
    </w:p>
    <w:bookmarkEnd w:id="5315"/>
    <w:bookmarkStart w:name="z5324" w:id="5316"/>
    <w:p>
      <w:pPr>
        <w:spacing w:after="0"/>
        <w:ind w:left="0"/>
        <w:jc w:val="both"/>
      </w:pPr>
      <w:r>
        <w:rPr>
          <w:rFonts w:ascii="Times New Roman"/>
          <w:b w:val="false"/>
          <w:i w:val="false"/>
          <w:color w:val="000000"/>
          <w:sz w:val="28"/>
        </w:rPr>
        <w:t>
      1684. Если, кроме указанных в пункте 1683 настоящих Правил, заданием предусматриваются иные варианты нагрузки, остойчивость контейнеровозов проверяется также для этих вариантов, с полными запасами и с 10 % запасов.</w:t>
      </w:r>
    </w:p>
    <w:bookmarkEnd w:id="5316"/>
    <w:bookmarkStart w:name="z5325" w:id="5317"/>
    <w:p>
      <w:pPr>
        <w:spacing w:after="0"/>
        <w:ind w:left="0"/>
        <w:jc w:val="both"/>
      </w:pPr>
      <w:r>
        <w:rPr>
          <w:rFonts w:ascii="Times New Roman"/>
          <w:b w:val="false"/>
          <w:i w:val="false"/>
          <w:color w:val="000000"/>
          <w:sz w:val="28"/>
        </w:rPr>
        <w:t>
      1685. Остойчивость контейнеровозов для любого варианта нагрузки с контейнерами такая, чтобы определенный по диаграмме статической остойчивости угол крена на циркуляции или под действием постоянного бокового ветра был не более половины угла, при котором верхняя палуба входит в воду; в любом случае угол крена не должен превышать 16</w:t>
      </w:r>
      <w:r>
        <w:rPr>
          <w:rFonts w:ascii="Times New Roman"/>
          <w:b w:val="false"/>
          <w:i w:val="false"/>
          <w:color w:val="000000"/>
          <w:vertAlign w:val="superscript"/>
        </w:rPr>
        <w:t>о</w:t>
      </w:r>
      <w:r>
        <w:rPr>
          <w:rFonts w:ascii="Times New Roman"/>
          <w:b w:val="false"/>
          <w:i w:val="false"/>
          <w:color w:val="000000"/>
          <w:sz w:val="28"/>
        </w:rPr>
        <w:t>.</w:t>
      </w:r>
    </w:p>
    <w:bookmarkEnd w:id="5317"/>
    <w:bookmarkStart w:name="z5326" w:id="5318"/>
    <w:p>
      <w:pPr>
        <w:spacing w:after="0"/>
        <w:ind w:left="0"/>
        <w:jc w:val="both"/>
      </w:pPr>
      <w:r>
        <w:rPr>
          <w:rFonts w:ascii="Times New Roman"/>
          <w:b w:val="false"/>
          <w:i w:val="false"/>
          <w:color w:val="000000"/>
          <w:sz w:val="28"/>
        </w:rPr>
        <w:t>
      По согласованию с Регистром судоходства, когда палубный груз контейнеров размещается только на крышках грузовых люков, вместо угла входа кромки верхней палубы принимается меньший из углов входа в воду верхней кромки комингса люка или входа контейнера в воду (в случае, когда контейнеры выходят за пределы этого комингса).</w:t>
      </w:r>
    </w:p>
    <w:bookmarkEnd w:id="5318"/>
    <w:bookmarkStart w:name="z5327" w:id="5319"/>
    <w:p>
      <w:pPr>
        <w:spacing w:after="0"/>
        <w:ind w:left="0"/>
        <w:jc w:val="both"/>
      </w:pPr>
      <w:r>
        <w:rPr>
          <w:rFonts w:ascii="Times New Roman"/>
          <w:b w:val="false"/>
          <w:i w:val="false"/>
          <w:color w:val="000000"/>
          <w:sz w:val="28"/>
        </w:rPr>
        <w:t>
      1686. Кренящий момент на циркуляции, кН•м, вычисляется по формуле:</w:t>
      </w:r>
    </w:p>
    <w:bookmarkEnd w:id="531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w:t>
      </w:r>
    </w:p>
    <w:p>
      <w:pPr>
        <w:spacing w:after="0"/>
        <w:ind w:left="0"/>
        <w:jc w:val="both"/>
      </w:pPr>
      <w:r>
        <w:drawing>
          <wp:inline distT="0" distB="0" distL="0" distR="0">
            <wp:extent cx="1816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1816100" cy="635000"/>
                    </a:xfrm>
                    <a:prstGeom prst="rect">
                      <a:avLst/>
                    </a:prstGeom>
                  </pic:spPr>
                </pic:pic>
              </a:graphicData>
            </a:graphic>
          </wp:inline>
        </w:drawing>
      </w:r>
    </w:p>
    <w:p>
      <w:pPr>
        <w:spacing w:after="0"/>
        <w:ind w:left="0"/>
        <w:jc w:val="left"/>
      </w:pPr>
      <w:r>
        <w:rPr>
          <w:rFonts w:ascii="Times New Roman"/>
          <w:b w:val="false"/>
          <w:i w:val="false"/>
          <w:color w:val="000000"/>
          <w:sz w:val="28"/>
        </w:rPr>
        <w:t>,                     (618)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 скорость судна перед выходом на циркуляцию, уз.</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т.</w:t>
      </w:r>
      <w:r>
        <w:br/>
      </w:r>
      <w:r>
        <w:rPr>
          <w:rFonts w:ascii="Times New Roman"/>
          <w:b w:val="false"/>
          <w:i w:val="false"/>
          <w:color w:val="000000"/>
          <w:sz w:val="28"/>
        </w:rPr>
        <w:t>
</w:t>
      </w:r>
    </w:p>
    <w:bookmarkStart w:name="z5328" w:id="5320"/>
    <w:p>
      <w:pPr>
        <w:spacing w:after="0"/>
        <w:ind w:left="0"/>
        <w:jc w:val="both"/>
      </w:pPr>
      <w:r>
        <w:rPr>
          <w:rFonts w:ascii="Times New Roman"/>
          <w:b w:val="false"/>
          <w:i w:val="false"/>
          <w:color w:val="000000"/>
          <w:sz w:val="28"/>
        </w:rPr>
        <w:t xml:space="preserve">
      1687. Плечо момента от давления ветра, используемое при определении угла крена согласно пункта 1685 настоящих Правил, вычисляется в соответствии с формулой (599) настоящих Правил, в которой </w:t>
      </w:r>
      <w:r>
        <w:rPr>
          <w:rFonts w:ascii="Times New Roman"/>
          <w:b w:val="false"/>
          <w:i/>
          <w:color w:val="000000"/>
          <w:sz w:val="28"/>
        </w:rPr>
        <w:t>p</w:t>
      </w:r>
      <w:r>
        <w:rPr>
          <w:rFonts w:ascii="Times New Roman"/>
          <w:b w:val="false"/>
          <w:i w:val="false"/>
          <w:color w:val="000000"/>
          <w:vertAlign w:val="subscript"/>
        </w:rPr>
        <w:t>v</w:t>
      </w:r>
      <w:r>
        <w:rPr>
          <w:rFonts w:ascii="Times New Roman"/>
          <w:b w:val="false"/>
          <w:i w:val="false"/>
          <w:color w:val="000000"/>
          <w:sz w:val="28"/>
        </w:rPr>
        <w:t xml:space="preserve"> принимается как для судна неограниченного района плавания из приложения 193 настоящих Правил.</w:t>
      </w:r>
    </w:p>
    <w:bookmarkEnd w:id="5320"/>
    <w:bookmarkStart w:name="z5329" w:id="5321"/>
    <w:p>
      <w:pPr>
        <w:spacing w:after="0"/>
        <w:ind w:left="0"/>
        <w:jc w:val="both"/>
      </w:pPr>
      <w:r>
        <w:rPr>
          <w:rFonts w:ascii="Times New Roman"/>
          <w:b w:val="false"/>
          <w:i w:val="false"/>
          <w:color w:val="000000"/>
          <w:sz w:val="28"/>
        </w:rPr>
        <w:t>
      1688. Все расчеты угла крена под действием бокового ветра или циркуляции проводится без учета обледенения, но с учетом поправки на влияние свободных поверхностей жидких грузов в соответствии с параграфом 5 главы 91 настоящих Правил.</w:t>
      </w:r>
    </w:p>
    <w:bookmarkEnd w:id="5321"/>
    <w:bookmarkStart w:name="z5330" w:id="5322"/>
    <w:p>
      <w:pPr>
        <w:spacing w:after="0"/>
        <w:ind w:left="0"/>
        <w:jc w:val="both"/>
      </w:pPr>
      <w:r>
        <w:rPr>
          <w:rFonts w:ascii="Times New Roman"/>
          <w:b w:val="false"/>
          <w:i w:val="false"/>
          <w:color w:val="000000"/>
          <w:sz w:val="28"/>
        </w:rPr>
        <w:t>
      1689. В случае, если требование пункта 1685 настоящих Правил к величине угла крена на циркуляции при эксплуатационной скорости хода не выполняется, в информации об остойчивости приводится максимально допустимая скорость судна перед выходом на циркуляцию, определенная из условия непревышения угла крена, указанного в пункте 1685 настоящих Правил.</w:t>
      </w:r>
    </w:p>
    <w:bookmarkEnd w:id="5322"/>
    <w:bookmarkStart w:name="z5331" w:id="5323"/>
    <w:p>
      <w:pPr>
        <w:spacing w:after="0"/>
        <w:ind w:left="0"/>
        <w:jc w:val="both"/>
      </w:pPr>
      <w:r>
        <w:rPr>
          <w:rFonts w:ascii="Times New Roman"/>
          <w:b w:val="false"/>
          <w:i w:val="false"/>
          <w:color w:val="000000"/>
          <w:sz w:val="28"/>
        </w:rPr>
        <w:t>
      1690. Контейнеровозы оборудуют цистернами или другими одобренными Регистром судоходства специальными устройствами, позволяющими контролировать начальную остойчивость судна с учетом одобренных Регистром судоходства требований к эксплуатационному кренованию.</w:t>
      </w:r>
    </w:p>
    <w:bookmarkEnd w:id="5323"/>
    <w:bookmarkStart w:name="z5332" w:id="5324"/>
    <w:p>
      <w:pPr>
        <w:spacing w:after="0"/>
        <w:ind w:left="0"/>
        <w:jc w:val="both"/>
      </w:pPr>
      <w:r>
        <w:rPr>
          <w:rFonts w:ascii="Times New Roman"/>
          <w:b w:val="false"/>
          <w:i w:val="false"/>
          <w:color w:val="000000"/>
          <w:sz w:val="28"/>
        </w:rPr>
        <w:t>
      1691. Требования настоящей главы применимы для других типов судов, приспособленных для перевозки на палубе грузов в контейнерах.</w:t>
      </w:r>
    </w:p>
    <w:bookmarkEnd w:id="5324"/>
    <w:bookmarkStart w:name="z5333" w:id="5325"/>
    <w:p>
      <w:pPr>
        <w:spacing w:after="0"/>
        <w:ind w:left="0"/>
        <w:jc w:val="both"/>
      </w:pPr>
      <w:r>
        <w:rPr>
          <w:rFonts w:ascii="Times New Roman"/>
          <w:b w:val="false"/>
          <w:i w:val="false"/>
          <w:color w:val="000000"/>
          <w:sz w:val="28"/>
        </w:rPr>
        <w:t>
      Если, следуя указаниям подпунктов 1) и 5) пункта 1683 настоящих Правил, невозможно загрузить судно по летнюю грузовую марку, то можно рассмотреть судно в этих вариантах нагрузки при максимальной возможной осадке.</w:t>
      </w:r>
    </w:p>
    <w:bookmarkEnd w:id="5325"/>
    <w:bookmarkStart w:name="z5334" w:id="5326"/>
    <w:p>
      <w:pPr>
        <w:spacing w:after="0"/>
        <w:ind w:left="0"/>
        <w:jc w:val="left"/>
      </w:pPr>
      <w:r>
        <w:rPr>
          <w:rFonts w:ascii="Times New Roman"/>
          <w:b/>
          <w:i w:val="false"/>
          <w:color w:val="000000"/>
        </w:rPr>
        <w:t xml:space="preserve"> Глава 107. Суда обеспечения</w:t>
      </w:r>
    </w:p>
    <w:bookmarkEnd w:id="5326"/>
    <w:p>
      <w:pPr>
        <w:spacing w:after="0"/>
        <w:ind w:left="0"/>
        <w:jc w:val="both"/>
      </w:pPr>
      <w:r>
        <w:rPr>
          <w:rFonts w:ascii="Times New Roman"/>
          <w:b w:val="false"/>
          <w:i w:val="false"/>
          <w:color w:val="ff0000"/>
          <w:sz w:val="28"/>
        </w:rPr>
        <w:t xml:space="preserve">
      Сноска. Заголовок главы 107 -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35" w:id="5327"/>
    <w:p>
      <w:pPr>
        <w:spacing w:after="0"/>
        <w:ind w:left="0"/>
        <w:jc w:val="both"/>
      </w:pPr>
      <w:r>
        <w:rPr>
          <w:rFonts w:ascii="Times New Roman"/>
          <w:b w:val="false"/>
          <w:i w:val="false"/>
          <w:color w:val="000000"/>
          <w:sz w:val="28"/>
        </w:rPr>
        <w:t>
      1692. Настоящая глава распространяется на суда обеспечения длиной от 24 до 100 м. Если длина судна обеспечения более 100 м, требования к его остойчивости подлежат специальному рассмотрению Регистром судоходства.</w:t>
      </w:r>
    </w:p>
    <w:bookmarkEnd w:id="5327"/>
    <w:bookmarkStart w:name="z5336" w:id="5328"/>
    <w:p>
      <w:pPr>
        <w:spacing w:after="0"/>
        <w:ind w:left="0"/>
        <w:jc w:val="both"/>
      </w:pPr>
      <w:r>
        <w:rPr>
          <w:rFonts w:ascii="Times New Roman"/>
          <w:b w:val="false"/>
          <w:i w:val="false"/>
          <w:color w:val="000000"/>
          <w:sz w:val="28"/>
        </w:rPr>
        <w:t>
      1693. Остойчивость судов обеспечения проверяется с учетом сопутствующего накренению дифферента.</w:t>
      </w:r>
    </w:p>
    <w:bookmarkEnd w:id="5328"/>
    <w:bookmarkStart w:name="z5337" w:id="5329"/>
    <w:p>
      <w:pPr>
        <w:spacing w:after="0"/>
        <w:ind w:left="0"/>
        <w:jc w:val="both"/>
      </w:pPr>
      <w:r>
        <w:rPr>
          <w:rFonts w:ascii="Times New Roman"/>
          <w:b w:val="false"/>
          <w:i w:val="false"/>
          <w:color w:val="000000"/>
          <w:sz w:val="28"/>
        </w:rPr>
        <w:t>
      1694. Остойчивость судов обеспечения в дополнение к случаям, перечисленным в пункте 1517 настоящих Правил, проверяется при следующих вариантах нагрузки:</w:t>
      </w:r>
    </w:p>
    <w:bookmarkEnd w:id="5329"/>
    <w:bookmarkStart w:name="z5338" w:id="5330"/>
    <w:p>
      <w:pPr>
        <w:spacing w:after="0"/>
        <w:ind w:left="0"/>
        <w:jc w:val="both"/>
      </w:pPr>
      <w:r>
        <w:rPr>
          <w:rFonts w:ascii="Times New Roman"/>
          <w:b w:val="false"/>
          <w:i w:val="false"/>
          <w:color w:val="000000"/>
          <w:sz w:val="28"/>
        </w:rPr>
        <w:t>
      1) судно с полными запасами и полным палубным грузом, обладающим наибольшим предусмотренным заданием удельным погрузочным объемом, в наихудшем случае распределения остальной части груза (при перевозке труб на палубе — с учетом воды в трубах);</w:t>
      </w:r>
    </w:p>
    <w:bookmarkEnd w:id="5330"/>
    <w:bookmarkStart w:name="z5339" w:id="5331"/>
    <w:p>
      <w:pPr>
        <w:spacing w:after="0"/>
        <w:ind w:left="0"/>
        <w:jc w:val="both"/>
      </w:pPr>
      <w:r>
        <w:rPr>
          <w:rFonts w:ascii="Times New Roman"/>
          <w:b w:val="false"/>
          <w:i w:val="false"/>
          <w:color w:val="000000"/>
          <w:sz w:val="28"/>
        </w:rPr>
        <w:t>
      2) судно, как в первом варианте, но с 10 % запасов.</w:t>
      </w:r>
    </w:p>
    <w:bookmarkEnd w:id="5331"/>
    <w:bookmarkStart w:name="z5340" w:id="5332"/>
    <w:p>
      <w:pPr>
        <w:spacing w:after="0"/>
        <w:ind w:left="0"/>
        <w:jc w:val="both"/>
      </w:pPr>
      <w:r>
        <w:rPr>
          <w:rFonts w:ascii="Times New Roman"/>
          <w:b w:val="false"/>
          <w:i w:val="false"/>
          <w:color w:val="000000"/>
          <w:sz w:val="28"/>
        </w:rPr>
        <w:t xml:space="preserve">
      1695. Объем воды </w:t>
      </w:r>
      <w:r>
        <w:rPr>
          <w:rFonts w:ascii="Times New Roman"/>
          <w:b w:val="false"/>
          <w:i/>
          <w:color w:val="000000"/>
          <w:sz w:val="28"/>
        </w:rPr>
        <w:t>V</w:t>
      </w:r>
      <w:r>
        <w:rPr>
          <w:rFonts w:ascii="Times New Roman"/>
          <w:b w:val="false"/>
          <w:i w:val="false"/>
          <w:color w:val="000000"/>
          <w:vertAlign w:val="subscript"/>
        </w:rPr>
        <w:t>a</w:t>
      </w:r>
      <w:r>
        <w:rPr>
          <w:rFonts w:ascii="Times New Roman"/>
          <w:b w:val="false"/>
          <w:i w:val="false"/>
          <w:color w:val="000000"/>
          <w:sz w:val="28"/>
        </w:rPr>
        <w:t xml:space="preserve">, который задерживается в перевозимых на палубе трубах, определяется в зависимости от общего объема </w:t>
      </w:r>
      <w:r>
        <w:rPr>
          <w:rFonts w:ascii="Times New Roman"/>
          <w:b w:val="false"/>
          <w:i/>
          <w:color w:val="000000"/>
          <w:sz w:val="28"/>
        </w:rPr>
        <w:t>V</w:t>
      </w:r>
      <w:r>
        <w:rPr>
          <w:rFonts w:ascii="Times New Roman"/>
          <w:b w:val="false"/>
          <w:i w:val="false"/>
          <w:color w:val="000000"/>
          <w:vertAlign w:val="subscript"/>
        </w:rPr>
        <w:t>at</w:t>
      </w:r>
      <w:r>
        <w:rPr>
          <w:rFonts w:ascii="Times New Roman"/>
          <w:b w:val="false"/>
          <w:i w:val="false"/>
          <w:color w:val="000000"/>
          <w:sz w:val="28"/>
        </w:rPr>
        <w:t xml:space="preserve"> штабеля и отношения надводного борта на миделе </w:t>
      </w:r>
    </w:p>
    <w:bookmarkEnd w:id="5332"/>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 длине судна </w:t>
      </w:r>
      <w:r>
        <w:rPr>
          <w:rFonts w:ascii="Times New Roman"/>
          <w:b w:val="false"/>
          <w:i/>
          <w:color w:val="000000"/>
          <w:sz w:val="28"/>
        </w:rPr>
        <w:t>L</w:t>
      </w:r>
      <w:r>
        <w:rPr>
          <w:rFonts w:ascii="Times New Roman"/>
          <w:b w:val="false"/>
          <w:i w:val="false"/>
          <w:color w:val="000000"/>
          <w:sz w:val="28"/>
        </w:rPr>
        <w:t xml:space="preserve"> по формуле:</w:t>
      </w:r>
      <w:r>
        <w:br/>
      </w: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1" w:id="5333"/>
    <w:p>
      <w:pPr>
        <w:spacing w:after="0"/>
        <w:ind w:left="0"/>
        <w:jc w:val="both"/>
      </w:pPr>
      <w:r>
        <w:rPr>
          <w:rFonts w:ascii="Times New Roman"/>
          <w:b w:val="false"/>
          <w:i w:val="false"/>
          <w:color w:val="000000"/>
          <w:sz w:val="28"/>
        </w:rPr>
        <w:t>
      Объем штабеля труб принимается как сумма внутренних объемов труб и пространств между ними.</w:t>
      </w:r>
    </w:p>
    <w:bookmarkEnd w:id="5333"/>
    <w:bookmarkStart w:name="z5342" w:id="5334"/>
    <w:p>
      <w:pPr>
        <w:spacing w:after="0"/>
        <w:ind w:left="0"/>
        <w:jc w:val="both"/>
      </w:pPr>
      <w:r>
        <w:rPr>
          <w:rFonts w:ascii="Times New Roman"/>
          <w:b w:val="false"/>
          <w:i w:val="false"/>
          <w:color w:val="000000"/>
          <w:sz w:val="28"/>
        </w:rPr>
        <w:t>
      Вопрос об уменьшении расчетного количества воды в трубах при наличии на их торцах заглушек или при высоте штабеля труб более 0,4 осадки судна решается по согласованию с Регистром судоходства.</w:t>
      </w:r>
    </w:p>
    <w:bookmarkEnd w:id="5334"/>
    <w:bookmarkStart w:name="z5343" w:id="5335"/>
    <w:p>
      <w:pPr>
        <w:spacing w:after="0"/>
        <w:ind w:left="0"/>
        <w:jc w:val="both"/>
      </w:pPr>
      <w:r>
        <w:rPr>
          <w:rFonts w:ascii="Times New Roman"/>
          <w:b w:val="false"/>
          <w:i w:val="false"/>
          <w:color w:val="000000"/>
          <w:sz w:val="28"/>
        </w:rPr>
        <w:t xml:space="preserve">
      1696. Для судов обеспечения, имеющих </w:t>
      </w:r>
      <w:r>
        <w:rPr>
          <w:rFonts w:ascii="Times New Roman"/>
          <w:b w:val="false"/>
          <w:i/>
          <w:color w:val="000000"/>
          <w:sz w:val="28"/>
        </w:rPr>
        <w:t>B/D</w:t>
      </w:r>
      <w:r>
        <w:rPr>
          <w:rFonts w:ascii="Times New Roman"/>
          <w:b w:val="false"/>
          <w:i w:val="false"/>
          <w:color w:val="000000"/>
          <w:sz w:val="28"/>
        </w:rPr>
        <w:t>&gt;2, допускается уменьшение угла, соответствующего максимальному плечу диаграммы статической остойчивости, до 25</w:t>
      </w:r>
      <w:r>
        <w:rPr>
          <w:rFonts w:ascii="Times New Roman"/>
          <w:b w:val="false"/>
          <w:i w:val="false"/>
          <w:color w:val="000000"/>
          <w:vertAlign w:val="superscript"/>
        </w:rPr>
        <w:t>о</w:t>
      </w:r>
      <w:r>
        <w:rPr>
          <w:rFonts w:ascii="Times New Roman"/>
          <w:b w:val="false"/>
          <w:i w:val="false"/>
          <w:color w:val="000000"/>
          <w:sz w:val="28"/>
        </w:rPr>
        <w:t>, а угла заката диаграммы — до 50</w:t>
      </w:r>
      <w:r>
        <w:rPr>
          <w:rFonts w:ascii="Times New Roman"/>
          <w:b w:val="false"/>
          <w:i w:val="false"/>
          <w:color w:val="000000"/>
          <w:vertAlign w:val="superscript"/>
        </w:rPr>
        <w:t>о</w:t>
      </w:r>
      <w:r>
        <w:rPr>
          <w:rFonts w:ascii="Times New Roman"/>
          <w:b w:val="false"/>
          <w:i w:val="false"/>
          <w:color w:val="000000"/>
          <w:sz w:val="28"/>
        </w:rPr>
        <w:t xml:space="preserve">; при этом максимальное плечо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м, и критерий погоды K должны быть не менее наибольших величин, определяемых по следующим формулам:</w:t>
      </w:r>
    </w:p>
    <w:bookmarkEnd w:id="533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0,25 + 0,005(60</w:t>
      </w:r>
      <w:r>
        <w:rPr>
          <w:rFonts w:ascii="Times New Roman"/>
          <w:b w:val="false"/>
          <w:i w:val="false"/>
          <w:color w:val="000000"/>
          <w:vertAlign w:val="superscript"/>
        </w:rPr>
        <w:t>o</w:t>
      </w:r>
      <w:r>
        <w:rPr>
          <w:rFonts w:ascii="Times New Roman"/>
          <w:b w:val="false"/>
          <w:i w:val="false"/>
          <w:color w:val="000000"/>
          <w:sz w:val="28"/>
        </w:rPr>
        <w:t xml:space="preserve"> –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(620)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0,25 + 0,01(30</w:t>
      </w:r>
      <w:r>
        <w:rPr>
          <w:rFonts w:ascii="Times New Roman"/>
          <w:b w:val="false"/>
          <w:i w:val="false"/>
          <w:color w:val="000000"/>
          <w:vertAlign w:val="superscript"/>
        </w:rPr>
        <w:t>o</w:t>
      </w:r>
      <w:r>
        <w:rPr>
          <w:rFonts w:ascii="Times New Roman"/>
          <w:b w:val="false"/>
          <w:i w:val="false"/>
          <w:color w:val="000000"/>
          <w:sz w:val="28"/>
        </w:rPr>
        <w:t xml:space="preserve"> – Ө</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+ 0,1(30</w:t>
      </w:r>
      <w:r>
        <w:rPr>
          <w:rFonts w:ascii="Times New Roman"/>
          <w:b w:val="false"/>
          <w:i w:val="false"/>
          <w:color w:val="000000"/>
          <w:vertAlign w:val="superscript"/>
        </w:rPr>
        <w:t>o</w:t>
      </w:r>
      <w:r>
        <w:rPr>
          <w:rFonts w:ascii="Times New Roman"/>
          <w:b w:val="false"/>
          <w:i w:val="false"/>
          <w:color w:val="000000"/>
          <w:sz w:val="28"/>
        </w:rPr>
        <w:t xml:space="preserve"> – Ө</w:t>
      </w:r>
      <w:r>
        <w:rPr>
          <w:rFonts w:ascii="Times New Roman"/>
          <w:b w:val="false"/>
          <w:i w:val="false"/>
          <w:color w:val="000000"/>
          <w:vertAlign w:val="subscript"/>
        </w:rPr>
        <w:t>m</w:t>
      </w:r>
      <w:r>
        <w:rPr>
          <w:rFonts w:ascii="Times New Roman"/>
          <w:b w:val="false"/>
          <w:i w:val="false"/>
          <w:color w:val="000000"/>
          <w:sz w:val="28"/>
        </w:rPr>
        <w:t>)              (621)</w:t>
      </w:r>
    </w:p>
    <w:p>
      <w:pPr>
        <w:spacing w:after="0"/>
        <w:ind w:left="0"/>
        <w:jc w:val="both"/>
      </w:pPr>
      <w:r>
        <w:rPr>
          <w:rFonts w:ascii="Times New Roman"/>
          <w:b w:val="false"/>
          <w:i w:val="false"/>
          <w:color w:val="000000"/>
          <w:sz w:val="28"/>
        </w:rPr>
        <w:t xml:space="preserve">
      или </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+ 0,05(60</w:t>
      </w:r>
      <w:r>
        <w:rPr>
          <w:rFonts w:ascii="Times New Roman"/>
          <w:b w:val="false"/>
          <w:i w:val="false"/>
          <w:color w:val="000000"/>
          <w:vertAlign w:val="superscript"/>
        </w:rPr>
        <w:t>o</w:t>
      </w:r>
      <w:r>
        <w:rPr>
          <w:rFonts w:ascii="Times New Roman"/>
          <w:b w:val="false"/>
          <w:i w:val="false"/>
          <w:color w:val="000000"/>
          <w:sz w:val="28"/>
        </w:rPr>
        <w:t xml:space="preserve"> –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344" w:id="5336"/>
    <w:p>
      <w:pPr>
        <w:spacing w:after="0"/>
        <w:ind w:left="0"/>
        <w:jc w:val="both"/>
      </w:pPr>
      <w:r>
        <w:rPr>
          <w:rFonts w:ascii="Times New Roman"/>
          <w:b w:val="false"/>
          <w:i w:val="false"/>
          <w:color w:val="000000"/>
          <w:sz w:val="28"/>
        </w:rPr>
        <w:t>
      1697. При расчете обледенения верхняя поверхность палубного груза рассматривается как палуба, а проекция его боковой поверхности над фальшбортом — как часть расчетной площади парусности. Норма обледенения принимается в соответствии с главой 96 настоящих Правил.</w:t>
      </w:r>
    </w:p>
    <w:bookmarkEnd w:id="5336"/>
    <w:bookmarkStart w:name="z5345" w:id="5337"/>
    <w:p>
      <w:pPr>
        <w:spacing w:after="0"/>
        <w:ind w:left="0"/>
        <w:jc w:val="both"/>
      </w:pPr>
      <w:r>
        <w:rPr>
          <w:rFonts w:ascii="Times New Roman"/>
          <w:b w:val="false"/>
          <w:i w:val="false"/>
          <w:color w:val="000000"/>
          <w:sz w:val="28"/>
        </w:rPr>
        <w:t>
      1698. Для судов обеспечения, эксплуатирующихся в районах, где возможно обледенение, в расчетах остойчивости при перевозке труб на палубе обледенение и воду в трубах следует учитывать одновременно. Обледенение труб, перевозимых на палубе, следует определять по следующей схеме:</w:t>
      </w:r>
    </w:p>
    <w:bookmarkEnd w:id="5337"/>
    <w:bookmarkStart w:name="z5346" w:id="5338"/>
    <w:p>
      <w:pPr>
        <w:spacing w:after="0"/>
        <w:ind w:left="0"/>
        <w:jc w:val="both"/>
      </w:pPr>
      <w:r>
        <w:rPr>
          <w:rFonts w:ascii="Times New Roman"/>
          <w:b w:val="false"/>
          <w:i w:val="false"/>
          <w:color w:val="000000"/>
          <w:sz w:val="28"/>
        </w:rPr>
        <w:t xml:space="preserve">
      масса льда </w:t>
      </w:r>
      <w:r>
        <w:rPr>
          <w:rFonts w:ascii="Times New Roman"/>
          <w:b w:val="false"/>
          <w:i/>
          <w:color w:val="000000"/>
          <w:sz w:val="28"/>
        </w:rPr>
        <w:t>М</w:t>
      </w:r>
      <w:r>
        <w:rPr>
          <w:rFonts w:ascii="Times New Roman"/>
          <w:b w:val="false"/>
          <w:i w:val="false"/>
          <w:color w:val="000000"/>
          <w:vertAlign w:val="subscript"/>
        </w:rPr>
        <w:t>л</w:t>
      </w:r>
      <w:r>
        <w:rPr>
          <w:rFonts w:ascii="Times New Roman"/>
          <w:b w:val="false"/>
          <w:i w:val="false"/>
          <w:color w:val="000000"/>
          <w:sz w:val="28"/>
        </w:rPr>
        <w:t xml:space="preserve"> внутри штабеля труб определяется по формуле:</w:t>
      </w:r>
    </w:p>
    <w:bookmarkEnd w:id="533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л</w:t>
      </w:r>
      <w:r>
        <w:rPr>
          <w:rFonts w:ascii="Times New Roman"/>
          <w:b w:val="false"/>
          <w:i w:val="false"/>
          <w:color w:val="000000"/>
          <w:sz w:val="28"/>
        </w:rPr>
        <w:t xml:space="preserve"> = </w:t>
      </w:r>
    </w:p>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(622)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w:t>
      </w:r>
      <w:r>
        <w:rPr>
          <w:rFonts w:ascii="Times New Roman"/>
          <w:b w:val="false"/>
          <w:i w:val="false"/>
          <w:color w:val="000000"/>
          <w:vertAlign w:val="subscript"/>
        </w:rPr>
        <w:t>лi</w:t>
      </w:r>
      <w:r>
        <w:rPr>
          <w:rFonts w:ascii="Times New Roman"/>
          <w:b w:val="false"/>
          <w:i w:val="false"/>
          <w:color w:val="000000"/>
          <w:sz w:val="28"/>
        </w:rPr>
        <w:t xml:space="preserve"> — масса льда, намерзающего на одной трубе, принимается по приложению 201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число труб i-го диаметра;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число типоразмеров труб по диаметру.</w:t>
      </w:r>
    </w:p>
    <w:bookmarkStart w:name="z5347" w:id="5339"/>
    <w:p>
      <w:pPr>
        <w:spacing w:after="0"/>
        <w:ind w:left="0"/>
        <w:jc w:val="both"/>
      </w:pPr>
      <w:r>
        <w:rPr>
          <w:rFonts w:ascii="Times New Roman"/>
          <w:b w:val="false"/>
          <w:i w:val="false"/>
          <w:color w:val="000000"/>
          <w:sz w:val="28"/>
        </w:rPr>
        <w:t>
      При расчете массы льда на наружных сторонах штабеля труб площадь верхней и боковой поверхностей определяется с учетом криволинейности поверхности труб в штабеле. Норма обледенения принимается в соответствии с главой 96 настоящих Правил.</w:t>
      </w:r>
    </w:p>
    <w:bookmarkEnd w:id="5339"/>
    <w:bookmarkStart w:name="z5348" w:id="5340"/>
    <w:p>
      <w:pPr>
        <w:spacing w:after="0"/>
        <w:ind w:left="0"/>
        <w:jc w:val="both"/>
      </w:pPr>
      <w:r>
        <w:rPr>
          <w:rFonts w:ascii="Times New Roman"/>
          <w:b w:val="false"/>
          <w:i w:val="false"/>
          <w:color w:val="000000"/>
          <w:sz w:val="28"/>
        </w:rPr>
        <w:t>
      1699. Для судов обеспечения, предназначенных также для производства буксировочных работ, выполняются требования главы 103 настоящих Правил.</w:t>
      </w:r>
    </w:p>
    <w:bookmarkEnd w:id="5340"/>
    <w:bookmarkStart w:name="z5349" w:id="5341"/>
    <w:p>
      <w:pPr>
        <w:spacing w:after="0"/>
        <w:ind w:left="0"/>
        <w:jc w:val="both"/>
      </w:pPr>
      <w:r>
        <w:rPr>
          <w:rFonts w:ascii="Times New Roman"/>
          <w:b w:val="false"/>
          <w:i w:val="false"/>
          <w:color w:val="000000"/>
          <w:sz w:val="28"/>
        </w:rPr>
        <w:t>
      Кроме того, суда имеют средства для быстрой отдачи буксирного троса.</w:t>
      </w:r>
    </w:p>
    <w:bookmarkEnd w:id="5341"/>
    <w:bookmarkStart w:name="z5350" w:id="5342"/>
    <w:p>
      <w:pPr>
        <w:spacing w:after="0"/>
        <w:ind w:left="0"/>
        <w:jc w:val="both"/>
      </w:pPr>
      <w:r>
        <w:rPr>
          <w:rFonts w:ascii="Times New Roman"/>
          <w:b w:val="false"/>
          <w:i w:val="false"/>
          <w:color w:val="000000"/>
          <w:sz w:val="28"/>
        </w:rPr>
        <w:t>
      1700. Для судов обеспечения, предназначенных также для подъема якорей буровой установки, выполняются применимые требования главы 109 настоящей части.</w:t>
      </w:r>
    </w:p>
    <w:bookmarkEnd w:id="5342"/>
    <w:bookmarkStart w:name="z5351" w:id="5343"/>
    <w:p>
      <w:pPr>
        <w:spacing w:after="0"/>
        <w:ind w:left="0"/>
        <w:jc w:val="both"/>
      </w:pPr>
      <w:r>
        <w:rPr>
          <w:rFonts w:ascii="Times New Roman"/>
          <w:b w:val="false"/>
          <w:i w:val="false"/>
          <w:color w:val="000000"/>
          <w:sz w:val="28"/>
        </w:rPr>
        <w:t>
      1701. Требования настоящей главы применимы для других типов судов, приспособленных для перевозки труб на палубе.</w:t>
      </w:r>
    </w:p>
    <w:bookmarkEnd w:id="5343"/>
    <w:bookmarkStart w:name="z5352" w:id="5344"/>
    <w:p>
      <w:pPr>
        <w:spacing w:after="0"/>
        <w:ind w:left="0"/>
        <w:jc w:val="left"/>
      </w:pPr>
      <w:r>
        <w:rPr>
          <w:rFonts w:ascii="Times New Roman"/>
          <w:b/>
          <w:i w:val="false"/>
          <w:color w:val="000000"/>
        </w:rPr>
        <w:t xml:space="preserve"> Глава 108. Суда смешанного (река – море) плавания</w:t>
      </w:r>
    </w:p>
    <w:bookmarkEnd w:id="5344"/>
    <w:p>
      <w:pPr>
        <w:spacing w:after="0"/>
        <w:ind w:left="0"/>
        <w:jc w:val="both"/>
      </w:pPr>
      <w:r>
        <w:rPr>
          <w:rFonts w:ascii="Times New Roman"/>
          <w:b w:val="false"/>
          <w:i w:val="false"/>
          <w:color w:val="ff0000"/>
          <w:sz w:val="28"/>
        </w:rPr>
        <w:t xml:space="preserve">
      Сноска. Заголовок главы 108 -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53" w:id="5345"/>
    <w:p>
      <w:pPr>
        <w:spacing w:after="0"/>
        <w:ind w:left="0"/>
        <w:jc w:val="both"/>
      </w:pPr>
      <w:r>
        <w:rPr>
          <w:rFonts w:ascii="Times New Roman"/>
          <w:b w:val="false"/>
          <w:i w:val="false"/>
          <w:color w:val="000000"/>
          <w:sz w:val="28"/>
        </w:rPr>
        <w:t>
      1702. Остойчивость судов смешанного (река-море) плавания (районы плавания R2-RSN и R3-RSN согласно пункту 26 настоящих Правил) отвечают требованиям подразделов 1 и 2 раздела 6 настоящих Правил, а также дополнительным требованиям подраздела 3 раздела 6 (в зависимости от назначения судна) настоящих Правил.</w:t>
      </w:r>
    </w:p>
    <w:bookmarkEnd w:id="5345"/>
    <w:bookmarkStart w:name="z5354" w:id="5346"/>
    <w:p>
      <w:pPr>
        <w:spacing w:after="0"/>
        <w:ind w:left="0"/>
        <w:jc w:val="both"/>
      </w:pPr>
      <w:r>
        <w:rPr>
          <w:rFonts w:ascii="Times New Roman"/>
          <w:b w:val="false"/>
          <w:i w:val="false"/>
          <w:color w:val="000000"/>
          <w:sz w:val="28"/>
        </w:rPr>
        <w:t>
      Кроме того, остойчивость сухогрузных судов ограниченного района плавания R2-RSN проверяется по критерию ускорения в соответствии с пунктом 1904 настоящих Правил.</w:t>
      </w:r>
    </w:p>
    <w:bookmarkEnd w:id="5346"/>
    <w:bookmarkStart w:name="z5355" w:id="5347"/>
    <w:p>
      <w:pPr>
        <w:spacing w:after="0"/>
        <w:ind w:left="0"/>
        <w:jc w:val="both"/>
      </w:pPr>
      <w:r>
        <w:rPr>
          <w:rFonts w:ascii="Times New Roman"/>
          <w:b w:val="false"/>
          <w:i w:val="false"/>
          <w:color w:val="000000"/>
          <w:sz w:val="28"/>
        </w:rPr>
        <w:t>
      1703. Остойчивость сухогрузных судов проверяется при вариантах нагрузки, указанных в главе 98 настоящих Правил, а также при частичном заполнении трюмов тяжелыми грузами (рудой, металлоломом) при осадке по грузовую марку.</w:t>
      </w:r>
    </w:p>
    <w:bookmarkEnd w:id="5347"/>
    <w:bookmarkStart w:name="z5356" w:id="5348"/>
    <w:p>
      <w:pPr>
        <w:spacing w:after="0"/>
        <w:ind w:left="0"/>
        <w:jc w:val="both"/>
      </w:pPr>
      <w:r>
        <w:rPr>
          <w:rFonts w:ascii="Times New Roman"/>
          <w:b w:val="false"/>
          <w:i w:val="false"/>
          <w:color w:val="000000"/>
          <w:sz w:val="28"/>
        </w:rPr>
        <w:t xml:space="preserve">
      1704. Остойчивость по критерию ускорения </w:t>
      </w:r>
      <w:r>
        <w:rPr>
          <w:rFonts w:ascii="Times New Roman"/>
          <w:b w:val="false"/>
          <w:i/>
          <w:color w:val="000000"/>
          <w:sz w:val="28"/>
        </w:rPr>
        <w:t>K</w:t>
      </w:r>
      <w:r>
        <w:rPr>
          <w:rFonts w:ascii="Times New Roman"/>
          <w:b w:val="false"/>
          <w:i w:val="false"/>
          <w:color w:val="000000"/>
          <w:sz w:val="28"/>
        </w:rPr>
        <w:t xml:space="preserve">* считается приемлемой, если в рассматриваемом состоянии нагрузки расчетное ускорение (в долях </w:t>
      </w:r>
      <w:r>
        <w:rPr>
          <w:rFonts w:ascii="Times New Roman"/>
          <w:b w:val="false"/>
          <w:i/>
          <w:color w:val="000000"/>
          <w:sz w:val="28"/>
        </w:rPr>
        <w:t>g</w:t>
      </w:r>
      <w:r>
        <w:rPr>
          <w:rFonts w:ascii="Times New Roman"/>
          <w:b w:val="false"/>
          <w:i w:val="false"/>
          <w:color w:val="000000"/>
          <w:sz w:val="28"/>
        </w:rPr>
        <w:t>) не превышает допустимого значения, то есть выполняется условие:</w:t>
      </w:r>
    </w:p>
    <w:bookmarkEnd w:id="5348"/>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 0,3/</w:t>
      </w:r>
      <w:r>
        <w:rPr>
          <w:rFonts w:ascii="Times New Roman"/>
          <w:b w:val="false"/>
          <w:i/>
          <w:color w:val="000000"/>
          <w:sz w:val="28"/>
        </w:rPr>
        <w:t>а</w:t>
      </w:r>
      <w:r>
        <w:rPr>
          <w:rFonts w:ascii="Times New Roman"/>
          <w:b w:val="false"/>
          <w:i w:val="false"/>
          <w:color w:val="000000"/>
          <w:vertAlign w:val="subscript"/>
        </w:rPr>
        <w:t>расч</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(623)</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vertAlign w:val="subscript"/>
        </w:rPr>
        <w:t>расч</w:t>
      </w:r>
      <w:r>
        <w:rPr>
          <w:rFonts w:ascii="Times New Roman"/>
          <w:b w:val="false"/>
          <w:i w:val="false"/>
          <w:color w:val="000000"/>
          <w:sz w:val="28"/>
        </w:rPr>
        <w:t xml:space="preserve"> — расчетное ускорение (в долях </w:t>
      </w:r>
      <w:r>
        <w:rPr>
          <w:rFonts w:ascii="Times New Roman"/>
          <w:b w:val="false"/>
          <w:i/>
          <w:color w:val="000000"/>
          <w:sz w:val="28"/>
        </w:rPr>
        <w:t>g</w:t>
      </w:r>
      <w:r>
        <w:rPr>
          <w:rFonts w:ascii="Times New Roman"/>
          <w:b w:val="false"/>
          <w:i w:val="false"/>
          <w:color w:val="000000"/>
          <w:sz w:val="28"/>
        </w:rPr>
        <w:t>), определяемое по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расч</w:t>
      </w:r>
      <w:r>
        <w:rPr>
          <w:rFonts w:ascii="Times New Roman"/>
          <w:b w:val="false"/>
          <w:i w:val="false"/>
          <w:color w:val="000000"/>
          <w:sz w:val="28"/>
        </w:rPr>
        <w:t xml:space="preserve"> = 0,0105</w:t>
      </w:r>
    </w:p>
    <w:p>
      <w:pPr>
        <w:spacing w:after="0"/>
        <w:ind w:left="0"/>
        <w:jc w:val="both"/>
      </w:pPr>
      <w:r>
        <w:drawing>
          <wp:inline distT="0" distB="0" distL="0" distR="0">
            <wp:extent cx="444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444500" cy="647700"/>
                    </a:xfrm>
                    <a:prstGeom prst="rect">
                      <a:avLst/>
                    </a:prstGeom>
                  </pic:spPr>
                </pic:pic>
              </a:graphicData>
            </a:graphic>
          </wp:inline>
        </w:drawing>
      </w:r>
    </w:p>
    <w:p>
      <w:pPr>
        <w:spacing w:after="0"/>
        <w:ind w:left="0"/>
        <w:jc w:val="left"/>
      </w:pPr>
      <w:r>
        <w:rPr>
          <w:rFonts w:ascii="Times New Roman"/>
          <w:b w:val="false"/>
          <w:i w:val="false"/>
          <w:color w:val="000000"/>
          <w:sz w:val="28"/>
        </w:rPr>
        <w:t>k</w:t>
      </w:r>
      <w:r>
        <w:rPr>
          <w:rFonts w:ascii="Times New Roman"/>
          <w:b w:val="false"/>
          <w:i w:val="false"/>
          <w:color w:val="000000"/>
          <w:vertAlign w:val="subscript"/>
        </w:rPr>
        <w:t>Ө</w:t>
      </w: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Здесь Ө</w:t>
      </w:r>
      <w:r>
        <w:rPr>
          <w:rFonts w:ascii="Times New Roman"/>
          <w:b w:val="false"/>
          <w:i w:val="false"/>
          <w:color w:val="000000"/>
          <w:vertAlign w:val="subscript"/>
        </w:rPr>
        <w:t>r</w:t>
      </w:r>
      <w:r>
        <w:rPr>
          <w:rFonts w:ascii="Times New Roman"/>
          <w:b w:val="false"/>
          <w:i w:val="false"/>
          <w:color w:val="000000"/>
          <w:sz w:val="28"/>
        </w:rPr>
        <w:t xml:space="preserve"> — расчетная амплитуда качки, град, определяемая в соответствии с параграфом 2 главы 94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инерционный коэффициент, определяемый в соответствии с пунктом 1440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начальная метацентрическая высота без учета поправки на свободные поверхности жидких грузов;</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ө</w:t>
      </w:r>
      <w:r>
        <w:rPr>
          <w:rFonts w:ascii="Times New Roman"/>
          <w:b w:val="false"/>
          <w:i w:val="false"/>
          <w:color w:val="000000"/>
          <w:sz w:val="28"/>
        </w:rPr>
        <w:t xml:space="preserve"> — коэффициент, учитывающий особенности качки судов смешанного плавания, определяемый согласно приложению 202 настоящих Правил.</w:t>
      </w:r>
    </w:p>
    <w:bookmarkStart w:name="z5357" w:id="5349"/>
    <w:p>
      <w:pPr>
        <w:spacing w:after="0"/>
        <w:ind w:left="0"/>
        <w:jc w:val="both"/>
      </w:pPr>
      <w:r>
        <w:rPr>
          <w:rFonts w:ascii="Times New Roman"/>
          <w:b w:val="false"/>
          <w:i w:val="false"/>
          <w:color w:val="000000"/>
          <w:sz w:val="28"/>
        </w:rPr>
        <w:t>
      1705. По обоснованному представлению судовладельца Регистр судоходства допускает эксплуатацию судна при критерии ускорения K* &lt; 1. В этих случаях вводится дополнительное ограничение по высоте волны. При этом высота волны 3-процентной обеспеченности определяется в зависимости от критерия K* по приложению 202 настоящих Правил. Конкретные варианты нагрузки при K* &lt; 1 приводят в Информации об остойчивости.</w:t>
      </w:r>
    </w:p>
    <w:bookmarkEnd w:id="5349"/>
    <w:bookmarkStart w:name="z5358" w:id="5350"/>
    <w:p>
      <w:pPr>
        <w:spacing w:after="0"/>
        <w:ind w:left="0"/>
        <w:jc w:val="left"/>
      </w:pPr>
      <w:r>
        <w:rPr>
          <w:rFonts w:ascii="Times New Roman"/>
          <w:b/>
          <w:i w:val="false"/>
          <w:color w:val="000000"/>
        </w:rPr>
        <w:t xml:space="preserve"> Подраздел 4. Требования к остойчивости плавучих кранов,</w:t>
      </w:r>
      <w:r>
        <w:br/>
      </w:r>
      <w:r>
        <w:rPr>
          <w:rFonts w:ascii="Times New Roman"/>
          <w:b/>
          <w:i w:val="false"/>
          <w:color w:val="000000"/>
        </w:rPr>
        <w:t>крановых судов, транспортных понтонов,</w:t>
      </w:r>
      <w:r>
        <w:br/>
      </w:r>
      <w:r>
        <w:rPr>
          <w:rFonts w:ascii="Times New Roman"/>
          <w:b/>
          <w:i w:val="false"/>
          <w:color w:val="000000"/>
        </w:rPr>
        <w:t>доков и стоечных судов</w:t>
      </w:r>
      <w:r>
        <w:br/>
      </w:r>
      <w:r>
        <w:rPr>
          <w:rFonts w:ascii="Times New Roman"/>
          <w:b/>
          <w:i w:val="false"/>
          <w:color w:val="000000"/>
        </w:rPr>
        <w:t>Глава 109. Плавучие краны и крановые суда</w:t>
      </w:r>
    </w:p>
    <w:bookmarkEnd w:id="5350"/>
    <w:p>
      <w:pPr>
        <w:spacing w:after="0"/>
        <w:ind w:left="0"/>
        <w:jc w:val="both"/>
      </w:pPr>
      <w:r>
        <w:rPr>
          <w:rFonts w:ascii="Times New Roman"/>
          <w:b w:val="false"/>
          <w:i w:val="false"/>
          <w:color w:val="ff0000"/>
          <w:sz w:val="28"/>
        </w:rPr>
        <w:t xml:space="preserve">
      Сноска. Заголовок главы 109 -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360" w:id="5351"/>
    <w:p>
      <w:pPr>
        <w:spacing w:after="0"/>
        <w:ind w:left="0"/>
        <w:jc w:val="left"/>
      </w:pPr>
      <w:r>
        <w:rPr>
          <w:rFonts w:ascii="Times New Roman"/>
          <w:b/>
          <w:i w:val="false"/>
          <w:color w:val="000000"/>
        </w:rPr>
        <w:t xml:space="preserve"> Параграф 1. Общие положения, расчетные состояния</w:t>
      </w:r>
    </w:p>
    <w:bookmarkEnd w:id="5351"/>
    <w:bookmarkStart w:name="z5361" w:id="5352"/>
    <w:p>
      <w:pPr>
        <w:spacing w:after="0"/>
        <w:ind w:left="0"/>
        <w:jc w:val="both"/>
      </w:pPr>
      <w:r>
        <w:rPr>
          <w:rFonts w:ascii="Times New Roman"/>
          <w:b w:val="false"/>
          <w:i w:val="false"/>
          <w:color w:val="000000"/>
          <w:sz w:val="28"/>
        </w:rPr>
        <w:t>
      1706. В соответствующих пунктах настоящей главы даны конкретные указания о распространении требований этих пунктов либо в равной мере на плавучие краны и крановые суда, либо только на плавучие краны, либо только на крановые суда. Отсутствие же таких указаний в заголовках и текстах пунктов свидетельствует о применимости требований в равной мере и к плавучим кранам и крановым судам.</w:t>
      </w:r>
    </w:p>
    <w:bookmarkEnd w:id="5352"/>
    <w:bookmarkStart w:name="z5362" w:id="5353"/>
    <w:p>
      <w:pPr>
        <w:spacing w:after="0"/>
        <w:ind w:left="0"/>
        <w:jc w:val="both"/>
      </w:pPr>
      <w:r>
        <w:rPr>
          <w:rFonts w:ascii="Times New Roman"/>
          <w:b w:val="false"/>
          <w:i w:val="false"/>
          <w:color w:val="000000"/>
          <w:sz w:val="28"/>
        </w:rPr>
        <w:t>
      Требования настоящей главы распространяются на плавучие краны и крановые суда, у которых хотя бы в одном варианте нагрузки по пункту 1710 настоящих Правил, масса груза на гаке составляет более 0,02</w:t>
      </w:r>
    </w:p>
    <w:bookmarkEnd w:id="535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т, или выполняется хотя бы одно из условий: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g</w:t>
      </w:r>
      <w:r>
        <w:rPr>
          <w:rFonts w:ascii="Times New Roman"/>
          <w:b w:val="false"/>
          <w:i w:val="false"/>
          <w:color w:val="000000"/>
          <w:sz w:val="28"/>
        </w:rPr>
        <w:t>| &gt; 0,05</w:t>
      </w:r>
      <w:r>
        <w:rPr>
          <w:rFonts w:ascii="Times New Roman"/>
          <w:b w:val="false"/>
          <w:i/>
          <w:color w:val="000000"/>
          <w:sz w:val="28"/>
        </w:rPr>
        <w:t>h</w:t>
      </w:r>
      <w:r>
        <w:rPr>
          <w:rFonts w:ascii="Times New Roman"/>
          <w:b w:val="false"/>
          <w:i w:val="false"/>
          <w:color w:val="000000"/>
          <w:sz w:val="28"/>
        </w:rPr>
        <w:t xml:space="preserve">                       (624)</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g</w:t>
      </w:r>
      <w:r>
        <w:rPr>
          <w:rFonts w:ascii="Times New Roman"/>
          <w:b w:val="false"/>
          <w:i w:val="false"/>
          <w:color w:val="000000"/>
          <w:sz w:val="28"/>
        </w:rPr>
        <w:t xml:space="preserve"> – х</w:t>
      </w:r>
      <w:r>
        <w:rPr>
          <w:rFonts w:ascii="Times New Roman"/>
          <w:b w:val="false"/>
          <w:i w:val="false"/>
          <w:color w:val="000000"/>
          <w:vertAlign w:val="subscript"/>
        </w:rPr>
        <w:t>с</w:t>
      </w:r>
      <w:r>
        <w:rPr>
          <w:rFonts w:ascii="Times New Roman"/>
          <w:b w:val="false"/>
          <w:i w:val="false"/>
          <w:color w:val="000000"/>
          <w:sz w:val="28"/>
        </w:rPr>
        <w:t>| &gt; 0,025</w:t>
      </w:r>
      <w:r>
        <w:rPr>
          <w:rFonts w:ascii="Times New Roman"/>
          <w:b w:val="false"/>
          <w:i/>
          <w:color w:val="000000"/>
          <w:sz w:val="28"/>
        </w:rPr>
        <w:t>Н</w:t>
      </w:r>
      <w:r>
        <w:rPr>
          <w:rFonts w:ascii="Times New Roman"/>
          <w:b w:val="false"/>
          <w:i w:val="false"/>
          <w:color w:val="000000"/>
          <w:sz w:val="28"/>
        </w:rPr>
        <w:t>.                      (625)</w:t>
      </w:r>
    </w:p>
    <w:bookmarkStart w:name="z5363" w:id="5354"/>
    <w:p>
      <w:pPr>
        <w:spacing w:after="0"/>
        <w:ind w:left="0"/>
        <w:jc w:val="both"/>
      </w:pPr>
      <w:r>
        <w:rPr>
          <w:rFonts w:ascii="Times New Roman"/>
          <w:b w:val="false"/>
          <w:i w:val="false"/>
          <w:color w:val="000000"/>
          <w:sz w:val="28"/>
        </w:rPr>
        <w:t>
      Регистр судоходства требует выполнения требований настоящей главы и при несоблюдении изложенных выше условий.</w:t>
      </w:r>
    </w:p>
    <w:bookmarkEnd w:id="5354"/>
    <w:bookmarkStart w:name="z5364" w:id="5355"/>
    <w:p>
      <w:pPr>
        <w:spacing w:after="0"/>
        <w:ind w:left="0"/>
        <w:jc w:val="both"/>
      </w:pPr>
      <w:r>
        <w:rPr>
          <w:rFonts w:ascii="Times New Roman"/>
          <w:b w:val="false"/>
          <w:i w:val="false"/>
          <w:color w:val="000000"/>
          <w:sz w:val="28"/>
        </w:rPr>
        <w:t>
      1707. Отдельные требования к остойчивости плавучих кранов, крановых судов при уникальных (разовых, эпизодических) грузовых операциях возможно будут исключены или снижены, если будет разработан проект операции и к удовлетворению Регистра судоходства будет показано, что приняты специальные технические и организационные меры, исключающие возникновение конкретных опасных ситуаций (обрыва груза).</w:t>
      </w:r>
    </w:p>
    <w:bookmarkEnd w:id="5355"/>
    <w:bookmarkStart w:name="z5365" w:id="5356"/>
    <w:p>
      <w:pPr>
        <w:spacing w:after="0"/>
        <w:ind w:left="0"/>
        <w:jc w:val="both"/>
      </w:pPr>
      <w:r>
        <w:rPr>
          <w:rFonts w:ascii="Times New Roman"/>
          <w:b w:val="false"/>
          <w:i w:val="false"/>
          <w:color w:val="000000"/>
          <w:sz w:val="28"/>
        </w:rPr>
        <w:t>
      1708. Расчетное положение центра массы груза, находящегося на гаке, принимается в точке подвеса его к стреле. Если грузовые операции выполняются на сложном подвесе, то есть на двух гаках (бифилярном подвесе), на трех гаках (трифилярном подвесе) или крановое сооружение имеет противо-раскачивающее устройство, или перемещение подвешенного груза ограничено в рассматриваемом диапазоне углов наклонения плавучего крана/ кранового судна, то остойчивость проверяют с учетом фактического смещения центра массы груза при наклонении.</w:t>
      </w:r>
    </w:p>
    <w:bookmarkEnd w:id="5356"/>
    <w:bookmarkStart w:name="z5366" w:id="5357"/>
    <w:p>
      <w:pPr>
        <w:spacing w:after="0"/>
        <w:ind w:left="0"/>
        <w:jc w:val="both"/>
      </w:pPr>
      <w:r>
        <w:rPr>
          <w:rFonts w:ascii="Times New Roman"/>
          <w:b w:val="false"/>
          <w:i w:val="false"/>
          <w:color w:val="000000"/>
          <w:sz w:val="28"/>
        </w:rPr>
        <w:t>
      Вылет стрелы — расстояние от вертикальной линии, проведенной через точку подвеса груза при посадке плавучего основания прямо и на ровный киле, определяемое:</w:t>
      </w:r>
    </w:p>
    <w:bookmarkEnd w:id="5357"/>
    <w:bookmarkStart w:name="z5367" w:id="5358"/>
    <w:p>
      <w:pPr>
        <w:spacing w:after="0"/>
        <w:ind w:left="0"/>
        <w:jc w:val="both"/>
      </w:pPr>
      <w:r>
        <w:rPr>
          <w:rFonts w:ascii="Times New Roman"/>
          <w:b w:val="false"/>
          <w:i w:val="false"/>
          <w:color w:val="000000"/>
          <w:sz w:val="28"/>
        </w:rPr>
        <w:t>
      до оси вращения поворотного кранового сооружения;</w:t>
      </w:r>
    </w:p>
    <w:bookmarkEnd w:id="5358"/>
    <w:bookmarkStart w:name="z5368" w:id="5359"/>
    <w:p>
      <w:pPr>
        <w:spacing w:after="0"/>
        <w:ind w:left="0"/>
        <w:jc w:val="both"/>
      </w:pPr>
      <w:r>
        <w:rPr>
          <w:rFonts w:ascii="Times New Roman"/>
          <w:b w:val="false"/>
          <w:i w:val="false"/>
          <w:color w:val="000000"/>
          <w:sz w:val="28"/>
        </w:rPr>
        <w:t>
      до оси шарнира стрелы неповоротного кранового сооружения.</w:t>
      </w:r>
    </w:p>
    <w:bookmarkEnd w:id="5359"/>
    <w:bookmarkStart w:name="z5369" w:id="5360"/>
    <w:p>
      <w:pPr>
        <w:spacing w:after="0"/>
        <w:ind w:left="0"/>
        <w:jc w:val="both"/>
      </w:pPr>
      <w:r>
        <w:rPr>
          <w:rFonts w:ascii="Times New Roman"/>
          <w:b w:val="false"/>
          <w:i w:val="false"/>
          <w:color w:val="000000"/>
          <w:sz w:val="28"/>
        </w:rPr>
        <w:t>
      У неповоротных крановых сооружений, предназначенных для работы стрелой, расположенной в продольной плоскости, остойчивость проверяется с учетом возможной несимметричности нагрузки на гаках.</w:t>
      </w:r>
    </w:p>
    <w:bookmarkEnd w:id="5360"/>
    <w:bookmarkStart w:name="z5370" w:id="5361"/>
    <w:p>
      <w:pPr>
        <w:spacing w:after="0"/>
        <w:ind w:left="0"/>
        <w:jc w:val="both"/>
      </w:pPr>
      <w:r>
        <w:rPr>
          <w:rFonts w:ascii="Times New Roman"/>
          <w:b w:val="false"/>
          <w:i w:val="false"/>
          <w:color w:val="000000"/>
          <w:sz w:val="28"/>
        </w:rPr>
        <w:t>
      1709 Расчетные состояния:</w:t>
      </w:r>
    </w:p>
    <w:bookmarkEnd w:id="5361"/>
    <w:bookmarkStart w:name="z5371" w:id="5362"/>
    <w:p>
      <w:pPr>
        <w:spacing w:after="0"/>
        <w:ind w:left="0"/>
        <w:jc w:val="both"/>
      </w:pPr>
      <w:r>
        <w:rPr>
          <w:rFonts w:ascii="Times New Roman"/>
          <w:b w:val="false"/>
          <w:i w:val="false"/>
          <w:color w:val="000000"/>
          <w:sz w:val="28"/>
        </w:rPr>
        <w:t>
      1) рабочее (выполнение грузоподъемных операций и перевозка грузов в установленном районе плавания со стрелой, не раскрепленной "по-походному");</w:t>
      </w:r>
    </w:p>
    <w:bookmarkEnd w:id="5362"/>
    <w:bookmarkStart w:name="z5372" w:id="5363"/>
    <w:p>
      <w:pPr>
        <w:spacing w:after="0"/>
        <w:ind w:left="0"/>
        <w:jc w:val="both"/>
      </w:pPr>
      <w:r>
        <w:rPr>
          <w:rFonts w:ascii="Times New Roman"/>
          <w:b w:val="false"/>
          <w:i w:val="false"/>
          <w:color w:val="000000"/>
          <w:sz w:val="28"/>
        </w:rPr>
        <w:t>
      2) переход (плавание и отстой в пределах установленного района плавания, в том числе с грузом на палубе и/или в трюме, со стрелой, раскрепленной "по-походному");</w:t>
      </w:r>
    </w:p>
    <w:bookmarkEnd w:id="5363"/>
    <w:bookmarkStart w:name="z5373" w:id="5364"/>
    <w:p>
      <w:pPr>
        <w:spacing w:after="0"/>
        <w:ind w:left="0"/>
        <w:jc w:val="both"/>
      </w:pPr>
      <w:r>
        <w:rPr>
          <w:rFonts w:ascii="Times New Roman"/>
          <w:b w:val="false"/>
          <w:i w:val="false"/>
          <w:color w:val="000000"/>
          <w:sz w:val="28"/>
        </w:rPr>
        <w:t>
      3) нерабочее (отстой в порту с неработающими механизмами при наиболее неблагоприятных в отношении остойчивости вариантах нагрузки и положениях стрелы без груза на гаке);</w:t>
      </w:r>
    </w:p>
    <w:bookmarkEnd w:id="5364"/>
    <w:bookmarkStart w:name="z5374" w:id="5365"/>
    <w:p>
      <w:pPr>
        <w:spacing w:after="0"/>
        <w:ind w:left="0"/>
        <w:jc w:val="both"/>
      </w:pPr>
      <w:r>
        <w:rPr>
          <w:rFonts w:ascii="Times New Roman"/>
          <w:b w:val="false"/>
          <w:i w:val="false"/>
          <w:color w:val="000000"/>
          <w:sz w:val="28"/>
        </w:rPr>
        <w:t>
      4) перегон (плавание вне пределов установленного района плавания по специальному разрешению Регистра судоходства после конвертации по согласованному с Регистром судоходства проекту).</w:t>
      </w:r>
    </w:p>
    <w:bookmarkEnd w:id="5365"/>
    <w:bookmarkStart w:name="z5375" w:id="5366"/>
    <w:p>
      <w:pPr>
        <w:spacing w:after="0"/>
        <w:ind w:left="0"/>
        <w:jc w:val="left"/>
      </w:pPr>
      <w:r>
        <w:rPr>
          <w:rFonts w:ascii="Times New Roman"/>
          <w:b/>
          <w:i w:val="false"/>
          <w:color w:val="000000"/>
        </w:rPr>
        <w:t xml:space="preserve"> Параграф 2. Варианты нагрузки</w:t>
      </w:r>
    </w:p>
    <w:bookmarkEnd w:id="5366"/>
    <w:bookmarkStart w:name="z5376" w:id="5367"/>
    <w:p>
      <w:pPr>
        <w:spacing w:after="0"/>
        <w:ind w:left="0"/>
        <w:jc w:val="both"/>
      </w:pPr>
      <w:r>
        <w:rPr>
          <w:rFonts w:ascii="Times New Roman"/>
          <w:b w:val="false"/>
          <w:i w:val="false"/>
          <w:color w:val="000000"/>
          <w:sz w:val="28"/>
        </w:rPr>
        <w:t>
      1710. В рабочем состоянии остойчивость проверяется без учета обледенения и, если необходимо, с жидким балластом при следующих вариантах нагрузки:</w:t>
      </w:r>
    </w:p>
    <w:bookmarkEnd w:id="5367"/>
    <w:bookmarkStart w:name="z5377" w:id="5368"/>
    <w:p>
      <w:pPr>
        <w:spacing w:after="0"/>
        <w:ind w:left="0"/>
        <w:jc w:val="both"/>
      </w:pPr>
      <w:r>
        <w:rPr>
          <w:rFonts w:ascii="Times New Roman"/>
          <w:b w:val="false"/>
          <w:i w:val="false"/>
          <w:color w:val="000000"/>
          <w:sz w:val="28"/>
        </w:rPr>
        <w:t xml:space="preserve">
      1) с максимальным грузом на гаке при наибольшем для этого груза вылете и при заданном угле поворота стрелы кранового сооружения </w:t>
      </w:r>
    </w:p>
    <w:bookmarkEnd w:id="5368"/>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относительно диаметральной плоскости плавучего крана/ кранового судна: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полным грузом, с полными запасами;</w:t>
      </w:r>
    </w:p>
    <w:p>
      <w:pPr>
        <w:spacing w:after="0"/>
        <w:ind w:left="0"/>
        <w:jc w:val="both"/>
      </w:pPr>
      <w:r>
        <w:rPr>
          <w:rFonts w:ascii="Times New Roman"/>
          <w:b w:val="false"/>
          <w:i w:val="false"/>
          <w:color w:val="000000"/>
          <w:sz w:val="28"/>
        </w:rPr>
        <w:t>
      с полным грузом, с 10 % запасов;</w:t>
      </w:r>
    </w:p>
    <w:p>
      <w:pPr>
        <w:spacing w:after="0"/>
        <w:ind w:left="0"/>
        <w:jc w:val="both"/>
      </w:pPr>
      <w:r>
        <w:rPr>
          <w:rFonts w:ascii="Times New Roman"/>
          <w:b w:val="false"/>
          <w:i w:val="false"/>
          <w:color w:val="000000"/>
          <w:sz w:val="28"/>
        </w:rPr>
        <w:t>
      без груза, с полными запасами;</w:t>
      </w:r>
    </w:p>
    <w:p>
      <w:pPr>
        <w:spacing w:after="0"/>
        <w:ind w:left="0"/>
        <w:jc w:val="both"/>
      </w:pPr>
      <w:r>
        <w:rPr>
          <w:rFonts w:ascii="Times New Roman"/>
          <w:b w:val="false"/>
          <w:i w:val="false"/>
          <w:color w:val="000000"/>
          <w:sz w:val="28"/>
        </w:rPr>
        <w:t>
      без груза, с 10 % запасов;</w:t>
      </w:r>
    </w:p>
    <w:bookmarkStart w:name="z5378" w:id="5369"/>
    <w:p>
      <w:pPr>
        <w:spacing w:after="0"/>
        <w:ind w:left="0"/>
        <w:jc w:val="both"/>
      </w:pPr>
      <w:r>
        <w:rPr>
          <w:rFonts w:ascii="Times New Roman"/>
          <w:b w:val="false"/>
          <w:i w:val="false"/>
          <w:color w:val="000000"/>
          <w:sz w:val="28"/>
        </w:rPr>
        <w:t xml:space="preserve">
      2) без груза на гаке при самом высоком положении стрелы кранового сооружения и при заданном угле ее поворота </w:t>
      </w:r>
    </w:p>
    <w:bookmarkEnd w:id="5369"/>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полным грузом, с полными запасами;</w:t>
      </w:r>
    </w:p>
    <w:p>
      <w:pPr>
        <w:spacing w:after="0"/>
        <w:ind w:left="0"/>
        <w:jc w:val="both"/>
      </w:pPr>
      <w:r>
        <w:rPr>
          <w:rFonts w:ascii="Times New Roman"/>
          <w:b w:val="false"/>
          <w:i w:val="false"/>
          <w:color w:val="000000"/>
          <w:sz w:val="28"/>
        </w:rPr>
        <w:t>
      с полным грузом, с 10 % запасов;</w:t>
      </w:r>
    </w:p>
    <w:p>
      <w:pPr>
        <w:spacing w:after="0"/>
        <w:ind w:left="0"/>
        <w:jc w:val="both"/>
      </w:pPr>
      <w:r>
        <w:rPr>
          <w:rFonts w:ascii="Times New Roman"/>
          <w:b w:val="false"/>
          <w:i w:val="false"/>
          <w:color w:val="000000"/>
          <w:sz w:val="28"/>
        </w:rPr>
        <w:t>
      без груза, с полными запасами;</w:t>
      </w:r>
    </w:p>
    <w:p>
      <w:pPr>
        <w:spacing w:after="0"/>
        <w:ind w:left="0"/>
        <w:jc w:val="both"/>
      </w:pPr>
      <w:r>
        <w:rPr>
          <w:rFonts w:ascii="Times New Roman"/>
          <w:b w:val="false"/>
          <w:i w:val="false"/>
          <w:color w:val="000000"/>
          <w:sz w:val="28"/>
        </w:rPr>
        <w:t>
      без груза, с 10 % запасов;</w:t>
      </w:r>
    </w:p>
    <w:bookmarkStart w:name="z5379" w:id="5370"/>
    <w:p>
      <w:pPr>
        <w:spacing w:after="0"/>
        <w:ind w:left="0"/>
        <w:jc w:val="both"/>
      </w:pPr>
      <w:r>
        <w:rPr>
          <w:rFonts w:ascii="Times New Roman"/>
          <w:b w:val="false"/>
          <w:i w:val="false"/>
          <w:color w:val="000000"/>
          <w:sz w:val="28"/>
        </w:rPr>
        <w:t>
      3) при обрыве груза (то есть при быстром освобождении стрелы кранового сооружения от подвешенного на гаке груза). При обрыве груза проверка осуществляется для наихудшего в отношении остойчивости варианта нагрузки с учетом возможного несимметричного расположения груза на палубе и/или в трюме.</w:t>
      </w:r>
    </w:p>
    <w:bookmarkEnd w:id="5370"/>
    <w:bookmarkStart w:name="z5380" w:id="5371"/>
    <w:p>
      <w:pPr>
        <w:spacing w:after="0"/>
        <w:ind w:left="0"/>
        <w:jc w:val="both"/>
      </w:pPr>
      <w:r>
        <w:rPr>
          <w:rFonts w:ascii="Times New Roman"/>
          <w:b w:val="false"/>
          <w:i w:val="false"/>
          <w:color w:val="000000"/>
          <w:sz w:val="28"/>
        </w:rPr>
        <w:t>
      1711. При переходе остойчивость проверяется (если необходимо, с жидким балластом) при следующих вариантах нагрузки:</w:t>
      </w:r>
    </w:p>
    <w:bookmarkEnd w:id="5371"/>
    <w:p>
      <w:pPr>
        <w:spacing w:after="0"/>
        <w:ind w:left="0"/>
        <w:jc w:val="both"/>
      </w:pPr>
      <w:r>
        <w:rPr>
          <w:rFonts w:ascii="Times New Roman"/>
          <w:b w:val="false"/>
          <w:i w:val="false"/>
          <w:color w:val="000000"/>
          <w:sz w:val="28"/>
        </w:rPr>
        <w:t>
      с полным грузом, с полными запасами;</w:t>
      </w:r>
    </w:p>
    <w:p>
      <w:pPr>
        <w:spacing w:after="0"/>
        <w:ind w:left="0"/>
        <w:jc w:val="both"/>
      </w:pPr>
      <w:r>
        <w:rPr>
          <w:rFonts w:ascii="Times New Roman"/>
          <w:b w:val="false"/>
          <w:i w:val="false"/>
          <w:color w:val="000000"/>
          <w:sz w:val="28"/>
        </w:rPr>
        <w:t>
      с полным грузом, с 10 % запасов;</w:t>
      </w:r>
    </w:p>
    <w:p>
      <w:pPr>
        <w:spacing w:after="0"/>
        <w:ind w:left="0"/>
        <w:jc w:val="both"/>
      </w:pPr>
      <w:r>
        <w:rPr>
          <w:rFonts w:ascii="Times New Roman"/>
          <w:b w:val="false"/>
          <w:i w:val="false"/>
          <w:color w:val="000000"/>
          <w:sz w:val="28"/>
        </w:rPr>
        <w:t>
      без груза, с полными запасами;</w:t>
      </w:r>
    </w:p>
    <w:p>
      <w:pPr>
        <w:spacing w:after="0"/>
        <w:ind w:left="0"/>
        <w:jc w:val="both"/>
      </w:pPr>
      <w:r>
        <w:rPr>
          <w:rFonts w:ascii="Times New Roman"/>
          <w:b w:val="false"/>
          <w:i w:val="false"/>
          <w:color w:val="000000"/>
          <w:sz w:val="28"/>
        </w:rPr>
        <w:t>
      без груза, с 10 % запасов.</w:t>
      </w:r>
    </w:p>
    <w:bookmarkStart w:name="z5381" w:id="5372"/>
    <w:p>
      <w:pPr>
        <w:spacing w:after="0"/>
        <w:ind w:left="0"/>
        <w:jc w:val="both"/>
      </w:pPr>
      <w:r>
        <w:rPr>
          <w:rFonts w:ascii="Times New Roman"/>
          <w:b w:val="false"/>
          <w:i w:val="false"/>
          <w:color w:val="000000"/>
          <w:sz w:val="28"/>
        </w:rPr>
        <w:t>
      При наличии на палубе груза в виде полых конструкций либо труб учитывается масса воды в них по фактически возможному заполнению водой полостей этих конструкций (с учетом их возможного обледенения), либо труб, как указано в пункте 1695 и 1698 настоящих Правил.</w:t>
      </w:r>
    </w:p>
    <w:bookmarkEnd w:id="5372"/>
    <w:bookmarkStart w:name="z5382" w:id="5373"/>
    <w:p>
      <w:pPr>
        <w:spacing w:after="0"/>
        <w:ind w:left="0"/>
        <w:jc w:val="both"/>
      </w:pPr>
      <w:r>
        <w:rPr>
          <w:rFonts w:ascii="Times New Roman"/>
          <w:b w:val="false"/>
          <w:i w:val="false"/>
          <w:color w:val="000000"/>
          <w:sz w:val="28"/>
        </w:rPr>
        <w:t>
      1712. В нерабочем состоянии остойчивость проверяется для наихудшего в отношении остойчивости варианта нагрузки из указанных в подпункте 2) пункта 1710 настоящих Правил.</w:t>
      </w:r>
    </w:p>
    <w:bookmarkEnd w:id="5373"/>
    <w:bookmarkStart w:name="z5383" w:id="5374"/>
    <w:p>
      <w:pPr>
        <w:spacing w:after="0"/>
        <w:ind w:left="0"/>
        <w:jc w:val="both"/>
      </w:pPr>
      <w:r>
        <w:rPr>
          <w:rFonts w:ascii="Times New Roman"/>
          <w:b w:val="false"/>
          <w:i w:val="false"/>
          <w:color w:val="000000"/>
          <w:sz w:val="28"/>
        </w:rPr>
        <w:t>
      1713. Для плавучих кранов/крановых судов, плавающих в зимнее время в зимних сезонных зонах, установленных Правилами о грузовой марке морских судов, при переходе/перегоне и в нерабочем состоянии проверяют остойчивость с учетом обледенения для наихудших в отношении остойчивости вариантов нагрузки из указанных в подпункте 2) пункта 1710 и пункта 1711 настоящих Правил. При этом норма обледенения принимается согласно параграфа 5 главы 109 настоящих Правил.</w:t>
      </w:r>
    </w:p>
    <w:bookmarkEnd w:id="5374"/>
    <w:bookmarkStart w:name="z5384" w:id="5375"/>
    <w:p>
      <w:pPr>
        <w:spacing w:after="0"/>
        <w:ind w:left="0"/>
        <w:jc w:val="left"/>
      </w:pPr>
      <w:r>
        <w:rPr>
          <w:rFonts w:ascii="Times New Roman"/>
          <w:b/>
          <w:i w:val="false"/>
          <w:color w:val="000000"/>
        </w:rPr>
        <w:t xml:space="preserve"> Параграф 3. Расчет диаграмм остойчивости и парусности</w:t>
      </w:r>
    </w:p>
    <w:bookmarkEnd w:id="5375"/>
    <w:bookmarkStart w:name="z5385" w:id="5376"/>
    <w:p>
      <w:pPr>
        <w:spacing w:after="0"/>
        <w:ind w:left="0"/>
        <w:jc w:val="both"/>
      </w:pPr>
      <w:r>
        <w:rPr>
          <w:rFonts w:ascii="Times New Roman"/>
          <w:b w:val="false"/>
          <w:i w:val="false"/>
          <w:color w:val="000000"/>
          <w:sz w:val="28"/>
        </w:rPr>
        <w:t>
      1714. По согласованию с Регистром судоходства расчеты плеч диаграмм остойчивости выполняются с учетом погружения в воду находящегося на гаке груза при наклонениях плавучего крана/кранового судна.</w:t>
      </w:r>
    </w:p>
    <w:bookmarkEnd w:id="5376"/>
    <w:bookmarkStart w:name="z5386" w:id="5377"/>
    <w:p>
      <w:pPr>
        <w:spacing w:after="0"/>
        <w:ind w:left="0"/>
        <w:jc w:val="both"/>
      </w:pPr>
      <w:r>
        <w:rPr>
          <w:rFonts w:ascii="Times New Roman"/>
          <w:b w:val="false"/>
          <w:i w:val="false"/>
          <w:color w:val="000000"/>
          <w:sz w:val="28"/>
        </w:rPr>
        <w:t xml:space="preserve">
      1715. Расчетной площадью элемента парусности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является:</w:t>
      </w:r>
    </w:p>
    <w:bookmarkEnd w:id="5377"/>
    <w:bookmarkStart w:name="z5387" w:id="5378"/>
    <w:p>
      <w:pPr>
        <w:spacing w:after="0"/>
        <w:ind w:left="0"/>
        <w:jc w:val="both"/>
      </w:pPr>
      <w:r>
        <w:rPr>
          <w:rFonts w:ascii="Times New Roman"/>
          <w:b w:val="false"/>
          <w:i w:val="false"/>
          <w:color w:val="000000"/>
          <w:sz w:val="28"/>
        </w:rPr>
        <w:t>
      1) для конструкций со сплошными стенками, палубных механизмов, устройств — площадь проекции, ограниченная контуром конструкции, механизма, устройства;</w:t>
      </w:r>
    </w:p>
    <w:bookmarkEnd w:id="5378"/>
    <w:bookmarkStart w:name="z5388" w:id="5379"/>
    <w:p>
      <w:pPr>
        <w:spacing w:after="0"/>
        <w:ind w:left="0"/>
        <w:jc w:val="both"/>
      </w:pPr>
      <w:r>
        <w:rPr>
          <w:rFonts w:ascii="Times New Roman"/>
          <w:b w:val="false"/>
          <w:i w:val="false"/>
          <w:color w:val="000000"/>
          <w:sz w:val="28"/>
        </w:rPr>
        <w:t>
      2) для решетчатой конструкции — площадь проекции, ограниченная контуром конструкции, за вычетом проемов между ее деталями;</w:t>
      </w:r>
    </w:p>
    <w:bookmarkEnd w:id="5379"/>
    <w:bookmarkStart w:name="z5389" w:id="5380"/>
    <w:p>
      <w:pPr>
        <w:spacing w:after="0"/>
        <w:ind w:left="0"/>
        <w:jc w:val="both"/>
      </w:pPr>
      <w:r>
        <w:rPr>
          <w:rFonts w:ascii="Times New Roman"/>
          <w:b w:val="false"/>
          <w:i w:val="false"/>
          <w:color w:val="000000"/>
          <w:sz w:val="28"/>
        </w:rPr>
        <w:t>
      3) для конструкции стрелы, каркаса крана, состоящей из нескольких балок одинаковой высоты, расположенных одна за другой (приложение 204 настоящих Правил) — площадь проекции передней балки, если расстояние между ними менее высоты передней балки, либо площадь проекции передней балки полностью и 50 % площадей проекций последующих балок, если расстояние между ними равно высоте балки или более ее, но не менее удвоенной ее высоты, либо</w:t>
      </w:r>
    </w:p>
    <w:bookmarkEnd w:id="5380"/>
    <w:bookmarkStart w:name="z5390" w:id="5381"/>
    <w:p>
      <w:pPr>
        <w:spacing w:after="0"/>
        <w:ind w:left="0"/>
        <w:jc w:val="both"/>
      </w:pPr>
      <w:r>
        <w:rPr>
          <w:rFonts w:ascii="Times New Roman"/>
          <w:b w:val="false"/>
          <w:i w:val="false"/>
          <w:color w:val="000000"/>
          <w:sz w:val="28"/>
        </w:rPr>
        <w:t>
      площадь проекции всех балок полностью, если расстояние между ними равно удвоенной высоте балки или более ее.</w:t>
      </w:r>
    </w:p>
    <w:bookmarkEnd w:id="5381"/>
    <w:bookmarkStart w:name="z5391" w:id="5382"/>
    <w:p>
      <w:pPr>
        <w:spacing w:after="0"/>
        <w:ind w:left="0"/>
        <w:jc w:val="both"/>
      </w:pPr>
      <w:r>
        <w:rPr>
          <w:rFonts w:ascii="Times New Roman"/>
          <w:b w:val="false"/>
          <w:i w:val="false"/>
          <w:color w:val="000000"/>
          <w:sz w:val="28"/>
        </w:rPr>
        <w:t>
      При неодинаковой высоте балок части последующих балок, не перекрывающихся предшествующими, учитываются полностью;</w:t>
      </w:r>
    </w:p>
    <w:bookmarkEnd w:id="5382"/>
    <w:bookmarkStart w:name="z5392" w:id="5383"/>
    <w:p>
      <w:pPr>
        <w:spacing w:after="0"/>
        <w:ind w:left="0"/>
        <w:jc w:val="both"/>
      </w:pPr>
      <w:r>
        <w:rPr>
          <w:rFonts w:ascii="Times New Roman"/>
          <w:b w:val="false"/>
          <w:i w:val="false"/>
          <w:color w:val="000000"/>
          <w:sz w:val="28"/>
        </w:rPr>
        <w:t xml:space="preserve">
      4) для группы канатов одинакового диаметра, расположенных один за другим на расстоянии </w:t>
      </w:r>
      <w:r>
        <w:rPr>
          <w:rFonts w:ascii="Times New Roman"/>
          <w:b w:val="false"/>
          <w:i/>
          <w:color w:val="000000"/>
          <w:sz w:val="28"/>
        </w:rPr>
        <w:t>а</w:t>
      </w:r>
      <w:r>
        <w:rPr>
          <w:rFonts w:ascii="Times New Roman"/>
          <w:b w:val="false"/>
          <w:i w:val="false"/>
          <w:color w:val="000000"/>
          <w:sz w:val="28"/>
        </w:rPr>
        <w:t xml:space="preserve"> (приложение 205 настоящих Правил), площадь проекции определяется по формуле:</w:t>
      </w:r>
    </w:p>
    <w:bookmarkEnd w:id="538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v</w:t>
      </w:r>
    </w:p>
    <w:p>
      <w:pPr>
        <w:spacing w:after="0"/>
        <w:ind w:left="0"/>
        <w:jc w:val="both"/>
      </w:pPr>
      <w:r>
        <w:drawing>
          <wp:inline distT="0" distB="0" distL="0" distR="0">
            <wp:extent cx="698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6985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vertAlign w:val="subscript"/>
        </w:rPr>
        <w:t>v</w:t>
      </w:r>
      <w:r>
        <w:rPr>
          <w:rFonts w:ascii="Times New Roman"/>
          <w:b w:val="false"/>
          <w:i w:val="false"/>
          <w:color w:val="000000"/>
          <w:sz w:val="28"/>
        </w:rPr>
        <w:t xml:space="preserve"> — площадь проекции одного каната;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канатов;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 коэффициент, определяемый по приложению 206 настоящих Правил в зависимости от отношения </w:t>
      </w:r>
      <w:r>
        <w:rPr>
          <w:rFonts w:ascii="Times New Roman"/>
          <w:b w:val="false"/>
          <w:i/>
          <w:color w:val="000000"/>
          <w:sz w:val="28"/>
        </w:rPr>
        <w:t>а/d</w:t>
      </w:r>
      <w:r>
        <w:rPr>
          <w:rFonts w:ascii="Times New Roman"/>
          <w:b w:val="false"/>
          <w:i w:val="false"/>
          <w:color w:val="000000"/>
          <w:vertAlign w:val="subscript"/>
        </w:rPr>
        <w:t>k</w:t>
      </w:r>
      <w:r>
        <w:rPr>
          <w:rFonts w:ascii="Times New Roman"/>
          <w:b w:val="false"/>
          <w:i w:val="false"/>
          <w:color w:val="000000"/>
          <w:sz w:val="28"/>
        </w:rPr>
        <w:t xml:space="preserve"> (где </w:t>
      </w:r>
      <w:r>
        <w:rPr>
          <w:rFonts w:ascii="Times New Roman"/>
          <w:b w:val="false"/>
          <w:i/>
          <w:color w:val="000000"/>
          <w:sz w:val="28"/>
        </w:rPr>
        <w:t>dk</w:t>
      </w:r>
      <w:r>
        <w:rPr>
          <w:rFonts w:ascii="Times New Roman"/>
          <w:b w:val="false"/>
          <w:i w:val="false"/>
          <w:color w:val="000000"/>
          <w:sz w:val="28"/>
        </w:rPr>
        <w:t xml:space="preserve"> — диаметр каната).</w:t>
      </w:r>
    </w:p>
    <w:bookmarkStart w:name="z5393" w:id="5384"/>
    <w:p>
      <w:pPr>
        <w:spacing w:after="0"/>
        <w:ind w:left="0"/>
        <w:jc w:val="both"/>
      </w:pPr>
      <w:r>
        <w:rPr>
          <w:rFonts w:ascii="Times New Roman"/>
          <w:b w:val="false"/>
          <w:i w:val="false"/>
          <w:color w:val="000000"/>
          <w:sz w:val="28"/>
        </w:rPr>
        <w:t xml:space="preserve">
      Если угол </w:t>
      </w:r>
    </w:p>
    <w:bookmarkEnd w:id="538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между осью каната и вектором скорости ветра не равен 90</w:t>
      </w:r>
      <w:r>
        <w:rPr>
          <w:rFonts w:ascii="Times New Roman"/>
          <w:b w:val="false"/>
          <w:i w:val="false"/>
          <w:color w:val="000000"/>
          <w:vertAlign w:val="superscript"/>
        </w:rPr>
        <w:t>о</w:t>
      </w:r>
      <w:r>
        <w:rPr>
          <w:rFonts w:ascii="Times New Roman"/>
          <w:b w:val="false"/>
          <w:i w:val="false"/>
          <w:color w:val="000000"/>
          <w:sz w:val="28"/>
        </w:rPr>
        <w:t xml:space="preserve"> (приложение 208 настоящих Правил), то принимается: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v</w:t>
      </w:r>
      <w:r>
        <w:rPr>
          <w:rFonts w:ascii="Times New Roman"/>
          <w:b w:val="false"/>
          <w:i w:val="false"/>
          <w:color w:val="000000"/>
          <w:sz w:val="28"/>
        </w:rPr>
        <w:t>sin</w:t>
      </w:r>
      <w:r>
        <w:rPr>
          <w:rFonts w:ascii="Times New Roman"/>
          <w:b w:val="false"/>
          <w:i w:val="false"/>
          <w:color w:val="000000"/>
          <w:vertAlign w:val="superscript"/>
        </w:rPr>
        <w:t>2</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(627)</w:t>
      </w:r>
      <w:r>
        <w:br/>
      </w:r>
      <w:r>
        <w:rPr>
          <w:rFonts w:ascii="Times New Roman"/>
          <w:b w:val="false"/>
          <w:i w:val="false"/>
          <w:color w:val="000000"/>
          <w:sz w:val="28"/>
        </w:rPr>
        <w:t>
</w:t>
      </w:r>
    </w:p>
    <w:bookmarkStart w:name="z5394" w:id="5385"/>
    <w:p>
      <w:pPr>
        <w:spacing w:after="0"/>
        <w:ind w:left="0"/>
        <w:jc w:val="both"/>
      </w:pPr>
      <w:r>
        <w:rPr>
          <w:rFonts w:ascii="Times New Roman"/>
          <w:b w:val="false"/>
          <w:i w:val="false"/>
          <w:color w:val="000000"/>
          <w:sz w:val="28"/>
        </w:rPr>
        <w:t>
      1716. Расчетные плечи парусности z</w:t>
      </w:r>
      <w:r>
        <w:rPr>
          <w:rFonts w:ascii="Times New Roman"/>
          <w:b w:val="false"/>
          <w:i w:val="false"/>
          <w:color w:val="000000"/>
          <w:vertAlign w:val="subscript"/>
        </w:rPr>
        <w:t>w</w:t>
      </w:r>
      <w:r>
        <w:rPr>
          <w:rFonts w:ascii="Times New Roman"/>
          <w:b w:val="false"/>
          <w:i w:val="false"/>
          <w:color w:val="000000"/>
          <w:sz w:val="28"/>
        </w:rPr>
        <w:t xml:space="preserve">, </w:t>
      </w:r>
    </w:p>
    <w:bookmarkEnd w:id="5385"/>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0"/>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м, определяются по формулам: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воздействии постоянного (ровного) ветра</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1104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1"/>
                    <a:stretch>
                      <a:fillRect/>
                    </a:stretch>
                  </pic:blipFill>
                  <pic:spPr>
                    <a:xfrm>
                      <a:off x="0" y="0"/>
                      <a:ext cx="1104900" cy="736600"/>
                    </a:xfrm>
                    <a:prstGeom prst="rect">
                      <a:avLst/>
                    </a:prstGeom>
                  </pic:spPr>
                </pic:pic>
              </a:graphicData>
            </a:graphic>
          </wp:inline>
        </w:drawing>
      </w:r>
    </w:p>
    <w:p>
      <w:pPr>
        <w:spacing w:after="0"/>
        <w:ind w:left="0"/>
        <w:jc w:val="left"/>
      </w:pPr>
      <w:r>
        <w:rPr>
          <w:rFonts w:ascii="Times New Roman"/>
          <w:b w:val="false"/>
          <w:i w:val="false"/>
          <w:color w:val="000000"/>
          <w:sz w:val="28"/>
        </w:rPr>
        <w:t>;                    (628)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воздействии шквала</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889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2"/>
                    <a:stretch>
                      <a:fillRect/>
                    </a:stretch>
                  </pic:blipFill>
                  <pic:spPr>
                    <a:xfrm>
                      <a:off x="0" y="0"/>
                      <a:ext cx="889000" cy="698500"/>
                    </a:xfrm>
                    <a:prstGeom prst="rect">
                      <a:avLst/>
                    </a:prstGeom>
                  </pic:spPr>
                </pic:pic>
              </a:graphicData>
            </a:graphic>
          </wp:inline>
        </w:drawing>
      </w:r>
    </w:p>
    <w:p>
      <w:pPr>
        <w:spacing w:after="0"/>
        <w:ind w:left="0"/>
        <w:jc w:val="left"/>
      </w:pPr>
      <w:r>
        <w:rPr>
          <w:rFonts w:ascii="Times New Roman"/>
          <w:b w:val="false"/>
          <w:i w:val="false"/>
          <w:color w:val="000000"/>
          <w:sz w:val="28"/>
        </w:rPr>
        <w:t>,                     (629)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 номер элемента парусности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возвышение над ватерлинией центра тяжести площади элемента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м;</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аэродинамический коэффициент обтекания элемента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коэффициент зоны для элемента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w:t>
      </w:r>
    </w:p>
    <w:bookmarkStart w:name="z5395" w:id="5386"/>
    <w:p>
      <w:pPr>
        <w:spacing w:after="0"/>
        <w:ind w:left="0"/>
        <w:jc w:val="both"/>
      </w:pPr>
      <w:r>
        <w:rPr>
          <w:rFonts w:ascii="Times New Roman"/>
          <w:b w:val="false"/>
          <w:i w:val="false"/>
          <w:color w:val="000000"/>
          <w:sz w:val="28"/>
        </w:rPr>
        <w:t>
      Величины A</w:t>
      </w:r>
      <w:r>
        <w:rPr>
          <w:rFonts w:ascii="Times New Roman"/>
          <w:b w:val="false"/>
          <w:i w:val="false"/>
          <w:color w:val="000000"/>
          <w:vertAlign w:val="subscript"/>
        </w:rPr>
        <w:t>v</w:t>
      </w:r>
      <w:r>
        <w:rPr>
          <w:rFonts w:ascii="Times New Roman"/>
          <w:b w:val="false"/>
          <w:i w:val="false"/>
          <w:color w:val="000000"/>
          <w:sz w:val="28"/>
        </w:rPr>
        <w:t>, z</w:t>
      </w:r>
      <w:r>
        <w:rPr>
          <w:rFonts w:ascii="Times New Roman"/>
          <w:b w:val="false"/>
          <w:i w:val="false"/>
          <w:color w:val="000000"/>
          <w:vertAlign w:val="subscript"/>
        </w:rPr>
        <w:t>w</w:t>
      </w:r>
      <w:r>
        <w:rPr>
          <w:rFonts w:ascii="Times New Roman"/>
          <w:b w:val="false"/>
          <w:i w:val="false"/>
          <w:color w:val="000000"/>
          <w:sz w:val="28"/>
        </w:rPr>
        <w:t xml:space="preserve">, z, </w:t>
      </w:r>
    </w:p>
    <w:bookmarkEnd w:id="5386"/>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3"/>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допускается определять с учетом дифферента.</w:t>
      </w:r>
      <w:r>
        <w:br/>
      </w:r>
      <w:r>
        <w:rPr>
          <w:rFonts w:ascii="Times New Roman"/>
          <w:b w:val="false"/>
          <w:i w:val="false"/>
          <w:color w:val="000000"/>
          <w:sz w:val="28"/>
        </w:rPr>
        <w:t>
</w:t>
      </w:r>
    </w:p>
    <w:bookmarkStart w:name="z5396" w:id="5387"/>
    <w:p>
      <w:pPr>
        <w:spacing w:after="0"/>
        <w:ind w:left="0"/>
        <w:jc w:val="both"/>
      </w:pPr>
      <w:r>
        <w:rPr>
          <w:rFonts w:ascii="Times New Roman"/>
          <w:b w:val="false"/>
          <w:i w:val="false"/>
          <w:color w:val="000000"/>
          <w:sz w:val="28"/>
        </w:rPr>
        <w:t>
      1717. Аэродинамические коэффициенты обтекания k</w:t>
      </w:r>
      <w:r>
        <w:rPr>
          <w:rFonts w:ascii="Times New Roman"/>
          <w:b w:val="false"/>
          <w:i w:val="false"/>
          <w:color w:val="000000"/>
          <w:vertAlign w:val="subscript"/>
        </w:rPr>
        <w:t>i</w:t>
      </w:r>
      <w:r>
        <w:rPr>
          <w:rFonts w:ascii="Times New Roman"/>
          <w:b w:val="false"/>
          <w:i w:val="false"/>
          <w:color w:val="000000"/>
          <w:sz w:val="28"/>
        </w:rPr>
        <w:t xml:space="preserve"> для некоторых элементов парусности приведены в приложении 207 настоящих Правил.</w:t>
      </w:r>
    </w:p>
    <w:bookmarkEnd w:id="5387"/>
    <w:bookmarkStart w:name="z5397" w:id="5388"/>
    <w:p>
      <w:pPr>
        <w:spacing w:after="0"/>
        <w:ind w:left="0"/>
        <w:jc w:val="both"/>
      </w:pPr>
      <w:r>
        <w:rPr>
          <w:rFonts w:ascii="Times New Roman"/>
          <w:b w:val="false"/>
          <w:i w:val="false"/>
          <w:color w:val="000000"/>
          <w:sz w:val="28"/>
        </w:rPr>
        <w:t xml:space="preserve">
      1718. Коэффициент высоты (зоны)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hi</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v</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учитывающий увеличение скорости ветра </w:t>
      </w:r>
      <w:r>
        <w:rPr>
          <w:rFonts w:ascii="Times New Roman"/>
          <w:b w:val="false"/>
          <w:i/>
          <w:color w:val="000000"/>
          <w:sz w:val="28"/>
        </w:rPr>
        <w:t>V</w:t>
      </w:r>
      <w:r>
        <w:rPr>
          <w:rFonts w:ascii="Times New Roman"/>
          <w:b w:val="false"/>
          <w:i w:val="false"/>
          <w:color w:val="000000"/>
          <w:vertAlign w:val="subscript"/>
        </w:rPr>
        <w:t>hi</w:t>
      </w:r>
      <w:r>
        <w:rPr>
          <w:rFonts w:ascii="Times New Roman"/>
          <w:b w:val="false"/>
          <w:i w:val="false"/>
          <w:color w:val="000000"/>
          <w:sz w:val="28"/>
        </w:rPr>
        <w:t xml:space="preserve">, м/с, в зависимости от высоты над ватерлинией верхней границы зоны, в которой располагается </w:t>
      </w:r>
      <w:r>
        <w:rPr>
          <w:rFonts w:ascii="Times New Roman"/>
          <w:b w:val="false"/>
          <w:i/>
          <w:color w:val="000000"/>
          <w:sz w:val="28"/>
        </w:rPr>
        <w:t>i</w:t>
      </w:r>
      <w:r>
        <w:rPr>
          <w:rFonts w:ascii="Times New Roman"/>
          <w:b w:val="false"/>
          <w:i w:val="false"/>
          <w:color w:val="000000"/>
          <w:sz w:val="28"/>
        </w:rPr>
        <w:t xml:space="preserve">-ый элемент площади парусности </w:t>
      </w:r>
      <w:r>
        <w:rPr>
          <w:rFonts w:ascii="Times New Roman"/>
          <w:b w:val="false"/>
          <w:i/>
          <w:color w:val="000000"/>
          <w:sz w:val="28"/>
        </w:rPr>
        <w:t>А</w:t>
      </w:r>
      <w:r>
        <w:rPr>
          <w:rFonts w:ascii="Times New Roman"/>
          <w:b w:val="false"/>
          <w:i w:val="false"/>
          <w:color w:val="000000"/>
          <w:vertAlign w:val="subscript"/>
        </w:rPr>
        <w:t>vi</w:t>
      </w:r>
      <w:r>
        <w:rPr>
          <w:rFonts w:ascii="Times New Roman"/>
          <w:b w:val="false"/>
          <w:i w:val="false"/>
          <w:color w:val="000000"/>
          <w:sz w:val="28"/>
        </w:rPr>
        <w:t>, определяется по формуле:</w:t>
      </w:r>
    </w:p>
    <w:bookmarkEnd w:id="53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4"/>
                    <a:stretch>
                      <a:fillRect/>
                    </a:stretch>
                  </pic:blipFill>
                  <pic:spPr>
                    <a:xfrm>
                      <a:off x="0" y="0"/>
                      <a:ext cx="5461000" cy="431800"/>
                    </a:xfrm>
                    <a:prstGeom prst="rect">
                      <a:avLst/>
                    </a:prstGeom>
                  </pic:spPr>
                </pic:pic>
              </a:graphicData>
            </a:graphic>
          </wp:inline>
        </w:drawing>
      </w:r>
    </w:p>
    <w:p>
      <w:pPr>
        <w:spacing w:after="0"/>
        <w:ind w:left="0"/>
        <w:jc w:val="left"/>
      </w:pPr>
      <w:r>
        <w:rPr>
          <w:rFonts w:ascii="Times New Roman"/>
          <w:b w:val="false"/>
          <w:i w:val="false"/>
          <w:color w:val="000000"/>
          <w:sz w:val="28"/>
        </w:rPr>
        <w:t>,            (630)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vertAlign w:val="subscript"/>
        </w:rPr>
        <w:t>v</w:t>
      </w:r>
      <w:r>
        <w:rPr>
          <w:rFonts w:ascii="Times New Roman"/>
          <w:b w:val="false"/>
          <w:i w:val="false"/>
          <w:color w:val="000000"/>
          <w:sz w:val="28"/>
        </w:rPr>
        <w:t xml:space="preserve"> — расчетная скорость ветра (средняя за 10 мин скорость ветра на высоте 10 м над поверхностью моря), м/с;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hi</w:t>
      </w:r>
      <w:r>
        <w:rPr>
          <w:rFonts w:ascii="Times New Roman"/>
          <w:b w:val="false"/>
          <w:i w:val="false"/>
          <w:color w:val="000000"/>
          <w:sz w:val="28"/>
        </w:rPr>
        <w:t xml:space="preserve"> — скорость ветра в зоне на высоте hнi над поверхностью моря, м/с;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vi</w:t>
      </w:r>
      <w:r>
        <w:rPr>
          <w:rFonts w:ascii="Times New Roman"/>
          <w:b w:val="false"/>
          <w:i w:val="false"/>
          <w:color w:val="000000"/>
          <w:sz w:val="28"/>
        </w:rPr>
        <w:t xml:space="preserve"> — высота над ватерлинией верхней границы зоны, в которой располагается </w:t>
      </w:r>
      <w:r>
        <w:rPr>
          <w:rFonts w:ascii="Times New Roman"/>
          <w:b w:val="false"/>
          <w:i/>
          <w:color w:val="000000"/>
          <w:sz w:val="28"/>
        </w:rPr>
        <w:t>i</w:t>
      </w:r>
      <w:r>
        <w:rPr>
          <w:rFonts w:ascii="Times New Roman"/>
          <w:b w:val="false"/>
          <w:i w:val="false"/>
          <w:color w:val="000000"/>
          <w:sz w:val="28"/>
        </w:rPr>
        <w:t xml:space="preserve">-ый элемент площади парусности </w:t>
      </w:r>
      <w:r>
        <w:rPr>
          <w:rFonts w:ascii="Times New Roman"/>
          <w:b w:val="false"/>
          <w:i/>
          <w:color w:val="000000"/>
          <w:sz w:val="28"/>
        </w:rPr>
        <w:t>А</w:t>
      </w:r>
      <w:r>
        <w:rPr>
          <w:rFonts w:ascii="Times New Roman"/>
          <w:b w:val="false"/>
          <w:i w:val="false"/>
          <w:color w:val="000000"/>
          <w:vertAlign w:val="subscript"/>
        </w:rPr>
        <w:t>vi</w:t>
      </w:r>
      <w:r>
        <w:rPr>
          <w:rFonts w:ascii="Times New Roman"/>
          <w:b w:val="false"/>
          <w:i w:val="false"/>
          <w:color w:val="000000"/>
          <w:sz w:val="28"/>
        </w:rPr>
        <w:t xml:space="preserve">, м (при </w:t>
      </w:r>
      <w:r>
        <w:rPr>
          <w:rFonts w:ascii="Times New Roman"/>
          <w:b w:val="false"/>
          <w:i/>
          <w:color w:val="000000"/>
          <w:sz w:val="28"/>
        </w:rPr>
        <w:t>h</w:t>
      </w:r>
      <w:r>
        <w:rPr>
          <w:rFonts w:ascii="Times New Roman"/>
          <w:b w:val="false"/>
          <w:i w:val="false"/>
          <w:color w:val="000000"/>
          <w:vertAlign w:val="subscript"/>
        </w:rPr>
        <w:t>vi</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 м коэффициент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1,00).</w:t>
      </w:r>
    </w:p>
    <w:bookmarkStart w:name="z5398" w:id="5389"/>
    <w:p>
      <w:pPr>
        <w:spacing w:after="0"/>
        <w:ind w:left="0"/>
        <w:jc w:val="both"/>
      </w:pPr>
      <w:r>
        <w:rPr>
          <w:rFonts w:ascii="Times New Roman"/>
          <w:b w:val="false"/>
          <w:i w:val="false"/>
          <w:color w:val="000000"/>
          <w:sz w:val="28"/>
        </w:rPr>
        <w:t xml:space="preserve">
      Значение коэффициента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для некоторых скоростей ветра, соответствующих различным режимам эксплуатации морских плавучих сооружений, приведены в приложении 209 настоящих Правил.</w:t>
      </w:r>
    </w:p>
    <w:bookmarkEnd w:id="5389"/>
    <w:bookmarkStart w:name="z5399" w:id="5390"/>
    <w:p>
      <w:pPr>
        <w:spacing w:after="0"/>
        <w:ind w:left="0"/>
        <w:jc w:val="both"/>
      </w:pPr>
      <w:r>
        <w:rPr>
          <w:rFonts w:ascii="Times New Roman"/>
          <w:b w:val="false"/>
          <w:i w:val="false"/>
          <w:color w:val="000000"/>
          <w:sz w:val="28"/>
        </w:rPr>
        <w:t xml:space="preserve">
      1719. Для каждого расчетного состояния плавучего крана/кранового судна (рабочее, нерабочее, переход, перегон) парусность несплошных поверхностей (лееров, рангоута, такелажа и разных мелких предметов) рекомендуется учитывать путем увеличения на 2 % максимальной суммарной площади парусности сплошных поверхностей (с учетом коэффициентов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и на 5 % — статического момента этой площади.</w:t>
      </w:r>
    </w:p>
    <w:bookmarkEnd w:id="5390"/>
    <w:bookmarkStart w:name="z5400" w:id="5391"/>
    <w:p>
      <w:pPr>
        <w:spacing w:after="0"/>
        <w:ind w:left="0"/>
        <w:jc w:val="both"/>
      </w:pPr>
      <w:r>
        <w:rPr>
          <w:rFonts w:ascii="Times New Roman"/>
          <w:b w:val="false"/>
          <w:i w:val="false"/>
          <w:color w:val="000000"/>
          <w:sz w:val="28"/>
        </w:rPr>
        <w:t>
      В условиях обледенения это увеличение принимается равным 4 и 10 % или 3 и 7,5 % соответственно, в зависимости от нормы обледенения для площадей, расположенных до высоты 30 м над ватерлинией.</w:t>
      </w:r>
    </w:p>
    <w:bookmarkEnd w:id="5391"/>
    <w:bookmarkStart w:name="z5401" w:id="5392"/>
    <w:p>
      <w:pPr>
        <w:spacing w:after="0"/>
        <w:ind w:left="0"/>
        <w:jc w:val="both"/>
      </w:pPr>
      <w:r>
        <w:rPr>
          <w:rFonts w:ascii="Times New Roman"/>
          <w:b w:val="false"/>
          <w:i w:val="false"/>
          <w:color w:val="000000"/>
          <w:sz w:val="28"/>
        </w:rPr>
        <w:t>
      Значения площадей парусности несплошных поверхностей и статических моментов этих площадей определяются для минимальной осадки и при необходимости пересчитываются для конкретных вариантов нагрузки соответствующего состояния плавучего крана/кранового судна.</w:t>
      </w:r>
    </w:p>
    <w:bookmarkEnd w:id="5392"/>
    <w:bookmarkStart w:name="z5402" w:id="5393"/>
    <w:p>
      <w:pPr>
        <w:spacing w:after="0"/>
        <w:ind w:left="0"/>
        <w:jc w:val="both"/>
      </w:pPr>
      <w:r>
        <w:rPr>
          <w:rFonts w:ascii="Times New Roman"/>
          <w:b w:val="false"/>
          <w:i w:val="false"/>
          <w:color w:val="000000"/>
          <w:sz w:val="28"/>
        </w:rPr>
        <w:t>
      1720. Расчетная площадь парусности груза на гаке определяется по его фактическому контуру с учетом его аэродинамического коэффициента и максимальной высоты подъема, то есть аналогично пункта 1715 настоящих Правил с учетом пунктов 1717 и 1718 настоящих Правил.</w:t>
      </w:r>
    </w:p>
    <w:bookmarkEnd w:id="5393"/>
    <w:bookmarkStart w:name="z5403" w:id="5394"/>
    <w:p>
      <w:pPr>
        <w:spacing w:after="0"/>
        <w:ind w:left="0"/>
        <w:jc w:val="both"/>
      </w:pPr>
      <w:r>
        <w:rPr>
          <w:rFonts w:ascii="Times New Roman"/>
          <w:b w:val="false"/>
          <w:i w:val="false"/>
          <w:color w:val="000000"/>
          <w:sz w:val="28"/>
        </w:rPr>
        <w:t>
      Центр приложения ветровой нагрузки на находящийся на гаке груз должен приниматься в точке подвеса его к стреле.</w:t>
      </w:r>
    </w:p>
    <w:bookmarkEnd w:id="5394"/>
    <w:bookmarkStart w:name="z5404" w:id="5395"/>
    <w:p>
      <w:pPr>
        <w:spacing w:after="0"/>
        <w:ind w:left="0"/>
        <w:jc w:val="both"/>
      </w:pPr>
      <w:r>
        <w:rPr>
          <w:rFonts w:ascii="Times New Roman"/>
          <w:b w:val="false"/>
          <w:i w:val="false"/>
          <w:color w:val="000000"/>
          <w:sz w:val="28"/>
        </w:rPr>
        <w:t>
      При отсутствии фактических данных расчетная площадь парусности груза принимается по приложению 210 настоящих Правил.</w:t>
      </w:r>
    </w:p>
    <w:bookmarkEnd w:id="5395"/>
    <w:bookmarkStart w:name="z5405" w:id="5396"/>
    <w:p>
      <w:pPr>
        <w:spacing w:after="0"/>
        <w:ind w:left="0"/>
        <w:jc w:val="left"/>
      </w:pPr>
      <w:r>
        <w:rPr>
          <w:rFonts w:ascii="Times New Roman"/>
          <w:b/>
          <w:i w:val="false"/>
          <w:color w:val="000000"/>
        </w:rPr>
        <w:t xml:space="preserve"> Параграф 4. Расчет амплитуды качки</w:t>
      </w:r>
    </w:p>
    <w:bookmarkEnd w:id="5396"/>
    <w:bookmarkStart w:name="z5406" w:id="5397"/>
    <w:p>
      <w:pPr>
        <w:spacing w:after="0"/>
        <w:ind w:left="0"/>
        <w:jc w:val="both"/>
      </w:pPr>
      <w:r>
        <w:rPr>
          <w:rFonts w:ascii="Times New Roman"/>
          <w:b w:val="false"/>
          <w:i w:val="false"/>
          <w:color w:val="000000"/>
          <w:sz w:val="28"/>
        </w:rPr>
        <w:t>
      1721. Общие требования:</w:t>
      </w:r>
    </w:p>
    <w:bookmarkEnd w:id="5397"/>
    <w:bookmarkStart w:name="z5407" w:id="5398"/>
    <w:p>
      <w:pPr>
        <w:spacing w:after="0"/>
        <w:ind w:left="0"/>
        <w:jc w:val="both"/>
      </w:pPr>
      <w:r>
        <w:rPr>
          <w:rFonts w:ascii="Times New Roman"/>
          <w:b w:val="false"/>
          <w:i w:val="false"/>
          <w:color w:val="000000"/>
          <w:sz w:val="28"/>
        </w:rPr>
        <w:t>
      1) амплитуда качки принимается по результатам модельных испытаний или определяется, как указано в пунктах 1722, 1724, 1725 настоящих Правил (по результатам модельных испытаний амплитуда качки определяется с обеспеченностью 1,1 %);</w:t>
      </w:r>
    </w:p>
    <w:bookmarkEnd w:id="5398"/>
    <w:bookmarkStart w:name="z5408" w:id="5399"/>
    <w:p>
      <w:pPr>
        <w:spacing w:after="0"/>
        <w:ind w:left="0"/>
        <w:jc w:val="both"/>
      </w:pPr>
      <w:r>
        <w:rPr>
          <w:rFonts w:ascii="Times New Roman"/>
          <w:b w:val="false"/>
          <w:i w:val="false"/>
          <w:color w:val="000000"/>
          <w:sz w:val="28"/>
        </w:rPr>
        <w:t>
      2) модельные испытания по определению амплитуд качки проводятся, а их результаты — обрабатываются по методикам, одобренным Регистром судоходства;</w:t>
      </w:r>
    </w:p>
    <w:bookmarkEnd w:id="5399"/>
    <w:bookmarkStart w:name="z5409" w:id="5400"/>
    <w:p>
      <w:pPr>
        <w:spacing w:after="0"/>
        <w:ind w:left="0"/>
        <w:jc w:val="both"/>
      </w:pPr>
      <w:r>
        <w:rPr>
          <w:rFonts w:ascii="Times New Roman"/>
          <w:b w:val="false"/>
          <w:i w:val="false"/>
          <w:color w:val="000000"/>
          <w:sz w:val="28"/>
        </w:rPr>
        <w:t>
      ) если масса груза на гаке более 0,1</w:t>
      </w:r>
    </w:p>
    <w:bookmarkEnd w:id="5400"/>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рассматриваемого варианта нагрузки, Регистр судоходства требует определения амплитуды качки с учетом влияния раскачивающегося груза;</w:t>
      </w:r>
      <w:r>
        <w:br/>
      </w:r>
      <w:r>
        <w:rPr>
          <w:rFonts w:ascii="Times New Roman"/>
          <w:b w:val="false"/>
          <w:i w:val="false"/>
          <w:color w:val="000000"/>
          <w:sz w:val="28"/>
        </w:rPr>
        <w:t>
</w:t>
      </w:r>
    </w:p>
    <w:bookmarkStart w:name="z5410" w:id="5401"/>
    <w:p>
      <w:pPr>
        <w:spacing w:after="0"/>
        <w:ind w:left="0"/>
        <w:jc w:val="both"/>
      </w:pPr>
      <w:r>
        <w:rPr>
          <w:rFonts w:ascii="Times New Roman"/>
          <w:b w:val="false"/>
          <w:i w:val="false"/>
          <w:color w:val="000000"/>
          <w:sz w:val="28"/>
        </w:rPr>
        <w:t xml:space="preserve">
      4) высота волн 3-процентной обеспеченности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м:</w:t>
      </w:r>
    </w:p>
    <w:bookmarkEnd w:id="5401"/>
    <w:bookmarkStart w:name="z5411" w:id="5402"/>
    <w:p>
      <w:pPr>
        <w:spacing w:after="0"/>
        <w:ind w:left="0"/>
        <w:jc w:val="both"/>
      </w:pPr>
      <w:r>
        <w:rPr>
          <w:rFonts w:ascii="Times New Roman"/>
          <w:b w:val="false"/>
          <w:i w:val="false"/>
          <w:color w:val="000000"/>
          <w:sz w:val="28"/>
        </w:rPr>
        <w:t>
      в рабочем состоянии принимается по приложению 219 настоящих Правил в соответствии с интенсивностью волнения, при котором допускаются грузовые операции;</w:t>
      </w:r>
    </w:p>
    <w:bookmarkEnd w:id="5402"/>
    <w:bookmarkStart w:name="z5412" w:id="5403"/>
    <w:p>
      <w:pPr>
        <w:spacing w:after="0"/>
        <w:ind w:left="0"/>
        <w:jc w:val="both"/>
      </w:pPr>
      <w:r>
        <w:rPr>
          <w:rFonts w:ascii="Times New Roman"/>
          <w:b w:val="false"/>
          <w:i w:val="false"/>
          <w:color w:val="000000"/>
          <w:sz w:val="28"/>
        </w:rPr>
        <w:t>
      при переходе и перегоне плавучего крана принимается по приложению 220 настоящих Правил в соответствии с установленным районом плавания;</w:t>
      </w:r>
    </w:p>
    <w:bookmarkEnd w:id="5403"/>
    <w:bookmarkStart w:name="z5413" w:id="5404"/>
    <w:p>
      <w:pPr>
        <w:spacing w:after="0"/>
        <w:ind w:left="0"/>
        <w:jc w:val="both"/>
      </w:pPr>
      <w:r>
        <w:rPr>
          <w:rFonts w:ascii="Times New Roman"/>
          <w:b w:val="false"/>
          <w:i w:val="false"/>
          <w:color w:val="000000"/>
          <w:sz w:val="28"/>
        </w:rPr>
        <w:t>
      5) амплитуда качки при переходе и перегоне кранового судна определяется в соответствии с пунктом 1925 настоящих Правил;</w:t>
      </w:r>
    </w:p>
    <w:bookmarkEnd w:id="5404"/>
    <w:bookmarkStart w:name="z5414" w:id="5405"/>
    <w:p>
      <w:pPr>
        <w:spacing w:after="0"/>
        <w:ind w:left="0"/>
        <w:jc w:val="both"/>
      </w:pPr>
      <w:r>
        <w:rPr>
          <w:rFonts w:ascii="Times New Roman"/>
          <w:b w:val="false"/>
          <w:i w:val="false"/>
          <w:color w:val="000000"/>
          <w:sz w:val="28"/>
        </w:rPr>
        <w:t>
      6) расчетные значения амплитуд качки, определенные в соответствии с настоящим параграфом, следует округлять для рабочего состояния до десятых долей градуса, для состояний перехода и перегона — до целых градусов.</w:t>
      </w:r>
    </w:p>
    <w:bookmarkEnd w:id="5405"/>
    <w:bookmarkStart w:name="z5415" w:id="5406"/>
    <w:p>
      <w:pPr>
        <w:spacing w:after="0"/>
        <w:ind w:left="0"/>
        <w:jc w:val="both"/>
      </w:pPr>
      <w:r>
        <w:rPr>
          <w:rFonts w:ascii="Times New Roman"/>
          <w:b w:val="false"/>
          <w:i w:val="false"/>
          <w:color w:val="000000"/>
          <w:sz w:val="28"/>
        </w:rPr>
        <w:t>
      1722. Амплитуда качки плавучего крана в рабочем состоянии, при переходе, перегоне плавучего крана/кранового судна:</w:t>
      </w:r>
    </w:p>
    <w:bookmarkEnd w:id="5406"/>
    <w:bookmarkStart w:name="z5416" w:id="5407"/>
    <w:p>
      <w:pPr>
        <w:spacing w:after="0"/>
        <w:ind w:left="0"/>
        <w:jc w:val="both"/>
      </w:pPr>
      <w:r>
        <w:rPr>
          <w:rFonts w:ascii="Times New Roman"/>
          <w:b w:val="false"/>
          <w:i w:val="false"/>
          <w:color w:val="000000"/>
          <w:sz w:val="28"/>
        </w:rPr>
        <w:t>
      1) амплитуда качки Ө</w:t>
      </w:r>
      <w:r>
        <w:rPr>
          <w:rFonts w:ascii="Times New Roman"/>
          <w:b w:val="false"/>
          <w:i w:val="false"/>
          <w:color w:val="000000"/>
          <w:vertAlign w:val="subscript"/>
        </w:rPr>
        <w:t>r</w:t>
      </w:r>
      <w:r>
        <w:rPr>
          <w:rFonts w:ascii="Times New Roman"/>
          <w:b w:val="false"/>
          <w:i w:val="false"/>
          <w:color w:val="000000"/>
          <w:sz w:val="28"/>
        </w:rPr>
        <w:t>, град, плавучего крана в его расчетных состояниях, указанных в подпунктах 1), 2) и 4) пункта 1709 настоящих Правил, (то есть рабочем, при переходе, перегоне), и кранового судна в его рабочем состоянии во всех рассматриваемых вариантах нагрузки определяется по формуле:</w:t>
      </w:r>
    </w:p>
    <w:bookmarkEnd w:id="5407"/>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 Ө</w:t>
      </w:r>
      <w:r>
        <w:rPr>
          <w:rFonts w:ascii="Times New Roman"/>
          <w:b w:val="false"/>
          <w:i w:val="false"/>
          <w:color w:val="000000"/>
          <w:vertAlign w:val="subscript"/>
        </w:rPr>
        <w:t>rо</w:t>
      </w:r>
      <w:r>
        <w:rPr>
          <w:rFonts w:ascii="Times New Roman"/>
          <w:b w:val="false"/>
          <w:i w:val="false"/>
          <w:color w:val="000000"/>
          <w:sz w:val="28"/>
        </w:rPr>
        <w:t>X</w:t>
      </w:r>
      <w:r>
        <w:rPr>
          <w:rFonts w:ascii="Times New Roman"/>
          <w:b w:val="false"/>
          <w:i w:val="false"/>
          <w:color w:val="000000"/>
          <w:vertAlign w:val="subscript"/>
        </w:rPr>
        <w:t>4</w:t>
      </w:r>
      <w:r>
        <w:rPr>
          <w:rFonts w:ascii="Times New Roman"/>
          <w:b w:val="false"/>
          <w:i w:val="false"/>
          <w:color w:val="000000"/>
          <w:sz w:val="28"/>
        </w:rPr>
        <w:t>X</w:t>
      </w:r>
      <w:r>
        <w:rPr>
          <w:rFonts w:ascii="Times New Roman"/>
          <w:b w:val="false"/>
          <w:i w:val="false"/>
          <w:color w:val="000000"/>
          <w:vertAlign w:val="subscript"/>
        </w:rPr>
        <w:t>5</w:t>
      </w:r>
      <w:r>
        <w:rPr>
          <w:rFonts w:ascii="Times New Roman"/>
          <w:b w:val="false"/>
          <w:i w:val="false"/>
          <w:color w:val="000000"/>
          <w:sz w:val="28"/>
        </w:rPr>
        <w:t xml:space="preserve">                       (631)</w:t>
      </w:r>
    </w:p>
    <w:bookmarkStart w:name="z5417" w:id="5408"/>
    <w:p>
      <w:pPr>
        <w:spacing w:after="0"/>
        <w:ind w:left="0"/>
        <w:jc w:val="both"/>
      </w:pPr>
      <w:r>
        <w:rPr>
          <w:rFonts w:ascii="Times New Roman"/>
          <w:b w:val="false"/>
          <w:i w:val="false"/>
          <w:color w:val="000000"/>
          <w:sz w:val="28"/>
        </w:rPr>
        <w:t>
      с учетом указаний, изложенных в подпунктах 2) – 8) пункта 1722, пункта 1723 настоящих Правил, а также в пункте 1724 настоящих Правил;</w:t>
      </w:r>
    </w:p>
    <w:bookmarkEnd w:id="5408"/>
    <w:bookmarkStart w:name="z5418" w:id="5409"/>
    <w:p>
      <w:pPr>
        <w:spacing w:after="0"/>
        <w:ind w:left="0"/>
        <w:jc w:val="both"/>
      </w:pPr>
      <w:r>
        <w:rPr>
          <w:rFonts w:ascii="Times New Roman"/>
          <w:b w:val="false"/>
          <w:i w:val="false"/>
          <w:color w:val="000000"/>
          <w:sz w:val="28"/>
        </w:rPr>
        <w:t>
      2) функция Ө</w:t>
      </w:r>
      <w:r>
        <w:rPr>
          <w:rFonts w:ascii="Times New Roman"/>
          <w:b w:val="false"/>
          <w:i w:val="false"/>
          <w:color w:val="000000"/>
          <w:vertAlign w:val="subscript"/>
        </w:rPr>
        <w:t>rо</w:t>
      </w:r>
      <w:r>
        <w:rPr>
          <w:rFonts w:ascii="Times New Roman"/>
          <w:b w:val="false"/>
          <w:i w:val="false"/>
          <w:color w:val="000000"/>
          <w:sz w:val="28"/>
        </w:rPr>
        <w:t>, град, вычисляется по формуле:</w:t>
      </w:r>
    </w:p>
    <w:bookmarkEnd w:id="5409"/>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rо</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sz w:val="28"/>
        </w:rPr>
        <w:t xml:space="preserve"> + </w:t>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6"/>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)Z.                  (632)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Функция Ө</w:t>
      </w:r>
      <w:r>
        <w:rPr>
          <w:rFonts w:ascii="Times New Roman"/>
          <w:b w:val="false"/>
          <w:i w:val="false"/>
          <w:color w:val="000000"/>
          <w:vertAlign w:val="subscript"/>
        </w:rPr>
        <w:t>rо</w:t>
      </w:r>
      <w:r>
        <w:rPr>
          <w:rFonts w:ascii="Times New Roman"/>
          <w:b w:val="false"/>
          <w:i w:val="false"/>
          <w:color w:val="000000"/>
          <w:sz w:val="28"/>
        </w:rPr>
        <w:t xml:space="preserve"> и расчетная амплитуда качки принимаются равными нулю, если параметр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7"/>
                    <a:stretch>
                      <a:fillRect/>
                    </a:stretch>
                  </pic:blipFill>
                  <pic:spPr>
                    <a:xfrm>
                      <a:off x="0" y="0"/>
                      <a:ext cx="736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0,1;</w:t>
      </w:r>
      <w:r>
        <w:br/>
      </w:r>
      <w:r>
        <w:rPr>
          <w:rFonts w:ascii="Times New Roman"/>
          <w:b w:val="false"/>
          <w:i w:val="false"/>
          <w:color w:val="000000"/>
          <w:sz w:val="28"/>
        </w:rPr>
        <w:t>
</w:t>
      </w:r>
    </w:p>
    <w:bookmarkStart w:name="z5419" w:id="5410"/>
    <w:p>
      <w:pPr>
        <w:spacing w:after="0"/>
        <w:ind w:left="0"/>
        <w:jc w:val="both"/>
      </w:pPr>
      <w:r>
        <w:rPr>
          <w:rFonts w:ascii="Times New Roman"/>
          <w:b w:val="false"/>
          <w:i w:val="false"/>
          <w:color w:val="000000"/>
          <w:sz w:val="28"/>
        </w:rPr>
        <w:t xml:space="preserve">
      3) функция </w:t>
      </w:r>
      <w:r>
        <w:rPr>
          <w:rFonts w:ascii="Times New Roman"/>
          <w:b w:val="false"/>
          <w:i/>
          <w:color w:val="000000"/>
          <w:sz w:val="28"/>
        </w:rPr>
        <w:t>Y</w:t>
      </w:r>
      <w:r>
        <w:rPr>
          <w:rFonts w:ascii="Times New Roman"/>
          <w:b w:val="false"/>
          <w:i w:val="false"/>
          <w:color w:val="000000"/>
          <w:sz w:val="28"/>
        </w:rPr>
        <w:t xml:space="preserve"> принимается по приложению 212 настоящих Правил в зависимости от параметров </w:t>
      </w:r>
      <w:r>
        <w:rPr>
          <w:rFonts w:ascii="Times New Roman"/>
          <w:b w:val="false"/>
          <w:i/>
          <w:color w:val="000000"/>
          <w:sz w:val="28"/>
        </w:rPr>
        <w:t>W</w:t>
      </w:r>
      <w:r>
        <w:rPr>
          <w:rFonts w:ascii="Times New Roman"/>
          <w:b w:val="false"/>
          <w:i w:val="false"/>
          <w:color w:val="000000"/>
          <w:sz w:val="28"/>
        </w:rPr>
        <w:t xml:space="preserve"> и </w:t>
      </w:r>
      <w:r>
        <w:rPr>
          <w:rFonts w:ascii="Times New Roman"/>
          <w:b w:val="false"/>
          <w:i/>
          <w:color w:val="000000"/>
          <w:sz w:val="28"/>
        </w:rPr>
        <w:t>K</w:t>
      </w:r>
      <w:r>
        <w:rPr>
          <w:rFonts w:ascii="Times New Roman"/>
          <w:b w:val="false"/>
          <w:i w:val="false"/>
          <w:color w:val="000000"/>
          <w:sz w:val="28"/>
        </w:rPr>
        <w:t xml:space="preserve">. Параметр </w:t>
      </w:r>
      <w:r>
        <w:rPr>
          <w:rFonts w:ascii="Times New Roman"/>
          <w:b w:val="false"/>
          <w:i/>
          <w:color w:val="000000"/>
          <w:sz w:val="28"/>
        </w:rPr>
        <w:t>K</w:t>
      </w:r>
      <w:r>
        <w:rPr>
          <w:rFonts w:ascii="Times New Roman"/>
          <w:b w:val="false"/>
          <w:i w:val="false"/>
          <w:color w:val="000000"/>
          <w:sz w:val="28"/>
        </w:rPr>
        <w:t xml:space="preserve"> определяется по формуле:</w:t>
      </w:r>
    </w:p>
    <w:bookmarkEnd w:id="541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sz w:val="28"/>
        </w:rPr>
        <w:t xml:space="preserve"> – 0,505(</w:t>
      </w:r>
      <w:r>
        <w:rPr>
          <w:rFonts w:ascii="Times New Roman"/>
          <w:b w:val="false"/>
          <w:i/>
          <w:color w:val="000000"/>
          <w:sz w:val="28"/>
        </w:rPr>
        <w:t>P</w:t>
      </w:r>
      <w:r>
        <w:rPr>
          <w:rFonts w:ascii="Times New Roman"/>
          <w:b w:val="false"/>
          <w:i w:val="false"/>
          <w:color w:val="000000"/>
          <w:sz w:val="28"/>
        </w:rPr>
        <w:t xml:space="preserve"> – 2,4)]/</w:t>
      </w:r>
      <w:r>
        <w:rPr>
          <w:rFonts w:ascii="Times New Roman"/>
          <w:b w:val="false"/>
          <w:i/>
          <w:color w:val="000000"/>
          <w:sz w:val="28"/>
        </w:rPr>
        <w:t>P</w:t>
      </w:r>
      <w:r>
        <w:rPr>
          <w:rFonts w:ascii="Times New Roman"/>
          <w:b w:val="false"/>
          <w:i w:val="false"/>
          <w:color w:val="000000"/>
          <w:vertAlign w:val="superscript"/>
        </w:rPr>
        <w:t>2</w:t>
      </w:r>
      <w:r>
        <w:rPr>
          <w:rFonts w:ascii="Times New Roman"/>
          <w:b w:val="false"/>
          <w:i w:val="false"/>
          <w:color w:val="000000"/>
          <w:sz w:val="28"/>
        </w:rPr>
        <w:t>.             (633)</w:t>
      </w:r>
    </w:p>
    <w:bookmarkStart w:name="z5420" w:id="5411"/>
    <w:p>
      <w:pPr>
        <w:spacing w:after="0"/>
        <w:ind w:left="0"/>
        <w:jc w:val="both"/>
      </w:pPr>
      <w:r>
        <w:rPr>
          <w:rFonts w:ascii="Times New Roman"/>
          <w:b w:val="false"/>
          <w:i w:val="false"/>
          <w:color w:val="000000"/>
          <w:sz w:val="28"/>
        </w:rPr>
        <w:t xml:space="preserve">
      Параметр </w:t>
      </w:r>
      <w:r>
        <w:rPr>
          <w:rFonts w:ascii="Times New Roman"/>
          <w:b w:val="false"/>
          <w:i/>
          <w:color w:val="000000"/>
          <w:sz w:val="28"/>
        </w:rPr>
        <w:t>G</w:t>
      </w:r>
      <w:r>
        <w:rPr>
          <w:rFonts w:ascii="Times New Roman"/>
          <w:b w:val="false"/>
          <w:i w:val="false"/>
          <w:color w:val="000000"/>
          <w:sz w:val="28"/>
        </w:rPr>
        <w:t xml:space="preserve"> определяется по формуле:</w:t>
      </w:r>
    </w:p>
    <w:bookmarkEnd w:id="54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8"/>
                    <a:stretch>
                      <a:fillRect/>
                    </a:stretch>
                  </pic:blipFill>
                  <pic:spPr>
                    <a:xfrm>
                      <a:off x="0" y="0"/>
                      <a:ext cx="1231900" cy="736600"/>
                    </a:xfrm>
                    <a:prstGeom prst="rect">
                      <a:avLst/>
                    </a:prstGeom>
                  </pic:spPr>
                </pic:pic>
              </a:graphicData>
            </a:graphic>
          </wp:inline>
        </w:drawing>
      </w:r>
    </w:p>
    <w:p>
      <w:pPr>
        <w:spacing w:after="0"/>
        <w:ind w:left="0"/>
        <w:jc w:val="left"/>
      </w:pPr>
      <w:r>
        <w:rPr>
          <w:rFonts w:ascii="Times New Roman"/>
          <w:b w:val="false"/>
          <w:i w:val="false"/>
          <w:color w:val="000000"/>
          <w:sz w:val="28"/>
        </w:rPr>
        <w:t>.                       (634)</w:t>
      </w:r>
      <w:r>
        <w:br/>
      </w:r>
      <w:r>
        <w:rPr>
          <w:rFonts w:ascii="Times New Roman"/>
          <w:b w:val="false"/>
          <w:i w:val="false"/>
          <w:color w:val="000000"/>
          <w:sz w:val="28"/>
        </w:rPr>
        <w:t>
</w:t>
      </w:r>
    </w:p>
    <w:bookmarkStart w:name="z5421" w:id="5412"/>
    <w:p>
      <w:pPr>
        <w:spacing w:after="0"/>
        <w:ind w:left="0"/>
        <w:jc w:val="both"/>
      </w:pPr>
      <w:r>
        <w:rPr>
          <w:rFonts w:ascii="Times New Roman"/>
          <w:b w:val="false"/>
          <w:i w:val="false"/>
          <w:color w:val="000000"/>
          <w:sz w:val="28"/>
        </w:rPr>
        <w:t xml:space="preserve">
      Параметр </w:t>
      </w:r>
      <w:r>
        <w:rPr>
          <w:rFonts w:ascii="Times New Roman"/>
          <w:b w:val="false"/>
          <w:i/>
          <w:color w:val="000000"/>
          <w:sz w:val="28"/>
        </w:rPr>
        <w:t>Р</w:t>
      </w:r>
      <w:r>
        <w:rPr>
          <w:rFonts w:ascii="Times New Roman"/>
          <w:b w:val="false"/>
          <w:i w:val="false"/>
          <w:color w:val="000000"/>
          <w:sz w:val="28"/>
        </w:rPr>
        <w:t xml:space="preserve"> принимается по приложению 211 настоящих Правил в зависимости от значения выражения (z</w:t>
      </w:r>
      <w:r>
        <w:rPr>
          <w:rFonts w:ascii="Times New Roman"/>
          <w:b w:val="false"/>
          <w:i w:val="false"/>
          <w:color w:val="000000"/>
          <w:vertAlign w:val="subscript"/>
        </w:rPr>
        <w:t>m</w:t>
      </w:r>
      <w:r>
        <w:rPr>
          <w:rFonts w:ascii="Times New Roman"/>
          <w:b w:val="false"/>
          <w:i w:val="false"/>
          <w:color w:val="000000"/>
          <w:sz w:val="28"/>
        </w:rPr>
        <w:t xml:space="preserve"> – d)/</w:t>
      </w:r>
    </w:p>
    <w:bookmarkEnd w:id="5412"/>
    <w:p>
      <w:pPr>
        <w:spacing w:after="0"/>
        <w:ind w:left="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9"/>
                    <a:stretch>
                      <a:fillRect/>
                    </a:stretch>
                  </pic:blipFill>
                  <pic:spPr>
                    <a:xfrm>
                      <a:off x="0" y="0"/>
                      <a:ext cx="7366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422" w:id="5413"/>
    <w:p>
      <w:pPr>
        <w:spacing w:after="0"/>
        <w:ind w:left="0"/>
        <w:jc w:val="both"/>
      </w:pPr>
      <w:r>
        <w:rPr>
          <w:rFonts w:ascii="Times New Roman"/>
          <w:b w:val="false"/>
          <w:i w:val="false"/>
          <w:color w:val="000000"/>
          <w:sz w:val="28"/>
        </w:rPr>
        <w:t xml:space="preserve">
      4) функция </w:t>
      </w:r>
    </w:p>
    <w:bookmarkEnd w:id="5413"/>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0"/>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 град, 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1"/>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 xml:space="preserve"> = {[(А</w:t>
      </w:r>
      <w:r>
        <w:rPr>
          <w:rFonts w:ascii="Times New Roman"/>
          <w:b w:val="false"/>
          <w:i w:val="false"/>
          <w:color w:val="000000"/>
          <w:vertAlign w:val="subscript"/>
        </w:rPr>
        <w:t>4</w:t>
      </w:r>
      <w:r>
        <w:rPr>
          <w:rFonts w:ascii="Times New Roman"/>
          <w:b w:val="false"/>
          <w:i w:val="false"/>
          <w:color w:val="000000"/>
          <w:sz w:val="28"/>
        </w:rPr>
        <w:t>Х + А</w:t>
      </w:r>
      <w:r>
        <w:rPr>
          <w:rFonts w:ascii="Times New Roman"/>
          <w:b w:val="false"/>
          <w:i w:val="false"/>
          <w:color w:val="000000"/>
          <w:vertAlign w:val="subscript"/>
        </w:rPr>
        <w:t>3</w:t>
      </w:r>
      <w:r>
        <w:rPr>
          <w:rFonts w:ascii="Times New Roman"/>
          <w:b w:val="false"/>
          <w:i w:val="false"/>
          <w:color w:val="000000"/>
          <w:sz w:val="28"/>
        </w:rPr>
        <w:t>)Х + А</w:t>
      </w:r>
      <w:r>
        <w:rPr>
          <w:rFonts w:ascii="Times New Roman"/>
          <w:b w:val="false"/>
          <w:i w:val="false"/>
          <w:color w:val="000000"/>
          <w:vertAlign w:val="subscript"/>
        </w:rPr>
        <w:t>2</w:t>
      </w:r>
      <w:r>
        <w:rPr>
          <w:rFonts w:ascii="Times New Roman"/>
          <w:b w:val="false"/>
          <w:i w:val="false"/>
          <w:color w:val="000000"/>
          <w:sz w:val="28"/>
        </w:rPr>
        <w:t>]Х + А</w:t>
      </w:r>
      <w:r>
        <w:rPr>
          <w:rFonts w:ascii="Times New Roman"/>
          <w:b w:val="false"/>
          <w:i w:val="false"/>
          <w:color w:val="000000"/>
          <w:vertAlign w:val="subscript"/>
        </w:rPr>
        <w:t>1</w:t>
      </w:r>
      <w:r>
        <w:rPr>
          <w:rFonts w:ascii="Times New Roman"/>
          <w:b w:val="false"/>
          <w:i w:val="false"/>
          <w:color w:val="000000"/>
          <w:sz w:val="28"/>
        </w:rPr>
        <w:t>}Х,       (635)</w:t>
      </w:r>
      <w:r>
        <w:br/>
      </w:r>
      <w:r>
        <w:rPr>
          <w:rFonts w:ascii="Times New Roman"/>
          <w:b w:val="false"/>
          <w:i w:val="false"/>
          <w:color w:val="000000"/>
          <w:sz w:val="28"/>
        </w:rPr>
        <w:t>
</w:t>
      </w:r>
    </w:p>
    <w:bookmarkStart w:name="z5423" w:id="5414"/>
    <w:p>
      <w:pPr>
        <w:spacing w:after="0"/>
        <w:ind w:left="0"/>
        <w:jc w:val="both"/>
      </w:pPr>
      <w:r>
        <w:rPr>
          <w:rFonts w:ascii="Times New Roman"/>
          <w:b w:val="false"/>
          <w:i w:val="false"/>
          <w:color w:val="000000"/>
          <w:sz w:val="28"/>
        </w:rPr>
        <w:t xml:space="preserve">
      где </w:t>
      </w:r>
      <w:r>
        <w:rPr>
          <w:rFonts w:ascii="Times New Roman"/>
          <w:b w:val="false"/>
          <w:i/>
          <w:color w:val="000000"/>
          <w:sz w:val="28"/>
        </w:rPr>
        <w:t>Х</w:t>
      </w:r>
      <w:r>
        <w:rPr>
          <w:rFonts w:ascii="Times New Roman"/>
          <w:b w:val="false"/>
          <w:i w:val="false"/>
          <w:color w:val="000000"/>
          <w:sz w:val="28"/>
        </w:rPr>
        <w:t xml:space="preserve"> – множитель, определяемый по формуле:</w:t>
      </w:r>
    </w:p>
    <w:bookmarkEnd w:id="5414"/>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10(</w:t>
      </w:r>
      <w:r>
        <w:rPr>
          <w:rFonts w:ascii="Times New Roman"/>
          <w:b w:val="false"/>
          <w:i/>
          <w:color w:val="000000"/>
          <w:sz w:val="28"/>
        </w:rPr>
        <w:t>F</w:t>
      </w:r>
      <w:r>
        <w:rPr>
          <w:rFonts w:ascii="Times New Roman"/>
          <w:b w:val="false"/>
          <w:i w:val="false"/>
          <w:color w:val="000000"/>
          <w:sz w:val="28"/>
        </w:rPr>
        <w:t xml:space="preserve"> + 0,813</w:t>
      </w:r>
      <w:r>
        <w:rPr>
          <w:rFonts w:ascii="Times New Roman"/>
          <w:b w:val="false"/>
          <w:i/>
          <w:color w:val="000000"/>
          <w:sz w:val="28"/>
        </w:rPr>
        <w:t>K</w:t>
      </w:r>
      <w:r>
        <w:rPr>
          <w:rFonts w:ascii="Times New Roman"/>
          <w:b w:val="false"/>
          <w:i w:val="false"/>
          <w:color w:val="000000"/>
          <w:sz w:val="28"/>
        </w:rPr>
        <w:t xml:space="preserve"> – 0,195),             (636)</w:t>
      </w:r>
    </w:p>
    <w:bookmarkStart w:name="z5424" w:id="5415"/>
    <w:p>
      <w:pPr>
        <w:spacing w:after="0"/>
        <w:ind w:left="0"/>
        <w:jc w:val="both"/>
      </w:pPr>
      <w:r>
        <w:rPr>
          <w:rFonts w:ascii="Times New Roman"/>
          <w:b w:val="false"/>
          <w:i w:val="false"/>
          <w:color w:val="000000"/>
          <w:sz w:val="28"/>
        </w:rPr>
        <w:t xml:space="preserve">
      в которой характеристика </w:t>
      </w:r>
      <w:r>
        <w:rPr>
          <w:rFonts w:ascii="Times New Roman"/>
          <w:b w:val="false"/>
          <w:i/>
          <w:color w:val="000000"/>
          <w:sz w:val="28"/>
        </w:rPr>
        <w:t>F</w:t>
      </w:r>
      <w:r>
        <w:rPr>
          <w:rFonts w:ascii="Times New Roman"/>
          <w:b w:val="false"/>
          <w:i w:val="false"/>
          <w:color w:val="000000"/>
          <w:sz w:val="28"/>
        </w:rPr>
        <w:t xml:space="preserve"> определяется по формуле:</w:t>
      </w:r>
    </w:p>
    <w:bookmarkEnd w:id="54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2"/>
                    <a:stretch>
                      <a:fillRect/>
                    </a:stretch>
                  </pic:blipFill>
                  <pic:spPr>
                    <a:xfrm>
                      <a:off x="0" y="0"/>
                      <a:ext cx="1651000" cy="596900"/>
                    </a:xfrm>
                    <a:prstGeom prst="rect">
                      <a:avLst/>
                    </a:prstGeom>
                  </pic:spPr>
                </pic:pic>
              </a:graphicData>
            </a:graphic>
          </wp:inline>
        </w:drawing>
      </w:r>
    </w:p>
    <w:p>
      <w:pPr>
        <w:spacing w:after="0"/>
        <w:ind w:left="0"/>
        <w:jc w:val="left"/>
      </w:pPr>
      <w:r>
        <w:rPr>
          <w:rFonts w:ascii="Times New Roman"/>
          <w:b w:val="false"/>
          <w:i w:val="false"/>
          <w:color w:val="000000"/>
          <w:sz w:val="28"/>
        </w:rPr>
        <w:t>,                    (637)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коэффициент, зависящий от угла поворота стрелы кранового сооружения </w:t>
      </w:r>
    </w:p>
    <w:p>
      <w:pPr>
        <w:spacing w:after="0"/>
        <w:ind w:left="0"/>
        <w:jc w:val="both"/>
      </w:pPr>
      <w:r>
        <w:drawing>
          <wp:inline distT="0" distB="0" distL="0" distR="0">
            <wp:extent cx="1016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3"/>
                    <a:stretch>
                      <a:fillRect/>
                    </a:stretch>
                  </pic:blipFill>
                  <pic:spPr>
                    <a:xfrm>
                      <a:off x="0" y="0"/>
                      <a:ext cx="101600" cy="127000"/>
                    </a:xfrm>
                    <a:prstGeom prst="rect">
                      <a:avLst/>
                    </a:prstGeom>
                  </pic:spPr>
                </pic:pic>
              </a:graphicData>
            </a:graphic>
          </wp:inline>
        </w:drawing>
      </w:r>
    </w:p>
    <w:p>
      <w:pPr>
        <w:spacing w:after="0"/>
        <w:ind w:left="0"/>
        <w:jc w:val="left"/>
      </w:pPr>
      <w:r>
        <w:rPr>
          <w:rFonts w:ascii="Times New Roman"/>
          <w:b w:val="false"/>
          <w:i w:val="false"/>
          <w:color w:val="000000"/>
          <w:sz w:val="28"/>
        </w:rPr>
        <w:t>(пункт 1910 настоящих Правил) и определяемый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p>
    <w:p>
      <w:pPr>
        <w:spacing w:after="0"/>
        <w:ind w:left="0"/>
        <w:jc w:val="both"/>
      </w:pPr>
      <w:r>
        <w:drawing>
          <wp:inline distT="0" distB="0" distL="0" distR="0">
            <wp:extent cx="1752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4"/>
                    <a:stretch>
                      <a:fillRect/>
                    </a:stretch>
                  </pic:blipFill>
                  <pic:spPr>
                    <a:xfrm>
                      <a:off x="0" y="0"/>
                      <a:ext cx="1752600" cy="698500"/>
                    </a:xfrm>
                    <a:prstGeom prst="rect">
                      <a:avLst/>
                    </a:prstGeom>
                  </pic:spPr>
                </pic:pic>
              </a:graphicData>
            </a:graphic>
          </wp:inline>
        </w:drawing>
      </w:r>
    </w:p>
    <w:p>
      <w:pPr>
        <w:spacing w:after="0"/>
        <w:ind w:left="0"/>
        <w:jc w:val="left"/>
      </w:pPr>
      <w:r>
        <w:rPr>
          <w:rFonts w:ascii="Times New Roman"/>
          <w:b w:val="false"/>
          <w:i w:val="false"/>
          <w:color w:val="000000"/>
          <w:sz w:val="28"/>
        </w:rPr>
        <w:t>,               (638)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также в соответствии с подпунктом 1) пункта 1723 настоящих Правил.</w:t>
      </w:r>
    </w:p>
    <w:bookmarkStart w:name="z5425" w:id="5416"/>
    <w:p>
      <w:pPr>
        <w:spacing w:after="0"/>
        <w:ind w:left="0"/>
        <w:jc w:val="both"/>
      </w:pPr>
      <w:r>
        <w:rPr>
          <w:rFonts w:ascii="Times New Roman"/>
          <w:b w:val="false"/>
          <w:i w:val="false"/>
          <w:color w:val="000000"/>
          <w:sz w:val="28"/>
        </w:rPr>
        <w:t>
      Коэффициенты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А</w:t>
      </w:r>
      <w:r>
        <w:rPr>
          <w:rFonts w:ascii="Times New Roman"/>
          <w:b w:val="false"/>
          <w:i w:val="false"/>
          <w:color w:val="000000"/>
          <w:vertAlign w:val="subscript"/>
        </w:rPr>
        <w:t>4</w:t>
      </w:r>
      <w:r>
        <w:rPr>
          <w:rFonts w:ascii="Times New Roman"/>
          <w:b w:val="false"/>
          <w:i w:val="false"/>
          <w:color w:val="000000"/>
          <w:sz w:val="28"/>
        </w:rPr>
        <w:t xml:space="preserve"> определяются по приложению 213 настоящих Правил в зависимости от параметров </w:t>
      </w:r>
      <w:r>
        <w:rPr>
          <w:rFonts w:ascii="Times New Roman"/>
          <w:b w:val="false"/>
          <w:i/>
          <w:color w:val="000000"/>
          <w:sz w:val="28"/>
        </w:rPr>
        <w:t>W</w:t>
      </w:r>
      <w:r>
        <w:rPr>
          <w:rFonts w:ascii="Times New Roman"/>
          <w:b w:val="false"/>
          <w:i w:val="false"/>
          <w:color w:val="000000"/>
          <w:sz w:val="28"/>
        </w:rPr>
        <w:t xml:space="preserve"> и </w:t>
      </w:r>
      <w:r>
        <w:rPr>
          <w:rFonts w:ascii="Times New Roman"/>
          <w:b w:val="false"/>
          <w:i/>
          <w:color w:val="000000"/>
          <w:sz w:val="28"/>
        </w:rPr>
        <w:t>K</w:t>
      </w:r>
      <w:r>
        <w:rPr>
          <w:rFonts w:ascii="Times New Roman"/>
          <w:b w:val="false"/>
          <w:i w:val="false"/>
          <w:color w:val="000000"/>
          <w:sz w:val="28"/>
        </w:rPr>
        <w:t>;</w:t>
      </w:r>
    </w:p>
    <w:bookmarkEnd w:id="5416"/>
    <w:bookmarkStart w:name="z5426" w:id="5417"/>
    <w:p>
      <w:pPr>
        <w:spacing w:after="0"/>
        <w:ind w:left="0"/>
        <w:jc w:val="both"/>
      </w:pPr>
      <w:r>
        <w:rPr>
          <w:rFonts w:ascii="Times New Roman"/>
          <w:b w:val="false"/>
          <w:i w:val="false"/>
          <w:color w:val="000000"/>
          <w:sz w:val="28"/>
        </w:rPr>
        <w:t xml:space="preserve">
      5) функция </w:t>
      </w:r>
      <w:r>
        <w:rPr>
          <w:rFonts w:ascii="Times New Roman"/>
          <w:b w:val="false"/>
          <w:i/>
          <w:color w:val="000000"/>
          <w:sz w:val="28"/>
        </w:rPr>
        <w:t>Z</w:t>
      </w:r>
      <w:r>
        <w:rPr>
          <w:rFonts w:ascii="Times New Roman"/>
          <w:b w:val="false"/>
          <w:i w:val="false"/>
          <w:color w:val="000000"/>
          <w:sz w:val="28"/>
        </w:rPr>
        <w:t xml:space="preserve"> принимается по приложению 214 настоящих Правил в зависимости от параметров </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и </w:t>
      </w:r>
      <w:r>
        <w:rPr>
          <w:rFonts w:ascii="Times New Roman"/>
          <w:b w:val="false"/>
          <w:i/>
          <w:color w:val="000000"/>
          <w:sz w:val="28"/>
        </w:rPr>
        <w:t>W</w:t>
      </w:r>
      <w:r>
        <w:rPr>
          <w:rFonts w:ascii="Times New Roman"/>
          <w:b w:val="false"/>
          <w:i w:val="false"/>
          <w:color w:val="000000"/>
          <w:sz w:val="28"/>
        </w:rPr>
        <w:t>.</w:t>
      </w:r>
    </w:p>
    <w:bookmarkEnd w:id="5417"/>
    <w:bookmarkStart w:name="z5427" w:id="5418"/>
    <w:p>
      <w:pPr>
        <w:spacing w:after="0"/>
        <w:ind w:left="0"/>
        <w:jc w:val="both"/>
      </w:pPr>
      <w:r>
        <w:rPr>
          <w:rFonts w:ascii="Times New Roman"/>
          <w:b w:val="false"/>
          <w:i w:val="false"/>
          <w:color w:val="000000"/>
          <w:sz w:val="28"/>
        </w:rPr>
        <w:t xml:space="preserve">
      6) множитель </w:t>
      </w:r>
      <w:r>
        <w:rPr>
          <w:rFonts w:ascii="Times New Roman"/>
          <w:b w:val="false"/>
          <w:i/>
          <w:color w:val="000000"/>
          <w:sz w:val="28"/>
        </w:rPr>
        <w:t>Х</w:t>
      </w:r>
      <w:r>
        <w:rPr>
          <w:rFonts w:ascii="Times New Roman"/>
          <w:b w:val="false"/>
          <w:i w:val="false"/>
          <w:color w:val="000000"/>
          <w:vertAlign w:val="subscript"/>
        </w:rPr>
        <w:t>4</w:t>
      </w:r>
      <w:r>
        <w:rPr>
          <w:rFonts w:ascii="Times New Roman"/>
          <w:b w:val="false"/>
          <w:i w:val="false"/>
          <w:color w:val="000000"/>
          <w:sz w:val="28"/>
        </w:rPr>
        <w:t xml:space="preserve"> принимается по приложению 215 настоящих Правил в зависимости от отношения Ө</w:t>
      </w:r>
      <w:r>
        <w:rPr>
          <w:rFonts w:ascii="Times New Roman"/>
          <w:b w:val="false"/>
          <w:i w:val="false"/>
          <w:color w:val="000000"/>
          <w:vertAlign w:val="subscript"/>
        </w:rPr>
        <w:t>rо</w:t>
      </w:r>
      <w:r>
        <w:rPr>
          <w:rFonts w:ascii="Times New Roman"/>
          <w:b w:val="false"/>
          <w:i w:val="false"/>
          <w:color w:val="000000"/>
          <w:sz w:val="28"/>
        </w:rPr>
        <w:t>/(</w:t>
      </w:r>
    </w:p>
    <w:bookmarkEnd w:id="5418"/>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5"/>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где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6"/>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Ө</w:t>
      </w:r>
      <w:r>
        <w:rPr>
          <w:rFonts w:ascii="Times New Roman"/>
          <w:b w:val="false"/>
          <w:i w:val="false"/>
          <w:color w:val="000000"/>
          <w:vertAlign w:val="subscript"/>
        </w:rPr>
        <w:t>о</w:t>
      </w:r>
      <w:r>
        <w:rPr>
          <w:rFonts w:ascii="Times New Roman"/>
          <w:b w:val="false"/>
          <w:i w:val="false"/>
          <w:color w:val="000000"/>
          <w:sz w:val="28"/>
        </w:rPr>
        <w:t xml:space="preserve"> — интервал углов положительной статической остойчивости;</w:t>
      </w:r>
      <w:r>
        <w:br/>
      </w:r>
      <w:r>
        <w:rPr>
          <w:rFonts w:ascii="Times New Roman"/>
          <w:b w:val="false"/>
          <w:i w:val="false"/>
          <w:color w:val="000000"/>
          <w:sz w:val="28"/>
        </w:rPr>
        <w:t>
</w:t>
      </w:r>
    </w:p>
    <w:bookmarkStart w:name="z5428" w:id="5419"/>
    <w:p>
      <w:pPr>
        <w:spacing w:after="0"/>
        <w:ind w:left="0"/>
        <w:jc w:val="both"/>
      </w:pPr>
      <w:r>
        <w:rPr>
          <w:rFonts w:ascii="Times New Roman"/>
          <w:b w:val="false"/>
          <w:i w:val="false"/>
          <w:color w:val="000000"/>
          <w:sz w:val="28"/>
        </w:rPr>
        <w:t>
      7) множитель Х</w:t>
      </w:r>
      <w:r>
        <w:rPr>
          <w:rFonts w:ascii="Times New Roman"/>
          <w:b w:val="false"/>
          <w:i w:val="false"/>
          <w:color w:val="000000"/>
          <w:vertAlign w:val="subscript"/>
        </w:rPr>
        <w:t>5</w:t>
      </w:r>
      <w:r>
        <w:rPr>
          <w:rFonts w:ascii="Times New Roman"/>
          <w:b w:val="false"/>
          <w:i w:val="false"/>
          <w:color w:val="000000"/>
          <w:sz w:val="28"/>
        </w:rPr>
        <w:t xml:space="preserve"> принимается по приложению 216 настоящих Правил в зависимости от отношения C</w:t>
      </w:r>
      <w:r>
        <w:rPr>
          <w:rFonts w:ascii="Times New Roman"/>
          <w:b w:val="false"/>
          <w:i w:val="false"/>
          <w:color w:val="000000"/>
          <w:vertAlign w:val="subscript"/>
        </w:rPr>
        <w:t>CL</w:t>
      </w:r>
      <w:r>
        <w:rPr>
          <w:rFonts w:ascii="Times New Roman"/>
          <w:b w:val="false"/>
          <w:i w:val="false"/>
          <w:color w:val="000000"/>
          <w:sz w:val="28"/>
        </w:rPr>
        <w:t>/C</w:t>
      </w:r>
      <w:r>
        <w:rPr>
          <w:rFonts w:ascii="Times New Roman"/>
          <w:b w:val="false"/>
          <w:i w:val="false"/>
          <w:color w:val="000000"/>
          <w:vertAlign w:val="subscript"/>
        </w:rPr>
        <w:t>WL</w:t>
      </w:r>
      <w:r>
        <w:rPr>
          <w:rFonts w:ascii="Times New Roman"/>
          <w:b w:val="false"/>
          <w:i w:val="false"/>
          <w:color w:val="000000"/>
          <w:sz w:val="28"/>
        </w:rPr>
        <w:t>;</w:t>
      </w:r>
    </w:p>
    <w:bookmarkEnd w:id="5419"/>
    <w:bookmarkStart w:name="z5429" w:id="5420"/>
    <w:p>
      <w:pPr>
        <w:spacing w:after="0"/>
        <w:ind w:left="0"/>
        <w:jc w:val="both"/>
      </w:pPr>
      <w:r>
        <w:rPr>
          <w:rFonts w:ascii="Times New Roman"/>
          <w:b w:val="false"/>
          <w:i w:val="false"/>
          <w:color w:val="000000"/>
          <w:sz w:val="28"/>
        </w:rPr>
        <w:t>
      где C</w:t>
      </w:r>
      <w:r>
        <w:rPr>
          <w:rFonts w:ascii="Times New Roman"/>
          <w:b w:val="false"/>
          <w:i w:val="false"/>
          <w:color w:val="000000"/>
          <w:vertAlign w:val="subscript"/>
        </w:rPr>
        <w:t>CL</w:t>
      </w:r>
      <w:r>
        <w:rPr>
          <w:rFonts w:ascii="Times New Roman"/>
          <w:b w:val="false"/>
          <w:i w:val="false"/>
          <w:color w:val="000000"/>
          <w:sz w:val="28"/>
        </w:rPr>
        <w:t xml:space="preserve"> — коэффициент полноты погруженной части диаметральной плоскости,</w:t>
      </w:r>
    </w:p>
    <w:bookmarkEnd w:id="5420"/>
    <w:bookmarkStart w:name="z5430" w:id="5421"/>
    <w:p>
      <w:pPr>
        <w:spacing w:after="0"/>
        <w:ind w:left="0"/>
        <w:jc w:val="both"/>
      </w:pPr>
      <w:r>
        <w:rPr>
          <w:rFonts w:ascii="Times New Roman"/>
          <w:b w:val="false"/>
          <w:i w:val="false"/>
          <w:color w:val="000000"/>
          <w:sz w:val="28"/>
        </w:rPr>
        <w:t>
      C</w:t>
      </w:r>
      <w:r>
        <w:rPr>
          <w:rFonts w:ascii="Times New Roman"/>
          <w:b w:val="false"/>
          <w:i w:val="false"/>
          <w:color w:val="000000"/>
          <w:vertAlign w:val="subscript"/>
        </w:rPr>
        <w:t>WL</w:t>
      </w:r>
      <w:r>
        <w:rPr>
          <w:rFonts w:ascii="Times New Roman"/>
          <w:b w:val="false"/>
          <w:i w:val="false"/>
          <w:color w:val="000000"/>
          <w:sz w:val="28"/>
        </w:rPr>
        <w:t xml:space="preserve"> — коэффициент полноты ватерлинии;</w:t>
      </w:r>
    </w:p>
    <w:bookmarkEnd w:id="5421"/>
    <w:bookmarkStart w:name="z5431" w:id="5422"/>
    <w:p>
      <w:pPr>
        <w:spacing w:after="0"/>
        <w:ind w:left="0"/>
        <w:jc w:val="both"/>
      </w:pPr>
      <w:r>
        <w:rPr>
          <w:rFonts w:ascii="Times New Roman"/>
          <w:b w:val="false"/>
          <w:i w:val="false"/>
          <w:color w:val="000000"/>
          <w:sz w:val="28"/>
        </w:rPr>
        <w:t>
      8) если плавучий кран/крановое судно имеет скуловые кили, то амплитуда качки Ө'</w:t>
      </w:r>
      <w:r>
        <w:rPr>
          <w:rFonts w:ascii="Times New Roman"/>
          <w:b w:val="false"/>
          <w:i w:val="false"/>
          <w:color w:val="000000"/>
          <w:vertAlign w:val="subscript"/>
        </w:rPr>
        <w:t>r</w:t>
      </w:r>
      <w:r>
        <w:rPr>
          <w:rFonts w:ascii="Times New Roman"/>
          <w:b w:val="false"/>
          <w:i w:val="false"/>
          <w:color w:val="000000"/>
          <w:sz w:val="28"/>
        </w:rPr>
        <w:t>, град, определяется по формуле:</w:t>
      </w:r>
    </w:p>
    <w:bookmarkEnd w:id="5422"/>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 K</w:t>
      </w:r>
      <w:r>
        <w:rPr>
          <w:rFonts w:ascii="Times New Roman"/>
          <w:b w:val="false"/>
          <w:i w:val="false"/>
          <w:color w:val="000000"/>
          <w:vertAlign w:val="subscript"/>
        </w:rPr>
        <w:t>вк</w:t>
      </w: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 xml:space="preserve"> .                      (635)</w:t>
      </w:r>
    </w:p>
    <w:bookmarkStart w:name="z5432" w:id="5423"/>
    <w:p>
      <w:pPr>
        <w:spacing w:after="0"/>
        <w:ind w:left="0"/>
        <w:jc w:val="both"/>
      </w:pPr>
      <w:r>
        <w:rPr>
          <w:rFonts w:ascii="Times New Roman"/>
          <w:b w:val="false"/>
          <w:i w:val="false"/>
          <w:color w:val="000000"/>
          <w:sz w:val="28"/>
        </w:rPr>
        <w:t>
      Коэффициент K</w:t>
      </w:r>
      <w:r>
        <w:rPr>
          <w:rFonts w:ascii="Times New Roman"/>
          <w:b w:val="false"/>
          <w:i w:val="false"/>
          <w:color w:val="000000"/>
          <w:vertAlign w:val="subscript"/>
        </w:rPr>
        <w:t>вк</w:t>
      </w:r>
      <w:r>
        <w:rPr>
          <w:rFonts w:ascii="Times New Roman"/>
          <w:b w:val="false"/>
          <w:i w:val="false"/>
          <w:color w:val="000000"/>
          <w:sz w:val="28"/>
        </w:rPr>
        <w:t xml:space="preserve"> принимается по приложению 217 настоящих Правил в зависимости от параметра m</w:t>
      </w:r>
      <w:r>
        <w:rPr>
          <w:rFonts w:ascii="Times New Roman"/>
          <w:b w:val="false"/>
          <w:i w:val="false"/>
          <w:color w:val="000000"/>
          <w:vertAlign w:val="subscript"/>
        </w:rPr>
        <w:t>вк</w:t>
      </w:r>
      <w:r>
        <w:rPr>
          <w:rFonts w:ascii="Times New Roman"/>
          <w:b w:val="false"/>
          <w:i w:val="false"/>
          <w:color w:val="000000"/>
          <w:sz w:val="28"/>
        </w:rPr>
        <w:t>, определяемого по формуле:</w:t>
      </w:r>
    </w:p>
    <w:bookmarkEnd w:id="5423"/>
    <w:p>
      <w:pPr>
        <w:spacing w:after="0"/>
        <w:ind w:left="0"/>
        <w:jc w:val="both"/>
      </w:pPr>
      <w:r>
        <w:rPr>
          <w:rFonts w:ascii="Times New Roman"/>
          <w:b w:val="false"/>
          <w:i w:val="false"/>
          <w:color w:val="000000"/>
          <w:sz w:val="28"/>
        </w:rPr>
        <w:t>
      m</w:t>
      </w:r>
      <w:r>
        <w:rPr>
          <w:rFonts w:ascii="Times New Roman"/>
          <w:b w:val="false"/>
          <w:i w:val="false"/>
          <w:color w:val="000000"/>
          <w:vertAlign w:val="subscript"/>
        </w:rPr>
        <w:t>вк</w:t>
      </w:r>
      <w:r>
        <w:rPr>
          <w:rFonts w:ascii="Times New Roman"/>
          <w:b w:val="false"/>
          <w:i w:val="false"/>
          <w:color w:val="000000"/>
          <w:sz w:val="28"/>
        </w:rPr>
        <w:t xml:space="preserve"> = </w:t>
      </w:r>
    </w:p>
    <w:p>
      <w:pPr>
        <w:spacing w:after="0"/>
        <w:ind w:left="0"/>
        <w:jc w:val="both"/>
      </w:pPr>
      <w:r>
        <w:drawing>
          <wp:inline distT="0" distB="0" distL="0" distR="0">
            <wp:extent cx="2438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7"/>
                    <a:stretch>
                      <a:fillRect/>
                    </a:stretch>
                  </pic:blipFill>
                  <pic:spPr>
                    <a:xfrm>
                      <a:off x="0" y="0"/>
                      <a:ext cx="2438400" cy="647700"/>
                    </a:xfrm>
                    <a:prstGeom prst="rect">
                      <a:avLst/>
                    </a:prstGeom>
                  </pic:spPr>
                </pic:pic>
              </a:graphicData>
            </a:graphic>
          </wp:inline>
        </w:drawing>
      </w:r>
    </w:p>
    <w:p>
      <w:pPr>
        <w:spacing w:after="0"/>
        <w:ind w:left="0"/>
        <w:jc w:val="left"/>
      </w:pPr>
      <w:r>
        <w:rPr>
          <w:rFonts w:ascii="Times New Roman"/>
          <w:b w:val="false"/>
          <w:i w:val="false"/>
          <w:color w:val="000000"/>
          <w:sz w:val="28"/>
        </w:rPr>
        <w:t>,              (636)      где A</w:t>
      </w:r>
      <w:r>
        <w:rPr>
          <w:rFonts w:ascii="Times New Roman"/>
          <w:b w:val="false"/>
          <w:i w:val="false"/>
          <w:color w:val="000000"/>
          <w:vertAlign w:val="subscript"/>
        </w:rPr>
        <w:t>k</w:t>
      </w:r>
      <w:r>
        <w:rPr>
          <w:rFonts w:ascii="Times New Roman"/>
          <w:b w:val="false"/>
          <w:i w:val="false"/>
          <w:color w:val="000000"/>
          <w:sz w:val="28"/>
        </w:rPr>
        <w:t xml:space="preserve"> — суммарная (на оба борта) габаритная площадь скуловых килей,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корпуса плавучего крана/кранового судна, м.</w:t>
      </w:r>
    </w:p>
    <w:bookmarkStart w:name="z5433" w:id="5424"/>
    <w:p>
      <w:pPr>
        <w:spacing w:after="0"/>
        <w:ind w:left="0"/>
        <w:jc w:val="both"/>
      </w:pPr>
      <w:r>
        <w:rPr>
          <w:rFonts w:ascii="Times New Roman"/>
          <w:b w:val="false"/>
          <w:i w:val="false"/>
          <w:color w:val="000000"/>
          <w:sz w:val="28"/>
        </w:rPr>
        <w:t>
      1723. В обоснованных случаях по согласованию с Регистром судоходства при определении амплитуды качки учитывают особенности распределения масс плавучего крана/кранового судна и особенности конкретного района их плавания:</w:t>
      </w:r>
    </w:p>
    <w:bookmarkEnd w:id="5424"/>
    <w:bookmarkStart w:name="z5434" w:id="5425"/>
    <w:p>
      <w:pPr>
        <w:spacing w:after="0"/>
        <w:ind w:left="0"/>
        <w:jc w:val="both"/>
      </w:pPr>
      <w:r>
        <w:rPr>
          <w:rFonts w:ascii="Times New Roman"/>
          <w:b w:val="false"/>
          <w:i w:val="false"/>
          <w:color w:val="000000"/>
          <w:sz w:val="28"/>
        </w:rPr>
        <w:t xml:space="preserve">
      1) если известен инерционный коэффициент с в формуле для периода качки </w:t>
      </w:r>
      <w:r>
        <w:rPr>
          <w:rFonts w:ascii="Times New Roman"/>
          <w:b w:val="false"/>
          <w:i/>
          <w:color w:val="000000"/>
          <w:sz w:val="28"/>
        </w:rPr>
        <w:t>Т</w:t>
      </w:r>
      <w:r>
        <w:rPr>
          <w:rFonts w:ascii="Times New Roman"/>
          <w:b w:val="false"/>
          <w:i w:val="false"/>
          <w:color w:val="000000"/>
          <w:sz w:val="28"/>
        </w:rPr>
        <w:t xml:space="preserve"> = 2cB/</w:t>
      </w:r>
    </w:p>
    <w:bookmarkEnd w:id="5425"/>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8"/>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значение коэффициента </w:t>
      </w:r>
      <w:r>
        <w:rPr>
          <w:rFonts w:ascii="Times New Roman"/>
          <w:b w:val="false"/>
          <w:i/>
          <w:color w:val="000000"/>
          <w:sz w:val="28"/>
        </w:rPr>
        <w:t>n</w:t>
      </w:r>
      <w:r>
        <w:rPr>
          <w:rFonts w:ascii="Times New Roman"/>
          <w:b w:val="false"/>
          <w:i w:val="false"/>
          <w:color w:val="000000"/>
          <w:sz w:val="28"/>
        </w:rPr>
        <w:t xml:space="preserve"> в формуле (637) настоящих Правил возможно заменить на значение, вычисленное как: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1/(4,6с);                     (641)</w:t>
      </w:r>
    </w:p>
    <w:bookmarkStart w:name="z5435" w:id="5426"/>
    <w:p>
      <w:pPr>
        <w:spacing w:after="0"/>
        <w:ind w:left="0"/>
        <w:jc w:val="both"/>
      </w:pPr>
      <w:r>
        <w:rPr>
          <w:rFonts w:ascii="Times New Roman"/>
          <w:b w:val="false"/>
          <w:i w:val="false"/>
          <w:color w:val="000000"/>
          <w:sz w:val="28"/>
        </w:rPr>
        <w:t xml:space="preserve">
      2) если известна частота максимума спектральной плотности волнения </w:t>
      </w:r>
    </w:p>
    <w:bookmarkEnd w:id="5426"/>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с</w:t>
      </w:r>
      <w:r>
        <w:rPr>
          <w:rFonts w:ascii="Times New Roman"/>
          <w:b w:val="false"/>
          <w:i w:val="false"/>
          <w:color w:val="000000"/>
          <w:vertAlign w:val="superscript"/>
        </w:rPr>
        <w:t>-1</w:t>
      </w:r>
      <w:r>
        <w:rPr>
          <w:rFonts w:ascii="Times New Roman"/>
          <w:b w:val="false"/>
          <w:i w:val="false"/>
          <w:color w:val="000000"/>
          <w:sz w:val="28"/>
        </w:rPr>
        <w:t>, характерная при заданной высоте волн 3-процентной обеспеченности h</w:t>
      </w:r>
      <w:r>
        <w:rPr>
          <w:rFonts w:ascii="Times New Roman"/>
          <w:b w:val="false"/>
          <w:i w:val="false"/>
          <w:color w:val="000000"/>
          <w:vertAlign w:val="subscript"/>
        </w:rPr>
        <w:t>3%</w:t>
      </w:r>
      <w:r>
        <w:rPr>
          <w:rFonts w:ascii="Times New Roman"/>
          <w:b w:val="false"/>
          <w:i w:val="false"/>
          <w:color w:val="000000"/>
          <w:sz w:val="28"/>
        </w:rPr>
        <w:t xml:space="preserve"> для конкретного района плавания, то амплитуда качки Ө</w:t>
      </w:r>
      <w:r>
        <w:rPr>
          <w:rFonts w:ascii="Times New Roman"/>
          <w:b w:val="false"/>
          <w:i w:val="false"/>
          <w:color w:val="000000"/>
          <w:vertAlign w:val="subscript"/>
        </w:rPr>
        <w:t>r</w:t>
      </w:r>
      <w:r>
        <w:rPr>
          <w:rFonts w:ascii="Times New Roman"/>
          <w:b w:val="false"/>
          <w:i w:val="false"/>
          <w:color w:val="000000"/>
          <w:sz w:val="28"/>
        </w:rPr>
        <w:t>, град, определенная по формуле (631) настоящих Правил, уточняется по формуле: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 Ө</w:t>
      </w:r>
      <w:r>
        <w:rPr>
          <w:rFonts w:ascii="Times New Roman"/>
          <w:b w:val="false"/>
          <w:i w:val="false"/>
          <w:color w:val="000000"/>
          <w:vertAlign w:val="subscript"/>
        </w:rPr>
        <w:t>rо</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                    (642)</w:t>
      </w:r>
    </w:p>
    <w:bookmarkStart w:name="z5436" w:id="5427"/>
    <w:p>
      <w:pPr>
        <w:spacing w:after="0"/>
        <w:ind w:left="0"/>
        <w:jc w:val="both"/>
      </w:pPr>
      <w:r>
        <w:rPr>
          <w:rFonts w:ascii="Times New Roman"/>
          <w:b w:val="false"/>
          <w:i w:val="false"/>
          <w:color w:val="000000"/>
          <w:sz w:val="28"/>
        </w:rPr>
        <w:t>
      где KС, м·с</w:t>
      </w:r>
      <w:r>
        <w:rPr>
          <w:rFonts w:ascii="Times New Roman"/>
          <w:b w:val="false"/>
          <w:i w:val="false"/>
          <w:color w:val="000000"/>
          <w:vertAlign w:val="superscript"/>
        </w:rPr>
        <w:t>-2</w:t>
      </w:r>
      <w:r>
        <w:rPr>
          <w:rFonts w:ascii="Times New Roman"/>
          <w:b w:val="false"/>
          <w:i w:val="false"/>
          <w:color w:val="000000"/>
          <w:sz w:val="28"/>
        </w:rPr>
        <w:t>, определяется по формуле:</w:t>
      </w:r>
    </w:p>
    <w:bookmarkEnd w:id="5427"/>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w:t>
      </w:r>
      <w:r>
        <w:rPr>
          <w:rFonts w:ascii="Times New Roman"/>
          <w:b w:val="false"/>
          <w:i w:val="false"/>
          <w:color w:val="000000"/>
          <w:sz w:val="28"/>
        </w:rPr>
        <w:t xml:space="preserve"> = 0,27</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0"/>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52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1"/>
                    <a:stretch>
                      <a:fillRect/>
                    </a:stretch>
                  </pic:blipFill>
                  <pic:spPr>
                    <a:xfrm>
                      <a:off x="0" y="0"/>
                      <a:ext cx="152400" cy="3556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xml:space="preserve"> ;                  (643)</w:t>
      </w:r>
      <w:r>
        <w:br/>
      </w:r>
      <w:r>
        <w:rPr>
          <w:rFonts w:ascii="Times New Roman"/>
          <w:b w:val="false"/>
          <w:i w:val="false"/>
          <w:color w:val="000000"/>
          <w:sz w:val="28"/>
        </w:rPr>
        <w:t>
</w:t>
      </w:r>
    </w:p>
    <w:bookmarkStart w:name="z5437" w:id="5428"/>
    <w:p>
      <w:pPr>
        <w:spacing w:after="0"/>
        <w:ind w:left="0"/>
        <w:jc w:val="both"/>
      </w:pPr>
      <w:r>
        <w:rPr>
          <w:rFonts w:ascii="Times New Roman"/>
          <w:b w:val="false"/>
          <w:i w:val="false"/>
          <w:color w:val="000000"/>
          <w:sz w:val="28"/>
        </w:rPr>
        <w:t xml:space="preserve">
      при этом в приложениях 212, 213 и 214 настоящих Правил вместо величины W =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w:t>
      </w:r>
    </w:p>
    <w:bookmarkEnd w:id="5428"/>
    <w:p>
      <w:pPr>
        <w:spacing w:after="0"/>
        <w:ind w:left="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2"/>
                    <a:stretch>
                      <a:fillRect/>
                    </a:stretch>
                  </pic:blipFill>
                  <pic:spPr>
                    <a:xfrm>
                      <a:off x="0" y="0"/>
                      <a:ext cx="736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используется величина (1/K</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3"/>
                    <a:stretch>
                      <a:fillRect/>
                    </a:stretch>
                  </pic:blipFill>
                  <pic:spPr>
                    <a:xfrm>
                      <a:off x="0" y="0"/>
                      <a:ext cx="736600" cy="431800"/>
                    </a:xfrm>
                    <a:prstGeom prst="rect">
                      <a:avLst/>
                    </a:prstGeom>
                  </pic:spPr>
                </pic:pic>
              </a:graphicData>
            </a:graphic>
          </wp:inline>
        </w:drawing>
      </w:r>
    </w:p>
    <w:p>
      <w:pPr>
        <w:spacing w:after="0"/>
        <w:ind w:left="0"/>
        <w:jc w:val="left"/>
      </w:pPr>
      <w:r>
        <w:rPr>
          <w:rFonts w:ascii="Times New Roman"/>
          <w:b w:val="false"/>
          <w:i w:val="false"/>
          <w:color w:val="000000"/>
          <w:sz w:val="28"/>
        </w:rPr>
        <w:t>) = (1/ K</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sz w:val="28"/>
        </w:rPr>
        <w:t>.</w:t>
      </w:r>
      <w:r>
        <w:br/>
      </w:r>
      <w:r>
        <w:rPr>
          <w:rFonts w:ascii="Times New Roman"/>
          <w:b w:val="false"/>
          <w:i w:val="false"/>
          <w:color w:val="000000"/>
          <w:sz w:val="28"/>
        </w:rPr>
        <w:t>
</w:t>
      </w:r>
    </w:p>
    <w:bookmarkStart w:name="z5438" w:id="5429"/>
    <w:p>
      <w:pPr>
        <w:spacing w:after="0"/>
        <w:ind w:left="0"/>
        <w:jc w:val="both"/>
      </w:pPr>
      <w:r>
        <w:rPr>
          <w:rFonts w:ascii="Times New Roman"/>
          <w:b w:val="false"/>
          <w:i w:val="false"/>
          <w:color w:val="000000"/>
          <w:sz w:val="28"/>
        </w:rPr>
        <w:t>
      1724. Поправки к амплитуде качки плавучего крана при переходе/перегоне.</w:t>
      </w:r>
    </w:p>
    <w:bookmarkEnd w:id="5429"/>
    <w:bookmarkStart w:name="z5439" w:id="5430"/>
    <w:p>
      <w:pPr>
        <w:spacing w:after="0"/>
        <w:ind w:left="0"/>
        <w:jc w:val="both"/>
      </w:pPr>
      <w:r>
        <w:rPr>
          <w:rFonts w:ascii="Times New Roman"/>
          <w:b w:val="false"/>
          <w:i w:val="false"/>
          <w:color w:val="000000"/>
          <w:sz w:val="28"/>
        </w:rPr>
        <w:t>
      Если амплитуда качки плавучего крана при переходе/перегоне Ө</w:t>
      </w:r>
      <w:r>
        <w:rPr>
          <w:rFonts w:ascii="Times New Roman"/>
          <w:b w:val="false"/>
          <w:i w:val="false"/>
          <w:color w:val="000000"/>
          <w:vertAlign w:val="subscript"/>
        </w:rPr>
        <w:t>r</w:t>
      </w:r>
      <w:r>
        <w:rPr>
          <w:rFonts w:ascii="Times New Roman"/>
          <w:b w:val="false"/>
          <w:i w:val="false"/>
          <w:color w:val="000000"/>
          <w:sz w:val="28"/>
        </w:rPr>
        <w:t xml:space="preserve"> или Ө'</w:t>
      </w:r>
      <w:r>
        <w:rPr>
          <w:rFonts w:ascii="Times New Roman"/>
          <w:b w:val="false"/>
          <w:i w:val="false"/>
          <w:color w:val="000000"/>
          <w:vertAlign w:val="subscript"/>
        </w:rPr>
        <w:t>r</w:t>
      </w:r>
      <w:r>
        <w:rPr>
          <w:rFonts w:ascii="Times New Roman"/>
          <w:b w:val="false"/>
          <w:i w:val="false"/>
          <w:color w:val="000000"/>
          <w:sz w:val="28"/>
        </w:rPr>
        <w:t>, определенная согласно пункта 1722 или подпункта 8) пункта 1722 настоящих Правил, соответственно, превышает угол входа палубы в воду Ө</w:t>
      </w:r>
      <w:r>
        <w:rPr>
          <w:rFonts w:ascii="Times New Roman"/>
          <w:b w:val="false"/>
          <w:i w:val="false"/>
          <w:color w:val="000000"/>
          <w:vertAlign w:val="subscript"/>
        </w:rPr>
        <w:t>d</w:t>
      </w:r>
      <w:r>
        <w:rPr>
          <w:rFonts w:ascii="Times New Roman"/>
          <w:b w:val="false"/>
          <w:i w:val="false"/>
          <w:color w:val="000000"/>
          <w:sz w:val="28"/>
        </w:rPr>
        <w:t xml:space="preserve"> или угол выхода середины скулы на мидель-шпангоуте из воды Ө</w:t>
      </w:r>
      <w:r>
        <w:rPr>
          <w:rFonts w:ascii="Times New Roman"/>
          <w:b w:val="false"/>
          <w:i w:val="false"/>
          <w:color w:val="000000"/>
          <w:vertAlign w:val="subscript"/>
        </w:rPr>
        <w:t>b</w:t>
      </w:r>
      <w:r>
        <w:rPr>
          <w:rFonts w:ascii="Times New Roman"/>
          <w:b w:val="false"/>
          <w:i w:val="false"/>
          <w:color w:val="000000"/>
          <w:sz w:val="28"/>
        </w:rPr>
        <w:t>, то расчетная амплитуда качки Ө"</w:t>
      </w:r>
      <w:r>
        <w:rPr>
          <w:rFonts w:ascii="Times New Roman"/>
          <w:b w:val="false"/>
          <w:i w:val="false"/>
          <w:color w:val="000000"/>
          <w:vertAlign w:val="subscript"/>
        </w:rPr>
        <w:t>r</w:t>
      </w:r>
      <w:r>
        <w:rPr>
          <w:rFonts w:ascii="Times New Roman"/>
          <w:b w:val="false"/>
          <w:i w:val="false"/>
          <w:color w:val="000000"/>
          <w:sz w:val="28"/>
        </w:rPr>
        <w:t>, град, определяется по следующим формулам:</w:t>
      </w:r>
    </w:p>
    <w:bookmarkEnd w:id="54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4"/>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0" w:id="5431"/>
    <w:p>
      <w:pPr>
        <w:spacing w:after="0"/>
        <w:ind w:left="0"/>
        <w:jc w:val="both"/>
      </w:pPr>
      <w:r>
        <w:rPr>
          <w:rFonts w:ascii="Times New Roman"/>
          <w:b w:val="false"/>
          <w:i w:val="false"/>
          <w:color w:val="000000"/>
          <w:sz w:val="28"/>
        </w:rPr>
        <w:t>
      1725. Амплитуда качки кранового судна при переходе.</w:t>
      </w:r>
    </w:p>
    <w:bookmarkEnd w:id="5431"/>
    <w:bookmarkStart w:name="z5441" w:id="5432"/>
    <w:p>
      <w:pPr>
        <w:spacing w:after="0"/>
        <w:ind w:left="0"/>
        <w:jc w:val="both"/>
      </w:pPr>
      <w:r>
        <w:rPr>
          <w:rFonts w:ascii="Times New Roman"/>
          <w:b w:val="false"/>
          <w:i w:val="false"/>
          <w:color w:val="000000"/>
          <w:sz w:val="28"/>
        </w:rPr>
        <w:t>
      Амплитуда качки кранового судна во всех рассматриваемых вариантах нагрузки при переходе определяется в соответствии с параграфом 2 главы 101 настоящих Правил.</w:t>
      </w:r>
    </w:p>
    <w:bookmarkEnd w:id="5432"/>
    <w:bookmarkStart w:name="z5442" w:id="5433"/>
    <w:p>
      <w:pPr>
        <w:spacing w:after="0"/>
        <w:ind w:left="0"/>
        <w:jc w:val="both"/>
      </w:pPr>
      <w:r>
        <w:rPr>
          <w:rFonts w:ascii="Times New Roman"/>
          <w:b w:val="false"/>
          <w:i w:val="false"/>
          <w:color w:val="000000"/>
          <w:sz w:val="28"/>
        </w:rPr>
        <w:t>
      Амплитуда качки кранового судна, снабженного успокоителями качки, определяется без учета их работы.</w:t>
      </w:r>
    </w:p>
    <w:bookmarkEnd w:id="5433"/>
    <w:bookmarkStart w:name="z5443" w:id="5434"/>
    <w:p>
      <w:pPr>
        <w:spacing w:after="0"/>
        <w:ind w:left="0"/>
        <w:jc w:val="left"/>
      </w:pPr>
      <w:r>
        <w:rPr>
          <w:rFonts w:ascii="Times New Roman"/>
          <w:b/>
          <w:i w:val="false"/>
          <w:color w:val="000000"/>
        </w:rPr>
        <w:t xml:space="preserve"> Параграф 5. Учет обледенения</w:t>
      </w:r>
    </w:p>
    <w:bookmarkEnd w:id="5434"/>
    <w:bookmarkStart w:name="z5444" w:id="5435"/>
    <w:p>
      <w:pPr>
        <w:spacing w:after="0"/>
        <w:ind w:left="0"/>
        <w:jc w:val="both"/>
      </w:pPr>
      <w:r>
        <w:rPr>
          <w:rFonts w:ascii="Times New Roman"/>
          <w:b w:val="false"/>
          <w:i w:val="false"/>
          <w:color w:val="000000"/>
          <w:sz w:val="28"/>
        </w:rPr>
        <w:t>
      1726. Учет обледенения производится согласно указаниям пунктов 1571 - 1576 и пункта 1578 настоящих Правил для площадей, расположенных на высоте до 30 м над ватерлинией. При этом норма обледенения для площадей, расположенных выше 10 м над ватерлинией, принимается вдвое меньшей, чем указано в пунктах 1573 и 1574 настоящих Правил.</w:t>
      </w:r>
    </w:p>
    <w:bookmarkEnd w:id="5435"/>
    <w:bookmarkStart w:name="z5445" w:id="5436"/>
    <w:p>
      <w:pPr>
        <w:spacing w:after="0"/>
        <w:ind w:left="0"/>
        <w:jc w:val="both"/>
      </w:pPr>
      <w:r>
        <w:rPr>
          <w:rFonts w:ascii="Times New Roman"/>
          <w:b w:val="false"/>
          <w:i w:val="false"/>
          <w:color w:val="000000"/>
          <w:sz w:val="28"/>
        </w:rPr>
        <w:t>
      Площадь и возвышение центра парусности над ватерлинией определяются:</w:t>
      </w:r>
    </w:p>
    <w:bookmarkEnd w:id="5436"/>
    <w:bookmarkStart w:name="z5446" w:id="5437"/>
    <w:p>
      <w:pPr>
        <w:spacing w:after="0"/>
        <w:ind w:left="0"/>
        <w:jc w:val="both"/>
      </w:pPr>
      <w:r>
        <w:rPr>
          <w:rFonts w:ascii="Times New Roman"/>
          <w:b w:val="false"/>
          <w:i w:val="false"/>
          <w:color w:val="000000"/>
          <w:sz w:val="28"/>
        </w:rPr>
        <w:t>
      для варианта нагрузки с минимальной осадкой из проверяемых в соответствии с пунктом 1711 настоящих Правил;</w:t>
      </w:r>
    </w:p>
    <w:bookmarkEnd w:id="5437"/>
    <w:bookmarkStart w:name="z5447" w:id="5438"/>
    <w:p>
      <w:pPr>
        <w:spacing w:after="0"/>
        <w:ind w:left="0"/>
        <w:jc w:val="both"/>
      </w:pPr>
      <w:r>
        <w:rPr>
          <w:rFonts w:ascii="Times New Roman"/>
          <w:b w:val="false"/>
          <w:i w:val="false"/>
          <w:color w:val="000000"/>
          <w:sz w:val="28"/>
        </w:rPr>
        <w:t>
      для варианта нагрузки, выбранного для проверки остойчивости в соответствии с пунктом 1712 настоящих Правил.</w:t>
      </w:r>
    </w:p>
    <w:bookmarkEnd w:id="5438"/>
    <w:bookmarkStart w:name="z5448" w:id="5439"/>
    <w:p>
      <w:pPr>
        <w:spacing w:after="0"/>
        <w:ind w:left="0"/>
        <w:jc w:val="both"/>
      </w:pPr>
      <w:r>
        <w:rPr>
          <w:rFonts w:ascii="Times New Roman"/>
          <w:b w:val="false"/>
          <w:i w:val="false"/>
          <w:color w:val="000000"/>
          <w:sz w:val="28"/>
        </w:rPr>
        <w:t>
      При перевозке на палубе труб или иных грузов их обледенение учитывается согласно пунктов 1697, 1698 настоящих Правил при указанной выше норме обледенения.</w:t>
      </w:r>
    </w:p>
    <w:bookmarkEnd w:id="5439"/>
    <w:bookmarkStart w:name="z5449" w:id="5440"/>
    <w:p>
      <w:pPr>
        <w:spacing w:after="0"/>
        <w:ind w:left="0"/>
        <w:jc w:val="left"/>
      </w:pPr>
      <w:r>
        <w:rPr>
          <w:rFonts w:ascii="Times New Roman"/>
          <w:b/>
          <w:i w:val="false"/>
          <w:color w:val="000000"/>
        </w:rPr>
        <w:t xml:space="preserve"> Параграф 6. Остойчивость плавучего крана/кранового судна в</w:t>
      </w:r>
      <w:r>
        <w:br/>
      </w:r>
      <w:r>
        <w:rPr>
          <w:rFonts w:ascii="Times New Roman"/>
          <w:b/>
          <w:i w:val="false"/>
          <w:color w:val="000000"/>
        </w:rPr>
        <w:t>рабочем состоянии</w:t>
      </w:r>
    </w:p>
    <w:bookmarkEnd w:id="5440"/>
    <w:bookmarkStart w:name="z5450" w:id="5441"/>
    <w:p>
      <w:pPr>
        <w:spacing w:after="0"/>
        <w:ind w:left="0"/>
        <w:jc w:val="both"/>
      </w:pPr>
      <w:r>
        <w:rPr>
          <w:rFonts w:ascii="Times New Roman"/>
          <w:b w:val="false"/>
          <w:i w:val="false"/>
          <w:color w:val="000000"/>
          <w:sz w:val="28"/>
        </w:rPr>
        <w:t>
      1727. Остойчивость считается достаточной:</w:t>
      </w:r>
    </w:p>
    <w:bookmarkEnd w:id="5441"/>
    <w:bookmarkStart w:name="z5451" w:id="5442"/>
    <w:p>
      <w:pPr>
        <w:spacing w:after="0"/>
        <w:ind w:left="0"/>
        <w:jc w:val="both"/>
      </w:pPr>
      <w:r>
        <w:rPr>
          <w:rFonts w:ascii="Times New Roman"/>
          <w:b w:val="false"/>
          <w:i w:val="false"/>
          <w:color w:val="000000"/>
          <w:sz w:val="28"/>
        </w:rPr>
        <w:t>
      1) если угол крена Ө</w:t>
      </w:r>
      <w:r>
        <w:rPr>
          <w:rFonts w:ascii="Times New Roman"/>
          <w:b w:val="false"/>
          <w:i w:val="false"/>
          <w:color w:val="000000"/>
          <w:vertAlign w:val="subscript"/>
        </w:rPr>
        <w:t>d2</w:t>
      </w:r>
      <w:r>
        <w:rPr>
          <w:rFonts w:ascii="Times New Roman"/>
          <w:b w:val="false"/>
          <w:i w:val="false"/>
          <w:color w:val="000000"/>
          <w:sz w:val="28"/>
        </w:rPr>
        <w:t>, град, от совместного действия начального кренящего момента (от груза на гаке, противовеса или противокренового балласта и т. п.) Өо, град, ветра Өs (подпункт 1) пункта 1738 настоящих Правил) и качки Өr, град, не превышает угла, при котором кромка палубы входит в воду, или середина скулы на мидель-шпангоуте выходит из воды, в зависимости от того, какой из них меньше. Во всяком случае соблюдаются условия:</w:t>
      </w:r>
    </w:p>
    <w:bookmarkEnd w:id="5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5"/>
                    <a:stretch>
                      <a:fillRect/>
                    </a:stretch>
                  </pic:blipFill>
                  <pic:spPr>
                    <a:xfrm>
                      <a:off x="0" y="0"/>
                      <a:ext cx="72263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2" w:id="5443"/>
    <w:p>
      <w:pPr>
        <w:spacing w:after="0"/>
        <w:ind w:left="0"/>
        <w:jc w:val="both"/>
      </w:pPr>
      <w:r>
        <w:rPr>
          <w:rFonts w:ascii="Times New Roman"/>
          <w:b w:val="false"/>
          <w:i w:val="false"/>
          <w:color w:val="000000"/>
          <w:sz w:val="28"/>
        </w:rPr>
        <w:t>
      Указанные допустимые углы крена: статического Ө</w:t>
      </w:r>
      <w:r>
        <w:rPr>
          <w:rFonts w:ascii="Times New Roman"/>
          <w:b w:val="false"/>
          <w:i w:val="false"/>
          <w:color w:val="000000"/>
          <w:vertAlign w:val="subscript"/>
        </w:rPr>
        <w:t>о</w:t>
      </w:r>
      <w:r>
        <w:rPr>
          <w:rFonts w:ascii="Times New Roman"/>
          <w:b w:val="false"/>
          <w:i w:val="false"/>
          <w:color w:val="000000"/>
          <w:sz w:val="28"/>
        </w:rPr>
        <w:t xml:space="preserve"> + Ө</w:t>
      </w:r>
      <w:r>
        <w:rPr>
          <w:rFonts w:ascii="Times New Roman"/>
          <w:b w:val="false"/>
          <w:i w:val="false"/>
          <w:color w:val="000000"/>
          <w:vertAlign w:val="subscript"/>
        </w:rPr>
        <w:t>s</w:t>
      </w:r>
      <w:r>
        <w:rPr>
          <w:rFonts w:ascii="Times New Roman"/>
          <w:b w:val="false"/>
          <w:i w:val="false"/>
          <w:color w:val="000000"/>
          <w:sz w:val="28"/>
        </w:rPr>
        <w:t xml:space="preserve"> и динамического Ө</w:t>
      </w:r>
      <w:r>
        <w:rPr>
          <w:rFonts w:ascii="Times New Roman"/>
          <w:b w:val="false"/>
          <w:i w:val="false"/>
          <w:color w:val="000000"/>
          <w:vertAlign w:val="subscript"/>
        </w:rPr>
        <w:t>r</w:t>
      </w:r>
      <w:r>
        <w:rPr>
          <w:rFonts w:ascii="Times New Roman"/>
          <w:b w:val="false"/>
          <w:i w:val="false"/>
          <w:color w:val="000000"/>
          <w:sz w:val="28"/>
        </w:rPr>
        <w:t>, — не превышают соответствующих углов, при которых обеспечивается надежная работа кранового сооружения. Эти углы отвечают техническим условиям на поставку кранового сооружения и/или инструкции по его эксплуатации.</w:t>
      </w:r>
    </w:p>
    <w:bookmarkEnd w:id="5443"/>
    <w:bookmarkStart w:name="z5453" w:id="5444"/>
    <w:p>
      <w:pPr>
        <w:spacing w:after="0"/>
        <w:ind w:left="0"/>
        <w:jc w:val="both"/>
      </w:pPr>
      <w:r>
        <w:rPr>
          <w:rFonts w:ascii="Times New Roman"/>
          <w:b w:val="false"/>
          <w:i w:val="false"/>
          <w:color w:val="000000"/>
          <w:sz w:val="28"/>
        </w:rPr>
        <w:t>
      Для плавучих кранов/крановых судов, у которых надежная работа кранового сооружения обеспечивается при больших углах, допустимый угол крена является в каждом случае предметом специального рассмотрения Регистром судоходства;</w:t>
      </w:r>
    </w:p>
    <w:bookmarkEnd w:id="5444"/>
    <w:bookmarkStart w:name="z5454" w:id="5445"/>
    <w:p>
      <w:pPr>
        <w:spacing w:after="0"/>
        <w:ind w:left="0"/>
        <w:jc w:val="both"/>
      </w:pPr>
      <w:r>
        <w:rPr>
          <w:rFonts w:ascii="Times New Roman"/>
          <w:b w:val="false"/>
          <w:i w:val="false"/>
          <w:color w:val="000000"/>
          <w:sz w:val="28"/>
        </w:rPr>
        <w:t>
      2) если вертикальное отстояние нижних кромок отверстий, определяющих угол заливания в рабочем состоянии, от ватерлинии, соответствующей статическим крену и дифференту, не менее 0,6 м или 0,025</w:t>
      </w:r>
      <w:r>
        <w:rPr>
          <w:rFonts w:ascii="Times New Roman"/>
          <w:b w:val="false"/>
          <w:i/>
          <w:color w:val="000000"/>
          <w:sz w:val="28"/>
        </w:rPr>
        <w:t>В</w:t>
      </w:r>
      <w:r>
        <w:rPr>
          <w:rFonts w:ascii="Times New Roman"/>
          <w:b w:val="false"/>
          <w:i w:val="false"/>
          <w:color w:val="000000"/>
          <w:sz w:val="28"/>
        </w:rPr>
        <w:t>, смотря по тому, что больше;</w:t>
      </w:r>
    </w:p>
    <w:bookmarkEnd w:id="5445"/>
    <w:bookmarkStart w:name="z5455" w:id="5446"/>
    <w:p>
      <w:pPr>
        <w:spacing w:after="0"/>
        <w:ind w:left="0"/>
        <w:jc w:val="both"/>
      </w:pPr>
      <w:r>
        <w:rPr>
          <w:rFonts w:ascii="Times New Roman"/>
          <w:b w:val="false"/>
          <w:i w:val="false"/>
          <w:color w:val="000000"/>
          <w:sz w:val="28"/>
        </w:rPr>
        <w:t xml:space="preserve">
      3) если площадь диаграммы статической остойчивости </w:t>
      </w:r>
      <w:r>
        <w:rPr>
          <w:rFonts w:ascii="Times New Roman"/>
          <w:b w:val="false"/>
          <w:i/>
          <w:color w:val="000000"/>
          <w:sz w:val="28"/>
        </w:rPr>
        <w:t>А</w:t>
      </w:r>
      <w:r>
        <w:rPr>
          <w:rFonts w:ascii="Times New Roman"/>
          <w:b w:val="false"/>
          <w:i w:val="false"/>
          <w:color w:val="000000"/>
          <w:vertAlign w:val="subscript"/>
        </w:rPr>
        <w:t>m</w:t>
      </w:r>
      <w:r>
        <w:rPr>
          <w:rFonts w:ascii="Times New Roman"/>
          <w:b w:val="false"/>
          <w:i w:val="false"/>
          <w:color w:val="000000"/>
          <w:sz w:val="28"/>
        </w:rPr>
        <w:t>, м·рад, от угла Ө</w:t>
      </w:r>
      <w:r>
        <w:rPr>
          <w:rFonts w:ascii="Times New Roman"/>
          <w:b w:val="false"/>
          <w:i w:val="false"/>
          <w:color w:val="000000"/>
          <w:vertAlign w:val="subscript"/>
        </w:rPr>
        <w:t>о</w:t>
      </w:r>
      <w:r>
        <w:rPr>
          <w:rFonts w:ascii="Times New Roman"/>
          <w:b w:val="false"/>
          <w:i w:val="false"/>
          <w:color w:val="000000"/>
          <w:sz w:val="28"/>
        </w:rPr>
        <w:t xml:space="preserve"> до угла Ө</w:t>
      </w:r>
      <w:r>
        <w:rPr>
          <w:rFonts w:ascii="Times New Roman"/>
          <w:b w:val="false"/>
          <w:i w:val="false"/>
          <w:color w:val="000000"/>
          <w:vertAlign w:val="subscript"/>
        </w:rPr>
        <w:t>m</w:t>
      </w:r>
      <w:r>
        <w:rPr>
          <w:rFonts w:ascii="Times New Roman"/>
          <w:b w:val="false"/>
          <w:i w:val="false"/>
          <w:color w:val="000000"/>
          <w:sz w:val="28"/>
        </w:rPr>
        <w:t xml:space="preserve"> удовлетворяет условиям:</w:t>
      </w:r>
    </w:p>
    <w:bookmarkEnd w:id="54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6"/>
                    <a:stretch>
                      <a:fillRect/>
                    </a:stretch>
                  </pic:blipFill>
                  <pic:spPr>
                    <a:xfrm>
                      <a:off x="0" y="0"/>
                      <a:ext cx="5854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6" w:id="5447"/>
    <w:p>
      <w:pPr>
        <w:spacing w:after="0"/>
        <w:ind w:left="0"/>
        <w:jc w:val="both"/>
      </w:pPr>
      <w:r>
        <w:rPr>
          <w:rFonts w:ascii="Times New Roman"/>
          <w:b w:val="false"/>
          <w:i w:val="false"/>
          <w:color w:val="000000"/>
          <w:sz w:val="28"/>
        </w:rPr>
        <w:t>
      4) если Ө</w:t>
      </w:r>
      <w:r>
        <w:rPr>
          <w:rFonts w:ascii="Times New Roman"/>
          <w:b w:val="false"/>
          <w:i w:val="false"/>
          <w:color w:val="000000"/>
          <w:vertAlign w:val="subscript"/>
        </w:rPr>
        <w:t>m</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10</w:t>
      </w:r>
      <w:r>
        <w:rPr>
          <w:rFonts w:ascii="Times New Roman"/>
          <w:b w:val="false"/>
          <w:i w:val="false"/>
          <w:color w:val="000000"/>
          <w:vertAlign w:val="superscript"/>
        </w:rPr>
        <w:t>o</w:t>
      </w:r>
      <w:r>
        <w:rPr>
          <w:rFonts w:ascii="Times New Roman"/>
          <w:b w:val="false"/>
          <w:i w:val="false"/>
          <w:color w:val="000000"/>
          <w:sz w:val="28"/>
        </w:rPr>
        <w:t xml:space="preserve"> и Ө</w:t>
      </w:r>
      <w:r>
        <w:rPr>
          <w:rFonts w:ascii="Times New Roman"/>
          <w:b w:val="false"/>
          <w:i w:val="false"/>
          <w:color w:val="000000"/>
          <w:vertAlign w:val="subscript"/>
        </w:rPr>
        <w:t>н</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20</w:t>
      </w:r>
      <w:r>
        <w:rPr>
          <w:rFonts w:ascii="Times New Roman"/>
          <w:b w:val="false"/>
          <w:i w:val="false"/>
          <w:color w:val="000000"/>
          <w:vertAlign w:val="superscript"/>
        </w:rPr>
        <w:t>о</w:t>
      </w:r>
      <w:r>
        <w:rPr>
          <w:rFonts w:ascii="Times New Roman"/>
          <w:b w:val="false"/>
          <w:i w:val="false"/>
          <w:color w:val="000000"/>
          <w:sz w:val="28"/>
        </w:rPr>
        <w:t>;</w:t>
      </w:r>
    </w:p>
    <w:bookmarkEnd w:id="5447"/>
    <w:bookmarkStart w:name="z5457" w:id="5448"/>
    <w:p>
      <w:pPr>
        <w:spacing w:after="0"/>
        <w:ind w:left="0"/>
        <w:jc w:val="both"/>
      </w:pPr>
      <w:r>
        <w:rPr>
          <w:rFonts w:ascii="Times New Roman"/>
          <w:b w:val="false"/>
          <w:i w:val="false"/>
          <w:color w:val="000000"/>
          <w:sz w:val="28"/>
        </w:rPr>
        <w:t xml:space="preserve">
      5) если максимальное плечо диаграммы статической остойчивости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плавучего крана/кранового судна, оборудованных автоматизированной противокреновой системой, при несрабатывании этой системы не менее 0,25 м;</w:t>
      </w:r>
    </w:p>
    <w:bookmarkEnd w:id="5448"/>
    <w:bookmarkStart w:name="z5458" w:id="5449"/>
    <w:p>
      <w:pPr>
        <w:spacing w:after="0"/>
        <w:ind w:left="0"/>
        <w:jc w:val="both"/>
      </w:pPr>
      <w:r>
        <w:rPr>
          <w:rFonts w:ascii="Times New Roman"/>
          <w:b w:val="false"/>
          <w:i w:val="false"/>
          <w:color w:val="000000"/>
          <w:sz w:val="28"/>
        </w:rPr>
        <w:t xml:space="preserve">
      ) если опрокидывающий момент (пункт 1415 настоящих Правил), определенный с учетом совместного действия обрыва груза и качки, по крайней мере в два раза больше кренящего момента от давления ветра. Необходимо чтобы значение </w:t>
      </w:r>
      <w:r>
        <w:rPr>
          <w:rFonts w:ascii="Times New Roman"/>
          <w:b w:val="false"/>
          <w:i/>
          <w:color w:val="000000"/>
          <w:sz w:val="28"/>
        </w:rPr>
        <w:t>g</w:t>
      </w:r>
    </w:p>
    <w:bookmarkEnd w:id="544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было по крайней мере в два раза больше кренящего момента. У плавучих кранов/крановых судов с противокреновой системой после обрыва груза система считается отключенной, а противокреновый балласт — находящимся в том положении, которое он занимал в момент обрыва груза;</w:t>
      </w:r>
      <w:r>
        <w:br/>
      </w:r>
      <w:r>
        <w:rPr>
          <w:rFonts w:ascii="Times New Roman"/>
          <w:b w:val="false"/>
          <w:i w:val="false"/>
          <w:color w:val="000000"/>
          <w:sz w:val="28"/>
        </w:rPr>
        <w:t>
</w:t>
      </w:r>
    </w:p>
    <w:bookmarkStart w:name="z5459" w:id="5450"/>
    <w:p>
      <w:pPr>
        <w:spacing w:after="0"/>
        <w:ind w:left="0"/>
        <w:jc w:val="both"/>
      </w:pPr>
      <w:r>
        <w:rPr>
          <w:rFonts w:ascii="Times New Roman"/>
          <w:b w:val="false"/>
          <w:i w:val="false"/>
          <w:color w:val="000000"/>
          <w:sz w:val="28"/>
        </w:rPr>
        <w:t>
      7) если при динамическом крене Ө</w:t>
      </w:r>
      <w:r>
        <w:rPr>
          <w:rFonts w:ascii="Times New Roman"/>
          <w:b w:val="false"/>
          <w:i w:val="false"/>
          <w:color w:val="000000"/>
          <w:vertAlign w:val="subscript"/>
        </w:rPr>
        <w:t>d3</w:t>
      </w:r>
      <w:r>
        <w:rPr>
          <w:rFonts w:ascii="Times New Roman"/>
          <w:b w:val="false"/>
          <w:i w:val="false"/>
          <w:color w:val="000000"/>
          <w:sz w:val="28"/>
        </w:rPr>
        <w:t xml:space="preserve">, град, от совместного действия обрыва груза, ветра и качки нижние кромки отверстий, считающихся открытыми в рабочем состоянии плавучего крана/кранового судна, возвышаются над действующей ватерлинией на величину </w:t>
      </w:r>
    </w:p>
    <w:bookmarkEnd w:id="5450"/>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8"/>
                    <a:stretch>
                      <a:fillRect/>
                    </a:stretch>
                  </pic:blipFill>
                  <pic:spPr>
                    <a:xfrm>
                      <a:off x="0" y="0"/>
                      <a:ext cx="203200" cy="330200"/>
                    </a:xfrm>
                    <a:prstGeom prst="rect">
                      <a:avLst/>
                    </a:prstGeom>
                  </pic:spPr>
                </pic:pic>
              </a:graphicData>
            </a:graphic>
          </wp:inline>
        </w:drawing>
      </w:r>
    </w:p>
    <w:p>
      <w:pPr>
        <w:spacing w:after="0"/>
        <w:ind w:left="0"/>
        <w:jc w:val="left"/>
      </w:pPr>
      <w:r>
        <w:rPr>
          <w:rFonts w:ascii="Times New Roman"/>
          <w:b w:val="false"/>
          <w:i w:val="false"/>
          <w:color w:val="000000"/>
          <w:sz w:val="28"/>
        </w:rPr>
        <w:t>(не менее чем 0,6 м или 0,025</w:t>
      </w:r>
      <w:r>
        <w:rPr>
          <w:rFonts w:ascii="Times New Roman"/>
          <w:b w:val="false"/>
          <w:i/>
          <w:color w:val="000000"/>
          <w:sz w:val="28"/>
        </w:rPr>
        <w:t>В</w:t>
      </w:r>
      <w:r>
        <w:rPr>
          <w:rFonts w:ascii="Times New Roman"/>
          <w:b w:val="false"/>
          <w:i w:val="false"/>
          <w:color w:val="000000"/>
          <w:sz w:val="28"/>
        </w:rPr>
        <w:t>, смотря по тому, что больше).</w:t>
      </w:r>
      <w:r>
        <w:br/>
      </w:r>
      <w:r>
        <w:rPr>
          <w:rFonts w:ascii="Times New Roman"/>
          <w:b w:val="false"/>
          <w:i w:val="false"/>
          <w:color w:val="000000"/>
          <w:sz w:val="28"/>
        </w:rPr>
        <w:t>
</w:t>
      </w:r>
    </w:p>
    <w:bookmarkStart w:name="z5460" w:id="5451"/>
    <w:p>
      <w:pPr>
        <w:spacing w:after="0"/>
        <w:ind w:left="0"/>
        <w:jc w:val="both"/>
      </w:pPr>
      <w:r>
        <w:rPr>
          <w:rFonts w:ascii="Times New Roman"/>
          <w:b w:val="false"/>
          <w:i w:val="false"/>
          <w:color w:val="000000"/>
          <w:sz w:val="28"/>
        </w:rPr>
        <w:t xml:space="preserve">
      Возвышение </w:t>
      </w:r>
    </w:p>
    <w:bookmarkEnd w:id="5451"/>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9"/>
                    <a:stretch>
                      <a:fillRect/>
                    </a:stretch>
                  </pic:blipFill>
                  <pic:spPr>
                    <a:xfrm>
                      <a:off x="0" y="0"/>
                      <a:ext cx="203200" cy="330200"/>
                    </a:xfrm>
                    <a:prstGeom prst="rect">
                      <a:avLst/>
                    </a:prstGeom>
                  </pic:spPr>
                </pic:pic>
              </a:graphicData>
            </a:graphic>
          </wp:inline>
        </w:drawing>
      </w:r>
    </w:p>
    <w:p>
      <w:pPr>
        <w:spacing w:after="0"/>
        <w:ind w:left="0"/>
        <w:jc w:val="left"/>
      </w:pPr>
      <w:r>
        <w:rPr>
          <w:rFonts w:ascii="Times New Roman"/>
          <w:b w:val="false"/>
          <w:i w:val="false"/>
          <w:color w:val="000000"/>
          <w:sz w:val="28"/>
        </w:rPr>
        <w:t>определяется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0"/>
                    <a:stretch>
                      <a:fillRect/>
                    </a:stretch>
                  </pic:blipFill>
                  <pic:spPr>
                    <a:xfrm>
                      <a:off x="0" y="0"/>
                      <a:ext cx="203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1"/>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)cos Ө</w:t>
      </w:r>
      <w:r>
        <w:rPr>
          <w:rFonts w:ascii="Times New Roman"/>
          <w:b w:val="false"/>
          <w:i w:val="false"/>
          <w:color w:val="000000"/>
          <w:vertAlign w:val="subscript"/>
        </w:rPr>
        <w:t>d</w:t>
      </w:r>
      <w:r>
        <w:rPr>
          <w:rFonts w:ascii="Times New Roman"/>
          <w:b w:val="false"/>
          <w:i w:val="false"/>
          <w:color w:val="000000"/>
          <w:vertAlign w:val="subscript"/>
        </w:rPr>
        <w:t>3</w:t>
      </w:r>
      <w:r>
        <w:rPr>
          <w:rFonts w:ascii="Times New Roman"/>
          <w:b w:val="false"/>
          <w:i w:val="false"/>
          <w:color w:val="000000"/>
          <w:sz w:val="28"/>
        </w:rPr>
        <w:t xml:space="preserve"> — </w:t>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2"/>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sin Ө</w:t>
      </w:r>
      <w:r>
        <w:rPr>
          <w:rFonts w:ascii="Times New Roman"/>
          <w:b w:val="false"/>
          <w:i w:val="false"/>
          <w:color w:val="000000"/>
          <w:vertAlign w:val="subscript"/>
        </w:rPr>
        <w:t>d</w:t>
      </w:r>
      <w:r>
        <w:rPr>
          <w:rFonts w:ascii="Times New Roman"/>
          <w:b w:val="false"/>
          <w:i w:val="false"/>
          <w:color w:val="000000"/>
          <w:vertAlign w:val="subscript"/>
        </w:rPr>
        <w:t>3</w:t>
      </w:r>
      <w:r>
        <w:rPr>
          <w:rFonts w:ascii="Times New Roman"/>
          <w:b w:val="false"/>
          <w:i w:val="false"/>
          <w:color w:val="000000"/>
          <w:sz w:val="28"/>
        </w:rPr>
        <w:t>,       (650)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3"/>
                    <a:stretch>
                      <a:fillRect/>
                    </a:stretch>
                  </pic:blipFill>
                  <pic:spPr>
                    <a:xfrm>
                      <a:off x="0" y="0"/>
                      <a:ext cx="228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4"/>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соответственно, ордината и аппликата нижней кромки данного отверстия,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осадка после обрыва груза, м.</w:t>
      </w:r>
    </w:p>
    <w:bookmarkStart w:name="z5461" w:id="5452"/>
    <w:p>
      <w:pPr>
        <w:spacing w:after="0"/>
        <w:ind w:left="0"/>
        <w:jc w:val="both"/>
      </w:pPr>
      <w:r>
        <w:rPr>
          <w:rFonts w:ascii="Times New Roman"/>
          <w:b w:val="false"/>
          <w:i w:val="false"/>
          <w:color w:val="000000"/>
          <w:sz w:val="28"/>
        </w:rPr>
        <w:t>
      . Если плавучий кран/крановое судно выполняет грузоподъемные операции с подводными грузами массой более 0,1</w:t>
      </w:r>
    </w:p>
    <w:bookmarkEnd w:id="545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т, для рассматриваемого варианта нагрузки, то Регистр судоходства требует выполнения расчетов, показывающих, что при обрыве груза в его подводном положении безопасность плавучего крана/кранового судна против опрокидывания обеспечивается.</w:t>
      </w:r>
      <w:r>
        <w:br/>
      </w:r>
      <w:r>
        <w:rPr>
          <w:rFonts w:ascii="Times New Roman"/>
          <w:b w:val="false"/>
          <w:i w:val="false"/>
          <w:color w:val="000000"/>
          <w:sz w:val="28"/>
        </w:rPr>
        <w:t>
</w:t>
      </w:r>
    </w:p>
    <w:bookmarkStart w:name="z5462" w:id="5453"/>
    <w:p>
      <w:pPr>
        <w:spacing w:after="0"/>
        <w:ind w:left="0"/>
        <w:jc w:val="both"/>
      </w:pPr>
      <w:r>
        <w:rPr>
          <w:rFonts w:ascii="Times New Roman"/>
          <w:b w:val="false"/>
          <w:i w:val="false"/>
          <w:color w:val="000000"/>
          <w:sz w:val="28"/>
        </w:rPr>
        <w:t>
      1729. Плавучему крану/крановому судну, не удовлетворяющему указанным выше требованиям с грузом на гаке массой, равной полной грузоподъемности кранового сооружения, ограничивают грузоподъемность до значения, при котором обеспечивается выполнение требований настоящего раздела.</w:t>
      </w:r>
    </w:p>
    <w:bookmarkEnd w:id="5453"/>
    <w:bookmarkStart w:name="z5463" w:id="5454"/>
    <w:p>
      <w:pPr>
        <w:spacing w:after="0"/>
        <w:ind w:left="0"/>
        <w:jc w:val="both"/>
      </w:pPr>
      <w:r>
        <w:rPr>
          <w:rFonts w:ascii="Times New Roman"/>
          <w:b w:val="false"/>
          <w:i w:val="false"/>
          <w:color w:val="000000"/>
          <w:sz w:val="28"/>
        </w:rPr>
        <w:t>
      1730. Угол крена плавучего крана/кранового судна Ө</w:t>
      </w:r>
      <w:r>
        <w:rPr>
          <w:rFonts w:ascii="Times New Roman"/>
          <w:b w:val="false"/>
          <w:i w:val="false"/>
          <w:color w:val="000000"/>
          <w:vertAlign w:val="subscript"/>
        </w:rPr>
        <w:t>d2</w:t>
      </w:r>
      <w:r>
        <w:rPr>
          <w:rFonts w:ascii="Times New Roman"/>
          <w:b w:val="false"/>
          <w:i w:val="false"/>
          <w:color w:val="000000"/>
          <w:sz w:val="28"/>
        </w:rPr>
        <w:t xml:space="preserve"> от совместного действия начального кренящего момента, ветра и качки вычисляется по формуле (653) либо (657) настоящих Правил, — в зависимости от критического значения параметра </w:t>
      </w:r>
      <w:r>
        <w:rPr>
          <w:rFonts w:ascii="Times New Roman"/>
          <w:b w:val="false"/>
          <w:i/>
          <w:color w:val="000000"/>
          <w:sz w:val="28"/>
        </w:rPr>
        <w:t>G</w:t>
      </w:r>
      <w:r>
        <w:rPr>
          <w:rFonts w:ascii="Times New Roman"/>
          <w:b w:val="false"/>
          <w:i w:val="false"/>
          <w:color w:val="000000"/>
          <w:vertAlign w:val="subscript"/>
        </w:rPr>
        <w:t>кp</w:t>
      </w:r>
      <w:r>
        <w:rPr>
          <w:rFonts w:ascii="Times New Roman"/>
          <w:b w:val="false"/>
          <w:i w:val="false"/>
          <w:color w:val="000000"/>
          <w:sz w:val="28"/>
        </w:rPr>
        <w:t>, определяемого при С = 1,0 по формуле:</w:t>
      </w:r>
    </w:p>
    <w:bookmarkEnd w:id="5454"/>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кр</w:t>
      </w:r>
      <w:r>
        <w:rPr>
          <w:rFonts w:ascii="Times New Roman"/>
          <w:b w:val="false"/>
          <w:i w:val="false"/>
          <w:color w:val="000000"/>
          <w:sz w:val="28"/>
        </w:rPr>
        <w:t xml:space="preserve"> = {[(z'</w:t>
      </w:r>
      <w:r>
        <w:rPr>
          <w:rFonts w:ascii="Times New Roman"/>
          <w:b w:val="false"/>
          <w:i w:val="false"/>
          <w:color w:val="000000"/>
          <w:vertAlign w:val="subscript"/>
        </w:rPr>
        <w:t>w</w:t>
      </w:r>
      <w:r>
        <w:rPr>
          <w:rFonts w:ascii="Times New Roman"/>
          <w:b w:val="false"/>
          <w:i w:val="false"/>
          <w:color w:val="000000"/>
          <w:sz w:val="28"/>
        </w:rPr>
        <w:t xml:space="preserve"> – 0,34z</w:t>
      </w: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6"/>
                    <a:stretch>
                      <a:fillRect/>
                    </a:stretch>
                  </pic:blipFill>
                  <pic:spPr>
                    <a:xfrm>
                      <a:off x="0" y="0"/>
                      <a:ext cx="736600" cy="431800"/>
                    </a:xfrm>
                    <a:prstGeom prst="rect">
                      <a:avLst/>
                    </a:prstGeom>
                  </pic:spPr>
                </pic:pic>
              </a:graphicData>
            </a:graphic>
          </wp:inline>
        </w:drawing>
      </w:r>
    </w:p>
    <w:p>
      <w:pPr>
        <w:spacing w:after="0"/>
        <w:ind w:left="0"/>
        <w:jc w:val="left"/>
      </w:pPr>
      <w:r>
        <w:rPr>
          <w:rFonts w:ascii="Times New Roman"/>
          <w:b w:val="false"/>
          <w:i w:val="false"/>
          <w:color w:val="000000"/>
          <w:sz w:val="28"/>
        </w:rPr>
        <w:t>] – 0,34C</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(651)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коэффициенты, принимаемые согласно приложениям 218, 219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1731. Если параметр</w:t>
      </w:r>
    </w:p>
    <w:p>
      <w:pPr>
        <w:spacing w:after="0"/>
        <w:ind w:left="0"/>
        <w:jc w:val="both"/>
      </w:pPr>
      <w:r>
        <w:rPr>
          <w:rFonts w:ascii="Times New Roman"/>
          <w:b w:val="false"/>
          <w:i w:val="false"/>
          <w:color w:val="000000"/>
          <w:sz w:val="28"/>
        </w:rPr>
        <w:t xml:space="preserve">
                                    G </w:t>
      </w:r>
      <w:r>
        <w:rPr>
          <w:rFonts w:ascii="Times New Roman"/>
          <w:b w:val="false"/>
          <w:i w:val="false"/>
          <w:color w:val="000000"/>
          <w:sz w:val="28"/>
          <w:u w:val="single"/>
        </w:rPr>
        <w:t>&lt;</w:t>
      </w:r>
      <w:r>
        <w:rPr>
          <w:rFonts w:ascii="Times New Roman"/>
          <w:b w:val="false"/>
          <w:i w:val="false"/>
          <w:color w:val="000000"/>
          <w:sz w:val="28"/>
        </w:rPr>
        <w:t xml:space="preserve"> 0,9</w:t>
      </w:r>
      <w:r>
        <w:rPr>
          <w:rFonts w:ascii="Times New Roman"/>
          <w:b w:val="false"/>
          <w:i/>
          <w:color w:val="000000"/>
          <w:sz w:val="28"/>
        </w:rPr>
        <w:t>G</w:t>
      </w:r>
      <w:r>
        <w:rPr>
          <w:rFonts w:ascii="Times New Roman"/>
          <w:b w:val="false"/>
          <w:i w:val="false"/>
          <w:color w:val="000000"/>
          <w:vertAlign w:val="subscript"/>
        </w:rPr>
        <w:t>кр</w:t>
      </w:r>
      <w:r>
        <w:rPr>
          <w:rFonts w:ascii="Times New Roman"/>
          <w:b w:val="false"/>
          <w:i w:val="false"/>
          <w:color w:val="000000"/>
          <w:sz w:val="28"/>
        </w:rPr>
        <w:t>,                        (652)</w:t>
      </w:r>
    </w:p>
    <w:bookmarkStart w:name="z5464" w:id="5455"/>
    <w:p>
      <w:pPr>
        <w:spacing w:after="0"/>
        <w:ind w:left="0"/>
        <w:jc w:val="both"/>
      </w:pPr>
      <w:r>
        <w:rPr>
          <w:rFonts w:ascii="Times New Roman"/>
          <w:b w:val="false"/>
          <w:i w:val="false"/>
          <w:color w:val="000000"/>
          <w:sz w:val="28"/>
        </w:rPr>
        <w:t>
      то он характерен для понтонных плавучих кранов;</w:t>
      </w:r>
    </w:p>
    <w:bookmarkEnd w:id="5455"/>
    <w:p>
      <w:pPr>
        <w:spacing w:after="0"/>
        <w:ind w:left="0"/>
        <w:jc w:val="both"/>
      </w:pPr>
      <w:r>
        <w:rPr>
          <w:rFonts w:ascii="Times New Roman"/>
          <w:b w:val="false"/>
          <w:i w:val="false"/>
          <w:color w:val="000000"/>
          <w:sz w:val="28"/>
        </w:rPr>
        <w:t>
      тогда:</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d2</w:t>
      </w:r>
      <w:r>
        <w:rPr>
          <w:rFonts w:ascii="Times New Roman"/>
          <w:b w:val="false"/>
          <w:i w:val="false"/>
          <w:color w:val="000000"/>
          <w:sz w:val="28"/>
        </w:rPr>
        <w:t xml:space="preserve"> = Ө</w:t>
      </w:r>
      <w:r>
        <w:rPr>
          <w:rFonts w:ascii="Times New Roman"/>
          <w:b w:val="false"/>
          <w:i w:val="false"/>
          <w:color w:val="000000"/>
          <w:vertAlign w:val="subscript"/>
        </w:rPr>
        <w:t>o</w:t>
      </w:r>
      <w:r>
        <w:rPr>
          <w:rFonts w:ascii="Times New Roman"/>
          <w:b w:val="false"/>
          <w:i w:val="false"/>
          <w:color w:val="000000"/>
          <w:sz w:val="28"/>
        </w:rPr>
        <w:t xml:space="preserve"> + Ө</w:t>
      </w:r>
      <w:r>
        <w:rPr>
          <w:rFonts w:ascii="Times New Roman"/>
          <w:b w:val="false"/>
          <w:i w:val="false"/>
          <w:color w:val="000000"/>
          <w:vertAlign w:val="subscript"/>
        </w:rPr>
        <w:t>s</w:t>
      </w:r>
      <w:r>
        <w:rPr>
          <w:rFonts w:ascii="Times New Roman"/>
          <w:b w:val="false"/>
          <w:i w:val="false"/>
          <w:color w:val="000000"/>
          <w:sz w:val="28"/>
        </w:rPr>
        <w:t xml:space="preserve"> + Ө</w:t>
      </w:r>
      <w:r>
        <w:rPr>
          <w:rFonts w:ascii="Times New Roman"/>
          <w:b w:val="false"/>
          <w:i w:val="false"/>
          <w:color w:val="000000"/>
          <w:vertAlign w:val="subscript"/>
        </w:rPr>
        <w:t>r</w:t>
      </w:r>
      <w:r>
        <w:rPr>
          <w:rFonts w:ascii="Times New Roman"/>
          <w:b w:val="false"/>
          <w:i w:val="false"/>
          <w:color w:val="000000"/>
          <w:sz w:val="28"/>
        </w:rPr>
        <w:t>, град,                (653)</w:t>
      </w:r>
    </w:p>
    <w:p>
      <w:pPr>
        <w:spacing w:after="0"/>
        <w:ind w:left="0"/>
        <w:jc w:val="both"/>
      </w:pPr>
      <w:r>
        <w:rPr>
          <w:rFonts w:ascii="Times New Roman"/>
          <w:b w:val="false"/>
          <w:i w:val="false"/>
          <w:color w:val="000000"/>
          <w:sz w:val="28"/>
        </w:rPr>
        <w:t>
      где Ө</w:t>
      </w:r>
      <w:r>
        <w:rPr>
          <w:rFonts w:ascii="Times New Roman"/>
          <w:b w:val="false"/>
          <w:i w:val="false"/>
          <w:color w:val="000000"/>
          <w:vertAlign w:val="subscript"/>
        </w:rPr>
        <w:t>o</w:t>
      </w:r>
      <w:r>
        <w:rPr>
          <w:rFonts w:ascii="Times New Roman"/>
          <w:b w:val="false"/>
          <w:i w:val="false"/>
          <w:color w:val="000000"/>
          <w:sz w:val="28"/>
        </w:rPr>
        <w:t>, Ө</w:t>
      </w:r>
      <w:r>
        <w:rPr>
          <w:rFonts w:ascii="Times New Roman"/>
          <w:b w:val="false"/>
          <w:i w:val="false"/>
          <w:color w:val="000000"/>
          <w:vertAlign w:val="subscript"/>
        </w:rPr>
        <w:t>s</w:t>
      </w:r>
      <w:r>
        <w:rPr>
          <w:rFonts w:ascii="Times New Roman"/>
          <w:b w:val="false"/>
          <w:i w:val="false"/>
          <w:color w:val="000000"/>
          <w:sz w:val="28"/>
        </w:rPr>
        <w:t xml:space="preserve"> определяются по формулам:</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o</w:t>
      </w:r>
      <w:r>
        <w:rPr>
          <w:rFonts w:ascii="Times New Roman"/>
          <w:b w:val="false"/>
          <w:i w:val="false"/>
          <w:color w:val="000000"/>
          <w:sz w:val="28"/>
        </w:rPr>
        <w:t xml:space="preserve"> = 57,3</w:t>
      </w:r>
      <w:r>
        <w:rPr>
          <w:rFonts w:ascii="Times New Roman"/>
          <w:b w:val="false"/>
          <w:i/>
          <w:color w:val="000000"/>
          <w:sz w:val="28"/>
        </w:rPr>
        <w:t>y</w:t>
      </w:r>
      <w:r>
        <w:rPr>
          <w:rFonts w:ascii="Times New Roman"/>
          <w:b w:val="false"/>
          <w:i w:val="false"/>
          <w:color w:val="000000"/>
          <w:vertAlign w:val="subscript"/>
        </w:rPr>
        <w:t>g</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sz w:val="28"/>
        </w:rPr>
        <w:t>,                     (654)</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s</w:t>
      </w:r>
      <w:r>
        <w:rPr>
          <w:rFonts w:ascii="Times New Roman"/>
          <w:b w:val="false"/>
          <w:i w:val="false"/>
          <w:color w:val="000000"/>
          <w:sz w:val="28"/>
        </w:rPr>
        <w:t xml:space="preserve"> = 57,3</w:t>
      </w:r>
      <w:r>
        <w:rPr>
          <w:rFonts w:ascii="Times New Roman"/>
          <w:b w:val="false"/>
          <w:i/>
          <w:color w:val="000000"/>
          <w:sz w:val="28"/>
        </w:rPr>
        <w:t>M</w:t>
      </w:r>
      <w:r>
        <w:rPr>
          <w:rFonts w:ascii="Times New Roman"/>
          <w:b w:val="false"/>
          <w:i w:val="false"/>
          <w:color w:val="000000"/>
          <w:vertAlign w:val="subscript"/>
        </w:rPr>
        <w:t>v</w:t>
      </w:r>
      <w:r>
        <w:rPr>
          <w:rFonts w:ascii="Times New Roman"/>
          <w:b w:val="false"/>
          <w:i w:val="false"/>
          <w:color w:val="000000"/>
          <w:sz w:val="28"/>
        </w:rPr>
        <w:t>/g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h;                  (655)</w:t>
      </w:r>
      <w:r>
        <w:br/>
      </w:r>
      <w:r>
        <w:rPr>
          <w:rFonts w:ascii="Times New Roman"/>
          <w:b w:val="false"/>
          <w:i w:val="false"/>
          <w:color w:val="000000"/>
          <w:sz w:val="28"/>
        </w:rPr>
        <w:t>
</w:t>
      </w:r>
    </w:p>
    <w:bookmarkStart w:name="z5465" w:id="545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v</w:t>
      </w:r>
      <w:r>
        <w:rPr>
          <w:rFonts w:ascii="Times New Roman"/>
          <w:b w:val="false"/>
          <w:i w:val="false"/>
          <w:color w:val="000000"/>
          <w:sz w:val="28"/>
        </w:rPr>
        <w:t xml:space="preserve"> определяется по формуле (659) настоящих Правил, а угол Ө</w:t>
      </w:r>
      <w:r>
        <w:rPr>
          <w:rFonts w:ascii="Times New Roman"/>
          <w:b w:val="false"/>
          <w:i w:val="false"/>
          <w:color w:val="000000"/>
          <w:vertAlign w:val="subscript"/>
        </w:rPr>
        <w:t>r</w:t>
      </w:r>
      <w:r>
        <w:rPr>
          <w:rFonts w:ascii="Times New Roman"/>
          <w:b w:val="false"/>
          <w:i w:val="false"/>
          <w:color w:val="000000"/>
          <w:sz w:val="28"/>
        </w:rPr>
        <w:t xml:space="preserve"> в соответствии с пунктом 1722 настоящих Правил.</w:t>
      </w:r>
    </w:p>
    <w:bookmarkEnd w:id="5456"/>
    <w:bookmarkStart w:name="z5466" w:id="5457"/>
    <w:p>
      <w:pPr>
        <w:spacing w:after="0"/>
        <w:ind w:left="0"/>
        <w:jc w:val="both"/>
      </w:pPr>
      <w:r>
        <w:rPr>
          <w:rFonts w:ascii="Times New Roman"/>
          <w:b w:val="false"/>
          <w:i w:val="false"/>
          <w:color w:val="000000"/>
          <w:sz w:val="28"/>
        </w:rPr>
        <w:t>
      1732. Если параметр</w:t>
      </w:r>
    </w:p>
    <w:bookmarkEnd w:id="54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sz w:val="28"/>
          <w:u w:val="single"/>
        </w:rPr>
        <w:t>&gt;</w:t>
      </w:r>
      <w:r>
        <w:rPr>
          <w:rFonts w:ascii="Times New Roman"/>
          <w:b w:val="false"/>
          <w:i w:val="false"/>
          <w:color w:val="000000"/>
          <w:sz w:val="28"/>
        </w:rPr>
        <w:t xml:space="preserve"> 1,1</w:t>
      </w:r>
      <w:r>
        <w:rPr>
          <w:rFonts w:ascii="Times New Roman"/>
          <w:b w:val="false"/>
          <w:i/>
          <w:color w:val="000000"/>
          <w:sz w:val="28"/>
        </w:rPr>
        <w:t>G</w:t>
      </w:r>
      <w:r>
        <w:rPr>
          <w:rFonts w:ascii="Times New Roman"/>
          <w:b w:val="false"/>
          <w:i w:val="false"/>
          <w:color w:val="000000"/>
          <w:vertAlign w:val="subscript"/>
        </w:rPr>
        <w:t>кр</w:t>
      </w:r>
      <w:r>
        <w:rPr>
          <w:rFonts w:ascii="Times New Roman"/>
          <w:b w:val="false"/>
          <w:i w:val="false"/>
          <w:color w:val="000000"/>
          <w:sz w:val="28"/>
        </w:rPr>
        <w:t>,                        (656)</w:t>
      </w:r>
    </w:p>
    <w:bookmarkStart w:name="z5467" w:id="5458"/>
    <w:p>
      <w:pPr>
        <w:spacing w:after="0"/>
        <w:ind w:left="0"/>
        <w:jc w:val="both"/>
      </w:pPr>
      <w:r>
        <w:rPr>
          <w:rFonts w:ascii="Times New Roman"/>
          <w:b w:val="false"/>
          <w:i w:val="false"/>
          <w:color w:val="000000"/>
          <w:sz w:val="28"/>
        </w:rPr>
        <w:t>
      то он характерен для крановых судов, обводы корпусов которых близки к судовым;</w:t>
      </w:r>
    </w:p>
    <w:bookmarkEnd w:id="5458"/>
    <w:p>
      <w:pPr>
        <w:spacing w:after="0"/>
        <w:ind w:left="0"/>
        <w:jc w:val="both"/>
      </w:pPr>
      <w:r>
        <w:rPr>
          <w:rFonts w:ascii="Times New Roman"/>
          <w:b w:val="false"/>
          <w:i w:val="false"/>
          <w:color w:val="000000"/>
          <w:sz w:val="28"/>
        </w:rPr>
        <w:t>
      тогда:</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d2</w:t>
      </w:r>
      <w:r>
        <w:rPr>
          <w:rFonts w:ascii="Times New Roman"/>
          <w:b w:val="false"/>
          <w:i w:val="false"/>
          <w:color w:val="000000"/>
          <w:sz w:val="28"/>
        </w:rPr>
        <w:t xml:space="preserve"> = Ө</w:t>
      </w:r>
      <w:r>
        <w:rPr>
          <w:rFonts w:ascii="Times New Roman"/>
          <w:b w:val="false"/>
          <w:i w:val="false"/>
          <w:color w:val="000000"/>
          <w:vertAlign w:val="subscript"/>
        </w:rPr>
        <w:t>o</w:t>
      </w:r>
      <w:r>
        <w:rPr>
          <w:rFonts w:ascii="Times New Roman"/>
          <w:b w:val="false"/>
          <w:i w:val="false"/>
          <w:color w:val="000000"/>
          <w:sz w:val="28"/>
        </w:rPr>
        <w:t xml:space="preserve"> + Ө'</w:t>
      </w:r>
      <w:r>
        <w:rPr>
          <w:rFonts w:ascii="Times New Roman"/>
          <w:b w:val="false"/>
          <w:i w:val="false"/>
          <w:color w:val="000000"/>
          <w:vertAlign w:val="subscript"/>
        </w:rPr>
        <w:t>s</w:t>
      </w:r>
      <w:r>
        <w:rPr>
          <w:rFonts w:ascii="Times New Roman"/>
          <w:b w:val="false"/>
          <w:i w:val="false"/>
          <w:color w:val="000000"/>
          <w:sz w:val="28"/>
        </w:rPr>
        <w:t xml:space="preserve"> + Ө</w:t>
      </w:r>
      <w:r>
        <w:rPr>
          <w:rFonts w:ascii="Times New Roman"/>
          <w:b w:val="false"/>
          <w:i w:val="false"/>
          <w:color w:val="000000"/>
          <w:vertAlign w:val="subscript"/>
        </w:rPr>
        <w:t>r</w:t>
      </w:r>
      <w:r>
        <w:rPr>
          <w:rFonts w:ascii="Times New Roman"/>
          <w:b w:val="false"/>
          <w:i w:val="false"/>
          <w:color w:val="000000"/>
          <w:sz w:val="28"/>
        </w:rPr>
        <w:t>, град,               (657)</w:t>
      </w:r>
    </w:p>
    <w:p>
      <w:pPr>
        <w:spacing w:after="0"/>
        <w:ind w:left="0"/>
        <w:jc w:val="both"/>
      </w:pPr>
      <w:r>
        <w:rPr>
          <w:rFonts w:ascii="Times New Roman"/>
          <w:b w:val="false"/>
          <w:i w:val="false"/>
          <w:color w:val="000000"/>
          <w:sz w:val="28"/>
        </w:rPr>
        <w:t>
      где Ө'</w:t>
      </w:r>
      <w:r>
        <w:rPr>
          <w:rFonts w:ascii="Times New Roman"/>
          <w:b w:val="false"/>
          <w:i w:val="false"/>
          <w:color w:val="000000"/>
          <w:vertAlign w:val="subscript"/>
        </w:rPr>
        <w:t>s</w:t>
      </w:r>
      <w:r>
        <w:rPr>
          <w:rFonts w:ascii="Times New Roman"/>
          <w:b w:val="false"/>
          <w:i w:val="false"/>
          <w:color w:val="000000"/>
          <w:sz w:val="28"/>
        </w:rPr>
        <w:t xml:space="preserve"> вычисляется по формуле</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s</w:t>
      </w:r>
      <w:r>
        <w:rPr>
          <w:rFonts w:ascii="Times New Roman"/>
          <w:b w:val="false"/>
          <w:i w:val="false"/>
          <w:color w:val="000000"/>
          <w:sz w:val="28"/>
        </w:rPr>
        <w:t xml:space="preserve"> = 100</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4"/>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g</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h;                 (658)</w:t>
      </w:r>
      <w:r>
        <w:br/>
      </w:r>
      <w:r>
        <w:rPr>
          <w:rFonts w:ascii="Times New Roman"/>
          <w:b w:val="false"/>
          <w:i w:val="false"/>
          <w:color w:val="000000"/>
          <w:sz w:val="28"/>
        </w:rPr>
        <w:t>
</w:t>
      </w:r>
    </w:p>
    <w:bookmarkStart w:name="z5468" w:id="5459"/>
    <w:p>
      <w:pPr>
        <w:spacing w:after="0"/>
        <w:ind w:left="0"/>
        <w:jc w:val="both"/>
      </w:pPr>
      <w:r>
        <w:rPr>
          <w:rFonts w:ascii="Times New Roman"/>
          <w:b w:val="false"/>
          <w:i w:val="false"/>
          <w:color w:val="000000"/>
          <w:sz w:val="28"/>
        </w:rPr>
        <w:t xml:space="preserve">
      </w:t>
      </w:r>
    </w:p>
    <w:bookmarkEnd w:id="5459"/>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6"/>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 (660) настоящих Правил.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Углы Ө</w:t>
      </w:r>
      <w:r>
        <w:rPr>
          <w:rFonts w:ascii="Times New Roman"/>
          <w:b w:val="false"/>
          <w:i w:val="false"/>
          <w:color w:val="000000"/>
          <w:vertAlign w:val="subscript"/>
        </w:rPr>
        <w:t>o</w:t>
      </w:r>
      <w:r>
        <w:rPr>
          <w:rFonts w:ascii="Times New Roman"/>
          <w:b w:val="false"/>
          <w:i w:val="false"/>
          <w:color w:val="000000"/>
          <w:sz w:val="28"/>
        </w:rPr>
        <w:t>, Ө</w:t>
      </w:r>
      <w:r>
        <w:rPr>
          <w:rFonts w:ascii="Times New Roman"/>
          <w:b w:val="false"/>
          <w:i w:val="false"/>
          <w:color w:val="000000"/>
          <w:vertAlign w:val="subscript"/>
        </w:rPr>
        <w:t>s</w:t>
      </w:r>
      <w:r>
        <w:rPr>
          <w:rFonts w:ascii="Times New Roman"/>
          <w:b w:val="false"/>
          <w:i w:val="false"/>
          <w:color w:val="000000"/>
          <w:sz w:val="28"/>
        </w:rPr>
        <w:t>, Ө'</w:t>
      </w:r>
      <w:r>
        <w:rPr>
          <w:rFonts w:ascii="Times New Roman"/>
          <w:b w:val="false"/>
          <w:i w:val="false"/>
          <w:color w:val="000000"/>
          <w:vertAlign w:val="subscript"/>
        </w:rPr>
        <w:t>s</w:t>
      </w: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принимаются совпадающими по направлению. Для плавучего крана/кранового судна, не работающего на волнении, угол Ө</w:t>
      </w:r>
      <w:r>
        <w:rPr>
          <w:rFonts w:ascii="Times New Roman"/>
          <w:b w:val="false"/>
          <w:i w:val="false"/>
          <w:color w:val="000000"/>
          <w:vertAlign w:val="subscript"/>
        </w:rPr>
        <w:t>r</w:t>
      </w:r>
      <w:r>
        <w:rPr>
          <w:rFonts w:ascii="Times New Roman"/>
          <w:b w:val="false"/>
          <w:i w:val="false"/>
          <w:color w:val="000000"/>
          <w:sz w:val="28"/>
        </w:rPr>
        <w:t xml:space="preserve"> принимается равным нулю.</w:t>
      </w:r>
    </w:p>
    <w:bookmarkStart w:name="z5469" w:id="5460"/>
    <w:p>
      <w:pPr>
        <w:spacing w:after="0"/>
        <w:ind w:left="0"/>
        <w:jc w:val="both"/>
      </w:pPr>
      <w:r>
        <w:rPr>
          <w:rFonts w:ascii="Times New Roman"/>
          <w:b w:val="false"/>
          <w:i w:val="false"/>
          <w:color w:val="000000"/>
          <w:sz w:val="28"/>
        </w:rPr>
        <w:t xml:space="preserve">
      1733. Кренящие моменты </w:t>
      </w:r>
      <w:r>
        <w:rPr>
          <w:rFonts w:ascii="Times New Roman"/>
          <w:b w:val="false"/>
          <w:i/>
          <w:color w:val="000000"/>
          <w:sz w:val="28"/>
        </w:rPr>
        <w:t>M</w:t>
      </w:r>
      <w:r>
        <w:rPr>
          <w:rFonts w:ascii="Times New Roman"/>
          <w:b w:val="false"/>
          <w:i w:val="false"/>
          <w:color w:val="000000"/>
          <w:vertAlign w:val="subscript"/>
        </w:rPr>
        <w:t>v</w:t>
      </w:r>
      <w:r>
        <w:rPr>
          <w:rFonts w:ascii="Times New Roman"/>
          <w:b w:val="false"/>
          <w:i w:val="false"/>
          <w:color w:val="000000"/>
          <w:sz w:val="28"/>
        </w:rPr>
        <w:t xml:space="preserve">, </w:t>
      </w:r>
    </w:p>
    <w:bookmarkEnd w:id="5460"/>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7"/>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кН·м, определяются: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значение параметра G удовлетворяет условию (652) настоящих Правил, —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8"/>
                    <a:stretch>
                      <a:fillRect/>
                    </a:stretch>
                  </pic:blipFill>
                  <pic:spPr>
                    <a:xfrm>
                      <a:off x="0" y="0"/>
                      <a:ext cx="3390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(659)</w:t>
      </w:r>
      <w:r>
        <w:br/>
      </w:r>
      <w:r>
        <w:rPr>
          <w:rFonts w:ascii="Times New Roman"/>
          <w:b w:val="false"/>
          <w:i w:val="false"/>
          <w:color w:val="000000"/>
          <w:sz w:val="28"/>
        </w:rPr>
        <w:t>
</w:t>
      </w:r>
    </w:p>
    <w:bookmarkStart w:name="z5470" w:id="5461"/>
    <w:p>
      <w:pPr>
        <w:spacing w:after="0"/>
        <w:ind w:left="0"/>
        <w:jc w:val="both"/>
      </w:pPr>
      <w:r>
        <w:rPr>
          <w:rFonts w:ascii="Times New Roman"/>
          <w:b w:val="false"/>
          <w:i w:val="false"/>
          <w:color w:val="000000"/>
          <w:sz w:val="28"/>
        </w:rPr>
        <w:t>
      2) если значение параметра G удовлетворяет условию (656) настоящих Правил, — по формуле:</w:t>
      </w:r>
    </w:p>
    <w:bookmarkEnd w:id="54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9"/>
                    <a:stretch>
                      <a:fillRect/>
                    </a:stretch>
                  </pic:blipFill>
                  <pic:spPr>
                    <a:xfrm>
                      <a:off x="0" y="0"/>
                      <a:ext cx="4064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(660)</w:t>
      </w:r>
      <w:r>
        <w:br/>
      </w:r>
      <w:r>
        <w:rPr>
          <w:rFonts w:ascii="Times New Roman"/>
          <w:b w:val="false"/>
          <w:i w:val="false"/>
          <w:color w:val="000000"/>
          <w:sz w:val="28"/>
        </w:rPr>
        <w:t>
</w:t>
      </w:r>
    </w:p>
    <w:bookmarkStart w:name="z5471" w:id="5462"/>
    <w:p>
      <w:pPr>
        <w:spacing w:after="0"/>
        <w:ind w:left="0"/>
        <w:jc w:val="both"/>
      </w:pPr>
      <w:r>
        <w:rPr>
          <w:rFonts w:ascii="Times New Roman"/>
          <w:b w:val="false"/>
          <w:i w:val="false"/>
          <w:color w:val="000000"/>
          <w:sz w:val="28"/>
        </w:rPr>
        <w:t>
      3) по той из формул (659) или (660) настоящих Правил, которая приводит к большему углу крена, если удовлетворяется условие:</w:t>
      </w:r>
    </w:p>
    <w:bookmarkEnd w:id="5462"/>
    <w:p>
      <w:pPr>
        <w:spacing w:after="0"/>
        <w:ind w:left="0"/>
        <w:jc w:val="both"/>
      </w:pPr>
      <w:r>
        <w:rPr>
          <w:rFonts w:ascii="Times New Roman"/>
          <w:b w:val="false"/>
          <w:i w:val="false"/>
          <w:color w:val="000000"/>
          <w:sz w:val="28"/>
        </w:rPr>
        <w:t>
                                    0,9G</w:t>
      </w:r>
      <w:r>
        <w:rPr>
          <w:rFonts w:ascii="Times New Roman"/>
          <w:b w:val="false"/>
          <w:i w:val="false"/>
          <w:color w:val="000000"/>
          <w:vertAlign w:val="subscript"/>
        </w:rPr>
        <w:t>кp</w:t>
      </w:r>
      <w:r>
        <w:rPr>
          <w:rFonts w:ascii="Times New Roman"/>
          <w:b w:val="false"/>
          <w:i w:val="false"/>
          <w:color w:val="000000"/>
          <w:sz w:val="28"/>
        </w:rPr>
        <w:t xml:space="preserve"> &lt; G &lt; 1,1G</w:t>
      </w:r>
      <w:r>
        <w:rPr>
          <w:rFonts w:ascii="Times New Roman"/>
          <w:b w:val="false"/>
          <w:i w:val="false"/>
          <w:color w:val="000000"/>
          <w:vertAlign w:val="subscript"/>
        </w:rPr>
        <w:t>кp</w:t>
      </w:r>
      <w:r>
        <w:rPr>
          <w:rFonts w:ascii="Times New Roman"/>
          <w:b w:val="false"/>
          <w:i w:val="false"/>
          <w:color w:val="000000"/>
          <w:sz w:val="28"/>
        </w:rPr>
        <w:t>.               (661)</w:t>
      </w:r>
    </w:p>
    <w:bookmarkStart w:name="z5472" w:id="5463"/>
    <w:p>
      <w:pPr>
        <w:spacing w:after="0"/>
        <w:ind w:left="0"/>
        <w:jc w:val="both"/>
      </w:pPr>
      <w:r>
        <w:rPr>
          <w:rFonts w:ascii="Times New Roman"/>
          <w:b w:val="false"/>
          <w:i w:val="false"/>
          <w:color w:val="000000"/>
          <w:sz w:val="28"/>
        </w:rPr>
        <w:t xml:space="preserve">
      1734. Расчетный скоростной напор ветра </w:t>
      </w:r>
      <w:r>
        <w:rPr>
          <w:rFonts w:ascii="Times New Roman"/>
          <w:b w:val="false"/>
          <w:i/>
          <w:color w:val="000000"/>
          <w:sz w:val="28"/>
        </w:rPr>
        <w:t>q</w:t>
      </w:r>
      <w:r>
        <w:rPr>
          <w:rFonts w:ascii="Times New Roman"/>
          <w:b w:val="false"/>
          <w:i w:val="false"/>
          <w:color w:val="000000"/>
          <w:sz w:val="28"/>
        </w:rPr>
        <w:t xml:space="preserve"> и высота волны 3-процентной обеспеченности </w:t>
      </w:r>
      <w:r>
        <w:rPr>
          <w:rFonts w:ascii="Times New Roman"/>
          <w:b w:val="false"/>
          <w:i/>
          <w:color w:val="000000"/>
          <w:sz w:val="28"/>
        </w:rPr>
        <w:t>h</w:t>
      </w:r>
      <w:r>
        <w:rPr>
          <w:rFonts w:ascii="Times New Roman"/>
          <w:b w:val="false"/>
          <w:i w:val="false"/>
          <w:color w:val="000000"/>
          <w:vertAlign w:val="subscript"/>
        </w:rPr>
        <w:t>3 %</w:t>
      </w:r>
      <w:r>
        <w:rPr>
          <w:rFonts w:ascii="Times New Roman"/>
          <w:b w:val="false"/>
          <w:i w:val="false"/>
          <w:color w:val="000000"/>
          <w:sz w:val="28"/>
        </w:rPr>
        <w:t xml:space="preserve"> принимаются по приложениям 220, 221 настоящих Правил в соответствии с назначенными ограничениями по погоде.</w:t>
      </w:r>
    </w:p>
    <w:bookmarkEnd w:id="5463"/>
    <w:bookmarkStart w:name="z5473" w:id="5464"/>
    <w:p>
      <w:pPr>
        <w:spacing w:after="0"/>
        <w:ind w:left="0"/>
        <w:jc w:val="both"/>
      </w:pPr>
      <w:r>
        <w:rPr>
          <w:rFonts w:ascii="Times New Roman"/>
          <w:b w:val="false"/>
          <w:i w:val="false"/>
          <w:color w:val="000000"/>
          <w:sz w:val="28"/>
        </w:rPr>
        <w:t>
      1735. Рекомендуемый способ определения опрокидывающего момента и угла динамического крена в рабочем состоянии плавучего крана/кранового судна при обрыве груза приводится в главе 1 приложения 227 настоящих Правил.</w:t>
      </w:r>
    </w:p>
    <w:bookmarkEnd w:id="5464"/>
    <w:bookmarkStart w:name="z5474" w:id="5465"/>
    <w:p>
      <w:pPr>
        <w:spacing w:after="0"/>
        <w:ind w:left="0"/>
        <w:jc w:val="both"/>
      </w:pPr>
      <w:r>
        <w:rPr>
          <w:rFonts w:ascii="Times New Roman"/>
          <w:b w:val="false"/>
          <w:i w:val="false"/>
          <w:color w:val="000000"/>
          <w:sz w:val="28"/>
        </w:rPr>
        <w:t>
      Угол крена до обрыва груза принимается равным</w:t>
      </w:r>
    </w:p>
    <w:bookmarkEnd w:id="5465"/>
    <w:p>
      <w:pPr>
        <w:spacing w:after="0"/>
        <w:ind w:left="0"/>
        <w:jc w:val="both"/>
      </w:pPr>
      <w:r>
        <w:rPr>
          <w:rFonts w:ascii="Times New Roman"/>
          <w:b w:val="false"/>
          <w:i w:val="false"/>
          <w:color w:val="000000"/>
          <w:sz w:val="28"/>
        </w:rPr>
        <w:t>
                                    Ө'</w:t>
      </w:r>
      <w:r>
        <w:rPr>
          <w:rFonts w:ascii="Times New Roman"/>
          <w:b w:val="false"/>
          <w:i w:val="false"/>
          <w:color w:val="000000"/>
          <w:vertAlign w:val="subscript"/>
        </w:rPr>
        <w:t>d2</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 Ө</w:t>
      </w:r>
      <w:r>
        <w:rPr>
          <w:rFonts w:ascii="Times New Roman"/>
          <w:b w:val="false"/>
          <w:i w:val="false"/>
          <w:color w:val="000000"/>
          <w:vertAlign w:val="subscript"/>
        </w:rPr>
        <w:t>r</w:t>
      </w:r>
      <w:r>
        <w:rPr>
          <w:rFonts w:ascii="Times New Roman"/>
          <w:b w:val="false"/>
          <w:i w:val="false"/>
          <w:color w:val="000000"/>
          <w:sz w:val="28"/>
        </w:rPr>
        <w:t>.                    (662)</w:t>
      </w:r>
    </w:p>
    <w:bookmarkStart w:name="z5475" w:id="5466"/>
    <w:p>
      <w:pPr>
        <w:spacing w:after="0"/>
        <w:ind w:left="0"/>
        <w:jc w:val="both"/>
      </w:pPr>
      <w:r>
        <w:rPr>
          <w:rFonts w:ascii="Times New Roman"/>
          <w:b w:val="false"/>
          <w:i w:val="false"/>
          <w:color w:val="000000"/>
          <w:sz w:val="28"/>
        </w:rPr>
        <w:t>
      1736. Влияние швартовных и якорных связей на остойчивость плавучего крана/кранового судна в рабочем состоянии учитывают одобренным Регистром судоходства способом.</w:t>
      </w:r>
    </w:p>
    <w:bookmarkEnd w:id="5466"/>
    <w:bookmarkStart w:name="z5476" w:id="5467"/>
    <w:p>
      <w:pPr>
        <w:spacing w:after="0"/>
        <w:ind w:left="0"/>
        <w:jc w:val="both"/>
      </w:pPr>
      <w:r>
        <w:rPr>
          <w:rFonts w:ascii="Times New Roman"/>
          <w:b w:val="false"/>
          <w:i w:val="false"/>
          <w:color w:val="000000"/>
          <w:sz w:val="28"/>
        </w:rPr>
        <w:t>
      1737. Если испытания кранового сооружения производятся с грузом на гаке, масса которого превышает номинальную, остойчивость плавучего крана/кранового судна проверяется с учетом фактической массы испытательного груза; при этом к удовлетворению Регистра судоходства показывают, что безопасность плавучего крана/кранового судна против опрокидывания обеспечивается по крайней мере разработкой специальных мероприятий, включая ограничения по погоде.</w:t>
      </w:r>
    </w:p>
    <w:bookmarkEnd w:id="5467"/>
    <w:bookmarkStart w:name="z5477" w:id="5468"/>
    <w:p>
      <w:pPr>
        <w:spacing w:after="0"/>
        <w:ind w:left="0"/>
        <w:jc w:val="left"/>
      </w:pPr>
      <w:r>
        <w:rPr>
          <w:rFonts w:ascii="Times New Roman"/>
          <w:b/>
          <w:i w:val="false"/>
          <w:color w:val="000000"/>
        </w:rPr>
        <w:t xml:space="preserve"> Параграф 7. Остойчивость плавучего крана/кранового</w:t>
      </w:r>
      <w:r>
        <w:br/>
      </w:r>
      <w:r>
        <w:rPr>
          <w:rFonts w:ascii="Times New Roman"/>
          <w:b/>
          <w:i w:val="false"/>
          <w:color w:val="000000"/>
        </w:rPr>
        <w:t>судна при переходе</w:t>
      </w:r>
    </w:p>
    <w:bookmarkEnd w:id="5468"/>
    <w:bookmarkStart w:name="z5478" w:id="5469"/>
    <w:p>
      <w:pPr>
        <w:spacing w:after="0"/>
        <w:ind w:left="0"/>
        <w:jc w:val="both"/>
      </w:pPr>
      <w:r>
        <w:rPr>
          <w:rFonts w:ascii="Times New Roman"/>
          <w:b w:val="false"/>
          <w:i w:val="false"/>
          <w:color w:val="000000"/>
          <w:sz w:val="28"/>
        </w:rPr>
        <w:t>
      1738. Остойчивость считается достаточной, если (с учетом пункта 1713 настоящих Правил):</w:t>
      </w:r>
    </w:p>
    <w:bookmarkEnd w:id="5469"/>
    <w:bookmarkStart w:name="z5479" w:id="5470"/>
    <w:p>
      <w:pPr>
        <w:spacing w:after="0"/>
        <w:ind w:left="0"/>
        <w:jc w:val="both"/>
      </w:pPr>
      <w:r>
        <w:rPr>
          <w:rFonts w:ascii="Times New Roman"/>
          <w:b w:val="false"/>
          <w:i w:val="false"/>
          <w:color w:val="000000"/>
          <w:sz w:val="28"/>
        </w:rPr>
        <w:t>
      1) протяженность диаграммы статической остойчивости от угла Ө</w:t>
      </w:r>
      <w:r>
        <w:rPr>
          <w:rFonts w:ascii="Times New Roman"/>
          <w:b w:val="false"/>
          <w:i w:val="false"/>
          <w:color w:val="000000"/>
          <w:vertAlign w:val="subscript"/>
        </w:rPr>
        <w:t>о</w:t>
      </w:r>
      <w:r>
        <w:rPr>
          <w:rFonts w:ascii="Times New Roman"/>
          <w:b w:val="false"/>
          <w:i w:val="false"/>
          <w:color w:val="000000"/>
          <w:sz w:val="28"/>
        </w:rPr>
        <w:t xml:space="preserve"> до угла </w:t>
      </w:r>
    </w:p>
    <w:bookmarkEnd w:id="5470"/>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не менее 40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p>
    <w:bookmarkStart w:name="z5480" w:id="5471"/>
    <w:p>
      <w:pPr>
        <w:spacing w:after="0"/>
        <w:ind w:left="0"/>
        <w:jc w:val="both"/>
      </w:pPr>
      <w:r>
        <w:rPr>
          <w:rFonts w:ascii="Times New Roman"/>
          <w:b w:val="false"/>
          <w:i w:val="false"/>
          <w:color w:val="000000"/>
          <w:sz w:val="28"/>
        </w:rPr>
        <w:t>
      2) площадь диаграммы статической остойчивости от угла Ө</w:t>
      </w:r>
      <w:r>
        <w:rPr>
          <w:rFonts w:ascii="Times New Roman"/>
          <w:b w:val="false"/>
          <w:i w:val="false"/>
          <w:color w:val="000000"/>
          <w:vertAlign w:val="subscript"/>
        </w:rPr>
        <w:t>о</w:t>
      </w:r>
      <w:r>
        <w:rPr>
          <w:rFonts w:ascii="Times New Roman"/>
          <w:b w:val="false"/>
          <w:i w:val="false"/>
          <w:color w:val="000000"/>
          <w:sz w:val="28"/>
        </w:rPr>
        <w:t xml:space="preserve"> до угла Ө</w:t>
      </w:r>
      <w:r>
        <w:rPr>
          <w:rFonts w:ascii="Times New Roman"/>
          <w:b w:val="false"/>
          <w:i w:val="false"/>
          <w:color w:val="000000"/>
          <w:vertAlign w:val="subscript"/>
        </w:rPr>
        <w:t>1</w:t>
      </w:r>
      <w:r>
        <w:rPr>
          <w:rFonts w:ascii="Times New Roman"/>
          <w:b w:val="false"/>
          <w:i w:val="false"/>
          <w:color w:val="000000"/>
          <w:sz w:val="28"/>
        </w:rPr>
        <w:t xml:space="preserve"> определяемого соотношением</w:t>
      </w:r>
    </w:p>
    <w:bookmarkEnd w:id="5471"/>
    <w:p>
      <w:pPr>
        <w:spacing w:after="0"/>
        <w:ind w:left="0"/>
        <w:jc w:val="both"/>
      </w:pPr>
      <w:r>
        <w:rPr>
          <w:rFonts w:ascii="Times New Roman"/>
          <w:b w:val="false"/>
          <w:i w:val="false"/>
          <w:color w:val="000000"/>
          <w:sz w:val="28"/>
        </w:rPr>
        <w:t>
      Ө</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w:t>
      </w:r>
      <w:r>
        <w:rPr>
          <w:rFonts w:ascii="Times New Roman"/>
          <w:b w:val="false"/>
          <w:i w:val="false"/>
          <w:color w:val="000000"/>
          <w:vertAlign w:val="superscript"/>
        </w:rPr>
        <w:t>o</w:t>
      </w:r>
      <w:r>
        <w:rPr>
          <w:rFonts w:ascii="Times New Roman"/>
          <w:b w:val="false"/>
          <w:i w:val="false"/>
          <w:color w:val="000000"/>
          <w:sz w:val="28"/>
        </w:rPr>
        <w:t xml:space="preserve"> + 0,5(</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1"/>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40</w:t>
      </w:r>
      <w:r>
        <w:rPr>
          <w:rFonts w:ascii="Times New Roman"/>
          <w:b w:val="false"/>
          <w:i w:val="false"/>
          <w:color w:val="000000"/>
          <w:vertAlign w:val="superscript"/>
        </w:rPr>
        <w:t>o</w:t>
      </w:r>
      <w:r>
        <w:rPr>
          <w:rFonts w:ascii="Times New Roman"/>
          <w:b w:val="false"/>
          <w:i w:val="false"/>
          <w:color w:val="000000"/>
          <w:sz w:val="28"/>
        </w:rPr>
        <w:t>),                (663)</w:t>
      </w:r>
      <w:r>
        <w:br/>
      </w:r>
      <w:r>
        <w:rPr>
          <w:rFonts w:ascii="Times New Roman"/>
          <w:b w:val="false"/>
          <w:i w:val="false"/>
          <w:color w:val="000000"/>
          <w:sz w:val="28"/>
        </w:rPr>
        <w:t>
</w:t>
      </w:r>
    </w:p>
    <w:bookmarkStart w:name="z5481" w:id="5472"/>
    <w:p>
      <w:pPr>
        <w:spacing w:after="0"/>
        <w:ind w:left="0"/>
        <w:jc w:val="both"/>
      </w:pPr>
      <w:r>
        <w:rPr>
          <w:rFonts w:ascii="Times New Roman"/>
          <w:b w:val="false"/>
          <w:i w:val="false"/>
          <w:color w:val="000000"/>
          <w:sz w:val="28"/>
        </w:rPr>
        <w:t>
      составляет не менее 0,160 м·рад;</w:t>
      </w:r>
    </w:p>
    <w:bookmarkEnd w:id="5472"/>
    <w:bookmarkStart w:name="z5482" w:id="5473"/>
    <w:p>
      <w:pPr>
        <w:spacing w:after="0"/>
        <w:ind w:left="0"/>
        <w:jc w:val="both"/>
      </w:pPr>
      <w:r>
        <w:rPr>
          <w:rFonts w:ascii="Times New Roman"/>
          <w:b w:val="false"/>
          <w:i w:val="false"/>
          <w:color w:val="000000"/>
          <w:sz w:val="28"/>
        </w:rPr>
        <w:t>
      3) опрокидывающий момент, определенный с учетом качки и угла заливания, не менее кренящего момента, то есть М</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M</w:t>
      </w:r>
      <w:r>
        <w:rPr>
          <w:rFonts w:ascii="Times New Roman"/>
          <w:b w:val="false"/>
          <w:i w:val="false"/>
          <w:color w:val="000000"/>
          <w:vertAlign w:val="subscript"/>
        </w:rPr>
        <w:t>v</w:t>
      </w:r>
      <w:r>
        <w:rPr>
          <w:rFonts w:ascii="Times New Roman"/>
          <w:b w:val="false"/>
          <w:i w:val="false"/>
          <w:color w:val="000000"/>
          <w:sz w:val="28"/>
        </w:rPr>
        <w:t>.</w:t>
      </w:r>
    </w:p>
    <w:bookmarkEnd w:id="5473"/>
    <w:bookmarkStart w:name="z5483" w:id="5474"/>
    <w:p>
      <w:pPr>
        <w:spacing w:after="0"/>
        <w:ind w:left="0"/>
        <w:jc w:val="both"/>
      </w:pPr>
      <w:r>
        <w:rPr>
          <w:rFonts w:ascii="Times New Roman"/>
          <w:b w:val="false"/>
          <w:i w:val="false"/>
          <w:color w:val="000000"/>
          <w:sz w:val="28"/>
        </w:rPr>
        <w:t>
      Рекомендуемый способ определения опрокидывающего момента при переходе приводится в главе 2 приложения 227 к настоящим Правилам.</w:t>
      </w:r>
    </w:p>
    <w:bookmarkEnd w:id="5474"/>
    <w:bookmarkStart w:name="z5484" w:id="5475"/>
    <w:p>
      <w:pPr>
        <w:spacing w:after="0"/>
        <w:ind w:left="0"/>
        <w:jc w:val="both"/>
      </w:pPr>
      <w:r>
        <w:rPr>
          <w:rFonts w:ascii="Times New Roman"/>
          <w:b w:val="false"/>
          <w:i w:val="false"/>
          <w:color w:val="000000"/>
          <w:sz w:val="28"/>
        </w:rPr>
        <w:t>
      1739. Кренящие моменты М</w:t>
      </w:r>
      <w:r>
        <w:rPr>
          <w:rFonts w:ascii="Times New Roman"/>
          <w:b w:val="false"/>
          <w:i w:val="false"/>
          <w:color w:val="000000"/>
          <w:vertAlign w:val="subscript"/>
        </w:rPr>
        <w:t>v</w:t>
      </w:r>
      <w:r>
        <w:rPr>
          <w:rFonts w:ascii="Times New Roman"/>
          <w:b w:val="false"/>
          <w:i w:val="false"/>
          <w:color w:val="000000"/>
          <w:sz w:val="28"/>
        </w:rPr>
        <w:t xml:space="preserve">, </w:t>
      </w:r>
    </w:p>
    <w:bookmarkEnd w:id="5475"/>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2"/>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кН·м, определяются следующим образом:</w:t>
      </w:r>
      <w:r>
        <w:br/>
      </w:r>
      <w:r>
        <w:rPr>
          <w:rFonts w:ascii="Times New Roman"/>
          <w:b w:val="false"/>
          <w:i w:val="false"/>
          <w:color w:val="000000"/>
          <w:sz w:val="28"/>
        </w:rPr>
        <w:t>
</w:t>
      </w:r>
    </w:p>
    <w:bookmarkStart w:name="z5485" w:id="5476"/>
    <w:p>
      <w:pPr>
        <w:spacing w:after="0"/>
        <w:ind w:left="0"/>
        <w:jc w:val="both"/>
      </w:pPr>
      <w:r>
        <w:rPr>
          <w:rFonts w:ascii="Times New Roman"/>
          <w:b w:val="false"/>
          <w:i w:val="false"/>
          <w:color w:val="000000"/>
          <w:sz w:val="28"/>
        </w:rPr>
        <w:t>
      1) если значение параметра G удовлетворяет условию (652) при его критическом значении, определенном по формуле (651) настоящих Правил при С = 0,5, — по формуле:</w:t>
      </w:r>
    </w:p>
    <w:bookmarkEnd w:id="5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4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3"/>
                    <a:stretch>
                      <a:fillRect/>
                    </a:stretch>
                  </pic:blipFill>
                  <pic:spPr>
                    <a:xfrm>
                      <a:off x="0" y="0"/>
                      <a:ext cx="3644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(664)</w:t>
      </w:r>
      <w:r>
        <w:br/>
      </w:r>
      <w:r>
        <w:rPr>
          <w:rFonts w:ascii="Times New Roman"/>
          <w:b w:val="false"/>
          <w:i w:val="false"/>
          <w:color w:val="000000"/>
          <w:sz w:val="28"/>
        </w:rPr>
        <w:t>
</w:t>
      </w:r>
    </w:p>
    <w:bookmarkStart w:name="z5486" w:id="5477"/>
    <w:p>
      <w:pPr>
        <w:spacing w:after="0"/>
        <w:ind w:left="0"/>
        <w:jc w:val="both"/>
      </w:pPr>
      <w:r>
        <w:rPr>
          <w:rFonts w:ascii="Times New Roman"/>
          <w:b w:val="false"/>
          <w:i w:val="false"/>
          <w:color w:val="000000"/>
          <w:sz w:val="28"/>
        </w:rPr>
        <w:t>
      2) по формуле (660) настоящих Правил, если значение параметра G удовлетворяет условию (656) настоящих Правил при его критическом значении, определенном по формуле (651) настоящих Правил при С = 0,5;</w:t>
      </w:r>
    </w:p>
    <w:bookmarkEnd w:id="5477"/>
    <w:bookmarkStart w:name="z5487" w:id="5478"/>
    <w:p>
      <w:pPr>
        <w:spacing w:after="0"/>
        <w:ind w:left="0"/>
        <w:jc w:val="both"/>
      </w:pPr>
      <w:r>
        <w:rPr>
          <w:rFonts w:ascii="Times New Roman"/>
          <w:b w:val="false"/>
          <w:i w:val="false"/>
          <w:color w:val="000000"/>
          <w:sz w:val="28"/>
        </w:rPr>
        <w:t>
      3) по той из формул (663) или (660) настоящих Правил, которая приводит к большему углу крена, если удовлетворяется условие (661) настоящих Правил при С = 0,5.</w:t>
      </w:r>
    </w:p>
    <w:bookmarkEnd w:id="5478"/>
    <w:bookmarkStart w:name="z5488" w:id="5479"/>
    <w:p>
      <w:pPr>
        <w:spacing w:after="0"/>
        <w:ind w:left="0"/>
        <w:jc w:val="both"/>
      </w:pPr>
      <w:r>
        <w:rPr>
          <w:rFonts w:ascii="Times New Roman"/>
          <w:b w:val="false"/>
          <w:i w:val="false"/>
          <w:color w:val="000000"/>
          <w:sz w:val="28"/>
        </w:rPr>
        <w:t xml:space="preserve">
      1740. Коэффициент </w:t>
      </w:r>
    </w:p>
    <w:bookmarkEnd w:id="547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принимается в зависимости от значения параметра </w:t>
      </w:r>
      <w:r>
        <w:rPr>
          <w:rFonts w:ascii="Times New Roman"/>
          <w:b w:val="false"/>
          <w:i/>
          <w:color w:val="000000"/>
          <w:sz w:val="28"/>
        </w:rPr>
        <w:t>Р</w:t>
      </w:r>
      <w:r>
        <w:rPr>
          <w:rFonts w:ascii="Times New Roman"/>
          <w:b w:val="false"/>
          <w:i w:val="false"/>
          <w:color w:val="000000"/>
          <w:sz w:val="28"/>
        </w:rPr>
        <w:t xml:space="preserve"> по приложению 218 настоящих Правил с учетом угла Ө</w:t>
      </w:r>
      <w:r>
        <w:rPr>
          <w:rFonts w:ascii="Times New Roman"/>
          <w:b w:val="false"/>
          <w:i w:val="false"/>
          <w:color w:val="000000"/>
          <w:vertAlign w:val="subscript"/>
        </w:rPr>
        <w:t>о</w:t>
      </w:r>
      <w:r>
        <w:rPr>
          <w:rFonts w:ascii="Times New Roman"/>
          <w:b w:val="false"/>
          <w:i w:val="false"/>
          <w:color w:val="000000"/>
          <w:sz w:val="28"/>
        </w:rPr>
        <w:t xml:space="preserve">. Значения коэффициентов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принимаются по приложению 219 настоящих Правил.</w:t>
      </w:r>
      <w:r>
        <w:br/>
      </w:r>
      <w:r>
        <w:rPr>
          <w:rFonts w:ascii="Times New Roman"/>
          <w:b w:val="false"/>
          <w:i w:val="false"/>
          <w:color w:val="000000"/>
          <w:sz w:val="28"/>
        </w:rPr>
        <w:t>
</w:t>
      </w:r>
    </w:p>
    <w:bookmarkStart w:name="z5489" w:id="5480"/>
    <w:p>
      <w:pPr>
        <w:spacing w:after="0"/>
        <w:ind w:left="0"/>
        <w:jc w:val="both"/>
      </w:pPr>
      <w:r>
        <w:rPr>
          <w:rFonts w:ascii="Times New Roman"/>
          <w:b w:val="false"/>
          <w:i w:val="false"/>
          <w:color w:val="000000"/>
          <w:sz w:val="28"/>
        </w:rPr>
        <w:t xml:space="preserve">
      1741. Для плавучего крана скоростной напор ветра </w:t>
      </w:r>
      <w:r>
        <w:rPr>
          <w:rFonts w:ascii="Times New Roman"/>
          <w:b w:val="false"/>
          <w:i/>
          <w:color w:val="000000"/>
          <w:sz w:val="28"/>
        </w:rPr>
        <w:t>q</w:t>
      </w:r>
      <w:r>
        <w:rPr>
          <w:rFonts w:ascii="Times New Roman"/>
          <w:b w:val="false"/>
          <w:i w:val="false"/>
          <w:color w:val="000000"/>
          <w:sz w:val="28"/>
        </w:rPr>
        <w:t xml:space="preserve"> и расчетная высота волны 3-процентной обеспеченности </w:t>
      </w:r>
      <w:r>
        <w:rPr>
          <w:rFonts w:ascii="Times New Roman"/>
          <w:b w:val="false"/>
          <w:i/>
          <w:color w:val="000000"/>
          <w:sz w:val="28"/>
        </w:rPr>
        <w:t>h</w:t>
      </w:r>
      <w:r>
        <w:rPr>
          <w:rFonts w:ascii="Times New Roman"/>
          <w:b w:val="false"/>
          <w:i w:val="false"/>
          <w:color w:val="000000"/>
          <w:vertAlign w:val="subscript"/>
        </w:rPr>
        <w:t>3 %</w:t>
      </w:r>
      <w:r>
        <w:rPr>
          <w:rFonts w:ascii="Times New Roman"/>
          <w:b w:val="false"/>
          <w:i w:val="false"/>
          <w:color w:val="000000"/>
          <w:sz w:val="28"/>
        </w:rPr>
        <w:t xml:space="preserve"> принимаются по приложению 222 настоящих Правил. Если плавучий кран предназначен для эксплуатации в конкретном географическом районе, </w:t>
      </w:r>
      <w:r>
        <w:rPr>
          <w:rFonts w:ascii="Times New Roman"/>
          <w:b w:val="false"/>
          <w:i/>
          <w:color w:val="000000"/>
          <w:sz w:val="28"/>
        </w:rPr>
        <w:t>q</w:t>
      </w:r>
      <w:r>
        <w:rPr>
          <w:rFonts w:ascii="Times New Roman"/>
          <w:b w:val="false"/>
          <w:i w:val="false"/>
          <w:color w:val="000000"/>
          <w:sz w:val="28"/>
        </w:rPr>
        <w:t xml:space="preserve"> и </w:t>
      </w:r>
      <w:r>
        <w:rPr>
          <w:rFonts w:ascii="Times New Roman"/>
          <w:b w:val="false"/>
          <w:i/>
          <w:color w:val="000000"/>
          <w:sz w:val="28"/>
        </w:rPr>
        <w:t>h</w:t>
      </w:r>
      <w:r>
        <w:rPr>
          <w:rFonts w:ascii="Times New Roman"/>
          <w:b w:val="false"/>
          <w:i w:val="false"/>
          <w:color w:val="000000"/>
          <w:vertAlign w:val="subscript"/>
        </w:rPr>
        <w:t>3 %</w:t>
      </w:r>
      <w:r>
        <w:rPr>
          <w:rFonts w:ascii="Times New Roman"/>
          <w:b w:val="false"/>
          <w:i w:val="false"/>
          <w:color w:val="000000"/>
          <w:sz w:val="28"/>
        </w:rPr>
        <w:t xml:space="preserve"> по согласованию с Регистром судоходства принимают для этого района.</w:t>
      </w:r>
    </w:p>
    <w:bookmarkEnd w:id="5480"/>
    <w:bookmarkStart w:name="z5490" w:id="5481"/>
    <w:p>
      <w:pPr>
        <w:spacing w:after="0"/>
        <w:ind w:left="0"/>
        <w:jc w:val="both"/>
      </w:pPr>
      <w:r>
        <w:rPr>
          <w:rFonts w:ascii="Times New Roman"/>
          <w:b w:val="false"/>
          <w:i w:val="false"/>
          <w:color w:val="000000"/>
          <w:sz w:val="28"/>
        </w:rPr>
        <w:t xml:space="preserve">
      1742. Для кранового судна скоростной напор ветра </w:t>
      </w:r>
      <w:r>
        <w:rPr>
          <w:rFonts w:ascii="Times New Roman"/>
          <w:b w:val="false"/>
          <w:i/>
          <w:color w:val="000000"/>
          <w:sz w:val="28"/>
        </w:rPr>
        <w:t>q</w:t>
      </w:r>
      <w:r>
        <w:rPr>
          <w:rFonts w:ascii="Times New Roman"/>
          <w:b w:val="false"/>
          <w:i w:val="false"/>
          <w:color w:val="000000"/>
          <w:sz w:val="28"/>
        </w:rPr>
        <w:t xml:space="preserve"> принимается по приложению 222 настоящих Правил.</w:t>
      </w:r>
    </w:p>
    <w:bookmarkEnd w:id="5481"/>
    <w:bookmarkStart w:name="z5491" w:id="5482"/>
    <w:p>
      <w:pPr>
        <w:spacing w:after="0"/>
        <w:ind w:left="0"/>
        <w:jc w:val="left"/>
      </w:pPr>
      <w:r>
        <w:rPr>
          <w:rFonts w:ascii="Times New Roman"/>
          <w:b/>
          <w:i w:val="false"/>
          <w:color w:val="000000"/>
        </w:rPr>
        <w:t xml:space="preserve"> Параграф 8. Остойчивость плавучего крана/кранового судна при</w:t>
      </w:r>
      <w:r>
        <w:br/>
      </w:r>
      <w:r>
        <w:rPr>
          <w:rFonts w:ascii="Times New Roman"/>
          <w:b/>
          <w:i w:val="false"/>
          <w:color w:val="000000"/>
        </w:rPr>
        <w:t>перегоне</w:t>
      </w:r>
    </w:p>
    <w:bookmarkEnd w:id="5482"/>
    <w:bookmarkStart w:name="z5492" w:id="5483"/>
    <w:p>
      <w:pPr>
        <w:spacing w:after="0"/>
        <w:ind w:left="0"/>
        <w:jc w:val="both"/>
      </w:pPr>
      <w:r>
        <w:rPr>
          <w:rFonts w:ascii="Times New Roman"/>
          <w:b w:val="false"/>
          <w:i w:val="false"/>
          <w:color w:val="000000"/>
          <w:sz w:val="28"/>
        </w:rPr>
        <w:t>
      1743. Если плавучий кран/крановое судно перегоняется вне установленного района плавания, то разрабатывают проект перегона, который в каждом случае является предметом специального рассмотрения Регистром судоходства.</w:t>
      </w:r>
    </w:p>
    <w:bookmarkEnd w:id="5483"/>
    <w:bookmarkStart w:name="z5493" w:id="5484"/>
    <w:p>
      <w:pPr>
        <w:spacing w:after="0"/>
        <w:ind w:left="0"/>
        <w:jc w:val="both"/>
      </w:pPr>
      <w:r>
        <w:rPr>
          <w:rFonts w:ascii="Times New Roman"/>
          <w:b w:val="false"/>
          <w:i w:val="false"/>
          <w:color w:val="000000"/>
          <w:sz w:val="28"/>
        </w:rPr>
        <w:t>
      1744. Остойчивость проверяется с учетом пункта 1394 настоящих Правил для вариантов нагрузки, предусмотренных в пункте 1392 настоящих Правил, с учетом подготовки, оговоренной проектом перегона (в том числе возможного частичного или полного демонтажа кранового сооружения), и считается достаточной, если соответствует требованиям, указанным в параграфе 7 настоящей главы для условий перегона.</w:t>
      </w:r>
    </w:p>
    <w:bookmarkEnd w:id="5484"/>
    <w:bookmarkStart w:name="z5494" w:id="5485"/>
    <w:p>
      <w:pPr>
        <w:spacing w:after="0"/>
        <w:ind w:left="0"/>
        <w:jc w:val="both"/>
      </w:pPr>
      <w:r>
        <w:rPr>
          <w:rFonts w:ascii="Times New Roman"/>
          <w:b w:val="false"/>
          <w:i w:val="false"/>
          <w:color w:val="000000"/>
          <w:sz w:val="28"/>
        </w:rPr>
        <w:t xml:space="preserve">
      Расчетные скоростной напор ветра </w:t>
      </w:r>
      <w:r>
        <w:rPr>
          <w:rFonts w:ascii="Times New Roman"/>
          <w:b w:val="false"/>
          <w:i/>
          <w:color w:val="000000"/>
          <w:sz w:val="28"/>
        </w:rPr>
        <w:t>q</w:t>
      </w:r>
      <w:r>
        <w:rPr>
          <w:rFonts w:ascii="Times New Roman"/>
          <w:b w:val="false"/>
          <w:i w:val="false"/>
          <w:color w:val="000000"/>
          <w:sz w:val="28"/>
        </w:rPr>
        <w:t xml:space="preserve"> и высота волны 3-процентной обеспеченности </w:t>
      </w:r>
      <w:r>
        <w:rPr>
          <w:rFonts w:ascii="Times New Roman"/>
          <w:b w:val="false"/>
          <w:i/>
          <w:color w:val="000000"/>
          <w:sz w:val="28"/>
        </w:rPr>
        <w:t>h</w:t>
      </w:r>
      <w:r>
        <w:rPr>
          <w:rFonts w:ascii="Times New Roman"/>
          <w:b w:val="false"/>
          <w:i w:val="false"/>
          <w:color w:val="000000"/>
          <w:vertAlign w:val="subscript"/>
        </w:rPr>
        <w:t>3 %</w:t>
      </w:r>
      <w:r>
        <w:rPr>
          <w:rFonts w:ascii="Times New Roman"/>
          <w:b w:val="false"/>
          <w:i w:val="false"/>
          <w:color w:val="000000"/>
          <w:sz w:val="28"/>
        </w:rPr>
        <w:t xml:space="preserve"> принимаются по приложению 222 настоящих Правил.</w:t>
      </w:r>
    </w:p>
    <w:bookmarkEnd w:id="5485"/>
    <w:bookmarkStart w:name="z5495" w:id="5486"/>
    <w:p>
      <w:pPr>
        <w:spacing w:after="0"/>
        <w:ind w:left="0"/>
        <w:jc w:val="left"/>
      </w:pPr>
      <w:r>
        <w:rPr>
          <w:rFonts w:ascii="Times New Roman"/>
          <w:b/>
          <w:i w:val="false"/>
          <w:color w:val="000000"/>
        </w:rPr>
        <w:t xml:space="preserve"> Параграф 9. Остойчивость плавучего крана/кранового судна</w:t>
      </w:r>
      <w:r>
        <w:br/>
      </w:r>
      <w:r>
        <w:rPr>
          <w:rFonts w:ascii="Times New Roman"/>
          <w:b/>
          <w:i w:val="false"/>
          <w:color w:val="000000"/>
        </w:rPr>
        <w:t>в нерабочем состоянии</w:t>
      </w:r>
    </w:p>
    <w:bookmarkEnd w:id="5486"/>
    <w:bookmarkStart w:name="z5496" w:id="5487"/>
    <w:p>
      <w:pPr>
        <w:spacing w:after="0"/>
        <w:ind w:left="0"/>
        <w:jc w:val="both"/>
      </w:pPr>
      <w:r>
        <w:rPr>
          <w:rFonts w:ascii="Times New Roman"/>
          <w:b w:val="false"/>
          <w:i w:val="false"/>
          <w:color w:val="000000"/>
          <w:sz w:val="28"/>
        </w:rPr>
        <w:t>
      1745. Остойчивость считается достаточной, если при варианте нагрузки согласно пункта 1912 и с учетом пункта 1913 настоящих Правил при отсутствии качки (Ө</w:t>
      </w:r>
      <w:r>
        <w:rPr>
          <w:rFonts w:ascii="Times New Roman"/>
          <w:b w:val="false"/>
          <w:i w:val="false"/>
          <w:color w:val="000000"/>
          <w:vertAlign w:val="subscript"/>
        </w:rPr>
        <w:t>r</w:t>
      </w:r>
      <w:r>
        <w:rPr>
          <w:rFonts w:ascii="Times New Roman"/>
          <w:b w:val="false"/>
          <w:i w:val="false"/>
          <w:color w:val="000000"/>
          <w:sz w:val="28"/>
        </w:rPr>
        <w:t xml:space="preserve"> = 0</w:t>
      </w:r>
      <w:r>
        <w:rPr>
          <w:rFonts w:ascii="Times New Roman"/>
          <w:b w:val="false"/>
          <w:i w:val="false"/>
          <w:color w:val="000000"/>
          <w:vertAlign w:val="superscript"/>
        </w:rPr>
        <w:t>о</w:t>
      </w:r>
      <w:r>
        <w:rPr>
          <w:rFonts w:ascii="Times New Roman"/>
          <w:b w:val="false"/>
          <w:i w:val="false"/>
          <w:color w:val="000000"/>
          <w:sz w:val="28"/>
        </w:rPr>
        <w:t>) опрокидывающий момент по крайней мере в 1,5 раза превышает кренящий момент.</w:t>
      </w:r>
    </w:p>
    <w:bookmarkEnd w:id="5487"/>
    <w:bookmarkStart w:name="z5497" w:id="5488"/>
    <w:p>
      <w:pPr>
        <w:spacing w:after="0"/>
        <w:ind w:left="0"/>
        <w:jc w:val="both"/>
      </w:pPr>
      <w:r>
        <w:rPr>
          <w:rFonts w:ascii="Times New Roman"/>
          <w:b w:val="false"/>
          <w:i w:val="false"/>
          <w:color w:val="000000"/>
          <w:sz w:val="28"/>
        </w:rPr>
        <w:t xml:space="preserve">
      1746. Опрокидывающий и кренящий моменты определяются, как указано в пункте 1739 настоящих Правил при </w:t>
      </w:r>
      <w:r>
        <w:rPr>
          <w:rFonts w:ascii="Times New Roman"/>
          <w:b w:val="false"/>
          <w:i/>
          <w:color w:val="000000"/>
          <w:sz w:val="28"/>
        </w:rPr>
        <w:t>q</w:t>
      </w:r>
      <w:r>
        <w:rPr>
          <w:rFonts w:ascii="Times New Roman"/>
          <w:b w:val="false"/>
          <w:i w:val="false"/>
          <w:color w:val="000000"/>
          <w:sz w:val="28"/>
        </w:rPr>
        <w:t xml:space="preserve"> = 1,4 кПа. В случае, указанном в подпункте 2) пункта 1739 настоящих Правил, опрокидывающий момент следует определять в соответствии с главой 3 приложения 227 к настоящим Правилам, а в случае, указанном в подпункте 2)пункта 1739 настоящих Правил, — в соответствии с главой 2 приложения 227 к настоящим Правилам при Ө</w:t>
      </w:r>
      <w:r>
        <w:rPr>
          <w:rFonts w:ascii="Times New Roman"/>
          <w:b w:val="false"/>
          <w:i w:val="false"/>
          <w:color w:val="000000"/>
          <w:vertAlign w:val="subscript"/>
        </w:rPr>
        <w:t>r</w:t>
      </w:r>
      <w:r>
        <w:rPr>
          <w:rFonts w:ascii="Times New Roman"/>
          <w:b w:val="false"/>
          <w:i w:val="false"/>
          <w:color w:val="000000"/>
          <w:sz w:val="28"/>
        </w:rPr>
        <w:t xml:space="preserve"> = 0</w:t>
      </w:r>
      <w:r>
        <w:rPr>
          <w:rFonts w:ascii="Times New Roman"/>
          <w:b w:val="false"/>
          <w:i w:val="false"/>
          <w:color w:val="000000"/>
          <w:vertAlign w:val="superscript"/>
        </w:rPr>
        <w:t>о</w:t>
      </w:r>
      <w:r>
        <w:rPr>
          <w:rFonts w:ascii="Times New Roman"/>
          <w:b w:val="false"/>
          <w:i w:val="false"/>
          <w:color w:val="000000"/>
          <w:sz w:val="28"/>
        </w:rPr>
        <w:t>.</w:t>
      </w:r>
    </w:p>
    <w:bookmarkEnd w:id="5488"/>
    <w:bookmarkStart w:name="z5498" w:id="5489"/>
    <w:p>
      <w:pPr>
        <w:spacing w:after="0"/>
        <w:ind w:left="0"/>
        <w:jc w:val="left"/>
      </w:pPr>
      <w:r>
        <w:rPr>
          <w:rFonts w:ascii="Times New Roman"/>
          <w:b/>
          <w:i w:val="false"/>
          <w:color w:val="000000"/>
        </w:rPr>
        <w:t xml:space="preserve"> Глава 110. Транспортные понтоны</w:t>
      </w:r>
    </w:p>
    <w:bookmarkEnd w:id="5489"/>
    <w:p>
      <w:pPr>
        <w:spacing w:after="0"/>
        <w:ind w:left="0"/>
        <w:jc w:val="both"/>
      </w:pPr>
      <w:r>
        <w:rPr>
          <w:rFonts w:ascii="Times New Roman"/>
          <w:b w:val="false"/>
          <w:i w:val="false"/>
          <w:color w:val="ff0000"/>
          <w:sz w:val="28"/>
        </w:rPr>
        <w:t xml:space="preserve">
      Сноска. Заголовок главы 110 -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99" w:id="5490"/>
    <w:p>
      <w:pPr>
        <w:spacing w:after="0"/>
        <w:ind w:left="0"/>
        <w:jc w:val="left"/>
      </w:pPr>
      <w:r>
        <w:rPr>
          <w:rFonts w:ascii="Times New Roman"/>
          <w:b/>
          <w:i w:val="false"/>
          <w:color w:val="000000"/>
        </w:rPr>
        <w:t xml:space="preserve"> Параграф 1. Состояние нагрузки</w:t>
      </w:r>
    </w:p>
    <w:bookmarkEnd w:id="5490"/>
    <w:bookmarkStart w:name="z5500" w:id="5491"/>
    <w:p>
      <w:pPr>
        <w:spacing w:after="0"/>
        <w:ind w:left="0"/>
        <w:jc w:val="both"/>
      </w:pPr>
      <w:r>
        <w:rPr>
          <w:rFonts w:ascii="Times New Roman"/>
          <w:b w:val="false"/>
          <w:i w:val="false"/>
          <w:color w:val="000000"/>
          <w:sz w:val="28"/>
        </w:rPr>
        <w:t xml:space="preserve">
      1747. Требования настоящей главы распространяется на транспортные понтоны с отношением </w:t>
      </w:r>
      <w:r>
        <w:rPr>
          <w:rFonts w:ascii="Times New Roman"/>
          <w:b w:val="false"/>
          <w:i/>
          <w:color w:val="000000"/>
          <w:sz w:val="28"/>
        </w:rPr>
        <w:t>B/D</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3 и коэффициентом общей полноты 0,9 и более.</w:t>
      </w:r>
    </w:p>
    <w:bookmarkEnd w:id="5491"/>
    <w:bookmarkStart w:name="z5501" w:id="5492"/>
    <w:p>
      <w:pPr>
        <w:spacing w:after="0"/>
        <w:ind w:left="0"/>
        <w:jc w:val="both"/>
      </w:pPr>
      <w:r>
        <w:rPr>
          <w:rFonts w:ascii="Times New Roman"/>
          <w:b w:val="false"/>
          <w:i w:val="false"/>
          <w:color w:val="000000"/>
          <w:sz w:val="28"/>
        </w:rPr>
        <w:t>
      1748. Остойчивость транспортного понтона проверяется при следующих вариантах нагрузки:</w:t>
      </w:r>
    </w:p>
    <w:bookmarkEnd w:id="5492"/>
    <w:bookmarkStart w:name="z5502" w:id="5493"/>
    <w:p>
      <w:pPr>
        <w:spacing w:after="0"/>
        <w:ind w:left="0"/>
        <w:jc w:val="both"/>
      </w:pPr>
      <w:r>
        <w:rPr>
          <w:rFonts w:ascii="Times New Roman"/>
          <w:b w:val="false"/>
          <w:i w:val="false"/>
          <w:color w:val="000000"/>
          <w:sz w:val="28"/>
        </w:rPr>
        <w:t>
      1) с полным грузом;</w:t>
      </w:r>
    </w:p>
    <w:bookmarkEnd w:id="5493"/>
    <w:bookmarkStart w:name="z5503" w:id="5494"/>
    <w:p>
      <w:pPr>
        <w:spacing w:after="0"/>
        <w:ind w:left="0"/>
        <w:jc w:val="both"/>
      </w:pPr>
      <w:r>
        <w:rPr>
          <w:rFonts w:ascii="Times New Roman"/>
          <w:b w:val="false"/>
          <w:i w:val="false"/>
          <w:color w:val="000000"/>
          <w:sz w:val="28"/>
        </w:rPr>
        <w:t>
      2) без груза;</w:t>
      </w:r>
    </w:p>
    <w:bookmarkEnd w:id="5494"/>
    <w:bookmarkStart w:name="z5504" w:id="5495"/>
    <w:p>
      <w:pPr>
        <w:spacing w:after="0"/>
        <w:ind w:left="0"/>
        <w:jc w:val="both"/>
      </w:pPr>
      <w:r>
        <w:rPr>
          <w:rFonts w:ascii="Times New Roman"/>
          <w:b w:val="false"/>
          <w:i w:val="false"/>
          <w:color w:val="000000"/>
          <w:sz w:val="28"/>
        </w:rPr>
        <w:t>
      3) с полным грузом и обледенением.</w:t>
      </w:r>
    </w:p>
    <w:bookmarkEnd w:id="5495"/>
    <w:bookmarkStart w:name="z5505" w:id="5496"/>
    <w:p>
      <w:pPr>
        <w:spacing w:after="0"/>
        <w:ind w:left="0"/>
        <w:jc w:val="both"/>
      </w:pPr>
      <w:r>
        <w:rPr>
          <w:rFonts w:ascii="Times New Roman"/>
          <w:b w:val="false"/>
          <w:i w:val="false"/>
          <w:color w:val="000000"/>
          <w:sz w:val="28"/>
        </w:rPr>
        <w:t>
      1749. При перевозке лесного груза расчет остойчивости производится с учетом возможного увеличения массы лесного груза вследствие его намокания в соответствии с пунктом 1800 настоящих Правил.</w:t>
      </w:r>
    </w:p>
    <w:bookmarkEnd w:id="5496"/>
    <w:bookmarkStart w:name="z5506" w:id="5497"/>
    <w:p>
      <w:pPr>
        <w:spacing w:after="0"/>
        <w:ind w:left="0"/>
        <w:jc w:val="both"/>
      </w:pPr>
      <w:r>
        <w:rPr>
          <w:rFonts w:ascii="Times New Roman"/>
          <w:b w:val="false"/>
          <w:i w:val="false"/>
          <w:color w:val="000000"/>
          <w:sz w:val="28"/>
        </w:rPr>
        <w:t>
      1750. При перевозке труб расчет остойчивости производится с учетом воды в трубах в соответствии с пунктом 1895 настоящих Правил.</w:t>
      </w:r>
    </w:p>
    <w:bookmarkEnd w:id="5497"/>
    <w:bookmarkStart w:name="z5507" w:id="5498"/>
    <w:p>
      <w:pPr>
        <w:spacing w:after="0"/>
        <w:ind w:left="0"/>
        <w:jc w:val="left"/>
      </w:pPr>
      <w:r>
        <w:rPr>
          <w:rFonts w:ascii="Times New Roman"/>
          <w:b/>
          <w:i w:val="false"/>
          <w:color w:val="000000"/>
        </w:rPr>
        <w:t xml:space="preserve"> Параграф 2. Расчет остойчивости формы, учет обледенения</w:t>
      </w:r>
    </w:p>
    <w:bookmarkEnd w:id="5498"/>
    <w:bookmarkStart w:name="z5508" w:id="5499"/>
    <w:p>
      <w:pPr>
        <w:spacing w:after="0"/>
        <w:ind w:left="0"/>
        <w:jc w:val="both"/>
      </w:pPr>
      <w:r>
        <w:rPr>
          <w:rFonts w:ascii="Times New Roman"/>
          <w:b w:val="false"/>
          <w:i w:val="false"/>
          <w:color w:val="000000"/>
          <w:sz w:val="28"/>
        </w:rPr>
        <w:t>
      1751. При расчете плеч остойчивости формы для понтона, перевозящего лесной груз, разрешается засчитывать объем груза леса на полную его ширину и высоту с коэффициентом проницаемости 0,25.</w:t>
      </w:r>
    </w:p>
    <w:bookmarkEnd w:id="5499"/>
    <w:bookmarkStart w:name="z5509" w:id="5500"/>
    <w:p>
      <w:pPr>
        <w:spacing w:after="0"/>
        <w:ind w:left="0"/>
        <w:jc w:val="both"/>
      </w:pPr>
      <w:r>
        <w:rPr>
          <w:rFonts w:ascii="Times New Roman"/>
          <w:b w:val="false"/>
          <w:i w:val="false"/>
          <w:color w:val="000000"/>
          <w:sz w:val="28"/>
        </w:rPr>
        <w:t>
      1752. Нормы обледенения принимаются в соответствии с главой 96 настоящих Правил.</w:t>
      </w:r>
    </w:p>
    <w:bookmarkEnd w:id="5500"/>
    <w:bookmarkStart w:name="z5510" w:id="5501"/>
    <w:p>
      <w:pPr>
        <w:spacing w:after="0"/>
        <w:ind w:left="0"/>
        <w:jc w:val="both"/>
      </w:pPr>
      <w:r>
        <w:rPr>
          <w:rFonts w:ascii="Times New Roman"/>
          <w:b w:val="false"/>
          <w:i w:val="false"/>
          <w:color w:val="000000"/>
          <w:sz w:val="28"/>
        </w:rPr>
        <w:t>
      1753. При перевозке лесного груза нормы обледенения принимаются в соответствии с пунктом 1600 настоящих Правил.</w:t>
      </w:r>
    </w:p>
    <w:bookmarkEnd w:id="5501"/>
    <w:bookmarkStart w:name="z5511" w:id="5502"/>
    <w:p>
      <w:pPr>
        <w:spacing w:after="0"/>
        <w:ind w:left="0"/>
        <w:jc w:val="both"/>
      </w:pPr>
      <w:r>
        <w:rPr>
          <w:rFonts w:ascii="Times New Roman"/>
          <w:b w:val="false"/>
          <w:i w:val="false"/>
          <w:color w:val="000000"/>
          <w:sz w:val="28"/>
        </w:rPr>
        <w:t>
      1754. При перевозке труб обледенение рассчитывается в соответствии с пунктом 1698 настоящих Правил.</w:t>
      </w:r>
    </w:p>
    <w:bookmarkEnd w:id="5502"/>
    <w:bookmarkStart w:name="z5512" w:id="5503"/>
    <w:p>
      <w:pPr>
        <w:spacing w:after="0"/>
        <w:ind w:left="0"/>
        <w:jc w:val="left"/>
      </w:pPr>
      <w:r>
        <w:rPr>
          <w:rFonts w:ascii="Times New Roman"/>
          <w:b/>
          <w:i w:val="false"/>
          <w:color w:val="000000"/>
        </w:rPr>
        <w:t xml:space="preserve"> Параграф 2. Остойчивость транспортного понтона</w:t>
      </w:r>
    </w:p>
    <w:bookmarkEnd w:id="5503"/>
    <w:bookmarkStart w:name="z5513" w:id="5504"/>
    <w:p>
      <w:pPr>
        <w:spacing w:after="0"/>
        <w:ind w:left="0"/>
        <w:jc w:val="both"/>
      </w:pPr>
      <w:r>
        <w:rPr>
          <w:rFonts w:ascii="Times New Roman"/>
          <w:b w:val="false"/>
          <w:i w:val="false"/>
          <w:color w:val="000000"/>
          <w:sz w:val="28"/>
        </w:rPr>
        <w:t>
      1755. Остойчивость транспортного понтона считается достаточной:</w:t>
      </w:r>
    </w:p>
    <w:bookmarkEnd w:id="5504"/>
    <w:bookmarkStart w:name="z5514" w:id="5505"/>
    <w:p>
      <w:pPr>
        <w:spacing w:after="0"/>
        <w:ind w:left="0"/>
        <w:jc w:val="both"/>
      </w:pPr>
      <w:r>
        <w:rPr>
          <w:rFonts w:ascii="Times New Roman"/>
          <w:b w:val="false"/>
          <w:i w:val="false"/>
          <w:color w:val="000000"/>
          <w:sz w:val="28"/>
        </w:rPr>
        <w:t>
      1) если площадь диаграммы статической остойчивости до угла крена Ө</w:t>
      </w:r>
      <w:r>
        <w:rPr>
          <w:rFonts w:ascii="Times New Roman"/>
          <w:b w:val="false"/>
          <w:i w:val="false"/>
          <w:color w:val="000000"/>
          <w:vertAlign w:val="subscript"/>
        </w:rPr>
        <w:t>m</w:t>
      </w:r>
      <w:r>
        <w:rPr>
          <w:rFonts w:ascii="Times New Roman"/>
          <w:b w:val="false"/>
          <w:i w:val="false"/>
          <w:color w:val="000000"/>
          <w:sz w:val="28"/>
        </w:rPr>
        <w:t xml:space="preserve"> составляет не менее 0,08 м·рад;</w:t>
      </w:r>
    </w:p>
    <w:bookmarkEnd w:id="5505"/>
    <w:bookmarkStart w:name="z5515" w:id="5506"/>
    <w:p>
      <w:pPr>
        <w:spacing w:after="0"/>
        <w:ind w:left="0"/>
        <w:jc w:val="both"/>
      </w:pPr>
      <w:r>
        <w:rPr>
          <w:rFonts w:ascii="Times New Roman"/>
          <w:b w:val="false"/>
          <w:i w:val="false"/>
          <w:color w:val="000000"/>
          <w:sz w:val="28"/>
        </w:rPr>
        <w:t>
      2) если угол статического крена от действия ветрового кренящего момента, определяемого в соответствии с пунктом 1756 настоящих Правил, не превышает половины угла, при котором палуба входит в воду;</w:t>
      </w:r>
    </w:p>
    <w:bookmarkEnd w:id="5506"/>
    <w:bookmarkStart w:name="z5516" w:id="5507"/>
    <w:p>
      <w:pPr>
        <w:spacing w:after="0"/>
        <w:ind w:left="0"/>
        <w:jc w:val="both"/>
      </w:pPr>
      <w:r>
        <w:rPr>
          <w:rFonts w:ascii="Times New Roman"/>
          <w:b w:val="false"/>
          <w:i w:val="false"/>
          <w:color w:val="000000"/>
          <w:sz w:val="28"/>
        </w:rPr>
        <w:t>
      3) если диаграмма статической остойчивости имеет протяженность не менее:</w:t>
      </w:r>
    </w:p>
    <w:bookmarkEnd w:id="5507"/>
    <w:bookmarkStart w:name="z5517" w:id="5508"/>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o</w:t>
      </w:r>
      <w:r>
        <w:rPr>
          <w:rFonts w:ascii="Times New Roman"/>
          <w:b w:val="false"/>
          <w:i w:val="false"/>
          <w:color w:val="000000"/>
          <w:sz w:val="28"/>
        </w:rPr>
        <w:t xml:space="preserve"> — для судов длиной 100 м и менее,</w:t>
      </w:r>
    </w:p>
    <w:bookmarkEnd w:id="5508"/>
    <w:bookmarkStart w:name="z5518" w:id="5509"/>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o</w:t>
      </w:r>
      <w:r>
        <w:rPr>
          <w:rFonts w:ascii="Times New Roman"/>
          <w:b w:val="false"/>
          <w:i w:val="false"/>
          <w:color w:val="000000"/>
          <w:sz w:val="28"/>
        </w:rPr>
        <w:t xml:space="preserve"> — для судов длиной более 150 м;</w:t>
      </w:r>
    </w:p>
    <w:bookmarkEnd w:id="5509"/>
    <w:bookmarkStart w:name="z5519" w:id="5510"/>
    <w:p>
      <w:pPr>
        <w:spacing w:after="0"/>
        <w:ind w:left="0"/>
        <w:jc w:val="both"/>
      </w:pPr>
      <w:r>
        <w:rPr>
          <w:rFonts w:ascii="Times New Roman"/>
          <w:b w:val="false"/>
          <w:i w:val="false"/>
          <w:color w:val="000000"/>
          <w:sz w:val="28"/>
        </w:rPr>
        <w:t xml:space="preserve">
      Для промежуточных значений </w:t>
      </w:r>
      <w:r>
        <w:rPr>
          <w:rFonts w:ascii="Times New Roman"/>
          <w:b w:val="false"/>
          <w:i/>
          <w:color w:val="000000"/>
          <w:sz w:val="28"/>
        </w:rPr>
        <w:t>L</w:t>
      </w:r>
      <w:r>
        <w:rPr>
          <w:rFonts w:ascii="Times New Roman"/>
          <w:b w:val="false"/>
          <w:i w:val="false"/>
          <w:color w:val="000000"/>
          <w:sz w:val="28"/>
        </w:rPr>
        <w:t xml:space="preserve"> протяженность диаграммы определяется линейной интерполяцией.</w:t>
      </w:r>
    </w:p>
    <w:bookmarkEnd w:id="5510"/>
    <w:bookmarkStart w:name="z5520" w:id="5511"/>
    <w:p>
      <w:pPr>
        <w:spacing w:after="0"/>
        <w:ind w:left="0"/>
        <w:jc w:val="both"/>
      </w:pPr>
      <w:r>
        <w:rPr>
          <w:rFonts w:ascii="Times New Roman"/>
          <w:b w:val="false"/>
          <w:i w:val="false"/>
          <w:color w:val="000000"/>
          <w:sz w:val="28"/>
        </w:rPr>
        <w:t xml:space="preserve">
      1756. Кренящий момент, </w:t>
      </w:r>
    </w:p>
    <w:bookmarkEnd w:id="5511"/>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7"/>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кН·м, вычисляется по формуле:</w:t>
      </w:r>
      <w:r>
        <w:br/>
      </w:r>
      <w:r>
        <w:rPr>
          <w:rFonts w:ascii="Times New Roman"/>
          <w:b w:val="false"/>
          <w:i w:val="false"/>
          <w:color w:val="000000"/>
          <w:sz w:val="28"/>
        </w:rPr>
        <w:t>
</w:t>
      </w:r>
      <w:r>
        <w:br/>
      </w:r>
    </w:p>
    <w:p>
      <w:pPr>
        <w:spacing w:after="0"/>
        <w:ind w:left="0"/>
        <w:jc w:val="both"/>
      </w:pPr>
      <w:r>
        <w:drawing>
          <wp:inline distT="0" distB="0" distL="0" distR="0">
            <wp:extent cx="176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8"/>
                    <a:stretch>
                      <a:fillRect/>
                    </a:stretch>
                  </pic:blipFill>
                  <pic:spPr>
                    <a:xfrm>
                      <a:off x="0" y="0"/>
                      <a:ext cx="176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9"/>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давление ветра, равное 540 Па;</w:t>
      </w:r>
      <w:r>
        <w:br/>
      </w:r>
      <w:r>
        <w:rPr>
          <w:rFonts w:ascii="Times New Roman"/>
          <w:b w:val="false"/>
          <w:i w:val="false"/>
          <w:color w:val="000000"/>
          <w:sz w:val="28"/>
        </w:rPr>
        <w:t>
</w:t>
      </w:r>
      <w:r>
        <w:br/>
      </w:r>
    </w:p>
    <w:p>
      <w:pPr>
        <w:spacing w:after="0"/>
        <w:ind w:left="0"/>
        <w:jc w:val="both"/>
      </w:pP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0"/>
                    <a:stretch>
                      <a:fillRect/>
                    </a:stretch>
                  </pic:blipFill>
                  <pic:spPr>
                    <a:xfrm>
                      <a:off x="0" y="0"/>
                      <a:ext cx="190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плечо парусности, определяемое согласно пункта 1556 настоящих Правил;</w:t>
      </w:r>
      <w:r>
        <w:br/>
      </w:r>
      <w:r>
        <w:rPr>
          <w:rFonts w:ascii="Times New Roman"/>
          <w:b w:val="false"/>
          <w:i w:val="false"/>
          <w:color w:val="000000"/>
          <w:sz w:val="28"/>
        </w:rPr>
        <w:t>
</w:t>
      </w:r>
      <w:r>
        <w:br/>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парусности, м</w:t>
      </w:r>
      <w:r>
        <w:rPr>
          <w:rFonts w:ascii="Times New Roman"/>
          <w:b w:val="false"/>
          <w:i w:val="false"/>
          <w:color w:val="000000"/>
          <w:vertAlign w:val="superscript"/>
        </w:rPr>
        <w:t>2</w:t>
      </w:r>
      <w:r>
        <w:rPr>
          <w:rFonts w:ascii="Times New Roman"/>
          <w:b w:val="false"/>
          <w:i w:val="false"/>
          <w:color w:val="000000"/>
          <w:sz w:val="28"/>
        </w:rPr>
        <w:t>, определяемая согласно параграфу 4 главы 91 настоящих Правил.</w:t>
      </w:r>
      <w:r>
        <w:br/>
      </w:r>
      <w:r>
        <w:rPr>
          <w:rFonts w:ascii="Times New Roman"/>
          <w:b w:val="false"/>
          <w:i w:val="false"/>
          <w:color w:val="000000"/>
          <w:sz w:val="28"/>
        </w:rPr>
        <w:t>
</w:t>
      </w:r>
    </w:p>
    <w:bookmarkStart w:name="z5521" w:id="5512"/>
    <w:p>
      <w:pPr>
        <w:spacing w:after="0"/>
        <w:ind w:left="0"/>
        <w:jc w:val="left"/>
      </w:pPr>
      <w:r>
        <w:rPr>
          <w:rFonts w:ascii="Times New Roman"/>
          <w:b/>
          <w:i w:val="false"/>
          <w:color w:val="000000"/>
        </w:rPr>
        <w:t xml:space="preserve"> Глава 111. Плавучие доки</w:t>
      </w:r>
    </w:p>
    <w:bookmarkEnd w:id="5512"/>
    <w:p>
      <w:pPr>
        <w:spacing w:after="0"/>
        <w:ind w:left="0"/>
        <w:jc w:val="both"/>
      </w:pPr>
      <w:r>
        <w:rPr>
          <w:rFonts w:ascii="Times New Roman"/>
          <w:b w:val="false"/>
          <w:i w:val="false"/>
          <w:color w:val="ff0000"/>
          <w:sz w:val="28"/>
        </w:rPr>
        <w:t xml:space="preserve">
      Сноска. Заголовок главы 111 -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22" w:id="5513"/>
    <w:p>
      <w:pPr>
        <w:spacing w:after="0"/>
        <w:ind w:left="0"/>
        <w:jc w:val="left"/>
      </w:pPr>
      <w:r>
        <w:rPr>
          <w:rFonts w:ascii="Times New Roman"/>
          <w:b/>
          <w:i w:val="false"/>
          <w:color w:val="000000"/>
        </w:rPr>
        <w:t xml:space="preserve"> Параграф 1. Остойчивость плавучего дока в рабочем состоянии</w:t>
      </w:r>
    </w:p>
    <w:bookmarkEnd w:id="5513"/>
    <w:bookmarkStart w:name="z5523" w:id="5514"/>
    <w:p>
      <w:pPr>
        <w:spacing w:after="0"/>
        <w:ind w:left="0"/>
        <w:jc w:val="both"/>
      </w:pPr>
      <w:r>
        <w:rPr>
          <w:rFonts w:ascii="Times New Roman"/>
          <w:b w:val="false"/>
          <w:i w:val="false"/>
          <w:color w:val="000000"/>
          <w:sz w:val="28"/>
        </w:rPr>
        <w:t>
      1757. Остойчивость плавучих доков проверяется при следующих вариантах нагрузки:</w:t>
      </w:r>
    </w:p>
    <w:bookmarkEnd w:id="5514"/>
    <w:bookmarkStart w:name="z5524" w:id="5515"/>
    <w:p>
      <w:pPr>
        <w:spacing w:after="0"/>
        <w:ind w:left="0"/>
        <w:jc w:val="both"/>
      </w:pPr>
      <w:r>
        <w:rPr>
          <w:rFonts w:ascii="Times New Roman"/>
          <w:b w:val="false"/>
          <w:i w:val="false"/>
          <w:color w:val="000000"/>
          <w:sz w:val="28"/>
        </w:rPr>
        <w:t>
      1) плавучий док в рабочем состоянии;</w:t>
      </w:r>
    </w:p>
    <w:bookmarkEnd w:id="5515"/>
    <w:bookmarkStart w:name="z5525" w:id="5516"/>
    <w:p>
      <w:pPr>
        <w:spacing w:after="0"/>
        <w:ind w:left="0"/>
        <w:jc w:val="both"/>
      </w:pPr>
      <w:r>
        <w:rPr>
          <w:rFonts w:ascii="Times New Roman"/>
          <w:b w:val="false"/>
          <w:i w:val="false"/>
          <w:color w:val="000000"/>
          <w:sz w:val="28"/>
        </w:rPr>
        <w:t>
      2) плавучий док при погружении и всплытии.</w:t>
      </w:r>
    </w:p>
    <w:bookmarkEnd w:id="5516"/>
    <w:bookmarkStart w:name="z5526" w:id="5517"/>
    <w:p>
      <w:pPr>
        <w:spacing w:after="0"/>
        <w:ind w:left="0"/>
        <w:jc w:val="both"/>
      </w:pPr>
      <w:r>
        <w:rPr>
          <w:rFonts w:ascii="Times New Roman"/>
          <w:b w:val="false"/>
          <w:i w:val="false"/>
          <w:color w:val="000000"/>
          <w:sz w:val="28"/>
        </w:rPr>
        <w:t>
      1758. Учет влияния жидких грузов производится согласно параграфу 5 главы 91 настоящих Правил. Поправка на влияние свободных поверхностей жидкого балласта вычисляется при уровнях заполнения цистерн, соответствующих фактическим уровням в рассматриваемом варианте нагрузки.</w:t>
      </w:r>
    </w:p>
    <w:bookmarkEnd w:id="5517"/>
    <w:bookmarkStart w:name="z5527" w:id="5518"/>
    <w:p>
      <w:pPr>
        <w:spacing w:after="0"/>
        <w:ind w:left="0"/>
        <w:jc w:val="both"/>
      </w:pPr>
      <w:r>
        <w:rPr>
          <w:rFonts w:ascii="Times New Roman"/>
          <w:b w:val="false"/>
          <w:i w:val="false"/>
          <w:color w:val="000000"/>
          <w:sz w:val="28"/>
        </w:rPr>
        <w:t>
      1759. Проверяется остойчивость полностью всплывшего дока с судном при максимальной грузоподъемности дока и моменте парусности системы "док — судно" без обледенения.</w:t>
      </w:r>
    </w:p>
    <w:bookmarkEnd w:id="5518"/>
    <w:bookmarkStart w:name="z5528" w:id="5519"/>
    <w:p>
      <w:pPr>
        <w:spacing w:after="0"/>
        <w:ind w:left="0"/>
        <w:jc w:val="both"/>
      </w:pPr>
      <w:r>
        <w:rPr>
          <w:rFonts w:ascii="Times New Roman"/>
          <w:b w:val="false"/>
          <w:i w:val="false"/>
          <w:color w:val="000000"/>
          <w:sz w:val="28"/>
        </w:rPr>
        <w:t>
      1760. Остойчивость считается достаточной:</w:t>
      </w:r>
    </w:p>
    <w:bookmarkEnd w:id="5519"/>
    <w:bookmarkStart w:name="z5529" w:id="5520"/>
    <w:p>
      <w:pPr>
        <w:spacing w:after="0"/>
        <w:ind w:left="0"/>
        <w:jc w:val="both"/>
      </w:pPr>
      <w:r>
        <w:rPr>
          <w:rFonts w:ascii="Times New Roman"/>
          <w:b w:val="false"/>
          <w:i w:val="false"/>
          <w:color w:val="000000"/>
          <w:sz w:val="28"/>
        </w:rPr>
        <w:t>
      1) если угол крена при динамически приложенном кренящем моменте от давления ветра согласно пункта 1763 или 1764 настоящих Правил не превышает допустимого угла наклонения для доковых кранов в нерабочем состоянии или 4</w:t>
      </w:r>
      <w:r>
        <w:rPr>
          <w:rFonts w:ascii="Times New Roman"/>
          <w:b w:val="false"/>
          <w:i w:val="false"/>
          <w:color w:val="000000"/>
          <w:vertAlign w:val="superscript"/>
        </w:rPr>
        <w:t>о</w:t>
      </w:r>
      <w:r>
        <w:rPr>
          <w:rFonts w:ascii="Times New Roman"/>
          <w:b w:val="false"/>
          <w:i w:val="false"/>
          <w:color w:val="000000"/>
          <w:sz w:val="28"/>
        </w:rPr>
        <w:t>, смотря по тому, что меньше;</w:t>
      </w:r>
    </w:p>
    <w:bookmarkEnd w:id="5520"/>
    <w:bookmarkStart w:name="z5530" w:id="5521"/>
    <w:p>
      <w:pPr>
        <w:spacing w:after="0"/>
        <w:ind w:left="0"/>
        <w:jc w:val="both"/>
      </w:pPr>
      <w:r>
        <w:rPr>
          <w:rFonts w:ascii="Times New Roman"/>
          <w:b w:val="false"/>
          <w:i w:val="false"/>
          <w:color w:val="000000"/>
          <w:sz w:val="28"/>
        </w:rPr>
        <w:t>
      2) если угол крена при динамически приложенном кренящем моменте от давления ветра согласно пункту 1771 настоящих Правил не превышает угла, при котором обеспечивается безопасная работа кранов;</w:t>
      </w:r>
    </w:p>
    <w:bookmarkEnd w:id="5521"/>
    <w:bookmarkStart w:name="z5531" w:id="5522"/>
    <w:p>
      <w:pPr>
        <w:spacing w:after="0"/>
        <w:ind w:left="0"/>
        <w:jc w:val="both"/>
      </w:pPr>
      <w:r>
        <w:rPr>
          <w:rFonts w:ascii="Times New Roman"/>
          <w:b w:val="false"/>
          <w:i w:val="false"/>
          <w:color w:val="000000"/>
          <w:sz w:val="28"/>
        </w:rPr>
        <w:t>
      3) если угол дифферента при статически приложенном дифферентующем моменте от действия веса кранов с максимальным грузом, при наиболее неблагоприятном эксплуатационном случае их расположения, не превышает угла, при котором обеспечивается надежная работа кранов, или угла входа стапель-палубы в воду, смотря по тому, что меньше.</w:t>
      </w:r>
    </w:p>
    <w:bookmarkEnd w:id="5522"/>
    <w:bookmarkStart w:name="z5532" w:id="5523"/>
    <w:p>
      <w:pPr>
        <w:spacing w:after="0"/>
        <w:ind w:left="0"/>
        <w:jc w:val="both"/>
      </w:pPr>
      <w:r>
        <w:rPr>
          <w:rFonts w:ascii="Times New Roman"/>
          <w:b w:val="false"/>
          <w:i w:val="false"/>
          <w:color w:val="000000"/>
          <w:sz w:val="28"/>
        </w:rPr>
        <w:t>
      1761. Динамический угол крена плавучего дока, град, если он не превышает угла входа стапель-палубы в воду, определяется по формуле:</w:t>
      </w:r>
    </w:p>
    <w:bookmarkEnd w:id="5523"/>
    <w:p>
      <w:pPr>
        <w:spacing w:after="0"/>
        <w:ind w:left="0"/>
        <w:jc w:val="both"/>
      </w:pPr>
      <w:r>
        <w:rPr>
          <w:rFonts w:ascii="Times New Roman"/>
          <w:b w:val="false"/>
          <w:i w:val="false"/>
          <w:color w:val="000000"/>
          <w:sz w:val="28"/>
        </w:rPr>
        <w:t>
      Ө = 1,17·10</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723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2"/>
                    <a:stretch>
                      <a:fillRect/>
                    </a:stretch>
                  </pic:blipFill>
                  <pic:spPr>
                    <a:xfrm>
                      <a:off x="0" y="0"/>
                      <a:ext cx="723900" cy="647700"/>
                    </a:xfrm>
                    <a:prstGeom prst="rect">
                      <a:avLst/>
                    </a:prstGeom>
                  </pic:spPr>
                </pic:pic>
              </a:graphicData>
            </a:graphic>
          </wp:inline>
        </w:drawing>
      </w:r>
    </w:p>
    <w:p>
      <w:pPr>
        <w:spacing w:after="0"/>
        <w:ind w:left="0"/>
        <w:jc w:val="left"/>
      </w:pPr>
      <w:r>
        <w:rPr>
          <w:rFonts w:ascii="Times New Roman"/>
          <w:b w:val="false"/>
          <w:i w:val="false"/>
          <w:color w:val="000000"/>
          <w:sz w:val="28"/>
        </w:rPr>
        <w:t>,                   (666)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z</w:t>
      </w:r>
      <w:r>
        <w:rPr>
          <w:rFonts w:ascii="Times New Roman"/>
          <w:b w:val="false"/>
          <w:i w:val="false"/>
          <w:color w:val="000000"/>
          <w:sz w:val="28"/>
        </w:rPr>
        <w:t xml:space="preserve"> — отстояние центра парусности от плоскости действующей ватерлинии;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3"/>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давление ветра, Па;</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т.</w:t>
      </w:r>
      <w:r>
        <w:br/>
      </w:r>
      <w:r>
        <w:rPr>
          <w:rFonts w:ascii="Times New Roman"/>
          <w:b w:val="false"/>
          <w:i w:val="false"/>
          <w:color w:val="000000"/>
          <w:sz w:val="28"/>
        </w:rPr>
        <w:t>
</w:t>
      </w:r>
    </w:p>
    <w:bookmarkStart w:name="z5533" w:id="5524"/>
    <w:p>
      <w:pPr>
        <w:spacing w:after="0"/>
        <w:ind w:left="0"/>
        <w:jc w:val="both"/>
      </w:pPr>
      <w:r>
        <w:rPr>
          <w:rFonts w:ascii="Times New Roman"/>
          <w:b w:val="false"/>
          <w:i w:val="false"/>
          <w:color w:val="000000"/>
          <w:sz w:val="28"/>
        </w:rPr>
        <w:t>
      1762. Угол крена плавучего дока, если он превышает угол входа стапель-палубы в воду, определяется по диаграмме статической или динамической остойчивости при действии на док динамически приложенного кренящего момента, кН·м, определяемого по формуле:</w:t>
      </w:r>
    </w:p>
    <w:bookmarkEnd w:id="55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5"/>
                    <a:stretch>
                      <a:fillRect/>
                    </a:stretch>
                  </pic:blipFill>
                  <pic:spPr>
                    <a:xfrm>
                      <a:off x="0" y="0"/>
                      <a:ext cx="1714500" cy="292100"/>
                    </a:xfrm>
                    <a:prstGeom prst="rect">
                      <a:avLst/>
                    </a:prstGeom>
                  </pic:spPr>
                </pic:pic>
              </a:graphicData>
            </a:graphic>
          </wp:inline>
        </w:drawing>
      </w:r>
    </w:p>
    <w:p>
      <w:pPr>
        <w:spacing w:after="0"/>
        <w:ind w:left="0"/>
        <w:jc w:val="left"/>
      </w:pPr>
      <w:r>
        <w:rPr>
          <w:rFonts w:ascii="Times New Roman"/>
          <w:b w:val="false"/>
          <w:i w:val="false"/>
          <w:color w:val="000000"/>
          <w:sz w:val="28"/>
        </w:rPr>
        <w:t>.                    (667)</w:t>
      </w:r>
      <w:r>
        <w:br/>
      </w:r>
      <w:r>
        <w:rPr>
          <w:rFonts w:ascii="Times New Roman"/>
          <w:b w:val="false"/>
          <w:i w:val="false"/>
          <w:color w:val="000000"/>
          <w:sz w:val="28"/>
        </w:rPr>
        <w:t>
</w:t>
      </w:r>
    </w:p>
    <w:bookmarkStart w:name="z5534" w:id="5525"/>
    <w:p>
      <w:pPr>
        <w:spacing w:after="0"/>
        <w:ind w:left="0"/>
        <w:jc w:val="both"/>
      </w:pPr>
      <w:r>
        <w:rPr>
          <w:rFonts w:ascii="Times New Roman"/>
          <w:b w:val="false"/>
          <w:i w:val="false"/>
          <w:color w:val="000000"/>
          <w:sz w:val="28"/>
        </w:rPr>
        <w:t>
      1763. Давление ветра принимается равным 1700 Па</w:t>
      </w:r>
    </w:p>
    <w:bookmarkEnd w:id="5525"/>
    <w:bookmarkStart w:name="z5535" w:id="5526"/>
    <w:p>
      <w:pPr>
        <w:spacing w:after="0"/>
        <w:ind w:left="0"/>
        <w:jc w:val="both"/>
      </w:pPr>
      <w:r>
        <w:rPr>
          <w:rFonts w:ascii="Times New Roman"/>
          <w:b w:val="false"/>
          <w:i w:val="false"/>
          <w:color w:val="000000"/>
          <w:sz w:val="28"/>
        </w:rPr>
        <w:t>
      1764. Давление ветра принимается по приложению 223 настоящих Правил в зависимости от установленного географического района эксплуатации плавучего дока согласно приложению 225 настоящих Правил.</w:t>
      </w:r>
    </w:p>
    <w:bookmarkEnd w:id="5526"/>
    <w:bookmarkStart w:name="z5536" w:id="5527"/>
    <w:p>
      <w:pPr>
        <w:spacing w:after="0"/>
        <w:ind w:left="0"/>
        <w:jc w:val="both"/>
      </w:pPr>
      <w:r>
        <w:rPr>
          <w:rFonts w:ascii="Times New Roman"/>
          <w:b w:val="false"/>
          <w:i w:val="false"/>
          <w:color w:val="000000"/>
          <w:sz w:val="28"/>
        </w:rPr>
        <w:t>
      Для учета увеличения давления ветра в зависимости от возвышения над действующей ватерлинией отдельных высотных зон площади парусности системы "док — судно", давление ветра из приложения 223 настоящих Правил умножается на соответствующий коэффициент зоны из приложения 224 настоящих Правил.</w:t>
      </w:r>
    </w:p>
    <w:bookmarkEnd w:id="5527"/>
    <w:bookmarkStart w:name="z5537" w:id="5528"/>
    <w:p>
      <w:pPr>
        <w:spacing w:after="0"/>
        <w:ind w:left="0"/>
        <w:jc w:val="both"/>
      </w:pPr>
      <w:r>
        <w:rPr>
          <w:rFonts w:ascii="Times New Roman"/>
          <w:b w:val="false"/>
          <w:i w:val="false"/>
          <w:color w:val="000000"/>
          <w:sz w:val="28"/>
        </w:rPr>
        <w:t xml:space="preserve">
      В этом случае величины </w:t>
      </w:r>
    </w:p>
    <w:bookmarkEnd w:id="5528"/>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6"/>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w:t>
      </w:r>
      <w:r>
        <w:rPr>
          <w:rFonts w:ascii="Times New Roman"/>
          <w:b w:val="false"/>
          <w:i/>
          <w:color w:val="000000"/>
          <w:sz w:val="28"/>
        </w:rPr>
        <w:t>z</w:t>
      </w:r>
      <w:r>
        <w:rPr>
          <w:rFonts w:ascii="Times New Roman"/>
          <w:b w:val="false"/>
          <w:i w:val="false"/>
          <w:color w:val="000000"/>
          <w:sz w:val="28"/>
        </w:rPr>
        <w:t xml:space="preserve"> определяются для каждой высотной зоны в отдельности, в формулы (666) и (667) настоящих Правил включается сумма их произведений по всем высотным зонам, составляющим площадь парусности системы "док — судно".</w:t>
      </w:r>
      <w:r>
        <w:br/>
      </w:r>
      <w:r>
        <w:rPr>
          <w:rFonts w:ascii="Times New Roman"/>
          <w:b w:val="false"/>
          <w:i w:val="false"/>
          <w:color w:val="000000"/>
          <w:sz w:val="28"/>
        </w:rPr>
        <w:t>
</w:t>
      </w:r>
    </w:p>
    <w:bookmarkStart w:name="z5538" w:id="5529"/>
    <w:p>
      <w:pPr>
        <w:spacing w:after="0"/>
        <w:ind w:left="0"/>
        <w:jc w:val="both"/>
      </w:pPr>
      <w:r>
        <w:rPr>
          <w:rFonts w:ascii="Times New Roman"/>
          <w:b w:val="false"/>
          <w:i w:val="false"/>
          <w:color w:val="000000"/>
          <w:sz w:val="28"/>
        </w:rPr>
        <w:t>
      1765. При установленном географическом районе эксплуатации плавучего дока давление ветра может приниматься для этого района.</w:t>
      </w:r>
    </w:p>
    <w:bookmarkEnd w:id="5529"/>
    <w:bookmarkStart w:name="z5539" w:id="5530"/>
    <w:p>
      <w:pPr>
        <w:spacing w:after="0"/>
        <w:ind w:left="0"/>
        <w:jc w:val="both"/>
      </w:pPr>
      <w:r>
        <w:rPr>
          <w:rFonts w:ascii="Times New Roman"/>
          <w:b w:val="false"/>
          <w:i w:val="false"/>
          <w:color w:val="000000"/>
          <w:sz w:val="28"/>
        </w:rPr>
        <w:t>
      1766. При установленных нескольких географических районах эксплуатации плавучего дока давление ветра принимается равным максимальной величине для этих районов.</w:t>
      </w:r>
    </w:p>
    <w:bookmarkEnd w:id="5530"/>
    <w:bookmarkStart w:name="z5540" w:id="5531"/>
    <w:p>
      <w:pPr>
        <w:spacing w:after="0"/>
        <w:ind w:left="0"/>
        <w:jc w:val="both"/>
      </w:pPr>
      <w:r>
        <w:rPr>
          <w:rFonts w:ascii="Times New Roman"/>
          <w:b w:val="false"/>
          <w:i w:val="false"/>
          <w:color w:val="000000"/>
          <w:sz w:val="28"/>
        </w:rPr>
        <w:t>
      1767. Угол дифферента плавучего дока, град, определяется по формуле:</w:t>
      </w:r>
    </w:p>
    <w:bookmarkEnd w:id="5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8"/>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57,3M</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9"/>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Н</w:t>
      </w:r>
      <w:r>
        <w:rPr>
          <w:rFonts w:ascii="Times New Roman"/>
          <w:b w:val="false"/>
          <w:i w:val="false"/>
          <w:color w:val="000000"/>
          <w:sz w:val="28"/>
        </w:rPr>
        <w:t>).                  (668)</w:t>
      </w:r>
      <w:r>
        <w:br/>
      </w:r>
      <w:r>
        <w:rPr>
          <w:rFonts w:ascii="Times New Roman"/>
          <w:b w:val="false"/>
          <w:i w:val="false"/>
          <w:color w:val="000000"/>
          <w:sz w:val="28"/>
        </w:rPr>
        <w:t>
</w:t>
      </w:r>
    </w:p>
    <w:bookmarkStart w:name="z5541" w:id="5532"/>
    <w:p>
      <w:pPr>
        <w:spacing w:after="0"/>
        <w:ind w:left="0"/>
        <w:jc w:val="left"/>
      </w:pPr>
      <w:r>
        <w:rPr>
          <w:rFonts w:ascii="Times New Roman"/>
          <w:b/>
          <w:i w:val="false"/>
          <w:color w:val="000000"/>
        </w:rPr>
        <w:t xml:space="preserve"> Параграф 2. Остойчивость плавучего дока</w:t>
      </w:r>
      <w:r>
        <w:br/>
      </w:r>
      <w:r>
        <w:rPr>
          <w:rFonts w:ascii="Times New Roman"/>
          <w:b/>
          <w:i w:val="false"/>
          <w:color w:val="000000"/>
        </w:rPr>
        <w:t>при погружении или всплытии</w:t>
      </w:r>
    </w:p>
    <w:bookmarkEnd w:id="5532"/>
    <w:bookmarkStart w:name="z5542" w:id="5533"/>
    <w:p>
      <w:pPr>
        <w:spacing w:after="0"/>
        <w:ind w:left="0"/>
        <w:jc w:val="both"/>
      </w:pPr>
      <w:r>
        <w:rPr>
          <w:rFonts w:ascii="Times New Roman"/>
          <w:b w:val="false"/>
          <w:i w:val="false"/>
          <w:color w:val="000000"/>
          <w:sz w:val="28"/>
        </w:rPr>
        <w:t>
      1768. Проверяется остойчивость дока в процессе погружения или всплытия при наихудшем, в отношении остойчивости, варианте водоизмещения поднимаемого судна, момента парусности системы "док — судно" и балластировки дока, с неработающими кранами, без обледенения.</w:t>
      </w:r>
    </w:p>
    <w:bookmarkEnd w:id="5533"/>
    <w:bookmarkStart w:name="z5543" w:id="5534"/>
    <w:p>
      <w:pPr>
        <w:spacing w:after="0"/>
        <w:ind w:left="0"/>
        <w:jc w:val="both"/>
      </w:pPr>
      <w:r>
        <w:rPr>
          <w:rFonts w:ascii="Times New Roman"/>
          <w:b w:val="false"/>
          <w:i w:val="false"/>
          <w:color w:val="000000"/>
          <w:sz w:val="28"/>
        </w:rPr>
        <w:t>
      1769. Остойчивость считается достаточной, если угол крена при динамически приложенном кренящем моменте от давления ветра не превышает допустимого угла наклонения для доковых кранов в нерабочем состоянии или 4</w:t>
      </w:r>
      <w:r>
        <w:rPr>
          <w:rFonts w:ascii="Times New Roman"/>
          <w:b w:val="false"/>
          <w:i w:val="false"/>
          <w:color w:val="000000"/>
          <w:vertAlign w:val="superscript"/>
        </w:rPr>
        <w:t>о</w:t>
      </w:r>
      <w:r>
        <w:rPr>
          <w:rFonts w:ascii="Times New Roman"/>
          <w:b w:val="false"/>
          <w:i w:val="false"/>
          <w:color w:val="000000"/>
          <w:sz w:val="28"/>
        </w:rPr>
        <w:t>, смотря по тому, что меньше.</w:t>
      </w:r>
    </w:p>
    <w:bookmarkEnd w:id="5534"/>
    <w:bookmarkStart w:name="z5544" w:id="5535"/>
    <w:p>
      <w:pPr>
        <w:spacing w:after="0"/>
        <w:ind w:left="0"/>
        <w:jc w:val="both"/>
      </w:pPr>
      <w:r>
        <w:rPr>
          <w:rFonts w:ascii="Times New Roman"/>
          <w:b w:val="false"/>
          <w:i w:val="false"/>
          <w:color w:val="000000"/>
          <w:sz w:val="28"/>
        </w:rPr>
        <w:t>
      1770. Угол крена плавучего дока определяется в соответствии с указаниями пунктов 1761 и 1762 настоящих Правил.</w:t>
      </w:r>
    </w:p>
    <w:bookmarkEnd w:id="5535"/>
    <w:bookmarkStart w:name="z5545" w:id="5536"/>
    <w:p>
      <w:pPr>
        <w:spacing w:after="0"/>
        <w:ind w:left="0"/>
        <w:jc w:val="both"/>
      </w:pPr>
      <w:r>
        <w:rPr>
          <w:rFonts w:ascii="Times New Roman"/>
          <w:b w:val="false"/>
          <w:i w:val="false"/>
          <w:color w:val="000000"/>
          <w:sz w:val="28"/>
        </w:rPr>
        <w:t>
      1771. Удельное давление ветра принимается равным 400 Па.</w:t>
      </w:r>
    </w:p>
    <w:bookmarkEnd w:id="5536"/>
    <w:bookmarkStart w:name="z5546" w:id="5537"/>
    <w:p>
      <w:pPr>
        <w:spacing w:after="0"/>
        <w:ind w:left="0"/>
        <w:jc w:val="both"/>
      </w:pPr>
      <w:r>
        <w:rPr>
          <w:rFonts w:ascii="Times New Roman"/>
          <w:b w:val="false"/>
          <w:i w:val="false"/>
          <w:color w:val="000000"/>
          <w:sz w:val="28"/>
        </w:rPr>
        <w:t xml:space="preserve">
      1772. Плечо парусности определяется согласно пункта 1504 настоящих Правил. По согласованию с Регистром судоходства в каждом случае плечо парусности </w:t>
      </w:r>
      <w:r>
        <w:rPr>
          <w:rFonts w:ascii="Times New Roman"/>
          <w:b w:val="false"/>
          <w:i/>
          <w:color w:val="000000"/>
          <w:sz w:val="28"/>
        </w:rPr>
        <w:t>z</w:t>
      </w:r>
      <w:r>
        <w:rPr>
          <w:rFonts w:ascii="Times New Roman"/>
          <w:b w:val="false"/>
          <w:i w:val="false"/>
          <w:color w:val="000000"/>
          <w:sz w:val="28"/>
        </w:rPr>
        <w:t xml:space="preserve"> принимают как возвышение центра парусности системы "док — судно" над плоскостью крепления системы удержания к доку.</w:t>
      </w:r>
    </w:p>
    <w:bookmarkEnd w:id="5537"/>
    <w:bookmarkStart w:name="z5547" w:id="5538"/>
    <w:p>
      <w:pPr>
        <w:spacing w:after="0"/>
        <w:ind w:left="0"/>
        <w:jc w:val="both"/>
      </w:pPr>
      <w:r>
        <w:rPr>
          <w:rFonts w:ascii="Times New Roman"/>
          <w:b w:val="false"/>
          <w:i w:val="false"/>
          <w:color w:val="000000"/>
          <w:sz w:val="28"/>
        </w:rPr>
        <w:t>
      1773. Настоящие требования распространяются на плавучие доки, имеющие достаточно надежную систему удержания.</w:t>
      </w:r>
    </w:p>
    <w:bookmarkEnd w:id="5538"/>
    <w:bookmarkStart w:name="z5548" w:id="5539"/>
    <w:p>
      <w:pPr>
        <w:spacing w:after="0"/>
        <w:ind w:left="0"/>
        <w:jc w:val="left"/>
      </w:pPr>
      <w:r>
        <w:rPr>
          <w:rFonts w:ascii="Times New Roman"/>
          <w:b/>
          <w:i w:val="false"/>
          <w:color w:val="000000"/>
        </w:rPr>
        <w:t xml:space="preserve"> Глава 112. Стоечные суда</w:t>
      </w:r>
    </w:p>
    <w:bookmarkEnd w:id="5539"/>
    <w:p>
      <w:pPr>
        <w:spacing w:after="0"/>
        <w:ind w:left="0"/>
        <w:jc w:val="both"/>
      </w:pPr>
      <w:r>
        <w:rPr>
          <w:rFonts w:ascii="Times New Roman"/>
          <w:b w:val="false"/>
          <w:i w:val="false"/>
          <w:color w:val="ff0000"/>
          <w:sz w:val="28"/>
        </w:rPr>
        <w:t xml:space="preserve">
      Сноска. Заголовок главы 112 -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49" w:id="5540"/>
    <w:p>
      <w:pPr>
        <w:spacing w:after="0"/>
        <w:ind w:left="0"/>
        <w:jc w:val="both"/>
      </w:pPr>
      <w:r>
        <w:rPr>
          <w:rFonts w:ascii="Times New Roman"/>
          <w:b w:val="false"/>
          <w:i w:val="false"/>
          <w:color w:val="000000"/>
          <w:sz w:val="28"/>
        </w:rPr>
        <w:t>
      1774. Остойчивость стоечного суда считается достаточной, если:</w:t>
      </w:r>
    </w:p>
    <w:bookmarkEnd w:id="5540"/>
    <w:bookmarkStart w:name="z5550" w:id="5541"/>
    <w:p>
      <w:pPr>
        <w:spacing w:after="0"/>
        <w:ind w:left="0"/>
        <w:jc w:val="both"/>
      </w:pPr>
      <w:r>
        <w:rPr>
          <w:rFonts w:ascii="Times New Roman"/>
          <w:b w:val="false"/>
          <w:i w:val="false"/>
          <w:color w:val="000000"/>
          <w:sz w:val="28"/>
        </w:rPr>
        <w:t>
      1) метацентрическая высота отвечает требованиям главы 96 настоящих Правил с учетом возможных в эксплуатации случаев распределения пассажиров по палубам;</w:t>
      </w:r>
    </w:p>
    <w:bookmarkEnd w:id="5541"/>
    <w:bookmarkStart w:name="z5551" w:id="5542"/>
    <w:p>
      <w:pPr>
        <w:spacing w:after="0"/>
        <w:ind w:left="0"/>
        <w:jc w:val="both"/>
      </w:pPr>
      <w:r>
        <w:rPr>
          <w:rFonts w:ascii="Times New Roman"/>
          <w:b w:val="false"/>
          <w:i w:val="false"/>
          <w:color w:val="000000"/>
          <w:sz w:val="28"/>
        </w:rPr>
        <w:t>
      2) угол крена при действии ветрового кренящего момента, определенный по формуле (666) настоящих Правил с учетом пунктов с 1761 – 1766 настоящих Правил, не превышает предельно допустимого.</w:t>
      </w:r>
    </w:p>
    <w:bookmarkEnd w:id="5542"/>
    <w:bookmarkStart w:name="z5552" w:id="5543"/>
    <w:p>
      <w:pPr>
        <w:spacing w:after="0"/>
        <w:ind w:left="0"/>
        <w:jc w:val="both"/>
      </w:pPr>
      <w:r>
        <w:rPr>
          <w:rFonts w:ascii="Times New Roman"/>
          <w:b w:val="false"/>
          <w:i w:val="false"/>
          <w:color w:val="000000"/>
          <w:sz w:val="28"/>
        </w:rPr>
        <w:t>
      1775. Остойчивость судна при динамически приложенном кренящем моменте от давления ветра проверяется в наихудшем, с точки зрения остойчивости, варианте нагрузки.</w:t>
      </w:r>
    </w:p>
    <w:bookmarkEnd w:id="5543"/>
    <w:bookmarkStart w:name="z5553" w:id="5544"/>
    <w:p>
      <w:pPr>
        <w:spacing w:after="0"/>
        <w:ind w:left="0"/>
        <w:jc w:val="both"/>
      </w:pPr>
      <w:r>
        <w:rPr>
          <w:rFonts w:ascii="Times New Roman"/>
          <w:b w:val="false"/>
          <w:i w:val="false"/>
          <w:color w:val="000000"/>
          <w:sz w:val="28"/>
        </w:rPr>
        <w:t>
      1776. В качестве предельно допустимого крена принимается угол входа в воду кромки палубы надводного борта или обносов, или угол выхода из воды середины скулы, смотря по тому, какой из этих углов меньше.</w:t>
      </w:r>
    </w:p>
    <w:bookmarkEnd w:id="5544"/>
    <w:bookmarkStart w:name="z5554" w:id="5545"/>
    <w:p>
      <w:pPr>
        <w:spacing w:after="0"/>
        <w:ind w:left="0"/>
        <w:jc w:val="both"/>
      </w:pPr>
      <w:r>
        <w:rPr>
          <w:rFonts w:ascii="Times New Roman"/>
          <w:b w:val="false"/>
          <w:i w:val="false"/>
          <w:color w:val="000000"/>
          <w:sz w:val="28"/>
        </w:rPr>
        <w:t>
      Указанные углы определяются с учетом погружения или всплытия судна при наклонениях на конечные углы крена и действительного положения кромки палубы, обносов, середины скулы. Предельно допустимый угол не больше 10</w:t>
      </w:r>
      <w:r>
        <w:rPr>
          <w:rFonts w:ascii="Times New Roman"/>
          <w:b w:val="false"/>
          <w:i w:val="false"/>
          <w:color w:val="000000"/>
          <w:vertAlign w:val="superscript"/>
        </w:rPr>
        <w:t>о</w:t>
      </w:r>
      <w:r>
        <w:rPr>
          <w:rFonts w:ascii="Times New Roman"/>
          <w:b w:val="false"/>
          <w:i w:val="false"/>
          <w:color w:val="000000"/>
          <w:sz w:val="28"/>
        </w:rPr>
        <w:t>.</w:t>
      </w:r>
    </w:p>
    <w:bookmarkEnd w:id="5545"/>
    <w:bookmarkStart w:name="z5555" w:id="5546"/>
    <w:p>
      <w:pPr>
        <w:spacing w:after="0"/>
        <w:ind w:left="0"/>
        <w:jc w:val="left"/>
      </w:pPr>
      <w:r>
        <w:rPr>
          <w:rFonts w:ascii="Times New Roman"/>
          <w:b/>
          <w:i w:val="false"/>
          <w:color w:val="000000"/>
        </w:rPr>
        <w:t xml:space="preserve"> Раздел 7. Деление на отсеки</w:t>
      </w:r>
      <w:r>
        <w:br/>
      </w:r>
      <w:r>
        <w:rPr>
          <w:rFonts w:ascii="Times New Roman"/>
          <w:b/>
          <w:i w:val="false"/>
          <w:color w:val="000000"/>
        </w:rPr>
        <w:t>Подраздел 1. Общие положения</w:t>
      </w:r>
      <w:r>
        <w:br/>
      </w:r>
      <w:r>
        <w:rPr>
          <w:rFonts w:ascii="Times New Roman"/>
          <w:b/>
          <w:i w:val="false"/>
          <w:color w:val="000000"/>
        </w:rPr>
        <w:t>Глава 113. Область распространения</w:t>
      </w:r>
    </w:p>
    <w:bookmarkEnd w:id="5546"/>
    <w:p>
      <w:pPr>
        <w:spacing w:after="0"/>
        <w:ind w:left="0"/>
        <w:jc w:val="both"/>
      </w:pPr>
      <w:r>
        <w:rPr>
          <w:rFonts w:ascii="Times New Roman"/>
          <w:b w:val="false"/>
          <w:i w:val="false"/>
          <w:color w:val="ff0000"/>
          <w:sz w:val="28"/>
        </w:rPr>
        <w:t xml:space="preserve">
      Сноска. Заголовок главы 113 -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58" w:id="5547"/>
    <w:p>
      <w:pPr>
        <w:spacing w:after="0"/>
        <w:ind w:left="0"/>
        <w:jc w:val="both"/>
      </w:pPr>
      <w:r>
        <w:rPr>
          <w:rFonts w:ascii="Times New Roman"/>
          <w:b w:val="false"/>
          <w:i w:val="false"/>
          <w:color w:val="000000"/>
          <w:sz w:val="28"/>
        </w:rPr>
        <w:t>
      1777. Требования настоящего раздела Правил распространяются на:</w:t>
      </w:r>
    </w:p>
    <w:bookmarkEnd w:id="5547"/>
    <w:bookmarkStart w:name="z5559" w:id="5548"/>
    <w:p>
      <w:pPr>
        <w:spacing w:after="0"/>
        <w:ind w:left="0"/>
        <w:jc w:val="both"/>
      </w:pPr>
      <w:r>
        <w:rPr>
          <w:rFonts w:ascii="Times New Roman"/>
          <w:b w:val="false"/>
          <w:i w:val="false"/>
          <w:color w:val="000000"/>
          <w:sz w:val="28"/>
        </w:rPr>
        <w:t>
      1) пассажирские суда;</w:t>
      </w:r>
    </w:p>
    <w:bookmarkEnd w:id="5548"/>
    <w:bookmarkStart w:name="z5560" w:id="5549"/>
    <w:p>
      <w:pPr>
        <w:spacing w:after="0"/>
        <w:ind w:left="0"/>
        <w:jc w:val="both"/>
      </w:pPr>
      <w:r>
        <w:rPr>
          <w:rFonts w:ascii="Times New Roman"/>
          <w:b w:val="false"/>
          <w:i w:val="false"/>
          <w:color w:val="000000"/>
          <w:sz w:val="28"/>
        </w:rPr>
        <w:t>
      2) нефтеналивные суда;</w:t>
      </w:r>
    </w:p>
    <w:bookmarkEnd w:id="5549"/>
    <w:bookmarkStart w:name="z5561" w:id="5550"/>
    <w:p>
      <w:pPr>
        <w:spacing w:after="0"/>
        <w:ind w:left="0"/>
        <w:jc w:val="both"/>
      </w:pPr>
      <w:r>
        <w:rPr>
          <w:rFonts w:ascii="Times New Roman"/>
          <w:b w:val="false"/>
          <w:i w:val="false"/>
          <w:color w:val="000000"/>
          <w:sz w:val="28"/>
        </w:rPr>
        <w:t xml:space="preserve">
      3) рыболовные суда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100 м;</w:t>
      </w:r>
    </w:p>
    <w:bookmarkEnd w:id="5550"/>
    <w:bookmarkStart w:name="z5562" w:id="5551"/>
    <w:p>
      <w:pPr>
        <w:spacing w:after="0"/>
        <w:ind w:left="0"/>
        <w:jc w:val="both"/>
      </w:pPr>
      <w:r>
        <w:rPr>
          <w:rFonts w:ascii="Times New Roman"/>
          <w:b w:val="false"/>
          <w:i w:val="false"/>
          <w:color w:val="000000"/>
          <w:sz w:val="28"/>
        </w:rPr>
        <w:t>
      4) суда типа А и суда типа В с уменьшенным надводным бортом, указанные в пунктах 156 и 161 Правил о грузовой марке;</w:t>
      </w:r>
    </w:p>
    <w:bookmarkEnd w:id="5551"/>
    <w:bookmarkStart w:name="z5563" w:id="5552"/>
    <w:p>
      <w:pPr>
        <w:spacing w:after="0"/>
        <w:ind w:left="0"/>
        <w:jc w:val="both"/>
      </w:pPr>
      <w:r>
        <w:rPr>
          <w:rFonts w:ascii="Times New Roman"/>
          <w:b w:val="false"/>
          <w:i w:val="false"/>
          <w:color w:val="000000"/>
          <w:sz w:val="28"/>
        </w:rPr>
        <w:t>
      5) суда специального назначения;</w:t>
      </w:r>
    </w:p>
    <w:bookmarkEnd w:id="5552"/>
    <w:bookmarkStart w:name="z5564" w:id="5553"/>
    <w:p>
      <w:pPr>
        <w:spacing w:after="0"/>
        <w:ind w:left="0"/>
        <w:jc w:val="both"/>
      </w:pPr>
      <w:r>
        <w:rPr>
          <w:rFonts w:ascii="Times New Roman"/>
          <w:b w:val="false"/>
          <w:i w:val="false"/>
          <w:color w:val="000000"/>
          <w:sz w:val="28"/>
        </w:rPr>
        <w:t>
      6) суда обеспечения;</w:t>
      </w:r>
    </w:p>
    <w:bookmarkEnd w:id="5553"/>
    <w:bookmarkStart w:name="z5565" w:id="5554"/>
    <w:p>
      <w:pPr>
        <w:spacing w:after="0"/>
        <w:ind w:left="0"/>
        <w:jc w:val="both"/>
      </w:pPr>
      <w:r>
        <w:rPr>
          <w:rFonts w:ascii="Times New Roman"/>
          <w:b w:val="false"/>
          <w:i w:val="false"/>
          <w:color w:val="000000"/>
          <w:sz w:val="28"/>
        </w:rPr>
        <w:t>
      7) суда, предназначенные для перевозки радиоактивных материалов;</w:t>
      </w:r>
    </w:p>
    <w:bookmarkEnd w:id="5554"/>
    <w:bookmarkStart w:name="z5566" w:id="5555"/>
    <w:p>
      <w:pPr>
        <w:spacing w:after="0"/>
        <w:ind w:left="0"/>
        <w:jc w:val="both"/>
      </w:pPr>
      <w:r>
        <w:rPr>
          <w:rFonts w:ascii="Times New Roman"/>
          <w:b w:val="false"/>
          <w:i w:val="false"/>
          <w:color w:val="000000"/>
          <w:sz w:val="28"/>
        </w:rPr>
        <w:t xml:space="preserve">
      8) грузовые суда длиной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не перечисленные выше;</w:t>
      </w:r>
    </w:p>
    <w:bookmarkEnd w:id="5555"/>
    <w:bookmarkStart w:name="z5567" w:id="5556"/>
    <w:p>
      <w:pPr>
        <w:spacing w:after="0"/>
        <w:ind w:left="0"/>
        <w:jc w:val="both"/>
      </w:pPr>
      <w:r>
        <w:rPr>
          <w:rFonts w:ascii="Times New Roman"/>
          <w:b w:val="false"/>
          <w:i w:val="false"/>
          <w:color w:val="000000"/>
          <w:sz w:val="28"/>
        </w:rPr>
        <w:t xml:space="preserve">
      9) сухогрузные суда длиной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&lt;80 м (пункт 1795 настоящих Правил);</w:t>
      </w:r>
    </w:p>
    <w:bookmarkEnd w:id="5556"/>
    <w:bookmarkStart w:name="z5568" w:id="5557"/>
    <w:p>
      <w:pPr>
        <w:spacing w:after="0"/>
        <w:ind w:left="0"/>
        <w:jc w:val="both"/>
      </w:pPr>
      <w:r>
        <w:rPr>
          <w:rFonts w:ascii="Times New Roman"/>
          <w:b w:val="false"/>
          <w:i w:val="false"/>
          <w:color w:val="000000"/>
          <w:sz w:val="28"/>
        </w:rPr>
        <w:t xml:space="preserve">
      10) ледоколы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50 м;</w:t>
      </w:r>
    </w:p>
    <w:bookmarkEnd w:id="5557"/>
    <w:bookmarkStart w:name="z5569" w:id="5558"/>
    <w:p>
      <w:pPr>
        <w:spacing w:after="0"/>
        <w:ind w:left="0"/>
        <w:jc w:val="both"/>
      </w:pPr>
      <w:r>
        <w:rPr>
          <w:rFonts w:ascii="Times New Roman"/>
          <w:b w:val="false"/>
          <w:i w:val="false"/>
          <w:color w:val="000000"/>
          <w:sz w:val="28"/>
        </w:rPr>
        <w:t xml:space="preserve">
      11) буксиры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40 м;</w:t>
      </w:r>
    </w:p>
    <w:bookmarkEnd w:id="5558"/>
    <w:bookmarkStart w:name="z5570" w:id="5559"/>
    <w:p>
      <w:pPr>
        <w:spacing w:after="0"/>
        <w:ind w:left="0"/>
        <w:jc w:val="both"/>
      </w:pPr>
      <w:r>
        <w:rPr>
          <w:rFonts w:ascii="Times New Roman"/>
          <w:b w:val="false"/>
          <w:i w:val="false"/>
          <w:color w:val="000000"/>
          <w:sz w:val="28"/>
        </w:rPr>
        <w:t xml:space="preserve">
      12) земснаряды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40 м, трюмные земснаряды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60 м;</w:t>
      </w:r>
    </w:p>
    <w:bookmarkEnd w:id="5559"/>
    <w:bookmarkStart w:name="z5571" w:id="5560"/>
    <w:p>
      <w:pPr>
        <w:spacing w:after="0"/>
        <w:ind w:left="0"/>
        <w:jc w:val="both"/>
      </w:pPr>
      <w:r>
        <w:rPr>
          <w:rFonts w:ascii="Times New Roman"/>
          <w:b w:val="false"/>
          <w:i w:val="false"/>
          <w:color w:val="000000"/>
          <w:sz w:val="28"/>
        </w:rPr>
        <w:t>
      13) спасательные суда;</w:t>
      </w:r>
    </w:p>
    <w:bookmarkEnd w:id="5560"/>
    <w:bookmarkStart w:name="z5572" w:id="5561"/>
    <w:p>
      <w:pPr>
        <w:spacing w:after="0"/>
        <w:ind w:left="0"/>
        <w:jc w:val="both"/>
      </w:pPr>
      <w:r>
        <w:rPr>
          <w:rFonts w:ascii="Times New Roman"/>
          <w:b w:val="false"/>
          <w:i w:val="false"/>
          <w:color w:val="000000"/>
          <w:sz w:val="28"/>
        </w:rPr>
        <w:t>
      14) буровые суда;</w:t>
      </w:r>
    </w:p>
    <w:bookmarkEnd w:id="5561"/>
    <w:bookmarkStart w:name="z5573" w:id="5562"/>
    <w:p>
      <w:pPr>
        <w:spacing w:after="0"/>
        <w:ind w:left="0"/>
        <w:jc w:val="both"/>
      </w:pPr>
      <w:r>
        <w:rPr>
          <w:rFonts w:ascii="Times New Roman"/>
          <w:b w:val="false"/>
          <w:i w:val="false"/>
          <w:color w:val="000000"/>
          <w:sz w:val="28"/>
        </w:rPr>
        <w:t>
      15) плавучие маяки;</w:t>
      </w:r>
    </w:p>
    <w:bookmarkEnd w:id="5562"/>
    <w:bookmarkStart w:name="z5574" w:id="5563"/>
    <w:p>
      <w:pPr>
        <w:spacing w:after="0"/>
        <w:ind w:left="0"/>
        <w:jc w:val="both"/>
      </w:pPr>
      <w:r>
        <w:rPr>
          <w:rFonts w:ascii="Times New Roman"/>
          <w:b w:val="false"/>
          <w:i w:val="false"/>
          <w:color w:val="000000"/>
          <w:sz w:val="28"/>
        </w:rPr>
        <w:t>
      16) стоечные суда, используемые как плав-гостиницы и/или, если на их борту может находиться более 100 человек;</w:t>
      </w:r>
    </w:p>
    <w:bookmarkEnd w:id="5563"/>
    <w:bookmarkStart w:name="z5575" w:id="5564"/>
    <w:p>
      <w:pPr>
        <w:spacing w:after="0"/>
        <w:ind w:left="0"/>
        <w:jc w:val="both"/>
      </w:pPr>
      <w:r>
        <w:rPr>
          <w:rFonts w:ascii="Times New Roman"/>
          <w:b w:val="false"/>
          <w:i w:val="false"/>
          <w:color w:val="000000"/>
          <w:sz w:val="28"/>
        </w:rPr>
        <w:t>
      17) пассажирские накатные суда, навалочные суда, рудовозы и комбинированные суда, находящиеся в эксплуатации, время постройки которых оговорено в подразделе 3 раздела 7 настоящих Правил;</w:t>
      </w:r>
    </w:p>
    <w:bookmarkEnd w:id="5564"/>
    <w:bookmarkStart w:name="z5576" w:id="5565"/>
    <w:p>
      <w:pPr>
        <w:spacing w:after="0"/>
        <w:ind w:left="0"/>
        <w:jc w:val="both"/>
      </w:pPr>
      <w:r>
        <w:rPr>
          <w:rFonts w:ascii="Times New Roman"/>
          <w:b w:val="false"/>
          <w:i w:val="false"/>
          <w:color w:val="000000"/>
          <w:sz w:val="28"/>
        </w:rPr>
        <w:t xml:space="preserve">
      18) грузовые суда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&lt; 100 м, не являющиеся навалочными, которые имеют только один грузовой трюм или грузовые трюмы, не разделенные водонепроницаемой переборкой до палубы надводного борта.</w:t>
      </w:r>
    </w:p>
    <w:bookmarkEnd w:id="5565"/>
    <w:bookmarkStart w:name="z5577" w:id="5566"/>
    <w:p>
      <w:pPr>
        <w:spacing w:after="0"/>
        <w:ind w:left="0"/>
        <w:jc w:val="both"/>
      </w:pPr>
      <w:r>
        <w:rPr>
          <w:rFonts w:ascii="Times New Roman"/>
          <w:b w:val="false"/>
          <w:i w:val="false"/>
          <w:color w:val="000000"/>
          <w:sz w:val="28"/>
        </w:rPr>
        <w:t>
      1778. Для судов, на которые действие настоящего раздела части Правил не распространяется, рекомендуется принимать все меры, допускаемые назначением и условиями эксплуатации для достижения возможно лучших характеристик деления на отсеки.</w:t>
      </w:r>
    </w:p>
    <w:bookmarkEnd w:id="5566"/>
    <w:bookmarkStart w:name="z5578" w:id="5567"/>
    <w:p>
      <w:pPr>
        <w:spacing w:after="0"/>
        <w:ind w:left="0"/>
        <w:jc w:val="both"/>
      </w:pPr>
      <w:r>
        <w:rPr>
          <w:rFonts w:ascii="Times New Roman"/>
          <w:b w:val="false"/>
          <w:i w:val="false"/>
          <w:color w:val="000000"/>
          <w:sz w:val="28"/>
        </w:rPr>
        <w:t>
      Однако, если, по желанию судовладельца, в символе класса такого судна предусматривается знак деления на отсеки, оно должно отвечать требованиям настоящей части в полном объеме.</w:t>
      </w:r>
    </w:p>
    <w:bookmarkEnd w:id="5567"/>
    <w:bookmarkStart w:name="z5579" w:id="5568"/>
    <w:p>
      <w:pPr>
        <w:spacing w:after="0"/>
        <w:ind w:left="0"/>
        <w:jc w:val="both"/>
      </w:pPr>
      <w:r>
        <w:rPr>
          <w:rFonts w:ascii="Times New Roman"/>
          <w:b w:val="false"/>
          <w:i w:val="false"/>
          <w:color w:val="000000"/>
          <w:sz w:val="28"/>
        </w:rPr>
        <w:t>
      Применимость требований настоящего раздела Правил к судам новых типов определяется по согласованию с Регистром судоходства.</w:t>
      </w:r>
    </w:p>
    <w:bookmarkEnd w:id="5568"/>
    <w:bookmarkStart w:name="z5580" w:id="5569"/>
    <w:p>
      <w:pPr>
        <w:spacing w:after="0"/>
        <w:ind w:left="0"/>
        <w:jc w:val="both"/>
      </w:pPr>
      <w:r>
        <w:rPr>
          <w:rFonts w:ascii="Times New Roman"/>
          <w:b w:val="false"/>
          <w:i w:val="false"/>
          <w:color w:val="000000"/>
          <w:sz w:val="28"/>
        </w:rPr>
        <w:t>
      1779. Требования подраздела 4 раздела 7 настоящих Правил применяются к судам типа А и судам типа В с уменьшенным надводным бортом при подтверждении выполнения требований главы 5 Правил о грузовой марке, к делению на отсеки этих судов. При выполнении расчетов, требуемых подразделом 4 раздела 7 настоящих Правил учитывают расчеты, выполненные в соответствии с требованиями подразделов 2 и 3 раздела 7 настоящих Правил.</w:t>
      </w:r>
    </w:p>
    <w:bookmarkEnd w:id="5569"/>
    <w:bookmarkStart w:name="z5581" w:id="5570"/>
    <w:p>
      <w:pPr>
        <w:spacing w:after="0"/>
        <w:ind w:left="0"/>
        <w:jc w:val="both"/>
      </w:pPr>
      <w:r>
        <w:rPr>
          <w:rFonts w:ascii="Times New Roman"/>
          <w:b w:val="false"/>
          <w:i w:val="false"/>
          <w:color w:val="000000"/>
          <w:sz w:val="28"/>
        </w:rPr>
        <w:t>
      1780. Определения и пояснения, относящиеся к общей терминологии Правил, указаны в пункте 6 настоящих Правил.</w:t>
      </w:r>
    </w:p>
    <w:bookmarkEnd w:id="5570"/>
    <w:bookmarkStart w:name="z5582" w:id="5571"/>
    <w:p>
      <w:pPr>
        <w:spacing w:after="0"/>
        <w:ind w:left="0"/>
        <w:jc w:val="both"/>
      </w:pPr>
      <w:r>
        <w:rPr>
          <w:rFonts w:ascii="Times New Roman"/>
          <w:b w:val="false"/>
          <w:i w:val="false"/>
          <w:color w:val="000000"/>
          <w:sz w:val="28"/>
        </w:rPr>
        <w:t>
      1781. Во всех расчетных случаях затопления принимается только одна пробоина в корпусе и учитывается только одна свободная поверхность влившейся после аварии забортной воды. При этом пробоина считается имеющей форму прямоугольного параллелепипеда.</w:t>
      </w:r>
    </w:p>
    <w:bookmarkEnd w:id="5571"/>
    <w:bookmarkStart w:name="z5583" w:id="5572"/>
    <w:p>
      <w:pPr>
        <w:spacing w:after="0"/>
        <w:ind w:left="0"/>
        <w:jc w:val="both"/>
      </w:pPr>
      <w:r>
        <w:rPr>
          <w:rFonts w:ascii="Times New Roman"/>
          <w:b w:val="false"/>
          <w:i w:val="false"/>
          <w:color w:val="000000"/>
          <w:sz w:val="28"/>
        </w:rPr>
        <w:t>
      1782. Все линейные размеры величин, имеющиеся в настоящей части Правил, приняты в метрах.</w:t>
      </w:r>
    </w:p>
    <w:bookmarkEnd w:id="5572"/>
    <w:bookmarkStart w:name="z5584" w:id="5573"/>
    <w:p>
      <w:pPr>
        <w:spacing w:after="0"/>
        <w:ind w:left="0"/>
        <w:jc w:val="left"/>
      </w:pPr>
      <w:r>
        <w:rPr>
          <w:rFonts w:ascii="Times New Roman"/>
          <w:b/>
          <w:i w:val="false"/>
          <w:color w:val="000000"/>
        </w:rPr>
        <w:t xml:space="preserve"> Глава 114. Объем освидетельствований</w:t>
      </w:r>
    </w:p>
    <w:bookmarkEnd w:id="5573"/>
    <w:p>
      <w:pPr>
        <w:spacing w:after="0"/>
        <w:ind w:left="0"/>
        <w:jc w:val="both"/>
      </w:pPr>
      <w:r>
        <w:rPr>
          <w:rFonts w:ascii="Times New Roman"/>
          <w:b w:val="false"/>
          <w:i w:val="false"/>
          <w:color w:val="ff0000"/>
          <w:sz w:val="28"/>
        </w:rPr>
        <w:t xml:space="preserve">
      Сноска. Заголовок главы 114 -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85" w:id="5574"/>
    <w:p>
      <w:pPr>
        <w:spacing w:after="0"/>
        <w:ind w:left="0"/>
        <w:jc w:val="both"/>
      </w:pPr>
      <w:r>
        <w:rPr>
          <w:rFonts w:ascii="Times New Roman"/>
          <w:b w:val="false"/>
          <w:i w:val="false"/>
          <w:color w:val="000000"/>
          <w:sz w:val="28"/>
        </w:rPr>
        <w:t>
      1783. Положения, относящиеся к порядку классификации, освидетельствованиям при постройке и классификационным освидетельствованиям, а также требования к технической документации, представляемой на рассмотрение Регистру судоходства, изложены в части 1 настоящих Павил.</w:t>
      </w:r>
    </w:p>
    <w:bookmarkEnd w:id="5574"/>
    <w:bookmarkStart w:name="z5586" w:id="5575"/>
    <w:p>
      <w:pPr>
        <w:spacing w:after="0"/>
        <w:ind w:left="0"/>
        <w:jc w:val="both"/>
      </w:pPr>
      <w:r>
        <w:rPr>
          <w:rFonts w:ascii="Times New Roman"/>
          <w:b w:val="false"/>
          <w:i w:val="false"/>
          <w:color w:val="000000"/>
          <w:sz w:val="28"/>
        </w:rPr>
        <w:t>
      1784. Для каждого судна, отвечающего требованиям настоящей части Правил, Регистр судоходства осуществляет:</w:t>
      </w:r>
    </w:p>
    <w:bookmarkEnd w:id="5575"/>
    <w:bookmarkStart w:name="z5587" w:id="5576"/>
    <w:p>
      <w:pPr>
        <w:spacing w:after="0"/>
        <w:ind w:left="0"/>
        <w:jc w:val="both"/>
      </w:pPr>
      <w:r>
        <w:rPr>
          <w:rFonts w:ascii="Times New Roman"/>
          <w:b w:val="false"/>
          <w:i w:val="false"/>
          <w:color w:val="000000"/>
          <w:sz w:val="28"/>
        </w:rPr>
        <w:t>
      1) проверку соответствия конструктивных мероприятий, связанных с делением на отсеки, требованиям, указанным в параграфе 4 главы 19 и главы 32, подраздела 7 раздела 5, подразделов 2, 4, 5 раздела 10 и глав 269-276, 298, 299, 300 и 303 настоящих Правил;</w:t>
      </w:r>
    </w:p>
    <w:bookmarkEnd w:id="5576"/>
    <w:bookmarkStart w:name="z5588" w:id="5577"/>
    <w:p>
      <w:pPr>
        <w:spacing w:after="0"/>
        <w:ind w:left="0"/>
        <w:jc w:val="both"/>
      </w:pPr>
      <w:r>
        <w:rPr>
          <w:rFonts w:ascii="Times New Roman"/>
          <w:b w:val="false"/>
          <w:i w:val="false"/>
          <w:color w:val="000000"/>
          <w:sz w:val="28"/>
        </w:rPr>
        <w:t>
      2) рассмотрение и одобрение Информации об аварийной посадке и остойчивости, Наставления по использованию аварийно-предупредительной сигнализации появления воды в отсеках судна, предусмотренного пунктом 1907 настоящих Правил, Схемы по борьбе за живучесть и рассмотрение предусмотренной пунктом 1795 настоящих Правил Информации о последствиях затопления отсеков (принимается к сведению);</w:t>
      </w:r>
    </w:p>
    <w:bookmarkEnd w:id="5577"/>
    <w:bookmarkStart w:name="z5589" w:id="5578"/>
    <w:p>
      <w:pPr>
        <w:spacing w:after="0"/>
        <w:ind w:left="0"/>
        <w:jc w:val="both"/>
      </w:pPr>
      <w:r>
        <w:rPr>
          <w:rFonts w:ascii="Times New Roman"/>
          <w:b w:val="false"/>
          <w:i w:val="false"/>
          <w:color w:val="000000"/>
          <w:sz w:val="28"/>
        </w:rPr>
        <w:t>
      3) проверку правильности назначения и нанесения дополнительных грузовых марок, соответствующих грузовым ватерлиниям деления судна на отсеки;</w:t>
      </w:r>
    </w:p>
    <w:bookmarkEnd w:id="5578"/>
    <w:bookmarkStart w:name="z5590" w:id="5579"/>
    <w:p>
      <w:pPr>
        <w:spacing w:after="0"/>
        <w:ind w:left="0"/>
        <w:jc w:val="both"/>
      </w:pPr>
      <w:r>
        <w:rPr>
          <w:rFonts w:ascii="Times New Roman"/>
          <w:b w:val="false"/>
          <w:i w:val="false"/>
          <w:color w:val="000000"/>
          <w:sz w:val="28"/>
        </w:rPr>
        <w:t>
      4) рассмотрение и одобрение установленной на судне ЭВМ и соответствующего программного обеспечения в случае, если для оценки аварийной посадки и остойчивости предусмотрено ее использование.</w:t>
      </w:r>
    </w:p>
    <w:bookmarkEnd w:id="5579"/>
    <w:bookmarkStart w:name="z5591" w:id="5580"/>
    <w:p>
      <w:pPr>
        <w:spacing w:after="0"/>
        <w:ind w:left="0"/>
        <w:jc w:val="left"/>
      </w:pPr>
      <w:r>
        <w:rPr>
          <w:rFonts w:ascii="Times New Roman"/>
          <w:b/>
          <w:i w:val="false"/>
          <w:color w:val="000000"/>
        </w:rPr>
        <w:t xml:space="preserve"> Глава 115. Общие технические требования</w:t>
      </w:r>
    </w:p>
    <w:bookmarkEnd w:id="5580"/>
    <w:p>
      <w:pPr>
        <w:spacing w:after="0"/>
        <w:ind w:left="0"/>
        <w:jc w:val="both"/>
      </w:pPr>
      <w:r>
        <w:rPr>
          <w:rFonts w:ascii="Times New Roman"/>
          <w:b w:val="false"/>
          <w:i w:val="false"/>
          <w:color w:val="ff0000"/>
          <w:sz w:val="28"/>
        </w:rPr>
        <w:t xml:space="preserve">
      Сноска. Заголовок главы 115 -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92" w:id="5581"/>
    <w:p>
      <w:pPr>
        <w:spacing w:after="0"/>
        <w:ind w:left="0"/>
        <w:jc w:val="both"/>
      </w:pPr>
      <w:r>
        <w:rPr>
          <w:rFonts w:ascii="Times New Roman"/>
          <w:b w:val="false"/>
          <w:i w:val="false"/>
          <w:color w:val="000000"/>
          <w:sz w:val="28"/>
        </w:rPr>
        <w:t>
      1785. Суда имеют как можно более эффективное деление на отсеки с учетом характера эксплуатации, для которой они предназначены. Степень деления судна на отсеки изменяется в зависимости от района плавания, размеров судна и числа людей на борту.</w:t>
      </w:r>
    </w:p>
    <w:bookmarkEnd w:id="5581"/>
    <w:bookmarkStart w:name="z5593" w:id="5582"/>
    <w:p>
      <w:pPr>
        <w:spacing w:after="0"/>
        <w:ind w:left="0"/>
        <w:jc w:val="both"/>
      </w:pPr>
      <w:r>
        <w:rPr>
          <w:rFonts w:ascii="Times New Roman"/>
          <w:b w:val="false"/>
          <w:i w:val="false"/>
          <w:color w:val="000000"/>
          <w:sz w:val="28"/>
        </w:rPr>
        <w:t xml:space="preserve">
      1786. Ни в коем случае ни одна из грузовых ватерлиний деления на отсеки не принимается выше самой высокой грузовой ватерлинии в соленой воде, определенной, исходя из условия обеспечения прочности судна или в соответствии с </w:t>
      </w:r>
      <w:r>
        <w:rPr>
          <w:rFonts w:ascii="Times New Roman"/>
          <w:b w:val="false"/>
          <w:i w:val="false"/>
          <w:color w:val="000000"/>
          <w:sz w:val="28"/>
        </w:rPr>
        <w:t xml:space="preserve"> Правилами</w:t>
      </w:r>
      <w:r>
        <w:rPr>
          <w:rFonts w:ascii="Times New Roman"/>
          <w:b w:val="false"/>
          <w:i w:val="false"/>
          <w:color w:val="000000"/>
          <w:sz w:val="28"/>
        </w:rPr>
        <w:t xml:space="preserve"> о грузовой марке морских судов, утвержденных уполномоченным органом.</w:t>
      </w:r>
    </w:p>
    <w:bookmarkEnd w:id="5582"/>
    <w:bookmarkStart w:name="z5594" w:id="5583"/>
    <w:p>
      <w:pPr>
        <w:spacing w:after="0"/>
        <w:ind w:left="0"/>
        <w:jc w:val="both"/>
      </w:pPr>
      <w:r>
        <w:rPr>
          <w:rFonts w:ascii="Times New Roman"/>
          <w:b w:val="false"/>
          <w:i w:val="false"/>
          <w:color w:val="000000"/>
          <w:sz w:val="28"/>
        </w:rPr>
        <w:t>
      Положение установленной для данного судна грузовой ватерлинии деления на отсеки отмечается на бортах судна и в документах Регистра судоходства в соответствии с Правилами о грузовой марке.</w:t>
      </w:r>
    </w:p>
    <w:bookmarkEnd w:id="5583"/>
    <w:bookmarkStart w:name="z5595" w:id="5584"/>
    <w:p>
      <w:pPr>
        <w:spacing w:after="0"/>
        <w:ind w:left="0"/>
        <w:jc w:val="both"/>
      </w:pPr>
      <w:r>
        <w:rPr>
          <w:rFonts w:ascii="Times New Roman"/>
          <w:b w:val="false"/>
          <w:i w:val="false"/>
          <w:color w:val="000000"/>
          <w:sz w:val="28"/>
        </w:rPr>
        <w:t>
      1787. Объемы и площади во всех случаях вычисляются до теоретических обводов. Количество влившейся воды и элементы свободных поверхностей в отсеках железобетонных, пластмассовых, деревянных и композитных судов должны вычисляться до внутренних обводов.</w:t>
      </w:r>
    </w:p>
    <w:bookmarkEnd w:id="5584"/>
    <w:bookmarkStart w:name="z5596" w:id="5585"/>
    <w:p>
      <w:pPr>
        <w:spacing w:after="0"/>
        <w:ind w:left="0"/>
        <w:jc w:val="both"/>
      </w:pPr>
      <w:r>
        <w:rPr>
          <w:rFonts w:ascii="Times New Roman"/>
          <w:b w:val="false"/>
          <w:i w:val="false"/>
          <w:color w:val="000000"/>
          <w:sz w:val="28"/>
        </w:rPr>
        <w:t>
      1788. При определении начальной метацентрической высоты поврежденного судна поправки на влияние свободных поверхностей жидкого груза, судовых запасов и балласта учитываются таким же образом, как в расчетах остойчивости неповрежденного судна в соответствии с параграфом 5 главы 91 настоящих Правил.</w:t>
      </w:r>
    </w:p>
    <w:bookmarkEnd w:id="5585"/>
    <w:bookmarkStart w:name="z5597" w:id="5586"/>
    <w:p>
      <w:pPr>
        <w:spacing w:after="0"/>
        <w:ind w:left="0"/>
        <w:jc w:val="both"/>
      </w:pPr>
      <w:r>
        <w:rPr>
          <w:rFonts w:ascii="Times New Roman"/>
          <w:b w:val="false"/>
          <w:i w:val="false"/>
          <w:color w:val="000000"/>
          <w:sz w:val="28"/>
        </w:rPr>
        <w:t>
      При построении диаграмм статической остойчивости поврежденного судна закрытые надстройки, ящики и рубки, углы заливания через считающиеся открытыми отверстия в бортах, палубах и переборках корпуса и надстроек, а также поправки на влияние жидких грузов учитываются таким же образом, как при построении диаграмм неповрежденного судна в соответствии с параграфом 7 главы 91 настоящих Правил.</w:t>
      </w:r>
    </w:p>
    <w:bookmarkEnd w:id="5586"/>
    <w:bookmarkStart w:name="z5598" w:id="5587"/>
    <w:p>
      <w:pPr>
        <w:spacing w:after="0"/>
        <w:ind w:left="0"/>
        <w:jc w:val="both"/>
      </w:pPr>
      <w:r>
        <w:rPr>
          <w:rFonts w:ascii="Times New Roman"/>
          <w:b w:val="false"/>
          <w:i w:val="false"/>
          <w:color w:val="000000"/>
          <w:sz w:val="28"/>
        </w:rPr>
        <w:t>
      Надстройки, ящики и рубки, получившие повреждения, принимаются в расчет только с коэффициентами проницаемости, указанными в главе 124 настоящих Правил, или вообще не учитываются. Находящиеся внутри них отверстия для доступа в незатопленные помещения считаются открытыми для заливания при соответствующих углах крена в тех случаях, когда они не имеют штатных устройств для закрытия, непроницаемых при воздействии моря.</w:t>
      </w:r>
    </w:p>
    <w:bookmarkEnd w:id="5587"/>
    <w:bookmarkStart w:name="z5599" w:id="5588"/>
    <w:p>
      <w:pPr>
        <w:spacing w:after="0"/>
        <w:ind w:left="0"/>
        <w:jc w:val="both"/>
      </w:pPr>
      <w:r>
        <w:rPr>
          <w:rFonts w:ascii="Times New Roman"/>
          <w:b w:val="false"/>
          <w:i w:val="false"/>
          <w:color w:val="000000"/>
          <w:sz w:val="28"/>
        </w:rPr>
        <w:t>
      1789. При выполнении расчетов аварийной посадки и остойчивости учитывают изменение исходной (до повреждения) нагрузки судна от замещения жидких грузов в поврежденных цистернах и танках забортной водой, с учетом исчезновения свободной поверхности этих грузов в затопленных танках, находящихся ниже аварийной ватерлинии.</w:t>
      </w:r>
    </w:p>
    <w:bookmarkEnd w:id="5588"/>
    <w:bookmarkStart w:name="z5600" w:id="5589"/>
    <w:p>
      <w:pPr>
        <w:spacing w:after="0"/>
        <w:ind w:left="0"/>
        <w:jc w:val="both"/>
      </w:pPr>
      <w:r>
        <w:rPr>
          <w:rFonts w:ascii="Times New Roman"/>
          <w:b w:val="false"/>
          <w:i w:val="false"/>
          <w:color w:val="000000"/>
          <w:sz w:val="28"/>
        </w:rPr>
        <w:t>
      1790. Суда, на которые распространяется настоящая часть Правил, снабжаются одобренной Регистром судоходства Информацией об аварийной посадке и остойчивости судна и Схемой по борьбе за живучесть. Эти документы позволяют капитану учитывать при эксплуатации судна требования, связанные с делением на отсеки, и оценивать состояние судна при затоплении отсеков для принятия необходимых мер по сохранению поврежденного судна.</w:t>
      </w:r>
    </w:p>
    <w:bookmarkEnd w:id="5589"/>
    <w:bookmarkStart w:name="z5601" w:id="5590"/>
    <w:p>
      <w:pPr>
        <w:spacing w:after="0"/>
        <w:ind w:left="0"/>
        <w:jc w:val="both"/>
      </w:pPr>
      <w:r>
        <w:rPr>
          <w:rFonts w:ascii="Times New Roman"/>
          <w:b w:val="false"/>
          <w:i w:val="false"/>
          <w:color w:val="000000"/>
          <w:sz w:val="28"/>
        </w:rPr>
        <w:t>
      1791. Информация об аварийной посадке и остойчивости содержит:</w:t>
      </w:r>
    </w:p>
    <w:bookmarkEnd w:id="5590"/>
    <w:bookmarkStart w:name="z5602" w:id="5591"/>
    <w:p>
      <w:pPr>
        <w:spacing w:after="0"/>
        <w:ind w:left="0"/>
        <w:jc w:val="both"/>
      </w:pPr>
      <w:r>
        <w:rPr>
          <w:rFonts w:ascii="Times New Roman"/>
          <w:b w:val="false"/>
          <w:i w:val="false"/>
          <w:color w:val="000000"/>
          <w:sz w:val="28"/>
        </w:rPr>
        <w:t>
      1) сведения о судне, включая его размерения и допустимые осадки при плавании на чистой воде и во льдах, схематический чертеж его продольного разреза, планов палуб и двойного дна, а также характерные поперечные сечения с указанием всех непроницаемых переборок и выгородок, отверстий в них, характера закрытий этих отверстий и приводов, отверстий воздушных и вентиляционных труб, а также схемы систем, используемых при борьбе за живучесть судна;</w:t>
      </w:r>
    </w:p>
    <w:bookmarkEnd w:id="5591"/>
    <w:bookmarkStart w:name="z5603" w:id="5592"/>
    <w:p>
      <w:pPr>
        <w:spacing w:after="0"/>
        <w:ind w:left="0"/>
        <w:jc w:val="both"/>
      </w:pPr>
      <w:r>
        <w:rPr>
          <w:rFonts w:ascii="Times New Roman"/>
          <w:b w:val="false"/>
          <w:i w:val="false"/>
          <w:color w:val="000000"/>
          <w:sz w:val="28"/>
        </w:rPr>
        <w:t>
      2) сведения, необходимые для поддержания остойчивости неповрежденного судна, достаточной для того, чтобы оно могло, в соответствии с требованиями настоящего раздела Правил, выдержать самое опасное расчетное повреждение;</w:t>
      </w:r>
    </w:p>
    <w:bookmarkEnd w:id="5592"/>
    <w:bookmarkStart w:name="z5604" w:id="5593"/>
    <w:p>
      <w:pPr>
        <w:spacing w:after="0"/>
        <w:ind w:left="0"/>
        <w:jc w:val="both"/>
      </w:pPr>
      <w:r>
        <w:rPr>
          <w:rFonts w:ascii="Times New Roman"/>
          <w:b w:val="false"/>
          <w:i w:val="false"/>
          <w:color w:val="000000"/>
          <w:sz w:val="28"/>
        </w:rPr>
        <w:t>
      инструктивные данные по загрузке и балластировке судна с рекомендациями по целесообразному в отношении принятого деления на отсеки распределению грузов, запасов и балласта, одновременно удовлетворяющему условиям дифферента, остойчивости и прочности судна в целом; краткий перечень требований к аварийной посадке и остойчивости судна;</w:t>
      </w:r>
    </w:p>
    <w:bookmarkEnd w:id="5593"/>
    <w:bookmarkStart w:name="z5605" w:id="5594"/>
    <w:p>
      <w:pPr>
        <w:spacing w:after="0"/>
        <w:ind w:left="0"/>
        <w:jc w:val="both"/>
      </w:pPr>
      <w:r>
        <w:rPr>
          <w:rFonts w:ascii="Times New Roman"/>
          <w:b w:val="false"/>
          <w:i w:val="false"/>
          <w:color w:val="000000"/>
          <w:sz w:val="28"/>
        </w:rPr>
        <w:t>
      3) диаграмму предельных возвышений центра тяжести судна (предельных моментов или минимальных метацентрических высот), построенную с учетом обеспечения выполнения требований настоящего раздела и раздела 6 настоящих Правил;</w:t>
      </w:r>
    </w:p>
    <w:bookmarkEnd w:id="5594"/>
    <w:bookmarkStart w:name="z5606" w:id="5595"/>
    <w:p>
      <w:pPr>
        <w:spacing w:after="0"/>
        <w:ind w:left="0"/>
        <w:jc w:val="both"/>
      </w:pPr>
      <w:r>
        <w:rPr>
          <w:rFonts w:ascii="Times New Roman"/>
          <w:b w:val="false"/>
          <w:i w:val="false"/>
          <w:color w:val="000000"/>
          <w:sz w:val="28"/>
        </w:rPr>
        <w:t>
      4) сводку результатов расчетов симметричного и несимметричного затоплений, в которой должны быть приведены данные об исходной и аварийной посадке, крене, дифференте и метацентрической высоте как до, так и после принятия мер по спрямлению судна или улучшению остойчивости, а также рекомендуемые меры для этого и необходимое время. Должны быть приведены характеристики диаграмм статической остойчивости для худших случаев затопления судна;</w:t>
      </w:r>
    </w:p>
    <w:bookmarkEnd w:id="5595"/>
    <w:bookmarkStart w:name="z5607" w:id="5596"/>
    <w:p>
      <w:pPr>
        <w:spacing w:after="0"/>
        <w:ind w:left="0"/>
        <w:jc w:val="both"/>
      </w:pPr>
      <w:r>
        <w:rPr>
          <w:rFonts w:ascii="Times New Roman"/>
          <w:b w:val="false"/>
          <w:i w:val="false"/>
          <w:color w:val="000000"/>
          <w:sz w:val="28"/>
        </w:rPr>
        <w:t>
      5) сведения по конструктивному обеспечению деления судна на отсеки, использованию устройств для закрытия отверстий, устройств для перетока воды и аварийных средств, а также вытекающие из особенностей данного судна возможные последствия затопления, рекомендуемые и запрещенные действия экипажа при эксплуатации и авариях судна, связанных с затоплением.</w:t>
      </w:r>
    </w:p>
    <w:bookmarkEnd w:id="5596"/>
    <w:bookmarkStart w:name="z5608" w:id="5597"/>
    <w:p>
      <w:pPr>
        <w:spacing w:after="0"/>
        <w:ind w:left="0"/>
        <w:jc w:val="both"/>
      </w:pPr>
      <w:r>
        <w:rPr>
          <w:rFonts w:ascii="Times New Roman"/>
          <w:b w:val="false"/>
          <w:i w:val="false"/>
          <w:color w:val="000000"/>
          <w:sz w:val="28"/>
        </w:rPr>
        <w:t>
      1792. Схема по борьбе за живучесть разрабатывается в масштабе, приемлемом для работы, но не менее чем 1:200. На пассажирских судах схема постоянно висит на ходовом мостике. На грузовых судах схема постоянно висит или находится под рукой на ходовом мостике. Схема, содержащая продольный разрез, планы палуб, двойного дна и поперечные сечения, включает:</w:t>
      </w:r>
    </w:p>
    <w:bookmarkEnd w:id="5597"/>
    <w:bookmarkStart w:name="z5609" w:id="5598"/>
    <w:p>
      <w:pPr>
        <w:spacing w:after="0"/>
        <w:ind w:left="0"/>
        <w:jc w:val="both"/>
      </w:pPr>
      <w:r>
        <w:rPr>
          <w:rFonts w:ascii="Times New Roman"/>
          <w:b w:val="false"/>
          <w:i w:val="false"/>
          <w:color w:val="000000"/>
          <w:sz w:val="28"/>
        </w:rPr>
        <w:t>
      1) границы водонепроницаемых отсеков и цистерн;</w:t>
      </w:r>
    </w:p>
    <w:bookmarkEnd w:id="5598"/>
    <w:bookmarkStart w:name="z5610" w:id="5599"/>
    <w:p>
      <w:pPr>
        <w:spacing w:after="0"/>
        <w:ind w:left="0"/>
        <w:jc w:val="both"/>
      </w:pPr>
      <w:r>
        <w:rPr>
          <w:rFonts w:ascii="Times New Roman"/>
          <w:b w:val="false"/>
          <w:i w:val="false"/>
          <w:color w:val="000000"/>
          <w:sz w:val="28"/>
        </w:rPr>
        <w:t>
      2) балластную, осушительную, перепускную (спускную) системы, а также устройства для выравнивания крена, вызванного затоплением;</w:t>
      </w:r>
    </w:p>
    <w:bookmarkEnd w:id="5599"/>
    <w:bookmarkStart w:name="z5611" w:id="5600"/>
    <w:p>
      <w:pPr>
        <w:spacing w:after="0"/>
        <w:ind w:left="0"/>
        <w:jc w:val="both"/>
      </w:pPr>
      <w:r>
        <w:rPr>
          <w:rFonts w:ascii="Times New Roman"/>
          <w:b w:val="false"/>
          <w:i w:val="false"/>
          <w:color w:val="000000"/>
          <w:sz w:val="28"/>
        </w:rPr>
        <w:t>
      3) расположение отверстий в водонепроницаемых отсеках и средств их закрытия с указанием расположения органов управления этими средствами, средств индикации и сигнализации;</w:t>
      </w:r>
    </w:p>
    <w:bookmarkEnd w:id="5600"/>
    <w:bookmarkStart w:name="z5612" w:id="5601"/>
    <w:p>
      <w:pPr>
        <w:spacing w:after="0"/>
        <w:ind w:left="0"/>
        <w:jc w:val="both"/>
      </w:pPr>
      <w:r>
        <w:rPr>
          <w:rFonts w:ascii="Times New Roman"/>
          <w:b w:val="false"/>
          <w:i w:val="false"/>
          <w:color w:val="000000"/>
          <w:sz w:val="28"/>
        </w:rPr>
        <w:t>
      4) расположение дверей в наружной обшивке корпуса с указанием средств индикации, наблюдения и систем определения протечек;</w:t>
      </w:r>
    </w:p>
    <w:bookmarkEnd w:id="5601"/>
    <w:bookmarkStart w:name="z5613" w:id="5602"/>
    <w:p>
      <w:pPr>
        <w:spacing w:after="0"/>
        <w:ind w:left="0"/>
        <w:jc w:val="both"/>
      </w:pPr>
      <w:r>
        <w:rPr>
          <w:rFonts w:ascii="Times New Roman"/>
          <w:b w:val="false"/>
          <w:i w:val="false"/>
          <w:color w:val="000000"/>
          <w:sz w:val="28"/>
        </w:rPr>
        <w:t>
      5) расположение непроницаемых при воздействии моря закрытий над палубой переборок и на самой низкой непроницаемой при воздействии моря палубе с указанием средств индикации, если они применимы;</w:t>
      </w:r>
    </w:p>
    <w:bookmarkEnd w:id="5602"/>
    <w:bookmarkStart w:name="z5614" w:id="5603"/>
    <w:p>
      <w:pPr>
        <w:spacing w:after="0"/>
        <w:ind w:left="0"/>
        <w:jc w:val="both"/>
      </w:pPr>
      <w:r>
        <w:rPr>
          <w:rFonts w:ascii="Times New Roman"/>
          <w:b w:val="false"/>
          <w:i w:val="false"/>
          <w:color w:val="000000"/>
          <w:sz w:val="28"/>
        </w:rPr>
        <w:t>
      6) расположение осушительных и балластных насосов, их постов управления и клапанов.</w:t>
      </w:r>
    </w:p>
    <w:bookmarkEnd w:id="5603"/>
    <w:bookmarkStart w:name="z5615" w:id="5604"/>
    <w:p>
      <w:pPr>
        <w:spacing w:after="0"/>
        <w:ind w:left="0"/>
        <w:jc w:val="both"/>
      </w:pPr>
      <w:r>
        <w:rPr>
          <w:rFonts w:ascii="Times New Roman"/>
          <w:b w:val="false"/>
          <w:i w:val="false"/>
          <w:color w:val="000000"/>
          <w:sz w:val="28"/>
        </w:rPr>
        <w:t>
      1793. Информация об аварийной посадке и остойчивости составляется по данным Информации об остойчивости судна. Порядок распространения Информации об аварийной посадке и остойчивости с одного судна на другое аналогичен порядку распространения Информации об остойчивости, указанному в пункте 1528 настоящих Правил. Информацию об аварийной посадке и остойчивости допускается вводить в Информацию об остойчивости неповрежденного судна в виде отдельного раздела.</w:t>
      </w:r>
    </w:p>
    <w:bookmarkEnd w:id="5604"/>
    <w:bookmarkStart w:name="z5616" w:id="5605"/>
    <w:p>
      <w:pPr>
        <w:spacing w:after="0"/>
        <w:ind w:left="0"/>
        <w:jc w:val="both"/>
      </w:pPr>
      <w:r>
        <w:rPr>
          <w:rFonts w:ascii="Times New Roman"/>
          <w:b w:val="false"/>
          <w:i w:val="false"/>
          <w:color w:val="000000"/>
          <w:sz w:val="28"/>
        </w:rPr>
        <w:t>
      1794. Для оценки аварийной посадки и остойчивости судна рекомендуется использовать судовую ЭВМ. При этом необходимо чтобы соответствующее программное обеспечение имел допуск Регистра судоходства.</w:t>
      </w:r>
    </w:p>
    <w:bookmarkEnd w:id="5605"/>
    <w:bookmarkStart w:name="z5617" w:id="5606"/>
    <w:p>
      <w:pPr>
        <w:spacing w:after="0"/>
        <w:ind w:left="0"/>
        <w:jc w:val="both"/>
      </w:pPr>
      <w:r>
        <w:rPr>
          <w:rFonts w:ascii="Times New Roman"/>
          <w:b w:val="false"/>
          <w:i w:val="false"/>
          <w:color w:val="000000"/>
          <w:sz w:val="28"/>
        </w:rPr>
        <w:t>
      ЭВМ не заменяет Информацию об аварийной посадке и остойчивости.</w:t>
      </w:r>
    </w:p>
    <w:bookmarkEnd w:id="5606"/>
    <w:bookmarkStart w:name="z5618" w:id="5607"/>
    <w:p>
      <w:pPr>
        <w:spacing w:after="0"/>
        <w:ind w:left="0"/>
        <w:jc w:val="both"/>
      </w:pPr>
      <w:r>
        <w:rPr>
          <w:rFonts w:ascii="Times New Roman"/>
          <w:b w:val="false"/>
          <w:i w:val="false"/>
          <w:color w:val="000000"/>
          <w:sz w:val="28"/>
        </w:rPr>
        <w:t>
      1795. Сухогрузные суда длиной</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менее 80 м снабжают Информацией о последствиях затопления отсеков. Эта Информация содержит сведения и документацию, указанные в пункте 1791 настоящих Правил, и результаты расчетов аварийной посадки и остойчивости судна при затоплении машинного отделения и каждого помещения для груза. Расчеты выполняются для двух осадок, одной из которых является осадка по летнюю грузовую марку. Максимально допустимое положение центра тяжести судна принимается в соответствии с Информацией об остойчивости судна. Коэффициенты проницаемости грузовых помещений принимаются с учетом предполагаемых к перевозке грузов и находятся в пределах 0,60 — 0,90. Информация о последствиях затопления отсеков содержит сводную таблицу результатов расчетов с указанием критических факторов и сведения, указанные в подпункте 5) пункта 1791 настоящих Правил.</w:t>
      </w:r>
    </w:p>
    <w:bookmarkEnd w:id="5607"/>
    <w:bookmarkStart w:name="z5619" w:id="5608"/>
    <w:p>
      <w:pPr>
        <w:spacing w:after="0"/>
        <w:ind w:left="0"/>
        <w:jc w:val="both"/>
      </w:pPr>
      <w:r>
        <w:rPr>
          <w:rFonts w:ascii="Times New Roman"/>
          <w:b w:val="false"/>
          <w:i w:val="false"/>
          <w:color w:val="000000"/>
          <w:sz w:val="28"/>
        </w:rPr>
        <w:t>
      1796. Каждое судно на носу и корме имеет четко нанесенную шкалу осадок. В том случае, когда шкалы осадок расположены таким образом, что они не могут быть ясно видимы, или условия эксплуатации затрудняют снятие показаний со шкал осадок, судно оборудуют надежной системой измерения осадок, с помощью которой можно легко определить осадку носом и кормой.</w:t>
      </w:r>
    </w:p>
    <w:bookmarkEnd w:id="5608"/>
    <w:bookmarkStart w:name="z5620" w:id="5609"/>
    <w:p>
      <w:pPr>
        <w:spacing w:after="0"/>
        <w:ind w:left="0"/>
        <w:jc w:val="left"/>
      </w:pPr>
      <w:r>
        <w:rPr>
          <w:rFonts w:ascii="Times New Roman"/>
          <w:b/>
          <w:i w:val="false"/>
          <w:color w:val="000000"/>
        </w:rPr>
        <w:t xml:space="preserve"> Глава 116. Условия удовлетворения требованиям к делению на отсеки</w:t>
      </w:r>
    </w:p>
    <w:bookmarkEnd w:id="5609"/>
    <w:p>
      <w:pPr>
        <w:spacing w:after="0"/>
        <w:ind w:left="0"/>
        <w:jc w:val="both"/>
      </w:pPr>
      <w:r>
        <w:rPr>
          <w:rFonts w:ascii="Times New Roman"/>
          <w:b w:val="false"/>
          <w:i w:val="false"/>
          <w:color w:val="ff0000"/>
          <w:sz w:val="28"/>
        </w:rPr>
        <w:t xml:space="preserve">
      Сноска. Заголовок главы 116 -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21" w:id="5610"/>
    <w:p>
      <w:pPr>
        <w:spacing w:after="0"/>
        <w:ind w:left="0"/>
        <w:jc w:val="both"/>
      </w:pPr>
      <w:r>
        <w:rPr>
          <w:rFonts w:ascii="Times New Roman"/>
          <w:b w:val="false"/>
          <w:i w:val="false"/>
          <w:color w:val="000000"/>
          <w:sz w:val="28"/>
        </w:rPr>
        <w:t>
      1797. Деление судна на отсеки считается отвечающим требованиям настоящего раздела Правил, если:</w:t>
      </w:r>
    </w:p>
    <w:bookmarkEnd w:id="5610"/>
    <w:bookmarkStart w:name="z5622" w:id="5611"/>
    <w:p>
      <w:pPr>
        <w:spacing w:after="0"/>
        <w:ind w:left="0"/>
        <w:jc w:val="both"/>
      </w:pPr>
      <w:r>
        <w:rPr>
          <w:rFonts w:ascii="Times New Roman"/>
          <w:b w:val="false"/>
          <w:i w:val="false"/>
          <w:color w:val="000000"/>
          <w:sz w:val="28"/>
        </w:rPr>
        <w:t xml:space="preserve">
      1) достигнутый (фактический) вероятностный индекс деления на отсеки </w:t>
      </w:r>
      <w:r>
        <w:rPr>
          <w:rFonts w:ascii="Times New Roman"/>
          <w:b w:val="false"/>
          <w:i/>
          <w:color w:val="000000"/>
          <w:sz w:val="28"/>
        </w:rPr>
        <w:t>А</w:t>
      </w:r>
      <w:r>
        <w:rPr>
          <w:rFonts w:ascii="Times New Roman"/>
          <w:b w:val="false"/>
          <w:i w:val="false"/>
          <w:color w:val="000000"/>
          <w:sz w:val="28"/>
        </w:rPr>
        <w:t xml:space="preserve"> не меньше, чем требуемый вероятностный индекс деления на отсеки </w:t>
      </w:r>
      <w:r>
        <w:rPr>
          <w:rFonts w:ascii="Times New Roman"/>
          <w:b w:val="false"/>
          <w:i/>
          <w:color w:val="000000"/>
          <w:sz w:val="28"/>
        </w:rPr>
        <w:t>R</w:t>
      </w:r>
      <w:r>
        <w:rPr>
          <w:rFonts w:ascii="Times New Roman"/>
          <w:b w:val="false"/>
          <w:i w:val="false"/>
          <w:color w:val="000000"/>
          <w:sz w:val="28"/>
        </w:rPr>
        <w:t xml:space="preserve">. Индексы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sz w:val="28"/>
        </w:rPr>
        <w:t xml:space="preserve"> определяются в соответствии с требованиями подраздела 2 раздела 7 настоящих Правил;</w:t>
      </w:r>
    </w:p>
    <w:bookmarkEnd w:id="5611"/>
    <w:bookmarkStart w:name="z5623" w:id="5612"/>
    <w:p>
      <w:pPr>
        <w:spacing w:after="0"/>
        <w:ind w:left="0"/>
        <w:jc w:val="both"/>
      </w:pPr>
      <w:r>
        <w:rPr>
          <w:rFonts w:ascii="Times New Roman"/>
          <w:b w:val="false"/>
          <w:i w:val="false"/>
          <w:color w:val="000000"/>
          <w:sz w:val="28"/>
        </w:rPr>
        <w:t xml:space="preserve">
      2) достигнутый (фактический) ледовый вероятностный индекс деления на отсеки </w:t>
      </w:r>
      <w:r>
        <w:rPr>
          <w:rFonts w:ascii="Times New Roman"/>
          <w:b w:val="false"/>
          <w:i/>
          <w:color w:val="000000"/>
          <w:sz w:val="28"/>
        </w:rPr>
        <w:t>A</w:t>
      </w:r>
      <w:r>
        <w:rPr>
          <w:rFonts w:ascii="Times New Roman"/>
          <w:b w:val="false"/>
          <w:i w:val="false"/>
          <w:color w:val="000000"/>
          <w:vertAlign w:val="subscript"/>
        </w:rPr>
        <w:t>л</w:t>
      </w:r>
      <w:r>
        <w:rPr>
          <w:rFonts w:ascii="Times New Roman"/>
          <w:b w:val="false"/>
          <w:i w:val="false"/>
          <w:color w:val="000000"/>
          <w:sz w:val="28"/>
        </w:rPr>
        <w:t xml:space="preserve"> не меньше, чем требуемый ледовый вероятностный индекс деления на отсеки </w:t>
      </w:r>
      <w:r>
        <w:rPr>
          <w:rFonts w:ascii="Times New Roman"/>
          <w:b w:val="false"/>
          <w:i/>
          <w:color w:val="000000"/>
          <w:sz w:val="28"/>
        </w:rPr>
        <w:t>R</w:t>
      </w:r>
      <w:r>
        <w:rPr>
          <w:rFonts w:ascii="Times New Roman"/>
          <w:b w:val="false"/>
          <w:i w:val="false"/>
          <w:color w:val="000000"/>
          <w:vertAlign w:val="subscript"/>
        </w:rPr>
        <w:t>л</w:t>
      </w:r>
      <w:r>
        <w:rPr>
          <w:rFonts w:ascii="Times New Roman"/>
          <w:b w:val="false"/>
          <w:i w:val="false"/>
          <w:color w:val="000000"/>
          <w:sz w:val="28"/>
        </w:rPr>
        <w:t xml:space="preserve">. Индексы </w:t>
      </w:r>
      <w:r>
        <w:rPr>
          <w:rFonts w:ascii="Times New Roman"/>
          <w:b w:val="false"/>
          <w:i/>
          <w:color w:val="000000"/>
          <w:sz w:val="28"/>
        </w:rPr>
        <w:t>A</w:t>
      </w:r>
      <w:r>
        <w:rPr>
          <w:rFonts w:ascii="Times New Roman"/>
          <w:b w:val="false"/>
          <w:i w:val="false"/>
          <w:color w:val="000000"/>
          <w:vertAlign w:val="subscript"/>
        </w:rPr>
        <w:t>л</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vertAlign w:val="subscript"/>
        </w:rPr>
        <w:t>л</w:t>
      </w:r>
      <w:r>
        <w:rPr>
          <w:rFonts w:ascii="Times New Roman"/>
          <w:b w:val="false"/>
          <w:i w:val="false"/>
          <w:color w:val="000000"/>
          <w:sz w:val="28"/>
        </w:rPr>
        <w:t xml:space="preserve"> определяются в соответствии с требованиями подраздела 2 раздела 7 настоящих Правил;</w:t>
      </w:r>
    </w:p>
    <w:bookmarkEnd w:id="5612"/>
    <w:bookmarkStart w:name="z5624" w:id="5613"/>
    <w:p>
      <w:pPr>
        <w:spacing w:after="0"/>
        <w:ind w:left="0"/>
        <w:jc w:val="both"/>
      </w:pPr>
      <w:r>
        <w:rPr>
          <w:rFonts w:ascii="Times New Roman"/>
          <w:b w:val="false"/>
          <w:i w:val="false"/>
          <w:color w:val="000000"/>
          <w:sz w:val="28"/>
        </w:rPr>
        <w:t xml:space="preserve">
      3) к судам, для которых в подразделе 2 настоящих Правил отсутствуют указания по расчету индексов </w:t>
      </w:r>
      <w:r>
        <w:rPr>
          <w:rFonts w:ascii="Times New Roman"/>
          <w:b w:val="false"/>
          <w:i/>
          <w:color w:val="000000"/>
          <w:sz w:val="28"/>
        </w:rPr>
        <w:t>А</w:t>
      </w:r>
      <w:r>
        <w:rPr>
          <w:rFonts w:ascii="Times New Roman"/>
          <w:b w:val="false"/>
          <w:i w:val="false"/>
          <w:color w:val="000000"/>
          <w:sz w:val="28"/>
        </w:rPr>
        <w:t xml:space="preserve"> и/или </w:t>
      </w:r>
      <w:r>
        <w:rPr>
          <w:rFonts w:ascii="Times New Roman"/>
          <w:b w:val="false"/>
          <w:i/>
          <w:color w:val="000000"/>
          <w:sz w:val="28"/>
        </w:rPr>
        <w:t>R</w:t>
      </w:r>
      <w:r>
        <w:rPr>
          <w:rFonts w:ascii="Times New Roman"/>
          <w:b w:val="false"/>
          <w:i w:val="false"/>
          <w:color w:val="000000"/>
          <w:sz w:val="28"/>
        </w:rPr>
        <w:t>, требование подпункта 1) пункта 1997 настоящих Правил не применяется;</w:t>
      </w:r>
    </w:p>
    <w:bookmarkEnd w:id="5613"/>
    <w:bookmarkStart w:name="z5625" w:id="5614"/>
    <w:p>
      <w:pPr>
        <w:spacing w:after="0"/>
        <w:ind w:left="0"/>
        <w:jc w:val="both"/>
      </w:pPr>
      <w:r>
        <w:rPr>
          <w:rFonts w:ascii="Times New Roman"/>
          <w:b w:val="false"/>
          <w:i w:val="false"/>
          <w:color w:val="000000"/>
          <w:sz w:val="28"/>
        </w:rPr>
        <w:t>
      4) аварийная посадка и остойчивость отвечают требованиям подраздела 3 раздела 7 настоящих Правил с учетом пункта 2061 настоящих Правил.</w:t>
      </w:r>
    </w:p>
    <w:bookmarkEnd w:id="5614"/>
    <w:bookmarkStart w:name="z5626" w:id="5615"/>
    <w:p>
      <w:pPr>
        <w:spacing w:after="0"/>
        <w:ind w:left="0"/>
        <w:jc w:val="both"/>
      </w:pPr>
      <w:r>
        <w:rPr>
          <w:rFonts w:ascii="Times New Roman"/>
          <w:b w:val="false"/>
          <w:i w:val="false"/>
          <w:color w:val="000000"/>
          <w:sz w:val="28"/>
        </w:rPr>
        <w:t>
      1798. Знак деления на отсеки вводится в символ класса судна в соответствии с главой 2 настоящих Правил, если при всех расчетных случаях нагрузки, соответствующих назначению данного судна, деление его на отсеки признается удовлетворительным согласно пункту 1797 настоящих Правил, аварийная посадка и остойчивость соответствуют требованиям главы 125 настоящих Правил при затоплении любого одного или любых нескольких смежных отсеков по длине судна, соответственно вводимому знаку деления на отсеки, и доказано соответствие конструктивных мероприятий, связанных с делением судна на отсеки, требованиям, указанным в параграфе 4 главы 8, главы 21 и в подразделе 7 раздела 5 настоящих Правил.</w:t>
      </w:r>
    </w:p>
    <w:bookmarkEnd w:id="5615"/>
    <w:bookmarkStart w:name="z5627" w:id="5616"/>
    <w:p>
      <w:pPr>
        <w:spacing w:after="0"/>
        <w:ind w:left="0"/>
        <w:jc w:val="both"/>
      </w:pPr>
      <w:r>
        <w:rPr>
          <w:rFonts w:ascii="Times New Roman"/>
          <w:b w:val="false"/>
          <w:i w:val="false"/>
          <w:color w:val="000000"/>
          <w:sz w:val="28"/>
        </w:rPr>
        <w:t>
      В тех случаях, когда в соответствии с главой 125 настоящих Правил число затапливаемых отсеков изменяется по длине судна, в знаке деления на отсеки указывается меньшее из них.</w:t>
      </w:r>
    </w:p>
    <w:bookmarkEnd w:id="5616"/>
    <w:bookmarkStart w:name="z5628" w:id="5617"/>
    <w:p>
      <w:pPr>
        <w:spacing w:after="0"/>
        <w:ind w:left="0"/>
        <w:jc w:val="both"/>
      </w:pPr>
      <w:r>
        <w:rPr>
          <w:rFonts w:ascii="Times New Roman"/>
          <w:b w:val="false"/>
          <w:i w:val="false"/>
          <w:color w:val="000000"/>
          <w:sz w:val="28"/>
        </w:rPr>
        <w:t>
      1799. Дополнительные условия введения в символ класса знака деления на отсеки приведены в главе 125 настоящих Правил.</w:t>
      </w:r>
    </w:p>
    <w:bookmarkEnd w:id="5617"/>
    <w:bookmarkStart w:name="z5629" w:id="5618"/>
    <w:p>
      <w:pPr>
        <w:spacing w:after="0"/>
        <w:ind w:left="0"/>
        <w:jc w:val="left"/>
      </w:pPr>
      <w:r>
        <w:rPr>
          <w:rFonts w:ascii="Times New Roman"/>
          <w:b/>
          <w:i w:val="false"/>
          <w:color w:val="000000"/>
        </w:rPr>
        <w:t xml:space="preserve"> Глава 117. Коэффициенты проницаемости</w:t>
      </w:r>
    </w:p>
    <w:bookmarkEnd w:id="5618"/>
    <w:p>
      <w:pPr>
        <w:spacing w:after="0"/>
        <w:ind w:left="0"/>
        <w:jc w:val="both"/>
      </w:pPr>
      <w:r>
        <w:rPr>
          <w:rFonts w:ascii="Times New Roman"/>
          <w:b w:val="false"/>
          <w:i w:val="false"/>
          <w:color w:val="ff0000"/>
          <w:sz w:val="28"/>
        </w:rPr>
        <w:t xml:space="preserve">
      Сноска. Заголовок главы 117 -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30" w:id="5619"/>
    <w:p>
      <w:pPr>
        <w:spacing w:after="0"/>
        <w:ind w:left="0"/>
        <w:jc w:val="both"/>
      </w:pPr>
      <w:r>
        <w:rPr>
          <w:rFonts w:ascii="Times New Roman"/>
          <w:b w:val="false"/>
          <w:i w:val="false"/>
          <w:color w:val="000000"/>
          <w:sz w:val="28"/>
        </w:rPr>
        <w:t>
      1800. В расчетах аварийной посадки и остойчивости коэффициент проницаемости затопленного помещения принимается равным:</w:t>
      </w:r>
    </w:p>
    <w:bookmarkEnd w:id="5619"/>
    <w:bookmarkStart w:name="z5631" w:id="5620"/>
    <w:p>
      <w:pPr>
        <w:spacing w:after="0"/>
        <w:ind w:left="0"/>
        <w:jc w:val="both"/>
      </w:pPr>
      <w:r>
        <w:rPr>
          <w:rFonts w:ascii="Times New Roman"/>
          <w:b w:val="false"/>
          <w:i w:val="false"/>
          <w:color w:val="000000"/>
          <w:sz w:val="28"/>
        </w:rPr>
        <w:t>
      1) 0,85 — для помещений, занятых механизмами, электростанциями, а также технологическим оборудованием на рыболовных и обрабатывающих судах;</w:t>
      </w:r>
    </w:p>
    <w:bookmarkEnd w:id="5620"/>
    <w:bookmarkStart w:name="z5632" w:id="5621"/>
    <w:p>
      <w:pPr>
        <w:spacing w:after="0"/>
        <w:ind w:left="0"/>
        <w:jc w:val="both"/>
      </w:pPr>
      <w:r>
        <w:rPr>
          <w:rFonts w:ascii="Times New Roman"/>
          <w:b w:val="false"/>
          <w:i w:val="false"/>
          <w:color w:val="000000"/>
          <w:sz w:val="28"/>
        </w:rPr>
        <w:t>
      2) 0,95 — для жилых помещений, а также для пустых помещений, включая порожние цистерны;</w:t>
      </w:r>
    </w:p>
    <w:bookmarkEnd w:id="5621"/>
    <w:bookmarkStart w:name="z5633" w:id="5622"/>
    <w:p>
      <w:pPr>
        <w:spacing w:after="0"/>
        <w:ind w:left="0"/>
        <w:jc w:val="both"/>
      </w:pPr>
      <w:r>
        <w:rPr>
          <w:rFonts w:ascii="Times New Roman"/>
          <w:b w:val="false"/>
          <w:i w:val="false"/>
          <w:color w:val="000000"/>
          <w:sz w:val="28"/>
        </w:rPr>
        <w:t>
      3) 0,6 — для помещений, предназначенных для сухих запасов.</w:t>
      </w:r>
    </w:p>
    <w:bookmarkEnd w:id="5622"/>
    <w:bookmarkStart w:name="z5634" w:id="5623"/>
    <w:p>
      <w:pPr>
        <w:spacing w:after="0"/>
        <w:ind w:left="0"/>
        <w:jc w:val="both"/>
      </w:pPr>
      <w:r>
        <w:rPr>
          <w:rFonts w:ascii="Times New Roman"/>
          <w:b w:val="false"/>
          <w:i w:val="false"/>
          <w:color w:val="000000"/>
          <w:sz w:val="28"/>
        </w:rPr>
        <w:t>
      1801. Проницаемость затопленных цистерн с жидким грузом, или жидкими запасами, или водяным балластом определяется, исходя из предположения, что весь груз из цистерны выливается, а забортная вода вливается с учетом коэффициента проницаемости, равного 0,95.</w:t>
      </w:r>
    </w:p>
    <w:bookmarkEnd w:id="5623"/>
    <w:bookmarkStart w:name="z5635" w:id="5624"/>
    <w:p>
      <w:pPr>
        <w:spacing w:after="0"/>
        <w:ind w:left="0"/>
        <w:jc w:val="both"/>
      </w:pPr>
      <w:r>
        <w:rPr>
          <w:rFonts w:ascii="Times New Roman"/>
          <w:b w:val="false"/>
          <w:i w:val="false"/>
          <w:color w:val="000000"/>
          <w:sz w:val="28"/>
        </w:rPr>
        <w:t>
      1802. Значения коэффициентов проницаемости помещений, предназначенных для твердых грузов, указаны далее в соответствующих пунктах подразделов 2 — 5 раздела 7 настоящих Правил.</w:t>
      </w:r>
    </w:p>
    <w:bookmarkEnd w:id="5624"/>
    <w:bookmarkStart w:name="z5636" w:id="5625"/>
    <w:p>
      <w:pPr>
        <w:spacing w:after="0"/>
        <w:ind w:left="0"/>
        <w:jc w:val="both"/>
      </w:pPr>
      <w:r>
        <w:rPr>
          <w:rFonts w:ascii="Times New Roman"/>
          <w:b w:val="false"/>
          <w:i w:val="false"/>
          <w:color w:val="000000"/>
          <w:sz w:val="28"/>
        </w:rPr>
        <w:t>
      1803. Значения коэффициентов проницаемости помещений возможно принять меньшими, чем указано выше, лишь в том случае, если выполнен специальный расчет проницаемости, одобренный Регистром судоходства.</w:t>
      </w:r>
    </w:p>
    <w:bookmarkEnd w:id="5625"/>
    <w:bookmarkStart w:name="z5637" w:id="5626"/>
    <w:p>
      <w:pPr>
        <w:spacing w:after="0"/>
        <w:ind w:left="0"/>
        <w:jc w:val="both"/>
      </w:pPr>
      <w:r>
        <w:rPr>
          <w:rFonts w:ascii="Times New Roman"/>
          <w:b w:val="false"/>
          <w:i w:val="false"/>
          <w:color w:val="000000"/>
          <w:sz w:val="28"/>
        </w:rPr>
        <w:t>
      Для грузовых помещений, включая рефрижераторные, при выполнении специального расчета проницаемости коэффициент проницаемости груза принимается равным 0,6, а коэффициент проницаемости груза в контейнерах, трейлерах, ролл-трейлерах и грузовиках — 0,71.</w:t>
      </w:r>
    </w:p>
    <w:bookmarkEnd w:id="5626"/>
    <w:bookmarkStart w:name="z5638" w:id="5627"/>
    <w:p>
      <w:pPr>
        <w:spacing w:after="0"/>
        <w:ind w:left="0"/>
        <w:jc w:val="both"/>
      </w:pPr>
      <w:r>
        <w:rPr>
          <w:rFonts w:ascii="Times New Roman"/>
          <w:b w:val="false"/>
          <w:i w:val="false"/>
          <w:color w:val="000000"/>
          <w:sz w:val="28"/>
        </w:rPr>
        <w:t>
      1804. Если расположение помещений судна или характер его эксплуатации таковы, что очевидна целесообразность применения других коэффициентов проницаемости, приводящих к более жестким требованиям, Регистр судоходства требует применения этих более жестких коэффициентов.</w:t>
      </w:r>
    </w:p>
    <w:bookmarkEnd w:id="5627"/>
    <w:bookmarkStart w:name="z5639" w:id="5628"/>
    <w:p>
      <w:pPr>
        <w:spacing w:after="0"/>
        <w:ind w:left="0"/>
        <w:jc w:val="left"/>
      </w:pPr>
      <w:r>
        <w:rPr>
          <w:rFonts w:ascii="Times New Roman"/>
          <w:b/>
          <w:i w:val="false"/>
          <w:color w:val="000000"/>
        </w:rPr>
        <w:t xml:space="preserve"> Подраздел 2. Вероятностная оценка деления судов на отсеки</w:t>
      </w:r>
      <w:r>
        <w:br/>
      </w:r>
      <w:r>
        <w:rPr>
          <w:rFonts w:ascii="Times New Roman"/>
          <w:b/>
          <w:i w:val="false"/>
          <w:color w:val="000000"/>
        </w:rPr>
        <w:t>Глава118. Общие положения</w:t>
      </w:r>
    </w:p>
    <w:bookmarkEnd w:id="5628"/>
    <w:p>
      <w:pPr>
        <w:spacing w:after="0"/>
        <w:ind w:left="0"/>
        <w:jc w:val="both"/>
      </w:pPr>
      <w:r>
        <w:rPr>
          <w:rFonts w:ascii="Times New Roman"/>
          <w:b w:val="false"/>
          <w:i w:val="false"/>
          <w:color w:val="ff0000"/>
          <w:sz w:val="28"/>
        </w:rPr>
        <w:t xml:space="preserve">
      Сноска. Заголовок главы 118 -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41" w:id="5629"/>
    <w:p>
      <w:pPr>
        <w:spacing w:after="0"/>
        <w:ind w:left="0"/>
        <w:jc w:val="both"/>
      </w:pPr>
      <w:r>
        <w:rPr>
          <w:rFonts w:ascii="Times New Roman"/>
          <w:b w:val="false"/>
          <w:i w:val="false"/>
          <w:color w:val="000000"/>
          <w:sz w:val="28"/>
        </w:rPr>
        <w:t>
      1805. Уровень непотопляемости судна определяется достигнутыми вероятностными индексами деления на отсеки:</w:t>
      </w:r>
    </w:p>
    <w:bookmarkEnd w:id="5629"/>
    <w:bookmarkStart w:name="z5642" w:id="563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при получении бортовой пробоины вследствие столкновения или навала,</w:t>
      </w:r>
    </w:p>
    <w:bookmarkEnd w:id="5630"/>
    <w:bookmarkStart w:name="z5643" w:id="563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л</w:t>
      </w:r>
      <w:r>
        <w:rPr>
          <w:rFonts w:ascii="Times New Roman"/>
          <w:b w:val="false"/>
          <w:i w:val="false"/>
          <w:color w:val="000000"/>
          <w:sz w:val="28"/>
        </w:rPr>
        <w:t xml:space="preserve"> (ледовый) — при получении бортовой пробоины при плавании в ледовых условиях.</w:t>
      </w:r>
    </w:p>
    <w:bookmarkEnd w:id="5631"/>
    <w:bookmarkStart w:name="z5644" w:id="5632"/>
    <w:p>
      <w:pPr>
        <w:spacing w:after="0"/>
        <w:ind w:left="0"/>
        <w:jc w:val="both"/>
      </w:pPr>
      <w:r>
        <w:rPr>
          <w:rFonts w:ascii="Times New Roman"/>
          <w:b w:val="false"/>
          <w:i w:val="false"/>
          <w:color w:val="000000"/>
          <w:sz w:val="28"/>
        </w:rPr>
        <w:t xml:space="preserve">
      1806. Допустимая степень деления судна на отсеки определяется требуемыми индексами деления на отсеки </w:t>
      </w:r>
      <w:r>
        <w:rPr>
          <w:rFonts w:ascii="Times New Roman"/>
          <w:b w:val="false"/>
          <w:i/>
          <w:color w:val="000000"/>
          <w:sz w:val="28"/>
        </w:rPr>
        <w:t>R</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vertAlign w:val="subscript"/>
        </w:rPr>
        <w:t>л</w:t>
      </w:r>
      <w:r>
        <w:rPr>
          <w:rFonts w:ascii="Times New Roman"/>
          <w:b w:val="false"/>
          <w:i w:val="false"/>
          <w:color w:val="000000"/>
          <w:sz w:val="28"/>
        </w:rPr>
        <w:t>, то есть выполняются условия:</w:t>
      </w:r>
    </w:p>
    <w:bookmarkEnd w:id="563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vertAlign w:val="subscript"/>
        </w:rPr>
        <w:t>л</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л</w:t>
      </w:r>
    </w:p>
    <w:bookmarkStart w:name="z5645" w:id="5633"/>
    <w:p>
      <w:pPr>
        <w:spacing w:after="0"/>
        <w:ind w:left="0"/>
        <w:jc w:val="both"/>
      </w:pPr>
      <w:r>
        <w:rPr>
          <w:rFonts w:ascii="Times New Roman"/>
          <w:b w:val="false"/>
          <w:i w:val="false"/>
          <w:color w:val="000000"/>
          <w:sz w:val="28"/>
        </w:rPr>
        <w:t>
      1807. Достигнутые вероятностные индексы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vertAlign w:val="subscript"/>
        </w:rPr>
        <w:t>л</w:t>
      </w:r>
      <w:r>
        <w:rPr>
          <w:rFonts w:ascii="Times New Roman"/>
          <w:b w:val="false"/>
          <w:i w:val="false"/>
          <w:color w:val="000000"/>
          <w:sz w:val="28"/>
        </w:rPr>
        <w:t>) определяются по формулам:</w:t>
      </w:r>
    </w:p>
    <w:bookmarkEnd w:id="5633"/>
    <w:p>
      <w:pPr>
        <w:spacing w:after="0"/>
        <w:ind w:left="0"/>
        <w:jc w:val="both"/>
      </w:pPr>
      <w:r>
        <w:rPr>
          <w:rFonts w:ascii="Times New Roman"/>
          <w:b w:val="false"/>
          <w:i w:val="false"/>
          <w:color w:val="000000"/>
          <w:sz w:val="28"/>
        </w:rPr>
        <w:t xml:space="preserve">
      А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Ws (669) и </w:t>
      </w:r>
      <w:r>
        <w:rPr>
          <w:rFonts w:ascii="Times New Roman"/>
          <w:b w:val="false"/>
          <w:i/>
          <w:color w:val="000000"/>
          <w:sz w:val="28"/>
        </w:rPr>
        <w:t>А</w:t>
      </w:r>
      <w:r>
        <w:rPr>
          <w:rFonts w:ascii="Times New Roman"/>
          <w:b w:val="false"/>
          <w:i w:val="false"/>
          <w:color w:val="000000"/>
          <w:vertAlign w:val="subscript"/>
        </w:rPr>
        <w:t>л</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w:t>
      </w:r>
      <w:r>
        <w:rPr>
          <w:rFonts w:ascii="Times New Roman"/>
          <w:b w:val="false"/>
          <w:i w:val="false"/>
          <w:color w:val="000000"/>
          <w:vertAlign w:val="subscript"/>
        </w:rPr>
        <w:t>л</w:t>
      </w:r>
      <w:r>
        <w:rPr>
          <w:rFonts w:ascii="Times New Roman"/>
          <w:b w:val="false"/>
          <w:i w:val="false"/>
          <w:color w:val="000000"/>
          <w:sz w:val="28"/>
        </w:rPr>
        <w:t>s             (670)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sz w:val="28"/>
        </w:rPr>
        <w:t xml:space="preserve"> — вероятность затопления отсека или смежных отсеков при получении бортовой навигационной пробоины;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л</w:t>
      </w:r>
      <w:r>
        <w:rPr>
          <w:rFonts w:ascii="Times New Roman"/>
          <w:b w:val="false"/>
          <w:i w:val="false"/>
          <w:color w:val="000000"/>
          <w:sz w:val="28"/>
        </w:rPr>
        <w:t xml:space="preserve"> — вероятность затопления отсека или смежных отсеков при получении ледовой пробоины;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вероятность сохранения судна при затоплении отсека или смежных отсеков.</w:t>
      </w:r>
    </w:p>
    <w:bookmarkStart w:name="z5646" w:id="5634"/>
    <w:p>
      <w:pPr>
        <w:spacing w:after="0"/>
        <w:ind w:left="0"/>
        <w:jc w:val="both"/>
      </w:pPr>
      <w:r>
        <w:rPr>
          <w:rFonts w:ascii="Times New Roman"/>
          <w:b w:val="false"/>
          <w:i w:val="false"/>
          <w:color w:val="000000"/>
          <w:sz w:val="28"/>
        </w:rPr>
        <w:t>
      Суммирование в формулах (669) и (670) настоящих Правил ведется по номерам всех отсеков и групп смежных отсеков, результаты затопления которых оценены расчетами аварийной посадки и остойчивости.</w:t>
      </w:r>
    </w:p>
    <w:bookmarkEnd w:id="5634"/>
    <w:bookmarkStart w:name="z5647" w:id="5635"/>
    <w:p>
      <w:pPr>
        <w:spacing w:after="0"/>
        <w:ind w:left="0"/>
        <w:jc w:val="both"/>
      </w:pPr>
      <w:r>
        <w:rPr>
          <w:rFonts w:ascii="Times New Roman"/>
          <w:b w:val="false"/>
          <w:i w:val="false"/>
          <w:color w:val="000000"/>
          <w:sz w:val="28"/>
        </w:rPr>
        <w:t xml:space="preserve">
      1808. При определении вероятностей </w:t>
      </w:r>
      <w:r>
        <w:rPr>
          <w:rFonts w:ascii="Times New Roman"/>
          <w:b w:val="false"/>
          <w:i/>
          <w:color w:val="000000"/>
          <w:sz w:val="28"/>
        </w:rPr>
        <w:t>W</w:t>
      </w:r>
      <w:r>
        <w:rPr>
          <w:rFonts w:ascii="Times New Roman"/>
          <w:b w:val="false"/>
          <w:i w:val="false"/>
          <w:color w:val="000000"/>
          <w:sz w:val="28"/>
        </w:rPr>
        <w:t xml:space="preserve"> и </w:t>
      </w:r>
      <w:r>
        <w:rPr>
          <w:rFonts w:ascii="Times New Roman"/>
          <w:b w:val="false"/>
          <w:i/>
          <w:color w:val="000000"/>
          <w:sz w:val="28"/>
        </w:rPr>
        <w:t>W</w:t>
      </w:r>
      <w:r>
        <w:rPr>
          <w:rFonts w:ascii="Times New Roman"/>
          <w:b w:val="false"/>
          <w:i w:val="false"/>
          <w:color w:val="000000"/>
          <w:vertAlign w:val="subscript"/>
        </w:rPr>
        <w:t>л</w:t>
      </w:r>
      <w:r>
        <w:rPr>
          <w:rFonts w:ascii="Times New Roman"/>
          <w:b w:val="false"/>
          <w:i w:val="false"/>
          <w:color w:val="000000"/>
          <w:sz w:val="28"/>
        </w:rPr>
        <w:t xml:space="preserve"> длина отсека или группы смежных отсеков, ограниченных одной или двумя водонепроницаемыми поперечными переборками с уступами, принимается равной расстоянию между поперечными плоскостями, проходящими через ближайшие части этих переборок.</w:t>
      </w:r>
    </w:p>
    <w:bookmarkEnd w:id="5635"/>
    <w:bookmarkStart w:name="z5648" w:id="5636"/>
    <w:p>
      <w:pPr>
        <w:spacing w:after="0"/>
        <w:ind w:left="0"/>
        <w:jc w:val="both"/>
      </w:pPr>
      <w:r>
        <w:rPr>
          <w:rFonts w:ascii="Times New Roman"/>
          <w:b w:val="false"/>
          <w:i w:val="false"/>
          <w:color w:val="000000"/>
          <w:sz w:val="28"/>
        </w:rPr>
        <w:t>
      Допускается не учитывать уступы, образованные водонепроницаемыми флорами в двойном дне.</w:t>
      </w:r>
    </w:p>
    <w:bookmarkEnd w:id="5636"/>
    <w:bookmarkStart w:name="z5649" w:id="5637"/>
    <w:p>
      <w:pPr>
        <w:spacing w:after="0"/>
        <w:ind w:left="0"/>
        <w:jc w:val="both"/>
      </w:pPr>
      <w:r>
        <w:rPr>
          <w:rFonts w:ascii="Times New Roman"/>
          <w:b w:val="false"/>
          <w:i w:val="false"/>
          <w:color w:val="000000"/>
          <w:sz w:val="28"/>
        </w:rPr>
        <w:t xml:space="preserve">
      1809. Для групп смежных отсеков значения </w:t>
      </w:r>
      <w:r>
        <w:rPr>
          <w:rFonts w:ascii="Times New Roman"/>
          <w:b w:val="false"/>
          <w:i/>
          <w:color w:val="000000"/>
          <w:sz w:val="28"/>
        </w:rPr>
        <w:t>W</w:t>
      </w:r>
      <w:r>
        <w:rPr>
          <w:rFonts w:ascii="Times New Roman"/>
          <w:b w:val="false"/>
          <w:i w:val="false"/>
          <w:color w:val="000000"/>
          <w:sz w:val="28"/>
        </w:rPr>
        <w:t xml:space="preserve"> определяются по следующим формулам:</w:t>
      </w:r>
    </w:p>
    <w:bookmarkEnd w:id="5637"/>
    <w:bookmarkStart w:name="z5650" w:id="5638"/>
    <w:p>
      <w:pPr>
        <w:spacing w:after="0"/>
        <w:ind w:left="0"/>
        <w:jc w:val="both"/>
      </w:pPr>
      <w:r>
        <w:rPr>
          <w:rFonts w:ascii="Times New Roman"/>
          <w:b w:val="false"/>
          <w:i w:val="false"/>
          <w:color w:val="000000"/>
          <w:sz w:val="28"/>
        </w:rPr>
        <w:t>
      для пар смежных отсеков</w:t>
      </w:r>
    </w:p>
    <w:bookmarkEnd w:id="563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ij</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j</w:t>
      </w:r>
      <w:r>
        <w:rPr>
          <w:rFonts w:ascii="Times New Roman"/>
          <w:b w:val="false"/>
          <w:i w:val="false"/>
          <w:color w:val="000000"/>
          <w:sz w:val="28"/>
        </w:rPr>
        <w:t>,                      (671)</w:t>
      </w:r>
    </w:p>
    <w:bookmarkStart w:name="z5651" w:id="5639"/>
    <w:p>
      <w:pPr>
        <w:spacing w:after="0"/>
        <w:ind w:left="0"/>
        <w:jc w:val="both"/>
      </w:pPr>
      <w:r>
        <w:rPr>
          <w:rFonts w:ascii="Times New Roman"/>
          <w:b w:val="false"/>
          <w:i w:val="false"/>
          <w:color w:val="000000"/>
          <w:sz w:val="28"/>
        </w:rPr>
        <w:t>
      для групп из трех смежных отсеков</w:t>
      </w:r>
    </w:p>
    <w:bookmarkEnd w:id="563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ijk</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ij</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ik</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j</w:t>
      </w:r>
      <w:r>
        <w:rPr>
          <w:rFonts w:ascii="Times New Roman"/>
          <w:b w:val="false"/>
          <w:i w:val="false"/>
          <w:color w:val="000000"/>
          <w:sz w:val="28"/>
        </w:rPr>
        <w:t>,                  (672)</w:t>
      </w:r>
    </w:p>
    <w:bookmarkStart w:name="z5652" w:id="5640"/>
    <w:p>
      <w:pPr>
        <w:spacing w:after="0"/>
        <w:ind w:left="0"/>
        <w:jc w:val="both"/>
      </w:pPr>
      <w:r>
        <w:rPr>
          <w:rFonts w:ascii="Times New Roman"/>
          <w:b w:val="false"/>
          <w:i w:val="false"/>
          <w:color w:val="000000"/>
          <w:sz w:val="28"/>
        </w:rPr>
        <w:t>
      для групп из четырех смежных отсеков</w:t>
      </w:r>
    </w:p>
    <w:bookmarkEnd w:id="564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ijkm</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ijk</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Jkm</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jk</w:t>
      </w:r>
      <w:r>
        <w:rPr>
          <w:rFonts w:ascii="Times New Roman"/>
          <w:b w:val="false"/>
          <w:i w:val="false"/>
          <w:color w:val="000000"/>
          <w:sz w:val="28"/>
        </w:rPr>
        <w:t>.                 (673)</w:t>
      </w:r>
    </w:p>
    <w:bookmarkStart w:name="z5653" w:id="5641"/>
    <w:p>
      <w:pPr>
        <w:spacing w:after="0"/>
        <w:ind w:left="0"/>
        <w:jc w:val="both"/>
      </w:pPr>
      <w:r>
        <w:rPr>
          <w:rFonts w:ascii="Times New Roman"/>
          <w:b w:val="false"/>
          <w:i w:val="false"/>
          <w:color w:val="000000"/>
          <w:sz w:val="28"/>
        </w:rPr>
        <w:t>
      В приведенных выше формулах определяются:</w:t>
      </w:r>
    </w:p>
    <w:bookmarkEnd w:id="5641"/>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для отсеков длиной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ij</w:t>
      </w:r>
      <w:r>
        <w:rPr>
          <w:rFonts w:ascii="Times New Roman"/>
          <w:b w:val="false"/>
          <w:i w:val="false"/>
          <w:color w:val="000000"/>
          <w:sz w:val="28"/>
        </w:rPr>
        <w:t>,W</w:t>
      </w:r>
      <w:r>
        <w:rPr>
          <w:rFonts w:ascii="Times New Roman"/>
          <w:b w:val="false"/>
          <w:i w:val="false"/>
          <w:color w:val="000000"/>
          <w:vertAlign w:val="subscript"/>
        </w:rPr>
        <w:t>jk</w:t>
      </w:r>
      <w:r>
        <w:rPr>
          <w:rFonts w:ascii="Times New Roman"/>
          <w:b w:val="false"/>
          <w:i w:val="false"/>
          <w:color w:val="000000"/>
          <w:sz w:val="28"/>
        </w:rPr>
        <w:t xml:space="preserve">, — для отсеков длиной </w:t>
      </w:r>
      <w:r>
        <w:rPr>
          <w:rFonts w:ascii="Times New Roman"/>
          <w:b w:val="false"/>
          <w:i/>
          <w:color w:val="000000"/>
          <w:sz w:val="28"/>
        </w:rPr>
        <w:t>l</w:t>
      </w:r>
      <w:r>
        <w:rPr>
          <w:rFonts w:ascii="Times New Roman"/>
          <w:b w:val="false"/>
          <w:i w:val="false"/>
          <w:color w:val="000000"/>
          <w:vertAlign w:val="subscript"/>
        </w:rPr>
        <w:t>ij</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jk</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 xml:space="preserve"> соответственно;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ijk</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jkm</w:t>
      </w:r>
      <w:r>
        <w:rPr>
          <w:rFonts w:ascii="Times New Roman"/>
          <w:b w:val="false"/>
          <w:i w:val="false"/>
          <w:color w:val="000000"/>
          <w:sz w:val="28"/>
        </w:rPr>
        <w:t xml:space="preserve"> — для отсеков длиной </w:t>
      </w:r>
      <w:r>
        <w:rPr>
          <w:rFonts w:ascii="Times New Roman"/>
          <w:b w:val="false"/>
          <w:i/>
          <w:color w:val="000000"/>
          <w:sz w:val="28"/>
        </w:rPr>
        <w:t>l</w:t>
      </w:r>
      <w:r>
        <w:rPr>
          <w:rFonts w:ascii="Times New Roman"/>
          <w:b w:val="false"/>
          <w:i w:val="false"/>
          <w:color w:val="000000"/>
          <w:vertAlign w:val="subscript"/>
        </w:rPr>
        <w:t>ijk</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 xml:space="preserve"> и </w:t>
      </w:r>
      <w:r>
        <w:rPr>
          <w:rFonts w:ascii="Times New Roman"/>
          <w:b w:val="false"/>
          <w:i/>
          <w:color w:val="000000"/>
          <w:sz w:val="28"/>
        </w:rPr>
        <w:t>l</w:t>
      </w:r>
      <w:r>
        <w:rPr>
          <w:rFonts w:ascii="Times New Roman"/>
          <w:b w:val="false"/>
          <w:i w:val="false"/>
          <w:color w:val="000000"/>
          <w:vertAlign w:val="subscript"/>
        </w:rPr>
        <w:t>ijm</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m</w:t>
      </w: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ijkm</w:t>
      </w:r>
      <w:r>
        <w:rPr>
          <w:rFonts w:ascii="Times New Roman"/>
          <w:b w:val="false"/>
          <w:i w:val="false"/>
          <w:color w:val="000000"/>
          <w:sz w:val="28"/>
        </w:rPr>
        <w:t xml:space="preserve"> — для отсека длиной </w:t>
      </w:r>
      <w:r>
        <w:rPr>
          <w:rFonts w:ascii="Times New Roman"/>
          <w:b w:val="false"/>
          <w:i/>
          <w:color w:val="000000"/>
          <w:sz w:val="28"/>
        </w:rPr>
        <w:t>l</w:t>
      </w:r>
      <w:r>
        <w:rPr>
          <w:rFonts w:ascii="Times New Roman"/>
          <w:b w:val="false"/>
          <w:i w:val="false"/>
          <w:color w:val="000000"/>
          <w:vertAlign w:val="subscript"/>
        </w:rPr>
        <w:t>ljkm</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w:t>
      </w:r>
      <w:r>
        <w:rPr>
          <w:rFonts w:ascii="Times New Roman"/>
          <w:b w:val="false"/>
          <w:i w:val="false"/>
          <w:color w:val="000000"/>
          <w:sz w:val="28"/>
        </w:rPr>
        <w:t>.</w:t>
      </w:r>
    </w:p>
    <w:p>
      <w:pPr>
        <w:spacing w:after="0"/>
        <w:ind w:left="0"/>
        <w:jc w:val="both"/>
      </w:pPr>
      <w:r>
        <w:rPr>
          <w:rFonts w:ascii="Times New Roman"/>
          <w:b w:val="false"/>
          <w:i w:val="false"/>
          <w:color w:val="000000"/>
          <w:sz w:val="28"/>
        </w:rPr>
        <w:t>
      Для переборок с уступами расчетные длины отсеков определяются в соответствии с приложением 226 настоящих Правил.</w:t>
      </w:r>
    </w:p>
    <w:bookmarkStart w:name="z5654" w:id="5642"/>
    <w:p>
      <w:pPr>
        <w:spacing w:after="0"/>
        <w:ind w:left="0"/>
        <w:jc w:val="both"/>
      </w:pPr>
      <w:r>
        <w:rPr>
          <w:rFonts w:ascii="Times New Roman"/>
          <w:b w:val="false"/>
          <w:i w:val="false"/>
          <w:color w:val="000000"/>
          <w:sz w:val="28"/>
        </w:rPr>
        <w:t>
      1810. При наличии продольного подразделения следует рассматривать отдельно:</w:t>
      </w:r>
    </w:p>
    <w:bookmarkEnd w:id="5642"/>
    <w:bookmarkStart w:name="z5655" w:id="5643"/>
    <w:p>
      <w:pPr>
        <w:spacing w:after="0"/>
        <w:ind w:left="0"/>
        <w:jc w:val="both"/>
      </w:pPr>
      <w:r>
        <w:rPr>
          <w:rFonts w:ascii="Times New Roman"/>
          <w:b w:val="false"/>
          <w:i w:val="false"/>
          <w:color w:val="000000"/>
          <w:sz w:val="28"/>
        </w:rPr>
        <w:t xml:space="preserve">
      1) пробоины, не повреждающие продольную переборку с вероятностью </w:t>
      </w:r>
      <w:r>
        <w:rPr>
          <w:rFonts w:ascii="Times New Roman"/>
          <w:b w:val="false"/>
          <w:i/>
          <w:color w:val="000000"/>
          <w:sz w:val="28"/>
        </w:rPr>
        <w:t>r</w:t>
      </w:r>
      <w:r>
        <w:rPr>
          <w:rFonts w:ascii="Times New Roman"/>
          <w:b w:val="false"/>
          <w:i w:val="false"/>
          <w:color w:val="000000"/>
          <w:sz w:val="28"/>
        </w:rPr>
        <w:t>, и</w:t>
      </w:r>
    </w:p>
    <w:bookmarkEnd w:id="5643"/>
    <w:bookmarkStart w:name="z5656" w:id="5644"/>
    <w:p>
      <w:pPr>
        <w:spacing w:after="0"/>
        <w:ind w:left="0"/>
        <w:jc w:val="both"/>
      </w:pPr>
      <w:r>
        <w:rPr>
          <w:rFonts w:ascii="Times New Roman"/>
          <w:b w:val="false"/>
          <w:i w:val="false"/>
          <w:color w:val="000000"/>
          <w:sz w:val="28"/>
        </w:rPr>
        <w:t xml:space="preserve">
      2) пробоины, повреждающие внутренний борт с вероятностью 1 — </w:t>
      </w:r>
      <w:r>
        <w:rPr>
          <w:rFonts w:ascii="Times New Roman"/>
          <w:b w:val="false"/>
          <w:i/>
          <w:color w:val="000000"/>
          <w:sz w:val="28"/>
        </w:rPr>
        <w:t>r</w:t>
      </w:r>
      <w:r>
        <w:rPr>
          <w:rFonts w:ascii="Times New Roman"/>
          <w:b w:val="false"/>
          <w:i w:val="false"/>
          <w:color w:val="000000"/>
          <w:sz w:val="28"/>
        </w:rPr>
        <w:t>.</w:t>
      </w:r>
    </w:p>
    <w:bookmarkEnd w:id="5644"/>
    <w:bookmarkStart w:name="z5657" w:id="5645"/>
    <w:p>
      <w:pPr>
        <w:spacing w:after="0"/>
        <w:ind w:left="0"/>
        <w:jc w:val="both"/>
      </w:pPr>
      <w:r>
        <w:rPr>
          <w:rFonts w:ascii="Times New Roman"/>
          <w:b w:val="false"/>
          <w:i w:val="false"/>
          <w:color w:val="000000"/>
          <w:sz w:val="28"/>
        </w:rPr>
        <w:t xml:space="preserve">
      1811. Величины вероятностей </w:t>
      </w:r>
      <w:r>
        <w:rPr>
          <w:rFonts w:ascii="Times New Roman"/>
          <w:b w:val="false"/>
          <w:i/>
          <w:color w:val="000000"/>
          <w:sz w:val="28"/>
        </w:rPr>
        <w:t>W</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л</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sz w:val="28"/>
        </w:rPr>
        <w:t xml:space="preserve"> определяются по формулам, приведенным в главах 119 – 122 настоящих Правил.</w:t>
      </w:r>
    </w:p>
    <w:bookmarkEnd w:id="5645"/>
    <w:bookmarkStart w:name="z5658" w:id="5646"/>
    <w:p>
      <w:pPr>
        <w:spacing w:after="0"/>
        <w:ind w:left="0"/>
        <w:jc w:val="both"/>
      </w:pPr>
      <w:r>
        <w:rPr>
          <w:rFonts w:ascii="Times New Roman"/>
          <w:b w:val="false"/>
          <w:i w:val="false"/>
          <w:color w:val="000000"/>
          <w:sz w:val="28"/>
        </w:rPr>
        <w:t xml:space="preserve">
      1812. При расчетах вероятностей </w:t>
      </w:r>
      <w:r>
        <w:rPr>
          <w:rFonts w:ascii="Times New Roman"/>
          <w:b w:val="false"/>
          <w:i/>
          <w:color w:val="000000"/>
          <w:sz w:val="28"/>
        </w:rPr>
        <w:t>s</w:t>
      </w:r>
      <w:r>
        <w:rPr>
          <w:rFonts w:ascii="Times New Roman"/>
          <w:b w:val="false"/>
          <w:i w:val="false"/>
          <w:color w:val="000000"/>
          <w:sz w:val="28"/>
        </w:rPr>
        <w:t xml:space="preserve"> принимается, что:</w:t>
      </w:r>
    </w:p>
    <w:bookmarkEnd w:id="5646"/>
    <w:bookmarkStart w:name="z5659" w:id="5647"/>
    <w:p>
      <w:pPr>
        <w:spacing w:after="0"/>
        <w:ind w:left="0"/>
        <w:jc w:val="both"/>
      </w:pPr>
      <w:r>
        <w:rPr>
          <w:rFonts w:ascii="Times New Roman"/>
          <w:b w:val="false"/>
          <w:i w:val="false"/>
          <w:color w:val="000000"/>
          <w:sz w:val="28"/>
        </w:rPr>
        <w:t>
      1) судно до повреждения не имеет дифферента; возвышение центра тяжести для каждой расчетной осадки не ниже максимально допустимого, полученного с учетом обеспечения выполнения требований раздела 6 настоящих Правил и требований настоящей части;</w:t>
      </w:r>
    </w:p>
    <w:bookmarkEnd w:id="5647"/>
    <w:bookmarkStart w:name="z5660" w:id="5648"/>
    <w:p>
      <w:pPr>
        <w:spacing w:after="0"/>
        <w:ind w:left="0"/>
        <w:jc w:val="both"/>
      </w:pPr>
      <w:r>
        <w:rPr>
          <w:rFonts w:ascii="Times New Roman"/>
          <w:b w:val="false"/>
          <w:i w:val="false"/>
          <w:color w:val="000000"/>
          <w:sz w:val="28"/>
        </w:rPr>
        <w:t>
      2) коэффициенты проницаемости негрузовых помещений равны указанным в главе 117, а грузовых — принимаются в соответствии с указаниями глав 119 – 122 настоящих Правил.</w:t>
      </w:r>
    </w:p>
    <w:bookmarkEnd w:id="5648"/>
    <w:bookmarkStart w:name="z5661" w:id="5649"/>
    <w:p>
      <w:pPr>
        <w:spacing w:after="0"/>
        <w:ind w:left="0"/>
        <w:jc w:val="both"/>
      </w:pPr>
      <w:r>
        <w:rPr>
          <w:rFonts w:ascii="Times New Roman"/>
          <w:b w:val="false"/>
          <w:i w:val="false"/>
          <w:color w:val="000000"/>
          <w:sz w:val="28"/>
        </w:rPr>
        <w:t>
      Если учитывается прогрессирующее затопление вследствие входа в воду отверстий, ведущих в неповрежденные помещения и указанных в пункте 1859 настоящих Правил, то при определении вероятности s учитываются элементы аварийной посадки и остойчивости судна при дополнительном затоплении соответствующих неповрежденных помещений.</w:t>
      </w:r>
    </w:p>
    <w:bookmarkEnd w:id="5649"/>
    <w:bookmarkStart w:name="z5662" w:id="5650"/>
    <w:p>
      <w:pPr>
        <w:spacing w:after="0"/>
        <w:ind w:left="0"/>
        <w:jc w:val="left"/>
      </w:pPr>
      <w:r>
        <w:rPr>
          <w:rFonts w:ascii="Times New Roman"/>
          <w:b/>
          <w:i w:val="false"/>
          <w:color w:val="000000"/>
        </w:rPr>
        <w:t xml:space="preserve"> Глава 119. Вероятностная оценка деления на отсеки пассажирских судов</w:t>
      </w:r>
    </w:p>
    <w:bookmarkEnd w:id="5650"/>
    <w:p>
      <w:pPr>
        <w:spacing w:after="0"/>
        <w:ind w:left="0"/>
        <w:jc w:val="both"/>
      </w:pPr>
      <w:r>
        <w:rPr>
          <w:rFonts w:ascii="Times New Roman"/>
          <w:b w:val="false"/>
          <w:i w:val="false"/>
          <w:color w:val="ff0000"/>
          <w:sz w:val="28"/>
        </w:rPr>
        <w:t xml:space="preserve">
      Сноска. Заголовок главы 119 -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63" w:id="5651"/>
    <w:p>
      <w:pPr>
        <w:spacing w:after="0"/>
        <w:ind w:left="0"/>
        <w:jc w:val="both"/>
      </w:pPr>
      <w:r>
        <w:rPr>
          <w:rFonts w:ascii="Times New Roman"/>
          <w:b w:val="false"/>
          <w:i w:val="false"/>
          <w:color w:val="000000"/>
          <w:sz w:val="28"/>
        </w:rPr>
        <w:t>
      1813. Требования настоящей главы распространяются на:</w:t>
      </w:r>
    </w:p>
    <w:bookmarkEnd w:id="5651"/>
    <w:bookmarkStart w:name="z5664" w:id="5652"/>
    <w:p>
      <w:pPr>
        <w:spacing w:after="0"/>
        <w:ind w:left="0"/>
        <w:jc w:val="both"/>
      </w:pPr>
      <w:r>
        <w:rPr>
          <w:rFonts w:ascii="Times New Roman"/>
          <w:b w:val="false"/>
          <w:i w:val="false"/>
          <w:color w:val="000000"/>
          <w:sz w:val="28"/>
        </w:rPr>
        <w:t>
      1) пассажирские суда;</w:t>
      </w:r>
    </w:p>
    <w:bookmarkEnd w:id="5652"/>
    <w:bookmarkStart w:name="z5665" w:id="5653"/>
    <w:p>
      <w:pPr>
        <w:spacing w:after="0"/>
        <w:ind w:left="0"/>
        <w:jc w:val="both"/>
      </w:pPr>
      <w:r>
        <w:rPr>
          <w:rFonts w:ascii="Times New Roman"/>
          <w:b w:val="false"/>
          <w:i w:val="false"/>
          <w:color w:val="000000"/>
          <w:sz w:val="28"/>
        </w:rPr>
        <w:t>
      2) суда специального назначения со специальным персоналом на борту более 200 человек;</w:t>
      </w:r>
    </w:p>
    <w:bookmarkEnd w:id="5653"/>
    <w:bookmarkStart w:name="z5666" w:id="5654"/>
    <w:p>
      <w:pPr>
        <w:spacing w:after="0"/>
        <w:ind w:left="0"/>
        <w:jc w:val="both"/>
      </w:pPr>
      <w:r>
        <w:rPr>
          <w:rFonts w:ascii="Times New Roman"/>
          <w:b w:val="false"/>
          <w:i w:val="false"/>
          <w:color w:val="000000"/>
          <w:sz w:val="28"/>
        </w:rPr>
        <w:t>
      3) накатные суда, если на них предусмотрена перевозка колесной техники с сопровождающим ее персоналом в количестве более 12 человек, включая в это число пассажиров.</w:t>
      </w:r>
    </w:p>
    <w:bookmarkEnd w:id="5654"/>
    <w:bookmarkStart w:name="z5667" w:id="5655"/>
    <w:p>
      <w:pPr>
        <w:spacing w:after="0"/>
        <w:ind w:left="0"/>
        <w:jc w:val="both"/>
      </w:pPr>
      <w:r>
        <w:rPr>
          <w:rFonts w:ascii="Times New Roman"/>
          <w:b w:val="false"/>
          <w:i w:val="false"/>
          <w:color w:val="000000"/>
          <w:sz w:val="28"/>
        </w:rPr>
        <w:t>
      При проверке выполнения требований настоящей главы следует учитывать требования главы 118 настоящих Правил.</w:t>
      </w:r>
    </w:p>
    <w:bookmarkEnd w:id="5655"/>
    <w:bookmarkStart w:name="z5668" w:id="5656"/>
    <w:p>
      <w:pPr>
        <w:spacing w:after="0"/>
        <w:ind w:left="0"/>
        <w:jc w:val="both"/>
      </w:pPr>
      <w:r>
        <w:rPr>
          <w:rFonts w:ascii="Times New Roman"/>
          <w:b w:val="false"/>
          <w:i w:val="false"/>
          <w:color w:val="000000"/>
          <w:sz w:val="28"/>
        </w:rPr>
        <w:t>
      1814. Требуемый индекс деления на отсеки R определяется по формуле:</w:t>
      </w:r>
    </w:p>
    <w:bookmarkEnd w:id="56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3"/>
                    <a:stretch>
                      <a:fillRect/>
                    </a:stretch>
                  </pic:blipFill>
                  <pic:spPr>
                    <a:xfrm>
                      <a:off x="0" y="0"/>
                      <a:ext cx="6502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число людей, обеспеченных местами в спасательных шлюпках из общего числа людей, предусмотренных для нахождения на борту судна в рейсе;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число людей (включая экипаж), которых разрешено перевозить на судне в превышение числа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w:t>
      </w:r>
    </w:p>
    <w:bookmarkStart w:name="z5669" w:id="5657"/>
    <w:p>
      <w:pPr>
        <w:spacing w:after="0"/>
        <w:ind w:left="0"/>
        <w:jc w:val="both"/>
      </w:pPr>
      <w:r>
        <w:rPr>
          <w:rFonts w:ascii="Times New Roman"/>
          <w:b w:val="false"/>
          <w:i w:val="false"/>
          <w:color w:val="000000"/>
          <w:sz w:val="28"/>
        </w:rPr>
        <w:t xml:space="preserve">
      1815. Вероятность </w:t>
      </w:r>
      <w:r>
        <w:rPr>
          <w:rFonts w:ascii="Times New Roman"/>
          <w:b w:val="false"/>
          <w:i/>
          <w:color w:val="000000"/>
          <w:sz w:val="28"/>
        </w:rPr>
        <w:t>W</w:t>
      </w:r>
      <w:r>
        <w:rPr>
          <w:rFonts w:ascii="Times New Roman"/>
          <w:b w:val="false"/>
          <w:i w:val="false"/>
          <w:color w:val="000000"/>
          <w:sz w:val="28"/>
        </w:rPr>
        <w:t xml:space="preserve"> затопления отсека, ограниченного поперечными переборками, равна величине </w:t>
      </w:r>
      <w:r>
        <w:rPr>
          <w:rFonts w:ascii="Times New Roman"/>
          <w:b w:val="false"/>
          <w:i/>
          <w:color w:val="000000"/>
          <w:sz w:val="28"/>
        </w:rPr>
        <w:t>ар</w:t>
      </w:r>
      <w:r>
        <w:rPr>
          <w:rFonts w:ascii="Times New Roman"/>
          <w:b w:val="false"/>
          <w:i w:val="false"/>
          <w:color w:val="000000"/>
          <w:sz w:val="28"/>
        </w:rPr>
        <w:t>.</w:t>
      </w:r>
    </w:p>
    <w:bookmarkEnd w:id="5657"/>
    <w:bookmarkStart w:name="z5670" w:id="5658"/>
    <w:p>
      <w:pPr>
        <w:spacing w:after="0"/>
        <w:ind w:left="0"/>
        <w:jc w:val="both"/>
      </w:pPr>
      <w:r>
        <w:rPr>
          <w:rFonts w:ascii="Times New Roman"/>
          <w:b w:val="false"/>
          <w:i w:val="false"/>
          <w:color w:val="000000"/>
          <w:sz w:val="28"/>
        </w:rPr>
        <w:t xml:space="preserve">
      Значение </w:t>
      </w:r>
      <w:r>
        <w:rPr>
          <w:rFonts w:ascii="Times New Roman"/>
          <w:b w:val="false"/>
          <w:i/>
          <w:color w:val="000000"/>
          <w:sz w:val="28"/>
        </w:rPr>
        <w:t>а</w:t>
      </w:r>
      <w:r>
        <w:rPr>
          <w:rFonts w:ascii="Times New Roman"/>
          <w:b w:val="false"/>
          <w:i w:val="false"/>
          <w:color w:val="000000"/>
          <w:sz w:val="28"/>
        </w:rPr>
        <w:t xml:space="preserve"> определяет влияние на указанную вероятность положения отсека по длине судна с учетом закона распределения абсцисс середины пробоины, значение </w:t>
      </w:r>
      <w:r>
        <w:rPr>
          <w:rFonts w:ascii="Times New Roman"/>
          <w:b w:val="false"/>
          <w:i/>
          <w:color w:val="000000"/>
          <w:sz w:val="28"/>
        </w:rPr>
        <w:t>р</w:t>
      </w:r>
      <w:r>
        <w:rPr>
          <w:rFonts w:ascii="Times New Roman"/>
          <w:b w:val="false"/>
          <w:i w:val="false"/>
          <w:color w:val="000000"/>
          <w:sz w:val="28"/>
        </w:rPr>
        <w:t xml:space="preserve"> — влияние протяженности отсека с учетом закона распределения длины пробоины.</w:t>
      </w:r>
    </w:p>
    <w:bookmarkEnd w:id="5658"/>
    <w:bookmarkStart w:name="z5671" w:id="5659"/>
    <w:p>
      <w:pPr>
        <w:spacing w:after="0"/>
        <w:ind w:left="0"/>
        <w:jc w:val="both"/>
      </w:pPr>
      <w:r>
        <w:rPr>
          <w:rFonts w:ascii="Times New Roman"/>
          <w:b w:val="false"/>
          <w:i w:val="false"/>
          <w:color w:val="000000"/>
          <w:sz w:val="28"/>
        </w:rPr>
        <w:t xml:space="preserve">
      1816. Величина </w:t>
      </w:r>
      <w:r>
        <w:rPr>
          <w:rFonts w:ascii="Times New Roman"/>
          <w:b w:val="false"/>
          <w:i/>
          <w:color w:val="000000"/>
          <w:sz w:val="28"/>
        </w:rPr>
        <w:t>а</w:t>
      </w:r>
      <w:r>
        <w:rPr>
          <w:rFonts w:ascii="Times New Roman"/>
          <w:b w:val="false"/>
          <w:i w:val="false"/>
          <w:color w:val="000000"/>
          <w:sz w:val="28"/>
        </w:rPr>
        <w:t xml:space="preserve"> определяется для каждого отсека или группы смежных отсеков по формуле:</w:t>
      </w:r>
    </w:p>
    <w:bookmarkEnd w:id="56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4"/>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1 — расстояние от крайней кормовой точки корпуса судна на уровне или ниже палубы переборок до кормовой переборки рассматриваемого отсека или группы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2 - расстояние от крайней кормовой точки корпуса до носовой переборки рассматриваемого отсека или группы отсеков.</w:t>
      </w:r>
    </w:p>
    <w:bookmarkStart w:name="z5672" w:id="5660"/>
    <w:p>
      <w:pPr>
        <w:spacing w:after="0"/>
        <w:ind w:left="0"/>
        <w:jc w:val="both"/>
      </w:pPr>
      <w:r>
        <w:rPr>
          <w:rFonts w:ascii="Times New Roman"/>
          <w:b w:val="false"/>
          <w:i w:val="false"/>
          <w:color w:val="000000"/>
          <w:sz w:val="28"/>
        </w:rPr>
        <w:t xml:space="preserve">
      1817. Величина </w:t>
      </w:r>
      <w:r>
        <w:rPr>
          <w:rFonts w:ascii="Times New Roman"/>
          <w:b w:val="false"/>
          <w:i/>
          <w:color w:val="000000"/>
          <w:sz w:val="28"/>
        </w:rPr>
        <w:t>р</w:t>
      </w:r>
      <w:r>
        <w:rPr>
          <w:rFonts w:ascii="Times New Roman"/>
          <w:b w:val="false"/>
          <w:i w:val="false"/>
          <w:color w:val="000000"/>
          <w:sz w:val="28"/>
        </w:rPr>
        <w:t xml:space="preserve"> определяется по формулам:</w:t>
      </w:r>
    </w:p>
    <w:bookmarkEnd w:id="5660"/>
    <w:p>
      <w:pPr>
        <w:spacing w:after="0"/>
        <w:ind w:left="0"/>
        <w:jc w:val="both"/>
      </w:pPr>
      <w:r>
        <w:rPr>
          <w:rFonts w:ascii="Times New Roman"/>
          <w:b w:val="false"/>
          <w:i w:val="false"/>
          <w:color w:val="000000"/>
          <w:sz w:val="28"/>
        </w:rPr>
        <w:t>
      при 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200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5"/>
                    <a:stretch>
                      <a:fillRect/>
                    </a:stretch>
                  </pic:blipFill>
                  <pic:spPr>
                    <a:xfrm>
                      <a:off x="0" y="0"/>
                      <a:ext cx="5461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L</w:t>
      </w:r>
      <w:r>
        <w:rPr>
          <w:rFonts w:ascii="Times New Roman"/>
          <w:b w:val="false"/>
          <w:i w:val="false"/>
          <w:color w:val="000000"/>
          <w:vertAlign w:val="subscript"/>
        </w:rPr>
        <w:t>s</w:t>
      </w:r>
      <w:r>
        <w:rPr>
          <w:rFonts w:ascii="Times New Roman"/>
          <w:b w:val="false"/>
          <w:i w:val="false"/>
          <w:color w:val="000000"/>
          <w:sz w:val="28"/>
        </w:rPr>
        <w:t xml:space="preserve"> &gt; 200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6"/>
                    <a:stretch>
                      <a:fillRect/>
                    </a:stretch>
                  </pic:blipFill>
                  <pic:spPr>
                    <a:xfrm>
                      <a:off x="0" y="0"/>
                      <a:ext cx="6273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отсека или группы смежных отсеков, определяемая с учетом пункта 1807 настоящих Правил.</w:t>
      </w:r>
    </w:p>
    <w:bookmarkStart w:name="z5673" w:id="5661"/>
    <w:p>
      <w:pPr>
        <w:spacing w:after="0"/>
        <w:ind w:left="0"/>
        <w:jc w:val="both"/>
      </w:pPr>
      <w:r>
        <w:rPr>
          <w:rFonts w:ascii="Times New Roman"/>
          <w:b w:val="false"/>
          <w:i w:val="false"/>
          <w:color w:val="000000"/>
          <w:sz w:val="28"/>
        </w:rPr>
        <w:t>
      1818. При наличии продольного подразделения:</w:t>
      </w:r>
    </w:p>
    <w:bookmarkEnd w:id="5661"/>
    <w:bookmarkStart w:name="z5674" w:id="5662"/>
    <w:p>
      <w:pPr>
        <w:spacing w:after="0"/>
        <w:ind w:left="0"/>
        <w:jc w:val="both"/>
      </w:pPr>
      <w:r>
        <w:rPr>
          <w:rFonts w:ascii="Times New Roman"/>
          <w:b w:val="false"/>
          <w:i w:val="false"/>
          <w:color w:val="000000"/>
          <w:sz w:val="28"/>
        </w:rPr>
        <w:t>
      1) вероятность W затопления бортового отсека</w:t>
      </w:r>
    </w:p>
    <w:bookmarkEnd w:id="5662"/>
    <w:p>
      <w:pPr>
        <w:spacing w:after="0"/>
        <w:ind w:left="0"/>
        <w:jc w:val="both"/>
      </w:pPr>
      <w:r>
        <w:rPr>
          <w:rFonts w:ascii="Times New Roman"/>
          <w:b w:val="false"/>
          <w:i w:val="false"/>
          <w:color w:val="000000"/>
          <w:sz w:val="28"/>
        </w:rPr>
        <w:t>
                                          W=rap                       (680)</w:t>
      </w:r>
    </w:p>
    <w:p>
      <w:pPr>
        <w:spacing w:after="0"/>
        <w:ind w:left="0"/>
        <w:jc w:val="both"/>
      </w:pPr>
      <w:r>
        <w:rPr>
          <w:rFonts w:ascii="Times New Roman"/>
          <w:b w:val="false"/>
          <w:i w:val="false"/>
          <w:color w:val="000000"/>
          <w:sz w:val="28"/>
        </w:rPr>
        <w:t>
      и бортового отсека совместно с центральным</w:t>
      </w:r>
    </w:p>
    <w:p>
      <w:pPr>
        <w:spacing w:after="0"/>
        <w:ind w:left="0"/>
        <w:jc w:val="both"/>
      </w:pPr>
      <w:r>
        <w:rPr>
          <w:rFonts w:ascii="Times New Roman"/>
          <w:b w:val="false"/>
          <w:i w:val="false"/>
          <w:color w:val="000000"/>
          <w:sz w:val="28"/>
        </w:rPr>
        <w:t>
                                          W=(1 - r)ap;                (681)</w:t>
      </w:r>
    </w:p>
    <w:bookmarkStart w:name="z5675" w:id="5663"/>
    <w:p>
      <w:pPr>
        <w:spacing w:after="0"/>
        <w:ind w:left="0"/>
        <w:jc w:val="both"/>
      </w:pPr>
      <w:r>
        <w:rPr>
          <w:rFonts w:ascii="Times New Roman"/>
          <w:b w:val="false"/>
          <w:i w:val="false"/>
          <w:color w:val="000000"/>
          <w:sz w:val="28"/>
        </w:rPr>
        <w:t>
      2) величина а определяется согласно пункту 1816 настоящих Правил,</w:t>
      </w:r>
    </w:p>
    <w:bookmarkEnd w:id="5663"/>
    <w:bookmarkStart w:name="z5676" w:id="5664"/>
    <w:p>
      <w:pPr>
        <w:spacing w:after="0"/>
        <w:ind w:left="0"/>
        <w:jc w:val="both"/>
      </w:pPr>
      <w:r>
        <w:rPr>
          <w:rFonts w:ascii="Times New Roman"/>
          <w:b w:val="false"/>
          <w:i w:val="false"/>
          <w:color w:val="000000"/>
          <w:sz w:val="28"/>
        </w:rPr>
        <w:t>
      величина р — согласно пункту 1817 настоящих Правил;</w:t>
      </w:r>
    </w:p>
    <w:bookmarkEnd w:id="5664"/>
    <w:bookmarkStart w:name="z5677" w:id="5665"/>
    <w:p>
      <w:pPr>
        <w:spacing w:after="0"/>
        <w:ind w:left="0"/>
        <w:jc w:val="both"/>
      </w:pPr>
      <w:r>
        <w:rPr>
          <w:rFonts w:ascii="Times New Roman"/>
          <w:b w:val="false"/>
          <w:i w:val="false"/>
          <w:color w:val="000000"/>
          <w:sz w:val="28"/>
        </w:rPr>
        <w:t>
      3) вероятность r определяется по формулам:</w:t>
      </w:r>
    </w:p>
    <w:bookmarkEnd w:id="5665"/>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0,2b/B</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26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7"/>
                    <a:stretch>
                      <a:fillRect/>
                    </a:stretch>
                  </pic:blipFill>
                  <pic:spPr>
                    <a:xfrm>
                      <a:off x="0" y="0"/>
                      <a:ext cx="5626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w:t>
      </w:r>
      <w:r>
        <w:rPr>
          <w:rFonts w:ascii="Times New Roman"/>
          <w:b w:val="false"/>
          <w:i/>
          <w:color w:val="000000"/>
          <w:sz w:val="28"/>
        </w:rPr>
        <w:t>l</w:t>
      </w:r>
      <w:r>
        <w:rPr>
          <w:rFonts w:ascii="Times New Roman"/>
          <w:b w:val="false"/>
          <w:i w:val="false"/>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&lt;0,2b/B значение r определяется линейной интерполяцией при условии, что при </w:t>
      </w:r>
      <w:r>
        <w:rPr>
          <w:rFonts w:ascii="Times New Roman"/>
          <w:b w:val="false"/>
          <w:i/>
          <w:color w:val="000000"/>
          <w:sz w:val="28"/>
        </w:rPr>
        <w:t>l</w:t>
      </w:r>
      <w:r>
        <w:rPr>
          <w:rFonts w:ascii="Times New Roman"/>
          <w:b w:val="false"/>
          <w:i w:val="false"/>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0, r = 1,0, а при </w:t>
      </w:r>
      <w:r>
        <w:rPr>
          <w:rFonts w:ascii="Times New Roman"/>
          <w:b w:val="false"/>
          <w:i/>
          <w:color w:val="000000"/>
          <w:sz w:val="28"/>
        </w:rPr>
        <w:t>l</w:t>
      </w:r>
      <w:r>
        <w:rPr>
          <w:rFonts w:ascii="Times New Roman"/>
          <w:b w:val="false"/>
          <w:i w:val="false"/>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0,2b/В значение r определяется по формулам (682), (683) настоящих Правил.</w:t>
      </w:r>
    </w:p>
    <w:bookmarkStart w:name="z5678" w:id="5666"/>
    <w:p>
      <w:pPr>
        <w:spacing w:after="0"/>
        <w:ind w:left="0"/>
        <w:jc w:val="both"/>
      </w:pPr>
      <w:r>
        <w:rPr>
          <w:rFonts w:ascii="Times New Roman"/>
          <w:b w:val="false"/>
          <w:i w:val="false"/>
          <w:color w:val="000000"/>
          <w:sz w:val="28"/>
        </w:rPr>
        <w:t>
      В формулах (682), (683) настоящих Правил b — измеренное под прямым углом к диаметральной плоскости расстояние между наружной обшивкой (на уровне ватерлинии деления судна на отсеки) и ближайшей к наружной обшивке частью продольной водонепроницаемой переборки (приложение 227 настоящих Правил).</w:t>
      </w:r>
    </w:p>
    <w:bookmarkEnd w:id="5666"/>
    <w:bookmarkStart w:name="z5679" w:id="5667"/>
    <w:p>
      <w:pPr>
        <w:spacing w:after="0"/>
        <w:ind w:left="0"/>
        <w:jc w:val="both"/>
      </w:pPr>
      <w:r>
        <w:rPr>
          <w:rFonts w:ascii="Times New Roman"/>
          <w:b w:val="false"/>
          <w:i w:val="false"/>
          <w:color w:val="000000"/>
          <w:sz w:val="28"/>
        </w:rPr>
        <w:t>
      1819. Величина s определяется по формуле:</w:t>
      </w:r>
    </w:p>
    <w:bookmarkEnd w:id="5667"/>
    <w:p>
      <w:pPr>
        <w:spacing w:after="0"/>
        <w:ind w:left="0"/>
        <w:jc w:val="both"/>
      </w:pPr>
      <w:r>
        <w:rPr>
          <w:rFonts w:ascii="Times New Roman"/>
          <w:b w:val="false"/>
          <w:i w:val="false"/>
          <w:color w:val="000000"/>
          <w:sz w:val="28"/>
        </w:rPr>
        <w:t>
                              s = 0,45</w:t>
      </w:r>
      <w:r>
        <w:rPr>
          <w:rFonts w:ascii="Times New Roman"/>
          <w:b w:val="false"/>
          <w:i w:val="false"/>
          <w:color w:val="000000"/>
          <w:vertAlign w:val="subscript"/>
        </w:rPr>
        <w:t>s1</w:t>
      </w:r>
      <w:r>
        <w:rPr>
          <w:rFonts w:ascii="Times New Roman"/>
          <w:b w:val="false"/>
          <w:i w:val="false"/>
          <w:color w:val="000000"/>
          <w:sz w:val="28"/>
        </w:rPr>
        <w:t>+0,33</w:t>
      </w:r>
      <w:r>
        <w:rPr>
          <w:rFonts w:ascii="Times New Roman"/>
          <w:b w:val="false"/>
          <w:i w:val="false"/>
          <w:color w:val="000000"/>
          <w:vertAlign w:val="subscript"/>
        </w:rPr>
        <w:t>s2</w:t>
      </w:r>
      <w:r>
        <w:rPr>
          <w:rFonts w:ascii="Times New Roman"/>
          <w:b w:val="false"/>
          <w:i w:val="false"/>
          <w:color w:val="000000"/>
          <w:sz w:val="28"/>
        </w:rPr>
        <w:t xml:space="preserve"> + 0,22</w:t>
      </w:r>
      <w:r>
        <w:rPr>
          <w:rFonts w:ascii="Times New Roman"/>
          <w:b w:val="false"/>
          <w:i w:val="false"/>
          <w:color w:val="000000"/>
          <w:vertAlign w:val="subscript"/>
        </w:rPr>
        <w:t>s3</w:t>
      </w:r>
      <w:r>
        <w:rPr>
          <w:rFonts w:ascii="Times New Roman"/>
          <w:b w:val="false"/>
          <w:i w:val="false"/>
          <w:color w:val="000000"/>
          <w:sz w:val="28"/>
        </w:rPr>
        <w:t>,               (684)</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1</w:t>
      </w:r>
      <w:r>
        <w:rPr>
          <w:rFonts w:ascii="Times New Roman"/>
          <w:b w:val="false"/>
          <w:i w:val="false"/>
          <w:color w:val="000000"/>
          <w:sz w:val="28"/>
        </w:rPr>
        <w:t xml:space="preserve"> определяется при осадке d</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определяется при осадке d</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xml:space="preserve"> определяется при осадке d</w:t>
      </w:r>
      <w:r>
        <w:rPr>
          <w:rFonts w:ascii="Times New Roman"/>
          <w:b w:val="false"/>
          <w:i w:val="false"/>
          <w:color w:val="000000"/>
          <w:vertAlign w:val="subscript"/>
        </w:rPr>
        <w:t>3</w:t>
      </w:r>
      <w:r>
        <w:rPr>
          <w:rFonts w:ascii="Times New Roman"/>
          <w:b w:val="false"/>
          <w:i w:val="false"/>
          <w:color w:val="000000"/>
          <w:sz w:val="28"/>
        </w:rPr>
        <w:t>.</w:t>
      </w:r>
    </w:p>
    <w:bookmarkStart w:name="z5680" w:id="5668"/>
    <w:p>
      <w:pPr>
        <w:spacing w:after="0"/>
        <w:ind w:left="0"/>
        <w:jc w:val="both"/>
      </w:pPr>
      <w:r>
        <w:rPr>
          <w:rFonts w:ascii="Times New Roman"/>
          <w:b w:val="false"/>
          <w:i w:val="false"/>
          <w:color w:val="000000"/>
          <w:sz w:val="28"/>
        </w:rPr>
        <w:t>
      1820. Осадки d</w:t>
      </w:r>
      <w:r>
        <w:rPr>
          <w:rFonts w:ascii="Times New Roman"/>
          <w:b w:val="false"/>
          <w:i w:val="false"/>
          <w:color w:val="000000"/>
          <w:vertAlign w:val="subscript"/>
        </w:rPr>
        <w:t>j</w:t>
      </w:r>
      <w:r>
        <w:rPr>
          <w:rFonts w:ascii="Times New Roman"/>
          <w:b w:val="false"/>
          <w:i w:val="false"/>
          <w:color w:val="000000"/>
          <w:sz w:val="28"/>
        </w:rPr>
        <w:t>, определяются по формулам:</w:t>
      </w:r>
    </w:p>
    <w:bookmarkEnd w:id="56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8"/>
                    <a:stretch>
                      <a:fillRect/>
                    </a:stretch>
                  </pic:blipFill>
                  <pic:spPr>
                    <a:xfrm>
                      <a:off x="0" y="0"/>
                      <a:ext cx="5359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1" w:id="5669"/>
    <w:p>
      <w:pPr>
        <w:spacing w:after="0"/>
        <w:ind w:left="0"/>
        <w:jc w:val="both"/>
      </w:pPr>
      <w:r>
        <w:rPr>
          <w:rFonts w:ascii="Times New Roman"/>
          <w:b w:val="false"/>
          <w:i w:val="false"/>
          <w:color w:val="000000"/>
          <w:sz w:val="28"/>
        </w:rPr>
        <w:t>
      1821. При расчетах, выполняемых для определения вероятностей s</w:t>
      </w:r>
      <w:r>
        <w:rPr>
          <w:rFonts w:ascii="Times New Roman"/>
          <w:b w:val="false"/>
          <w:i w:val="false"/>
          <w:color w:val="000000"/>
          <w:vertAlign w:val="subscript"/>
        </w:rPr>
        <w:t>j</w:t>
      </w:r>
      <w:r>
        <w:rPr>
          <w:rFonts w:ascii="Times New Roman"/>
          <w:b w:val="false"/>
          <w:i w:val="false"/>
          <w:color w:val="000000"/>
          <w:sz w:val="28"/>
        </w:rPr>
        <w:t>:</w:t>
      </w:r>
    </w:p>
    <w:bookmarkEnd w:id="5669"/>
    <w:bookmarkStart w:name="z5682" w:id="5670"/>
    <w:p>
      <w:pPr>
        <w:spacing w:after="0"/>
        <w:ind w:left="0"/>
        <w:jc w:val="both"/>
      </w:pPr>
      <w:r>
        <w:rPr>
          <w:rFonts w:ascii="Times New Roman"/>
          <w:b w:val="false"/>
          <w:i w:val="false"/>
          <w:color w:val="000000"/>
          <w:sz w:val="28"/>
        </w:rPr>
        <w:t xml:space="preserve">
      1) коэффициенты проницаемости </w:t>
      </w:r>
    </w:p>
    <w:bookmarkEnd w:id="5670"/>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9"/>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j</w:t>
      </w:r>
      <w:r>
        <w:rPr>
          <w:rFonts w:ascii="Times New Roman"/>
          <w:b w:val="false"/>
          <w:i w:val="false"/>
          <w:color w:val="000000"/>
          <w:sz w:val="28"/>
        </w:rPr>
        <w:t>, грузовых помещений принимаются равными:</w:t>
      </w:r>
      <w:r>
        <w:br/>
      </w:r>
      <w:r>
        <w:rPr>
          <w:rFonts w:ascii="Times New Roman"/>
          <w:b w:val="false"/>
          <w:i w:val="false"/>
          <w:color w:val="000000"/>
          <w:sz w:val="28"/>
        </w:rPr>
        <w:t>
</w:t>
      </w:r>
      <w:r>
        <w:br/>
      </w:r>
    </w:p>
    <w:p>
      <w:pPr>
        <w:spacing w:after="0"/>
        <w:ind w:left="0"/>
        <w:jc w:val="both"/>
      </w:pPr>
      <w:r>
        <w:drawing>
          <wp:inline distT="0" distB="0" distL="0" distR="0">
            <wp:extent cx="530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0"/>
                    <a:stretch>
                      <a:fillRect/>
                    </a:stretch>
                  </pic:blipFill>
                  <pic:spPr>
                    <a:xfrm>
                      <a:off x="0" y="0"/>
                      <a:ext cx="530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3" w:id="5671"/>
    <w:p>
      <w:pPr>
        <w:spacing w:after="0"/>
        <w:ind w:left="0"/>
        <w:jc w:val="both"/>
      </w:pPr>
      <w:r>
        <w:rPr>
          <w:rFonts w:ascii="Times New Roman"/>
          <w:b w:val="false"/>
          <w:i w:val="false"/>
          <w:color w:val="000000"/>
          <w:sz w:val="28"/>
        </w:rPr>
        <w:t>
      но не более 0,95 и не менее 0,60;</w:t>
      </w:r>
    </w:p>
    <w:bookmarkEnd w:id="5671"/>
    <w:bookmarkStart w:name="z5684" w:id="5672"/>
    <w:p>
      <w:pPr>
        <w:spacing w:after="0"/>
        <w:ind w:left="0"/>
        <w:jc w:val="both"/>
      </w:pPr>
      <w:r>
        <w:rPr>
          <w:rFonts w:ascii="Times New Roman"/>
          <w:b w:val="false"/>
          <w:i w:val="false"/>
          <w:color w:val="000000"/>
          <w:sz w:val="28"/>
        </w:rPr>
        <w:t xml:space="preserve">
      2) для помещений, предназначенных для груза, загружаемого накатом (для пассажирских накатных судов), коэффициент проницаемости </w:t>
      </w:r>
    </w:p>
    <w:bookmarkEnd w:id="5672"/>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j</w:t>
      </w:r>
      <w:r>
        <w:rPr>
          <w:rFonts w:ascii="Times New Roman"/>
          <w:b w:val="false"/>
          <w:i w:val="false"/>
          <w:color w:val="000000"/>
          <w:sz w:val="28"/>
        </w:rPr>
        <w:t xml:space="preserve"> принимается равным 0,9. Проницаемость грузовых помещений, предназначенных для размещения грузовых транспортных средств и контейнеров, устанавливается, исходя из наихудших условий эксплуатации, путем расчетов, в которых предполагается, что грузовые транспортные средства и контейнеры не являются водонепроницаемыми, и их проницаемость принимается равной 0,65. Для судов, занятых специализированными перевозками, может применяться фактическая величина проницаемости контейнеров и грузовых транспортных средств. Однако проницаемость грузовых помещений, в которых перевозятся транспортные средства и контейнеры, не принимается менее 0,60.</w:t>
      </w:r>
      <w:r>
        <w:br/>
      </w:r>
      <w:r>
        <w:rPr>
          <w:rFonts w:ascii="Times New Roman"/>
          <w:b w:val="false"/>
          <w:i w:val="false"/>
          <w:color w:val="000000"/>
          <w:sz w:val="28"/>
        </w:rPr>
        <w:t>
</w:t>
      </w:r>
    </w:p>
    <w:bookmarkStart w:name="z5685" w:id="5673"/>
    <w:p>
      <w:pPr>
        <w:spacing w:after="0"/>
        <w:ind w:left="0"/>
        <w:jc w:val="both"/>
      </w:pPr>
      <w:r>
        <w:rPr>
          <w:rFonts w:ascii="Times New Roman"/>
          <w:b w:val="false"/>
          <w:i w:val="false"/>
          <w:color w:val="000000"/>
          <w:sz w:val="28"/>
        </w:rPr>
        <w:t>
      1822. Вероятность s</w:t>
      </w:r>
      <w:r>
        <w:rPr>
          <w:rFonts w:ascii="Times New Roman"/>
          <w:b w:val="false"/>
          <w:i w:val="false"/>
          <w:color w:val="000000"/>
          <w:vertAlign w:val="subscript"/>
        </w:rPr>
        <w:t>j</w:t>
      </w:r>
      <w:r>
        <w:rPr>
          <w:rFonts w:ascii="Times New Roman"/>
          <w:b w:val="false"/>
          <w:i w:val="false"/>
          <w:color w:val="000000"/>
          <w:sz w:val="28"/>
        </w:rPr>
        <w:t xml:space="preserve"> (s</w:t>
      </w:r>
      <w:r>
        <w:rPr>
          <w:rFonts w:ascii="Times New Roman"/>
          <w:b w:val="false"/>
          <w:i w:val="false"/>
          <w:color w:val="000000"/>
          <w:vertAlign w:val="subscript"/>
        </w:rPr>
        <w:t>1</w:t>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и s</w:t>
      </w:r>
      <w:r>
        <w:rPr>
          <w:rFonts w:ascii="Times New Roman"/>
          <w:b w:val="false"/>
          <w:i w:val="false"/>
          <w:color w:val="000000"/>
          <w:vertAlign w:val="subscript"/>
        </w:rPr>
        <w:t>3</w:t>
      </w:r>
      <w:r>
        <w:rPr>
          <w:rFonts w:ascii="Times New Roman"/>
          <w:b w:val="false"/>
          <w:i w:val="false"/>
          <w:color w:val="000000"/>
          <w:sz w:val="28"/>
        </w:rPr>
        <w:t>) определяется по формуле:</w:t>
      </w:r>
    </w:p>
    <w:bookmarkEnd w:id="5673"/>
    <w:p>
      <w:pPr>
        <w:spacing w:after="0"/>
        <w:ind w:left="0"/>
        <w:jc w:val="both"/>
      </w:pP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sz w:val="28"/>
        </w:rPr>
        <w:t xml:space="preserve"> = 2,58c</w:t>
      </w:r>
    </w:p>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2"/>
                    <a:stretch>
                      <a:fillRect/>
                    </a:stretch>
                  </pic:blipFill>
                  <pic:spPr>
                    <a:xfrm>
                      <a:off x="0" y="0"/>
                      <a:ext cx="1104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GZ</w:t>
      </w:r>
      <w:r>
        <w:rPr>
          <w:rFonts w:ascii="Times New Roman"/>
          <w:b w:val="false"/>
          <w:i w:val="false"/>
          <w:color w:val="000000"/>
          <w:vertAlign w:val="subscript"/>
        </w:rPr>
        <w:t>max</w:t>
      </w:r>
      <w:r>
        <w:rPr>
          <w:rFonts w:ascii="Times New Roman"/>
          <w:b w:val="false"/>
          <w:i w:val="false"/>
          <w:color w:val="000000"/>
          <w:sz w:val="28"/>
        </w:rPr>
        <w:t xml:space="preserve"> — максимальное положительное восстанавливающее плечо диаграммы статической остойчивости поврежденного судна, м, в пределах 15</w:t>
      </w:r>
      <w:r>
        <w:rPr>
          <w:rFonts w:ascii="Times New Roman"/>
          <w:b w:val="false"/>
          <w:i w:val="false"/>
          <w:color w:val="000000"/>
          <w:vertAlign w:val="superscript"/>
        </w:rPr>
        <w:t>о</w:t>
      </w:r>
      <w:r>
        <w:rPr>
          <w:rFonts w:ascii="Times New Roman"/>
          <w:b w:val="false"/>
          <w:i w:val="false"/>
          <w:color w:val="000000"/>
          <w:sz w:val="28"/>
        </w:rPr>
        <w:t xml:space="preserve"> от положения равновесия, но не более 0,1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3"/>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протяженность положительного участка диаграммы статической остойчивости, град, но не более 15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4"/>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площадь, диаграммы статической остойчивости, определяемая в соответствии с пунктом 1560 настоящих Правил, м-рад, но не более 0,015;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коэффициент, равный:</w:t>
      </w:r>
    </w:p>
    <w:p>
      <w:pPr>
        <w:spacing w:after="0"/>
        <w:ind w:left="0"/>
        <w:jc w:val="both"/>
      </w:pPr>
      <w:r>
        <w:rPr>
          <w:rFonts w:ascii="Times New Roman"/>
          <w:b w:val="false"/>
          <w:i w:val="false"/>
          <w:color w:val="000000"/>
          <w:sz w:val="28"/>
        </w:rPr>
        <w:t>
      с = 1, если угол крена в конечной стадии затопления Ө</w:t>
      </w:r>
      <w:r>
        <w:rPr>
          <w:rFonts w:ascii="Times New Roman"/>
          <w:b w:val="false"/>
          <w:i w:val="false"/>
          <w:color w:val="000000"/>
          <w:vertAlign w:val="subscript"/>
        </w:rPr>
        <w:t>е</w:t>
      </w:r>
      <w:r>
        <w:rPr>
          <w:rFonts w:ascii="Times New Roman"/>
          <w:b w:val="false"/>
          <w:i w:val="false"/>
          <w:color w:val="000000"/>
          <w:sz w:val="28"/>
        </w:rPr>
        <w:t xml:space="preserve"> не превышает 7</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с = [(20</w:t>
      </w:r>
      <w:r>
        <w:rPr>
          <w:rFonts w:ascii="Times New Roman"/>
          <w:b w:val="false"/>
          <w:i w:val="false"/>
          <w:color w:val="000000"/>
          <w:vertAlign w:val="superscript"/>
        </w:rPr>
        <w:t>о</w:t>
      </w:r>
      <w:r>
        <w:rPr>
          <w:rFonts w:ascii="Times New Roman"/>
          <w:b w:val="false"/>
          <w:i w:val="false"/>
          <w:color w:val="000000"/>
          <w:sz w:val="28"/>
        </w:rPr>
        <w:t>-Ө</w:t>
      </w:r>
      <w:r>
        <w:rPr>
          <w:rFonts w:ascii="Times New Roman"/>
          <w:b w:val="false"/>
          <w:i w:val="false"/>
          <w:color w:val="000000"/>
          <w:vertAlign w:val="subscript"/>
        </w:rPr>
        <w:t>е</w:t>
      </w:r>
      <w:r>
        <w:rPr>
          <w:rFonts w:ascii="Times New Roman"/>
          <w:b w:val="false"/>
          <w:i w:val="false"/>
          <w:color w:val="000000"/>
          <w:sz w:val="28"/>
        </w:rPr>
        <w:t>)/13</w:t>
      </w:r>
      <w:r>
        <w:rPr>
          <w:rFonts w:ascii="Times New Roman"/>
          <w:b w:val="false"/>
          <w:i w:val="false"/>
          <w:color w:val="000000"/>
          <w:vertAlign w:val="superscript"/>
        </w:rPr>
        <w:t>о</w:t>
      </w:r>
      <w:r>
        <w:rPr>
          <w:rFonts w:ascii="Times New Roman"/>
          <w:b w:val="false"/>
          <w:i w:val="false"/>
          <w:color w:val="000000"/>
          <w:sz w:val="28"/>
        </w:rPr>
        <w:t>]</w:t>
      </w:r>
      <w:r>
        <w:rPr>
          <w:rFonts w:ascii="Times New Roman"/>
          <w:b w:val="false"/>
          <w:i w:val="false"/>
          <w:color w:val="000000"/>
          <w:vertAlign w:val="superscript"/>
        </w:rPr>
        <w:t>1/2</w:t>
      </w:r>
      <w:r>
        <w:rPr>
          <w:rFonts w:ascii="Times New Roman"/>
          <w:b w:val="false"/>
          <w:i w:val="false"/>
          <w:color w:val="000000"/>
          <w:sz w:val="28"/>
        </w:rPr>
        <w:t>, если 7</w:t>
      </w:r>
      <w:r>
        <w:rPr>
          <w:rFonts w:ascii="Times New Roman"/>
          <w:b w:val="false"/>
          <w:i w:val="false"/>
          <w:color w:val="000000"/>
          <w:vertAlign w:val="superscript"/>
        </w:rPr>
        <w:t>о</w:t>
      </w:r>
      <w:r>
        <w:rPr>
          <w:rFonts w:ascii="Times New Roman"/>
          <w:b w:val="false"/>
          <w:i w:val="false"/>
          <w:color w:val="000000"/>
          <w:sz w:val="28"/>
        </w:rPr>
        <w:t>&lt;Ө</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20</w:t>
      </w:r>
      <w:r>
        <w:rPr>
          <w:rFonts w:ascii="Times New Roman"/>
          <w:b w:val="false"/>
          <w:i w:val="false"/>
          <w:color w:val="000000"/>
          <w:vertAlign w:val="superscript"/>
        </w:rPr>
        <w:t>o</w:t>
      </w:r>
      <w:r>
        <w:rPr>
          <w:rFonts w:ascii="Times New Roman"/>
          <w:b w:val="false"/>
          <w:i w:val="false"/>
          <w:color w:val="000000"/>
          <w:sz w:val="28"/>
        </w:rPr>
        <w:t>,</w:t>
      </w:r>
    </w:p>
    <w:p>
      <w:pPr>
        <w:spacing w:after="0"/>
        <w:ind w:left="0"/>
        <w:jc w:val="both"/>
      </w:pPr>
      <w:r>
        <w:rPr>
          <w:rFonts w:ascii="Times New Roman"/>
          <w:b w:val="false"/>
          <w:i w:val="false"/>
          <w:color w:val="000000"/>
          <w:sz w:val="28"/>
        </w:rPr>
        <w:t>
      с = 0, если угол Ө</w:t>
      </w:r>
      <w:r>
        <w:rPr>
          <w:rFonts w:ascii="Times New Roman"/>
          <w:b w:val="false"/>
          <w:i w:val="false"/>
          <w:color w:val="000000"/>
          <w:vertAlign w:val="subscript"/>
        </w:rPr>
        <w:t>е</w:t>
      </w:r>
      <w:r>
        <w:rPr>
          <w:rFonts w:ascii="Times New Roman"/>
          <w:b w:val="false"/>
          <w:i w:val="false"/>
          <w:color w:val="000000"/>
          <w:sz w:val="28"/>
        </w:rPr>
        <w:t xml:space="preserve"> превышает 20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е</w:t>
      </w:r>
      <w:r>
        <w:rPr>
          <w:rFonts w:ascii="Times New Roman"/>
          <w:b w:val="false"/>
          <w:i w:val="false"/>
          <w:color w:val="000000"/>
          <w:sz w:val="28"/>
        </w:rPr>
        <w:t xml:space="preserve"> — угол крена в конечной стадии затопления (до спрямления), град.</w:t>
      </w:r>
    </w:p>
    <w:bookmarkStart w:name="z5686" w:id="5674"/>
    <w:p>
      <w:pPr>
        <w:spacing w:after="0"/>
        <w:ind w:left="0"/>
        <w:jc w:val="both"/>
      </w:pPr>
      <w:r>
        <w:rPr>
          <w:rFonts w:ascii="Times New Roman"/>
          <w:b w:val="false"/>
          <w:i w:val="false"/>
          <w:color w:val="000000"/>
          <w:sz w:val="28"/>
        </w:rPr>
        <w:t>
      1823. Если аварийная посадка и остойчивость при затоплении отсека при осадке d</w:t>
      </w:r>
      <w:r>
        <w:rPr>
          <w:rFonts w:ascii="Times New Roman"/>
          <w:b w:val="false"/>
          <w:i w:val="false"/>
          <w:color w:val="000000"/>
          <w:vertAlign w:val="subscript"/>
        </w:rPr>
        <w:t>j</w:t>
      </w:r>
      <w:r>
        <w:rPr>
          <w:rFonts w:ascii="Times New Roman"/>
          <w:b w:val="false"/>
          <w:i w:val="false"/>
          <w:color w:val="000000"/>
          <w:sz w:val="28"/>
        </w:rPr>
        <w:t xml:space="preserve"> полностью отвечают требованиям главы 125 и параграфа 1 главы 126 настоящих Правил, вероятность s</w:t>
      </w:r>
      <w:r>
        <w:rPr>
          <w:rFonts w:ascii="Times New Roman"/>
          <w:b w:val="false"/>
          <w:i w:val="false"/>
          <w:color w:val="000000"/>
          <w:vertAlign w:val="subscript"/>
        </w:rPr>
        <w:t>j</w:t>
      </w:r>
      <w:r>
        <w:rPr>
          <w:rFonts w:ascii="Times New Roman"/>
          <w:b w:val="false"/>
          <w:i w:val="false"/>
          <w:color w:val="000000"/>
          <w:sz w:val="28"/>
        </w:rPr>
        <w:t xml:space="preserve"> для данного отсека принимается равной 1.</w:t>
      </w:r>
    </w:p>
    <w:bookmarkEnd w:id="5674"/>
    <w:bookmarkStart w:name="z5687" w:id="5675"/>
    <w:p>
      <w:pPr>
        <w:spacing w:after="0"/>
        <w:ind w:left="0"/>
        <w:jc w:val="both"/>
      </w:pPr>
      <w:r>
        <w:rPr>
          <w:rFonts w:ascii="Times New Roman"/>
          <w:b w:val="false"/>
          <w:i w:val="false"/>
          <w:color w:val="000000"/>
          <w:sz w:val="28"/>
        </w:rPr>
        <w:t>
      Однако величина s</w:t>
      </w:r>
      <w:r>
        <w:rPr>
          <w:rFonts w:ascii="Times New Roman"/>
          <w:b w:val="false"/>
          <w:i w:val="false"/>
          <w:color w:val="000000"/>
          <w:vertAlign w:val="subscript"/>
        </w:rPr>
        <w:t>j</w:t>
      </w:r>
      <w:r>
        <w:rPr>
          <w:rFonts w:ascii="Times New Roman"/>
          <w:b w:val="false"/>
          <w:i w:val="false"/>
          <w:color w:val="000000"/>
          <w:sz w:val="28"/>
        </w:rPr>
        <w:t xml:space="preserve"> принимается равной нулю для любого случая затопления, вследствие которого:</w:t>
      </w:r>
    </w:p>
    <w:bookmarkEnd w:id="5675"/>
    <w:bookmarkStart w:name="z5688" w:id="5676"/>
    <w:p>
      <w:pPr>
        <w:spacing w:after="0"/>
        <w:ind w:left="0"/>
        <w:jc w:val="both"/>
      </w:pPr>
      <w:r>
        <w:rPr>
          <w:rFonts w:ascii="Times New Roman"/>
          <w:b w:val="false"/>
          <w:i w:val="false"/>
          <w:color w:val="000000"/>
          <w:sz w:val="28"/>
        </w:rPr>
        <w:t>
      1) во время промежуточной стадии затопления или перед спрямлением угол крена превышает 20</w:t>
      </w:r>
      <w:r>
        <w:rPr>
          <w:rFonts w:ascii="Times New Roman"/>
          <w:b w:val="false"/>
          <w:i w:val="false"/>
          <w:color w:val="000000"/>
          <w:vertAlign w:val="superscript"/>
        </w:rPr>
        <w:t>о</w:t>
      </w:r>
      <w:r>
        <w:rPr>
          <w:rFonts w:ascii="Times New Roman"/>
          <w:b w:val="false"/>
          <w:i w:val="false"/>
          <w:color w:val="000000"/>
          <w:sz w:val="28"/>
        </w:rPr>
        <w:t xml:space="preserve"> или угол, при котором входят в воду какие-либо отверстия, через которые происходит распространение воды на судне,</w:t>
      </w:r>
    </w:p>
    <w:bookmarkEnd w:id="5676"/>
    <w:bookmarkStart w:name="z5689" w:id="5677"/>
    <w:p>
      <w:pPr>
        <w:spacing w:after="0"/>
        <w:ind w:left="0"/>
        <w:jc w:val="both"/>
      </w:pPr>
      <w:r>
        <w:rPr>
          <w:rFonts w:ascii="Times New Roman"/>
          <w:b w:val="false"/>
          <w:i w:val="false"/>
          <w:color w:val="000000"/>
          <w:sz w:val="28"/>
        </w:rPr>
        <w:t>
      или</w:t>
      </w:r>
    </w:p>
    <w:bookmarkEnd w:id="5677"/>
    <w:bookmarkStart w:name="z5690" w:id="5678"/>
    <w:p>
      <w:pPr>
        <w:spacing w:after="0"/>
        <w:ind w:left="0"/>
        <w:jc w:val="both"/>
      </w:pPr>
      <w:r>
        <w:rPr>
          <w:rFonts w:ascii="Times New Roman"/>
          <w:b w:val="false"/>
          <w:i w:val="false"/>
          <w:color w:val="000000"/>
          <w:sz w:val="28"/>
        </w:rPr>
        <w:t>
      2) в конечной стадии затопления входит в воду палуба переборок, исключая район расположения затопленного отсека или отсеков,</w:t>
      </w:r>
    </w:p>
    <w:bookmarkEnd w:id="5678"/>
    <w:bookmarkStart w:name="z5691" w:id="5679"/>
    <w:p>
      <w:pPr>
        <w:spacing w:after="0"/>
        <w:ind w:left="0"/>
        <w:jc w:val="both"/>
      </w:pPr>
      <w:r>
        <w:rPr>
          <w:rFonts w:ascii="Times New Roman"/>
          <w:b w:val="false"/>
          <w:i w:val="false"/>
          <w:color w:val="000000"/>
          <w:sz w:val="28"/>
        </w:rPr>
        <w:t>
      или</w:t>
      </w:r>
    </w:p>
    <w:bookmarkEnd w:id="5679"/>
    <w:bookmarkStart w:name="z5692" w:id="5680"/>
    <w:p>
      <w:pPr>
        <w:spacing w:after="0"/>
        <w:ind w:left="0"/>
        <w:jc w:val="both"/>
      </w:pPr>
      <w:r>
        <w:rPr>
          <w:rFonts w:ascii="Times New Roman"/>
          <w:b w:val="false"/>
          <w:i w:val="false"/>
          <w:color w:val="000000"/>
          <w:sz w:val="28"/>
        </w:rPr>
        <w:t>
      3) в конечной стадии затопления крен превышает 12</w:t>
      </w:r>
      <w:r>
        <w:rPr>
          <w:rFonts w:ascii="Times New Roman"/>
          <w:b w:val="false"/>
          <w:i w:val="false"/>
          <w:color w:val="000000"/>
          <w:vertAlign w:val="superscript"/>
        </w:rPr>
        <w:t>о</w:t>
      </w:r>
      <w:r>
        <w:rPr>
          <w:rFonts w:ascii="Times New Roman"/>
          <w:b w:val="false"/>
          <w:i w:val="false"/>
          <w:color w:val="000000"/>
          <w:sz w:val="28"/>
        </w:rPr>
        <w:t>,</w:t>
      </w:r>
    </w:p>
    <w:bookmarkEnd w:id="5680"/>
    <w:bookmarkStart w:name="z5693" w:id="5681"/>
    <w:p>
      <w:pPr>
        <w:spacing w:after="0"/>
        <w:ind w:left="0"/>
        <w:jc w:val="both"/>
      </w:pPr>
      <w:r>
        <w:rPr>
          <w:rFonts w:ascii="Times New Roman"/>
          <w:b w:val="false"/>
          <w:i w:val="false"/>
          <w:color w:val="000000"/>
          <w:sz w:val="28"/>
        </w:rPr>
        <w:t>
      или</w:t>
      </w:r>
    </w:p>
    <w:bookmarkEnd w:id="5681"/>
    <w:bookmarkStart w:name="z5694" w:id="5682"/>
    <w:p>
      <w:pPr>
        <w:spacing w:after="0"/>
        <w:ind w:left="0"/>
        <w:jc w:val="both"/>
      </w:pPr>
      <w:r>
        <w:rPr>
          <w:rFonts w:ascii="Times New Roman"/>
          <w:b w:val="false"/>
          <w:i w:val="false"/>
          <w:color w:val="000000"/>
          <w:sz w:val="28"/>
        </w:rPr>
        <w:t>
      4) в конечной стадии затопления начальная метацентрическая высота меньше 0,05 м.</w:t>
      </w:r>
    </w:p>
    <w:bookmarkEnd w:id="5682"/>
    <w:bookmarkStart w:name="z5695" w:id="5683"/>
    <w:p>
      <w:pPr>
        <w:spacing w:after="0"/>
        <w:ind w:left="0"/>
        <w:jc w:val="both"/>
      </w:pPr>
      <w:r>
        <w:rPr>
          <w:rFonts w:ascii="Times New Roman"/>
          <w:b w:val="false"/>
          <w:i w:val="false"/>
          <w:color w:val="000000"/>
          <w:sz w:val="28"/>
        </w:rPr>
        <w:t>
      1824. В качестве расчетного значения величины s</w:t>
      </w:r>
      <w:r>
        <w:rPr>
          <w:rFonts w:ascii="Times New Roman"/>
          <w:b w:val="false"/>
          <w:i w:val="false"/>
          <w:color w:val="000000"/>
          <w:vertAlign w:val="subscript"/>
        </w:rPr>
        <w:t>j</w:t>
      </w:r>
      <w:r>
        <w:rPr>
          <w:rFonts w:ascii="Times New Roman"/>
          <w:b w:val="false"/>
          <w:i w:val="false"/>
          <w:color w:val="000000"/>
          <w:sz w:val="28"/>
        </w:rPr>
        <w:t xml:space="preserve"> следует принимать наименьшее из значений s</w:t>
      </w:r>
      <w:r>
        <w:rPr>
          <w:rFonts w:ascii="Times New Roman"/>
          <w:b w:val="false"/>
          <w:i w:val="false"/>
          <w:color w:val="000000"/>
          <w:vertAlign w:val="subscript"/>
        </w:rPr>
        <w:t>j</w:t>
      </w:r>
      <w:r>
        <w:rPr>
          <w:rFonts w:ascii="Times New Roman"/>
          <w:b w:val="false"/>
          <w:i w:val="false"/>
          <w:color w:val="000000"/>
          <w:sz w:val="28"/>
        </w:rPr>
        <w:t>, определенное для наиболее неблагоприятных случаев затопления рассматриваемого отсека или группы смежных отсеков при осадке d</w:t>
      </w:r>
      <w:r>
        <w:rPr>
          <w:rFonts w:ascii="Times New Roman"/>
          <w:b w:val="false"/>
          <w:i w:val="false"/>
          <w:color w:val="000000"/>
          <w:vertAlign w:val="subscript"/>
        </w:rPr>
        <w:t>j</w:t>
      </w:r>
      <w:r>
        <w:rPr>
          <w:rFonts w:ascii="Times New Roman"/>
          <w:b w:val="false"/>
          <w:i w:val="false"/>
          <w:color w:val="000000"/>
          <w:sz w:val="28"/>
        </w:rPr>
        <w:t>.</w:t>
      </w:r>
    </w:p>
    <w:bookmarkEnd w:id="5683"/>
    <w:bookmarkStart w:name="z5696" w:id="5684"/>
    <w:p>
      <w:pPr>
        <w:spacing w:after="0"/>
        <w:ind w:left="0"/>
        <w:jc w:val="left"/>
      </w:pPr>
      <w:r>
        <w:rPr>
          <w:rFonts w:ascii="Times New Roman"/>
          <w:b/>
          <w:i w:val="false"/>
          <w:color w:val="000000"/>
        </w:rPr>
        <w:t xml:space="preserve"> Глава 120. Специальные требования к делению на отсеки пассажирских и приравненных к ним судов</w:t>
      </w:r>
    </w:p>
    <w:bookmarkEnd w:id="5684"/>
    <w:p>
      <w:pPr>
        <w:spacing w:after="0"/>
        <w:ind w:left="0"/>
        <w:jc w:val="both"/>
      </w:pPr>
      <w:r>
        <w:rPr>
          <w:rFonts w:ascii="Times New Roman"/>
          <w:b w:val="false"/>
          <w:i w:val="false"/>
          <w:color w:val="ff0000"/>
          <w:sz w:val="28"/>
        </w:rPr>
        <w:t xml:space="preserve">
      Сноска. Заголовок главы 120 -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97" w:id="5685"/>
    <w:p>
      <w:pPr>
        <w:spacing w:after="0"/>
        <w:ind w:left="0"/>
        <w:jc w:val="both"/>
      </w:pPr>
      <w:r>
        <w:rPr>
          <w:rFonts w:ascii="Times New Roman"/>
          <w:b w:val="false"/>
          <w:i w:val="false"/>
          <w:color w:val="000000"/>
          <w:sz w:val="28"/>
        </w:rPr>
        <w:t xml:space="preserve">
      1825. На судах длиной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100 м и более вероятность </w:t>
      </w:r>
      <w:r>
        <w:rPr>
          <w:rFonts w:ascii="Times New Roman"/>
          <w:b w:val="false"/>
          <w:i/>
          <w:color w:val="000000"/>
          <w:sz w:val="28"/>
        </w:rPr>
        <w:t>s</w:t>
      </w:r>
      <w:r>
        <w:rPr>
          <w:rFonts w:ascii="Times New Roman"/>
          <w:b w:val="false"/>
          <w:i w:val="false"/>
          <w:color w:val="000000"/>
          <w:sz w:val="28"/>
        </w:rPr>
        <w:t xml:space="preserve"> не менее 1 при получении носовой пробоины протяженностью</w:t>
      </w:r>
    </w:p>
    <w:bookmarkEnd w:id="5685"/>
    <w:p>
      <w:pPr>
        <w:spacing w:after="0"/>
        <w:ind w:left="0"/>
        <w:jc w:val="both"/>
      </w:pPr>
      <w:r>
        <w:rPr>
          <w:rFonts w:ascii="Times New Roman"/>
          <w:b w:val="false"/>
          <w:i w:val="false"/>
          <w:color w:val="000000"/>
          <w:sz w:val="28"/>
        </w:rPr>
        <w:t>
      0,08 L</w:t>
      </w:r>
      <w:r>
        <w:rPr>
          <w:rFonts w:ascii="Times New Roman"/>
          <w:b w:val="false"/>
          <w:i w:val="false"/>
          <w:color w:val="000000"/>
          <w:vertAlign w:val="subscript"/>
        </w:rPr>
        <w:t>s</w:t>
      </w:r>
      <w:r>
        <w:rPr>
          <w:rFonts w:ascii="Times New Roman"/>
          <w:b w:val="false"/>
          <w:i w:val="false"/>
          <w:color w:val="000000"/>
          <w:sz w:val="28"/>
        </w:rPr>
        <w:t xml:space="preserve"> +3 м при 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200 м,</w:t>
      </w:r>
    </w:p>
    <w:p>
      <w:pPr>
        <w:spacing w:after="0"/>
        <w:ind w:left="0"/>
        <w:jc w:val="both"/>
      </w:pPr>
      <w:r>
        <w:rPr>
          <w:rFonts w:ascii="Times New Roman"/>
          <w:b w:val="false"/>
          <w:i w:val="false"/>
          <w:color w:val="000000"/>
          <w:sz w:val="28"/>
        </w:rPr>
        <w:t>
      0,03 L</w:t>
      </w:r>
      <w:r>
        <w:rPr>
          <w:rFonts w:ascii="Times New Roman"/>
          <w:b w:val="false"/>
          <w:i w:val="false"/>
          <w:color w:val="000000"/>
          <w:vertAlign w:val="subscript"/>
        </w:rPr>
        <w:t>s</w:t>
      </w:r>
      <w:r>
        <w:rPr>
          <w:rFonts w:ascii="Times New Roman"/>
          <w:b w:val="false"/>
          <w:i w:val="false"/>
          <w:color w:val="000000"/>
          <w:sz w:val="28"/>
        </w:rPr>
        <w:t xml:space="preserve"> + 13 м при 200 &lt; 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267 м,</w:t>
      </w:r>
    </w:p>
    <w:p>
      <w:pPr>
        <w:spacing w:after="0"/>
        <w:ind w:left="0"/>
        <w:jc w:val="both"/>
      </w:pPr>
      <w:r>
        <w:rPr>
          <w:rFonts w:ascii="Times New Roman"/>
          <w:b w:val="false"/>
          <w:i w:val="false"/>
          <w:color w:val="000000"/>
          <w:sz w:val="28"/>
        </w:rPr>
        <w:t>
      21 м при L</w:t>
      </w:r>
      <w:r>
        <w:rPr>
          <w:rFonts w:ascii="Times New Roman"/>
          <w:b w:val="false"/>
          <w:i w:val="false"/>
          <w:color w:val="000000"/>
          <w:vertAlign w:val="subscript"/>
        </w:rPr>
        <w:t>s</w:t>
      </w:r>
      <w:r>
        <w:rPr>
          <w:rFonts w:ascii="Times New Roman"/>
          <w:b w:val="false"/>
          <w:i w:val="false"/>
          <w:color w:val="000000"/>
          <w:sz w:val="28"/>
        </w:rPr>
        <w:t>&gt;267 м.</w:t>
      </w:r>
    </w:p>
    <w:bookmarkStart w:name="z5698" w:id="5686"/>
    <w:p>
      <w:pPr>
        <w:spacing w:after="0"/>
        <w:ind w:left="0"/>
        <w:jc w:val="both"/>
      </w:pPr>
      <w:r>
        <w:rPr>
          <w:rFonts w:ascii="Times New Roman"/>
          <w:b w:val="false"/>
          <w:i w:val="false"/>
          <w:color w:val="000000"/>
          <w:sz w:val="28"/>
        </w:rPr>
        <w:t xml:space="preserve">
      1826. Главная поперечная переборка имеет выступ (рецесс) при условии, что все части выступа лежат между вертикальными плоскостями, находящимися внутри корпуса на расстоянии от наружной обшивки, равном 1/5 ширины судна </w:t>
      </w:r>
      <w:r>
        <w:rPr>
          <w:rFonts w:ascii="Times New Roman"/>
          <w:b w:val="false"/>
          <w:i/>
          <w:color w:val="000000"/>
          <w:sz w:val="28"/>
        </w:rPr>
        <w:t>В</w:t>
      </w:r>
      <w:r>
        <w:rPr>
          <w:rFonts w:ascii="Times New Roman"/>
          <w:b w:val="false"/>
          <w:i w:val="false"/>
          <w:color w:val="000000"/>
          <w:sz w:val="28"/>
        </w:rPr>
        <w:t xml:space="preserve"> и измеренном под прямым углом к диаметральной плоскости на уровне грузовой ватерлинии деления судна на отсеки.</w:t>
      </w:r>
    </w:p>
    <w:bookmarkEnd w:id="5686"/>
    <w:bookmarkStart w:name="z5699" w:id="5687"/>
    <w:p>
      <w:pPr>
        <w:spacing w:after="0"/>
        <w:ind w:left="0"/>
        <w:jc w:val="both"/>
      </w:pPr>
      <w:r>
        <w:rPr>
          <w:rFonts w:ascii="Times New Roman"/>
          <w:b w:val="false"/>
          <w:i w:val="false"/>
          <w:color w:val="000000"/>
          <w:sz w:val="28"/>
        </w:rPr>
        <w:t>
      Любая часть выступа, расположенная вне указанных пределов, рассматривается при расчете как уступ.</w:t>
      </w:r>
    </w:p>
    <w:bookmarkEnd w:id="5687"/>
    <w:bookmarkStart w:name="z5700" w:id="5688"/>
    <w:p>
      <w:pPr>
        <w:spacing w:after="0"/>
        <w:ind w:left="0"/>
        <w:jc w:val="both"/>
      </w:pPr>
      <w:r>
        <w:rPr>
          <w:rFonts w:ascii="Times New Roman"/>
          <w:b w:val="false"/>
          <w:i w:val="false"/>
          <w:color w:val="000000"/>
          <w:sz w:val="28"/>
        </w:rPr>
        <w:t xml:space="preserve">
      1827. Приведенная в главе 119 настоящих Правил схема расчета индекса </w:t>
      </w:r>
      <w:r>
        <w:rPr>
          <w:rFonts w:ascii="Times New Roman"/>
          <w:b w:val="false"/>
          <w:i/>
          <w:color w:val="000000"/>
          <w:sz w:val="28"/>
        </w:rPr>
        <w:t>А</w:t>
      </w:r>
      <w:r>
        <w:rPr>
          <w:rFonts w:ascii="Times New Roman"/>
          <w:b w:val="false"/>
          <w:i w:val="false"/>
          <w:color w:val="000000"/>
          <w:sz w:val="28"/>
        </w:rPr>
        <w:t xml:space="preserve"> применима для случаев, когда водонепроницаемые поперечные переборки устанавливаются от борта до борта. Вместе с тем возможно допуск комбинации продольного и поперечного разделения судна, при которой некоторые поперечные переборки простираются только от борта до продольной водонепроницаемой переборки, при условии, что:</w:t>
      </w:r>
    </w:p>
    <w:bookmarkEnd w:id="5688"/>
    <w:bookmarkStart w:name="z5701" w:id="5689"/>
    <w:p>
      <w:pPr>
        <w:spacing w:after="0"/>
        <w:ind w:left="0"/>
        <w:jc w:val="both"/>
      </w:pPr>
      <w:r>
        <w:rPr>
          <w:rFonts w:ascii="Times New Roman"/>
          <w:b w:val="false"/>
          <w:i w:val="false"/>
          <w:color w:val="000000"/>
          <w:sz w:val="28"/>
        </w:rPr>
        <w:t xml:space="preserve">
      1) вычисленный с учетом пункта 1497 настоящих Правил индекс </w:t>
      </w:r>
      <w:r>
        <w:rPr>
          <w:rFonts w:ascii="Times New Roman"/>
          <w:b w:val="false"/>
          <w:i/>
          <w:color w:val="000000"/>
          <w:sz w:val="28"/>
        </w:rPr>
        <w:t>А</w:t>
      </w:r>
      <w:r>
        <w:rPr>
          <w:rFonts w:ascii="Times New Roman"/>
          <w:b w:val="false"/>
          <w:i w:val="false"/>
          <w:color w:val="000000"/>
          <w:sz w:val="28"/>
        </w:rPr>
        <w:t xml:space="preserve"> не меньше требуемого индекса </w:t>
      </w:r>
      <w:r>
        <w:rPr>
          <w:rFonts w:ascii="Times New Roman"/>
          <w:b w:val="false"/>
          <w:i/>
          <w:color w:val="000000"/>
          <w:sz w:val="28"/>
        </w:rPr>
        <w:t>R</w:t>
      </w:r>
      <w:r>
        <w:rPr>
          <w:rFonts w:ascii="Times New Roman"/>
          <w:b w:val="false"/>
          <w:i w:val="false"/>
          <w:color w:val="000000"/>
          <w:sz w:val="28"/>
        </w:rPr>
        <w:t>;</w:t>
      </w:r>
    </w:p>
    <w:bookmarkEnd w:id="5689"/>
    <w:bookmarkStart w:name="z5702" w:id="5690"/>
    <w:p>
      <w:pPr>
        <w:spacing w:after="0"/>
        <w:ind w:left="0"/>
        <w:jc w:val="both"/>
      </w:pPr>
      <w:r>
        <w:rPr>
          <w:rFonts w:ascii="Times New Roman"/>
          <w:b w:val="false"/>
          <w:i w:val="false"/>
          <w:color w:val="000000"/>
          <w:sz w:val="28"/>
        </w:rPr>
        <w:t>
      2) водонепроницаемые флоры в двойном дне расположены в одной плоскости с водонепроницаемыми поперечными переборками в бортовых отсеках, или междудонное пространство разделено другим эквивалентным способом;</w:t>
      </w:r>
    </w:p>
    <w:bookmarkEnd w:id="5690"/>
    <w:bookmarkStart w:name="z5703" w:id="5691"/>
    <w:p>
      <w:pPr>
        <w:spacing w:after="0"/>
        <w:ind w:left="0"/>
        <w:jc w:val="both"/>
      </w:pPr>
      <w:r>
        <w:rPr>
          <w:rFonts w:ascii="Times New Roman"/>
          <w:b w:val="false"/>
          <w:i w:val="false"/>
          <w:color w:val="000000"/>
          <w:sz w:val="28"/>
        </w:rPr>
        <w:t>
      3) настил второго дна пассажирских судов в районе между продольными переборками отстоит от основной плоскости не менее чем на 0,15.</w:t>
      </w:r>
    </w:p>
    <w:bookmarkEnd w:id="5691"/>
    <w:bookmarkStart w:name="z5704" w:id="5692"/>
    <w:p>
      <w:pPr>
        <w:spacing w:after="0"/>
        <w:ind w:left="0"/>
        <w:jc w:val="left"/>
      </w:pPr>
      <w:r>
        <w:rPr>
          <w:rFonts w:ascii="Times New Roman"/>
          <w:b/>
          <w:i w:val="false"/>
          <w:color w:val="000000"/>
        </w:rPr>
        <w:t xml:space="preserve"> Глава 121. Вероятностная оценка деления на отсеки грузовых судов</w:t>
      </w:r>
    </w:p>
    <w:bookmarkEnd w:id="5692"/>
    <w:p>
      <w:pPr>
        <w:spacing w:after="0"/>
        <w:ind w:left="0"/>
        <w:jc w:val="both"/>
      </w:pPr>
      <w:r>
        <w:rPr>
          <w:rFonts w:ascii="Times New Roman"/>
          <w:b w:val="false"/>
          <w:i w:val="false"/>
          <w:color w:val="ff0000"/>
          <w:sz w:val="28"/>
        </w:rPr>
        <w:t xml:space="preserve">
      Сноска. Заголовок главы 121 -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05" w:id="5693"/>
    <w:p>
      <w:pPr>
        <w:spacing w:after="0"/>
        <w:ind w:left="0"/>
        <w:jc w:val="both"/>
      </w:pPr>
      <w:r>
        <w:rPr>
          <w:rFonts w:ascii="Times New Roman"/>
          <w:b w:val="false"/>
          <w:i w:val="false"/>
          <w:color w:val="000000"/>
          <w:sz w:val="28"/>
        </w:rPr>
        <w:t>
      1828. Требования настоящей главы распространяются на самоходные грузовые суда длиной 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за исключением судов, типы которых перечислены в подпунктах 2) – 9), 19) и 20) пункта 1456 настоящих Правил, а также накатных судов, приравненных к пассажирским (пункт 1492 настоящих Правил).</w:t>
      </w:r>
    </w:p>
    <w:bookmarkEnd w:id="5693"/>
    <w:bookmarkStart w:name="z5706" w:id="5694"/>
    <w:p>
      <w:pPr>
        <w:spacing w:after="0"/>
        <w:ind w:left="0"/>
        <w:jc w:val="both"/>
      </w:pPr>
      <w:r>
        <w:rPr>
          <w:rFonts w:ascii="Times New Roman"/>
          <w:b w:val="false"/>
          <w:i w:val="false"/>
          <w:color w:val="000000"/>
          <w:sz w:val="28"/>
        </w:rPr>
        <w:t>
      Суда, предназначенные для перевозки лесных грузов в трюмах и на верхней палубе, длиной 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отвечают требованиям настоящей главы как при осадке, соответствующей летнему надводному борту с учетом пункта 1514 настоящих Правил, так и при осадке, соответствующей лесному летнему надводному борту, и в том случае, если назначенная летняя осадка равна назначенной лесной летней осадке, в соответствии с главой 121 настоящих Правил.</w:t>
      </w:r>
    </w:p>
    <w:bookmarkEnd w:id="5694"/>
    <w:bookmarkStart w:name="z5707" w:id="5695"/>
    <w:p>
      <w:pPr>
        <w:spacing w:after="0"/>
        <w:ind w:left="0"/>
        <w:jc w:val="both"/>
      </w:pPr>
      <w:r>
        <w:rPr>
          <w:rFonts w:ascii="Times New Roman"/>
          <w:b w:val="false"/>
          <w:i w:val="false"/>
          <w:color w:val="000000"/>
          <w:sz w:val="28"/>
        </w:rPr>
        <w:t>
      При проверке вероятностных требований для таких судов учитываются указания Пояснительной записки к правилам Конвенции по делению на отсеки и аварийной остойчивости грузовых судов длиной 80 м и более.</w:t>
      </w:r>
    </w:p>
    <w:bookmarkEnd w:id="5695"/>
    <w:bookmarkStart w:name="z5708" w:id="5696"/>
    <w:p>
      <w:pPr>
        <w:spacing w:after="0"/>
        <w:ind w:left="0"/>
        <w:jc w:val="both"/>
      </w:pPr>
      <w:r>
        <w:rPr>
          <w:rFonts w:ascii="Times New Roman"/>
          <w:b w:val="false"/>
          <w:i w:val="false"/>
          <w:color w:val="000000"/>
          <w:sz w:val="28"/>
        </w:rPr>
        <w:t xml:space="preserve">
      1829. Требуемый индекс деления на отсеки </w:t>
      </w:r>
      <w:r>
        <w:rPr>
          <w:rFonts w:ascii="Times New Roman"/>
          <w:b w:val="false"/>
          <w:i/>
          <w:color w:val="000000"/>
          <w:sz w:val="28"/>
        </w:rPr>
        <w:t>R</w:t>
      </w:r>
      <w:r>
        <w:rPr>
          <w:rFonts w:ascii="Times New Roman"/>
          <w:b w:val="false"/>
          <w:i w:val="false"/>
          <w:color w:val="000000"/>
          <w:sz w:val="28"/>
        </w:rPr>
        <w:t>, за исключением судов, перевозящих радиоактивные материалы, определяется по формулам:</w:t>
      </w:r>
    </w:p>
    <w:bookmarkEnd w:id="56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5"/>
                    <a:stretch>
                      <a:fillRect/>
                    </a:stretch>
                  </pic:blipFill>
                  <pic:spPr>
                    <a:xfrm>
                      <a:off x="0" y="0"/>
                      <a:ext cx="57404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9" w:id="5697"/>
    <w:p>
      <w:pPr>
        <w:spacing w:after="0"/>
        <w:ind w:left="0"/>
        <w:jc w:val="both"/>
      </w:pPr>
      <w:r>
        <w:rPr>
          <w:rFonts w:ascii="Times New Roman"/>
          <w:b w:val="false"/>
          <w:i w:val="false"/>
          <w:color w:val="000000"/>
          <w:sz w:val="28"/>
        </w:rPr>
        <w:t xml:space="preserve">
      1830. Для судов, перевозящих радиоактивные материалы, требуемый индекс </w:t>
      </w:r>
      <w:r>
        <w:rPr>
          <w:rFonts w:ascii="Times New Roman"/>
          <w:b w:val="false"/>
          <w:i/>
          <w:color w:val="000000"/>
          <w:sz w:val="28"/>
        </w:rPr>
        <w:t>R</w:t>
      </w:r>
      <w:r>
        <w:rPr>
          <w:rFonts w:ascii="Times New Roman"/>
          <w:b w:val="false"/>
          <w:i w:val="false"/>
          <w:color w:val="000000"/>
          <w:sz w:val="28"/>
        </w:rPr>
        <w:t xml:space="preserve"> определяется Регистром судоходства. Для судов, имеющих на борту материалы общей радиоактивностью выше 2х10</w:t>
      </w:r>
      <w:r>
        <w:rPr>
          <w:rFonts w:ascii="Times New Roman"/>
          <w:b w:val="false"/>
          <w:i w:val="false"/>
          <w:color w:val="000000"/>
          <w:vertAlign w:val="superscript"/>
        </w:rPr>
        <w:t>6</w:t>
      </w:r>
      <w:r>
        <w:rPr>
          <w:rFonts w:ascii="Times New Roman"/>
          <w:b w:val="false"/>
          <w:i w:val="false"/>
          <w:color w:val="000000"/>
          <w:sz w:val="28"/>
        </w:rPr>
        <w:t xml:space="preserve"> ТБк (далее - терабеккерелей) или же плутоний с общей радиоактивностью свыше 2х10</w:t>
      </w:r>
      <w:r>
        <w:rPr>
          <w:rFonts w:ascii="Times New Roman"/>
          <w:b w:val="false"/>
          <w:i w:val="false"/>
          <w:color w:val="000000"/>
          <w:vertAlign w:val="superscript"/>
        </w:rPr>
        <w:t>5</w:t>
      </w:r>
      <w:r>
        <w:rPr>
          <w:rFonts w:ascii="Times New Roman"/>
          <w:b w:val="false"/>
          <w:i w:val="false"/>
          <w:color w:val="000000"/>
          <w:sz w:val="28"/>
        </w:rPr>
        <w:t xml:space="preserve"> ТБк, требуемый индекс деления на отсеки равен </w:t>
      </w:r>
      <w:r>
        <w:rPr>
          <w:rFonts w:ascii="Times New Roman"/>
          <w:b w:val="false"/>
          <w:i/>
          <w:color w:val="000000"/>
          <w:sz w:val="28"/>
        </w:rPr>
        <w:t>R</w:t>
      </w:r>
      <w:r>
        <w:rPr>
          <w:rFonts w:ascii="Times New Roman"/>
          <w:b w:val="false"/>
          <w:i w:val="false"/>
          <w:color w:val="000000"/>
          <w:sz w:val="28"/>
        </w:rPr>
        <w:t xml:space="preserve"> + 0,2(1 - </w:t>
      </w:r>
      <w:r>
        <w:rPr>
          <w:rFonts w:ascii="Times New Roman"/>
          <w:b w:val="false"/>
          <w:i/>
          <w:color w:val="000000"/>
          <w:sz w:val="28"/>
        </w:rPr>
        <w:t>R</w:t>
      </w:r>
      <w:r>
        <w:rPr>
          <w:rFonts w:ascii="Times New Roman"/>
          <w:b w:val="false"/>
          <w:i w:val="false"/>
          <w:color w:val="000000"/>
          <w:sz w:val="28"/>
        </w:rPr>
        <w:t xml:space="preserve">), но не менее 0,6, где </w:t>
      </w:r>
      <w:r>
        <w:rPr>
          <w:rFonts w:ascii="Times New Roman"/>
          <w:b w:val="false"/>
          <w:i/>
          <w:color w:val="000000"/>
          <w:sz w:val="28"/>
        </w:rPr>
        <w:t>R</w:t>
      </w:r>
      <w:r>
        <w:rPr>
          <w:rFonts w:ascii="Times New Roman"/>
          <w:b w:val="false"/>
          <w:i w:val="false"/>
          <w:color w:val="000000"/>
          <w:sz w:val="28"/>
        </w:rPr>
        <w:t xml:space="preserve"> определяется по формулам (690), (691) настоящих Правил.</w:t>
      </w:r>
    </w:p>
    <w:bookmarkEnd w:id="5697"/>
    <w:bookmarkStart w:name="z5710" w:id="5698"/>
    <w:p>
      <w:pPr>
        <w:spacing w:after="0"/>
        <w:ind w:left="0"/>
        <w:jc w:val="both"/>
      </w:pPr>
      <w:r>
        <w:rPr>
          <w:rFonts w:ascii="Times New Roman"/>
          <w:b w:val="false"/>
          <w:i w:val="false"/>
          <w:color w:val="000000"/>
          <w:sz w:val="28"/>
        </w:rPr>
        <w:t>
      1831. При отсутствии продольного подразделения вероятности Wi, принимаются равными величине p</w:t>
      </w:r>
      <w:r>
        <w:rPr>
          <w:rFonts w:ascii="Times New Roman"/>
          <w:b w:val="false"/>
          <w:i w:val="false"/>
          <w:color w:val="000000"/>
          <w:vertAlign w:val="subscript"/>
        </w:rPr>
        <w:t>i</w:t>
      </w:r>
      <w:r>
        <w:rPr>
          <w:rFonts w:ascii="Times New Roman"/>
          <w:b w:val="false"/>
          <w:i w:val="false"/>
          <w:color w:val="000000"/>
          <w:sz w:val="28"/>
        </w:rPr>
        <w:t>, которая для каждого единичного отсека определяется следующим образом:</w:t>
      </w:r>
    </w:p>
    <w:bookmarkEnd w:id="5698"/>
    <w:bookmarkStart w:name="z5711" w:id="5699"/>
    <w:p>
      <w:pPr>
        <w:spacing w:after="0"/>
        <w:ind w:left="0"/>
        <w:jc w:val="both"/>
      </w:pPr>
      <w:r>
        <w:rPr>
          <w:rFonts w:ascii="Times New Roman"/>
          <w:b w:val="false"/>
          <w:i w:val="false"/>
          <w:color w:val="000000"/>
          <w:sz w:val="28"/>
        </w:rPr>
        <w:t>
      1) если расчетная длина отсека равна полной длине судна L</w:t>
      </w:r>
      <w:r>
        <w:rPr>
          <w:rFonts w:ascii="Times New Roman"/>
          <w:b w:val="false"/>
          <w:i w:val="false"/>
          <w:color w:val="000000"/>
          <w:vertAlign w:val="subscript"/>
        </w:rPr>
        <w:t>s</w:t>
      </w:r>
      <w:r>
        <w:rPr>
          <w:rFonts w:ascii="Times New Roman"/>
          <w:b w:val="false"/>
          <w:i w:val="false"/>
          <w:color w:val="000000"/>
          <w:sz w:val="28"/>
        </w:rPr>
        <w:t>, параметр p</w:t>
      </w:r>
      <w:r>
        <w:rPr>
          <w:rFonts w:ascii="Times New Roman"/>
          <w:b w:val="false"/>
          <w:i w:val="false"/>
          <w:color w:val="000000"/>
          <w:vertAlign w:val="subscript"/>
        </w:rPr>
        <w:t>i</w:t>
      </w:r>
      <w:r>
        <w:rPr>
          <w:rFonts w:ascii="Times New Roman"/>
          <w:b w:val="false"/>
          <w:i w:val="false"/>
          <w:color w:val="000000"/>
          <w:sz w:val="28"/>
        </w:rPr>
        <w:t>, принимается равным 1;</w:t>
      </w:r>
    </w:p>
    <w:bookmarkEnd w:id="5699"/>
    <w:bookmarkStart w:name="z5712" w:id="5700"/>
    <w:p>
      <w:pPr>
        <w:spacing w:after="0"/>
        <w:ind w:left="0"/>
        <w:jc w:val="both"/>
      </w:pPr>
      <w:r>
        <w:rPr>
          <w:rFonts w:ascii="Times New Roman"/>
          <w:b w:val="false"/>
          <w:i w:val="false"/>
          <w:color w:val="000000"/>
          <w:sz w:val="28"/>
        </w:rPr>
        <w:t>
      2) для концевого кормового отсека</w:t>
      </w:r>
    </w:p>
    <w:bookmarkEnd w:id="5700"/>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F+0,5ap+q,                         (692);</w:t>
      </w:r>
    </w:p>
    <w:bookmarkStart w:name="z5713" w:id="5701"/>
    <w:p>
      <w:pPr>
        <w:spacing w:after="0"/>
        <w:ind w:left="0"/>
        <w:jc w:val="both"/>
      </w:pPr>
      <w:r>
        <w:rPr>
          <w:rFonts w:ascii="Times New Roman"/>
          <w:b w:val="false"/>
          <w:i w:val="false"/>
          <w:color w:val="000000"/>
          <w:sz w:val="28"/>
        </w:rPr>
        <w:t>
      3) для концевого носового отсека</w:t>
      </w:r>
    </w:p>
    <w:bookmarkEnd w:id="5701"/>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=1-F+0,5ap;                          (693)</w:t>
      </w:r>
    </w:p>
    <w:bookmarkStart w:name="z5714" w:id="5702"/>
    <w:p>
      <w:pPr>
        <w:spacing w:after="0"/>
        <w:ind w:left="0"/>
        <w:jc w:val="both"/>
      </w:pPr>
      <w:r>
        <w:rPr>
          <w:rFonts w:ascii="Times New Roman"/>
          <w:b w:val="false"/>
          <w:i w:val="false"/>
          <w:color w:val="000000"/>
          <w:sz w:val="28"/>
        </w:rPr>
        <w:t>
      4) для остальных отсеков</w:t>
      </w:r>
    </w:p>
    <w:bookmarkEnd w:id="5702"/>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ар,                                (6944)</w:t>
      </w:r>
    </w:p>
    <w:bookmarkStart w:name="z5715" w:id="5703"/>
    <w:p>
      <w:pPr>
        <w:spacing w:after="0"/>
        <w:ind w:left="0"/>
        <w:jc w:val="both"/>
      </w:pPr>
      <w:r>
        <w:rPr>
          <w:rFonts w:ascii="Times New Roman"/>
          <w:b w:val="false"/>
          <w:i w:val="false"/>
          <w:color w:val="000000"/>
          <w:sz w:val="28"/>
        </w:rPr>
        <w:t>
      1832. Величины, входящие в подпункты 1) – 4) пункта 1831 настоящих Правил, определяются по формулам:</w:t>
      </w:r>
    </w:p>
    <w:bookmarkEnd w:id="5703"/>
    <w:p>
      <w:pPr>
        <w:spacing w:after="0"/>
        <w:ind w:left="0"/>
        <w:jc w:val="both"/>
      </w:pPr>
      <w:r>
        <w:rPr>
          <w:rFonts w:ascii="Times New Roman"/>
          <w:b w:val="false"/>
          <w:i w:val="false"/>
          <w:color w:val="000000"/>
          <w:sz w:val="28"/>
        </w:rPr>
        <w:t>
                              а= 1,2 + 0,8Е, но не более 1,2;         (695)</w:t>
      </w:r>
    </w:p>
    <w:p>
      <w:pPr>
        <w:spacing w:after="0"/>
        <w:ind w:left="0"/>
        <w:jc w:val="both"/>
      </w:pPr>
      <w:r>
        <w:rPr>
          <w:rFonts w:ascii="Times New Roman"/>
          <w:b w:val="false"/>
          <w:i w:val="false"/>
          <w:color w:val="000000"/>
          <w:sz w:val="28"/>
        </w:rPr>
        <w:t>
                              F = 0,4+0,25Е(1,2+а);                   (696)</w:t>
      </w:r>
    </w:p>
    <w:p>
      <w:pPr>
        <w:spacing w:after="0"/>
        <w:ind w:left="0"/>
        <w:jc w:val="both"/>
      </w:pPr>
      <w:r>
        <w:rPr>
          <w:rFonts w:ascii="Times New Roman"/>
          <w:b w:val="false"/>
          <w:i w:val="false"/>
          <w:color w:val="000000"/>
          <w:sz w:val="28"/>
        </w:rPr>
        <w:t>
                              р = J</w:t>
      </w:r>
      <w:r>
        <w:rPr>
          <w:rFonts w:ascii="Times New Roman"/>
          <w:b w:val="false"/>
          <w:i w:val="false"/>
          <w:color w:val="000000"/>
          <w:vertAlign w:val="subscript"/>
        </w:rPr>
        <w:t>max</w:t>
      </w:r>
      <w:r>
        <w:rPr>
          <w:rFonts w:ascii="Times New Roman"/>
          <w:b w:val="false"/>
          <w:i w:val="false"/>
          <w:color w:val="000000"/>
          <w:sz w:val="28"/>
        </w:rPr>
        <w:t>F</w:t>
      </w:r>
      <w:r>
        <w:rPr>
          <w:rFonts w:ascii="Times New Roman"/>
          <w:b w:val="false"/>
          <w:i w:val="false"/>
          <w:color w:val="000000"/>
          <w:vertAlign w:val="subscript"/>
        </w:rPr>
        <w:t>1</w:t>
      </w:r>
      <w:r>
        <w:rPr>
          <w:rFonts w:ascii="Times New Roman"/>
          <w:b w:val="false"/>
          <w:i w:val="false"/>
          <w:color w:val="000000"/>
          <w:sz w:val="28"/>
        </w:rPr>
        <w:t>;                              (697)</w:t>
      </w:r>
    </w:p>
    <w:p>
      <w:pPr>
        <w:spacing w:after="0"/>
        <w:ind w:left="0"/>
        <w:jc w:val="both"/>
      </w:pPr>
      <w:r>
        <w:rPr>
          <w:rFonts w:ascii="Times New Roman"/>
          <w:b w:val="false"/>
          <w:i w:val="false"/>
          <w:color w:val="000000"/>
          <w:sz w:val="28"/>
        </w:rPr>
        <w:t>
                              q = 0,4(J</w:t>
      </w:r>
      <w:r>
        <w:rPr>
          <w:rFonts w:ascii="Times New Roman"/>
          <w:b w:val="false"/>
          <w:i w:val="false"/>
          <w:color w:val="000000"/>
          <w:vertAlign w:val="subscript"/>
        </w:rPr>
        <w:t>max</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F</w:t>
      </w:r>
      <w:r>
        <w:rPr>
          <w:rFonts w:ascii="Times New Roman"/>
          <w:b w:val="false"/>
          <w:i w:val="false"/>
          <w:color w:val="000000"/>
          <w:vertAlign w:val="subscript"/>
        </w:rPr>
        <w:t>2</w:t>
      </w:r>
      <w:r>
        <w:rPr>
          <w:rFonts w:ascii="Times New Roman"/>
          <w:b w:val="false"/>
          <w:i w:val="false"/>
          <w:color w:val="000000"/>
          <w:sz w:val="28"/>
        </w:rPr>
        <w:t>,                        (698)</w:t>
      </w:r>
    </w:p>
    <w:p>
      <w:pPr>
        <w:spacing w:after="0"/>
        <w:ind w:left="0"/>
        <w:jc w:val="both"/>
      </w:pPr>
      <w:r>
        <w:rPr>
          <w:rFonts w:ascii="Times New Roman"/>
          <w:b w:val="false"/>
          <w:i w:val="false"/>
          <w:color w:val="000000"/>
          <w:sz w:val="28"/>
        </w:rPr>
        <w:t>
      где Е= E</w:t>
      </w:r>
      <w:r>
        <w:rPr>
          <w:rFonts w:ascii="Times New Roman"/>
          <w:b w:val="false"/>
          <w:i w:val="false"/>
          <w:color w:val="000000"/>
          <w:vertAlign w:val="subscript"/>
        </w:rPr>
        <w:t>1</w:t>
      </w:r>
      <w:r>
        <w:rPr>
          <w:rFonts w:ascii="Times New Roman"/>
          <w:b w:val="false"/>
          <w:i w:val="false"/>
          <w:color w:val="000000"/>
          <w:sz w:val="28"/>
        </w:rPr>
        <w:t xml:space="preserve"> + E</w:t>
      </w:r>
      <w:r>
        <w:rPr>
          <w:rFonts w:ascii="Times New Roman"/>
          <w:b w:val="false"/>
          <w:i w:val="false"/>
          <w:color w:val="000000"/>
          <w:vertAlign w:val="subscript"/>
        </w:rPr>
        <w:t>2</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1</w:t>
      </w:r>
      <w:r>
        <w:rPr>
          <w:rFonts w:ascii="Times New Roman"/>
          <w:b w:val="false"/>
          <w:i w:val="false"/>
          <w:color w:val="000000"/>
          <w:sz w:val="28"/>
        </w:rPr>
        <w:t xml:space="preserve"> = x1/L</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2</w:t>
      </w:r>
      <w:r>
        <w:rPr>
          <w:rFonts w:ascii="Times New Roman"/>
          <w:b w:val="false"/>
          <w:i w:val="false"/>
          <w:color w:val="000000"/>
          <w:sz w:val="28"/>
        </w:rPr>
        <w:t>=x2/L</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X1 и х2 принимаются согласно пункту 1816 настоящих Правил</w:t>
      </w:r>
    </w:p>
    <w:p>
      <w:pPr>
        <w:spacing w:after="0"/>
        <w:ind w:left="0"/>
        <w:jc w:val="both"/>
      </w:pPr>
      <w:r>
        <w:rPr>
          <w:rFonts w:ascii="Times New Roman"/>
          <w:b w:val="false"/>
          <w:i w:val="false"/>
          <w:color w:val="000000"/>
          <w:sz w:val="28"/>
        </w:rPr>
        <w:t>
      J</w:t>
      </w:r>
      <w:r>
        <w:rPr>
          <w:rFonts w:ascii="Times New Roman"/>
          <w:b w:val="false"/>
          <w:i w:val="false"/>
          <w:color w:val="000000"/>
          <w:vertAlign w:val="subscript"/>
        </w:rPr>
        <w:t>max</w:t>
      </w:r>
      <w:r>
        <w:rPr>
          <w:rFonts w:ascii="Times New Roman"/>
          <w:b w:val="false"/>
          <w:i w:val="false"/>
          <w:color w:val="000000"/>
          <w:sz w:val="28"/>
        </w:rPr>
        <w:t xml:space="preserve"> = 48/ L</w:t>
      </w:r>
      <w:r>
        <w:rPr>
          <w:rFonts w:ascii="Times New Roman"/>
          <w:b w:val="false"/>
          <w:i w:val="false"/>
          <w:color w:val="000000"/>
          <w:vertAlign w:val="subscript"/>
        </w:rPr>
        <w:t>s</w:t>
      </w:r>
      <w:r>
        <w:rPr>
          <w:rFonts w:ascii="Times New Roman"/>
          <w:b w:val="false"/>
          <w:i w:val="false"/>
          <w:color w:val="000000"/>
          <w:sz w:val="28"/>
        </w:rPr>
        <w:t>, но не более 0,24;</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y</w:t>
      </w:r>
      <w:r>
        <w:rPr>
          <w:rFonts w:ascii="Times New Roman"/>
          <w:b w:val="false"/>
          <w:i w:val="false"/>
          <w:color w:val="000000"/>
          <w:vertAlign w:val="superscript"/>
        </w:rPr>
        <w:t>2</w:t>
      </w:r>
      <w:r>
        <w:rPr>
          <w:rFonts w:ascii="Times New Roman"/>
          <w:b w:val="false"/>
          <w:i w:val="false"/>
          <w:color w:val="000000"/>
          <w:sz w:val="28"/>
        </w:rPr>
        <w:t>—y</w:t>
      </w:r>
      <w:r>
        <w:rPr>
          <w:rFonts w:ascii="Times New Roman"/>
          <w:b w:val="false"/>
          <w:i w:val="false"/>
          <w:color w:val="000000"/>
          <w:vertAlign w:val="superscript"/>
        </w:rPr>
        <w:t>3</w:t>
      </w:r>
      <w:r>
        <w:rPr>
          <w:rFonts w:ascii="Times New Roman"/>
          <w:b w:val="false"/>
          <w:i w:val="false"/>
          <w:color w:val="000000"/>
          <w:sz w:val="28"/>
        </w:rPr>
        <w:t>/3, если у&lt;1;</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=y</w:t>
      </w:r>
      <w:r>
        <w:rPr>
          <w:rFonts w:ascii="Times New Roman"/>
          <w:b w:val="false"/>
          <w:i w:val="false"/>
          <w:color w:val="000000"/>
          <w:vertAlign w:val="superscript"/>
        </w:rPr>
        <w:t>3</w:t>
      </w:r>
      <w:r>
        <w:rPr>
          <w:rFonts w:ascii="Times New Roman"/>
          <w:b w:val="false"/>
          <w:i w:val="false"/>
          <w:color w:val="000000"/>
          <w:sz w:val="28"/>
        </w:rPr>
        <w:t>/3 — y</w:t>
      </w:r>
      <w:r>
        <w:rPr>
          <w:rFonts w:ascii="Times New Roman"/>
          <w:b w:val="false"/>
          <w:i w:val="false"/>
          <w:color w:val="000000"/>
          <w:vertAlign w:val="superscript"/>
        </w:rPr>
        <w:t>4</w:t>
      </w:r>
      <w:r>
        <w:rPr>
          <w:rFonts w:ascii="Times New Roman"/>
          <w:b w:val="false"/>
          <w:i w:val="false"/>
          <w:color w:val="000000"/>
          <w:sz w:val="28"/>
        </w:rPr>
        <w:t>/14, если у&lt;1;</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=y</w:t>
      </w:r>
      <w:r>
        <w:rPr>
          <w:rFonts w:ascii="Times New Roman"/>
          <w:b w:val="false"/>
          <w:i w:val="false"/>
          <w:color w:val="000000"/>
          <w:vertAlign w:val="superscript"/>
        </w:rPr>
        <w:t>2</w:t>
      </w:r>
      <w:r>
        <w:rPr>
          <w:rFonts w:ascii="Times New Roman"/>
          <w:b w:val="false"/>
          <w:i w:val="false"/>
          <w:color w:val="000000"/>
          <w:sz w:val="28"/>
        </w:rPr>
        <w:t>/2—y/3+1/12, если у</w:t>
      </w:r>
      <w:r>
        <w:rPr>
          <w:rFonts w:ascii="Times New Roman"/>
          <w:b w:val="false"/>
          <w:i w:val="false"/>
          <w:color w:val="000000"/>
          <w:sz w:val="28"/>
          <w:u w:val="single"/>
        </w:rPr>
        <w:t>&gt;</w:t>
      </w:r>
      <w:r>
        <w:rPr>
          <w:rFonts w:ascii="Times New Roman"/>
          <w:b w:val="false"/>
          <w:i w:val="false"/>
          <w:color w:val="000000"/>
          <w:sz w:val="28"/>
        </w:rPr>
        <w:t>1;</w:t>
      </w:r>
    </w:p>
    <w:p>
      <w:pPr>
        <w:spacing w:after="0"/>
        <w:ind w:left="0"/>
        <w:jc w:val="both"/>
      </w:pPr>
      <w:r>
        <w:rPr>
          <w:rFonts w:ascii="Times New Roman"/>
          <w:b w:val="false"/>
          <w:i w:val="false"/>
          <w:color w:val="000000"/>
          <w:sz w:val="28"/>
        </w:rPr>
        <w:t>
      y = J/J</w:t>
      </w:r>
      <w:r>
        <w:rPr>
          <w:rFonts w:ascii="Times New Roman"/>
          <w:b w:val="false"/>
          <w:i w:val="false"/>
          <w:color w:val="000000"/>
          <w:vertAlign w:val="subscript"/>
        </w:rPr>
        <w:t>max</w:t>
      </w:r>
    </w:p>
    <w:bookmarkStart w:name="z5716" w:id="5704"/>
    <w:p>
      <w:pPr>
        <w:spacing w:after="0"/>
        <w:ind w:left="0"/>
        <w:jc w:val="both"/>
      </w:pPr>
      <w:r>
        <w:rPr>
          <w:rFonts w:ascii="Times New Roman"/>
          <w:b w:val="false"/>
          <w:i w:val="false"/>
          <w:color w:val="000000"/>
          <w:sz w:val="28"/>
        </w:rPr>
        <w:t>
      1833. Значения p</w:t>
      </w:r>
      <w:r>
        <w:rPr>
          <w:rFonts w:ascii="Times New Roman"/>
          <w:b w:val="false"/>
          <w:i w:val="false"/>
          <w:color w:val="000000"/>
          <w:vertAlign w:val="subscript"/>
        </w:rPr>
        <w:t>i</w:t>
      </w:r>
      <w:r>
        <w:rPr>
          <w:rFonts w:ascii="Times New Roman"/>
          <w:b w:val="false"/>
          <w:i w:val="false"/>
          <w:color w:val="000000"/>
          <w:sz w:val="28"/>
        </w:rPr>
        <w:t>, полученные по формулам (692), (693) и (694) настоящих Правил, для отсека, перекрывающего середину длину L</w:t>
      </w:r>
      <w:r>
        <w:rPr>
          <w:rFonts w:ascii="Times New Roman"/>
          <w:b w:val="false"/>
          <w:i w:val="false"/>
          <w:color w:val="000000"/>
          <w:vertAlign w:val="subscript"/>
        </w:rPr>
        <w:t>s</w:t>
      </w:r>
      <w:r>
        <w:rPr>
          <w:rFonts w:ascii="Times New Roman"/>
          <w:b w:val="false"/>
          <w:i w:val="false"/>
          <w:color w:val="000000"/>
          <w:sz w:val="28"/>
        </w:rPr>
        <w:t>, должны быть уменьшены на величину, определенную по формуле (698) настоящих Правил, где величину F</w:t>
      </w:r>
      <w:r>
        <w:rPr>
          <w:rFonts w:ascii="Times New Roman"/>
          <w:b w:val="false"/>
          <w:i w:val="false"/>
          <w:color w:val="000000"/>
          <w:vertAlign w:val="subscript"/>
        </w:rPr>
        <w:t>2</w:t>
      </w:r>
      <w:r>
        <w:rPr>
          <w:rFonts w:ascii="Times New Roman"/>
          <w:b w:val="false"/>
          <w:i w:val="false"/>
          <w:color w:val="000000"/>
          <w:sz w:val="28"/>
        </w:rPr>
        <w:t xml:space="preserve"> рассчитывают, принимая, что</w:t>
      </w:r>
    </w:p>
    <w:bookmarkEnd w:id="5704"/>
    <w:p>
      <w:pPr>
        <w:spacing w:after="0"/>
        <w:ind w:left="0"/>
        <w:jc w:val="both"/>
      </w:pPr>
      <w:r>
        <w:rPr>
          <w:rFonts w:ascii="Times New Roman"/>
          <w:b w:val="false"/>
          <w:i w:val="false"/>
          <w:color w:val="000000"/>
          <w:sz w:val="28"/>
        </w:rPr>
        <w:t>
                              y = J'/J</w:t>
      </w:r>
      <w:r>
        <w:rPr>
          <w:rFonts w:ascii="Times New Roman"/>
          <w:b w:val="false"/>
          <w:i w:val="false"/>
          <w:color w:val="000000"/>
          <w:vertAlign w:val="subscript"/>
        </w:rPr>
        <w:t>max</w:t>
      </w:r>
      <w:r>
        <w:rPr>
          <w:rFonts w:ascii="Times New Roman"/>
          <w:b w:val="false"/>
          <w:i w:val="false"/>
          <w:color w:val="000000"/>
          <w:sz w:val="28"/>
        </w:rPr>
        <w:t>,                             (699)</w:t>
      </w:r>
    </w:p>
    <w:p>
      <w:pPr>
        <w:spacing w:after="0"/>
        <w:ind w:left="0"/>
        <w:jc w:val="both"/>
      </w:pPr>
      <w:r>
        <w:rPr>
          <w:rFonts w:ascii="Times New Roman"/>
          <w:b w:val="false"/>
          <w:i w:val="false"/>
          <w:color w:val="000000"/>
          <w:sz w:val="28"/>
        </w:rPr>
        <w:t>
      где J' = J-Е, если Е</w:t>
      </w:r>
      <w:r>
        <w:rPr>
          <w:rFonts w:ascii="Times New Roman"/>
          <w:b w:val="false"/>
          <w:i w:val="false"/>
          <w:color w:val="000000"/>
          <w:sz w:val="28"/>
          <w:u w:val="single"/>
        </w:rPr>
        <w:t>&gt;</w:t>
      </w:r>
      <w:r>
        <w:rPr>
          <w:rFonts w:ascii="Times New Roman"/>
          <w:b w:val="false"/>
          <w:i w:val="false"/>
          <w:color w:val="000000"/>
          <w:sz w:val="28"/>
        </w:rPr>
        <w:t>0.</w:t>
      </w:r>
    </w:p>
    <w:p>
      <w:pPr>
        <w:spacing w:after="0"/>
        <w:ind w:left="0"/>
        <w:jc w:val="both"/>
      </w:pPr>
      <w:r>
        <w:rPr>
          <w:rFonts w:ascii="Times New Roman"/>
          <w:b w:val="false"/>
          <w:i w:val="false"/>
          <w:color w:val="000000"/>
          <w:sz w:val="28"/>
        </w:rPr>
        <w:t>
      J' = J +Е, если Е&lt;0.</w:t>
      </w:r>
    </w:p>
    <w:bookmarkStart w:name="z5717" w:id="5705"/>
    <w:p>
      <w:pPr>
        <w:spacing w:after="0"/>
        <w:ind w:left="0"/>
        <w:jc w:val="both"/>
      </w:pPr>
      <w:r>
        <w:rPr>
          <w:rFonts w:ascii="Times New Roman"/>
          <w:b w:val="false"/>
          <w:i w:val="false"/>
          <w:color w:val="000000"/>
          <w:sz w:val="28"/>
        </w:rPr>
        <w:t>
      1834. При учете деления судна продольными водонепроницаемыми переборками для бортового отсека вероятность W равна величине rр. Вероятность r неповреждения продольной переборки определяется по следующим формулам:</w:t>
      </w:r>
    </w:p>
    <w:bookmarkEnd w:id="5705"/>
    <w:bookmarkStart w:name="z5718" w:id="5706"/>
    <w:p>
      <w:pPr>
        <w:spacing w:after="0"/>
        <w:ind w:left="0"/>
        <w:jc w:val="both"/>
      </w:pPr>
      <w:r>
        <w:rPr>
          <w:rFonts w:ascii="Times New Roman"/>
          <w:b w:val="false"/>
          <w:i w:val="false"/>
          <w:color w:val="000000"/>
          <w:sz w:val="28"/>
        </w:rPr>
        <w:t>
      1) при J</w:t>
      </w:r>
      <w:r>
        <w:rPr>
          <w:rFonts w:ascii="Times New Roman"/>
          <w:b w:val="false"/>
          <w:i w:val="false"/>
          <w:color w:val="000000"/>
          <w:sz w:val="28"/>
          <w:u w:val="single"/>
        </w:rPr>
        <w:t>&gt;</w:t>
      </w:r>
      <w:r>
        <w:rPr>
          <w:rFonts w:ascii="Times New Roman"/>
          <w:b w:val="false"/>
          <w:i w:val="false"/>
          <w:color w:val="000000"/>
          <w:sz w:val="28"/>
        </w:rPr>
        <w:t>0,2b/B</w:t>
      </w:r>
    </w:p>
    <w:bookmarkEnd w:id="57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00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6"/>
                    <a:stretch>
                      <a:fillRect/>
                    </a:stretch>
                  </pic:blipFill>
                  <pic:spPr>
                    <a:xfrm>
                      <a:off x="0" y="0"/>
                      <a:ext cx="56007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9" w:id="5707"/>
    <w:p>
      <w:pPr>
        <w:spacing w:after="0"/>
        <w:ind w:left="0"/>
        <w:jc w:val="both"/>
      </w:pPr>
      <w:r>
        <w:rPr>
          <w:rFonts w:ascii="Times New Roman"/>
          <w:b w:val="false"/>
          <w:i w:val="false"/>
          <w:color w:val="000000"/>
          <w:sz w:val="28"/>
        </w:rPr>
        <w:t>
      2) при J&lt;0,2b/B коэффициент r определяется линейной интерполяцией между r=1 для J=0 и величиной r, определенной по формулам (700), (701) настоящих Правил для J=0,2b/B.</w:t>
      </w:r>
    </w:p>
    <w:bookmarkEnd w:id="5707"/>
    <w:bookmarkStart w:name="z5720" w:id="5708"/>
    <w:p>
      <w:pPr>
        <w:spacing w:after="0"/>
        <w:ind w:left="0"/>
        <w:jc w:val="both"/>
      </w:pPr>
      <w:r>
        <w:rPr>
          <w:rFonts w:ascii="Times New Roman"/>
          <w:b w:val="false"/>
          <w:i w:val="false"/>
          <w:color w:val="000000"/>
          <w:sz w:val="28"/>
        </w:rPr>
        <w:t>
      Величина b определяется, как указано в приложении.</w:t>
      </w:r>
    </w:p>
    <w:bookmarkEnd w:id="5708"/>
    <w:bookmarkStart w:name="z5721" w:id="5709"/>
    <w:p>
      <w:pPr>
        <w:spacing w:after="0"/>
        <w:ind w:left="0"/>
        <w:jc w:val="both"/>
      </w:pPr>
      <w:r>
        <w:rPr>
          <w:rFonts w:ascii="Times New Roman"/>
          <w:b w:val="false"/>
          <w:i w:val="false"/>
          <w:color w:val="000000"/>
          <w:sz w:val="28"/>
        </w:rPr>
        <w:t>
      1835. Значение вероятности s</w:t>
      </w:r>
      <w:r>
        <w:rPr>
          <w:rFonts w:ascii="Times New Roman"/>
          <w:b w:val="false"/>
          <w:i w:val="false"/>
          <w:color w:val="000000"/>
          <w:vertAlign w:val="subscript"/>
        </w:rPr>
        <w:t>i</w:t>
      </w:r>
      <w:r>
        <w:rPr>
          <w:rFonts w:ascii="Times New Roman"/>
          <w:b w:val="false"/>
          <w:i w:val="false"/>
          <w:color w:val="000000"/>
          <w:sz w:val="28"/>
        </w:rPr>
        <w:t xml:space="preserve"> для каждого отдельного </w:t>
      </w:r>
      <w:r>
        <w:rPr>
          <w:rFonts w:ascii="Times New Roman"/>
          <w:b w:val="false"/>
          <w:i/>
          <w:color w:val="000000"/>
          <w:sz w:val="28"/>
        </w:rPr>
        <w:t>i</w:t>
      </w:r>
      <w:r>
        <w:rPr>
          <w:rFonts w:ascii="Times New Roman"/>
          <w:b w:val="false"/>
          <w:i w:val="false"/>
          <w:color w:val="000000"/>
          <w:sz w:val="28"/>
        </w:rPr>
        <w:t>-го отсека или группы смежных отсеков определяется по формуле:</w:t>
      </w:r>
    </w:p>
    <w:bookmarkEnd w:id="5709"/>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=0,5 s</w:t>
      </w:r>
      <w:r>
        <w:rPr>
          <w:rFonts w:ascii="Times New Roman"/>
          <w:b w:val="false"/>
          <w:i w:val="false"/>
          <w:color w:val="000000"/>
          <w:vertAlign w:val="subscript"/>
        </w:rPr>
        <w:t>i</w:t>
      </w:r>
      <w:r>
        <w:rPr>
          <w:rFonts w:ascii="Times New Roman"/>
          <w:b w:val="false"/>
          <w:i w:val="false"/>
          <w:color w:val="000000"/>
          <w:sz w:val="28"/>
        </w:rPr>
        <w:t xml:space="preserve"> +0,5 s</w:t>
      </w:r>
      <w:r>
        <w:rPr>
          <w:rFonts w:ascii="Times New Roman"/>
          <w:b w:val="false"/>
          <w:i w:val="false"/>
          <w:color w:val="000000"/>
          <w:vertAlign w:val="subscript"/>
        </w:rPr>
        <w:t>p</w:t>
      </w:r>
      <w:r>
        <w:rPr>
          <w:rFonts w:ascii="Times New Roman"/>
          <w:b w:val="false"/>
          <w:i w:val="false"/>
          <w:color w:val="000000"/>
          <w:sz w:val="28"/>
        </w:rPr>
        <w:t>,                      (702)</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i</w:t>
      </w:r>
      <w:r>
        <w:rPr>
          <w:rFonts w:ascii="Times New Roman"/>
          <w:b w:val="false"/>
          <w:i w:val="false"/>
          <w:color w:val="000000"/>
          <w:sz w:val="28"/>
        </w:rPr>
        <w:t xml:space="preserve"> — вероятность s, рассчитанная для самой высокой грузовой ватерлинии деления на отсеки, соответствующей осадке по летнюю грузовую марку;</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p</w:t>
      </w:r>
      <w:r>
        <w:rPr>
          <w:rFonts w:ascii="Times New Roman"/>
          <w:b w:val="false"/>
          <w:i w:val="false"/>
          <w:color w:val="000000"/>
          <w:sz w:val="28"/>
        </w:rPr>
        <w:t xml:space="preserve"> — вероятность </w:t>
      </w:r>
      <w:r>
        <w:rPr>
          <w:rFonts w:ascii="Times New Roman"/>
          <w:b w:val="false"/>
          <w:i/>
          <w:color w:val="000000"/>
          <w:sz w:val="28"/>
        </w:rPr>
        <w:t>s</w:t>
      </w:r>
      <w:r>
        <w:rPr>
          <w:rFonts w:ascii="Times New Roman"/>
          <w:b w:val="false"/>
          <w:i w:val="false"/>
          <w:color w:val="000000"/>
          <w:sz w:val="28"/>
        </w:rPr>
        <w:t>, рассчитанная для промежуточной осадки судна, соответствующей осадке судна порожнем плюс 60 % разницы между осадкой по летнюю грузовую марку и осадкой порожнем.</w:t>
      </w:r>
    </w:p>
    <w:bookmarkStart w:name="z5722" w:id="5710"/>
    <w:p>
      <w:pPr>
        <w:spacing w:after="0"/>
        <w:ind w:left="0"/>
        <w:jc w:val="both"/>
      </w:pPr>
      <w:r>
        <w:rPr>
          <w:rFonts w:ascii="Times New Roman"/>
          <w:b w:val="false"/>
          <w:i w:val="false"/>
          <w:color w:val="000000"/>
          <w:sz w:val="28"/>
        </w:rPr>
        <w:t xml:space="preserve">
      1836. Вероятность </w:t>
      </w:r>
      <w:r>
        <w:rPr>
          <w:rFonts w:ascii="Times New Roman"/>
          <w:b w:val="false"/>
          <w:i/>
          <w:color w:val="000000"/>
          <w:sz w:val="28"/>
        </w:rPr>
        <w:t>s</w:t>
      </w:r>
      <w:r>
        <w:rPr>
          <w:rFonts w:ascii="Times New Roman"/>
          <w:b w:val="false"/>
          <w:i w:val="false"/>
          <w:color w:val="000000"/>
          <w:sz w:val="28"/>
        </w:rPr>
        <w:t>, если не оговорено иное, для любого случая затопления при любом допустимом в эксплуатации случае нагрузки неповрежденного судна определяется по формуле:</w:t>
      </w:r>
    </w:p>
    <w:bookmarkEnd w:id="5710"/>
    <w:p>
      <w:pPr>
        <w:spacing w:after="0"/>
        <w:ind w:left="0"/>
        <w:jc w:val="both"/>
      </w:pPr>
      <w:r>
        <w:rPr>
          <w:rFonts w:ascii="Times New Roman"/>
          <w:b w:val="false"/>
          <w:i w:val="false"/>
          <w:color w:val="000000"/>
          <w:sz w:val="28"/>
        </w:rPr>
        <w:t xml:space="preserve">
      s = </w:t>
      </w:r>
    </w:p>
    <w:p>
      <w:pPr>
        <w:spacing w:after="0"/>
        <w:ind w:left="0"/>
        <w:jc w:val="both"/>
      </w:pPr>
      <w:r>
        <w:drawing>
          <wp:inline distT="0" distB="0" distL="0" distR="0">
            <wp:extent cx="1397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7"/>
                    <a:stretch>
                      <a:fillRect/>
                    </a:stretch>
                  </pic:blipFill>
                  <pic:spPr>
                    <a:xfrm>
                      <a:off x="0" y="0"/>
                      <a:ext cx="1397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 1, если Ө</w:t>
      </w:r>
      <w:r>
        <w:rPr>
          <w:rFonts w:ascii="Times New Roman"/>
          <w:b w:val="false"/>
          <w:i w:val="false"/>
          <w:color w:val="000000"/>
          <w:vertAlign w:val="subscript"/>
        </w:rPr>
        <w:t>е</w:t>
      </w:r>
      <w:r>
        <w:rPr>
          <w:rFonts w:ascii="Times New Roman"/>
          <w:b w:val="false"/>
          <w:i w:val="false"/>
          <w:color w:val="000000"/>
          <w:sz w:val="28"/>
        </w:rPr>
        <w:t xml:space="preserve"> &lt; 25</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С= 0, если Ө</w:t>
      </w:r>
      <w:r>
        <w:rPr>
          <w:rFonts w:ascii="Times New Roman"/>
          <w:b w:val="false"/>
          <w:i w:val="false"/>
          <w:color w:val="000000"/>
          <w:vertAlign w:val="subscript"/>
        </w:rPr>
        <w:t>е</w:t>
      </w:r>
      <w:r>
        <w:rPr>
          <w:rFonts w:ascii="Times New Roman"/>
          <w:b w:val="false"/>
          <w:i w:val="false"/>
          <w:color w:val="000000"/>
          <w:sz w:val="28"/>
        </w:rPr>
        <w:t xml:space="preserve"> &gt; 30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С= [(30-Ө</w:t>
      </w:r>
      <w:r>
        <w:rPr>
          <w:rFonts w:ascii="Times New Roman"/>
          <w:b w:val="false"/>
          <w:i w:val="false"/>
          <w:color w:val="000000"/>
          <w:vertAlign w:val="subscript"/>
        </w:rPr>
        <w:t>е</w:t>
      </w:r>
      <w:r>
        <w:rPr>
          <w:rFonts w:ascii="Times New Roman"/>
          <w:b w:val="false"/>
          <w:i w:val="false"/>
          <w:color w:val="000000"/>
          <w:sz w:val="28"/>
        </w:rPr>
        <w:t>)/5]</w:t>
      </w:r>
      <w:r>
        <w:rPr>
          <w:rFonts w:ascii="Times New Roman"/>
          <w:b w:val="false"/>
          <w:i w:val="false"/>
          <w:color w:val="000000"/>
          <w:vertAlign w:val="superscript"/>
        </w:rPr>
        <w:t>1/2</w:t>
      </w:r>
      <w:r>
        <w:rPr>
          <w:rFonts w:ascii="Times New Roman"/>
          <w:b w:val="false"/>
          <w:i w:val="false"/>
          <w:color w:val="000000"/>
          <w:sz w:val="28"/>
        </w:rPr>
        <w:t>, если 25</w:t>
      </w:r>
      <w:r>
        <w:rPr>
          <w:rFonts w:ascii="Times New Roman"/>
          <w:b w:val="false"/>
          <w:i w:val="false"/>
          <w:color w:val="000000"/>
          <w:vertAlign w:val="superscript"/>
        </w:rPr>
        <w:t>о</w:t>
      </w:r>
      <w:r>
        <w:rPr>
          <w:rFonts w:ascii="Times New Roman"/>
          <w:b w:val="false"/>
          <w:i w:val="false"/>
          <w:color w:val="000000"/>
          <w:sz w:val="28"/>
        </w:rPr>
        <w:t>&lt;Ө</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30</w:t>
      </w:r>
      <w:r>
        <w:rPr>
          <w:rFonts w:ascii="Times New Roman"/>
          <w:b w:val="false"/>
          <w:i w:val="false"/>
          <w:color w:val="000000"/>
          <w:vertAlign w:val="superscript"/>
        </w:rPr>
        <w:t>o</w:t>
      </w:r>
      <w:r>
        <w:rPr>
          <w:rFonts w:ascii="Times New Roman"/>
          <w:b w:val="false"/>
          <w:i w:val="false"/>
          <w:color w:val="000000"/>
          <w:sz w:val="28"/>
        </w:rPr>
        <w:t>;</w:t>
      </w:r>
    </w:p>
    <w:p>
      <w:pPr>
        <w:spacing w:after="0"/>
        <w:ind w:left="0"/>
        <w:jc w:val="both"/>
      </w:pPr>
      <w:r>
        <w:rPr>
          <w:rFonts w:ascii="Times New Roman"/>
          <w:b w:val="false"/>
          <w:i w:val="false"/>
          <w:color w:val="000000"/>
          <w:sz w:val="28"/>
        </w:rPr>
        <w:t>
      GZ</w:t>
      </w:r>
      <w:r>
        <w:rPr>
          <w:rFonts w:ascii="Times New Roman"/>
          <w:b w:val="false"/>
          <w:i w:val="false"/>
          <w:color w:val="000000"/>
          <w:vertAlign w:val="subscript"/>
        </w:rPr>
        <w:t>max</w:t>
      </w:r>
      <w:r>
        <w:rPr>
          <w:rFonts w:ascii="Times New Roman"/>
          <w:b w:val="false"/>
          <w:i w:val="false"/>
          <w:color w:val="000000"/>
          <w:sz w:val="28"/>
        </w:rPr>
        <w:t xml:space="preserve"> — максимальное положительное значение плеча диаграммы статической остойчивости, м, в пределах </w:t>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8"/>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но не более 0,1 м;</w:t>
      </w:r>
      <w:r>
        <w:br/>
      </w: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9"/>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протяженность положительного участка диаграммы статической остойчивости поврежденного судна, град, с учетом угла заливания, но не более 20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е</w:t>
      </w:r>
      <w:r>
        <w:rPr>
          <w:rFonts w:ascii="Times New Roman"/>
          <w:b w:val="false"/>
          <w:i w:val="false"/>
          <w:color w:val="000000"/>
          <w:sz w:val="28"/>
        </w:rPr>
        <w:t xml:space="preserve"> — угол крена в конечной стадии затопления (до спрямления), град.</w:t>
      </w:r>
    </w:p>
    <w:bookmarkStart w:name="z5723" w:id="5711"/>
    <w:p>
      <w:pPr>
        <w:spacing w:after="0"/>
        <w:ind w:left="0"/>
        <w:jc w:val="both"/>
      </w:pPr>
      <w:r>
        <w:rPr>
          <w:rFonts w:ascii="Times New Roman"/>
          <w:b w:val="false"/>
          <w:i w:val="false"/>
          <w:color w:val="000000"/>
          <w:sz w:val="28"/>
        </w:rPr>
        <w:t xml:space="preserve">
      Значение </w:t>
      </w:r>
      <w:r>
        <w:rPr>
          <w:rFonts w:ascii="Times New Roman"/>
          <w:b w:val="false"/>
          <w:i/>
          <w:color w:val="000000"/>
          <w:sz w:val="28"/>
        </w:rPr>
        <w:t>s</w:t>
      </w:r>
      <w:r>
        <w:rPr>
          <w:rFonts w:ascii="Times New Roman"/>
          <w:b w:val="false"/>
          <w:i w:val="false"/>
          <w:color w:val="000000"/>
          <w:sz w:val="28"/>
        </w:rPr>
        <w:t xml:space="preserve"> принимается равным 0, если в конечной стадии затопления (без учета спрямления) нижняя кромка отверстия, через которое возможно прогрессирующее затопление судна, погружается в воду. Под такими отверстиями понимаются отверстия, указанные в пункте 1859 настоящих Правил.</w:t>
      </w:r>
    </w:p>
    <w:bookmarkEnd w:id="5711"/>
    <w:bookmarkStart w:name="z5724" w:id="5712"/>
    <w:p>
      <w:pPr>
        <w:spacing w:after="0"/>
        <w:ind w:left="0"/>
        <w:jc w:val="both"/>
      </w:pPr>
      <w:r>
        <w:rPr>
          <w:rFonts w:ascii="Times New Roman"/>
          <w:b w:val="false"/>
          <w:i w:val="false"/>
          <w:color w:val="000000"/>
          <w:sz w:val="28"/>
        </w:rPr>
        <w:t>
      В качестве расчетного значения величины s следует принимать наименьшее из значений s, определенное для наиболее неблагоприятных случаев затопления рассматриваемого отсека или группы смежных отсеков.</w:t>
      </w:r>
    </w:p>
    <w:bookmarkEnd w:id="5712"/>
    <w:bookmarkStart w:name="z5725" w:id="5713"/>
    <w:p>
      <w:pPr>
        <w:spacing w:after="0"/>
        <w:ind w:left="0"/>
        <w:jc w:val="both"/>
      </w:pPr>
      <w:r>
        <w:rPr>
          <w:rFonts w:ascii="Times New Roman"/>
          <w:b w:val="false"/>
          <w:i w:val="false"/>
          <w:color w:val="000000"/>
          <w:sz w:val="28"/>
        </w:rPr>
        <w:t>
      1837. При учете горизонтального деления на отсеки выше рассматриваемой ватерлинии неповрежденного судна (положения ватерлиний определены в пункте 1835 настоящих Правил), значения параметра s определяются следующим образом:</w:t>
      </w:r>
    </w:p>
    <w:bookmarkEnd w:id="5713"/>
    <w:bookmarkStart w:name="z5726" w:id="5714"/>
    <w:p>
      <w:pPr>
        <w:spacing w:after="0"/>
        <w:ind w:left="0"/>
        <w:jc w:val="both"/>
      </w:pPr>
      <w:r>
        <w:rPr>
          <w:rFonts w:ascii="Times New Roman"/>
          <w:b w:val="false"/>
          <w:i w:val="false"/>
          <w:color w:val="000000"/>
          <w:sz w:val="28"/>
        </w:rPr>
        <w:t xml:space="preserve">
      1) для отсека или группы смежных отсеков, расположенных ниже горизонтальной водонепроницаемой конструкции, которая находится непосредственно над ватерлинией или выше, параметр s, определенный в соответствии с пунктом 1836 настоящих Правил, умножается на редукционный коэффициент </w:t>
      </w:r>
      <w:r>
        <w:rPr>
          <w:rFonts w:ascii="Times New Roman"/>
          <w:b w:val="false"/>
          <w:i/>
          <w:color w:val="000000"/>
          <w:sz w:val="28"/>
        </w:rPr>
        <w:t>v</w:t>
      </w:r>
      <w:r>
        <w:rPr>
          <w:rFonts w:ascii="Times New Roman"/>
          <w:b w:val="false"/>
          <w:i w:val="false"/>
          <w:color w:val="000000"/>
          <w:sz w:val="28"/>
        </w:rPr>
        <w:t>, представляющий вероятность того, что не произойдет затопления рассматриваемой выше горизонтальной водонепроницаемой конструкции, и определяемый следующим образом:</w:t>
      </w:r>
    </w:p>
    <w:bookmarkEnd w:id="5714"/>
    <w:p>
      <w:pPr>
        <w:spacing w:after="0"/>
        <w:ind w:left="0"/>
        <w:jc w:val="both"/>
      </w:pPr>
      <w:r>
        <w:rPr>
          <w:rFonts w:ascii="Times New Roman"/>
          <w:b w:val="false"/>
          <w:i w:val="false"/>
          <w:color w:val="000000"/>
          <w:sz w:val="28"/>
        </w:rPr>
        <w:t>
                        v</w:t>
      </w:r>
      <w:r>
        <w:rPr>
          <w:rFonts w:ascii="Times New Roman"/>
          <w:b w:val="false"/>
          <w:i w:val="false"/>
          <w:color w:val="000000"/>
          <w:vertAlign w:val="subscript"/>
        </w:rPr>
        <w:t>j</w:t>
      </w:r>
      <w:r>
        <w:rPr>
          <w:rFonts w:ascii="Times New Roman"/>
          <w:b w:val="false"/>
          <w:i w:val="false"/>
          <w:color w:val="000000"/>
          <w:sz w:val="28"/>
        </w:rPr>
        <w:t>, = (Н - d</w:t>
      </w:r>
      <w:r>
        <w:rPr>
          <w:rFonts w:ascii="Times New Roman"/>
          <w:b w:val="false"/>
          <w:i w:val="false"/>
          <w:color w:val="000000"/>
          <w:vertAlign w:val="subscript"/>
        </w:rPr>
        <w:t>j</w:t>
      </w:r>
      <w:r>
        <w:rPr>
          <w:rFonts w:ascii="Times New Roman"/>
          <w:b w:val="false"/>
          <w:i w:val="false"/>
          <w:color w:val="000000"/>
          <w:sz w:val="28"/>
        </w:rPr>
        <w:t>)/(H</w:t>
      </w:r>
      <w:r>
        <w:rPr>
          <w:rFonts w:ascii="Times New Roman"/>
          <w:b w:val="false"/>
          <w:i w:val="false"/>
          <w:color w:val="000000"/>
          <w:vertAlign w:val="subscript"/>
        </w:rPr>
        <w:t>max</w:t>
      </w:r>
      <w:r>
        <w:rPr>
          <w:rFonts w:ascii="Times New Roman"/>
          <w:b w:val="false"/>
          <w:i w:val="false"/>
          <w:color w:val="000000"/>
          <w:sz w:val="28"/>
        </w:rPr>
        <w:t xml:space="preserve"> - d</w:t>
      </w:r>
      <w:r>
        <w:rPr>
          <w:rFonts w:ascii="Times New Roman"/>
          <w:b w:val="false"/>
          <w:i w:val="false"/>
          <w:color w:val="000000"/>
          <w:vertAlign w:val="subscript"/>
        </w:rPr>
        <w:t>j</w:t>
      </w:r>
      <w:r>
        <w:rPr>
          <w:rFonts w:ascii="Times New Roman"/>
          <w:b w:val="false"/>
          <w:i w:val="false"/>
          <w:color w:val="000000"/>
          <w:sz w:val="28"/>
        </w:rPr>
        <w:t>), но не более 1,     (704)</w:t>
      </w:r>
    </w:p>
    <w:p>
      <w:pPr>
        <w:spacing w:after="0"/>
        <w:ind w:left="0"/>
        <w:jc w:val="both"/>
      </w:pPr>
      <w:r>
        <w:rPr>
          <w:rFonts w:ascii="Times New Roman"/>
          <w:b w:val="false"/>
          <w:i w:val="false"/>
          <w:color w:val="000000"/>
          <w:sz w:val="28"/>
        </w:rPr>
        <w:t>
      где Н — высота расположения над основной плоскостью горизонтальной водонепроницаемой конструкции, ограничивающей вертикальную протяженность повреждения, м;</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mах</w:t>
      </w:r>
      <w:r>
        <w:rPr>
          <w:rFonts w:ascii="Times New Roman"/>
          <w:b w:val="false"/>
          <w:i w:val="false"/>
          <w:color w:val="000000"/>
          <w:sz w:val="28"/>
        </w:rPr>
        <w:t xml:space="preserve"> — наибольшая возможная вертикальная протяженность повреждения над основной плоскостью, м, равная</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mах</w:t>
      </w:r>
      <w:r>
        <w:rPr>
          <w:rFonts w:ascii="Times New Roman"/>
          <w:b w:val="false"/>
          <w:i w:val="false"/>
          <w:color w:val="000000"/>
          <w:sz w:val="28"/>
        </w:rPr>
        <w:t xml:space="preserve"> = d</w:t>
      </w:r>
      <w:r>
        <w:rPr>
          <w:rFonts w:ascii="Times New Roman"/>
          <w:b w:val="false"/>
          <w:i w:val="false"/>
          <w:color w:val="000000"/>
          <w:vertAlign w:val="subscript"/>
        </w:rPr>
        <w:t>j</w:t>
      </w:r>
      <w:r>
        <w:rPr>
          <w:rFonts w:ascii="Times New Roman"/>
          <w:b w:val="false"/>
          <w:i w:val="false"/>
          <w:color w:val="000000"/>
          <w:sz w:val="28"/>
        </w:rPr>
        <w:t xml:space="preserve"> +0,056 L</w:t>
      </w:r>
      <w:r>
        <w:rPr>
          <w:rFonts w:ascii="Times New Roman"/>
          <w:b w:val="false"/>
          <w:i w:val="false"/>
          <w:color w:val="000000"/>
          <w:vertAlign w:val="subscript"/>
        </w:rPr>
        <w:t>s</w:t>
      </w:r>
      <w:r>
        <w:rPr>
          <w:rFonts w:ascii="Times New Roman"/>
          <w:b w:val="false"/>
          <w:i w:val="false"/>
          <w:color w:val="000000"/>
          <w:sz w:val="28"/>
        </w:rPr>
        <w:t xml:space="preserve"> (1- L</w:t>
      </w:r>
      <w:r>
        <w:rPr>
          <w:rFonts w:ascii="Times New Roman"/>
          <w:b w:val="false"/>
          <w:i w:val="false"/>
          <w:color w:val="000000"/>
          <w:vertAlign w:val="subscript"/>
        </w:rPr>
        <w:t>s</w:t>
      </w:r>
      <w:r>
        <w:rPr>
          <w:rFonts w:ascii="Times New Roman"/>
          <w:b w:val="false"/>
          <w:i w:val="false"/>
          <w:color w:val="000000"/>
          <w:sz w:val="28"/>
        </w:rPr>
        <w:t xml:space="preserve"> /500), если 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250 м;   (705)</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mах</w:t>
      </w:r>
      <w:r>
        <w:rPr>
          <w:rFonts w:ascii="Times New Roman"/>
          <w:b w:val="false"/>
          <w:i w:val="false"/>
          <w:color w:val="000000"/>
          <w:sz w:val="28"/>
        </w:rPr>
        <w:t xml:space="preserve"> = d</w:t>
      </w:r>
      <w:r>
        <w:rPr>
          <w:rFonts w:ascii="Times New Roman"/>
          <w:b w:val="false"/>
          <w:i w:val="false"/>
          <w:color w:val="000000"/>
          <w:vertAlign w:val="subscript"/>
        </w:rPr>
        <w:t>j</w:t>
      </w:r>
      <w:r>
        <w:rPr>
          <w:rFonts w:ascii="Times New Roman"/>
          <w:b w:val="false"/>
          <w:i w:val="false"/>
          <w:color w:val="000000"/>
          <w:sz w:val="28"/>
        </w:rPr>
        <w:t>+7, если L</w:t>
      </w:r>
      <w:r>
        <w:rPr>
          <w:rFonts w:ascii="Times New Roman"/>
          <w:b w:val="false"/>
          <w:i w:val="false"/>
          <w:color w:val="000000"/>
          <w:vertAlign w:val="subscript"/>
        </w:rPr>
        <w:t>s</w:t>
      </w:r>
      <w:r>
        <w:rPr>
          <w:rFonts w:ascii="Times New Roman"/>
          <w:b w:val="false"/>
          <w:i w:val="false"/>
          <w:color w:val="000000"/>
          <w:sz w:val="28"/>
        </w:rPr>
        <w:t>&gt; 250 м;                   (706)</w:t>
      </w:r>
    </w:p>
    <w:bookmarkStart w:name="z5727" w:id="5715"/>
    <w:p>
      <w:pPr>
        <w:spacing w:after="0"/>
        <w:ind w:left="0"/>
        <w:jc w:val="both"/>
      </w:pPr>
      <w:r>
        <w:rPr>
          <w:rFonts w:ascii="Times New Roman"/>
          <w:b w:val="false"/>
          <w:i w:val="false"/>
          <w:color w:val="000000"/>
          <w:sz w:val="28"/>
        </w:rPr>
        <w:t>
      2) в тех случаях, когда горизонтальная водонепроницаемая конструкция в районе предполагаемого затопления находится на высоте над основной плоскостью, большей чем Н</w:t>
      </w:r>
      <w:r>
        <w:rPr>
          <w:rFonts w:ascii="Times New Roman"/>
          <w:b w:val="false"/>
          <w:i w:val="false"/>
          <w:color w:val="000000"/>
          <w:vertAlign w:val="subscript"/>
        </w:rPr>
        <w:t>mах</w:t>
      </w:r>
      <w:r>
        <w:rPr>
          <w:rFonts w:ascii="Times New Roman"/>
          <w:b w:val="false"/>
          <w:i w:val="false"/>
          <w:color w:val="000000"/>
          <w:sz w:val="28"/>
        </w:rPr>
        <w:t>, вероятность v</w:t>
      </w:r>
      <w:r>
        <w:rPr>
          <w:rFonts w:ascii="Times New Roman"/>
          <w:b w:val="false"/>
          <w:i w:val="false"/>
          <w:color w:val="000000"/>
          <w:vertAlign w:val="subscript"/>
        </w:rPr>
        <w:t>j</w:t>
      </w:r>
      <w:r>
        <w:rPr>
          <w:rFonts w:ascii="Times New Roman"/>
          <w:b w:val="false"/>
          <w:i w:val="false"/>
          <w:color w:val="000000"/>
          <w:sz w:val="28"/>
        </w:rPr>
        <w:t>, принимается равной 1.</w:t>
      </w:r>
    </w:p>
    <w:bookmarkEnd w:id="5715"/>
    <w:bookmarkStart w:name="z5728" w:id="5716"/>
    <w:p>
      <w:pPr>
        <w:spacing w:after="0"/>
        <w:ind w:left="0"/>
        <w:jc w:val="both"/>
      </w:pPr>
      <w:r>
        <w:rPr>
          <w:rFonts w:ascii="Times New Roman"/>
          <w:b w:val="false"/>
          <w:i w:val="false"/>
          <w:color w:val="000000"/>
          <w:sz w:val="28"/>
        </w:rPr>
        <w:t xml:space="preserve">
      1838. Когда совместное затопление отсеков, расположенных под горизонтальной конструкцией и над ней, дает положительный вклад в индекс </w:t>
      </w:r>
      <w:r>
        <w:rPr>
          <w:rFonts w:ascii="Times New Roman"/>
          <w:b w:val="false"/>
          <w:i/>
          <w:color w:val="000000"/>
          <w:sz w:val="28"/>
        </w:rPr>
        <w:t>А</w:t>
      </w:r>
      <w:r>
        <w:rPr>
          <w:rFonts w:ascii="Times New Roman"/>
          <w:b w:val="false"/>
          <w:i w:val="false"/>
          <w:color w:val="000000"/>
          <w:sz w:val="28"/>
        </w:rPr>
        <w:t>, результирующая величина s</w:t>
      </w:r>
      <w:r>
        <w:rPr>
          <w:rFonts w:ascii="Times New Roman"/>
          <w:b w:val="false"/>
          <w:i w:val="false"/>
          <w:color w:val="000000"/>
          <w:vertAlign w:val="subscript"/>
        </w:rPr>
        <w:t>j</w:t>
      </w:r>
      <w:r>
        <w:rPr>
          <w:rFonts w:ascii="Times New Roman"/>
          <w:b w:val="false"/>
          <w:i w:val="false"/>
          <w:color w:val="000000"/>
          <w:sz w:val="28"/>
        </w:rPr>
        <w:t xml:space="preserve"> для такого отсека или группы смежных отсеков рассчитывается по формуле:</w:t>
      </w:r>
    </w:p>
    <w:bookmarkEnd w:id="5716"/>
    <w:p>
      <w:pPr>
        <w:spacing w:after="0"/>
        <w:ind w:left="0"/>
        <w:jc w:val="both"/>
      </w:pP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sz w:val="28"/>
        </w:rPr>
        <w:t xml:space="preserve"> = v</w:t>
      </w:r>
      <w:r>
        <w:rPr>
          <w:rFonts w:ascii="Times New Roman"/>
          <w:b w:val="false"/>
          <w:i w:val="false"/>
          <w:color w:val="000000"/>
          <w:vertAlign w:val="subscript"/>
        </w:rPr>
        <w:t>j</w:t>
      </w:r>
      <w:r>
        <w:rPr>
          <w:rFonts w:ascii="Times New Roman"/>
          <w:b w:val="false"/>
          <w:i w:val="false"/>
          <w:color w:val="000000"/>
          <w:sz w:val="28"/>
        </w:rPr>
        <w:t>s'</w:t>
      </w:r>
      <w:r>
        <w:rPr>
          <w:rFonts w:ascii="Times New Roman"/>
          <w:b w:val="false"/>
          <w:i w:val="false"/>
          <w:color w:val="000000"/>
          <w:vertAlign w:val="subscript"/>
        </w:rPr>
        <w:t>j</w:t>
      </w:r>
      <w:r>
        <w:rPr>
          <w:rFonts w:ascii="Times New Roman"/>
          <w:b w:val="false"/>
          <w:i w:val="false"/>
          <w:color w:val="000000"/>
          <w:sz w:val="28"/>
        </w:rPr>
        <w:t>/s"</w:t>
      </w:r>
      <w:r>
        <w:rPr>
          <w:rFonts w:ascii="Times New Roman"/>
          <w:b w:val="false"/>
          <w:i w:val="false"/>
          <w:color w:val="000000"/>
          <w:vertAlign w:val="subscript"/>
        </w:rPr>
        <w:t>j</w:t>
      </w:r>
      <w:r>
        <w:rPr>
          <w:rFonts w:ascii="Times New Roman"/>
          <w:b w:val="false"/>
          <w:i w:val="false"/>
          <w:color w:val="000000"/>
          <w:sz w:val="28"/>
        </w:rPr>
        <w:t xml:space="preserve"> (1 — v</w:t>
      </w:r>
      <w:r>
        <w:rPr>
          <w:rFonts w:ascii="Times New Roman"/>
          <w:b w:val="false"/>
          <w:i w:val="false"/>
          <w:color w:val="000000"/>
          <w:vertAlign w:val="subscript"/>
        </w:rPr>
        <w:t>j</w:t>
      </w: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sz w:val="28"/>
        </w:rPr>
        <w:t>,              (707)</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j</w:t>
      </w:r>
      <w:r>
        <w:rPr>
          <w:rFonts w:ascii="Times New Roman"/>
          <w:b w:val="false"/>
          <w:i w:val="false"/>
          <w:color w:val="000000"/>
          <w:sz w:val="28"/>
        </w:rPr>
        <w:t xml:space="preserve"> определяется применительно к затоплению отсеков, расположенных ниже горизонтальной конструкции;</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sz w:val="28"/>
        </w:rPr>
        <w:t xml:space="preserve"> определяется применительно к совместному затоплению отсеков, расположенных ниже и выше горизонтальной конструкции.</w:t>
      </w:r>
    </w:p>
    <w:bookmarkStart w:name="z5729" w:id="5717"/>
    <w:p>
      <w:pPr>
        <w:spacing w:after="0"/>
        <w:ind w:left="0"/>
        <w:jc w:val="both"/>
      </w:pPr>
      <w:r>
        <w:rPr>
          <w:rFonts w:ascii="Times New Roman"/>
          <w:b w:val="false"/>
          <w:i w:val="false"/>
          <w:color w:val="000000"/>
          <w:sz w:val="28"/>
        </w:rPr>
        <w:t>
      1839. В расчетах аварийной остойчивости для определения вероятностного индекса коэффициент проницаемости сухогрузных трюмов должен приниматься равным 0,7.</w:t>
      </w:r>
    </w:p>
    <w:bookmarkEnd w:id="5717"/>
    <w:bookmarkStart w:name="z5730" w:id="5718"/>
    <w:p>
      <w:pPr>
        <w:spacing w:after="0"/>
        <w:ind w:left="0"/>
        <w:jc w:val="both"/>
      </w:pPr>
      <w:r>
        <w:rPr>
          <w:rFonts w:ascii="Times New Roman"/>
          <w:b w:val="false"/>
          <w:i w:val="false"/>
          <w:color w:val="000000"/>
          <w:sz w:val="28"/>
        </w:rPr>
        <w:t>
      1840. При одновременном затоплении всех отсеков, расположенных в нос от таранной переборки, вероятность s равна не менее 1 для самой высокой ватерлинии деления на отсеки при неограниченной вертикальной протяженности повреждения.</w:t>
      </w:r>
    </w:p>
    <w:bookmarkEnd w:id="5718"/>
    <w:bookmarkStart w:name="z5731" w:id="5719"/>
    <w:p>
      <w:pPr>
        <w:spacing w:after="0"/>
        <w:ind w:left="0"/>
        <w:jc w:val="left"/>
      </w:pPr>
      <w:r>
        <w:rPr>
          <w:rFonts w:ascii="Times New Roman"/>
          <w:b/>
          <w:i w:val="false"/>
          <w:color w:val="000000"/>
        </w:rPr>
        <w:t xml:space="preserve"> Глава 122. Вероятностная оценка деления на отсеки судов, предназначенных для перевозки лесных грузов в трюмах и на верхней палубе1</w:t>
      </w:r>
    </w:p>
    <w:bookmarkEnd w:id="5719"/>
    <w:p>
      <w:pPr>
        <w:spacing w:after="0"/>
        <w:ind w:left="0"/>
        <w:jc w:val="both"/>
      </w:pPr>
      <w:r>
        <w:rPr>
          <w:rFonts w:ascii="Times New Roman"/>
          <w:b w:val="false"/>
          <w:i w:val="false"/>
          <w:color w:val="ff0000"/>
          <w:sz w:val="28"/>
        </w:rPr>
        <w:t xml:space="preserve">
      Сноска. Заголовок главы 122 -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32" w:id="5720"/>
    <w:p>
      <w:pPr>
        <w:spacing w:after="0"/>
        <w:ind w:left="0"/>
        <w:jc w:val="both"/>
      </w:pPr>
      <w:r>
        <w:rPr>
          <w:rFonts w:ascii="Times New Roman"/>
          <w:b w:val="false"/>
          <w:i w:val="false"/>
          <w:color w:val="000000"/>
          <w:sz w:val="28"/>
        </w:rPr>
        <w:t xml:space="preserve">
      1841. Требуемый индекс </w:t>
      </w:r>
      <w:r>
        <w:rPr>
          <w:rFonts w:ascii="Times New Roman"/>
          <w:b w:val="false"/>
          <w:i/>
          <w:color w:val="000000"/>
          <w:sz w:val="28"/>
        </w:rPr>
        <w:t>R</w:t>
      </w:r>
      <w:r>
        <w:rPr>
          <w:rFonts w:ascii="Times New Roman"/>
          <w:b w:val="false"/>
          <w:i w:val="false"/>
          <w:color w:val="000000"/>
          <w:sz w:val="28"/>
        </w:rPr>
        <w:t xml:space="preserve"> деления на отсеки применительно к лесной летней осадке равен индексу </w:t>
      </w:r>
      <w:r>
        <w:rPr>
          <w:rFonts w:ascii="Times New Roman"/>
          <w:b w:val="false"/>
          <w:i/>
          <w:color w:val="000000"/>
          <w:sz w:val="28"/>
        </w:rPr>
        <w:t>R</w:t>
      </w:r>
      <w:r>
        <w:rPr>
          <w:rFonts w:ascii="Times New Roman"/>
          <w:b w:val="false"/>
          <w:i w:val="false"/>
          <w:color w:val="000000"/>
          <w:sz w:val="28"/>
        </w:rPr>
        <w:t xml:space="preserve"> для летней осадки, определяемому согласно пункту 1829 настоящих Правил.</w:t>
      </w:r>
    </w:p>
    <w:bookmarkEnd w:id="5720"/>
    <w:bookmarkStart w:name="z5733" w:id="5721"/>
    <w:p>
      <w:pPr>
        <w:spacing w:after="0"/>
        <w:ind w:left="0"/>
        <w:jc w:val="both"/>
      </w:pPr>
      <w:r>
        <w:rPr>
          <w:rFonts w:ascii="Times New Roman"/>
          <w:b w:val="false"/>
          <w:i w:val="false"/>
          <w:color w:val="000000"/>
          <w:sz w:val="28"/>
        </w:rPr>
        <w:t xml:space="preserve">
      1842. При определении достижимого индекса </w:t>
      </w:r>
      <w:r>
        <w:rPr>
          <w:rFonts w:ascii="Times New Roman"/>
          <w:b w:val="false"/>
          <w:i/>
          <w:color w:val="000000"/>
          <w:sz w:val="28"/>
        </w:rPr>
        <w:t>А</w:t>
      </w:r>
      <w:r>
        <w:rPr>
          <w:rFonts w:ascii="Times New Roman"/>
          <w:b w:val="false"/>
          <w:i w:val="false"/>
          <w:color w:val="000000"/>
          <w:vertAlign w:val="subscript"/>
        </w:rPr>
        <w:t>лес</w:t>
      </w:r>
      <w:r>
        <w:rPr>
          <w:rFonts w:ascii="Times New Roman"/>
          <w:b w:val="false"/>
          <w:i w:val="false"/>
          <w:color w:val="000000"/>
          <w:sz w:val="28"/>
        </w:rPr>
        <w:t xml:space="preserve"> деления на отсеки при перевозке леса в трюмах и на верхней палубе:</w:t>
      </w:r>
    </w:p>
    <w:bookmarkEnd w:id="5721"/>
    <w:bookmarkStart w:name="z5734" w:id="5722"/>
    <w:p>
      <w:pPr>
        <w:spacing w:after="0"/>
        <w:ind w:left="0"/>
        <w:jc w:val="both"/>
      </w:pPr>
      <w:r>
        <w:rPr>
          <w:rFonts w:ascii="Times New Roman"/>
          <w:b w:val="false"/>
          <w:i w:val="false"/>
          <w:color w:val="000000"/>
          <w:sz w:val="28"/>
        </w:rPr>
        <w:t>
      1) в формуле (707) настоящих Правил вероятности s</w:t>
      </w:r>
      <w:r>
        <w:rPr>
          <w:rFonts w:ascii="Times New Roman"/>
          <w:b w:val="false"/>
          <w:i w:val="false"/>
          <w:color w:val="000000"/>
          <w:vertAlign w:val="subscript"/>
        </w:rPr>
        <w:t>l</w:t>
      </w:r>
      <w:r>
        <w:rPr>
          <w:rFonts w:ascii="Times New Roman"/>
          <w:b w:val="false"/>
          <w:i w:val="false"/>
          <w:color w:val="000000"/>
          <w:sz w:val="28"/>
        </w:rPr>
        <w:t xml:space="preserve"> определяются при назначенной судну лесной летней осадке;</w:t>
      </w:r>
    </w:p>
    <w:bookmarkEnd w:id="5722"/>
    <w:bookmarkStart w:name="z5735" w:id="5723"/>
    <w:p>
      <w:pPr>
        <w:spacing w:after="0"/>
        <w:ind w:left="0"/>
        <w:jc w:val="both"/>
      </w:pPr>
      <w:r>
        <w:rPr>
          <w:rFonts w:ascii="Times New Roman"/>
          <w:b w:val="false"/>
          <w:i w:val="false"/>
          <w:color w:val="000000"/>
          <w:sz w:val="28"/>
        </w:rPr>
        <w:t>
      2) коэффициенты проницаемости грузовых трюмов принимаются равными 0,35;</w:t>
      </w:r>
    </w:p>
    <w:bookmarkEnd w:id="5723"/>
    <w:bookmarkStart w:name="z5736" w:id="5724"/>
    <w:p>
      <w:pPr>
        <w:spacing w:after="0"/>
        <w:ind w:left="0"/>
        <w:jc w:val="both"/>
      </w:pPr>
      <w:r>
        <w:rPr>
          <w:rFonts w:ascii="Times New Roman"/>
          <w:b w:val="false"/>
          <w:i w:val="false"/>
          <w:color w:val="000000"/>
          <w:sz w:val="28"/>
        </w:rPr>
        <w:t>
      3) допускается учет плавучести палубного лесного груза высотой только на одну стандартную высоту надстройки с коэффициентом проницаемости 0,25;</w:t>
      </w:r>
    </w:p>
    <w:bookmarkEnd w:id="5724"/>
    <w:bookmarkStart w:name="z5737" w:id="5725"/>
    <w:p>
      <w:pPr>
        <w:spacing w:after="0"/>
        <w:ind w:left="0"/>
        <w:jc w:val="both"/>
      </w:pPr>
      <w:r>
        <w:rPr>
          <w:rFonts w:ascii="Times New Roman"/>
          <w:b w:val="false"/>
          <w:i w:val="false"/>
          <w:color w:val="000000"/>
          <w:sz w:val="28"/>
        </w:rPr>
        <w:t>
      4) вероятности s</w:t>
      </w:r>
      <w:r>
        <w:rPr>
          <w:rFonts w:ascii="Times New Roman"/>
          <w:b w:val="false"/>
          <w:i w:val="false"/>
          <w:color w:val="000000"/>
          <w:vertAlign w:val="subscript"/>
        </w:rPr>
        <w:t>p</w:t>
      </w:r>
      <w:r>
        <w:rPr>
          <w:rFonts w:ascii="Times New Roman"/>
          <w:b w:val="false"/>
          <w:i w:val="false"/>
          <w:color w:val="000000"/>
          <w:sz w:val="28"/>
        </w:rPr>
        <w:t xml:space="preserve"> принимаются теми же, что и вычисленные в соответствии с пунктами 1835 и 1836 настоящих Правил.</w:t>
      </w:r>
    </w:p>
    <w:bookmarkEnd w:id="5725"/>
    <w:bookmarkStart w:name="z5738" w:id="5726"/>
    <w:p>
      <w:pPr>
        <w:spacing w:after="0"/>
        <w:ind w:left="0"/>
        <w:jc w:val="both"/>
      </w:pPr>
      <w:r>
        <w:rPr>
          <w:rFonts w:ascii="Times New Roman"/>
          <w:b w:val="false"/>
          <w:i w:val="false"/>
          <w:color w:val="000000"/>
          <w:sz w:val="28"/>
        </w:rPr>
        <w:t>
      5) плавучесть палубного лесного груза в районе предполагаемого повреждения не учитывается.</w:t>
      </w:r>
    </w:p>
    <w:bookmarkEnd w:id="5726"/>
    <w:bookmarkStart w:name="z5739" w:id="5727"/>
    <w:p>
      <w:pPr>
        <w:spacing w:after="0"/>
        <w:ind w:left="0"/>
        <w:jc w:val="both"/>
      </w:pPr>
      <w:r>
        <w:rPr>
          <w:rFonts w:ascii="Times New Roman"/>
          <w:b w:val="false"/>
          <w:i w:val="false"/>
          <w:color w:val="000000"/>
          <w:sz w:val="28"/>
        </w:rPr>
        <w:t>
      1843. Для лесовозов по условиям обеспечения непотопляемости определяются две диаграммы предельных возвышений центра тяжести судна (предельных моментов или метацентрических высот):</w:t>
      </w:r>
    </w:p>
    <w:bookmarkEnd w:id="5727"/>
    <w:bookmarkStart w:name="z5740" w:id="5728"/>
    <w:p>
      <w:pPr>
        <w:spacing w:after="0"/>
        <w:ind w:left="0"/>
        <w:jc w:val="both"/>
      </w:pPr>
      <w:r>
        <w:rPr>
          <w:rFonts w:ascii="Times New Roman"/>
          <w:b w:val="false"/>
          <w:i w:val="false"/>
          <w:color w:val="000000"/>
          <w:sz w:val="28"/>
        </w:rPr>
        <w:t>
      1) первая кривая определяется, исходя из требований пунктов 1806 и 1829 – 1840 настоящих Правил. Эта кривая используется при перевозке лесных грузов либо только в трюмах, либо только на верхней палубе;</w:t>
      </w:r>
    </w:p>
    <w:bookmarkEnd w:id="5728"/>
    <w:bookmarkStart w:name="z5741" w:id="5729"/>
    <w:p>
      <w:pPr>
        <w:spacing w:after="0"/>
        <w:ind w:left="0"/>
        <w:jc w:val="both"/>
      </w:pPr>
      <w:r>
        <w:rPr>
          <w:rFonts w:ascii="Times New Roman"/>
          <w:b w:val="false"/>
          <w:i w:val="false"/>
          <w:color w:val="000000"/>
          <w:sz w:val="28"/>
        </w:rPr>
        <w:t xml:space="preserve">
      2) вторая кривая определяется, исходя из условия выполнения требования </w:t>
      </w:r>
      <w:r>
        <w:rPr>
          <w:rFonts w:ascii="Times New Roman"/>
          <w:b w:val="false"/>
          <w:i/>
          <w:color w:val="000000"/>
          <w:sz w:val="28"/>
        </w:rPr>
        <w:t>А</w:t>
      </w:r>
      <w:r>
        <w:rPr>
          <w:rFonts w:ascii="Times New Roman"/>
          <w:b w:val="false"/>
          <w:i w:val="false"/>
          <w:color w:val="000000"/>
          <w:vertAlign w:val="subscript"/>
        </w:rPr>
        <w:t>леc</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Эта кривая используется при эксплуатации судна, перевозящего лесные грузы в трюмах и на верхней палубе одновременно.</w:t>
      </w:r>
    </w:p>
    <w:bookmarkEnd w:id="5729"/>
    <w:bookmarkStart w:name="z5742" w:id="5730"/>
    <w:p>
      <w:pPr>
        <w:spacing w:after="0"/>
        <w:ind w:left="0"/>
        <w:jc w:val="both"/>
      </w:pPr>
      <w:r>
        <w:rPr>
          <w:rFonts w:ascii="Times New Roman"/>
          <w:b w:val="false"/>
          <w:i w:val="false"/>
          <w:color w:val="000000"/>
          <w:sz w:val="28"/>
        </w:rPr>
        <w:t xml:space="preserve">
      1844. В Информации об остойчивости и Информации об аварийной посадке и остойчивости соответственно указывают, что использование диаграммы предельного возвышения центра тяжести судна (предельных моментов или минимальных метацентрических высот), определенного из условия </w:t>
      </w:r>
      <w:r>
        <w:rPr>
          <w:rFonts w:ascii="Times New Roman"/>
          <w:b w:val="false"/>
          <w:i/>
          <w:color w:val="000000"/>
          <w:sz w:val="28"/>
        </w:rPr>
        <w:t>А</w:t>
      </w:r>
      <w:r>
        <w:rPr>
          <w:rFonts w:ascii="Times New Roman"/>
          <w:b w:val="false"/>
          <w:i w:val="false"/>
          <w:color w:val="000000"/>
          <w:vertAlign w:val="subscript"/>
        </w:rPr>
        <w:t>леc</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возможно только при перевозке лесных грузов и в трюмах и на верхней палубе одновременно.</w:t>
      </w:r>
    </w:p>
    <w:bookmarkEnd w:id="5730"/>
    <w:bookmarkStart w:name="z5743" w:id="57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 проверке вероятностных требований для таких судов учитывается соответствующее указание пункта 1828 настоящих Правил.</w:t>
      </w:r>
    </w:p>
    <w:bookmarkEnd w:id="5731"/>
    <w:bookmarkStart w:name="z5744" w:id="5732"/>
    <w:p>
      <w:pPr>
        <w:spacing w:after="0"/>
        <w:ind w:left="0"/>
        <w:jc w:val="left"/>
      </w:pPr>
      <w:r>
        <w:rPr>
          <w:rFonts w:ascii="Times New Roman"/>
          <w:b/>
          <w:i w:val="false"/>
          <w:color w:val="000000"/>
        </w:rPr>
        <w:t xml:space="preserve"> Подраздел 3. Посадка и остойчивость поврежденного судна</w:t>
      </w:r>
    </w:p>
    <w:bookmarkEnd w:id="5732"/>
    <w:p>
      <w:pPr>
        <w:spacing w:after="0"/>
        <w:ind w:left="0"/>
        <w:jc w:val="both"/>
      </w:pPr>
      <w:r>
        <w:rPr>
          <w:rFonts w:ascii="Times New Roman"/>
          <w:b w:val="false"/>
          <w:i w:val="false"/>
          <w:color w:val="ff0000"/>
          <w:sz w:val="28"/>
        </w:rPr>
        <w:t xml:space="preserve">
      Сноска. Заголовок подраздела 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45" w:id="5733"/>
    <w:p>
      <w:pPr>
        <w:spacing w:after="0"/>
        <w:ind w:left="0"/>
        <w:jc w:val="left"/>
      </w:pPr>
      <w:r>
        <w:rPr>
          <w:rFonts w:ascii="Times New Roman"/>
          <w:b/>
          <w:i w:val="false"/>
          <w:color w:val="000000"/>
        </w:rPr>
        <w:t xml:space="preserve"> Глава 123. Общие положения</w:t>
      </w:r>
    </w:p>
    <w:bookmarkEnd w:id="5733"/>
    <w:p>
      <w:pPr>
        <w:spacing w:after="0"/>
        <w:ind w:left="0"/>
        <w:jc w:val="both"/>
      </w:pPr>
      <w:r>
        <w:rPr>
          <w:rFonts w:ascii="Times New Roman"/>
          <w:b w:val="false"/>
          <w:i w:val="false"/>
          <w:color w:val="ff0000"/>
          <w:sz w:val="28"/>
        </w:rPr>
        <w:t xml:space="preserve">
      Сноска. Заголовок главы 123 -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46" w:id="5734"/>
    <w:p>
      <w:pPr>
        <w:spacing w:after="0"/>
        <w:ind w:left="0"/>
        <w:jc w:val="both"/>
      </w:pPr>
      <w:r>
        <w:rPr>
          <w:rFonts w:ascii="Times New Roman"/>
          <w:b w:val="false"/>
          <w:i w:val="false"/>
          <w:color w:val="000000"/>
          <w:sz w:val="28"/>
        </w:rPr>
        <w:t>
      1845. Посадка и остойчивость неповрежденного судна во всех эксплуатационных случаях нагрузки, соответствующих назначению судна (без учета обледенения), достаточна для того, чтобы были выполнены требования к аварийной посадке и остойчивости поврежденного судна.</w:t>
      </w:r>
    </w:p>
    <w:bookmarkEnd w:id="5734"/>
    <w:bookmarkStart w:name="z5747" w:id="5735"/>
    <w:p>
      <w:pPr>
        <w:spacing w:after="0"/>
        <w:ind w:left="0"/>
        <w:jc w:val="both"/>
      </w:pPr>
      <w:r>
        <w:rPr>
          <w:rFonts w:ascii="Times New Roman"/>
          <w:b w:val="false"/>
          <w:i w:val="false"/>
          <w:color w:val="000000"/>
          <w:sz w:val="28"/>
        </w:rPr>
        <w:t>
      1846. Требования к аварийной посадке и остойчивости судна считаются выполненными, если при повреждениях, указанных в главах 124 и 126, с затоплением числа отсеков, указанным в главе 126, при коэффициентах проницаемости, определяемых согласно главы 117, расчеты, произведенные в соответствии с условиями пунктов 1847 — 1851 настоящих Правил, покажут, что надлежащие требования, указанные в главах 125 и 126 настоящих Правил, выполнены.</w:t>
      </w:r>
    </w:p>
    <w:bookmarkEnd w:id="5735"/>
    <w:bookmarkStart w:name="z5748" w:id="5736"/>
    <w:p>
      <w:pPr>
        <w:spacing w:after="0"/>
        <w:ind w:left="0"/>
        <w:jc w:val="both"/>
      </w:pPr>
      <w:r>
        <w:rPr>
          <w:rFonts w:ascii="Times New Roman"/>
          <w:b w:val="false"/>
          <w:i w:val="false"/>
          <w:color w:val="000000"/>
          <w:sz w:val="28"/>
        </w:rPr>
        <w:t>
      1847. Расчеты, подтверждающие выполнение требований глав 125 и 126 настоящих Правил к аварийной посадке и остойчивости поврежденного судна, производят для такого числа наихудших в отношении посадки и остойчивости эксплуатационных случаев нагрузки (в границах осадки по самую высокую ватерлинию деления судна на отсеки и предусмотренного в проекте распределения грузов), такого расположения и размеров повреждения, определенных в соответствии с главами 124 и 126 настоящих Правил, чтобы на основании этих расчетов быть уверенным, что во всех остальных случаях состояние поврежденного судна в отношении аварийной остойчивости, остаточного надводного борта, отстояния от аварийной ватерлинии до отверстий, через которые возможно распространение воды по судну, и углов крена будет лучше. При этом учитываются: действительная конфигурация поврежденных отсеков, их коэффициенты проницаемости, характер закрытия отверстий, наличие промежуточных палуб, платформ, двойных бортов, поперечных и продольных переборок, водонепроницаемость которых такова, что эти конструкции полностью или временно ограничивают распространение воды по судну.</w:t>
      </w:r>
    </w:p>
    <w:bookmarkEnd w:id="5736"/>
    <w:bookmarkStart w:name="z5749" w:id="5737"/>
    <w:p>
      <w:pPr>
        <w:spacing w:after="0"/>
        <w:ind w:left="0"/>
        <w:jc w:val="both"/>
      </w:pPr>
      <w:r>
        <w:rPr>
          <w:rFonts w:ascii="Times New Roman"/>
          <w:b w:val="false"/>
          <w:i w:val="false"/>
          <w:color w:val="000000"/>
          <w:sz w:val="28"/>
        </w:rPr>
        <w:t xml:space="preserve">
      1848. Если расстояние между двумя соседними главными поперечными переборками меньше, чем расчетная протяженность пробоины по длине, то при проверке аварийной посадки и остойчивости соответствующий отсек по усмотрению проектанта присоединяется к одному из смежных отсеков. Отступления от этого положения для непассажирских судов допускаются, если выполняется условие А </w:t>
      </w:r>
      <w:r>
        <w:rPr>
          <w:rFonts w:ascii="Times New Roman"/>
          <w:b w:val="false"/>
          <w:i w:val="false"/>
          <w:color w:val="000000"/>
          <w:sz w:val="28"/>
          <w:u w:val="single"/>
        </w:rPr>
        <w:t>&gt;</w:t>
      </w:r>
      <w:r>
        <w:rPr>
          <w:rFonts w:ascii="Times New Roman"/>
          <w:b w:val="false"/>
          <w:i w:val="false"/>
          <w:color w:val="000000"/>
          <w:sz w:val="28"/>
        </w:rPr>
        <w:t xml:space="preserve"> R.</w:t>
      </w:r>
    </w:p>
    <w:bookmarkEnd w:id="5737"/>
    <w:bookmarkStart w:name="z5750" w:id="5738"/>
    <w:p>
      <w:pPr>
        <w:spacing w:after="0"/>
        <w:ind w:left="0"/>
        <w:jc w:val="both"/>
      </w:pPr>
      <w:r>
        <w:rPr>
          <w:rFonts w:ascii="Times New Roman"/>
          <w:b w:val="false"/>
          <w:i w:val="false"/>
          <w:color w:val="000000"/>
          <w:sz w:val="28"/>
        </w:rPr>
        <w:t>
      Форпик и ахтерпик считаются самостоятельными отсеками, независимо от их протяженности.</w:t>
      </w:r>
    </w:p>
    <w:bookmarkEnd w:id="5738"/>
    <w:bookmarkStart w:name="z5751" w:id="5739"/>
    <w:p>
      <w:pPr>
        <w:spacing w:after="0"/>
        <w:ind w:left="0"/>
        <w:jc w:val="both"/>
      </w:pPr>
      <w:r>
        <w:rPr>
          <w:rFonts w:ascii="Times New Roman"/>
          <w:b w:val="false"/>
          <w:i w:val="false"/>
          <w:color w:val="000000"/>
          <w:sz w:val="28"/>
        </w:rPr>
        <w:t>
      1849. Если два смежных отсека разделены переборкой с уступом, при рассмотрении затопления одного из этих отсеков переборка с уступом считается захваченной повреждением.</w:t>
      </w:r>
    </w:p>
    <w:bookmarkEnd w:id="5739"/>
    <w:bookmarkStart w:name="z5752" w:id="5740"/>
    <w:p>
      <w:pPr>
        <w:spacing w:after="0"/>
        <w:ind w:left="0"/>
        <w:jc w:val="both"/>
      </w:pPr>
      <w:r>
        <w:rPr>
          <w:rFonts w:ascii="Times New Roman"/>
          <w:b w:val="false"/>
          <w:i w:val="false"/>
          <w:color w:val="000000"/>
          <w:sz w:val="28"/>
        </w:rPr>
        <w:t xml:space="preserve">
      Если выполняется условие А </w:t>
      </w:r>
      <w:r>
        <w:rPr>
          <w:rFonts w:ascii="Times New Roman"/>
          <w:b w:val="false"/>
          <w:i w:val="false"/>
          <w:color w:val="000000"/>
          <w:sz w:val="28"/>
          <w:u w:val="single"/>
        </w:rPr>
        <w:t>&gt;</w:t>
      </w:r>
      <w:r>
        <w:rPr>
          <w:rFonts w:ascii="Times New Roman"/>
          <w:b w:val="false"/>
          <w:i w:val="false"/>
          <w:color w:val="000000"/>
          <w:sz w:val="28"/>
        </w:rPr>
        <w:t xml:space="preserve"> R, или протяженность уступа не превышает одной шпации или 0,8 м, смотря по тому, что меньше, или, если уступ образован флорами двойного дна, для не пассажирских судов указанное требование не является обязательным.</w:t>
      </w:r>
    </w:p>
    <w:bookmarkEnd w:id="5740"/>
    <w:bookmarkStart w:name="z5753" w:id="5741"/>
    <w:p>
      <w:pPr>
        <w:spacing w:after="0"/>
        <w:ind w:left="0"/>
        <w:jc w:val="both"/>
      </w:pPr>
      <w:r>
        <w:rPr>
          <w:rFonts w:ascii="Times New Roman"/>
          <w:b w:val="false"/>
          <w:i w:val="false"/>
          <w:color w:val="000000"/>
          <w:sz w:val="28"/>
        </w:rPr>
        <w:t>
      1850. Если любое повреждение меньших размеров, чем указано в главах 124 и 126 настоящих Правил, приводит к более тяжелым последствиям в отношении посадки и остойчивости поврежденного судна, такое повреждение рассматривают при выполнении проверочных расчетов аварийной посадки и остойчивости.</w:t>
      </w:r>
    </w:p>
    <w:bookmarkEnd w:id="5741"/>
    <w:bookmarkStart w:name="z5754" w:id="5742"/>
    <w:p>
      <w:pPr>
        <w:spacing w:after="0"/>
        <w:ind w:left="0"/>
        <w:jc w:val="both"/>
      </w:pPr>
      <w:r>
        <w:rPr>
          <w:rFonts w:ascii="Times New Roman"/>
          <w:b w:val="false"/>
          <w:i w:val="false"/>
          <w:color w:val="000000"/>
          <w:sz w:val="28"/>
        </w:rPr>
        <w:t>
      1851. Если в пределах предполагаемой зоны повреждения расположены трубопроводы, каналы и туннели, их конструкция исключает распространение воды в отсеки, которые считаются незатопленными.</w:t>
      </w:r>
    </w:p>
    <w:bookmarkEnd w:id="5742"/>
    <w:bookmarkStart w:name="z5755" w:id="5743"/>
    <w:p>
      <w:pPr>
        <w:spacing w:after="0"/>
        <w:ind w:left="0"/>
        <w:jc w:val="both"/>
      </w:pPr>
      <w:r>
        <w:rPr>
          <w:rFonts w:ascii="Times New Roman"/>
          <w:b w:val="false"/>
          <w:i w:val="false"/>
          <w:color w:val="000000"/>
          <w:sz w:val="28"/>
        </w:rPr>
        <w:t>
      1852. Для непассажирских судов время спрямления судна устанавливается по согласованию с Регистром судоходства в зависимости от типа судна.</w:t>
      </w:r>
    </w:p>
    <w:bookmarkEnd w:id="5743"/>
    <w:bookmarkStart w:name="z5756" w:id="5744"/>
    <w:p>
      <w:pPr>
        <w:spacing w:after="0"/>
        <w:ind w:left="0"/>
        <w:jc w:val="both"/>
      </w:pPr>
      <w:r>
        <w:rPr>
          <w:rFonts w:ascii="Times New Roman"/>
          <w:b w:val="false"/>
          <w:i w:val="false"/>
          <w:color w:val="000000"/>
          <w:sz w:val="28"/>
        </w:rPr>
        <w:t>
      1853. Средства для спрямления судна после аварии одобрются Регистром судоходства и по возможности автоматически действующие.</w:t>
      </w:r>
    </w:p>
    <w:bookmarkEnd w:id="5744"/>
    <w:bookmarkStart w:name="z5757" w:id="5745"/>
    <w:p>
      <w:pPr>
        <w:spacing w:after="0"/>
        <w:ind w:left="0"/>
        <w:jc w:val="both"/>
      </w:pPr>
      <w:r>
        <w:rPr>
          <w:rFonts w:ascii="Times New Roman"/>
          <w:b w:val="false"/>
          <w:i w:val="false"/>
          <w:color w:val="000000"/>
          <w:sz w:val="28"/>
        </w:rPr>
        <w:t>
      При наличии управляемых переточных каналов посты управления их клинкетами располагаются выше палубы переборок.</w:t>
      </w:r>
    </w:p>
    <w:bookmarkEnd w:id="5745"/>
    <w:bookmarkStart w:name="z5758" w:id="5746"/>
    <w:p>
      <w:pPr>
        <w:spacing w:after="0"/>
        <w:ind w:left="0"/>
        <w:jc w:val="left"/>
      </w:pPr>
      <w:r>
        <w:rPr>
          <w:rFonts w:ascii="Times New Roman"/>
          <w:b/>
          <w:i w:val="false"/>
          <w:color w:val="000000"/>
        </w:rPr>
        <w:t xml:space="preserve"> Глава 124. Размеры расчетного повреждения</w:t>
      </w:r>
    </w:p>
    <w:bookmarkEnd w:id="5746"/>
    <w:p>
      <w:pPr>
        <w:spacing w:after="0"/>
        <w:ind w:left="0"/>
        <w:jc w:val="both"/>
      </w:pPr>
      <w:r>
        <w:rPr>
          <w:rFonts w:ascii="Times New Roman"/>
          <w:b w:val="false"/>
          <w:i w:val="false"/>
          <w:color w:val="ff0000"/>
          <w:sz w:val="28"/>
        </w:rPr>
        <w:t xml:space="preserve">
      Сноска. Заголовок главы 124 -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59" w:id="5747"/>
    <w:p>
      <w:pPr>
        <w:spacing w:after="0"/>
        <w:ind w:left="0"/>
        <w:jc w:val="both"/>
      </w:pPr>
      <w:r>
        <w:rPr>
          <w:rFonts w:ascii="Times New Roman"/>
          <w:b w:val="false"/>
          <w:i w:val="false"/>
          <w:color w:val="000000"/>
          <w:sz w:val="28"/>
        </w:rPr>
        <w:t>
      1854. За исключением оговоренных случаев, в том числе в пункте 1850 настоящих Правил, при выполнении расчетов аварийной посадки и остойчивости, подтверждающих выполнение требований глав 125 и 126 настоящих Правил, принимают следующие размеры повреждения борта:</w:t>
      </w:r>
    </w:p>
    <w:bookmarkEnd w:id="5747"/>
    <w:bookmarkStart w:name="z5760" w:id="5748"/>
    <w:p>
      <w:pPr>
        <w:spacing w:after="0"/>
        <w:ind w:left="0"/>
        <w:jc w:val="both"/>
      </w:pPr>
      <w:r>
        <w:rPr>
          <w:rFonts w:ascii="Times New Roman"/>
          <w:b w:val="false"/>
          <w:i w:val="false"/>
          <w:color w:val="000000"/>
          <w:sz w:val="28"/>
        </w:rPr>
        <w:t>
      1) протяженность по длине — 1/3</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или 14,5 м (в зависимости от того, что меньше);</w:t>
      </w:r>
    </w:p>
    <w:bookmarkEnd w:id="5748"/>
    <w:bookmarkStart w:name="z5761" w:id="5749"/>
    <w:p>
      <w:pPr>
        <w:spacing w:after="0"/>
        <w:ind w:left="0"/>
        <w:jc w:val="both"/>
      </w:pPr>
      <w:r>
        <w:rPr>
          <w:rFonts w:ascii="Times New Roman"/>
          <w:b w:val="false"/>
          <w:i w:val="false"/>
          <w:color w:val="000000"/>
          <w:sz w:val="28"/>
        </w:rPr>
        <w:t>
      2) протяженность по ширине, измеренная от внутренней поверхности наружной обшивки под прямым углом к диаметральной плоскости на уровне самой высокой грузовой ватерлинии деления на отсеки, — 1/5 ширины судна В или 11,5 м (в зависимости от того, что меньше);</w:t>
      </w:r>
    </w:p>
    <w:bookmarkEnd w:id="5749"/>
    <w:bookmarkStart w:name="z5762" w:id="5750"/>
    <w:p>
      <w:pPr>
        <w:spacing w:after="0"/>
        <w:ind w:left="0"/>
        <w:jc w:val="both"/>
      </w:pPr>
      <w:r>
        <w:rPr>
          <w:rFonts w:ascii="Times New Roman"/>
          <w:b w:val="false"/>
          <w:i w:val="false"/>
          <w:color w:val="000000"/>
          <w:sz w:val="28"/>
        </w:rPr>
        <w:t>
      3) протяженность по вертикали — от основной плоскости неограниченно вверх.</w:t>
      </w:r>
    </w:p>
    <w:bookmarkEnd w:id="5750"/>
    <w:bookmarkStart w:name="z5763" w:id="5751"/>
    <w:p>
      <w:pPr>
        <w:spacing w:after="0"/>
        <w:ind w:left="0"/>
        <w:jc w:val="both"/>
      </w:pPr>
      <w:r>
        <w:rPr>
          <w:rFonts w:ascii="Times New Roman"/>
          <w:b w:val="false"/>
          <w:i w:val="false"/>
          <w:color w:val="000000"/>
          <w:sz w:val="28"/>
        </w:rPr>
        <w:t>
      1855. Требования главы 125 настоящих Правил также выполняют при совместном затоплении всех помещений, расположенных в нос от таранной переборки.</w:t>
      </w:r>
    </w:p>
    <w:bookmarkEnd w:id="5751"/>
    <w:bookmarkStart w:name="z5764" w:id="5752"/>
    <w:p>
      <w:pPr>
        <w:spacing w:after="0"/>
        <w:ind w:left="0"/>
        <w:jc w:val="left"/>
      </w:pPr>
      <w:r>
        <w:rPr>
          <w:rFonts w:ascii="Times New Roman"/>
          <w:b/>
          <w:i w:val="false"/>
          <w:color w:val="000000"/>
        </w:rPr>
        <w:t xml:space="preserve"> Глава 125. Требования к элементам посадки и остойчивости поврежденного судна</w:t>
      </w:r>
    </w:p>
    <w:bookmarkEnd w:id="5752"/>
    <w:p>
      <w:pPr>
        <w:spacing w:after="0"/>
        <w:ind w:left="0"/>
        <w:jc w:val="both"/>
      </w:pPr>
      <w:r>
        <w:rPr>
          <w:rFonts w:ascii="Times New Roman"/>
          <w:b w:val="false"/>
          <w:i w:val="false"/>
          <w:color w:val="ff0000"/>
          <w:sz w:val="28"/>
        </w:rPr>
        <w:t xml:space="preserve">
      Сноска. Заголовок главы 125 -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65" w:id="5753"/>
    <w:p>
      <w:pPr>
        <w:spacing w:after="0"/>
        <w:ind w:left="0"/>
        <w:jc w:val="both"/>
      </w:pPr>
      <w:r>
        <w:rPr>
          <w:rFonts w:ascii="Times New Roman"/>
          <w:b w:val="false"/>
          <w:i w:val="false"/>
          <w:color w:val="000000"/>
          <w:sz w:val="28"/>
        </w:rPr>
        <w:t>
      1856. Начальная метацентрическая высота судна в конечной стадии затопления для ненакрененного положения, определенная методом постоянного водоизмещения, до принятия мер по ее увеличению равна не менее 0,05 м.</w:t>
      </w:r>
    </w:p>
    <w:bookmarkEnd w:id="5753"/>
    <w:bookmarkStart w:name="z5766" w:id="5754"/>
    <w:p>
      <w:pPr>
        <w:spacing w:after="0"/>
        <w:ind w:left="0"/>
        <w:jc w:val="both"/>
      </w:pPr>
      <w:r>
        <w:rPr>
          <w:rFonts w:ascii="Times New Roman"/>
          <w:b w:val="false"/>
          <w:i w:val="false"/>
          <w:color w:val="000000"/>
          <w:sz w:val="28"/>
        </w:rPr>
        <w:t>
      Для непассажирских судов по согласованию с Регистром судоходства допускается для ненакрененного судна в конечной стадии затопления положительная метацентрическая высота, меньшая 0,05 м.</w:t>
      </w:r>
    </w:p>
    <w:bookmarkEnd w:id="5754"/>
    <w:bookmarkStart w:name="z5767" w:id="5755"/>
    <w:p>
      <w:pPr>
        <w:spacing w:after="0"/>
        <w:ind w:left="0"/>
        <w:jc w:val="both"/>
      </w:pPr>
      <w:r>
        <w:rPr>
          <w:rFonts w:ascii="Times New Roman"/>
          <w:b w:val="false"/>
          <w:i w:val="false"/>
          <w:color w:val="000000"/>
          <w:sz w:val="28"/>
        </w:rPr>
        <w:t>
      1857. Угол крена при несимметричном затоплении не превышает:</w:t>
      </w:r>
    </w:p>
    <w:bookmarkEnd w:id="5755"/>
    <w:bookmarkStart w:name="z5768" w:id="5756"/>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o</w:t>
      </w:r>
      <w:r>
        <w:rPr>
          <w:rFonts w:ascii="Times New Roman"/>
          <w:b w:val="false"/>
          <w:i w:val="false"/>
          <w:color w:val="000000"/>
          <w:sz w:val="28"/>
        </w:rPr>
        <w:t xml:space="preserve"> — до принятия мер по спрямлению и до срабатывания перетоков;</w:t>
      </w:r>
    </w:p>
    <w:bookmarkEnd w:id="5756"/>
    <w:bookmarkStart w:name="z5769" w:id="5757"/>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o</w:t>
      </w:r>
      <w:r>
        <w:rPr>
          <w:rFonts w:ascii="Times New Roman"/>
          <w:b w:val="false"/>
          <w:i w:val="false"/>
          <w:color w:val="000000"/>
          <w:sz w:val="28"/>
        </w:rPr>
        <w:t xml:space="preserve"> — после принятия мер по спрямлению и после срабатывания перетоков.</w:t>
      </w:r>
    </w:p>
    <w:bookmarkEnd w:id="5757"/>
    <w:bookmarkStart w:name="z5770" w:id="5758"/>
    <w:p>
      <w:pPr>
        <w:spacing w:after="0"/>
        <w:ind w:left="0"/>
        <w:jc w:val="both"/>
      </w:pPr>
      <w:r>
        <w:rPr>
          <w:rFonts w:ascii="Times New Roman"/>
          <w:b w:val="false"/>
          <w:i w:val="false"/>
          <w:color w:val="000000"/>
          <w:sz w:val="28"/>
        </w:rPr>
        <w:t>
      1858. Диаграмма статической остойчивости поврежденного судна имеет достаточную площадь участков с положительными плечами. При этом в конечной стадии затопления без учета срабатывания перетоков, а также после спрямления судна необходимо обеспечить протяженность участка диаграммы с положительными плечами (с учетом угла заливания) не менее 20</w:t>
      </w:r>
      <w:r>
        <w:rPr>
          <w:rFonts w:ascii="Times New Roman"/>
          <w:b w:val="false"/>
          <w:i w:val="false"/>
          <w:color w:val="000000"/>
          <w:vertAlign w:val="superscript"/>
        </w:rPr>
        <w:t>o</w:t>
      </w:r>
      <w:r>
        <w:rPr>
          <w:rFonts w:ascii="Times New Roman"/>
          <w:b w:val="false"/>
          <w:i w:val="false"/>
          <w:color w:val="000000"/>
          <w:sz w:val="28"/>
        </w:rPr>
        <w:t>. В качестве угла заливания следует принимать угол входа в воду отверстий, не имеющих водонепроницаемых или непроницаемых при воздействии моря закрытий, через которые вода может распространяться в неповрежденные отсеки.</w:t>
      </w:r>
    </w:p>
    <w:bookmarkEnd w:id="5758"/>
    <w:bookmarkStart w:name="z5771" w:id="5759"/>
    <w:p>
      <w:pPr>
        <w:spacing w:after="0"/>
        <w:ind w:left="0"/>
        <w:jc w:val="both"/>
      </w:pPr>
      <w:r>
        <w:rPr>
          <w:rFonts w:ascii="Times New Roman"/>
          <w:b w:val="false"/>
          <w:i w:val="false"/>
          <w:color w:val="000000"/>
          <w:sz w:val="28"/>
        </w:rPr>
        <w:t>
      Значение максимального плеча диаграммы равна не менее 0,1 м в пределах указанной протяженности, то есть в пределах до угла крена, равного статическому, плюс 20</w:t>
      </w:r>
      <w:r>
        <w:rPr>
          <w:rFonts w:ascii="Times New Roman"/>
          <w:b w:val="false"/>
          <w:i w:val="false"/>
          <w:color w:val="000000"/>
          <w:vertAlign w:val="superscript"/>
        </w:rPr>
        <w:t>o</w:t>
      </w:r>
      <w:r>
        <w:rPr>
          <w:rFonts w:ascii="Times New Roman"/>
          <w:b w:val="false"/>
          <w:i w:val="false"/>
          <w:color w:val="000000"/>
          <w:sz w:val="28"/>
        </w:rPr>
        <w:t>.</w:t>
      </w:r>
    </w:p>
    <w:bookmarkEnd w:id="5759"/>
    <w:bookmarkStart w:name="z5772" w:id="5760"/>
    <w:p>
      <w:pPr>
        <w:spacing w:after="0"/>
        <w:ind w:left="0"/>
        <w:jc w:val="both"/>
      </w:pPr>
      <w:r>
        <w:rPr>
          <w:rFonts w:ascii="Times New Roman"/>
          <w:b w:val="false"/>
          <w:i w:val="false"/>
          <w:color w:val="000000"/>
          <w:sz w:val="28"/>
        </w:rPr>
        <w:t>
      Площадь участка диаграммы с положительными плечами в пределах указанной протяженности равна не менее 0,0175 м-рад.</w:t>
      </w:r>
    </w:p>
    <w:bookmarkEnd w:id="5760"/>
    <w:bookmarkStart w:name="z5773" w:id="5761"/>
    <w:p>
      <w:pPr>
        <w:spacing w:after="0"/>
        <w:ind w:left="0"/>
        <w:jc w:val="both"/>
      </w:pPr>
      <w:r>
        <w:rPr>
          <w:rFonts w:ascii="Times New Roman"/>
          <w:b w:val="false"/>
          <w:i w:val="false"/>
          <w:color w:val="000000"/>
          <w:sz w:val="28"/>
        </w:rPr>
        <w:t>
      В промежуточных стадиях затопления максимальное плечо диаграммы статической остойчивости - не менее 0,05 м, а протяженность положительной ее части — не менее 7</w:t>
      </w:r>
      <w:r>
        <w:rPr>
          <w:rFonts w:ascii="Times New Roman"/>
          <w:b w:val="false"/>
          <w:i w:val="false"/>
          <w:color w:val="000000"/>
          <w:vertAlign w:val="superscript"/>
        </w:rPr>
        <w:t>o</w:t>
      </w:r>
      <w:r>
        <w:rPr>
          <w:rFonts w:ascii="Times New Roman"/>
          <w:b w:val="false"/>
          <w:i w:val="false"/>
          <w:color w:val="000000"/>
          <w:sz w:val="28"/>
        </w:rPr>
        <w:t>.</w:t>
      </w:r>
    </w:p>
    <w:bookmarkEnd w:id="5761"/>
    <w:bookmarkStart w:name="z5774" w:id="5762"/>
    <w:p>
      <w:pPr>
        <w:spacing w:after="0"/>
        <w:ind w:left="0"/>
        <w:jc w:val="both"/>
      </w:pPr>
      <w:r>
        <w:rPr>
          <w:rFonts w:ascii="Times New Roman"/>
          <w:b w:val="false"/>
          <w:i w:val="false"/>
          <w:color w:val="000000"/>
          <w:sz w:val="28"/>
        </w:rPr>
        <w:t>
      1859. Аварийная ватерлиния до, в процессе и после спрямления проходит по крайней мере на 0,3 м или 0,1 + (L</w:t>
      </w:r>
      <w:r>
        <w:rPr>
          <w:rFonts w:ascii="Times New Roman"/>
          <w:b w:val="false"/>
          <w:i w:val="false"/>
          <w:color w:val="000000"/>
          <w:vertAlign w:val="subscript"/>
        </w:rPr>
        <w:t>1</w:t>
      </w:r>
      <w:r>
        <w:rPr>
          <w:rFonts w:ascii="Times New Roman"/>
          <w:b w:val="false"/>
          <w:i w:val="false"/>
          <w:color w:val="000000"/>
          <w:sz w:val="28"/>
        </w:rPr>
        <w:t>—10)/150 м (в зависимости от того, что меньше) ниже отверстий в переборках, палубах и бортах, через которые возможно дальнейшее распространение воды по судну. Под указанными отверстиями понимаются отверстия воздушных и вентиляционных труб, а также вырезы, закрываемые непроницаемыми при воздействии моря дверями и крышками.</w:t>
      </w:r>
    </w:p>
    <w:bookmarkEnd w:id="5762"/>
    <w:bookmarkStart w:name="z5775" w:id="5763"/>
    <w:p>
      <w:pPr>
        <w:spacing w:after="0"/>
        <w:ind w:left="0"/>
        <w:jc w:val="both"/>
      </w:pPr>
      <w:r>
        <w:rPr>
          <w:rFonts w:ascii="Times New Roman"/>
          <w:b w:val="false"/>
          <w:i w:val="false"/>
          <w:color w:val="000000"/>
          <w:sz w:val="28"/>
        </w:rPr>
        <w:t>
      К ним не относятся:</w:t>
      </w:r>
    </w:p>
    <w:bookmarkEnd w:id="5763"/>
    <w:bookmarkStart w:name="z5776" w:id="5764"/>
    <w:p>
      <w:pPr>
        <w:spacing w:after="0"/>
        <w:ind w:left="0"/>
        <w:jc w:val="both"/>
      </w:pPr>
      <w:r>
        <w:rPr>
          <w:rFonts w:ascii="Times New Roman"/>
          <w:b w:val="false"/>
          <w:i w:val="false"/>
          <w:color w:val="000000"/>
          <w:sz w:val="28"/>
        </w:rPr>
        <w:t>
      1) глухие (неоткрывающегося типа) бортовые и палубные иллюминаторы;</w:t>
      </w:r>
    </w:p>
    <w:bookmarkEnd w:id="5764"/>
    <w:bookmarkStart w:name="z5777" w:id="5765"/>
    <w:p>
      <w:pPr>
        <w:spacing w:after="0"/>
        <w:ind w:left="0"/>
        <w:jc w:val="both"/>
      </w:pPr>
      <w:r>
        <w:rPr>
          <w:rFonts w:ascii="Times New Roman"/>
          <w:b w:val="false"/>
          <w:i w:val="false"/>
          <w:color w:val="000000"/>
          <w:sz w:val="28"/>
        </w:rPr>
        <w:t>
      2) горловины, закрываемые крышками на часто расставленных болтах;</w:t>
      </w:r>
    </w:p>
    <w:bookmarkEnd w:id="5765"/>
    <w:bookmarkStart w:name="z5778" w:id="5766"/>
    <w:p>
      <w:pPr>
        <w:spacing w:after="0"/>
        <w:ind w:left="0"/>
        <w:jc w:val="both"/>
      </w:pPr>
      <w:r>
        <w:rPr>
          <w:rFonts w:ascii="Times New Roman"/>
          <w:b w:val="false"/>
          <w:i w:val="false"/>
          <w:color w:val="000000"/>
          <w:sz w:val="28"/>
        </w:rPr>
        <w:t>
      3) люки грузовых танков на наливных судах;</w:t>
      </w:r>
    </w:p>
    <w:bookmarkEnd w:id="5766"/>
    <w:bookmarkStart w:name="z5779" w:id="5767"/>
    <w:p>
      <w:pPr>
        <w:spacing w:after="0"/>
        <w:ind w:left="0"/>
        <w:jc w:val="both"/>
      </w:pPr>
      <w:r>
        <w:rPr>
          <w:rFonts w:ascii="Times New Roman"/>
          <w:b w:val="false"/>
          <w:i w:val="false"/>
          <w:color w:val="000000"/>
          <w:sz w:val="28"/>
        </w:rPr>
        <w:t>
      4) дистанционно управляемые двери скользящего типа, снабженные индикацией водонепроницаемые двери (за исключением судов, указанных в подпунктах 2), 5), 6) и 8) пункта 1777) настоящих Правил и крышки люков для доступа, которые обычно закрыты в море;</w:t>
      </w:r>
    </w:p>
    <w:bookmarkEnd w:id="5767"/>
    <w:bookmarkStart w:name="z5780" w:id="5768"/>
    <w:p>
      <w:pPr>
        <w:spacing w:after="0"/>
        <w:ind w:left="0"/>
        <w:jc w:val="both"/>
      </w:pPr>
      <w:r>
        <w:rPr>
          <w:rFonts w:ascii="Times New Roman"/>
          <w:b w:val="false"/>
          <w:i w:val="false"/>
          <w:color w:val="000000"/>
          <w:sz w:val="28"/>
        </w:rPr>
        <w:t>
      5) вырезы в переборках деления на отсеки, предназначенные для проезда колесной техники во время грузовых операций, закрываемые на все время рейса прочными водонепроницаемыми закрытиями. Такие вырезы допускаются только на накатных судах, включая накатные суда, указанные в пункте 1876 настоящих Правил.</w:t>
      </w:r>
    </w:p>
    <w:bookmarkEnd w:id="5768"/>
    <w:bookmarkStart w:name="z5781" w:id="5769"/>
    <w:p>
      <w:pPr>
        <w:spacing w:after="0"/>
        <w:ind w:left="0"/>
        <w:jc w:val="both"/>
      </w:pPr>
      <w:r>
        <w:rPr>
          <w:rFonts w:ascii="Times New Roman"/>
          <w:b w:val="false"/>
          <w:i w:val="false"/>
          <w:color w:val="000000"/>
          <w:sz w:val="28"/>
        </w:rPr>
        <w:t>
      При этом необходимо чтобы расположение и устройство закрытий вырезов отвечал требованиям подраздела 4 раздела 5 настоящих Правил.</w:t>
      </w:r>
    </w:p>
    <w:bookmarkEnd w:id="5769"/>
    <w:bookmarkStart w:name="z5782" w:id="5770"/>
    <w:p>
      <w:pPr>
        <w:spacing w:after="0"/>
        <w:ind w:left="0"/>
        <w:jc w:val="both"/>
      </w:pPr>
      <w:r>
        <w:rPr>
          <w:rFonts w:ascii="Times New Roman"/>
          <w:b w:val="false"/>
          <w:i w:val="false"/>
          <w:color w:val="000000"/>
          <w:sz w:val="28"/>
        </w:rPr>
        <w:t>
      Расположение помещений аварийных источников электрической энергии должно отвечать требованиям пункта 5225 настоящих Правил.</w:t>
      </w:r>
    </w:p>
    <w:bookmarkEnd w:id="5770"/>
    <w:bookmarkStart w:name="z5783" w:id="5771"/>
    <w:p>
      <w:pPr>
        <w:spacing w:after="0"/>
        <w:ind w:left="0"/>
        <w:jc w:val="both"/>
      </w:pPr>
      <w:r>
        <w:rPr>
          <w:rFonts w:ascii="Times New Roman"/>
          <w:b w:val="false"/>
          <w:i w:val="false"/>
          <w:color w:val="000000"/>
          <w:sz w:val="28"/>
        </w:rPr>
        <w:t>
      1860. Для грузовых судов допускается вход в воду палубы переборок и даже открытой палубы.</w:t>
      </w:r>
    </w:p>
    <w:bookmarkEnd w:id="5771"/>
    <w:bookmarkStart w:name="z5784" w:id="5772"/>
    <w:p>
      <w:pPr>
        <w:spacing w:after="0"/>
        <w:ind w:left="0"/>
        <w:jc w:val="both"/>
      </w:pPr>
      <w:r>
        <w:rPr>
          <w:rFonts w:ascii="Times New Roman"/>
          <w:b w:val="false"/>
          <w:i w:val="false"/>
          <w:color w:val="000000"/>
          <w:sz w:val="28"/>
        </w:rPr>
        <w:t>
      1861. Требования пунктов 1856 — 1860 настоящих Правил применяются к судам, указанным в главе 126 настоящих Правил, с учетом дополнительных требований к посадке и остойчивости, специфических для каждого типа судов.</w:t>
      </w:r>
    </w:p>
    <w:bookmarkEnd w:id="5772"/>
    <w:bookmarkStart w:name="z5785" w:id="5773"/>
    <w:p>
      <w:pPr>
        <w:spacing w:after="0"/>
        <w:ind w:left="0"/>
        <w:jc w:val="both"/>
      </w:pPr>
      <w:r>
        <w:rPr>
          <w:rFonts w:ascii="Times New Roman"/>
          <w:b w:val="false"/>
          <w:i w:val="false"/>
          <w:color w:val="000000"/>
          <w:sz w:val="28"/>
        </w:rPr>
        <w:t>
      Для судов, не указанных в главе 126 настоящих Правил, требования пунктов 1856 - 1860 настоящих Правил применяются, если в символе класса такого судна, по желанию судовладельца, предусматривается знак деления на отсеки.</w:t>
      </w:r>
    </w:p>
    <w:bookmarkEnd w:id="5773"/>
    <w:bookmarkStart w:name="z5786" w:id="5774"/>
    <w:p>
      <w:pPr>
        <w:spacing w:after="0"/>
        <w:ind w:left="0"/>
        <w:jc w:val="left"/>
      </w:pPr>
      <w:r>
        <w:rPr>
          <w:rFonts w:ascii="Times New Roman"/>
          <w:b/>
          <w:i w:val="false"/>
          <w:color w:val="000000"/>
        </w:rPr>
        <w:t xml:space="preserve"> Глава 126. Дополнительные требования к посадке и остойчивости поврежденного судна</w:t>
      </w:r>
    </w:p>
    <w:bookmarkEnd w:id="5774"/>
    <w:p>
      <w:pPr>
        <w:spacing w:after="0"/>
        <w:ind w:left="0"/>
        <w:jc w:val="both"/>
      </w:pPr>
      <w:r>
        <w:rPr>
          <w:rFonts w:ascii="Times New Roman"/>
          <w:b w:val="false"/>
          <w:i w:val="false"/>
          <w:color w:val="ff0000"/>
          <w:sz w:val="28"/>
        </w:rPr>
        <w:t xml:space="preserve">
      Сноска. Заголовок главы 126 -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87" w:id="5775"/>
    <w:p>
      <w:pPr>
        <w:spacing w:after="0"/>
        <w:ind w:left="0"/>
        <w:jc w:val="left"/>
      </w:pPr>
      <w:r>
        <w:rPr>
          <w:rFonts w:ascii="Times New Roman"/>
          <w:b/>
          <w:i w:val="false"/>
          <w:color w:val="000000"/>
        </w:rPr>
        <w:t xml:space="preserve"> Параграф 1. Пассажирские суда</w:t>
      </w:r>
    </w:p>
    <w:bookmarkEnd w:id="5775"/>
    <w:bookmarkStart w:name="z5788" w:id="5776"/>
    <w:p>
      <w:pPr>
        <w:spacing w:after="0"/>
        <w:ind w:left="0"/>
        <w:jc w:val="both"/>
      </w:pPr>
      <w:r>
        <w:rPr>
          <w:rFonts w:ascii="Times New Roman"/>
          <w:b w:val="false"/>
          <w:i w:val="false"/>
          <w:color w:val="000000"/>
          <w:sz w:val="28"/>
        </w:rPr>
        <w:t>
      1862. Для пассажирских судов аварийная посадка и остойчивость проверяются в предположении, что все пассажиры стоят на наиболее высоко расположенных доступных им палубах.</w:t>
      </w:r>
    </w:p>
    <w:bookmarkEnd w:id="5776"/>
    <w:bookmarkStart w:name="z5789" w:id="5777"/>
    <w:p>
      <w:pPr>
        <w:spacing w:after="0"/>
        <w:ind w:left="0"/>
        <w:jc w:val="both"/>
      </w:pPr>
      <w:r>
        <w:rPr>
          <w:rFonts w:ascii="Times New Roman"/>
          <w:b w:val="false"/>
          <w:i w:val="false"/>
          <w:color w:val="000000"/>
          <w:sz w:val="28"/>
        </w:rPr>
        <w:t>
      При этом размещение пассажиров на отдельных участках палубы определяется, исходя из указаний пунктов 1585 - 1586 настоящих Правил, за исключением случая расчета кренящих моментов, входящих в формулу (715) настоящих Правил, когда размещение пассажиров принимается в соответствии с пунктом 1873 настоящих Правил.</w:t>
      </w:r>
    </w:p>
    <w:bookmarkEnd w:id="5777"/>
    <w:bookmarkStart w:name="z5790" w:id="5778"/>
    <w:p>
      <w:pPr>
        <w:spacing w:after="0"/>
        <w:ind w:left="0"/>
        <w:jc w:val="both"/>
      </w:pPr>
      <w:r>
        <w:rPr>
          <w:rFonts w:ascii="Times New Roman"/>
          <w:b w:val="false"/>
          <w:i w:val="false"/>
          <w:color w:val="000000"/>
          <w:sz w:val="28"/>
        </w:rPr>
        <w:t>
      1863. В расчетах аварийной посадки и остойчивости принимают следующие размеры повреждения: протяженность по длине — 3 м плюс 3 % длины судна L</w:t>
      </w:r>
      <w:r>
        <w:rPr>
          <w:rFonts w:ascii="Times New Roman"/>
          <w:b w:val="false"/>
          <w:i w:val="false"/>
          <w:color w:val="000000"/>
          <w:vertAlign w:val="subscript"/>
        </w:rPr>
        <w:t>s</w:t>
      </w:r>
      <w:r>
        <w:rPr>
          <w:rFonts w:ascii="Times New Roman"/>
          <w:b w:val="false"/>
          <w:i w:val="false"/>
          <w:color w:val="000000"/>
          <w:sz w:val="28"/>
        </w:rPr>
        <w:t xml:space="preserve"> или 11 м (в зависимости от того, что меньше);</w:t>
      </w:r>
    </w:p>
    <w:bookmarkEnd w:id="5778"/>
    <w:bookmarkStart w:name="z5791" w:id="5779"/>
    <w:p>
      <w:pPr>
        <w:spacing w:after="0"/>
        <w:ind w:left="0"/>
        <w:jc w:val="both"/>
      </w:pPr>
      <w:r>
        <w:rPr>
          <w:rFonts w:ascii="Times New Roman"/>
          <w:b w:val="false"/>
          <w:i w:val="false"/>
          <w:color w:val="000000"/>
          <w:sz w:val="28"/>
        </w:rPr>
        <w:t>
      остальные размеры — в соответствии с подпунктами 2) и 3) пункта 1954 настоящих Правил.</w:t>
      </w:r>
    </w:p>
    <w:bookmarkEnd w:id="5779"/>
    <w:bookmarkStart w:name="z5792" w:id="5780"/>
    <w:p>
      <w:pPr>
        <w:spacing w:after="0"/>
        <w:ind w:left="0"/>
        <w:jc w:val="both"/>
      </w:pPr>
      <w:r>
        <w:rPr>
          <w:rFonts w:ascii="Times New Roman"/>
          <w:b w:val="false"/>
          <w:i w:val="false"/>
          <w:color w:val="000000"/>
          <w:sz w:val="28"/>
        </w:rPr>
        <w:t xml:space="preserve">
      1864. Требования к остойчивости поврежденного судна выполняются при затоплении одного любого отсека для судов, у которых </w:t>
      </w:r>
      <w:r>
        <w:rPr>
          <w:rFonts w:ascii="Times New Roman"/>
          <w:b w:val="false"/>
          <w:i/>
          <w:color w:val="000000"/>
          <w:sz w:val="28"/>
        </w:rPr>
        <w:t>N</w:t>
      </w:r>
      <w:r>
        <w:rPr>
          <w:rFonts w:ascii="Times New Roman"/>
          <w:b w:val="false"/>
          <w:i w:val="false"/>
          <w:color w:val="000000"/>
          <w:sz w:val="28"/>
        </w:rPr>
        <w:t xml:space="preserve"> (пункт 1814 настоящих Правил) меньше или равно 600, и при затоплении любых двух смежных отсеков для судов, у которых </w:t>
      </w:r>
      <w:r>
        <w:rPr>
          <w:rFonts w:ascii="Times New Roman"/>
          <w:b w:val="false"/>
          <w:i/>
          <w:color w:val="000000"/>
          <w:sz w:val="28"/>
        </w:rPr>
        <w:t>N</w:t>
      </w:r>
      <w:r>
        <w:rPr>
          <w:rFonts w:ascii="Times New Roman"/>
          <w:b w:val="false"/>
          <w:i w:val="false"/>
          <w:color w:val="000000"/>
          <w:sz w:val="28"/>
        </w:rPr>
        <w:t xml:space="preserve"> равно или больше 1200.</w:t>
      </w:r>
    </w:p>
    <w:bookmarkEnd w:id="5780"/>
    <w:bookmarkStart w:name="z5793" w:id="5781"/>
    <w:p>
      <w:pPr>
        <w:spacing w:after="0"/>
        <w:ind w:left="0"/>
        <w:jc w:val="both"/>
      </w:pPr>
      <w:r>
        <w:rPr>
          <w:rFonts w:ascii="Times New Roman"/>
          <w:b w:val="false"/>
          <w:i w:val="false"/>
          <w:color w:val="000000"/>
          <w:sz w:val="28"/>
        </w:rPr>
        <w:t>
      1865. Для пассажирских судов, у которых N больше 600, но меньше 1200, требования к остойчивости поврежденного судна выполняются при затоплении любых двух смежных отсеков на той части длины судна, где поперечная переборка, соответственно разделяющая пару смежных отсеков, расположена на расстоянии, меньшем (N/600 — 1)L</w:t>
      </w:r>
      <w:r>
        <w:rPr>
          <w:rFonts w:ascii="Times New Roman"/>
          <w:b w:val="false"/>
          <w:i w:val="false"/>
          <w:color w:val="000000"/>
          <w:vertAlign w:val="subscript"/>
        </w:rPr>
        <w:t>s</w:t>
      </w:r>
      <w:r>
        <w:rPr>
          <w:rFonts w:ascii="Times New Roman"/>
          <w:b w:val="false"/>
          <w:i w:val="false"/>
          <w:color w:val="000000"/>
          <w:sz w:val="28"/>
        </w:rPr>
        <w:t xml:space="preserve"> от крайней носовой точки L</w:t>
      </w:r>
      <w:r>
        <w:rPr>
          <w:rFonts w:ascii="Times New Roman"/>
          <w:b w:val="false"/>
          <w:i w:val="false"/>
          <w:color w:val="000000"/>
          <w:vertAlign w:val="subscript"/>
        </w:rPr>
        <w:t>s</w:t>
      </w:r>
      <w:r>
        <w:rPr>
          <w:rFonts w:ascii="Times New Roman"/>
          <w:b w:val="false"/>
          <w:i w:val="false"/>
          <w:color w:val="000000"/>
          <w:sz w:val="28"/>
        </w:rPr>
        <w:t>, и при затоплении одного любого отсека на части длины судна, где ограничивающие отсек переборки расположены на расстоянии, большем (N /600 — 1)L</w:t>
      </w:r>
      <w:r>
        <w:rPr>
          <w:rFonts w:ascii="Times New Roman"/>
          <w:b w:val="false"/>
          <w:i w:val="false"/>
          <w:color w:val="000000"/>
          <w:vertAlign w:val="subscript"/>
        </w:rPr>
        <w:t>S</w:t>
      </w:r>
      <w:r>
        <w:rPr>
          <w:rFonts w:ascii="Times New Roman"/>
          <w:b w:val="false"/>
          <w:i w:val="false"/>
          <w:color w:val="000000"/>
          <w:sz w:val="28"/>
        </w:rPr>
        <w:t>. В символ класса этих судов вносится знак деления на отсеки 1.</w:t>
      </w:r>
    </w:p>
    <w:bookmarkEnd w:id="5781"/>
    <w:bookmarkStart w:name="z5794" w:id="5782"/>
    <w:p>
      <w:pPr>
        <w:spacing w:after="0"/>
        <w:ind w:left="0"/>
        <w:jc w:val="both"/>
      </w:pPr>
      <w:r>
        <w:rPr>
          <w:rFonts w:ascii="Times New Roman"/>
          <w:b w:val="false"/>
          <w:i w:val="false"/>
          <w:color w:val="000000"/>
          <w:sz w:val="28"/>
        </w:rPr>
        <w:t>
      Необходимо чтобы независимо от требований пункта 1864 настоящих Правил и требований настоящего пункта, пассажирские суда с числом людей на борту 400 и более, кили которых заложены 1 июля 2002 г. и позже, отвечали требованиям настоящей главы при расположении повреждения в любом месте по длине судна.</w:t>
      </w:r>
    </w:p>
    <w:bookmarkEnd w:id="5782"/>
    <w:bookmarkStart w:name="z5795" w:id="5783"/>
    <w:p>
      <w:pPr>
        <w:spacing w:after="0"/>
        <w:ind w:left="0"/>
        <w:jc w:val="both"/>
      </w:pPr>
      <w:r>
        <w:rPr>
          <w:rFonts w:ascii="Times New Roman"/>
          <w:b w:val="false"/>
          <w:i w:val="false"/>
          <w:color w:val="000000"/>
          <w:sz w:val="28"/>
        </w:rPr>
        <w:t>
      1866. Для пассажирских судов длиной L</w:t>
      </w:r>
      <w:r>
        <w:rPr>
          <w:rFonts w:ascii="Times New Roman"/>
          <w:b w:val="false"/>
          <w:i w:val="false"/>
          <w:color w:val="000000"/>
          <w:vertAlign w:val="subscript"/>
        </w:rPr>
        <w:t>s</w:t>
      </w:r>
      <w:r>
        <w:rPr>
          <w:rFonts w:ascii="Times New Roman"/>
          <w:b w:val="false"/>
          <w:i w:val="false"/>
          <w:color w:val="000000"/>
          <w:sz w:val="28"/>
        </w:rPr>
        <w:t xml:space="preserve"> 100 м и более требования к посадке и остойчивости поврежденного судна выполняются при получении носовой пробоины протяженностью, указанной в главе 119 настоящих Правил.</w:t>
      </w:r>
    </w:p>
    <w:bookmarkEnd w:id="5783"/>
    <w:bookmarkStart w:name="z5796" w:id="5784"/>
    <w:p>
      <w:pPr>
        <w:spacing w:after="0"/>
        <w:ind w:left="0"/>
        <w:jc w:val="both"/>
      </w:pPr>
      <w:r>
        <w:rPr>
          <w:rFonts w:ascii="Times New Roman"/>
          <w:b w:val="false"/>
          <w:i w:val="false"/>
          <w:color w:val="000000"/>
          <w:sz w:val="28"/>
        </w:rPr>
        <w:t>
      1867. Угол крена при несимметричном затоплении не превышает:</w:t>
      </w:r>
    </w:p>
    <w:bookmarkEnd w:id="5784"/>
    <w:bookmarkStart w:name="z5797" w:id="5785"/>
    <w:p>
      <w:pPr>
        <w:spacing w:after="0"/>
        <w:ind w:left="0"/>
        <w:jc w:val="both"/>
      </w:pPr>
      <w:r>
        <w:rPr>
          <w:rFonts w:ascii="Times New Roman"/>
          <w:b w:val="false"/>
          <w:i w:val="false"/>
          <w:color w:val="000000"/>
          <w:sz w:val="28"/>
        </w:rPr>
        <w:t>
      до принятия мер по спрямлению и до срабатывания перетоков — 15</w:t>
      </w:r>
      <w:r>
        <w:rPr>
          <w:rFonts w:ascii="Times New Roman"/>
          <w:b w:val="false"/>
          <w:i w:val="false"/>
          <w:color w:val="000000"/>
          <w:vertAlign w:val="superscript"/>
        </w:rPr>
        <w:t>o</w:t>
      </w:r>
      <w:r>
        <w:rPr>
          <w:rFonts w:ascii="Times New Roman"/>
          <w:b w:val="false"/>
          <w:i w:val="false"/>
          <w:color w:val="000000"/>
          <w:sz w:val="28"/>
        </w:rPr>
        <w:t>;</w:t>
      </w:r>
    </w:p>
    <w:bookmarkEnd w:id="5785"/>
    <w:bookmarkStart w:name="z5798" w:id="5786"/>
    <w:p>
      <w:pPr>
        <w:spacing w:after="0"/>
        <w:ind w:left="0"/>
        <w:jc w:val="both"/>
      </w:pPr>
      <w:r>
        <w:rPr>
          <w:rFonts w:ascii="Times New Roman"/>
          <w:b w:val="false"/>
          <w:i w:val="false"/>
          <w:color w:val="000000"/>
          <w:sz w:val="28"/>
        </w:rPr>
        <w:t>
      после принятия мер по спрямлению и после срабатывания перетоков — 7</w:t>
      </w:r>
      <w:r>
        <w:rPr>
          <w:rFonts w:ascii="Times New Roman"/>
          <w:b w:val="false"/>
          <w:i w:val="false"/>
          <w:color w:val="000000"/>
          <w:vertAlign w:val="superscript"/>
        </w:rPr>
        <w:t>o</w:t>
      </w:r>
      <w:r>
        <w:rPr>
          <w:rFonts w:ascii="Times New Roman"/>
          <w:b w:val="false"/>
          <w:i w:val="false"/>
          <w:color w:val="000000"/>
          <w:sz w:val="28"/>
        </w:rPr>
        <w:t xml:space="preserve"> при затоплении одного отсека и 12</w:t>
      </w:r>
      <w:r>
        <w:rPr>
          <w:rFonts w:ascii="Times New Roman"/>
          <w:b w:val="false"/>
          <w:i w:val="false"/>
          <w:color w:val="000000"/>
          <w:vertAlign w:val="superscript"/>
        </w:rPr>
        <w:t>o</w:t>
      </w:r>
      <w:r>
        <w:rPr>
          <w:rFonts w:ascii="Times New Roman"/>
          <w:b w:val="false"/>
          <w:i w:val="false"/>
          <w:color w:val="000000"/>
          <w:sz w:val="28"/>
        </w:rPr>
        <w:t xml:space="preserve"> при затоплении двух и более смежных отсеков.</w:t>
      </w:r>
    </w:p>
    <w:bookmarkEnd w:id="5786"/>
    <w:bookmarkStart w:name="z5799" w:id="5787"/>
    <w:p>
      <w:pPr>
        <w:spacing w:after="0"/>
        <w:ind w:left="0"/>
        <w:jc w:val="both"/>
      </w:pPr>
      <w:r>
        <w:rPr>
          <w:rFonts w:ascii="Times New Roman"/>
          <w:b w:val="false"/>
          <w:i w:val="false"/>
          <w:color w:val="000000"/>
          <w:sz w:val="28"/>
        </w:rPr>
        <w:t>
      1868. Время спрямления, необходимое для выполнения указанных выше условий, не превышает 10 мин.</w:t>
      </w:r>
    </w:p>
    <w:bookmarkEnd w:id="5787"/>
    <w:bookmarkStart w:name="z5800" w:id="5788"/>
    <w:p>
      <w:pPr>
        <w:spacing w:after="0"/>
        <w:ind w:left="0"/>
        <w:jc w:val="both"/>
      </w:pPr>
      <w:r>
        <w:rPr>
          <w:rFonts w:ascii="Times New Roman"/>
          <w:b w:val="false"/>
          <w:i w:val="false"/>
          <w:color w:val="000000"/>
          <w:sz w:val="28"/>
        </w:rPr>
        <w:t>
      1869. В промежуточных стадиях затопления или спрямления крен не превышает 20</w:t>
      </w:r>
      <w:r>
        <w:rPr>
          <w:rFonts w:ascii="Times New Roman"/>
          <w:b w:val="false"/>
          <w:i w:val="false"/>
          <w:color w:val="000000"/>
          <w:vertAlign w:val="superscript"/>
        </w:rPr>
        <w:t>o</w:t>
      </w:r>
      <w:r>
        <w:rPr>
          <w:rFonts w:ascii="Times New Roman"/>
          <w:b w:val="false"/>
          <w:i w:val="false"/>
          <w:color w:val="000000"/>
          <w:sz w:val="28"/>
        </w:rPr>
        <w:t>, а максимальное плечо диаграммы статической остойчивости - не менее 0,05 м при протяженности положительного участка не менее 7</w:t>
      </w:r>
      <w:r>
        <w:rPr>
          <w:rFonts w:ascii="Times New Roman"/>
          <w:b w:val="false"/>
          <w:i w:val="false"/>
          <w:color w:val="000000"/>
          <w:vertAlign w:val="superscript"/>
        </w:rPr>
        <w:t>o</w:t>
      </w:r>
      <w:r>
        <w:rPr>
          <w:rFonts w:ascii="Times New Roman"/>
          <w:b w:val="false"/>
          <w:i w:val="false"/>
          <w:color w:val="000000"/>
          <w:sz w:val="28"/>
        </w:rPr>
        <w:t>.</w:t>
      </w:r>
    </w:p>
    <w:bookmarkEnd w:id="5788"/>
    <w:bookmarkStart w:name="z5801" w:id="5789"/>
    <w:p>
      <w:pPr>
        <w:spacing w:after="0"/>
        <w:ind w:left="0"/>
        <w:jc w:val="both"/>
      </w:pPr>
      <w:r>
        <w:rPr>
          <w:rFonts w:ascii="Times New Roman"/>
          <w:b w:val="false"/>
          <w:i w:val="false"/>
          <w:color w:val="000000"/>
          <w:sz w:val="28"/>
        </w:rPr>
        <w:t>
      1870. Аварийная ватерлиния после спрямления судна, а когда спрямление не производится, — после затопления, проходит ниже палубы переборок вне района затопления.</w:t>
      </w:r>
    </w:p>
    <w:bookmarkEnd w:id="5789"/>
    <w:bookmarkStart w:name="z5802" w:id="5790"/>
    <w:p>
      <w:pPr>
        <w:spacing w:after="0"/>
        <w:ind w:left="0"/>
        <w:jc w:val="both"/>
      </w:pPr>
      <w:r>
        <w:rPr>
          <w:rFonts w:ascii="Times New Roman"/>
          <w:b w:val="false"/>
          <w:i w:val="false"/>
          <w:color w:val="000000"/>
          <w:sz w:val="28"/>
        </w:rPr>
        <w:t>
      1871. Диаграмма статической остойчивости поврежденного судна имеет участок с положительными плечами протяженностью не менее 15</w:t>
      </w:r>
      <w:r>
        <w:rPr>
          <w:rFonts w:ascii="Times New Roman"/>
          <w:b w:val="false"/>
          <w:i w:val="false"/>
          <w:color w:val="000000"/>
          <w:vertAlign w:val="superscript"/>
        </w:rPr>
        <w:t>o</w:t>
      </w:r>
      <w:r>
        <w:rPr>
          <w:rFonts w:ascii="Times New Roman"/>
          <w:b w:val="false"/>
          <w:i w:val="false"/>
          <w:color w:val="000000"/>
          <w:sz w:val="28"/>
        </w:rPr>
        <w:t>, измеряемой от положения равновесия как до, так и после принятия мер по спрямлению и/ или срабатывания перетоков.</w:t>
      </w:r>
    </w:p>
    <w:bookmarkEnd w:id="5790"/>
    <w:bookmarkStart w:name="z5803" w:id="5791"/>
    <w:p>
      <w:pPr>
        <w:spacing w:after="0"/>
        <w:ind w:left="0"/>
        <w:jc w:val="both"/>
      </w:pPr>
      <w:r>
        <w:rPr>
          <w:rFonts w:ascii="Times New Roman"/>
          <w:b w:val="false"/>
          <w:i w:val="false"/>
          <w:color w:val="000000"/>
          <w:sz w:val="28"/>
        </w:rPr>
        <w:t>
      Площадь участка диаграммы с положительными плечами не менее 0,015 м-рад. Эта площадь определяется для участка диаграммы, расположенного между углом крена, соответствующего положению равновесия судна, и углом заливания или углом 22</w:t>
      </w:r>
      <w:r>
        <w:rPr>
          <w:rFonts w:ascii="Times New Roman"/>
          <w:b w:val="false"/>
          <w:i w:val="false"/>
          <w:color w:val="000000"/>
          <w:vertAlign w:val="superscript"/>
        </w:rPr>
        <w:t>o</w:t>
      </w:r>
      <w:r>
        <w:rPr>
          <w:rFonts w:ascii="Times New Roman"/>
          <w:b w:val="false"/>
          <w:i w:val="false"/>
          <w:color w:val="000000"/>
          <w:sz w:val="28"/>
        </w:rPr>
        <w:t xml:space="preserve"> при затоплении одного отсека, или углом 27</w:t>
      </w:r>
      <w:r>
        <w:rPr>
          <w:rFonts w:ascii="Times New Roman"/>
          <w:b w:val="false"/>
          <w:i w:val="false"/>
          <w:color w:val="000000"/>
          <w:vertAlign w:val="superscript"/>
        </w:rPr>
        <w:t>o</w:t>
      </w:r>
      <w:r>
        <w:rPr>
          <w:rFonts w:ascii="Times New Roman"/>
          <w:b w:val="false"/>
          <w:i w:val="false"/>
          <w:color w:val="000000"/>
          <w:sz w:val="28"/>
        </w:rPr>
        <w:t xml:space="preserve"> при одновременном затоплении двух или более смежных отсеков, смотря по тому, какой из этих углов меньше.</w:t>
      </w:r>
    </w:p>
    <w:bookmarkEnd w:id="5791"/>
    <w:bookmarkStart w:name="z5804" w:id="5792"/>
    <w:p>
      <w:pPr>
        <w:spacing w:after="0"/>
        <w:ind w:left="0"/>
        <w:jc w:val="both"/>
      </w:pPr>
      <w:r>
        <w:rPr>
          <w:rFonts w:ascii="Times New Roman"/>
          <w:b w:val="false"/>
          <w:i w:val="false"/>
          <w:color w:val="000000"/>
          <w:sz w:val="28"/>
        </w:rPr>
        <w:t>
      1872. Плечо диаграммы статической остойчивости в пределах протяженности, указанной в пункте 1871 настоящих Правил, не менее большей из величин:</w:t>
      </w:r>
    </w:p>
    <w:bookmarkEnd w:id="5792"/>
    <w:bookmarkStart w:name="z5805" w:id="5793"/>
    <w:p>
      <w:pPr>
        <w:spacing w:after="0"/>
        <w:ind w:left="0"/>
        <w:jc w:val="both"/>
      </w:pPr>
      <w:r>
        <w:rPr>
          <w:rFonts w:ascii="Times New Roman"/>
          <w:b w:val="false"/>
          <w:i w:val="false"/>
          <w:color w:val="000000"/>
          <w:sz w:val="28"/>
        </w:rPr>
        <w:t>
      1) 0,1 м</w:t>
      </w:r>
    </w:p>
    <w:bookmarkEnd w:id="5793"/>
    <w:bookmarkStart w:name="z5806" w:id="5794"/>
    <w:p>
      <w:pPr>
        <w:spacing w:after="0"/>
        <w:ind w:left="0"/>
        <w:jc w:val="both"/>
      </w:pPr>
      <w:r>
        <w:rPr>
          <w:rFonts w:ascii="Times New Roman"/>
          <w:b w:val="false"/>
          <w:i w:val="false"/>
          <w:color w:val="000000"/>
          <w:sz w:val="28"/>
        </w:rPr>
        <w:t>
      или</w:t>
      </w:r>
    </w:p>
    <w:bookmarkEnd w:id="5794"/>
    <w:bookmarkStart w:name="z5807" w:id="5795"/>
    <w:p>
      <w:pPr>
        <w:spacing w:after="0"/>
        <w:ind w:left="0"/>
        <w:jc w:val="both"/>
      </w:pPr>
      <w:r>
        <w:rPr>
          <w:rFonts w:ascii="Times New Roman"/>
          <w:b w:val="false"/>
          <w:i w:val="false"/>
          <w:color w:val="000000"/>
          <w:sz w:val="28"/>
        </w:rPr>
        <w:t>
      2) величины, определенной по формуле:</w:t>
      </w:r>
    </w:p>
    <w:bookmarkEnd w:id="579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=М</w:t>
      </w:r>
      <w:r>
        <w:rPr>
          <w:rFonts w:ascii="Times New Roman"/>
          <w:b w:val="false"/>
          <w:i w:val="false"/>
          <w:color w:val="000000"/>
          <w:vertAlign w:val="subscript"/>
        </w:rPr>
        <w:t>кр</w:t>
      </w: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+0,04 м,                  (715)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кр</w:t>
      </w:r>
      <w:r>
        <w:rPr>
          <w:rFonts w:ascii="Times New Roman"/>
          <w:b w:val="false"/>
          <w:i w:val="false"/>
          <w:color w:val="000000"/>
          <w:sz w:val="28"/>
        </w:rPr>
        <w:t xml:space="preserve"> — кренящий момент.</w:t>
      </w:r>
    </w:p>
    <w:bookmarkStart w:name="z5808" w:id="5796"/>
    <w:p>
      <w:pPr>
        <w:spacing w:after="0"/>
        <w:ind w:left="0"/>
        <w:jc w:val="both"/>
      </w:pPr>
      <w:r>
        <w:rPr>
          <w:rFonts w:ascii="Times New Roman"/>
          <w:b w:val="false"/>
          <w:i w:val="false"/>
          <w:color w:val="000000"/>
          <w:sz w:val="28"/>
        </w:rPr>
        <w:t>
      В формуле (715) настоящих Правил применяется больший из кренящих моментов от:</w:t>
      </w:r>
    </w:p>
    <w:bookmarkEnd w:id="5796"/>
    <w:bookmarkStart w:name="z5809" w:id="5797"/>
    <w:p>
      <w:pPr>
        <w:spacing w:after="0"/>
        <w:ind w:left="0"/>
        <w:jc w:val="both"/>
      </w:pPr>
      <w:r>
        <w:rPr>
          <w:rFonts w:ascii="Times New Roman"/>
          <w:b w:val="false"/>
          <w:i w:val="false"/>
          <w:color w:val="000000"/>
          <w:sz w:val="28"/>
        </w:rPr>
        <w:t>
      скопления всех пассажиров у одного борта (с учетом подпунктов 1) – 3) пункта 1873 настоящих Правил);</w:t>
      </w:r>
    </w:p>
    <w:bookmarkEnd w:id="5797"/>
    <w:bookmarkStart w:name="z5810" w:id="5798"/>
    <w:p>
      <w:pPr>
        <w:spacing w:after="0"/>
        <w:ind w:left="0"/>
        <w:jc w:val="both"/>
      </w:pPr>
      <w:r>
        <w:rPr>
          <w:rFonts w:ascii="Times New Roman"/>
          <w:b w:val="false"/>
          <w:i w:val="false"/>
          <w:color w:val="000000"/>
          <w:sz w:val="28"/>
        </w:rPr>
        <w:t>
      спуска всех полностью загруженных спасательных средств одного борта (с учетом подпунктов 4) – 6) пункта 1873 настоящих Правил);</w:t>
      </w:r>
    </w:p>
    <w:bookmarkEnd w:id="5798"/>
    <w:bookmarkStart w:name="z5811" w:id="5799"/>
    <w:p>
      <w:pPr>
        <w:spacing w:after="0"/>
        <w:ind w:left="0"/>
        <w:jc w:val="both"/>
      </w:pPr>
      <w:r>
        <w:rPr>
          <w:rFonts w:ascii="Times New Roman"/>
          <w:b w:val="false"/>
          <w:i w:val="false"/>
          <w:color w:val="000000"/>
          <w:sz w:val="28"/>
        </w:rPr>
        <w:t>
      давления ветра (с учетом подпунктов 7) – 9) пункта 1873 настоящих Правил).</w:t>
      </w:r>
    </w:p>
    <w:bookmarkEnd w:id="5799"/>
    <w:bookmarkStart w:name="z5812" w:id="5800"/>
    <w:p>
      <w:pPr>
        <w:spacing w:after="0"/>
        <w:ind w:left="0"/>
        <w:jc w:val="both"/>
      </w:pPr>
      <w:r>
        <w:rPr>
          <w:rFonts w:ascii="Times New Roman"/>
          <w:b w:val="false"/>
          <w:i w:val="false"/>
          <w:color w:val="000000"/>
          <w:sz w:val="28"/>
        </w:rPr>
        <w:t>
      Требования настоящего пункта относятся к случаям как симметричного, так и несимметричного затопления.</w:t>
      </w:r>
    </w:p>
    <w:bookmarkEnd w:id="5800"/>
    <w:bookmarkStart w:name="z5813" w:id="5801"/>
    <w:p>
      <w:pPr>
        <w:spacing w:after="0"/>
        <w:ind w:left="0"/>
        <w:jc w:val="both"/>
      </w:pPr>
      <w:r>
        <w:rPr>
          <w:rFonts w:ascii="Times New Roman"/>
          <w:b w:val="false"/>
          <w:i w:val="false"/>
          <w:color w:val="000000"/>
          <w:sz w:val="28"/>
        </w:rPr>
        <w:t>
      1873. Кренящие моменты, упомянутые в пункте 1872 настоящих Правил вычисляются, исходя из следующих предположений:</w:t>
      </w:r>
    </w:p>
    <w:bookmarkEnd w:id="5801"/>
    <w:bookmarkStart w:name="z5814" w:id="5802"/>
    <w:p>
      <w:pPr>
        <w:spacing w:after="0"/>
        <w:ind w:left="0"/>
        <w:jc w:val="both"/>
      </w:pPr>
      <w:r>
        <w:rPr>
          <w:rFonts w:ascii="Times New Roman"/>
          <w:b w:val="false"/>
          <w:i w:val="false"/>
          <w:color w:val="000000"/>
          <w:sz w:val="28"/>
        </w:rPr>
        <w:t>
      1) плотность распределения пассажиров принимается равной 4 человек на один квадратный метр доступной для них площади;</w:t>
      </w:r>
    </w:p>
    <w:bookmarkEnd w:id="5802"/>
    <w:bookmarkStart w:name="z5815" w:id="5803"/>
    <w:p>
      <w:pPr>
        <w:spacing w:after="0"/>
        <w:ind w:left="0"/>
        <w:jc w:val="both"/>
      </w:pPr>
      <w:r>
        <w:rPr>
          <w:rFonts w:ascii="Times New Roman"/>
          <w:b w:val="false"/>
          <w:i w:val="false"/>
          <w:color w:val="000000"/>
          <w:sz w:val="28"/>
        </w:rPr>
        <w:t>
      2) масса одного пассажира принимается равной 75 кг;</w:t>
      </w:r>
    </w:p>
    <w:bookmarkEnd w:id="5803"/>
    <w:bookmarkStart w:name="z5816" w:id="5804"/>
    <w:p>
      <w:pPr>
        <w:spacing w:after="0"/>
        <w:ind w:left="0"/>
        <w:jc w:val="both"/>
      </w:pPr>
      <w:r>
        <w:rPr>
          <w:rFonts w:ascii="Times New Roman"/>
          <w:b w:val="false"/>
          <w:i w:val="false"/>
          <w:color w:val="000000"/>
          <w:sz w:val="28"/>
        </w:rPr>
        <w:t>
      3) пассажиры размещаются на доступных им площадях у одного борта на палубах, на которых предусмотрены места их сбора. Из всех возможных вариантов размещения пассажиров должен приниматься вариант, создающий наибольший кренящий момент;</w:t>
      </w:r>
    </w:p>
    <w:bookmarkEnd w:id="5804"/>
    <w:bookmarkStart w:name="z5817" w:id="5805"/>
    <w:p>
      <w:pPr>
        <w:spacing w:after="0"/>
        <w:ind w:left="0"/>
        <w:jc w:val="both"/>
      </w:pPr>
      <w:r>
        <w:rPr>
          <w:rFonts w:ascii="Times New Roman"/>
          <w:b w:val="false"/>
          <w:i w:val="false"/>
          <w:color w:val="000000"/>
          <w:sz w:val="28"/>
        </w:rPr>
        <w:t>
      4) все спасательные и дежурные шлюпки, установленные на том борту судна, на который судно получило крен, считаются полностью загруженными, вываленными за борт и готовыми к спуску; если спуск полностью загруженных спасательных шлюпок предусматривается с места их установки, то в расчетах учитывается максимальный кренящий момент, возникающий в процессе спуска.</w:t>
      </w:r>
    </w:p>
    <w:bookmarkEnd w:id="5805"/>
    <w:bookmarkStart w:name="z5818" w:id="5806"/>
    <w:p>
      <w:pPr>
        <w:spacing w:after="0"/>
        <w:ind w:left="0"/>
        <w:jc w:val="both"/>
      </w:pPr>
      <w:r>
        <w:rPr>
          <w:rFonts w:ascii="Times New Roman"/>
          <w:b w:val="false"/>
          <w:i w:val="false"/>
          <w:color w:val="000000"/>
          <w:sz w:val="28"/>
        </w:rPr>
        <w:t>
      К спасательным плотам, для которых предусматриваются спусковые устройства, применяются те же предположения, что и к спасательным шлюпкам;</w:t>
      </w:r>
    </w:p>
    <w:bookmarkEnd w:id="5806"/>
    <w:bookmarkStart w:name="z5819" w:id="5807"/>
    <w:p>
      <w:pPr>
        <w:spacing w:after="0"/>
        <w:ind w:left="0"/>
        <w:jc w:val="both"/>
      </w:pPr>
      <w:r>
        <w:rPr>
          <w:rFonts w:ascii="Times New Roman"/>
          <w:b w:val="false"/>
          <w:i w:val="false"/>
          <w:color w:val="000000"/>
          <w:sz w:val="28"/>
        </w:rPr>
        <w:t>
      5) в расчетах кренящего момента от спуска спасательных средств лица, не находящиеся в вываленных за борт шлюпках и плотах, не рассматриваются как создающие дополнительный кренящий или восстанавливающий момент;</w:t>
      </w:r>
    </w:p>
    <w:bookmarkEnd w:id="5807"/>
    <w:bookmarkStart w:name="z5820" w:id="5808"/>
    <w:p>
      <w:pPr>
        <w:spacing w:after="0"/>
        <w:ind w:left="0"/>
        <w:jc w:val="both"/>
      </w:pPr>
      <w:r>
        <w:rPr>
          <w:rFonts w:ascii="Times New Roman"/>
          <w:b w:val="false"/>
          <w:i w:val="false"/>
          <w:color w:val="000000"/>
          <w:sz w:val="28"/>
        </w:rPr>
        <w:t>
      6) спасательные средства противоположного борта считаются находящимися в походном положении;</w:t>
      </w:r>
    </w:p>
    <w:bookmarkEnd w:id="5808"/>
    <w:bookmarkStart w:name="z5821" w:id="5809"/>
    <w:p>
      <w:pPr>
        <w:spacing w:after="0"/>
        <w:ind w:left="0"/>
        <w:jc w:val="both"/>
      </w:pPr>
      <w:r>
        <w:rPr>
          <w:rFonts w:ascii="Times New Roman"/>
          <w:b w:val="false"/>
          <w:i w:val="false"/>
          <w:color w:val="000000"/>
          <w:sz w:val="28"/>
        </w:rPr>
        <w:t>
      7) давление ветра принимается равным 120 Па;</w:t>
      </w:r>
    </w:p>
    <w:bookmarkEnd w:id="5809"/>
    <w:bookmarkStart w:name="z5822" w:id="5810"/>
    <w:p>
      <w:pPr>
        <w:spacing w:after="0"/>
        <w:ind w:left="0"/>
        <w:jc w:val="both"/>
      </w:pPr>
      <w:r>
        <w:rPr>
          <w:rFonts w:ascii="Times New Roman"/>
          <w:b w:val="false"/>
          <w:i w:val="false"/>
          <w:color w:val="000000"/>
          <w:sz w:val="28"/>
        </w:rPr>
        <w:t>
      8) площадь парусности определяется для исходной осадки неповрежденного судна;</w:t>
      </w:r>
    </w:p>
    <w:bookmarkEnd w:id="5810"/>
    <w:bookmarkStart w:name="z5823" w:id="5811"/>
    <w:p>
      <w:pPr>
        <w:spacing w:after="0"/>
        <w:ind w:left="0"/>
        <w:jc w:val="both"/>
      </w:pPr>
      <w:r>
        <w:rPr>
          <w:rFonts w:ascii="Times New Roman"/>
          <w:b w:val="false"/>
          <w:i w:val="false"/>
          <w:color w:val="000000"/>
          <w:sz w:val="28"/>
        </w:rPr>
        <w:t>
      9) плечо момента от действия ветра определяется как вертикальное расстояние от центра парусности до точки, соответствующей половине средней осадки судна в неповрежденном состоянии.</w:t>
      </w:r>
    </w:p>
    <w:bookmarkEnd w:id="5811"/>
    <w:bookmarkStart w:name="z5824" w:id="5812"/>
    <w:p>
      <w:pPr>
        <w:spacing w:after="0"/>
        <w:ind w:left="0"/>
        <w:jc w:val="both"/>
      </w:pPr>
      <w:r>
        <w:rPr>
          <w:rFonts w:ascii="Times New Roman"/>
          <w:b w:val="false"/>
          <w:i w:val="false"/>
          <w:color w:val="000000"/>
          <w:sz w:val="28"/>
        </w:rPr>
        <w:t>
      1874. Когда пассажирские суда ограниченных районов плавания R1 и R2 снабжаются спасательными средствами в соответствии с требованиями Регистра судоходства, требования к аварийной посадке и остойчивости выполняются при затоплении любых двух смежных отсеков.</w:t>
      </w:r>
    </w:p>
    <w:bookmarkEnd w:id="5812"/>
    <w:bookmarkStart w:name="z5825" w:id="5813"/>
    <w:p>
      <w:pPr>
        <w:spacing w:after="0"/>
        <w:ind w:left="0"/>
        <w:jc w:val="left"/>
      </w:pPr>
      <w:r>
        <w:rPr>
          <w:rFonts w:ascii="Times New Roman"/>
          <w:b/>
          <w:i w:val="false"/>
          <w:color w:val="000000"/>
        </w:rPr>
        <w:t xml:space="preserve"> Параграф 2. Накатные суда, приравненные к пассажирским,</w:t>
      </w:r>
      <w:r>
        <w:br/>
      </w:r>
      <w:r>
        <w:rPr>
          <w:rFonts w:ascii="Times New Roman"/>
          <w:b/>
          <w:i w:val="false"/>
          <w:color w:val="000000"/>
        </w:rPr>
        <w:t>ледоколы и рыболовные суда</w:t>
      </w:r>
    </w:p>
    <w:bookmarkEnd w:id="5813"/>
    <w:bookmarkStart w:name="z5826" w:id="5814"/>
    <w:p>
      <w:pPr>
        <w:spacing w:after="0"/>
        <w:ind w:left="0"/>
        <w:jc w:val="both"/>
      </w:pPr>
      <w:r>
        <w:rPr>
          <w:rFonts w:ascii="Times New Roman"/>
          <w:b w:val="false"/>
          <w:i w:val="false"/>
          <w:color w:val="000000"/>
          <w:sz w:val="28"/>
        </w:rPr>
        <w:t>
      1875. Накатные суда, независимо от их длины, если на них предусматривается перевозка колесной техники с сопровождающим ее персоналом в количестве более 12 человек, включая в это число пассажиров (если они есть), в отношении всех требований к делению на отсеки приравниваются к пассажирским с отступлением, указанным в подпункте 5) пункта 1859 настоящих Правил, если оно допускается пунктом 1315 настоящих Правил.</w:t>
      </w:r>
    </w:p>
    <w:bookmarkEnd w:id="5814"/>
    <w:bookmarkStart w:name="z5827" w:id="5815"/>
    <w:p>
      <w:pPr>
        <w:spacing w:after="0"/>
        <w:ind w:left="0"/>
        <w:jc w:val="both"/>
      </w:pPr>
      <w:r>
        <w:rPr>
          <w:rFonts w:ascii="Times New Roman"/>
          <w:b w:val="false"/>
          <w:i w:val="false"/>
          <w:color w:val="000000"/>
          <w:sz w:val="28"/>
        </w:rPr>
        <w:t>
      1876. Требования к аварийной посадке и остойчивости накатного судна с числом людей на борту 400 и более выполняются при расположении повреждения в любом месте по длине судна.</w:t>
      </w:r>
    </w:p>
    <w:bookmarkEnd w:id="5815"/>
    <w:bookmarkStart w:name="z5828" w:id="5816"/>
    <w:p>
      <w:pPr>
        <w:spacing w:after="0"/>
        <w:ind w:left="0"/>
        <w:jc w:val="both"/>
      </w:pPr>
      <w:r>
        <w:rPr>
          <w:rFonts w:ascii="Times New Roman"/>
          <w:b w:val="false"/>
          <w:i w:val="false"/>
          <w:color w:val="000000"/>
          <w:sz w:val="28"/>
        </w:rPr>
        <w:t>
      1877. Число смежных отсеков, при затоплении которых выполняются требования главы 125 настоящих Правил к остойчивости поврежденного судна, приведено в приложении 228 настоящих Правил.</w:t>
      </w:r>
    </w:p>
    <w:bookmarkEnd w:id="5816"/>
    <w:bookmarkStart w:name="z5829" w:id="5817"/>
    <w:p>
      <w:pPr>
        <w:spacing w:after="0"/>
        <w:ind w:left="0"/>
        <w:jc w:val="both"/>
      </w:pPr>
      <w:r>
        <w:rPr>
          <w:rFonts w:ascii="Times New Roman"/>
          <w:b w:val="false"/>
          <w:i w:val="false"/>
          <w:color w:val="000000"/>
          <w:sz w:val="28"/>
        </w:rPr>
        <w:t>
      1878. Ледоколы длиной L</w:t>
      </w:r>
      <w:r>
        <w:rPr>
          <w:rFonts w:ascii="Times New Roman"/>
          <w:b w:val="false"/>
          <w:i w:val="false"/>
          <w:color w:val="000000"/>
          <w:vertAlign w:val="subscript"/>
        </w:rPr>
        <w:t>1</w:t>
      </w:r>
      <w:r>
        <w:rPr>
          <w:rFonts w:ascii="Times New Roman"/>
          <w:b w:val="false"/>
          <w:i w:val="false"/>
          <w:color w:val="000000"/>
          <w:sz w:val="28"/>
        </w:rPr>
        <w:t xml:space="preserve"> от 50 до 75 м в районах, где имеется двойной борт, отвечают требованиям главы 125 настоящих Правил при затоплении одного отсека. В символ класса таких судов вносится знак деления на отсеки </w:t>
      </w:r>
    </w:p>
    <w:bookmarkEnd w:id="5817"/>
    <w:p>
      <w:pPr>
        <w:spacing w:after="0"/>
        <w:ind w:left="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1"/>
                    <a:stretch>
                      <a:fillRect/>
                    </a:stretch>
                  </pic:blipFill>
                  <pic:spPr>
                    <a:xfrm>
                      <a:off x="0" y="0"/>
                      <a:ext cx="2032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830" w:id="5818"/>
    <w:p>
      <w:pPr>
        <w:spacing w:after="0"/>
        <w:ind w:left="0"/>
        <w:jc w:val="left"/>
      </w:pPr>
      <w:r>
        <w:rPr>
          <w:rFonts w:ascii="Times New Roman"/>
          <w:b/>
          <w:i w:val="false"/>
          <w:color w:val="000000"/>
        </w:rPr>
        <w:t xml:space="preserve"> Параграф 3. Суда специального назначения</w:t>
      </w:r>
    </w:p>
    <w:bookmarkEnd w:id="5818"/>
    <w:bookmarkStart w:name="z5831" w:id="5819"/>
    <w:p>
      <w:pPr>
        <w:spacing w:after="0"/>
        <w:ind w:left="0"/>
        <w:jc w:val="both"/>
      </w:pPr>
      <w:r>
        <w:rPr>
          <w:rFonts w:ascii="Times New Roman"/>
          <w:b w:val="false"/>
          <w:i w:val="false"/>
          <w:color w:val="000000"/>
          <w:sz w:val="28"/>
        </w:rPr>
        <w:t>
      1879. Суда специального назначения со специальным персоналом на борту более 200 человек отвечают требованиям настоящего подраздела Правил, относящимся к пассажирским судам с тем же числом людей на борту.</w:t>
      </w:r>
    </w:p>
    <w:bookmarkEnd w:id="5819"/>
    <w:bookmarkStart w:name="z5832" w:id="5820"/>
    <w:p>
      <w:pPr>
        <w:spacing w:after="0"/>
        <w:ind w:left="0"/>
        <w:jc w:val="both"/>
      </w:pPr>
      <w:r>
        <w:rPr>
          <w:rFonts w:ascii="Times New Roman"/>
          <w:b w:val="false"/>
          <w:i w:val="false"/>
          <w:color w:val="000000"/>
          <w:sz w:val="28"/>
        </w:rPr>
        <w:t>
      1880. Суда специального назначения со специальным персоналом на борту более 50 человек, но не более 200 человек, отвечают требованиям главы 125 настоящих Правил при затоплении одного любого отсека. Кроме того, такие суда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l00 м отвечают требованиям главы 125 настоящих Правил при получении носовой пробоины протяженностью, указанной в пункте 2025 настоящих Правил. При несимметричном затоплении вследствие получения носовой пробоины допускается угол крена 12</w:t>
      </w:r>
      <w:r>
        <w:rPr>
          <w:rFonts w:ascii="Times New Roman"/>
          <w:b w:val="false"/>
          <w:i w:val="false"/>
          <w:color w:val="000000"/>
          <w:vertAlign w:val="superscript"/>
        </w:rPr>
        <w:t>o</w:t>
      </w:r>
      <w:r>
        <w:rPr>
          <w:rFonts w:ascii="Times New Roman"/>
          <w:b w:val="false"/>
          <w:i w:val="false"/>
          <w:color w:val="000000"/>
          <w:sz w:val="28"/>
        </w:rPr>
        <w:t>.</w:t>
      </w:r>
    </w:p>
    <w:bookmarkEnd w:id="5820"/>
    <w:bookmarkStart w:name="z5833" w:id="5821"/>
    <w:p>
      <w:pPr>
        <w:spacing w:after="0"/>
        <w:ind w:left="0"/>
        <w:jc w:val="both"/>
      </w:pPr>
      <w:r>
        <w:rPr>
          <w:rFonts w:ascii="Times New Roman"/>
          <w:b w:val="false"/>
          <w:i w:val="false"/>
          <w:color w:val="000000"/>
          <w:sz w:val="28"/>
        </w:rPr>
        <w:t>
      1881. Суда специального назначения со специальным персоналом на борту 50 человек и менее отвечают требованиям главы 125 настоящих Правил при затоплении одного любого отсека, за исключением машинного отделения.</w:t>
      </w:r>
    </w:p>
    <w:bookmarkEnd w:id="5821"/>
    <w:bookmarkStart w:name="z5834" w:id="5822"/>
    <w:p>
      <w:pPr>
        <w:spacing w:after="0"/>
        <w:ind w:left="0"/>
        <w:jc w:val="both"/>
      </w:pPr>
      <w:r>
        <w:rPr>
          <w:rFonts w:ascii="Times New Roman"/>
          <w:b w:val="false"/>
          <w:i w:val="false"/>
          <w:color w:val="000000"/>
          <w:sz w:val="28"/>
        </w:rPr>
        <w:t>
      1882. Требования к делению на отсеки судов специального назначения со специальным персоналом на борту 50 человек и менее при длине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50 м и судов специального назначения валовой вместимостью менее 500 являются в каждом случае предметом специального рассмотрения Регистром судоходства.</w:t>
      </w:r>
    </w:p>
    <w:bookmarkEnd w:id="5822"/>
    <w:bookmarkStart w:name="z5835" w:id="5823"/>
    <w:p>
      <w:pPr>
        <w:spacing w:after="0"/>
        <w:ind w:left="0"/>
        <w:jc w:val="both"/>
      </w:pPr>
      <w:r>
        <w:rPr>
          <w:rFonts w:ascii="Times New Roman"/>
          <w:b w:val="false"/>
          <w:i w:val="false"/>
          <w:color w:val="000000"/>
          <w:sz w:val="28"/>
        </w:rPr>
        <w:t>
      1883. Для судов специального назначения при несимметричном затоплении одного отсека угол крена после принятия мер по спрямлению не превышает 7</w:t>
      </w:r>
      <w:r>
        <w:rPr>
          <w:rFonts w:ascii="Times New Roman"/>
          <w:b w:val="false"/>
          <w:i w:val="false"/>
          <w:color w:val="000000"/>
          <w:vertAlign w:val="superscript"/>
        </w:rPr>
        <w:t>o</w:t>
      </w:r>
      <w:r>
        <w:rPr>
          <w:rFonts w:ascii="Times New Roman"/>
          <w:b w:val="false"/>
          <w:i w:val="false"/>
          <w:color w:val="000000"/>
          <w:sz w:val="28"/>
        </w:rPr>
        <w:t>.</w:t>
      </w:r>
    </w:p>
    <w:bookmarkEnd w:id="5823"/>
    <w:bookmarkStart w:name="z5836" w:id="5824"/>
    <w:p>
      <w:pPr>
        <w:spacing w:after="0"/>
        <w:ind w:left="0"/>
        <w:jc w:val="left"/>
      </w:pPr>
      <w:r>
        <w:rPr>
          <w:rFonts w:ascii="Times New Roman"/>
          <w:b/>
          <w:i w:val="false"/>
          <w:color w:val="000000"/>
        </w:rPr>
        <w:t xml:space="preserve"> Параграф 4. Буксиры, земснаряды,</w:t>
      </w:r>
      <w:r>
        <w:br/>
      </w:r>
      <w:r>
        <w:rPr>
          <w:rFonts w:ascii="Times New Roman"/>
          <w:b/>
          <w:i w:val="false"/>
          <w:color w:val="000000"/>
        </w:rPr>
        <w:t>спасательные суда и плавучие маяки</w:t>
      </w:r>
    </w:p>
    <w:bookmarkEnd w:id="5824"/>
    <w:bookmarkStart w:name="z5837" w:id="5825"/>
    <w:p>
      <w:pPr>
        <w:spacing w:after="0"/>
        <w:ind w:left="0"/>
        <w:jc w:val="both"/>
      </w:pPr>
      <w:r>
        <w:rPr>
          <w:rFonts w:ascii="Times New Roman"/>
          <w:b w:val="false"/>
          <w:i w:val="false"/>
          <w:color w:val="000000"/>
          <w:sz w:val="28"/>
        </w:rPr>
        <w:t>
      1884. Требования главы 125 настоящих Правил к посадке и остойчивости поврежденного судна выполняются при затоплении одного любого отсека для:</w:t>
      </w:r>
    </w:p>
    <w:bookmarkEnd w:id="5825"/>
    <w:bookmarkStart w:name="z5838" w:id="5826"/>
    <w:p>
      <w:pPr>
        <w:spacing w:after="0"/>
        <w:ind w:left="0"/>
        <w:jc w:val="both"/>
      </w:pPr>
      <w:r>
        <w:rPr>
          <w:rFonts w:ascii="Times New Roman"/>
          <w:b w:val="false"/>
          <w:i w:val="false"/>
          <w:color w:val="000000"/>
          <w:sz w:val="28"/>
        </w:rPr>
        <w:t>
      буксиров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40 м;</w:t>
      </w:r>
    </w:p>
    <w:bookmarkEnd w:id="5826"/>
    <w:bookmarkStart w:name="z5839" w:id="5827"/>
    <w:p>
      <w:pPr>
        <w:spacing w:after="0"/>
        <w:ind w:left="0"/>
        <w:jc w:val="both"/>
      </w:pPr>
      <w:r>
        <w:rPr>
          <w:rFonts w:ascii="Times New Roman"/>
          <w:b w:val="false"/>
          <w:i w:val="false"/>
          <w:color w:val="000000"/>
          <w:sz w:val="28"/>
        </w:rPr>
        <w:t>
      земснарядов длиной L</w:t>
      </w:r>
      <w:r>
        <w:rPr>
          <w:rFonts w:ascii="Times New Roman"/>
          <w:b w:val="false"/>
          <w:i w:val="false"/>
          <w:color w:val="000000"/>
          <w:vertAlign w:val="subscript"/>
        </w:rPr>
        <w:t xml:space="preserve">1 </w:t>
      </w:r>
      <w:r>
        <w:rPr>
          <w:rFonts w:ascii="Times New Roman"/>
          <w:b w:val="false"/>
          <w:i w:val="false"/>
          <w:color w:val="000000"/>
          <w:sz w:val="28"/>
          <w:u w:val="single"/>
        </w:rPr>
        <w:t>&gt;</w:t>
      </w:r>
      <w:r>
        <w:rPr>
          <w:rFonts w:ascii="Times New Roman"/>
          <w:b w:val="false"/>
          <w:i w:val="false"/>
          <w:color w:val="000000"/>
          <w:sz w:val="28"/>
        </w:rPr>
        <w:t xml:space="preserve"> 40 м;</w:t>
      </w:r>
    </w:p>
    <w:bookmarkEnd w:id="5827"/>
    <w:bookmarkStart w:name="z5840" w:id="5828"/>
    <w:p>
      <w:pPr>
        <w:spacing w:after="0"/>
        <w:ind w:left="0"/>
        <w:jc w:val="both"/>
      </w:pPr>
      <w:r>
        <w:rPr>
          <w:rFonts w:ascii="Times New Roman"/>
          <w:b w:val="false"/>
          <w:i w:val="false"/>
          <w:color w:val="000000"/>
          <w:sz w:val="28"/>
        </w:rPr>
        <w:t>
      спасательных судов и плавмаяков — независимо от длины;</w:t>
      </w:r>
    </w:p>
    <w:bookmarkEnd w:id="5828"/>
    <w:bookmarkStart w:name="z5841" w:id="5829"/>
    <w:p>
      <w:pPr>
        <w:spacing w:after="0"/>
        <w:ind w:left="0"/>
        <w:jc w:val="both"/>
      </w:pPr>
      <w:r>
        <w:rPr>
          <w:rFonts w:ascii="Times New Roman"/>
          <w:b w:val="false"/>
          <w:i w:val="false"/>
          <w:color w:val="000000"/>
          <w:sz w:val="28"/>
        </w:rPr>
        <w:t>
      трюмных земснарядов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60 м.</w:t>
      </w:r>
    </w:p>
    <w:bookmarkEnd w:id="5829"/>
    <w:bookmarkStart w:name="z5842" w:id="5830"/>
    <w:p>
      <w:pPr>
        <w:spacing w:after="0"/>
        <w:ind w:left="0"/>
        <w:jc w:val="both"/>
      </w:pPr>
      <w:r>
        <w:rPr>
          <w:rFonts w:ascii="Times New Roman"/>
          <w:b w:val="false"/>
          <w:i w:val="false"/>
          <w:color w:val="000000"/>
          <w:sz w:val="28"/>
        </w:rPr>
        <w:t>
      1885. Черпаковые земснаряды отвечают требованиям главы 125 настоящих Правил также при затоплении одного отсека в районе черпаковой прорези. Глубина повреждения при этом принимается равной 0,76 м.</w:t>
      </w:r>
    </w:p>
    <w:bookmarkEnd w:id="5830"/>
    <w:bookmarkStart w:name="z5843" w:id="5831"/>
    <w:p>
      <w:pPr>
        <w:spacing w:after="0"/>
        <w:ind w:left="0"/>
        <w:jc w:val="both"/>
      </w:pPr>
      <w:r>
        <w:rPr>
          <w:rFonts w:ascii="Times New Roman"/>
          <w:b w:val="false"/>
          <w:i w:val="false"/>
          <w:color w:val="000000"/>
          <w:sz w:val="28"/>
        </w:rPr>
        <w:t>
      1886. Для трюмных земснарядов и грунтоотвозных шаланд допускается не рассматривать случаи, соответствующие состоянию судна после вывалки грунта с одного борта.</w:t>
      </w:r>
    </w:p>
    <w:bookmarkEnd w:id="5831"/>
    <w:bookmarkStart w:name="z5844" w:id="5832"/>
    <w:p>
      <w:pPr>
        <w:spacing w:after="0"/>
        <w:ind w:left="0"/>
        <w:jc w:val="left"/>
      </w:pPr>
      <w:r>
        <w:rPr>
          <w:rFonts w:ascii="Times New Roman"/>
          <w:b/>
          <w:i w:val="false"/>
          <w:color w:val="000000"/>
        </w:rPr>
        <w:t xml:space="preserve"> Параграф 5. Нефтеналивные суда и химовозы</w:t>
      </w:r>
    </w:p>
    <w:bookmarkEnd w:id="5832"/>
    <w:bookmarkStart w:name="z5845" w:id="5833"/>
    <w:p>
      <w:pPr>
        <w:spacing w:after="0"/>
        <w:ind w:left="0"/>
        <w:jc w:val="both"/>
      </w:pPr>
      <w:r>
        <w:rPr>
          <w:rFonts w:ascii="Times New Roman"/>
          <w:b w:val="false"/>
          <w:i w:val="false"/>
          <w:color w:val="000000"/>
          <w:sz w:val="28"/>
        </w:rPr>
        <w:t>
      1887. Для нефтеналивных судов и химовозов посадка и остойчивость поврежденного судна отвечает требованиям главы 125 настоящих Правил как при повреждении борта, так и при повреждении днища.</w:t>
      </w:r>
    </w:p>
    <w:bookmarkEnd w:id="5833"/>
    <w:bookmarkStart w:name="z5846" w:id="5834"/>
    <w:p>
      <w:pPr>
        <w:spacing w:after="0"/>
        <w:ind w:left="0"/>
        <w:jc w:val="both"/>
      </w:pPr>
      <w:r>
        <w:rPr>
          <w:rFonts w:ascii="Times New Roman"/>
          <w:b w:val="false"/>
          <w:i w:val="false"/>
          <w:color w:val="000000"/>
          <w:sz w:val="28"/>
        </w:rPr>
        <w:t>
      1888. Размеры днищевых повреждений:</w:t>
      </w:r>
    </w:p>
    <w:bookmarkEnd w:id="5834"/>
    <w:bookmarkStart w:name="z5847" w:id="5835"/>
    <w:p>
      <w:pPr>
        <w:spacing w:after="0"/>
        <w:ind w:left="0"/>
        <w:jc w:val="both"/>
      </w:pPr>
      <w:r>
        <w:rPr>
          <w:rFonts w:ascii="Times New Roman"/>
          <w:b w:val="false"/>
          <w:i w:val="false"/>
          <w:color w:val="000000"/>
          <w:sz w:val="28"/>
        </w:rPr>
        <w:t>
      1) протяженность по длине 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или 14,5 м (в зависимости от того, что меньше) на длине, равной 0,3/L</w:t>
      </w:r>
      <w:r>
        <w:rPr>
          <w:rFonts w:ascii="Times New Roman"/>
          <w:b w:val="false"/>
          <w:i w:val="false"/>
          <w:color w:val="000000"/>
          <w:vertAlign w:val="subscript"/>
        </w:rPr>
        <w:t>1</w:t>
      </w:r>
      <w:r>
        <w:rPr>
          <w:rFonts w:ascii="Times New Roman"/>
          <w:b w:val="false"/>
          <w:i w:val="false"/>
          <w:color w:val="000000"/>
          <w:sz w:val="28"/>
        </w:rPr>
        <w:t xml:space="preserve"> от носового перпендикуляра, и 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или 5 м (в зависимости от того, что меньше) на остальной части длины судна;</w:t>
      </w:r>
    </w:p>
    <w:bookmarkEnd w:id="5835"/>
    <w:bookmarkStart w:name="z5848" w:id="5836"/>
    <w:p>
      <w:pPr>
        <w:spacing w:after="0"/>
        <w:ind w:left="0"/>
        <w:jc w:val="both"/>
      </w:pPr>
      <w:r>
        <w:rPr>
          <w:rFonts w:ascii="Times New Roman"/>
          <w:b w:val="false"/>
          <w:i w:val="false"/>
          <w:color w:val="000000"/>
          <w:sz w:val="28"/>
        </w:rPr>
        <w:t>
      2) протяженность по ширине В/6 или 10 м (в зависимости от того, что меньше) на длине, равной 0,3/L</w:t>
      </w:r>
      <w:r>
        <w:rPr>
          <w:rFonts w:ascii="Times New Roman"/>
          <w:b w:val="false"/>
          <w:i w:val="false"/>
          <w:color w:val="000000"/>
          <w:vertAlign w:val="subscript"/>
        </w:rPr>
        <w:t>1</w:t>
      </w:r>
      <w:r>
        <w:rPr>
          <w:rFonts w:ascii="Times New Roman"/>
          <w:b w:val="false"/>
          <w:i w:val="false"/>
          <w:color w:val="000000"/>
          <w:sz w:val="28"/>
        </w:rPr>
        <w:t xml:space="preserve"> от носового перпендикуляра, и В/6 или 5 м (в зависимости от того, что меньше) на остальной части длины судна;</w:t>
      </w:r>
    </w:p>
    <w:bookmarkEnd w:id="5836"/>
    <w:bookmarkStart w:name="z5849" w:id="5837"/>
    <w:p>
      <w:pPr>
        <w:spacing w:after="0"/>
        <w:ind w:left="0"/>
        <w:jc w:val="both"/>
      </w:pPr>
      <w:r>
        <w:rPr>
          <w:rFonts w:ascii="Times New Roman"/>
          <w:b w:val="false"/>
          <w:i w:val="false"/>
          <w:color w:val="000000"/>
          <w:sz w:val="28"/>
        </w:rPr>
        <w:t>
      3) протяженность по высоте, измеренная в диаметральной плоскости от теоретических обводов корпуса, В/15 или 6 м (в зависимости от того, что меньше).</w:t>
      </w:r>
    </w:p>
    <w:bookmarkEnd w:id="5837"/>
    <w:bookmarkStart w:name="z5850" w:id="5838"/>
    <w:p>
      <w:pPr>
        <w:spacing w:after="0"/>
        <w:ind w:left="0"/>
        <w:jc w:val="both"/>
      </w:pPr>
      <w:r>
        <w:rPr>
          <w:rFonts w:ascii="Times New Roman"/>
          <w:b w:val="false"/>
          <w:i w:val="false"/>
          <w:color w:val="000000"/>
          <w:sz w:val="28"/>
        </w:rPr>
        <w:t>
      1889. Для нефтеналивных судов дедвейтом 20 000 т и более в дополнение к пункту 1888 настоящих Правил рассматривается разрушение наружной обшивки днища при касании грунта следующих размеров:</w:t>
      </w:r>
    </w:p>
    <w:bookmarkEnd w:id="5838"/>
    <w:bookmarkStart w:name="z5851" w:id="5839"/>
    <w:p>
      <w:pPr>
        <w:spacing w:after="0"/>
        <w:ind w:left="0"/>
        <w:jc w:val="both"/>
      </w:pPr>
      <w:r>
        <w:rPr>
          <w:rFonts w:ascii="Times New Roman"/>
          <w:b w:val="false"/>
          <w:i w:val="false"/>
          <w:color w:val="000000"/>
          <w:sz w:val="28"/>
        </w:rPr>
        <w:t>
      1) протяженность по длине 0,6/L</w:t>
      </w:r>
      <w:r>
        <w:rPr>
          <w:rFonts w:ascii="Times New Roman"/>
          <w:b w:val="false"/>
          <w:i w:val="false"/>
          <w:color w:val="000000"/>
          <w:vertAlign w:val="subscript"/>
        </w:rPr>
        <w:t>1</w:t>
      </w:r>
      <w:r>
        <w:rPr>
          <w:rFonts w:ascii="Times New Roman"/>
          <w:b w:val="false"/>
          <w:i w:val="false"/>
          <w:color w:val="000000"/>
          <w:sz w:val="28"/>
        </w:rPr>
        <w:t xml:space="preserve"> от носового перпендикуляра для судов дедвейтом 75 000 т и более и 0,4L</w:t>
      </w:r>
      <w:r>
        <w:rPr>
          <w:rFonts w:ascii="Times New Roman"/>
          <w:b w:val="false"/>
          <w:i w:val="false"/>
          <w:color w:val="000000"/>
          <w:vertAlign w:val="subscript"/>
        </w:rPr>
        <w:t>1</w:t>
      </w:r>
      <w:r>
        <w:rPr>
          <w:rFonts w:ascii="Times New Roman"/>
          <w:b w:val="false"/>
          <w:i w:val="false"/>
          <w:color w:val="000000"/>
          <w:sz w:val="28"/>
        </w:rPr>
        <w:t xml:space="preserve"> от носового перпендикуляра для судов дедвейтом менее 75 000 т;</w:t>
      </w:r>
    </w:p>
    <w:bookmarkEnd w:id="5839"/>
    <w:bookmarkStart w:name="z5852" w:id="5840"/>
    <w:p>
      <w:pPr>
        <w:spacing w:after="0"/>
        <w:ind w:left="0"/>
        <w:jc w:val="both"/>
      </w:pPr>
      <w:r>
        <w:rPr>
          <w:rFonts w:ascii="Times New Roman"/>
          <w:b w:val="false"/>
          <w:i w:val="false"/>
          <w:color w:val="000000"/>
          <w:sz w:val="28"/>
        </w:rPr>
        <w:t>
      2) протяженность по ширине В/3 в любом месте днища.</w:t>
      </w:r>
    </w:p>
    <w:bookmarkEnd w:id="5840"/>
    <w:bookmarkStart w:name="z5853" w:id="5841"/>
    <w:p>
      <w:pPr>
        <w:spacing w:after="0"/>
        <w:ind w:left="0"/>
        <w:jc w:val="both"/>
      </w:pPr>
      <w:r>
        <w:rPr>
          <w:rFonts w:ascii="Times New Roman"/>
          <w:b w:val="false"/>
          <w:i w:val="false"/>
          <w:color w:val="000000"/>
          <w:sz w:val="28"/>
        </w:rPr>
        <w:t>
      1890. Требования к посадке и остойчивости поврежденного судна выполняются при следующем расположении бортовых и днищевых повреждений:</w:t>
      </w:r>
    </w:p>
    <w:bookmarkEnd w:id="5841"/>
    <w:bookmarkStart w:name="z5854" w:id="5842"/>
    <w:p>
      <w:pPr>
        <w:spacing w:after="0"/>
        <w:ind w:left="0"/>
        <w:jc w:val="both"/>
      </w:pPr>
      <w:r>
        <w:rPr>
          <w:rFonts w:ascii="Times New Roman"/>
          <w:b w:val="false"/>
          <w:i w:val="false"/>
          <w:color w:val="000000"/>
          <w:sz w:val="28"/>
        </w:rPr>
        <w:t>
      1) у нефтеналивных судов:</w:t>
      </w:r>
    </w:p>
    <w:bookmarkEnd w:id="5842"/>
    <w:bookmarkStart w:name="z86" w:id="5843"/>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&gt; 225 м – в любом месте по длине судна;</w:t>
      </w:r>
    </w:p>
    <w:bookmarkEnd w:id="5843"/>
    <w:bookmarkStart w:name="z87" w:id="5844"/>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более 150, но не более 225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5844"/>
    <w:bookmarkStart w:name="z88" w:id="5845"/>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&lt; 150 м – в любом месте по длине судна между соседними поперечными переборками, за исключением машинного отделения;</w:t>
      </w:r>
    </w:p>
    <w:bookmarkEnd w:id="5845"/>
    <w:bookmarkStart w:name="z89" w:id="5846"/>
    <w:p>
      <w:pPr>
        <w:spacing w:after="0"/>
        <w:ind w:left="0"/>
        <w:jc w:val="both"/>
      </w:pPr>
      <w:r>
        <w:rPr>
          <w:rFonts w:ascii="Times New Roman"/>
          <w:b w:val="false"/>
          <w:i w:val="false"/>
          <w:color w:val="000000"/>
          <w:sz w:val="28"/>
        </w:rPr>
        <w:t>
      в случае перевозки веществ категории Y, подпадающих под положения приложения 2 к Конвенции МАРПОЛ-73/78 с поправками, как у химовозов типа 3;";</w:t>
      </w:r>
    </w:p>
    <w:bookmarkEnd w:id="5846"/>
    <w:bookmarkStart w:name="z90" w:id="5847"/>
    <w:p>
      <w:pPr>
        <w:spacing w:after="0"/>
        <w:ind w:left="0"/>
        <w:jc w:val="both"/>
      </w:pPr>
      <w:r>
        <w:rPr>
          <w:rFonts w:ascii="Times New Roman"/>
          <w:b w:val="false"/>
          <w:i w:val="false"/>
          <w:color w:val="000000"/>
          <w:sz w:val="28"/>
        </w:rPr>
        <w:t>
      подпункт 1) пункта 2062 изложить в следующей редакции:</w:t>
      </w:r>
    </w:p>
    <w:bookmarkEnd w:id="5847"/>
    <w:bookmarkStart w:name="z91" w:id="5848"/>
    <w:p>
      <w:pPr>
        <w:spacing w:after="0"/>
        <w:ind w:left="0"/>
        <w:jc w:val="both"/>
      </w:pPr>
      <w:r>
        <w:rPr>
          <w:rFonts w:ascii="Times New Roman"/>
          <w:b w:val="false"/>
          <w:i w:val="false"/>
          <w:color w:val="000000"/>
          <w:sz w:val="28"/>
        </w:rPr>
        <w:t>
      "1) у нефтеналивных судов:</w:t>
      </w:r>
    </w:p>
    <w:bookmarkEnd w:id="5848"/>
    <w:bookmarkStart w:name="z92" w:id="5849"/>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&gt; 225 м – в любом месте по длине судна;</w:t>
      </w:r>
    </w:p>
    <w:bookmarkEnd w:id="5849"/>
    <w:bookmarkStart w:name="z93" w:id="5850"/>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более 150, но не более 225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5850"/>
    <w:bookmarkStart w:name="z94" w:id="5851"/>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&lt; 150 м – в любом месте по длине судна между соседними поперечными переборками, за исключением машинного отделения;</w:t>
      </w:r>
    </w:p>
    <w:bookmarkEnd w:id="5851"/>
    <w:p>
      <w:pPr>
        <w:spacing w:after="0"/>
        <w:ind w:left="0"/>
        <w:jc w:val="both"/>
      </w:pPr>
      <w:r>
        <w:rPr>
          <w:rFonts w:ascii="Times New Roman"/>
          <w:b w:val="false"/>
          <w:i w:val="false"/>
          <w:color w:val="000000"/>
          <w:sz w:val="28"/>
        </w:rPr>
        <w:t>
      в случае перевозки веществ категории Y, подпадающих под положения приложения II к Конвенции МАРПОЛ-73/78 с поправками, как у химовозов типа 3;</w:t>
      </w:r>
    </w:p>
    <w:bookmarkStart w:name="z5859" w:id="5852"/>
    <w:p>
      <w:pPr>
        <w:spacing w:after="0"/>
        <w:ind w:left="0"/>
        <w:jc w:val="both"/>
      </w:pPr>
      <w:r>
        <w:rPr>
          <w:rFonts w:ascii="Times New Roman"/>
          <w:b w:val="false"/>
          <w:i w:val="false"/>
          <w:color w:val="000000"/>
          <w:sz w:val="28"/>
        </w:rPr>
        <w:t>
      2) у химовозов:</w:t>
      </w:r>
    </w:p>
    <w:bookmarkEnd w:id="5852"/>
    <w:bookmarkStart w:name="z5860" w:id="5853"/>
    <w:p>
      <w:pPr>
        <w:spacing w:after="0"/>
        <w:ind w:left="0"/>
        <w:jc w:val="both"/>
      </w:pPr>
      <w:r>
        <w:rPr>
          <w:rFonts w:ascii="Times New Roman"/>
          <w:b w:val="false"/>
          <w:i w:val="false"/>
          <w:color w:val="000000"/>
          <w:sz w:val="28"/>
        </w:rPr>
        <w:t>
      типа 1 — в любом месте по длине судна;</w:t>
      </w:r>
    </w:p>
    <w:bookmarkEnd w:id="5853"/>
    <w:bookmarkStart w:name="z5861" w:id="5854"/>
    <w:p>
      <w:pPr>
        <w:spacing w:after="0"/>
        <w:ind w:left="0"/>
        <w:jc w:val="both"/>
      </w:pPr>
      <w:r>
        <w:rPr>
          <w:rFonts w:ascii="Times New Roman"/>
          <w:b w:val="false"/>
          <w:i w:val="false"/>
          <w:color w:val="000000"/>
          <w:sz w:val="28"/>
        </w:rPr>
        <w:t>
      типа 2 длиной L</w:t>
      </w:r>
      <w:r>
        <w:rPr>
          <w:rFonts w:ascii="Times New Roman"/>
          <w:b w:val="false"/>
          <w:i w:val="false"/>
          <w:color w:val="000000"/>
          <w:vertAlign w:val="subscript"/>
        </w:rPr>
        <w:t>1</w:t>
      </w:r>
      <w:r>
        <w:rPr>
          <w:rFonts w:ascii="Times New Roman"/>
          <w:b w:val="false"/>
          <w:i w:val="false"/>
          <w:color w:val="000000"/>
          <w:sz w:val="28"/>
        </w:rPr>
        <w:t xml:space="preserve"> &gt; 150 м — в любом месте по длине судна;</w:t>
      </w:r>
    </w:p>
    <w:bookmarkEnd w:id="5854"/>
    <w:bookmarkStart w:name="z5862" w:id="5855"/>
    <w:p>
      <w:pPr>
        <w:spacing w:after="0"/>
        <w:ind w:left="0"/>
        <w:jc w:val="both"/>
      </w:pPr>
      <w:r>
        <w:rPr>
          <w:rFonts w:ascii="Times New Roman"/>
          <w:b w:val="false"/>
          <w:i w:val="false"/>
          <w:color w:val="000000"/>
          <w:sz w:val="28"/>
        </w:rPr>
        <w:t>
      типа 2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150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5855"/>
    <w:bookmarkStart w:name="z5863" w:id="5856"/>
    <w:p>
      <w:pPr>
        <w:spacing w:after="0"/>
        <w:ind w:left="0"/>
        <w:jc w:val="both"/>
      </w:pPr>
      <w:r>
        <w:rPr>
          <w:rFonts w:ascii="Times New Roman"/>
          <w:b w:val="false"/>
          <w:i w:val="false"/>
          <w:color w:val="000000"/>
          <w:sz w:val="28"/>
        </w:rPr>
        <w:t>
      типа 3 длиной L</w:t>
      </w:r>
      <w:r>
        <w:rPr>
          <w:rFonts w:ascii="Times New Roman"/>
          <w:b w:val="false"/>
          <w:i w:val="false"/>
          <w:color w:val="000000"/>
          <w:vertAlign w:val="subscript"/>
        </w:rPr>
        <w:t>1</w:t>
      </w:r>
      <w:r>
        <w:rPr>
          <w:rFonts w:ascii="Times New Roman"/>
          <w:b w:val="false"/>
          <w:i w:val="false"/>
          <w:color w:val="000000"/>
          <w:sz w:val="28"/>
        </w:rPr>
        <w:t xml:space="preserve"> &gt; 225м — в любом месте по длине судна;</w:t>
      </w:r>
    </w:p>
    <w:bookmarkEnd w:id="5856"/>
    <w:bookmarkStart w:name="z5864" w:id="5857"/>
    <w:p>
      <w:pPr>
        <w:spacing w:after="0"/>
        <w:ind w:left="0"/>
        <w:jc w:val="both"/>
      </w:pPr>
      <w:r>
        <w:rPr>
          <w:rFonts w:ascii="Times New Roman"/>
          <w:b w:val="false"/>
          <w:i w:val="false"/>
          <w:color w:val="000000"/>
          <w:sz w:val="28"/>
        </w:rPr>
        <w:t>
      типа 3 длиной L</w:t>
      </w:r>
      <w:r>
        <w:rPr>
          <w:rFonts w:ascii="Times New Roman"/>
          <w:b w:val="false"/>
          <w:i w:val="false"/>
          <w:color w:val="000000"/>
          <w:vertAlign w:val="subscript"/>
        </w:rPr>
        <w:t>1</w:t>
      </w:r>
      <w:r>
        <w:rPr>
          <w:rFonts w:ascii="Times New Roman"/>
          <w:b w:val="false"/>
          <w:i w:val="false"/>
          <w:color w:val="000000"/>
          <w:sz w:val="28"/>
        </w:rPr>
        <w:t xml:space="preserve"> = 125 — 225м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5857"/>
    <w:bookmarkStart w:name="z5865" w:id="5858"/>
    <w:p>
      <w:pPr>
        <w:spacing w:after="0"/>
        <w:ind w:left="0"/>
        <w:jc w:val="both"/>
      </w:pPr>
      <w:r>
        <w:rPr>
          <w:rFonts w:ascii="Times New Roman"/>
          <w:b w:val="false"/>
          <w:i w:val="false"/>
          <w:color w:val="000000"/>
          <w:sz w:val="28"/>
        </w:rPr>
        <w:t>
      типа 3 длиной L</w:t>
      </w:r>
      <w:r>
        <w:rPr>
          <w:rFonts w:ascii="Times New Roman"/>
          <w:b w:val="false"/>
          <w:i w:val="false"/>
          <w:color w:val="000000"/>
          <w:vertAlign w:val="subscript"/>
        </w:rPr>
        <w:t>1</w:t>
      </w:r>
      <w:r>
        <w:rPr>
          <w:rFonts w:ascii="Times New Roman"/>
          <w:b w:val="false"/>
          <w:i w:val="false"/>
          <w:color w:val="000000"/>
          <w:sz w:val="28"/>
        </w:rPr>
        <w:t xml:space="preserve"> &lt; 125м — в любом месте по длине судна, за исключением машинного отделения, когда оно расположено в корме. Однако расчеты аварийной посадки и остойчивости судна при затоплении машинного отделения представляются Регистру судоходства на рассмотрение.</w:t>
      </w:r>
    </w:p>
    <w:bookmarkEnd w:id="5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1890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66" w:id="5859"/>
    <w:p>
      <w:pPr>
        <w:spacing w:after="0"/>
        <w:ind w:left="0"/>
        <w:jc w:val="both"/>
      </w:pPr>
      <w:r>
        <w:rPr>
          <w:rFonts w:ascii="Times New Roman"/>
          <w:b w:val="false"/>
          <w:i w:val="false"/>
          <w:color w:val="000000"/>
          <w:sz w:val="28"/>
        </w:rPr>
        <w:t>
      1891. Судам, у которых в соответствии с подпунктами 1) – 2) пункта 1890 настоящих Правил при затоплении машинного отделения не выполняются требования к аварийной посадке и остойчивости, знак деления на отсеки в символ класса не вносится.</w:t>
      </w:r>
    </w:p>
    <w:bookmarkEnd w:id="5859"/>
    <w:bookmarkStart w:name="z5867" w:id="5860"/>
    <w:p>
      <w:pPr>
        <w:spacing w:after="0"/>
        <w:ind w:left="0"/>
        <w:jc w:val="both"/>
      </w:pPr>
      <w:r>
        <w:rPr>
          <w:rFonts w:ascii="Times New Roman"/>
          <w:b w:val="false"/>
          <w:i w:val="false"/>
          <w:color w:val="000000"/>
          <w:sz w:val="28"/>
        </w:rPr>
        <w:t>
      1892. Угол крена в конечной стадии несимметричного затопления до принятия мер по спрямлению судна и до срабатывания перетоков не превышает 25</w:t>
      </w:r>
      <w:r>
        <w:rPr>
          <w:rFonts w:ascii="Times New Roman"/>
          <w:b w:val="false"/>
          <w:i w:val="false"/>
          <w:color w:val="000000"/>
          <w:vertAlign w:val="superscript"/>
        </w:rPr>
        <w:t>o</w:t>
      </w:r>
      <w:r>
        <w:rPr>
          <w:rFonts w:ascii="Times New Roman"/>
          <w:b w:val="false"/>
          <w:i w:val="false"/>
          <w:color w:val="000000"/>
          <w:sz w:val="28"/>
        </w:rPr>
        <w:t xml:space="preserve"> (или 30</w:t>
      </w:r>
      <w:r>
        <w:rPr>
          <w:rFonts w:ascii="Times New Roman"/>
          <w:b w:val="false"/>
          <w:i w:val="false"/>
          <w:color w:val="000000"/>
          <w:vertAlign w:val="superscript"/>
        </w:rPr>
        <w:t>o</w:t>
      </w:r>
      <w:r>
        <w:rPr>
          <w:rFonts w:ascii="Times New Roman"/>
          <w:b w:val="false"/>
          <w:i w:val="false"/>
          <w:color w:val="000000"/>
          <w:sz w:val="28"/>
        </w:rPr>
        <w:t>, если палуба переборок не входит в воду). После принятия мер по спрямлению судна угол крена не превышает 17</w:t>
      </w:r>
      <w:r>
        <w:rPr>
          <w:rFonts w:ascii="Times New Roman"/>
          <w:b w:val="false"/>
          <w:i w:val="false"/>
          <w:color w:val="000000"/>
          <w:vertAlign w:val="superscript"/>
        </w:rPr>
        <w:t>o</w:t>
      </w:r>
      <w:r>
        <w:rPr>
          <w:rFonts w:ascii="Times New Roman"/>
          <w:b w:val="false"/>
          <w:i w:val="false"/>
          <w:color w:val="000000"/>
          <w:sz w:val="28"/>
        </w:rPr>
        <w:t>.</w:t>
      </w:r>
    </w:p>
    <w:bookmarkEnd w:id="5860"/>
    <w:bookmarkStart w:name="z5868" w:id="5861"/>
    <w:p>
      <w:pPr>
        <w:spacing w:after="0"/>
        <w:ind w:left="0"/>
        <w:jc w:val="left"/>
      </w:pPr>
      <w:r>
        <w:rPr>
          <w:rFonts w:ascii="Times New Roman"/>
          <w:b/>
          <w:i w:val="false"/>
          <w:color w:val="000000"/>
        </w:rPr>
        <w:t xml:space="preserve"> Параграф 6. Газовозы, буровые суда</w:t>
      </w:r>
    </w:p>
    <w:bookmarkEnd w:id="5861"/>
    <w:bookmarkStart w:name="z5869" w:id="5862"/>
    <w:p>
      <w:pPr>
        <w:spacing w:after="0"/>
        <w:ind w:left="0"/>
        <w:jc w:val="both"/>
      </w:pPr>
      <w:r>
        <w:rPr>
          <w:rFonts w:ascii="Times New Roman"/>
          <w:b w:val="false"/>
          <w:i w:val="false"/>
          <w:color w:val="000000"/>
          <w:sz w:val="28"/>
        </w:rPr>
        <w:t>
      1893. На газовозы распространяются требования параграфа 6 главы 126 настоящих Правил с учетом следующих изменений:</w:t>
      </w:r>
    </w:p>
    <w:bookmarkEnd w:id="5862"/>
    <w:bookmarkStart w:name="z5870" w:id="5863"/>
    <w:p>
      <w:pPr>
        <w:spacing w:after="0"/>
        <w:ind w:left="0"/>
        <w:jc w:val="both"/>
      </w:pPr>
      <w:r>
        <w:rPr>
          <w:rFonts w:ascii="Times New Roman"/>
          <w:b w:val="false"/>
          <w:i w:val="false"/>
          <w:color w:val="000000"/>
          <w:sz w:val="28"/>
        </w:rPr>
        <w:t>
      1) требования к посадке и остойчивости поврежденного судна выполняются при указанном ниже расположении бортовых и днищевых повреждений:</w:t>
      </w:r>
    </w:p>
    <w:bookmarkEnd w:id="5863"/>
    <w:bookmarkStart w:name="z5871" w:id="5864"/>
    <w:p>
      <w:pPr>
        <w:spacing w:after="0"/>
        <w:ind w:left="0"/>
        <w:jc w:val="both"/>
      </w:pPr>
      <w:r>
        <w:rPr>
          <w:rFonts w:ascii="Times New Roman"/>
          <w:b w:val="false"/>
          <w:i w:val="false"/>
          <w:color w:val="000000"/>
          <w:sz w:val="28"/>
        </w:rPr>
        <w:t>
      у газовозов типа 1G — в любом месте по длине судна;</w:t>
      </w:r>
    </w:p>
    <w:bookmarkEnd w:id="5864"/>
    <w:bookmarkStart w:name="z5872" w:id="5865"/>
    <w:p>
      <w:pPr>
        <w:spacing w:after="0"/>
        <w:ind w:left="0"/>
        <w:jc w:val="both"/>
      </w:pPr>
      <w:r>
        <w:rPr>
          <w:rFonts w:ascii="Times New Roman"/>
          <w:b w:val="false"/>
          <w:i w:val="false"/>
          <w:color w:val="000000"/>
          <w:sz w:val="28"/>
        </w:rPr>
        <w:t>
      у газовозов типа 2G длиной L</w:t>
      </w:r>
      <w:r>
        <w:rPr>
          <w:rFonts w:ascii="Times New Roman"/>
          <w:b w:val="false"/>
          <w:i w:val="false"/>
          <w:color w:val="000000"/>
          <w:vertAlign w:val="subscript"/>
        </w:rPr>
        <w:t>1</w:t>
      </w:r>
      <w:r>
        <w:rPr>
          <w:rFonts w:ascii="Times New Roman"/>
          <w:b w:val="false"/>
          <w:i w:val="false"/>
          <w:color w:val="000000"/>
          <w:sz w:val="28"/>
        </w:rPr>
        <w:t xml:space="preserve"> &gt; 150 м — в любом месте по длине судна;</w:t>
      </w:r>
    </w:p>
    <w:bookmarkEnd w:id="5865"/>
    <w:bookmarkStart w:name="z5873" w:id="5866"/>
    <w:p>
      <w:pPr>
        <w:spacing w:after="0"/>
        <w:ind w:left="0"/>
        <w:jc w:val="both"/>
      </w:pPr>
      <w:r>
        <w:rPr>
          <w:rFonts w:ascii="Times New Roman"/>
          <w:b w:val="false"/>
          <w:i w:val="false"/>
          <w:color w:val="000000"/>
          <w:sz w:val="28"/>
        </w:rPr>
        <w:t>
      у газовозов типа 2G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150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5866"/>
    <w:bookmarkStart w:name="z5874" w:id="5867"/>
    <w:p>
      <w:pPr>
        <w:spacing w:after="0"/>
        <w:ind w:left="0"/>
        <w:jc w:val="both"/>
      </w:pPr>
      <w:r>
        <w:rPr>
          <w:rFonts w:ascii="Times New Roman"/>
          <w:b w:val="false"/>
          <w:i w:val="false"/>
          <w:color w:val="000000"/>
          <w:sz w:val="28"/>
        </w:rPr>
        <w:t>
      у газовозов типа 2PG — в любом месте по длине судна между переборками деления на отсеки;</w:t>
      </w:r>
    </w:p>
    <w:bookmarkEnd w:id="5867"/>
    <w:bookmarkStart w:name="z5875" w:id="5868"/>
    <w:p>
      <w:pPr>
        <w:spacing w:after="0"/>
        <w:ind w:left="0"/>
        <w:jc w:val="both"/>
      </w:pPr>
      <w:r>
        <w:rPr>
          <w:rFonts w:ascii="Times New Roman"/>
          <w:b w:val="false"/>
          <w:i w:val="false"/>
          <w:color w:val="000000"/>
          <w:sz w:val="28"/>
        </w:rPr>
        <w:t>
      у газовозов типа 3G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25 м — в любом месте по длине судна между переборками деления на отсеки;</w:t>
      </w:r>
    </w:p>
    <w:bookmarkEnd w:id="5868"/>
    <w:bookmarkStart w:name="z5876" w:id="5869"/>
    <w:p>
      <w:pPr>
        <w:spacing w:after="0"/>
        <w:ind w:left="0"/>
        <w:jc w:val="both"/>
      </w:pPr>
      <w:r>
        <w:rPr>
          <w:rFonts w:ascii="Times New Roman"/>
          <w:b w:val="false"/>
          <w:i w:val="false"/>
          <w:color w:val="000000"/>
          <w:sz w:val="28"/>
        </w:rPr>
        <w:t>
      у газовозов типа 3G длиной L</w:t>
      </w:r>
      <w:r>
        <w:rPr>
          <w:rFonts w:ascii="Times New Roman"/>
          <w:b w:val="false"/>
          <w:i w:val="false"/>
          <w:color w:val="000000"/>
          <w:vertAlign w:val="subscript"/>
        </w:rPr>
        <w:t>1</w:t>
      </w:r>
      <w:r>
        <w:rPr>
          <w:rFonts w:ascii="Times New Roman"/>
          <w:b w:val="false"/>
          <w:i w:val="false"/>
          <w:color w:val="000000"/>
          <w:sz w:val="28"/>
        </w:rPr>
        <w:t xml:space="preserve"> &lt;125 м — в любом месте по длине судна между переборками деления на отсеки, за исключением машинного отделения, когда оно расположено в корме. Однако расчеты аварийной посадки и остойчивости судна при затоплении машинного отделения представляются Регистру судоходства на рассмотрение. В случае невыполнения требований к аварийной посадке и остойчивости при затоплении машинного отделения знак деления на отсеки в символ класса не вносится;</w:t>
      </w:r>
    </w:p>
    <w:bookmarkEnd w:id="5869"/>
    <w:bookmarkStart w:name="z5877" w:id="5870"/>
    <w:p>
      <w:pPr>
        <w:spacing w:after="0"/>
        <w:ind w:left="0"/>
        <w:jc w:val="both"/>
      </w:pPr>
      <w:r>
        <w:rPr>
          <w:rFonts w:ascii="Times New Roman"/>
          <w:b w:val="false"/>
          <w:i w:val="false"/>
          <w:color w:val="000000"/>
          <w:sz w:val="28"/>
        </w:rPr>
        <w:t>
      2) протяженность днищевого повреждения по высоте принимается равной В/15 или 2 м в зависимости от того, что меньше.</w:t>
      </w:r>
    </w:p>
    <w:bookmarkEnd w:id="5870"/>
    <w:bookmarkStart w:name="z5878" w:id="5871"/>
    <w:p>
      <w:pPr>
        <w:spacing w:after="0"/>
        <w:ind w:left="0"/>
        <w:jc w:val="both"/>
      </w:pPr>
      <w:r>
        <w:rPr>
          <w:rFonts w:ascii="Times New Roman"/>
          <w:b w:val="false"/>
          <w:i w:val="false"/>
          <w:color w:val="000000"/>
          <w:sz w:val="28"/>
        </w:rPr>
        <w:t>
      1894. Буровые суда отвечают требованиям главы 125 настоящих Правил при затоплении одного любого отсека, если судовладелец не предъявляет более высоких требований.</w:t>
      </w:r>
    </w:p>
    <w:bookmarkEnd w:id="5871"/>
    <w:bookmarkStart w:name="z5879" w:id="5872"/>
    <w:p>
      <w:pPr>
        <w:spacing w:after="0"/>
        <w:ind w:left="0"/>
        <w:jc w:val="both"/>
      </w:pPr>
      <w:r>
        <w:rPr>
          <w:rFonts w:ascii="Times New Roman"/>
          <w:b w:val="false"/>
          <w:i w:val="false"/>
          <w:color w:val="000000"/>
          <w:sz w:val="28"/>
        </w:rPr>
        <w:t>
      Буровые суда имеют достаточный запас остойчивости в поврежденном состоянии, чтобы выдерживать ветровой кренящий момент, создаваемый ветром со скоростью 25,8 м/с (50 уз), действующим с любого направления. При этих условиях конечная ватерлиния после затопления проходит ниже нижней кромки любого отверстия, через которое возможно затопление забортной водой неповрежденные отсеки.</w:t>
      </w:r>
    </w:p>
    <w:bookmarkEnd w:id="5872"/>
    <w:bookmarkStart w:name="z5880" w:id="5873"/>
    <w:p>
      <w:pPr>
        <w:spacing w:after="0"/>
        <w:ind w:left="0"/>
        <w:jc w:val="left"/>
      </w:pPr>
      <w:r>
        <w:rPr>
          <w:rFonts w:ascii="Times New Roman"/>
          <w:b/>
          <w:i w:val="false"/>
          <w:color w:val="000000"/>
        </w:rPr>
        <w:t xml:space="preserve"> Параграф 7. Суда, предназначенные для перевозки радиоактивных</w:t>
      </w:r>
      <w:r>
        <w:br/>
      </w:r>
      <w:r>
        <w:rPr>
          <w:rFonts w:ascii="Times New Roman"/>
          <w:b/>
          <w:i w:val="false"/>
          <w:color w:val="000000"/>
        </w:rPr>
        <w:t>материалов и суда обеспечения</w:t>
      </w:r>
    </w:p>
    <w:bookmarkEnd w:id="5873"/>
    <w:bookmarkStart w:name="z5881" w:id="5874"/>
    <w:p>
      <w:pPr>
        <w:spacing w:after="0"/>
        <w:ind w:left="0"/>
        <w:jc w:val="both"/>
      </w:pPr>
      <w:r>
        <w:rPr>
          <w:rFonts w:ascii="Times New Roman"/>
          <w:b w:val="false"/>
          <w:i w:val="false"/>
          <w:color w:val="000000"/>
          <w:sz w:val="28"/>
        </w:rPr>
        <w:t>
      1895. Аварийная посадка и остойчивость судов, перевозящих упакованное отработавшее ядерное топливо, плутоний и высокорадиоактивные отходы с общей активностью менее 4000 ТБк, является в каждом случае предметом специального рассмотрения Регистром судоходства.</w:t>
      </w:r>
    </w:p>
    <w:bookmarkEnd w:id="5874"/>
    <w:bookmarkStart w:name="z5882" w:id="5875"/>
    <w:p>
      <w:pPr>
        <w:spacing w:after="0"/>
        <w:ind w:left="0"/>
        <w:jc w:val="both"/>
      </w:pPr>
      <w:r>
        <w:rPr>
          <w:rFonts w:ascii="Times New Roman"/>
          <w:b w:val="false"/>
          <w:i w:val="false"/>
          <w:color w:val="000000"/>
          <w:sz w:val="28"/>
        </w:rPr>
        <w:t>
      Требования к аварийной посадке и остойчивости судов, перевозящих упакованное отработавшее ядерное топливо или высокорадиоактивные отходы с общей активностью менее 2х10</w:t>
      </w:r>
      <w:r>
        <w:rPr>
          <w:rFonts w:ascii="Times New Roman"/>
          <w:b w:val="false"/>
          <w:i w:val="false"/>
          <w:color w:val="000000"/>
          <w:vertAlign w:val="superscript"/>
        </w:rPr>
        <w:t>6</w:t>
      </w:r>
      <w:r>
        <w:rPr>
          <w:rFonts w:ascii="Times New Roman"/>
          <w:b w:val="false"/>
          <w:i w:val="false"/>
          <w:color w:val="000000"/>
          <w:sz w:val="28"/>
        </w:rPr>
        <w:t xml:space="preserve"> ТБк или же плутоний с общей активностью менее 2х10</w:t>
      </w:r>
      <w:r>
        <w:rPr>
          <w:rFonts w:ascii="Times New Roman"/>
          <w:b w:val="false"/>
          <w:i w:val="false"/>
          <w:color w:val="000000"/>
          <w:vertAlign w:val="superscript"/>
        </w:rPr>
        <w:t>5</w:t>
      </w:r>
      <w:r>
        <w:rPr>
          <w:rFonts w:ascii="Times New Roman"/>
          <w:b w:val="false"/>
          <w:i w:val="false"/>
          <w:color w:val="000000"/>
          <w:sz w:val="28"/>
        </w:rPr>
        <w:t xml:space="preserve"> ТБк, выполняются при получении расчетной пробоины в любом месте по длине судна между соседними поперечными переборками.</w:t>
      </w:r>
    </w:p>
    <w:bookmarkEnd w:id="5875"/>
    <w:bookmarkStart w:name="z5883" w:id="5876"/>
    <w:p>
      <w:pPr>
        <w:spacing w:after="0"/>
        <w:ind w:left="0"/>
        <w:jc w:val="both"/>
      </w:pPr>
      <w:r>
        <w:rPr>
          <w:rFonts w:ascii="Times New Roman"/>
          <w:b w:val="false"/>
          <w:i w:val="false"/>
          <w:color w:val="000000"/>
          <w:sz w:val="28"/>
        </w:rPr>
        <w:t>
      Требования к аварийной посадке и остойчивости судов, перевозящих упакованное отработавшее ядерное топливо или высокорадиоактивные отходы с общей активностью 2х10</w:t>
      </w:r>
      <w:r>
        <w:rPr>
          <w:rFonts w:ascii="Times New Roman"/>
          <w:b w:val="false"/>
          <w:i w:val="false"/>
          <w:color w:val="000000"/>
          <w:vertAlign w:val="superscript"/>
        </w:rPr>
        <w:t>6</w:t>
      </w:r>
      <w:r>
        <w:rPr>
          <w:rFonts w:ascii="Times New Roman"/>
          <w:b w:val="false"/>
          <w:i w:val="false"/>
          <w:color w:val="000000"/>
          <w:sz w:val="28"/>
        </w:rPr>
        <w:t xml:space="preserve"> ТБк и выше или же плутоний с общей активностью 2х10</w:t>
      </w:r>
      <w:r>
        <w:rPr>
          <w:rFonts w:ascii="Times New Roman"/>
          <w:b w:val="false"/>
          <w:i w:val="false"/>
          <w:color w:val="000000"/>
          <w:vertAlign w:val="superscript"/>
        </w:rPr>
        <w:t>5</w:t>
      </w:r>
      <w:r>
        <w:rPr>
          <w:rFonts w:ascii="Times New Roman"/>
          <w:b w:val="false"/>
          <w:i w:val="false"/>
          <w:color w:val="000000"/>
          <w:sz w:val="28"/>
        </w:rPr>
        <w:t xml:space="preserve"> ТБк и выше, выполняются при получении расчетной пробоины в любом месте по длине судна.</w:t>
      </w:r>
    </w:p>
    <w:bookmarkEnd w:id="5876"/>
    <w:bookmarkStart w:name="z5884" w:id="5877"/>
    <w:p>
      <w:pPr>
        <w:spacing w:after="0"/>
        <w:ind w:left="0"/>
        <w:jc w:val="both"/>
      </w:pPr>
      <w:r>
        <w:rPr>
          <w:rFonts w:ascii="Times New Roman"/>
          <w:b w:val="false"/>
          <w:i w:val="false"/>
          <w:color w:val="000000"/>
          <w:sz w:val="28"/>
        </w:rPr>
        <w:t>
      По согласованию с Регистром судоходства вероятностная оценка деления судна на отсеки рассматривается в качестве эквивалентной замены указанным требованиям.</w:t>
      </w:r>
    </w:p>
    <w:bookmarkEnd w:id="5877"/>
    <w:bookmarkStart w:name="z5885" w:id="5878"/>
    <w:p>
      <w:pPr>
        <w:spacing w:after="0"/>
        <w:ind w:left="0"/>
        <w:jc w:val="both"/>
      </w:pPr>
      <w:r>
        <w:rPr>
          <w:rFonts w:ascii="Times New Roman"/>
          <w:b w:val="false"/>
          <w:i w:val="false"/>
          <w:color w:val="000000"/>
          <w:sz w:val="28"/>
        </w:rPr>
        <w:t>
      1896. Требования настоящего подраздела Правил распространяются на все суда обеспечения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100 м.</w:t>
      </w:r>
    </w:p>
    <w:bookmarkEnd w:id="5878"/>
    <w:bookmarkStart w:name="z5886" w:id="5879"/>
    <w:p>
      <w:pPr>
        <w:spacing w:after="0"/>
        <w:ind w:left="0"/>
        <w:jc w:val="both"/>
      </w:pPr>
      <w:r>
        <w:rPr>
          <w:rFonts w:ascii="Times New Roman"/>
          <w:b w:val="false"/>
          <w:i w:val="false"/>
          <w:color w:val="000000"/>
          <w:sz w:val="28"/>
        </w:rPr>
        <w:t>
      Деление на отсеки и аварийная остойчивость судов обеспечения длиной более 100 м являются в каждом случае предметом специального рассмотрения Регистром судоходства.</w:t>
      </w:r>
    </w:p>
    <w:bookmarkEnd w:id="5879"/>
    <w:bookmarkStart w:name="z5887" w:id="5880"/>
    <w:p>
      <w:pPr>
        <w:spacing w:after="0"/>
        <w:ind w:left="0"/>
        <w:jc w:val="both"/>
      </w:pPr>
      <w:r>
        <w:rPr>
          <w:rFonts w:ascii="Times New Roman"/>
          <w:b w:val="false"/>
          <w:i w:val="false"/>
          <w:color w:val="000000"/>
          <w:sz w:val="28"/>
        </w:rPr>
        <w:t>
      1897. Размеры повреждений:</w:t>
      </w:r>
    </w:p>
    <w:bookmarkEnd w:id="5880"/>
    <w:bookmarkStart w:name="z5888" w:id="5881"/>
    <w:p>
      <w:pPr>
        <w:spacing w:after="0"/>
        <w:ind w:left="0"/>
        <w:jc w:val="both"/>
      </w:pPr>
      <w:r>
        <w:rPr>
          <w:rFonts w:ascii="Times New Roman"/>
          <w:b w:val="false"/>
          <w:i w:val="false"/>
          <w:color w:val="000000"/>
          <w:sz w:val="28"/>
        </w:rPr>
        <w:t>
      1) протяженность по длине для судов длиной L</w:t>
      </w:r>
      <w:r>
        <w:rPr>
          <w:rFonts w:ascii="Times New Roman"/>
          <w:b w:val="false"/>
          <w:i w:val="false"/>
          <w:color w:val="000000"/>
          <w:vertAlign w:val="subscript"/>
        </w:rPr>
        <w:t>1</w:t>
      </w:r>
      <w:r>
        <w:rPr>
          <w:rFonts w:ascii="Times New Roman"/>
          <w:b w:val="false"/>
          <w:i w:val="false"/>
          <w:color w:val="000000"/>
          <w:sz w:val="28"/>
        </w:rPr>
        <w:t xml:space="preserve"> &gt; 43 м составляет 3 м + 0,03 L</w:t>
      </w:r>
      <w:r>
        <w:rPr>
          <w:rFonts w:ascii="Times New Roman"/>
          <w:b w:val="false"/>
          <w:i w:val="false"/>
          <w:color w:val="000000"/>
          <w:vertAlign w:val="subscript"/>
        </w:rPr>
        <w:t>1</w:t>
      </w:r>
      <w:r>
        <w:rPr>
          <w:rFonts w:ascii="Times New Roman"/>
          <w:b w:val="false"/>
          <w:i w:val="false"/>
          <w:color w:val="000000"/>
          <w:sz w:val="28"/>
        </w:rPr>
        <w:t>, а для судов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43 м составляет 0,10 L</w:t>
      </w:r>
      <w:r>
        <w:rPr>
          <w:rFonts w:ascii="Times New Roman"/>
          <w:b w:val="false"/>
          <w:i w:val="false"/>
          <w:color w:val="000000"/>
          <w:vertAlign w:val="subscript"/>
        </w:rPr>
        <w:t>1</w:t>
      </w:r>
      <w:r>
        <w:rPr>
          <w:rFonts w:ascii="Times New Roman"/>
          <w:b w:val="false"/>
          <w:i w:val="false"/>
          <w:color w:val="000000"/>
          <w:sz w:val="28"/>
        </w:rPr>
        <w:t>,</w:t>
      </w:r>
    </w:p>
    <w:bookmarkEnd w:id="5881"/>
    <w:bookmarkStart w:name="z5889" w:id="5882"/>
    <w:p>
      <w:pPr>
        <w:spacing w:after="0"/>
        <w:ind w:left="0"/>
        <w:jc w:val="both"/>
      </w:pPr>
      <w:r>
        <w:rPr>
          <w:rFonts w:ascii="Times New Roman"/>
          <w:b w:val="false"/>
          <w:i w:val="false"/>
          <w:color w:val="000000"/>
          <w:sz w:val="28"/>
        </w:rPr>
        <w:t>
      2) глубина повреждения принимается равной 0,76 м и измеряется от внутренней поверхности наружной обшивки под прямым углом к диаметральной плоскости на уровне ватерлинии, соответствующей осадке по летнюю грузовую марку;</w:t>
      </w:r>
    </w:p>
    <w:bookmarkEnd w:id="5882"/>
    <w:bookmarkStart w:name="z5890" w:id="5883"/>
    <w:p>
      <w:pPr>
        <w:spacing w:after="0"/>
        <w:ind w:left="0"/>
        <w:jc w:val="both"/>
      </w:pPr>
      <w:r>
        <w:rPr>
          <w:rFonts w:ascii="Times New Roman"/>
          <w:b w:val="false"/>
          <w:i w:val="false"/>
          <w:color w:val="000000"/>
          <w:sz w:val="28"/>
        </w:rPr>
        <w:t>
      3) протяженность по вертикали: от основной линии до уровня грузовой палубы или ее продолжения.</w:t>
      </w:r>
    </w:p>
    <w:bookmarkEnd w:id="5883"/>
    <w:bookmarkStart w:name="z5891" w:id="5884"/>
    <w:p>
      <w:pPr>
        <w:spacing w:after="0"/>
        <w:ind w:left="0"/>
        <w:jc w:val="both"/>
      </w:pPr>
      <w:r>
        <w:rPr>
          <w:rFonts w:ascii="Times New Roman"/>
          <w:b w:val="false"/>
          <w:i w:val="false"/>
          <w:color w:val="000000"/>
          <w:sz w:val="28"/>
        </w:rPr>
        <w:t>
      1898. Поперечная водонепроницаемая переборка, отстоящая от борта на расстояние 760 мм или более, измеренное под прямым углом к диаметральной плоскости на уровне ватерлинии, соответствующей осадке по летнюю грузовую марку, и соединяющая продольные водонепроницаемые переборки, учитывается как поперечная водонепроницаемая переборка в расчетах аварийной посадки и остойчивости.</w:t>
      </w:r>
    </w:p>
    <w:bookmarkEnd w:id="5884"/>
    <w:bookmarkStart w:name="z5892" w:id="5885"/>
    <w:p>
      <w:pPr>
        <w:spacing w:after="0"/>
        <w:ind w:left="0"/>
        <w:jc w:val="both"/>
      </w:pPr>
      <w:r>
        <w:rPr>
          <w:rFonts w:ascii="Times New Roman"/>
          <w:b w:val="false"/>
          <w:i w:val="false"/>
          <w:color w:val="000000"/>
          <w:sz w:val="28"/>
        </w:rPr>
        <w:t>
      1899. Если поперечная водонепроницаемая переборка с уступом, превышающим 3,0 м, установленная в двойном дне или околобортном пространстве, находится в пределах глубины повреждения, то смежные пространства двойного дна или бортовые танки, разделяемые данной переборкой с уступом, рассматриваются как поврежденные.</w:t>
      </w:r>
    </w:p>
    <w:bookmarkEnd w:id="5885"/>
    <w:bookmarkStart w:name="z5893" w:id="5886"/>
    <w:p>
      <w:pPr>
        <w:spacing w:after="0"/>
        <w:ind w:left="0"/>
        <w:jc w:val="both"/>
      </w:pPr>
      <w:r>
        <w:rPr>
          <w:rFonts w:ascii="Times New Roman"/>
          <w:b w:val="false"/>
          <w:i w:val="false"/>
          <w:color w:val="000000"/>
          <w:sz w:val="28"/>
        </w:rPr>
        <w:t>
      1900. Угол крена в конечной стадии несимметричного затопления до принятия мер по спрямлению и до срабатывания перетоков не превышает 15</w:t>
      </w:r>
      <w:r>
        <w:rPr>
          <w:rFonts w:ascii="Times New Roman"/>
          <w:b w:val="false"/>
          <w:i w:val="false"/>
          <w:color w:val="000000"/>
          <w:vertAlign w:val="superscript"/>
        </w:rPr>
        <w:t>o</w:t>
      </w:r>
      <w:r>
        <w:rPr>
          <w:rFonts w:ascii="Times New Roman"/>
          <w:b w:val="false"/>
          <w:i w:val="false"/>
          <w:color w:val="000000"/>
          <w:sz w:val="28"/>
        </w:rPr>
        <w:t xml:space="preserve"> (или 17</w:t>
      </w:r>
      <w:r>
        <w:rPr>
          <w:rFonts w:ascii="Times New Roman"/>
          <w:b w:val="false"/>
          <w:i w:val="false"/>
          <w:color w:val="000000"/>
          <w:vertAlign w:val="superscript"/>
        </w:rPr>
        <w:t>o</w:t>
      </w:r>
      <w:r>
        <w:rPr>
          <w:rFonts w:ascii="Times New Roman"/>
          <w:b w:val="false"/>
          <w:i w:val="false"/>
          <w:color w:val="000000"/>
          <w:sz w:val="28"/>
        </w:rPr>
        <w:t>, если палуба переборок не входит в воду).</w:t>
      </w:r>
    </w:p>
    <w:bookmarkEnd w:id="5886"/>
    <w:bookmarkStart w:name="z5894" w:id="5887"/>
    <w:p>
      <w:pPr>
        <w:spacing w:after="0"/>
        <w:ind w:left="0"/>
        <w:jc w:val="both"/>
      </w:pPr>
      <w:r>
        <w:rPr>
          <w:rFonts w:ascii="Times New Roman"/>
          <w:b w:val="false"/>
          <w:i w:val="false"/>
          <w:color w:val="000000"/>
          <w:sz w:val="28"/>
        </w:rPr>
        <w:t>
      1901. Число затапливаемых отсеков. Требования главы 125 настоящих Правил к остойчивости поврежденного судна выполняются при затоплении одного отсека в соответствии с размерами повреждений, указанных в подпунктах 1) – 3) пункта 1854 и пункта и 1897 настоящих Правил.</w:t>
      </w:r>
    </w:p>
    <w:bookmarkEnd w:id="5887"/>
    <w:bookmarkStart w:name="z5895" w:id="5888"/>
    <w:p>
      <w:pPr>
        <w:spacing w:after="0"/>
        <w:ind w:left="0"/>
        <w:jc w:val="both"/>
      </w:pPr>
      <w:r>
        <w:rPr>
          <w:rFonts w:ascii="Times New Roman"/>
          <w:b w:val="false"/>
          <w:i w:val="false"/>
          <w:color w:val="000000"/>
          <w:sz w:val="28"/>
        </w:rPr>
        <w:t>
      1902. Судам, отвечающим требованиям только пункта 1897 настоящих Правил, знак деления на отсеки в символ класса не вносится.</w:t>
      </w:r>
    </w:p>
    <w:bookmarkEnd w:id="5888"/>
    <w:bookmarkStart w:name="z5896" w:id="5889"/>
    <w:p>
      <w:pPr>
        <w:spacing w:after="0"/>
        <w:ind w:left="0"/>
        <w:jc w:val="both"/>
      </w:pPr>
      <w:r>
        <w:rPr>
          <w:rFonts w:ascii="Times New Roman"/>
          <w:b w:val="false"/>
          <w:i w:val="false"/>
          <w:color w:val="000000"/>
          <w:sz w:val="28"/>
        </w:rPr>
        <w:t>
      1903. По желанию судовладельца судно обеспечения получает в символе класса знак деления на отсеки с указанием числа затапливаемых отсеков. В этом случае размер повреждения по ширине принимается в соответствии с подпунктом 2) пункта 1854 настоящих Правил. Число отсеков, при затоплении которых выполняются требования к посадке и остойчивости поврежденного судна, определяется судовладельцем.</w:t>
      </w:r>
    </w:p>
    <w:bookmarkEnd w:id="5889"/>
    <w:bookmarkStart w:name="z5897" w:id="5890"/>
    <w:p>
      <w:pPr>
        <w:spacing w:after="0"/>
        <w:ind w:left="0"/>
        <w:jc w:val="left"/>
      </w:pPr>
      <w:r>
        <w:rPr>
          <w:rFonts w:ascii="Times New Roman"/>
          <w:b/>
          <w:i w:val="false"/>
          <w:color w:val="000000"/>
        </w:rPr>
        <w:t xml:space="preserve"> Параграф 8. Навалочные суда, рудовозы и комбинированные суда</w:t>
      </w:r>
    </w:p>
    <w:bookmarkEnd w:id="5890"/>
    <w:bookmarkStart w:name="z5898" w:id="5891"/>
    <w:p>
      <w:pPr>
        <w:spacing w:after="0"/>
        <w:ind w:left="0"/>
        <w:jc w:val="both"/>
      </w:pPr>
      <w:r>
        <w:rPr>
          <w:rFonts w:ascii="Times New Roman"/>
          <w:b w:val="false"/>
          <w:i w:val="false"/>
          <w:color w:val="000000"/>
          <w:sz w:val="28"/>
        </w:rPr>
        <w:t>
      1904. Навалочные суда длиной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150 м, перевозящие твердые навалочные грузы плотностью 1000 кг/м</w:t>
      </w:r>
      <w:r>
        <w:rPr>
          <w:rFonts w:ascii="Times New Roman"/>
          <w:b w:val="false"/>
          <w:i w:val="false"/>
          <w:color w:val="000000"/>
          <w:vertAlign w:val="superscript"/>
        </w:rPr>
        <w:t>3</w:t>
      </w:r>
      <w:r>
        <w:rPr>
          <w:rFonts w:ascii="Times New Roman"/>
          <w:b w:val="false"/>
          <w:i w:val="false"/>
          <w:color w:val="000000"/>
          <w:sz w:val="28"/>
        </w:rPr>
        <w:t xml:space="preserve"> и более, отвечают требованиям главы 130 настоящих Правил при затоплении любого грузового трюма, ограниченного наружной обшивкой или имеющего двойной борт шириной В/5 или 11,5м (зависимости от того, что меньше), в остальных районах; во всех случаях нагрузки по летнюю грузовую марку.</w:t>
      </w:r>
    </w:p>
    <w:bookmarkEnd w:id="5891"/>
    <w:bookmarkStart w:name="z5899" w:id="5892"/>
    <w:p>
      <w:pPr>
        <w:spacing w:after="0"/>
        <w:ind w:left="0"/>
        <w:jc w:val="both"/>
      </w:pPr>
      <w:r>
        <w:rPr>
          <w:rFonts w:ascii="Times New Roman"/>
          <w:b w:val="false"/>
          <w:i w:val="false"/>
          <w:color w:val="000000"/>
          <w:sz w:val="28"/>
        </w:rPr>
        <w:t>
      1905. При выполнении расчетов аварийной остойчивости принимают следующие значения коэффициентов проницаемости:</w:t>
      </w:r>
    </w:p>
    <w:bookmarkEnd w:id="5892"/>
    <w:bookmarkStart w:name="z5900" w:id="5893"/>
    <w:p>
      <w:pPr>
        <w:spacing w:after="0"/>
        <w:ind w:left="0"/>
        <w:jc w:val="both"/>
      </w:pPr>
      <w:r>
        <w:rPr>
          <w:rFonts w:ascii="Times New Roman"/>
          <w:b w:val="false"/>
          <w:i w:val="false"/>
          <w:color w:val="000000"/>
          <w:sz w:val="28"/>
        </w:rPr>
        <w:t>
      0,90 — для загруженных трюмов;</w:t>
      </w:r>
    </w:p>
    <w:bookmarkEnd w:id="5893"/>
    <w:bookmarkStart w:name="z5901" w:id="5894"/>
    <w:p>
      <w:pPr>
        <w:spacing w:after="0"/>
        <w:ind w:left="0"/>
        <w:jc w:val="both"/>
      </w:pPr>
      <w:r>
        <w:rPr>
          <w:rFonts w:ascii="Times New Roman"/>
          <w:b w:val="false"/>
          <w:i w:val="false"/>
          <w:color w:val="000000"/>
          <w:sz w:val="28"/>
        </w:rPr>
        <w:t>
      0,95 — для пустых трюмов.</w:t>
      </w:r>
    </w:p>
    <w:bookmarkEnd w:id="5894"/>
    <w:bookmarkStart w:name="z5902" w:id="5895"/>
    <w:p>
      <w:pPr>
        <w:spacing w:after="0"/>
        <w:ind w:left="0"/>
        <w:jc w:val="both"/>
      </w:pPr>
      <w:r>
        <w:rPr>
          <w:rFonts w:ascii="Times New Roman"/>
          <w:b w:val="false"/>
          <w:i w:val="false"/>
          <w:color w:val="000000"/>
          <w:sz w:val="28"/>
        </w:rPr>
        <w:t>
      Суда, которым назначен уменьшенный надводный борт в соответствии с подразделом 4 раздела 7 настоящих Правил, считаются отвечающими требованиям пункта 1904 настоящих Правил.</w:t>
      </w:r>
    </w:p>
    <w:bookmarkEnd w:id="5895"/>
    <w:bookmarkStart w:name="z5903" w:id="5896"/>
    <w:p>
      <w:pPr>
        <w:spacing w:after="0"/>
        <w:ind w:left="0"/>
        <w:jc w:val="both"/>
      </w:pPr>
      <w:r>
        <w:rPr>
          <w:rFonts w:ascii="Times New Roman"/>
          <w:b w:val="false"/>
          <w:i w:val="false"/>
          <w:color w:val="000000"/>
          <w:sz w:val="28"/>
        </w:rPr>
        <w:t>
      Информация о выполнении данного требования помещается в Информацию (буклет) об остойчивости и прочности при перевозке незерновых навалочных грузов, требуемый пунктом 218 настоящих Правил.</w:t>
      </w:r>
    </w:p>
    <w:bookmarkEnd w:id="5896"/>
    <w:bookmarkStart w:name="z5904" w:id="5897"/>
    <w:p>
      <w:pPr>
        <w:spacing w:after="0"/>
        <w:ind w:left="0"/>
        <w:jc w:val="both"/>
      </w:pPr>
      <w:r>
        <w:rPr>
          <w:rFonts w:ascii="Times New Roman"/>
          <w:b w:val="false"/>
          <w:i w:val="false"/>
          <w:color w:val="000000"/>
          <w:sz w:val="28"/>
        </w:rPr>
        <w:t>
      1906. Суда оборудуются датчиками уровня воды:</w:t>
      </w:r>
    </w:p>
    <w:bookmarkEnd w:id="5897"/>
    <w:bookmarkStart w:name="z5905" w:id="5898"/>
    <w:p>
      <w:pPr>
        <w:spacing w:after="0"/>
        <w:ind w:left="0"/>
        <w:jc w:val="both"/>
      </w:pPr>
      <w:r>
        <w:rPr>
          <w:rFonts w:ascii="Times New Roman"/>
          <w:b w:val="false"/>
          <w:i w:val="false"/>
          <w:color w:val="000000"/>
          <w:sz w:val="28"/>
        </w:rPr>
        <w:t>
      1) в каждом грузовом трюме — подающими звуковой и визуальный сигналы аварийно-предупредительной сигнализации (первый датчик — когда уровень воды над вторым дном в трюме достигнет высоты 0,5 м, и второй — на высоте не менее 15 % от высоты грузового трюма, но не более 2 м над вторым дном);</w:t>
      </w:r>
    </w:p>
    <w:bookmarkEnd w:id="5898"/>
    <w:bookmarkStart w:name="z5906" w:id="5899"/>
    <w:p>
      <w:pPr>
        <w:spacing w:after="0"/>
        <w:ind w:left="0"/>
        <w:jc w:val="both"/>
      </w:pPr>
      <w:r>
        <w:rPr>
          <w:rFonts w:ascii="Times New Roman"/>
          <w:b w:val="false"/>
          <w:i w:val="false"/>
          <w:color w:val="000000"/>
          <w:sz w:val="28"/>
        </w:rPr>
        <w:t>
      вместо двух допускается использование одного датчика в случае, если его конструкция позволяет производить сигналы аварийно-предупредительной сигнализации при обоих уровнях затопления трюма. Датчики уровня располагаются в кормовой части грузового трюма у диаметральной плоскости, насколько это практически осуществимо. При невозможности установки датчиков в пределах одной шпации гофров или вертикальных ребер жесткости поперечной переборки, они устанавливаются по обоим бортам трюма;</w:t>
      </w:r>
    </w:p>
    <w:bookmarkEnd w:id="5899"/>
    <w:bookmarkStart w:name="z5907" w:id="5900"/>
    <w:p>
      <w:pPr>
        <w:spacing w:after="0"/>
        <w:ind w:left="0"/>
        <w:jc w:val="both"/>
      </w:pPr>
      <w:r>
        <w:rPr>
          <w:rFonts w:ascii="Times New Roman"/>
          <w:b w:val="false"/>
          <w:i w:val="false"/>
          <w:color w:val="000000"/>
          <w:sz w:val="28"/>
        </w:rPr>
        <w:t>
      2) в любом балластном танке, расположенном в нос от таранной переборки, требуемой параграфом 4 главы 8 настоящих Правил, — подающим сигналы аварийно-предупредительной сигнализации, когда жидкость в танке достигнет уровня, не превышающего 10 % от вместимости танка;</w:t>
      </w:r>
    </w:p>
    <w:bookmarkEnd w:id="5900"/>
    <w:bookmarkStart w:name="z5908" w:id="5901"/>
    <w:p>
      <w:pPr>
        <w:spacing w:after="0"/>
        <w:ind w:left="0"/>
        <w:jc w:val="both"/>
      </w:pPr>
      <w:r>
        <w:rPr>
          <w:rFonts w:ascii="Times New Roman"/>
          <w:b w:val="false"/>
          <w:i w:val="false"/>
          <w:color w:val="000000"/>
          <w:sz w:val="28"/>
        </w:rPr>
        <w:t>
      3) в любом сухом или пустом помещении, за исключением цепного ящика, любая часть которого выступает вперед от носового грузового трюма, — подающим сигналы аварийно-предупредительной сигнализации при достижении уровня воды 0,1 м над палубой помещения. Такой сигнализацией не оборудуются закрытые помещения, объем которых не превышает 0,1 % от максимального объемного водоизмещения судна.</w:t>
      </w:r>
    </w:p>
    <w:bookmarkEnd w:id="5901"/>
    <w:bookmarkStart w:name="z5909" w:id="5902"/>
    <w:p>
      <w:pPr>
        <w:spacing w:after="0"/>
        <w:ind w:left="0"/>
        <w:jc w:val="both"/>
      </w:pPr>
      <w:r>
        <w:rPr>
          <w:rFonts w:ascii="Times New Roman"/>
          <w:b w:val="false"/>
          <w:i w:val="false"/>
          <w:color w:val="000000"/>
          <w:sz w:val="28"/>
        </w:rPr>
        <w:t>
      Датчики, установленные в грузовых трюмах, защищаются прочным ограждением от повреждений грузом или механическим оборудованием, используемым при погрузочно-разгрузочных операциях.</w:t>
      </w:r>
    </w:p>
    <w:bookmarkEnd w:id="5902"/>
    <w:bookmarkStart w:name="z5910" w:id="5903"/>
    <w:p>
      <w:pPr>
        <w:spacing w:after="0"/>
        <w:ind w:left="0"/>
        <w:jc w:val="both"/>
      </w:pPr>
      <w:r>
        <w:rPr>
          <w:rFonts w:ascii="Times New Roman"/>
          <w:b w:val="false"/>
          <w:i w:val="false"/>
          <w:color w:val="000000"/>
          <w:sz w:val="28"/>
        </w:rPr>
        <w:t>
      1907. На судне находится Наставление по использованию аварийно-предупредительной сигнализации появления воды в отсеках судна, включающее в себя, как минимум:</w:t>
      </w:r>
    </w:p>
    <w:bookmarkEnd w:id="5903"/>
    <w:bookmarkStart w:name="z5911" w:id="5904"/>
    <w:p>
      <w:pPr>
        <w:spacing w:after="0"/>
        <w:ind w:left="0"/>
        <w:jc w:val="both"/>
      </w:pPr>
      <w:r>
        <w:rPr>
          <w:rFonts w:ascii="Times New Roman"/>
          <w:b w:val="false"/>
          <w:i w:val="false"/>
          <w:color w:val="000000"/>
          <w:sz w:val="28"/>
        </w:rPr>
        <w:t>
      1) техническое описание оборудования системы аварийно-предупредительной сигнализации, включающее в том числе перечень процедур для проверки работоспособности, насколько это практически осуществимо, каждого элемента оборудования на любой стадии эксплуатации судна;</w:t>
      </w:r>
    </w:p>
    <w:bookmarkEnd w:id="5904"/>
    <w:bookmarkStart w:name="z5912" w:id="5905"/>
    <w:p>
      <w:pPr>
        <w:spacing w:after="0"/>
        <w:ind w:left="0"/>
        <w:jc w:val="both"/>
      </w:pPr>
      <w:r>
        <w:rPr>
          <w:rFonts w:ascii="Times New Roman"/>
          <w:b w:val="false"/>
          <w:i w:val="false"/>
          <w:color w:val="000000"/>
          <w:sz w:val="28"/>
        </w:rPr>
        <w:t>
      2) свидетельство о типовом одобрении системы аварийно-предупредительной сигнализации;</w:t>
      </w:r>
    </w:p>
    <w:bookmarkEnd w:id="5905"/>
    <w:bookmarkStart w:name="z5913" w:id="5906"/>
    <w:p>
      <w:pPr>
        <w:spacing w:after="0"/>
        <w:ind w:left="0"/>
        <w:jc w:val="both"/>
      </w:pPr>
      <w:r>
        <w:rPr>
          <w:rFonts w:ascii="Times New Roman"/>
          <w:b w:val="false"/>
          <w:i w:val="false"/>
          <w:color w:val="000000"/>
          <w:sz w:val="28"/>
        </w:rPr>
        <w:t>
      3) однолинейные схемы системы аварийно-предупредительной сигнализации с обозначением на схеме общего расположения судна местоположения оборудования;</w:t>
      </w:r>
    </w:p>
    <w:bookmarkEnd w:id="5906"/>
    <w:bookmarkStart w:name="z5914" w:id="5907"/>
    <w:p>
      <w:pPr>
        <w:spacing w:after="0"/>
        <w:ind w:left="0"/>
        <w:jc w:val="both"/>
      </w:pPr>
      <w:r>
        <w:rPr>
          <w:rFonts w:ascii="Times New Roman"/>
          <w:b w:val="false"/>
          <w:i w:val="false"/>
          <w:color w:val="000000"/>
          <w:sz w:val="28"/>
        </w:rPr>
        <w:t>
      4) инструкции с указанием расположения, креплений, защиты и испытаний оборудования аварийно-предупредительной сигнализации;</w:t>
      </w:r>
    </w:p>
    <w:bookmarkEnd w:id="5907"/>
    <w:bookmarkStart w:name="z5915" w:id="5908"/>
    <w:p>
      <w:pPr>
        <w:spacing w:after="0"/>
        <w:ind w:left="0"/>
        <w:jc w:val="both"/>
      </w:pPr>
      <w:r>
        <w:rPr>
          <w:rFonts w:ascii="Times New Roman"/>
          <w:b w:val="false"/>
          <w:i w:val="false"/>
          <w:color w:val="000000"/>
          <w:sz w:val="28"/>
        </w:rPr>
        <w:t>
      5) список грузов, в 50-процентной смеси которых с морской водой датчики, закрытые защитным ограждением, работоспособны;</w:t>
      </w:r>
    </w:p>
    <w:bookmarkEnd w:id="5908"/>
    <w:bookmarkStart w:name="z5916" w:id="5909"/>
    <w:p>
      <w:pPr>
        <w:spacing w:after="0"/>
        <w:ind w:left="0"/>
        <w:jc w:val="both"/>
      </w:pPr>
      <w:r>
        <w:rPr>
          <w:rFonts w:ascii="Times New Roman"/>
          <w:b w:val="false"/>
          <w:i w:val="false"/>
          <w:color w:val="000000"/>
          <w:sz w:val="28"/>
        </w:rPr>
        <w:t>
      6) описание процедур, необходимых для выполнения в случае появления сбоев в работе системы аварийно-предупредительной сигнализации;</w:t>
      </w:r>
    </w:p>
    <w:bookmarkEnd w:id="5909"/>
    <w:bookmarkStart w:name="z5917" w:id="5910"/>
    <w:p>
      <w:pPr>
        <w:spacing w:after="0"/>
        <w:ind w:left="0"/>
        <w:jc w:val="both"/>
      </w:pPr>
      <w:r>
        <w:rPr>
          <w:rFonts w:ascii="Times New Roman"/>
          <w:b w:val="false"/>
          <w:i w:val="false"/>
          <w:color w:val="000000"/>
          <w:sz w:val="28"/>
        </w:rPr>
        <w:t>
      7) требования по техническому обслуживанию оборудования системы аварийно-предупредительной сигнализации.</w:t>
      </w:r>
    </w:p>
    <w:bookmarkEnd w:id="5910"/>
    <w:bookmarkStart w:name="z5918" w:id="5911"/>
    <w:p>
      <w:pPr>
        <w:spacing w:after="0"/>
        <w:ind w:left="0"/>
        <w:jc w:val="both"/>
      </w:pPr>
      <w:r>
        <w:rPr>
          <w:rFonts w:ascii="Times New Roman"/>
          <w:b w:val="false"/>
          <w:i w:val="false"/>
          <w:color w:val="000000"/>
          <w:sz w:val="28"/>
        </w:rPr>
        <w:t>
      Наставление составляется на языке, которым владеет командный состав судна, а также на английском языке.</w:t>
      </w:r>
    </w:p>
    <w:bookmarkEnd w:id="5911"/>
    <w:bookmarkStart w:name="z5919" w:id="5912"/>
    <w:p>
      <w:pPr>
        <w:spacing w:after="0"/>
        <w:ind w:left="0"/>
        <w:jc w:val="both"/>
      </w:pPr>
      <w:r>
        <w:rPr>
          <w:rFonts w:ascii="Times New Roman"/>
          <w:b w:val="false"/>
          <w:i w:val="false"/>
          <w:color w:val="000000"/>
          <w:sz w:val="28"/>
        </w:rPr>
        <w:t>
      1908. Система аварийно-предупредительной сигнализации поступления воды отвечает требованиям главы 466 настоящих Правил.</w:t>
      </w:r>
    </w:p>
    <w:bookmarkEnd w:id="5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0" w:id="5913"/>
    <w:p>
      <w:pPr>
        <w:spacing w:after="0"/>
        <w:ind w:left="0"/>
        <w:jc w:val="left"/>
      </w:pPr>
      <w:r>
        <w:rPr>
          <w:rFonts w:ascii="Times New Roman"/>
          <w:b/>
          <w:i w:val="false"/>
          <w:color w:val="000000"/>
        </w:rPr>
        <w:t xml:space="preserve"> Параграф 9. Стоечные суда</w:t>
      </w:r>
    </w:p>
    <w:bookmarkEnd w:id="5913"/>
    <w:bookmarkStart w:name="z5921" w:id="5914"/>
    <w:p>
      <w:pPr>
        <w:spacing w:after="0"/>
        <w:ind w:left="0"/>
        <w:jc w:val="both"/>
      </w:pPr>
      <w:r>
        <w:rPr>
          <w:rFonts w:ascii="Times New Roman"/>
          <w:b w:val="false"/>
          <w:i w:val="false"/>
          <w:color w:val="000000"/>
          <w:sz w:val="28"/>
        </w:rPr>
        <w:t>
      1909. Требования, указанные в главе 125 настоящих Правил, выполняются при затоплении одного любого отсека, расположенного на периферии судна и имеющего длину не менее, чем расчетная протяженность пробоины, указанная в подпункте 2) пункта 1910 настоящих Правил.</w:t>
      </w:r>
    </w:p>
    <w:bookmarkEnd w:id="5914"/>
    <w:bookmarkStart w:name="z5922" w:id="5915"/>
    <w:p>
      <w:pPr>
        <w:spacing w:after="0"/>
        <w:ind w:left="0"/>
        <w:jc w:val="both"/>
      </w:pPr>
      <w:r>
        <w:rPr>
          <w:rFonts w:ascii="Times New Roman"/>
          <w:b w:val="false"/>
          <w:i w:val="false"/>
          <w:color w:val="000000"/>
          <w:sz w:val="28"/>
        </w:rPr>
        <w:t>
      1910. В расчетах аварийной посадки и остойчивости принимают следующие размеры повреждения:</w:t>
      </w:r>
    </w:p>
    <w:bookmarkEnd w:id="5915"/>
    <w:bookmarkStart w:name="z5923" w:id="5916"/>
    <w:p>
      <w:pPr>
        <w:spacing w:after="0"/>
        <w:ind w:left="0"/>
        <w:jc w:val="both"/>
      </w:pPr>
      <w:r>
        <w:rPr>
          <w:rFonts w:ascii="Times New Roman"/>
          <w:b w:val="false"/>
          <w:i w:val="false"/>
          <w:color w:val="000000"/>
          <w:sz w:val="28"/>
        </w:rPr>
        <w:t>
      1) глубина повреждения, измеренная от внутренней поверхности наружной обшивки под прямым углом к диаметральной плоскости на уровне самой высокой ватерлинии, допускаемой грузовой маркой, — 0,76 м;</w:t>
      </w:r>
    </w:p>
    <w:bookmarkEnd w:id="5916"/>
    <w:bookmarkStart w:name="z5924" w:id="5917"/>
    <w:p>
      <w:pPr>
        <w:spacing w:after="0"/>
        <w:ind w:left="0"/>
        <w:jc w:val="both"/>
      </w:pPr>
      <w:r>
        <w:rPr>
          <w:rFonts w:ascii="Times New Roman"/>
          <w:b w:val="false"/>
          <w:i w:val="false"/>
          <w:color w:val="000000"/>
          <w:sz w:val="28"/>
        </w:rPr>
        <w:t>
      2) протяженность по длине — 1/6 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или 7,2 м (в зависимости от того, что меньше);</w:t>
      </w:r>
    </w:p>
    <w:bookmarkEnd w:id="5917"/>
    <w:bookmarkStart w:name="z5925" w:id="5918"/>
    <w:p>
      <w:pPr>
        <w:spacing w:after="0"/>
        <w:ind w:left="0"/>
        <w:jc w:val="both"/>
      </w:pPr>
      <w:r>
        <w:rPr>
          <w:rFonts w:ascii="Times New Roman"/>
          <w:b w:val="false"/>
          <w:i w:val="false"/>
          <w:color w:val="000000"/>
          <w:sz w:val="28"/>
        </w:rPr>
        <w:t>
      3) протяженность по вертикали — в соответствии с подпунктом 3) пункта 1854 настоящих Правил.</w:t>
      </w:r>
    </w:p>
    <w:bookmarkEnd w:id="5918"/>
    <w:bookmarkStart w:name="z5926" w:id="5919"/>
    <w:p>
      <w:pPr>
        <w:spacing w:after="0"/>
        <w:ind w:left="0"/>
        <w:jc w:val="both"/>
      </w:pPr>
      <w:r>
        <w:rPr>
          <w:rFonts w:ascii="Times New Roman"/>
          <w:b w:val="false"/>
          <w:i w:val="false"/>
          <w:color w:val="000000"/>
          <w:sz w:val="28"/>
        </w:rPr>
        <w:t>
      1911. Стоечным судам, отвечающим только требованиям настоящей главы с учетом указаний пункта 2110 настоящих Правил, знак деления на отсеки в символ класса не вносится.</w:t>
      </w:r>
    </w:p>
    <w:bookmarkEnd w:id="5919"/>
    <w:bookmarkStart w:name="z5927" w:id="5920"/>
    <w:p>
      <w:pPr>
        <w:spacing w:after="0"/>
        <w:ind w:left="0"/>
        <w:jc w:val="both"/>
      </w:pPr>
      <w:r>
        <w:rPr>
          <w:rFonts w:ascii="Times New Roman"/>
          <w:b w:val="false"/>
          <w:i w:val="false"/>
          <w:color w:val="000000"/>
          <w:sz w:val="28"/>
        </w:rPr>
        <w:t>
      1912. Если глубина акватории, где установлено судно, такова, что исключается возможность погружения в воду самой низкой палубы, на которой могут находиться пассажиры, и тем более его опрокидывание, то требования настоящего раздела Правил допускается не применять.</w:t>
      </w:r>
    </w:p>
    <w:bookmarkEnd w:id="5920"/>
    <w:bookmarkStart w:name="z5928" w:id="5921"/>
    <w:p>
      <w:pPr>
        <w:spacing w:after="0"/>
        <w:ind w:left="0"/>
        <w:jc w:val="left"/>
      </w:pPr>
      <w:r>
        <w:rPr>
          <w:rFonts w:ascii="Times New Roman"/>
          <w:b/>
          <w:i w:val="false"/>
          <w:color w:val="000000"/>
        </w:rPr>
        <w:t xml:space="preserve"> Параграф 10. Грузовые суда длиной менее 100 м, не являющиеся</w:t>
      </w:r>
      <w:r>
        <w:br/>
      </w:r>
      <w:r>
        <w:rPr>
          <w:rFonts w:ascii="Times New Roman"/>
          <w:b/>
          <w:i w:val="false"/>
          <w:color w:val="000000"/>
        </w:rPr>
        <w:t>навалочными судами</w:t>
      </w:r>
    </w:p>
    <w:bookmarkEnd w:id="5921"/>
    <w:bookmarkStart w:name="z5929" w:id="5922"/>
    <w:p>
      <w:pPr>
        <w:spacing w:after="0"/>
        <w:ind w:left="0"/>
        <w:jc w:val="both"/>
      </w:pPr>
      <w:r>
        <w:rPr>
          <w:rFonts w:ascii="Times New Roman"/>
          <w:b w:val="false"/>
          <w:i w:val="false"/>
          <w:color w:val="000000"/>
          <w:sz w:val="28"/>
        </w:rPr>
        <w:t>
      1913. Грузовые суда с одним трюмом, не являющиеся навалочными (подпункт 21) пункт 1797 настоящих Правил), отвечают настоящим требованиям не позже даты промежуточного освидетельствования или освидетельствования для возобновления свидетельства судна, в зависимости от того, что наступит раньше, но, не позднее 31 декабря 2009 года.</w:t>
      </w:r>
    </w:p>
    <w:bookmarkEnd w:id="5922"/>
    <w:bookmarkStart w:name="z5930" w:id="5923"/>
    <w:p>
      <w:pPr>
        <w:spacing w:after="0"/>
        <w:ind w:left="0"/>
        <w:jc w:val="both"/>
      </w:pPr>
      <w:r>
        <w:rPr>
          <w:rFonts w:ascii="Times New Roman"/>
          <w:b w:val="false"/>
          <w:i w:val="false"/>
          <w:color w:val="000000"/>
          <w:sz w:val="28"/>
        </w:rPr>
        <w:t>
      1914. Суда длиной L</w:t>
      </w:r>
      <w:r>
        <w:rPr>
          <w:rFonts w:ascii="Times New Roman"/>
          <w:b w:val="false"/>
          <w:i w:val="false"/>
          <w:color w:val="000000"/>
          <w:vertAlign w:val="subscript"/>
        </w:rPr>
        <w:t>1</w:t>
      </w:r>
      <w:r>
        <w:rPr>
          <w:rFonts w:ascii="Times New Roman"/>
          <w:b w:val="false"/>
          <w:i w:val="false"/>
          <w:color w:val="000000"/>
          <w:sz w:val="28"/>
        </w:rPr>
        <w:t xml:space="preserve"> менее 80 м или, если они построены до 1998 года, - менее 100 м, которые имеют только один грузовой трюм, расположенный ниже палубы надводного борта, или грузовые трюмы ниже палубы надводного борта, не разделенные, по меньшей мере, одной переборкой, являющейся водонепроницаемой до этой палубы, оборудуют в таком помещении или помещениях датчиками уровня воды, подающими звуковой и визуальный сигналы аварийно-предупредительной сигнализации на ходовом мостике, если уровень воды над вторым дном в грузовом трюме достигнет высоты не менее 0,3 м, и второй сигнал - когда этот уровень достигнет высоты, не превышающей 15 % средней высоты грузового трюма.</w:t>
      </w:r>
    </w:p>
    <w:bookmarkEnd w:id="5923"/>
    <w:bookmarkStart w:name="z5931" w:id="5924"/>
    <w:p>
      <w:pPr>
        <w:spacing w:after="0"/>
        <w:ind w:left="0"/>
        <w:jc w:val="both"/>
      </w:pPr>
      <w:r>
        <w:rPr>
          <w:rFonts w:ascii="Times New Roman"/>
          <w:b w:val="false"/>
          <w:i w:val="false"/>
          <w:color w:val="000000"/>
          <w:sz w:val="28"/>
        </w:rPr>
        <w:t>
      1915. Датчики уровня устанавливаются в кормовой части грузового трюма или над его самой низкой частью, если второе дно не параллельно конструктивной ватерлинии. При невозможности установки датчиков в пределах одной шпации гофров или вертикальных ребер жесткости поперечной переборки у диаметральной плоскости, они устанавливаются по обоим бортам трюма. Если над вторым дном установлены шпангоуты или частично водонепроницаемые переборки, Регистр судоходства требует установки дополнительных датчиков. Вместо двух датчиков по высоте допускается использование одного датчика в случае, если его конструкция позволяет производить сигналы аварийно-предупредительной сигнализации при обоих уровнях затопления трюма.</w:t>
      </w:r>
    </w:p>
    <w:bookmarkEnd w:id="5924"/>
    <w:bookmarkStart w:name="z5932" w:id="5925"/>
    <w:p>
      <w:pPr>
        <w:spacing w:after="0"/>
        <w:ind w:left="0"/>
        <w:jc w:val="both"/>
      </w:pPr>
      <w:r>
        <w:rPr>
          <w:rFonts w:ascii="Times New Roman"/>
          <w:b w:val="false"/>
          <w:i w:val="false"/>
          <w:color w:val="000000"/>
          <w:sz w:val="28"/>
        </w:rPr>
        <w:t>
      1916. Датчики уровня воды допускается не устанавливать на судах, отвечающих требованиям пункта 1906 настоящих Правил, либо на судах, у которых имеются водонепроницаемые бортовые отсеки по каждому борту грузового трюма, простирающиеся вертикально, по меньшей мере, от второго дна до палубы надводного борта.</w:t>
      </w:r>
    </w:p>
    <w:bookmarkEnd w:id="5925"/>
    <w:bookmarkStart w:name="z5933" w:id="5926"/>
    <w:p>
      <w:pPr>
        <w:spacing w:after="0"/>
        <w:ind w:left="0"/>
        <w:jc w:val="both"/>
      </w:pPr>
      <w:r>
        <w:rPr>
          <w:rFonts w:ascii="Times New Roman"/>
          <w:b w:val="false"/>
          <w:i w:val="false"/>
          <w:color w:val="000000"/>
          <w:sz w:val="28"/>
        </w:rPr>
        <w:t>
      1917. Система аварийно-предупредительной сигнализации поступления воды отвечает требованиям главы 466 настоящих Правил.</w:t>
      </w:r>
    </w:p>
    <w:bookmarkEnd w:id="5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4" w:id="5927"/>
    <w:p>
      <w:pPr>
        <w:spacing w:after="0"/>
        <w:ind w:left="0"/>
        <w:jc w:val="both"/>
      </w:pPr>
      <w:r>
        <w:rPr>
          <w:rFonts w:ascii="Times New Roman"/>
          <w:b w:val="false"/>
          <w:i w:val="false"/>
          <w:color w:val="000000"/>
          <w:sz w:val="28"/>
        </w:rPr>
        <w:t>
      1918. На судне находится Наставление по использованию аварийно-предупредительной сигнализации появления воды в отсеках судна, разработанное в соответствии с требованиями пункта 1907 настоящих Правил.</w:t>
      </w:r>
    </w:p>
    <w:bookmarkEnd w:id="5927"/>
    <w:bookmarkStart w:name="z5935" w:id="5928"/>
    <w:p>
      <w:pPr>
        <w:spacing w:after="0"/>
        <w:ind w:left="0"/>
        <w:jc w:val="left"/>
      </w:pPr>
      <w:r>
        <w:rPr>
          <w:rFonts w:ascii="Times New Roman"/>
          <w:b/>
          <w:i w:val="false"/>
          <w:color w:val="000000"/>
        </w:rPr>
        <w:t xml:space="preserve"> Подраздел 4. Специальные требования к судам типа В с</w:t>
      </w:r>
      <w:r>
        <w:br/>
      </w:r>
      <w:r>
        <w:rPr>
          <w:rFonts w:ascii="Times New Roman"/>
          <w:b/>
          <w:i w:val="false"/>
          <w:color w:val="000000"/>
        </w:rPr>
        <w:t>уменьшенным надводным бортом и к судам типа А</w:t>
      </w:r>
      <w:r>
        <w:br/>
      </w:r>
      <w:r>
        <w:rPr>
          <w:rFonts w:ascii="Times New Roman"/>
          <w:b/>
          <w:i w:val="false"/>
          <w:color w:val="000000"/>
        </w:rPr>
        <w:t>Глава 127. Общие положения</w:t>
      </w:r>
    </w:p>
    <w:bookmarkEnd w:id="5928"/>
    <w:p>
      <w:pPr>
        <w:spacing w:after="0"/>
        <w:ind w:left="0"/>
        <w:jc w:val="both"/>
      </w:pPr>
      <w:r>
        <w:rPr>
          <w:rFonts w:ascii="Times New Roman"/>
          <w:b w:val="false"/>
          <w:i w:val="false"/>
          <w:color w:val="ff0000"/>
          <w:sz w:val="28"/>
        </w:rPr>
        <w:t xml:space="preserve">
      Сноска. Заголовок главы 134 -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37" w:id="5929"/>
    <w:p>
      <w:pPr>
        <w:spacing w:after="0"/>
        <w:ind w:left="0"/>
        <w:jc w:val="both"/>
      </w:pPr>
      <w:r>
        <w:rPr>
          <w:rFonts w:ascii="Times New Roman"/>
          <w:b w:val="false"/>
          <w:i w:val="false"/>
          <w:color w:val="000000"/>
          <w:sz w:val="28"/>
        </w:rPr>
        <w:t>
      1919. Требования настоящего подраздела распространяются на суда типа А и типа В, указанные в пункте 1779 настоящих Правил.</w:t>
      </w:r>
    </w:p>
    <w:bookmarkEnd w:id="5929"/>
    <w:bookmarkStart w:name="z5938" w:id="5930"/>
    <w:p>
      <w:pPr>
        <w:spacing w:after="0"/>
        <w:ind w:left="0"/>
        <w:jc w:val="both"/>
      </w:pPr>
      <w:r>
        <w:rPr>
          <w:rFonts w:ascii="Times New Roman"/>
          <w:b w:val="false"/>
          <w:i w:val="false"/>
          <w:color w:val="000000"/>
          <w:sz w:val="28"/>
        </w:rPr>
        <w:t>
      Требования настоящего подраздела выполняются независимо от соответствия этих судов требованиям остальных подразделов Правил.</w:t>
      </w:r>
    </w:p>
    <w:bookmarkEnd w:id="5930"/>
    <w:bookmarkStart w:name="z5939" w:id="5931"/>
    <w:p>
      <w:pPr>
        <w:spacing w:after="0"/>
        <w:ind w:left="0"/>
        <w:jc w:val="both"/>
      </w:pPr>
      <w:r>
        <w:rPr>
          <w:rFonts w:ascii="Times New Roman"/>
          <w:b w:val="false"/>
          <w:i w:val="false"/>
          <w:color w:val="000000"/>
          <w:sz w:val="28"/>
        </w:rPr>
        <w:t>
      1920. Требования считаются выполненными, если расчетами будет показано, что судно, находящееся в состоянии условной нагрузки, указанной в главе 125 настоящих Правил, после затопления числа отсеков, требуемого пунктами 1921, 1922 или 1923 настоящих Правил, вызванного повреждениями, указанными в главе 129 настоящих Правил, остается на плаву и в равновесном состоянии соответствует требованиям главы 130 настоящих Правил.</w:t>
      </w:r>
    </w:p>
    <w:bookmarkEnd w:id="5931"/>
    <w:bookmarkStart w:name="z5940" w:id="5932"/>
    <w:p>
      <w:pPr>
        <w:spacing w:after="0"/>
        <w:ind w:left="0"/>
        <w:jc w:val="both"/>
      </w:pPr>
      <w:r>
        <w:rPr>
          <w:rFonts w:ascii="Times New Roman"/>
          <w:b w:val="false"/>
          <w:i w:val="false"/>
          <w:color w:val="000000"/>
          <w:sz w:val="28"/>
        </w:rPr>
        <w:t>
      1921. Для судов типа А длиной L</w:t>
      </w:r>
      <w:r>
        <w:rPr>
          <w:rFonts w:ascii="Times New Roman"/>
          <w:b w:val="false"/>
          <w:i w:val="false"/>
          <w:color w:val="000000"/>
          <w:vertAlign w:val="subscript"/>
        </w:rPr>
        <w:t>1</w:t>
      </w:r>
      <w:r>
        <w:rPr>
          <w:rFonts w:ascii="Times New Roman"/>
          <w:b w:val="false"/>
          <w:i w:val="false"/>
          <w:color w:val="000000"/>
          <w:sz w:val="28"/>
        </w:rPr>
        <w:t xml:space="preserve"> более 150 м, если им назначен надводный борт менее, чем соответствующим судам типа В, требования настоящего подраздела выполняются при затоплении одного любого отсека.</w:t>
      </w:r>
    </w:p>
    <w:bookmarkEnd w:id="5932"/>
    <w:bookmarkStart w:name="z5941" w:id="5933"/>
    <w:p>
      <w:pPr>
        <w:spacing w:after="0"/>
        <w:ind w:left="0"/>
        <w:jc w:val="both"/>
      </w:pPr>
      <w:r>
        <w:rPr>
          <w:rFonts w:ascii="Times New Roman"/>
          <w:b w:val="false"/>
          <w:i w:val="false"/>
          <w:color w:val="000000"/>
          <w:sz w:val="28"/>
        </w:rPr>
        <w:t>
      1922. Суда типа В длиной L</w:t>
      </w:r>
      <w:r>
        <w:rPr>
          <w:rFonts w:ascii="Times New Roman"/>
          <w:b w:val="false"/>
          <w:i w:val="false"/>
          <w:color w:val="000000"/>
          <w:vertAlign w:val="subscript"/>
        </w:rPr>
        <w:t>1</w:t>
      </w:r>
      <w:r>
        <w:rPr>
          <w:rFonts w:ascii="Times New Roman"/>
          <w:b w:val="false"/>
          <w:i w:val="false"/>
          <w:color w:val="000000"/>
          <w:sz w:val="28"/>
        </w:rPr>
        <w:t xml:space="preserve"> более 100 м, у которых допущенное уменьшение базисного надводного борта не превышает 60 % разницы между его значениями по приложениям 15 и 16 Правил о грузовой марке, рассматриваются при затоплении:</w:t>
      </w:r>
    </w:p>
    <w:bookmarkEnd w:id="5933"/>
    <w:bookmarkStart w:name="z5942" w:id="5934"/>
    <w:p>
      <w:pPr>
        <w:spacing w:after="0"/>
        <w:ind w:left="0"/>
        <w:jc w:val="both"/>
      </w:pPr>
      <w:r>
        <w:rPr>
          <w:rFonts w:ascii="Times New Roman"/>
          <w:b w:val="false"/>
          <w:i w:val="false"/>
          <w:color w:val="000000"/>
          <w:sz w:val="28"/>
        </w:rPr>
        <w:t>
      1) одного любого отсека, исключая машинное отделение;</w:t>
      </w:r>
    </w:p>
    <w:bookmarkEnd w:id="5934"/>
    <w:bookmarkStart w:name="z5943" w:id="5935"/>
    <w:p>
      <w:pPr>
        <w:spacing w:after="0"/>
        <w:ind w:left="0"/>
        <w:jc w:val="both"/>
      </w:pPr>
      <w:r>
        <w:rPr>
          <w:rFonts w:ascii="Times New Roman"/>
          <w:b w:val="false"/>
          <w:i w:val="false"/>
          <w:color w:val="000000"/>
          <w:sz w:val="28"/>
        </w:rPr>
        <w:t>
      2) одного любого отсека, включая машинное отделение, при длине судна более 150 м.</w:t>
      </w:r>
    </w:p>
    <w:bookmarkEnd w:id="5935"/>
    <w:bookmarkStart w:name="z5944" w:id="5936"/>
    <w:p>
      <w:pPr>
        <w:spacing w:after="0"/>
        <w:ind w:left="0"/>
        <w:jc w:val="both"/>
      </w:pPr>
      <w:r>
        <w:rPr>
          <w:rFonts w:ascii="Times New Roman"/>
          <w:b w:val="false"/>
          <w:i w:val="false"/>
          <w:color w:val="000000"/>
          <w:sz w:val="28"/>
        </w:rPr>
        <w:t>
      1923. Суда типа В длиной L</w:t>
      </w:r>
      <w:r>
        <w:rPr>
          <w:rFonts w:ascii="Times New Roman"/>
          <w:b w:val="false"/>
          <w:i w:val="false"/>
          <w:color w:val="000000"/>
          <w:vertAlign w:val="subscript"/>
        </w:rPr>
        <w:t>1</w:t>
      </w:r>
      <w:r>
        <w:rPr>
          <w:rFonts w:ascii="Times New Roman"/>
          <w:b w:val="false"/>
          <w:i w:val="false"/>
          <w:color w:val="000000"/>
          <w:sz w:val="28"/>
        </w:rPr>
        <w:t xml:space="preserve"> более 100 м, у которых допущенное уменьшение базисного надводного борта превышает 60 % разницы между его значениями по приложениям 15 и 16 Правил о грузовой марке, рассматриваются при затоплении:</w:t>
      </w:r>
    </w:p>
    <w:bookmarkEnd w:id="5936"/>
    <w:bookmarkStart w:name="z5945" w:id="5937"/>
    <w:p>
      <w:pPr>
        <w:spacing w:after="0"/>
        <w:ind w:left="0"/>
        <w:jc w:val="both"/>
      </w:pPr>
      <w:r>
        <w:rPr>
          <w:rFonts w:ascii="Times New Roman"/>
          <w:b w:val="false"/>
          <w:i w:val="false"/>
          <w:color w:val="000000"/>
          <w:sz w:val="28"/>
        </w:rPr>
        <w:t>
      1) двух любых смежных отсеков, исключая машинное отделение;</w:t>
      </w:r>
    </w:p>
    <w:bookmarkEnd w:id="5937"/>
    <w:bookmarkStart w:name="z5946" w:id="5938"/>
    <w:p>
      <w:pPr>
        <w:spacing w:after="0"/>
        <w:ind w:left="0"/>
        <w:jc w:val="both"/>
      </w:pPr>
      <w:r>
        <w:rPr>
          <w:rFonts w:ascii="Times New Roman"/>
          <w:b w:val="false"/>
          <w:i w:val="false"/>
          <w:color w:val="000000"/>
          <w:sz w:val="28"/>
        </w:rPr>
        <w:t>
      2) двух любых смежных отсеков и машинного отделения, рассматриваемого отдельно, на судах длиной более 150 м.</w:t>
      </w:r>
    </w:p>
    <w:bookmarkEnd w:id="5938"/>
    <w:bookmarkStart w:name="z5947" w:id="5939"/>
    <w:p>
      <w:pPr>
        <w:spacing w:after="0"/>
        <w:ind w:left="0"/>
        <w:jc w:val="both"/>
      </w:pPr>
      <w:r>
        <w:rPr>
          <w:rFonts w:ascii="Times New Roman"/>
          <w:b w:val="false"/>
          <w:i w:val="false"/>
          <w:color w:val="000000"/>
          <w:sz w:val="28"/>
        </w:rPr>
        <w:t>
      1924. При выполнении расчетов, указанных в пункте 1928 настоящих Правил, коэффициенты проницаемости принимаются:</w:t>
      </w:r>
    </w:p>
    <w:bookmarkEnd w:id="5939"/>
    <w:bookmarkStart w:name="z5948" w:id="5940"/>
    <w:p>
      <w:pPr>
        <w:spacing w:after="0"/>
        <w:ind w:left="0"/>
        <w:jc w:val="both"/>
      </w:pPr>
      <w:r>
        <w:rPr>
          <w:rFonts w:ascii="Times New Roman"/>
          <w:b w:val="false"/>
          <w:i w:val="false"/>
          <w:color w:val="000000"/>
          <w:sz w:val="28"/>
        </w:rPr>
        <w:t>
      0,95 — для любых затапливаемых отсеков и помещений, кроме машинного отделения;</w:t>
      </w:r>
    </w:p>
    <w:bookmarkEnd w:id="5940"/>
    <w:bookmarkStart w:name="z5949" w:id="5941"/>
    <w:p>
      <w:pPr>
        <w:spacing w:after="0"/>
        <w:ind w:left="0"/>
        <w:jc w:val="both"/>
      </w:pPr>
      <w:r>
        <w:rPr>
          <w:rFonts w:ascii="Times New Roman"/>
          <w:b w:val="false"/>
          <w:i w:val="false"/>
          <w:color w:val="000000"/>
          <w:sz w:val="28"/>
        </w:rPr>
        <w:t>
      0,85 — для затапливаемого машинного отделения.</w:t>
      </w:r>
    </w:p>
    <w:bookmarkEnd w:id="5941"/>
    <w:bookmarkStart w:name="z5950" w:id="5942"/>
    <w:p>
      <w:pPr>
        <w:spacing w:after="0"/>
        <w:ind w:left="0"/>
        <w:jc w:val="both"/>
      </w:pPr>
      <w:r>
        <w:rPr>
          <w:rFonts w:ascii="Times New Roman"/>
          <w:b w:val="false"/>
          <w:i w:val="false"/>
          <w:color w:val="000000"/>
          <w:sz w:val="28"/>
        </w:rPr>
        <w:t>
      Коэффициент проницаемости 0,95 распространяется также на грузовые помещения и цистерны, которые при расчете возвышения центра тяжести судна согласно пункту 1928 настоящих Правил принимаются заполненными.</w:t>
      </w:r>
    </w:p>
    <w:bookmarkEnd w:id="5942"/>
    <w:bookmarkStart w:name="z5951" w:id="5943"/>
    <w:p>
      <w:pPr>
        <w:spacing w:after="0"/>
        <w:ind w:left="0"/>
        <w:jc w:val="both"/>
      </w:pPr>
      <w:r>
        <w:rPr>
          <w:rFonts w:ascii="Times New Roman"/>
          <w:b w:val="false"/>
          <w:i w:val="false"/>
          <w:color w:val="000000"/>
          <w:sz w:val="28"/>
        </w:rPr>
        <w:t>
      1925. В дополнение к требованиям пунктов 1922 и 1923 настоящих Правил суда, предназначенные для перевозки палубного груза, отвечают требованиям главы 121 настоящих Правил. Аппликата центра тяжести, используемая для демонстрации соответствия требованиям главы 130 настоящих Правил при детерминистическом анализе аварийной остойчивости, равна аппликате центра тяжести, используемой для расчетов аварийной остойчивости при вероятностной оценке, при самой высокой ватерлинии. Диаграмма предельных возвышений центра тяжести судна (предельных моментов или минимальных метацентрических высот) с палубным грузом, построенная с учетом обеспечения выполнения требований главы 121 настоящих Правил, включают в Информацию об остойчивости и в Информацию об аварийной посадке и остойчивости.</w:t>
      </w:r>
    </w:p>
    <w:bookmarkEnd w:id="5943"/>
    <w:bookmarkStart w:name="z5952" w:id="5944"/>
    <w:p>
      <w:pPr>
        <w:spacing w:after="0"/>
        <w:ind w:left="0"/>
        <w:jc w:val="left"/>
      </w:pPr>
      <w:r>
        <w:rPr>
          <w:rFonts w:ascii="Times New Roman"/>
          <w:b/>
          <w:i w:val="false"/>
          <w:color w:val="000000"/>
        </w:rPr>
        <w:t xml:space="preserve"> Глава 128. Посадка и нагрузка судна перед повреждением</w:t>
      </w:r>
    </w:p>
    <w:bookmarkEnd w:id="5944"/>
    <w:p>
      <w:pPr>
        <w:spacing w:after="0"/>
        <w:ind w:left="0"/>
        <w:jc w:val="both"/>
      </w:pPr>
      <w:r>
        <w:rPr>
          <w:rFonts w:ascii="Times New Roman"/>
          <w:b w:val="false"/>
          <w:i w:val="false"/>
          <w:color w:val="ff0000"/>
          <w:sz w:val="28"/>
        </w:rPr>
        <w:t xml:space="preserve">
      Сноска. Заголовок главы 128 -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53" w:id="5945"/>
    <w:p>
      <w:pPr>
        <w:spacing w:after="0"/>
        <w:ind w:left="0"/>
        <w:jc w:val="both"/>
      </w:pPr>
      <w:r>
        <w:rPr>
          <w:rFonts w:ascii="Times New Roman"/>
          <w:b w:val="false"/>
          <w:i w:val="false"/>
          <w:color w:val="000000"/>
          <w:sz w:val="28"/>
        </w:rPr>
        <w:t>
      1926. Все варианты затоплений анализируются при одном условном исходном состоянии судна, определяемом согласно пунктов 1927 – 1929 настоящих Правил.</w:t>
      </w:r>
    </w:p>
    <w:bookmarkEnd w:id="5945"/>
    <w:bookmarkStart w:name="z5954" w:id="5946"/>
    <w:p>
      <w:pPr>
        <w:spacing w:after="0"/>
        <w:ind w:left="0"/>
        <w:jc w:val="both"/>
      </w:pPr>
      <w:r>
        <w:rPr>
          <w:rFonts w:ascii="Times New Roman"/>
          <w:b w:val="false"/>
          <w:i w:val="false"/>
          <w:color w:val="000000"/>
          <w:sz w:val="28"/>
        </w:rPr>
        <w:t>
      1927. Судно считается загруженным однородным грузом, без дифферента и с осадкой по летнюю грузовую марку в соленой воде.</w:t>
      </w:r>
    </w:p>
    <w:bookmarkEnd w:id="5946"/>
    <w:bookmarkStart w:name="z5955" w:id="5947"/>
    <w:p>
      <w:pPr>
        <w:spacing w:after="0"/>
        <w:ind w:left="0"/>
        <w:jc w:val="both"/>
      </w:pPr>
      <w:r>
        <w:rPr>
          <w:rFonts w:ascii="Times New Roman"/>
          <w:b w:val="false"/>
          <w:i w:val="false"/>
          <w:color w:val="000000"/>
          <w:sz w:val="28"/>
        </w:rPr>
        <w:t>
      1928. Возвышение центра тяжести судна вычисляется для следующего условного состояния загрузки:</w:t>
      </w:r>
    </w:p>
    <w:bookmarkEnd w:id="5947"/>
    <w:bookmarkStart w:name="z5956" w:id="5948"/>
    <w:p>
      <w:pPr>
        <w:spacing w:after="0"/>
        <w:ind w:left="0"/>
        <w:jc w:val="both"/>
      </w:pPr>
      <w:r>
        <w:rPr>
          <w:rFonts w:ascii="Times New Roman"/>
          <w:b w:val="false"/>
          <w:i w:val="false"/>
          <w:color w:val="000000"/>
          <w:sz w:val="28"/>
        </w:rPr>
        <w:t>
      1) все грузовые помещения, кроме указанных в подпункте 2) пункта 1928 настоящих Правил, включая помещения с предполагаемым в эксплуатации частичным заполнением, считаются загруженными полностью, если груз сухой, и на 98 % — если жидкий;</w:t>
      </w:r>
    </w:p>
    <w:bookmarkEnd w:id="5948"/>
    <w:bookmarkStart w:name="z5957" w:id="5949"/>
    <w:p>
      <w:pPr>
        <w:spacing w:after="0"/>
        <w:ind w:left="0"/>
        <w:jc w:val="both"/>
      </w:pPr>
      <w:r>
        <w:rPr>
          <w:rFonts w:ascii="Times New Roman"/>
          <w:b w:val="false"/>
          <w:i w:val="false"/>
          <w:color w:val="000000"/>
          <w:sz w:val="28"/>
        </w:rPr>
        <w:t>
      2) если судно при загрузке по летнюю грузовую марку эксплуатируется, имея некоторые помещения не загруженными или не заполненными жидким грузом, такие помещения рассматриваются как пустые при условии, что высота центра тяжести судна, вычисленная с учетом пустых отсеков, не меньше высоты центра тяжести судна, вычисленной в предположении заполнения грузом всех помещений;</w:t>
      </w:r>
    </w:p>
    <w:bookmarkEnd w:id="5949"/>
    <w:bookmarkStart w:name="z5958" w:id="5950"/>
    <w:p>
      <w:pPr>
        <w:spacing w:after="0"/>
        <w:ind w:left="0"/>
        <w:jc w:val="both"/>
      </w:pPr>
      <w:r>
        <w:rPr>
          <w:rFonts w:ascii="Times New Roman"/>
          <w:b w:val="false"/>
          <w:i w:val="false"/>
          <w:color w:val="000000"/>
          <w:sz w:val="28"/>
        </w:rPr>
        <w:t>
      3) количество каждого вида судовых запасов и расходуемых жидкостей принимается равным 50 % от полного. Цистерны, за исключением указанных в подпункте 2) пункта 1929 настоящих Правил, считаются либо пустыми, либо полностью заполненными и распределение запасов по этим цистернам производится так, чтобы получить наибольшее возвышение центра тяжести судна. Центры тяжести содержимого цистерн, указанных в подпункте 2) пункта 1929 настоящих Правил, принимаются в центре тяжести их объема;</w:t>
      </w:r>
    </w:p>
    <w:bookmarkEnd w:id="5950"/>
    <w:bookmarkStart w:name="z5959" w:id="5951"/>
    <w:p>
      <w:pPr>
        <w:spacing w:after="0"/>
        <w:ind w:left="0"/>
        <w:jc w:val="both"/>
      </w:pPr>
      <w:r>
        <w:rPr>
          <w:rFonts w:ascii="Times New Roman"/>
          <w:b w:val="false"/>
          <w:i w:val="false"/>
          <w:color w:val="000000"/>
          <w:sz w:val="28"/>
        </w:rPr>
        <w:t>
      4) нагрузка судна в отношении расходуемых жидкостей и балласта определяется при следующих значениях их плотности, т/м</w:t>
      </w:r>
      <w:r>
        <w:rPr>
          <w:rFonts w:ascii="Times New Roman"/>
          <w:b w:val="false"/>
          <w:i w:val="false"/>
          <w:color w:val="000000"/>
          <w:vertAlign w:val="superscript"/>
        </w:rPr>
        <w:t>3</w:t>
      </w:r>
      <w:r>
        <w:rPr>
          <w:rFonts w:ascii="Times New Roman"/>
          <w:b w:val="false"/>
          <w:i w:val="false"/>
          <w:color w:val="000000"/>
          <w:sz w:val="28"/>
        </w:rPr>
        <w:t>:</w:t>
      </w:r>
    </w:p>
    <w:bookmarkEnd w:id="5951"/>
    <w:bookmarkStart w:name="z5960" w:id="5952"/>
    <w:p>
      <w:pPr>
        <w:spacing w:after="0"/>
        <w:ind w:left="0"/>
        <w:jc w:val="both"/>
      </w:pPr>
      <w:r>
        <w:rPr>
          <w:rFonts w:ascii="Times New Roman"/>
          <w:b w:val="false"/>
          <w:i w:val="false"/>
          <w:color w:val="000000"/>
          <w:sz w:val="28"/>
        </w:rPr>
        <w:t>
      забортная вода — 1,025,</w:t>
      </w:r>
    </w:p>
    <w:bookmarkEnd w:id="5952"/>
    <w:bookmarkStart w:name="z5961" w:id="5953"/>
    <w:p>
      <w:pPr>
        <w:spacing w:after="0"/>
        <w:ind w:left="0"/>
        <w:jc w:val="both"/>
      </w:pPr>
      <w:r>
        <w:rPr>
          <w:rFonts w:ascii="Times New Roman"/>
          <w:b w:val="false"/>
          <w:i w:val="false"/>
          <w:color w:val="000000"/>
          <w:sz w:val="28"/>
        </w:rPr>
        <w:t>
      пресная вода — 1,000,</w:t>
      </w:r>
    </w:p>
    <w:bookmarkEnd w:id="5953"/>
    <w:bookmarkStart w:name="z5962" w:id="5954"/>
    <w:p>
      <w:pPr>
        <w:spacing w:after="0"/>
        <w:ind w:left="0"/>
        <w:jc w:val="both"/>
      </w:pPr>
      <w:r>
        <w:rPr>
          <w:rFonts w:ascii="Times New Roman"/>
          <w:b w:val="false"/>
          <w:i w:val="false"/>
          <w:color w:val="000000"/>
          <w:sz w:val="28"/>
        </w:rPr>
        <w:t>
      мазут — 0,950,</w:t>
      </w:r>
    </w:p>
    <w:bookmarkEnd w:id="5954"/>
    <w:bookmarkStart w:name="z5963" w:id="5955"/>
    <w:p>
      <w:pPr>
        <w:spacing w:after="0"/>
        <w:ind w:left="0"/>
        <w:jc w:val="both"/>
      </w:pPr>
      <w:r>
        <w:rPr>
          <w:rFonts w:ascii="Times New Roman"/>
          <w:b w:val="false"/>
          <w:i w:val="false"/>
          <w:color w:val="000000"/>
          <w:sz w:val="28"/>
        </w:rPr>
        <w:t>
      дизельное топливо — 0,900,</w:t>
      </w:r>
    </w:p>
    <w:bookmarkEnd w:id="5955"/>
    <w:bookmarkStart w:name="z5964" w:id="5956"/>
    <w:p>
      <w:pPr>
        <w:spacing w:after="0"/>
        <w:ind w:left="0"/>
        <w:jc w:val="both"/>
      </w:pPr>
      <w:r>
        <w:rPr>
          <w:rFonts w:ascii="Times New Roman"/>
          <w:b w:val="false"/>
          <w:i w:val="false"/>
          <w:color w:val="000000"/>
          <w:sz w:val="28"/>
        </w:rPr>
        <w:t>
      смазочное масло — 0,900.</w:t>
      </w:r>
    </w:p>
    <w:bookmarkEnd w:id="5956"/>
    <w:bookmarkStart w:name="z5965" w:id="5957"/>
    <w:p>
      <w:pPr>
        <w:spacing w:after="0"/>
        <w:ind w:left="0"/>
        <w:jc w:val="both"/>
      </w:pPr>
      <w:r>
        <w:rPr>
          <w:rFonts w:ascii="Times New Roman"/>
          <w:b w:val="false"/>
          <w:i w:val="false"/>
          <w:color w:val="000000"/>
          <w:sz w:val="28"/>
        </w:rPr>
        <w:t>
      1929. При определении возвышения центра тяжести судна учитываются поправки на влияние свободных поверхностей жидкостей:</w:t>
      </w:r>
    </w:p>
    <w:bookmarkEnd w:id="5957"/>
    <w:bookmarkStart w:name="z5966" w:id="5958"/>
    <w:p>
      <w:pPr>
        <w:spacing w:after="0"/>
        <w:ind w:left="0"/>
        <w:jc w:val="both"/>
      </w:pPr>
      <w:r>
        <w:rPr>
          <w:rFonts w:ascii="Times New Roman"/>
          <w:b w:val="false"/>
          <w:i w:val="false"/>
          <w:color w:val="000000"/>
          <w:sz w:val="28"/>
        </w:rPr>
        <w:t>
      1) для жидкого груза — исходя из загрузки, указанной в подпункте 1) пункта 1928 настоящих Правил;</w:t>
      </w:r>
    </w:p>
    <w:bookmarkEnd w:id="5958"/>
    <w:bookmarkStart w:name="z5967" w:id="5959"/>
    <w:p>
      <w:pPr>
        <w:spacing w:after="0"/>
        <w:ind w:left="0"/>
        <w:jc w:val="both"/>
      </w:pPr>
      <w:r>
        <w:rPr>
          <w:rFonts w:ascii="Times New Roman"/>
          <w:b w:val="false"/>
          <w:i w:val="false"/>
          <w:color w:val="000000"/>
          <w:sz w:val="28"/>
        </w:rPr>
        <w:t>
      2) для расходуемых жидкостей — исходя из того, что по каждому виду жидкости по крайней мере одна цистерна в диаметральной плоскости или пара бортовых имеют свободные поверхности. В расчет следует принимать цистерны или комбинацию цистерн, в которых влияние свободных поверхностей наибольшее. Учет поправок на влияние свободных поверхностей жидкостей рекомендуется производить согласно параграфу 5 главы 91 настоящих Правил.</w:t>
      </w:r>
    </w:p>
    <w:bookmarkEnd w:id="5959"/>
    <w:bookmarkStart w:name="z5968" w:id="5960"/>
    <w:p>
      <w:pPr>
        <w:spacing w:after="0"/>
        <w:ind w:left="0"/>
        <w:jc w:val="left"/>
      </w:pPr>
      <w:r>
        <w:rPr>
          <w:rFonts w:ascii="Times New Roman"/>
          <w:b/>
          <w:i w:val="false"/>
          <w:color w:val="000000"/>
        </w:rPr>
        <w:t xml:space="preserve"> Глава 129. Размеры повреждений</w:t>
      </w:r>
    </w:p>
    <w:bookmarkEnd w:id="5960"/>
    <w:p>
      <w:pPr>
        <w:spacing w:after="0"/>
        <w:ind w:left="0"/>
        <w:jc w:val="both"/>
      </w:pPr>
      <w:r>
        <w:rPr>
          <w:rFonts w:ascii="Times New Roman"/>
          <w:b w:val="false"/>
          <w:i w:val="false"/>
          <w:color w:val="ff0000"/>
          <w:sz w:val="28"/>
        </w:rPr>
        <w:t xml:space="preserve">
      Сноска. Заголовок главы 129 -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69" w:id="5961"/>
    <w:p>
      <w:pPr>
        <w:spacing w:after="0"/>
        <w:ind w:left="0"/>
        <w:jc w:val="both"/>
      </w:pPr>
      <w:r>
        <w:rPr>
          <w:rFonts w:ascii="Times New Roman"/>
          <w:b w:val="false"/>
          <w:i w:val="false"/>
          <w:color w:val="000000"/>
          <w:sz w:val="28"/>
        </w:rPr>
        <w:t>
      1930. Протяженность повреждений судна по высоте принимается от основной линии неограниченно вверх.</w:t>
      </w:r>
    </w:p>
    <w:bookmarkEnd w:id="5961"/>
    <w:bookmarkStart w:name="z5970" w:id="5962"/>
    <w:p>
      <w:pPr>
        <w:spacing w:after="0"/>
        <w:ind w:left="0"/>
        <w:jc w:val="both"/>
      </w:pPr>
      <w:r>
        <w:rPr>
          <w:rFonts w:ascii="Times New Roman"/>
          <w:b w:val="false"/>
          <w:i w:val="false"/>
          <w:color w:val="000000"/>
          <w:sz w:val="28"/>
        </w:rPr>
        <w:t xml:space="preserve">
      1931. Глубина повреждения, измеренная от внутренней кромки наружной обшивки под прямым углом к диаметральной плоскости на уровне летней грузовой ватерлинии, принимается равной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5</w:t>
      </w:r>
      <w:r>
        <w:rPr>
          <w:rFonts w:ascii="Times New Roman"/>
          <w:b w:val="false"/>
          <w:i w:val="false"/>
          <w:color w:val="000000"/>
          <w:sz w:val="28"/>
        </w:rPr>
        <w:t xml:space="preserve"> ширины судна или 11,5 м, в зависимости от того, что меньше.</w:t>
      </w:r>
    </w:p>
    <w:bookmarkEnd w:id="5962"/>
    <w:bookmarkStart w:name="z5971" w:id="5963"/>
    <w:p>
      <w:pPr>
        <w:spacing w:after="0"/>
        <w:ind w:left="0"/>
        <w:jc w:val="both"/>
      </w:pPr>
      <w:r>
        <w:rPr>
          <w:rFonts w:ascii="Times New Roman"/>
          <w:b w:val="false"/>
          <w:i w:val="false"/>
          <w:color w:val="000000"/>
          <w:sz w:val="28"/>
        </w:rPr>
        <w:t>
      1932. Если повреждение меньших размеров, чем указано в пунктах 1930 и 1931 настоящих Правил, приводит к более тяжелым последствиям, такое повреждение следует принимать в расчет.</w:t>
      </w:r>
    </w:p>
    <w:bookmarkEnd w:id="5963"/>
    <w:bookmarkStart w:name="z5972" w:id="5964"/>
    <w:p>
      <w:pPr>
        <w:spacing w:after="0"/>
        <w:ind w:left="0"/>
        <w:jc w:val="both"/>
      </w:pPr>
      <w:r>
        <w:rPr>
          <w:rFonts w:ascii="Times New Roman"/>
          <w:b w:val="false"/>
          <w:i w:val="false"/>
          <w:color w:val="000000"/>
          <w:sz w:val="28"/>
        </w:rPr>
        <w:t>
      1933. Поперечные переборки считаются эффективными, если они или поперечные плоскости, проходящие через ближайшие части переборок, имеющих уступы, расположены на расстоянии по крайней мере 1/3L</w:t>
      </w:r>
      <w:r>
        <w:rPr>
          <w:rFonts w:ascii="Times New Roman"/>
          <w:b w:val="false"/>
          <w:i w:val="false"/>
          <w:color w:val="000000"/>
          <w:vertAlign w:val="superscript"/>
        </w:rPr>
        <w:t>2/3</w:t>
      </w:r>
      <w:r>
        <w:rPr>
          <w:rFonts w:ascii="Times New Roman"/>
          <w:b w:val="false"/>
          <w:i w:val="false"/>
          <w:color w:val="000000"/>
          <w:vertAlign w:val="subscript"/>
        </w:rPr>
        <w:t>1</w:t>
      </w:r>
      <w:r>
        <w:rPr>
          <w:rFonts w:ascii="Times New Roman"/>
          <w:b w:val="false"/>
          <w:i w:val="false"/>
          <w:color w:val="000000"/>
          <w:sz w:val="28"/>
        </w:rPr>
        <w:t xml:space="preserve"> или 14,5 м, в зависимости от того, что меньше. Если указанное расстояние меньше, одну или более из таких переборок следует считать несуществующими.</w:t>
      </w:r>
    </w:p>
    <w:bookmarkEnd w:id="5964"/>
    <w:bookmarkStart w:name="z5973" w:id="5965"/>
    <w:p>
      <w:pPr>
        <w:spacing w:after="0"/>
        <w:ind w:left="0"/>
        <w:jc w:val="both"/>
      </w:pPr>
      <w:r>
        <w:rPr>
          <w:rFonts w:ascii="Times New Roman"/>
          <w:b w:val="false"/>
          <w:i w:val="false"/>
          <w:color w:val="000000"/>
          <w:sz w:val="28"/>
        </w:rPr>
        <w:t>
      1934. При одноотсечном затоплении, с учетом указанного в пункте 1933 настоящих Правил, считается, что главные поперечные переборки не повреждаются, если они не имеют уступов длиной более 3 м.</w:t>
      </w:r>
    </w:p>
    <w:bookmarkEnd w:id="5965"/>
    <w:bookmarkStart w:name="z5974" w:id="5966"/>
    <w:p>
      <w:pPr>
        <w:spacing w:after="0"/>
        <w:ind w:left="0"/>
        <w:jc w:val="both"/>
      </w:pPr>
      <w:r>
        <w:rPr>
          <w:rFonts w:ascii="Times New Roman"/>
          <w:b w:val="false"/>
          <w:i w:val="false"/>
          <w:color w:val="000000"/>
          <w:sz w:val="28"/>
        </w:rPr>
        <w:t>
      Когда указанные переборки имеют уступы протяженностью более 3 м, примыкающие к этим переборкам два отсека следует считать затопляемыми совместно.</w:t>
      </w:r>
    </w:p>
    <w:bookmarkEnd w:id="5966"/>
    <w:bookmarkStart w:name="z5975" w:id="5967"/>
    <w:p>
      <w:pPr>
        <w:spacing w:after="0"/>
        <w:ind w:left="0"/>
        <w:jc w:val="both"/>
      </w:pPr>
      <w:r>
        <w:rPr>
          <w:rFonts w:ascii="Times New Roman"/>
          <w:b w:val="false"/>
          <w:i w:val="false"/>
          <w:color w:val="000000"/>
          <w:sz w:val="28"/>
        </w:rPr>
        <w:t>
      Протяженность повреждения ограничивается поперечными переборками бортовой цистерны, если ее продольная переборка находится вне пределов глубины повреждения.</w:t>
      </w:r>
    </w:p>
    <w:bookmarkEnd w:id="5967"/>
    <w:bookmarkStart w:name="z5976" w:id="5968"/>
    <w:p>
      <w:pPr>
        <w:spacing w:after="0"/>
        <w:ind w:left="0"/>
        <w:jc w:val="both"/>
      </w:pPr>
      <w:r>
        <w:rPr>
          <w:rFonts w:ascii="Times New Roman"/>
          <w:b w:val="false"/>
          <w:i w:val="false"/>
          <w:color w:val="000000"/>
          <w:sz w:val="28"/>
        </w:rPr>
        <w:t>
      Когда бортовая цистерна или цистерна двойного дна разделены поперечной переборкой, расположенной на расстоянии более 3 м от главной поперечной переборки, обе цистерны, разделенные такой переборкой, считаются затопляемыми. Следующие отсеки следует считать затопляемыми:</w:t>
      </w:r>
    </w:p>
    <w:bookmarkEnd w:id="5968"/>
    <w:bookmarkStart w:name="z5977" w:id="5969"/>
    <w:p>
      <w:pPr>
        <w:spacing w:after="0"/>
        <w:ind w:left="0"/>
        <w:jc w:val="both"/>
      </w:pPr>
      <w:r>
        <w:rPr>
          <w:rFonts w:ascii="Times New Roman"/>
          <w:b w:val="false"/>
          <w:i w:val="false"/>
          <w:color w:val="000000"/>
          <w:sz w:val="28"/>
        </w:rPr>
        <w:t>
      A + D, В + Е, C + E + F (приложение 229 настоящих Правил);</w:t>
      </w:r>
    </w:p>
    <w:bookmarkEnd w:id="5969"/>
    <w:bookmarkStart w:name="z5978" w:id="5970"/>
    <w:p>
      <w:pPr>
        <w:spacing w:after="0"/>
        <w:ind w:left="0"/>
        <w:jc w:val="both"/>
      </w:pPr>
      <w:r>
        <w:rPr>
          <w:rFonts w:ascii="Times New Roman"/>
          <w:b w:val="false"/>
          <w:i w:val="false"/>
          <w:color w:val="000000"/>
          <w:sz w:val="28"/>
        </w:rPr>
        <w:t>
      A + D + E, В + Е (приложение 230 настоящих Правил);</w:t>
      </w:r>
    </w:p>
    <w:bookmarkEnd w:id="5970"/>
    <w:bookmarkStart w:name="z5979" w:id="5971"/>
    <w:p>
      <w:pPr>
        <w:spacing w:after="0"/>
        <w:ind w:left="0"/>
        <w:jc w:val="both"/>
      </w:pPr>
      <w:r>
        <w:rPr>
          <w:rFonts w:ascii="Times New Roman"/>
          <w:b w:val="false"/>
          <w:i w:val="false"/>
          <w:color w:val="000000"/>
          <w:sz w:val="28"/>
        </w:rPr>
        <w:t>
      A + D, B + D + E (приложение 231 настоящих Правил);</w:t>
      </w:r>
    </w:p>
    <w:bookmarkEnd w:id="5971"/>
    <w:bookmarkStart w:name="z5980" w:id="5972"/>
    <w:p>
      <w:pPr>
        <w:spacing w:after="0"/>
        <w:ind w:left="0"/>
        <w:jc w:val="both"/>
      </w:pPr>
      <w:r>
        <w:rPr>
          <w:rFonts w:ascii="Times New Roman"/>
          <w:b w:val="false"/>
          <w:i w:val="false"/>
          <w:color w:val="000000"/>
          <w:sz w:val="28"/>
        </w:rPr>
        <w:t>
      A + B + D, B + D + E (приложение 232 настоящих Правил).</w:t>
      </w:r>
    </w:p>
    <w:bookmarkEnd w:id="5972"/>
    <w:bookmarkStart w:name="z5981" w:id="5973"/>
    <w:p>
      <w:pPr>
        <w:spacing w:after="0"/>
        <w:ind w:left="0"/>
        <w:jc w:val="both"/>
      </w:pPr>
      <w:r>
        <w:rPr>
          <w:rFonts w:ascii="Times New Roman"/>
          <w:b w:val="false"/>
          <w:i w:val="false"/>
          <w:color w:val="000000"/>
          <w:sz w:val="28"/>
        </w:rPr>
        <w:t>
      Когда бак располагается над носовым грузовым трюмом, при условии, что переборка бака отстоит в корму от носовой переборки трюма не более чем 3 м и обеспечивается водонепроницаемость палубной конструкции, образующей уступ, то переборка рассматривается как непрерывная и не повреждается.</w:t>
      </w:r>
    </w:p>
    <w:bookmarkEnd w:id="5973"/>
    <w:bookmarkStart w:name="z5982" w:id="5974"/>
    <w:p>
      <w:pPr>
        <w:spacing w:after="0"/>
        <w:ind w:left="0"/>
        <w:jc w:val="both"/>
      </w:pPr>
      <w:r>
        <w:rPr>
          <w:rFonts w:ascii="Times New Roman"/>
          <w:b w:val="false"/>
          <w:i w:val="false"/>
          <w:color w:val="000000"/>
          <w:sz w:val="28"/>
        </w:rPr>
        <w:t>
      1935. Если бортовая цистерна имеет отверстия со стороны трюма, она считается сообщающейся с трюмом независимо от наличия у этих отверстий устройств для закрывания. Аналогичное требование предъявляется к судам, перевозящим жидкие грузы, за исключением переборок между цистернами, считающихся водонепроницаемыми при наличии в них отверстий, закрываемых клинкетными задвижками, если последние имеют управление, расположенное выше палубы переборок.</w:t>
      </w:r>
    </w:p>
    <w:bookmarkEnd w:id="5974"/>
    <w:bookmarkStart w:name="z5983" w:id="5975"/>
    <w:p>
      <w:pPr>
        <w:spacing w:after="0"/>
        <w:ind w:left="0"/>
        <w:jc w:val="both"/>
      </w:pPr>
      <w:r>
        <w:rPr>
          <w:rFonts w:ascii="Times New Roman"/>
          <w:b w:val="false"/>
          <w:i w:val="false"/>
          <w:color w:val="000000"/>
          <w:sz w:val="28"/>
        </w:rPr>
        <w:t>
      1936. Если в пределах принятых размеров повреждения расположены трубы, шахты или туннели, предусматривают такие конструктивные меры, чтобы затопление не могло распространяться через них за пределы, принятые в расчетах аварийного состояния.</w:t>
      </w:r>
    </w:p>
    <w:bookmarkEnd w:id="5975"/>
    <w:bookmarkStart w:name="z5984" w:id="5976"/>
    <w:p>
      <w:pPr>
        <w:spacing w:after="0"/>
        <w:ind w:left="0"/>
        <w:jc w:val="both"/>
      </w:pPr>
      <w:r>
        <w:rPr>
          <w:rFonts w:ascii="Times New Roman"/>
          <w:b w:val="false"/>
          <w:i w:val="false"/>
          <w:color w:val="000000"/>
          <w:sz w:val="28"/>
        </w:rPr>
        <w:t xml:space="preserve">
      1937. В случаях двухотсечного затопления следует исходить из положений, указанных в пунктах 1930 – 1933, 1935 и 1936 настоящих Правил </w:t>
      </w:r>
    </w:p>
    <w:bookmarkEnd w:id="5976"/>
    <w:bookmarkStart w:name="z5985" w:id="5977"/>
    <w:p>
      <w:pPr>
        <w:spacing w:after="0"/>
        <w:ind w:left="0"/>
        <w:jc w:val="left"/>
      </w:pPr>
      <w:r>
        <w:rPr>
          <w:rFonts w:ascii="Times New Roman"/>
          <w:b/>
          <w:i w:val="false"/>
          <w:color w:val="000000"/>
        </w:rPr>
        <w:t xml:space="preserve"> Глава 130. Посадка и остойчивость поврежденного судна</w:t>
      </w:r>
    </w:p>
    <w:bookmarkEnd w:id="5977"/>
    <w:p>
      <w:pPr>
        <w:spacing w:after="0"/>
        <w:ind w:left="0"/>
        <w:jc w:val="both"/>
      </w:pPr>
      <w:r>
        <w:rPr>
          <w:rFonts w:ascii="Times New Roman"/>
          <w:b w:val="false"/>
          <w:i w:val="false"/>
          <w:color w:val="ff0000"/>
          <w:sz w:val="28"/>
        </w:rPr>
        <w:t xml:space="preserve">
      Сноска. Заголовок главы 130 -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86" w:id="5978"/>
    <w:p>
      <w:pPr>
        <w:spacing w:after="0"/>
        <w:ind w:left="0"/>
        <w:jc w:val="both"/>
      </w:pPr>
      <w:r>
        <w:rPr>
          <w:rFonts w:ascii="Times New Roman"/>
          <w:b w:val="false"/>
          <w:i w:val="false"/>
          <w:color w:val="000000"/>
          <w:sz w:val="28"/>
        </w:rPr>
        <w:t>
      1938. Метацентрическая высота поврежденного судна до принятия мер по ее увеличению имеет положительное значение.</w:t>
      </w:r>
    </w:p>
    <w:bookmarkEnd w:id="5978"/>
    <w:bookmarkStart w:name="z5987" w:id="5979"/>
    <w:p>
      <w:pPr>
        <w:spacing w:after="0"/>
        <w:ind w:left="0"/>
        <w:jc w:val="both"/>
      </w:pPr>
      <w:r>
        <w:rPr>
          <w:rFonts w:ascii="Times New Roman"/>
          <w:b w:val="false"/>
          <w:i w:val="false"/>
          <w:color w:val="000000"/>
          <w:sz w:val="28"/>
        </w:rPr>
        <w:t>
      1939. Угол крена вследствие несимметричного затопления до начала спрямления судна не превышает 15</w:t>
      </w:r>
      <w:r>
        <w:rPr>
          <w:rFonts w:ascii="Times New Roman"/>
          <w:b w:val="false"/>
          <w:i w:val="false"/>
          <w:color w:val="000000"/>
          <w:vertAlign w:val="superscript"/>
        </w:rPr>
        <w:t>o</w:t>
      </w:r>
      <w:r>
        <w:rPr>
          <w:rFonts w:ascii="Times New Roman"/>
          <w:b w:val="false"/>
          <w:i w:val="false"/>
          <w:color w:val="000000"/>
          <w:sz w:val="28"/>
        </w:rPr>
        <w:t>. Если при затоплении никакая часть палубы переборок не входит в воду, допускают увеличение крена до 17</w:t>
      </w:r>
      <w:r>
        <w:rPr>
          <w:rFonts w:ascii="Times New Roman"/>
          <w:b w:val="false"/>
          <w:i w:val="false"/>
          <w:color w:val="000000"/>
          <w:vertAlign w:val="superscript"/>
        </w:rPr>
        <w:t>o</w:t>
      </w:r>
      <w:r>
        <w:rPr>
          <w:rFonts w:ascii="Times New Roman"/>
          <w:b w:val="false"/>
          <w:i w:val="false"/>
          <w:color w:val="000000"/>
          <w:sz w:val="28"/>
        </w:rPr>
        <w:t>.</w:t>
      </w:r>
    </w:p>
    <w:bookmarkEnd w:id="5979"/>
    <w:bookmarkStart w:name="z5988" w:id="5980"/>
    <w:p>
      <w:pPr>
        <w:spacing w:after="0"/>
        <w:ind w:left="0"/>
        <w:jc w:val="both"/>
      </w:pPr>
      <w:r>
        <w:rPr>
          <w:rFonts w:ascii="Times New Roman"/>
          <w:b w:val="false"/>
          <w:i w:val="false"/>
          <w:color w:val="000000"/>
          <w:sz w:val="28"/>
        </w:rPr>
        <w:t>
      1940. Конечная аварийная ватерлиния с учетом крена и дифферента до начала спрямления судна не проходит выше нижней кромки отверстий, указанных в пункте 1859 настоящих Правил, через которые происходит дальнейшее затопление.</w:t>
      </w:r>
    </w:p>
    <w:bookmarkEnd w:id="5980"/>
    <w:bookmarkStart w:name="z5989" w:id="5981"/>
    <w:p>
      <w:pPr>
        <w:spacing w:after="0"/>
        <w:ind w:left="0"/>
        <w:jc w:val="both"/>
      </w:pPr>
      <w:r>
        <w:rPr>
          <w:rFonts w:ascii="Times New Roman"/>
          <w:b w:val="false"/>
          <w:i w:val="false"/>
          <w:color w:val="000000"/>
          <w:sz w:val="28"/>
        </w:rPr>
        <w:t>
      1941. Если какая-либо часть палубы переборок вне пределов затапливаемых отсеков входит в воду или если запас аварийной остойчивости представляется сомнительным, необходимо провести исследование аварийной остойчивости на больших углах крена. При этом показывают, что значение максимального плеча диаграммы статической остойчивости поврежденного судна составляет не менее 0,1 м в пределах нормируемой протяженности (20</w:t>
      </w:r>
      <w:r>
        <w:rPr>
          <w:rFonts w:ascii="Times New Roman"/>
          <w:b w:val="false"/>
          <w:i w:val="false"/>
          <w:color w:val="000000"/>
          <w:vertAlign w:val="superscript"/>
        </w:rPr>
        <w:t>o</w:t>
      </w:r>
      <w:r>
        <w:rPr>
          <w:rFonts w:ascii="Times New Roman"/>
          <w:b w:val="false"/>
          <w:i w:val="false"/>
          <w:color w:val="000000"/>
          <w:sz w:val="28"/>
        </w:rPr>
        <w:t>), протяженность части диаграммы с положительными плечами составляет не менее 20</w:t>
      </w:r>
      <w:r>
        <w:rPr>
          <w:rFonts w:ascii="Times New Roman"/>
          <w:b w:val="false"/>
          <w:i w:val="false"/>
          <w:color w:val="000000"/>
          <w:vertAlign w:val="superscript"/>
        </w:rPr>
        <w:t>o</w:t>
      </w:r>
      <w:r>
        <w:rPr>
          <w:rFonts w:ascii="Times New Roman"/>
          <w:b w:val="false"/>
          <w:i w:val="false"/>
          <w:color w:val="000000"/>
          <w:sz w:val="28"/>
        </w:rPr>
        <w:t>, а площадь положительного участка диаграммы в пределах этой протяженности составляет не менее 0,0175 м-рад.</w:t>
      </w:r>
    </w:p>
    <w:bookmarkEnd w:id="5981"/>
    <w:bookmarkStart w:name="z5990" w:id="5982"/>
    <w:p>
      <w:pPr>
        <w:spacing w:after="0"/>
        <w:ind w:left="0"/>
        <w:jc w:val="left"/>
      </w:pPr>
      <w:r>
        <w:rPr>
          <w:rFonts w:ascii="Times New Roman"/>
          <w:b/>
          <w:i w:val="false"/>
          <w:color w:val="000000"/>
        </w:rPr>
        <w:t xml:space="preserve"> Подраздел 5. Требования к судам, находящимся в эксплуатации</w:t>
      </w:r>
      <w:r>
        <w:br/>
      </w:r>
      <w:r>
        <w:rPr>
          <w:rFonts w:ascii="Times New Roman"/>
          <w:b/>
          <w:i w:val="false"/>
          <w:color w:val="000000"/>
        </w:rPr>
        <w:t>Глава 131. Требования к пассажирским и накатным судам (пассажирским судам РО-РО)</w:t>
      </w:r>
    </w:p>
    <w:bookmarkEnd w:id="5982"/>
    <w:p>
      <w:pPr>
        <w:spacing w:after="0"/>
        <w:ind w:left="0"/>
        <w:jc w:val="both"/>
      </w:pPr>
      <w:r>
        <w:rPr>
          <w:rFonts w:ascii="Times New Roman"/>
          <w:b w:val="false"/>
          <w:i w:val="false"/>
          <w:color w:val="ff0000"/>
          <w:sz w:val="28"/>
        </w:rPr>
        <w:t xml:space="preserve">
      Сноска. Заголовок главы 131 -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92" w:id="5983"/>
    <w:p>
      <w:pPr>
        <w:spacing w:after="0"/>
        <w:ind w:left="0"/>
        <w:jc w:val="both"/>
      </w:pPr>
      <w:r>
        <w:rPr>
          <w:rFonts w:ascii="Times New Roman"/>
          <w:b w:val="false"/>
          <w:i w:val="false"/>
          <w:color w:val="000000"/>
          <w:sz w:val="28"/>
        </w:rPr>
        <w:t xml:space="preserve">
      1942. Пассажирские накатные суда, построенные до 1 июля 1997 г., должны отвечать требованиям пункта 1944 настоящих Правил не позднее даты первого периодического освидетельствования, проведенного после даты, определяемой в зависимости от </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mах</w:t>
      </w:r>
      <w:r>
        <w:rPr>
          <w:rFonts w:ascii="Times New Roman"/>
          <w:b w:val="false"/>
          <w:i w:val="false"/>
          <w:color w:val="000000"/>
          <w:sz w:val="28"/>
        </w:rPr>
        <w:t xml:space="preserve"> (отношения вероятностного индекса А, определяемого в соответствии с пунктом 1945 настоящих Правил, к максимальному вероятностному индексу </w:t>
      </w:r>
      <w:r>
        <w:rPr>
          <w:rFonts w:ascii="Times New Roman"/>
          <w:b w:val="false"/>
          <w:i/>
          <w:color w:val="000000"/>
          <w:sz w:val="28"/>
        </w:rPr>
        <w:t>А</w:t>
      </w:r>
      <w:r>
        <w:rPr>
          <w:rFonts w:ascii="Times New Roman"/>
          <w:b w:val="false"/>
          <w:i w:val="false"/>
          <w:color w:val="000000"/>
          <w:vertAlign w:val="subscript"/>
        </w:rPr>
        <w:t>mах</w:t>
      </w:r>
      <w:r>
        <w:rPr>
          <w:rFonts w:ascii="Times New Roman"/>
          <w:b w:val="false"/>
          <w:i w:val="false"/>
          <w:color w:val="000000"/>
          <w:sz w:val="28"/>
        </w:rPr>
        <w:t>, определяемому в соответствии с пунктом 1946 настоящих Правил):</w:t>
      </w:r>
    </w:p>
    <w:bookmarkEnd w:id="5983"/>
    <w:bookmarkStart w:name="z5993" w:id="5984"/>
    <w:p>
      <w:pPr>
        <w:spacing w:after="0"/>
        <w:ind w:left="0"/>
        <w:jc w:val="both"/>
      </w:pPr>
      <w:r>
        <w:rPr>
          <w:rFonts w:ascii="Times New Roman"/>
          <w:b w:val="false"/>
          <w:i w:val="false"/>
          <w:color w:val="000000"/>
          <w:sz w:val="28"/>
        </w:rPr>
        <w:t>
      1) менее 85 % — не позднее 1 октября 1998 года;</w:t>
      </w:r>
    </w:p>
    <w:bookmarkEnd w:id="5984"/>
    <w:bookmarkStart w:name="z5994" w:id="5985"/>
    <w:p>
      <w:pPr>
        <w:spacing w:after="0"/>
        <w:ind w:left="0"/>
        <w:jc w:val="both"/>
      </w:pPr>
      <w:r>
        <w:rPr>
          <w:rFonts w:ascii="Times New Roman"/>
          <w:b w:val="false"/>
          <w:i w:val="false"/>
          <w:color w:val="000000"/>
          <w:sz w:val="28"/>
        </w:rPr>
        <w:t>
      2) 85 % или более, но менее 90 % — не позднее 1 октября 2000 года;</w:t>
      </w:r>
    </w:p>
    <w:bookmarkEnd w:id="5985"/>
    <w:bookmarkStart w:name="z5995" w:id="5986"/>
    <w:p>
      <w:pPr>
        <w:spacing w:after="0"/>
        <w:ind w:left="0"/>
        <w:jc w:val="both"/>
      </w:pPr>
      <w:r>
        <w:rPr>
          <w:rFonts w:ascii="Times New Roman"/>
          <w:b w:val="false"/>
          <w:i w:val="false"/>
          <w:color w:val="000000"/>
          <w:sz w:val="28"/>
        </w:rPr>
        <w:t>
      3) 90 % или более, но менее 95 % — не позднее 1 октября 2002 года;</w:t>
      </w:r>
    </w:p>
    <w:bookmarkEnd w:id="5986"/>
    <w:bookmarkStart w:name="z5996" w:id="5987"/>
    <w:p>
      <w:pPr>
        <w:spacing w:after="0"/>
        <w:ind w:left="0"/>
        <w:jc w:val="both"/>
      </w:pPr>
      <w:r>
        <w:rPr>
          <w:rFonts w:ascii="Times New Roman"/>
          <w:b w:val="false"/>
          <w:i w:val="false"/>
          <w:color w:val="000000"/>
          <w:sz w:val="28"/>
        </w:rPr>
        <w:t>
      4) 95 % или более, но менее 97,5 % — не позднее 1 октября 2004 года;</w:t>
      </w:r>
    </w:p>
    <w:bookmarkEnd w:id="5987"/>
    <w:bookmarkStart w:name="z5997" w:id="5988"/>
    <w:p>
      <w:pPr>
        <w:spacing w:after="0"/>
        <w:ind w:left="0"/>
        <w:jc w:val="both"/>
      </w:pPr>
      <w:r>
        <w:rPr>
          <w:rFonts w:ascii="Times New Roman"/>
          <w:b w:val="false"/>
          <w:i w:val="false"/>
          <w:color w:val="000000"/>
          <w:sz w:val="28"/>
        </w:rPr>
        <w:t>
      5) 97,5 % или более — не позднее 1 октября 2005 года.</w:t>
      </w:r>
    </w:p>
    <w:bookmarkEnd w:id="5988"/>
    <w:bookmarkStart w:name="z5998" w:id="5989"/>
    <w:p>
      <w:pPr>
        <w:spacing w:after="0"/>
        <w:ind w:left="0"/>
        <w:jc w:val="both"/>
      </w:pPr>
      <w:r>
        <w:rPr>
          <w:rFonts w:ascii="Times New Roman"/>
          <w:b w:val="false"/>
          <w:i w:val="false"/>
          <w:color w:val="000000"/>
          <w:sz w:val="28"/>
        </w:rPr>
        <w:t>
      Число затапливаемых отсеков принимается в соответствии с требованиями пунктов 2064 и 2065 настоящих Правил.</w:t>
      </w:r>
    </w:p>
    <w:bookmarkEnd w:id="5989"/>
    <w:bookmarkStart w:name="z5999" w:id="5990"/>
    <w:p>
      <w:pPr>
        <w:spacing w:after="0"/>
        <w:ind w:left="0"/>
        <w:jc w:val="both"/>
      </w:pPr>
      <w:r>
        <w:rPr>
          <w:rFonts w:ascii="Times New Roman"/>
          <w:b w:val="false"/>
          <w:i w:val="false"/>
          <w:color w:val="000000"/>
          <w:sz w:val="28"/>
        </w:rPr>
        <w:t>
      1943. В дополнение к требованиям пункта 1942 настоящих Правил пассажирские накатные суда с числом людей на борту 400 человек и более отвечают требованиям подпунктов 2) и 3) пункта 1943 настоящих Правил, при предполагаемом повреждении в любом месте по длине судна, не позднее даты первого периодического освидетельствования, проведенного после самой поздней даты из указанных в подпунктах 1), 2) и 3) пункта 1943 настоящих Правил:</w:t>
      </w:r>
    </w:p>
    <w:bookmarkEnd w:id="5990"/>
    <w:bookmarkStart w:name="z6000" w:id="5991"/>
    <w:p>
      <w:pPr>
        <w:spacing w:after="0"/>
        <w:ind w:left="0"/>
        <w:jc w:val="both"/>
      </w:pPr>
      <w:r>
        <w:rPr>
          <w:rFonts w:ascii="Times New Roman"/>
          <w:b w:val="false"/>
          <w:i w:val="false"/>
          <w:color w:val="000000"/>
          <w:sz w:val="28"/>
        </w:rPr>
        <w:t xml:space="preserve">
      1) в зависимости от отношения </w:t>
      </w:r>
      <w:r>
        <w:rPr>
          <w:rFonts w:ascii="Times New Roman"/>
          <w:b w:val="false"/>
          <w:i/>
          <w:color w:val="000000"/>
          <w:sz w:val="28"/>
        </w:rPr>
        <w:t>A</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vertAlign w:val="subscript"/>
        </w:rPr>
        <w:t>mах</w:t>
      </w:r>
      <w:r>
        <w:rPr>
          <w:rFonts w:ascii="Times New Roman"/>
          <w:b w:val="false"/>
          <w:i w:val="false"/>
          <w:color w:val="000000"/>
          <w:sz w:val="28"/>
        </w:rPr>
        <w:t>:</w:t>
      </w:r>
    </w:p>
    <w:bookmarkEnd w:id="5991"/>
    <w:bookmarkStart w:name="z6001" w:id="5992"/>
    <w:p>
      <w:pPr>
        <w:spacing w:after="0"/>
        <w:ind w:left="0"/>
        <w:jc w:val="both"/>
      </w:pPr>
      <w:r>
        <w:rPr>
          <w:rFonts w:ascii="Times New Roman"/>
          <w:b w:val="false"/>
          <w:i w:val="false"/>
          <w:color w:val="000000"/>
          <w:sz w:val="28"/>
        </w:rPr>
        <w:t>
      менее 85 % — не позднее 1 октября 1998 года;</w:t>
      </w:r>
    </w:p>
    <w:bookmarkEnd w:id="5992"/>
    <w:bookmarkStart w:name="z6002" w:id="5993"/>
    <w:p>
      <w:pPr>
        <w:spacing w:after="0"/>
        <w:ind w:left="0"/>
        <w:jc w:val="both"/>
      </w:pPr>
      <w:r>
        <w:rPr>
          <w:rFonts w:ascii="Times New Roman"/>
          <w:b w:val="false"/>
          <w:i w:val="false"/>
          <w:color w:val="000000"/>
          <w:sz w:val="28"/>
        </w:rPr>
        <w:t>
      85 % или более, но менее 90 % — не позднее 1 октября 2000 года;</w:t>
      </w:r>
    </w:p>
    <w:bookmarkEnd w:id="5993"/>
    <w:bookmarkStart w:name="z6003" w:id="5994"/>
    <w:p>
      <w:pPr>
        <w:spacing w:after="0"/>
        <w:ind w:left="0"/>
        <w:jc w:val="both"/>
      </w:pPr>
      <w:r>
        <w:rPr>
          <w:rFonts w:ascii="Times New Roman"/>
          <w:b w:val="false"/>
          <w:i w:val="false"/>
          <w:color w:val="000000"/>
          <w:sz w:val="28"/>
        </w:rPr>
        <w:t>
      90 % или более, но менее 95 % — не позднее 1 октября 2002 года;</w:t>
      </w:r>
    </w:p>
    <w:bookmarkEnd w:id="5994"/>
    <w:bookmarkStart w:name="z6004" w:id="5995"/>
    <w:p>
      <w:pPr>
        <w:spacing w:after="0"/>
        <w:ind w:left="0"/>
        <w:jc w:val="both"/>
      </w:pPr>
      <w:r>
        <w:rPr>
          <w:rFonts w:ascii="Times New Roman"/>
          <w:b w:val="false"/>
          <w:i w:val="false"/>
          <w:color w:val="000000"/>
          <w:sz w:val="28"/>
        </w:rPr>
        <w:t>
      95 % или более, но менее 97,5 % — не позднее 1 октября 2004 года;</w:t>
      </w:r>
    </w:p>
    <w:bookmarkEnd w:id="5995"/>
    <w:bookmarkStart w:name="z6005" w:id="5996"/>
    <w:p>
      <w:pPr>
        <w:spacing w:after="0"/>
        <w:ind w:left="0"/>
        <w:jc w:val="both"/>
      </w:pPr>
      <w:r>
        <w:rPr>
          <w:rFonts w:ascii="Times New Roman"/>
          <w:b w:val="false"/>
          <w:i w:val="false"/>
          <w:color w:val="000000"/>
          <w:sz w:val="28"/>
        </w:rPr>
        <w:t>
      97,5 % или более — не позднее 1 октября 2010 года;</w:t>
      </w:r>
    </w:p>
    <w:bookmarkEnd w:id="5996"/>
    <w:bookmarkStart w:name="z6006" w:id="5997"/>
    <w:p>
      <w:pPr>
        <w:spacing w:after="0"/>
        <w:ind w:left="0"/>
        <w:jc w:val="both"/>
      </w:pPr>
      <w:r>
        <w:rPr>
          <w:rFonts w:ascii="Times New Roman"/>
          <w:b w:val="false"/>
          <w:i w:val="false"/>
          <w:color w:val="000000"/>
          <w:sz w:val="28"/>
        </w:rPr>
        <w:t>
      2) в зависимости от числа людей на борту судна:</w:t>
      </w:r>
    </w:p>
    <w:bookmarkEnd w:id="5997"/>
    <w:bookmarkStart w:name="z6007" w:id="5998"/>
    <w:p>
      <w:pPr>
        <w:spacing w:after="0"/>
        <w:ind w:left="0"/>
        <w:jc w:val="both"/>
      </w:pPr>
      <w:r>
        <w:rPr>
          <w:rFonts w:ascii="Times New Roman"/>
          <w:b w:val="false"/>
          <w:i w:val="false"/>
          <w:color w:val="000000"/>
          <w:sz w:val="28"/>
        </w:rPr>
        <w:t>
      1500 или более — не позднее 1 октября 2002 года;</w:t>
      </w:r>
    </w:p>
    <w:bookmarkEnd w:id="5998"/>
    <w:bookmarkStart w:name="z6008" w:id="5999"/>
    <w:p>
      <w:pPr>
        <w:spacing w:after="0"/>
        <w:ind w:left="0"/>
        <w:jc w:val="both"/>
      </w:pPr>
      <w:r>
        <w:rPr>
          <w:rFonts w:ascii="Times New Roman"/>
          <w:b w:val="false"/>
          <w:i w:val="false"/>
          <w:color w:val="000000"/>
          <w:sz w:val="28"/>
        </w:rPr>
        <w:t>
      1000 или более, но менее 1500 — не позднее 1 октября 2006 года;</w:t>
      </w:r>
    </w:p>
    <w:bookmarkEnd w:id="5999"/>
    <w:bookmarkStart w:name="z6009" w:id="6000"/>
    <w:p>
      <w:pPr>
        <w:spacing w:after="0"/>
        <w:ind w:left="0"/>
        <w:jc w:val="both"/>
      </w:pPr>
      <w:r>
        <w:rPr>
          <w:rFonts w:ascii="Times New Roman"/>
          <w:b w:val="false"/>
          <w:i w:val="false"/>
          <w:color w:val="000000"/>
          <w:sz w:val="28"/>
        </w:rPr>
        <w:t>
      600 или более, но менее 1000 — не позднее 1 октября 2008 года;</w:t>
      </w:r>
    </w:p>
    <w:bookmarkEnd w:id="6000"/>
    <w:bookmarkStart w:name="z6010" w:id="6001"/>
    <w:p>
      <w:pPr>
        <w:spacing w:after="0"/>
        <w:ind w:left="0"/>
        <w:jc w:val="both"/>
      </w:pPr>
      <w:r>
        <w:rPr>
          <w:rFonts w:ascii="Times New Roman"/>
          <w:b w:val="false"/>
          <w:i w:val="false"/>
          <w:color w:val="000000"/>
          <w:sz w:val="28"/>
        </w:rPr>
        <w:t>
      400 или более, но менее 600 — не позднее 1 октября 2010 года.</w:t>
      </w:r>
    </w:p>
    <w:bookmarkEnd w:id="6001"/>
    <w:bookmarkStart w:name="z6011" w:id="6002"/>
    <w:p>
      <w:pPr>
        <w:spacing w:after="0"/>
        <w:ind w:left="0"/>
        <w:jc w:val="both"/>
      </w:pPr>
      <w:r>
        <w:rPr>
          <w:rFonts w:ascii="Times New Roman"/>
          <w:b w:val="false"/>
          <w:i w:val="false"/>
          <w:color w:val="000000"/>
          <w:sz w:val="28"/>
        </w:rPr>
        <w:t>
      3) по достижении судном возраста 20 лет и более ("возраст судна" — время, отсчитываемое от даты закладки киля или от даты, на которую судно находилось в подобной стадии постройки, или же от даты, на которую судно было переоборудовано в пассажирское накатное судно).</w:t>
      </w:r>
    </w:p>
    <w:bookmarkEnd w:id="6002"/>
    <w:bookmarkStart w:name="z6012" w:id="6003"/>
    <w:p>
      <w:pPr>
        <w:spacing w:after="0"/>
        <w:ind w:left="0"/>
        <w:jc w:val="both"/>
      </w:pPr>
      <w:r>
        <w:rPr>
          <w:rFonts w:ascii="Times New Roman"/>
          <w:b w:val="false"/>
          <w:i w:val="false"/>
          <w:color w:val="000000"/>
          <w:sz w:val="28"/>
        </w:rPr>
        <w:t>
      1944. К аварийной посадке и остойчивости предъявляются следующие требования:</w:t>
      </w:r>
    </w:p>
    <w:bookmarkEnd w:id="6003"/>
    <w:bookmarkStart w:name="z6013" w:id="6004"/>
    <w:p>
      <w:pPr>
        <w:spacing w:after="0"/>
        <w:ind w:left="0"/>
        <w:jc w:val="both"/>
      </w:pPr>
      <w:r>
        <w:rPr>
          <w:rFonts w:ascii="Times New Roman"/>
          <w:b w:val="false"/>
          <w:i w:val="false"/>
          <w:color w:val="000000"/>
          <w:sz w:val="28"/>
        </w:rPr>
        <w:t>
      1) при выполнении расчетов аварийной посадки и остойчивости должны быть учтены требования пунктов 1845, 1846, 1848 – 1851, 1853 настоящих Правил. Ссылки на главы 131, 132 и 133 настоящих Правил в перечисленных пунктах заменяются ссылкой на подпункт 6) пункта 1943 настоящих Правил;</w:t>
      </w:r>
    </w:p>
    <w:bookmarkEnd w:id="6004"/>
    <w:bookmarkStart w:name="z6014" w:id="6005"/>
    <w:p>
      <w:pPr>
        <w:spacing w:after="0"/>
        <w:ind w:left="0"/>
        <w:jc w:val="both"/>
      </w:pPr>
      <w:r>
        <w:rPr>
          <w:rFonts w:ascii="Times New Roman"/>
          <w:b w:val="false"/>
          <w:i w:val="false"/>
          <w:color w:val="000000"/>
          <w:sz w:val="28"/>
        </w:rPr>
        <w:t>
      2) начальная метацентрическая высота судна в конечной стадии симметричного затопления, определенная методом постоянного водоизмещения, равна не менее 0,05 м;</w:t>
      </w:r>
    </w:p>
    <w:bookmarkEnd w:id="6005"/>
    <w:bookmarkStart w:name="z6015" w:id="6006"/>
    <w:p>
      <w:pPr>
        <w:spacing w:after="0"/>
        <w:ind w:left="0"/>
        <w:jc w:val="both"/>
      </w:pPr>
      <w:r>
        <w:rPr>
          <w:rFonts w:ascii="Times New Roman"/>
          <w:b w:val="false"/>
          <w:i w:val="false"/>
          <w:color w:val="000000"/>
          <w:sz w:val="28"/>
        </w:rPr>
        <w:t>
      3) диаграмма статической остойчивости для конечной стадии затопления (после спрямления, если оно производится) имеет участок с положительными плечами протяженностью не менее 15</w:t>
      </w:r>
      <w:r>
        <w:rPr>
          <w:rFonts w:ascii="Times New Roman"/>
          <w:b w:val="false"/>
          <w:i w:val="false"/>
          <w:color w:val="000000"/>
          <w:vertAlign w:val="superscript"/>
        </w:rPr>
        <w:t>о</w:t>
      </w:r>
      <w:r>
        <w:rPr>
          <w:rFonts w:ascii="Times New Roman"/>
          <w:b w:val="false"/>
          <w:i w:val="false"/>
          <w:color w:val="000000"/>
          <w:sz w:val="28"/>
        </w:rPr>
        <w:t>.</w:t>
      </w:r>
    </w:p>
    <w:bookmarkEnd w:id="6006"/>
    <w:bookmarkStart w:name="z6016" w:id="6007"/>
    <w:p>
      <w:pPr>
        <w:spacing w:after="0"/>
        <w:ind w:left="0"/>
        <w:jc w:val="both"/>
      </w:pPr>
      <w:r>
        <w:rPr>
          <w:rFonts w:ascii="Times New Roman"/>
          <w:b w:val="false"/>
          <w:i w:val="false"/>
          <w:color w:val="000000"/>
          <w:sz w:val="28"/>
        </w:rPr>
        <w:t>
      Площадь участка диаграммы с положительными плечами и максимальное плечо диаграммы в пределах указанной выше протяженности отвечает требованиям пунктов 1871 и 1872 настоящих Правил;</w:t>
      </w:r>
    </w:p>
    <w:bookmarkEnd w:id="6007"/>
    <w:bookmarkStart w:name="z6017" w:id="6008"/>
    <w:p>
      <w:pPr>
        <w:spacing w:after="0"/>
        <w:ind w:left="0"/>
        <w:jc w:val="both"/>
      </w:pPr>
      <w:r>
        <w:rPr>
          <w:rFonts w:ascii="Times New Roman"/>
          <w:b w:val="false"/>
          <w:i w:val="false"/>
          <w:color w:val="000000"/>
          <w:sz w:val="28"/>
        </w:rPr>
        <w:t>
      4) остойчивость в промежуточных стадиях затопления отвечает требованиям пункта 1869 настоящих Правил.</w:t>
      </w:r>
    </w:p>
    <w:bookmarkEnd w:id="6008"/>
    <w:bookmarkStart w:name="z6018" w:id="6009"/>
    <w:p>
      <w:pPr>
        <w:spacing w:after="0"/>
        <w:ind w:left="0"/>
        <w:jc w:val="both"/>
      </w:pPr>
      <w:r>
        <w:rPr>
          <w:rFonts w:ascii="Times New Roman"/>
          <w:b w:val="false"/>
          <w:i w:val="false"/>
          <w:color w:val="000000"/>
          <w:sz w:val="28"/>
        </w:rPr>
        <w:t>
      5) для целей расчета остойчивости судна в поврежденном состоянии коэффициенты проницаемости помещений и поверхностей, как правило, принимается равными величинам, определяемым по приложению 233 настоящих Правил.</w:t>
      </w:r>
    </w:p>
    <w:bookmarkEnd w:id="6009"/>
    <w:bookmarkStart w:name="z6019" w:id="6010"/>
    <w:p>
      <w:pPr>
        <w:spacing w:after="0"/>
        <w:ind w:left="0"/>
        <w:jc w:val="both"/>
      </w:pPr>
      <w:r>
        <w:rPr>
          <w:rFonts w:ascii="Times New Roman"/>
          <w:b w:val="false"/>
          <w:i w:val="false"/>
          <w:color w:val="000000"/>
          <w:sz w:val="28"/>
        </w:rPr>
        <w:t>
      Более высокая проницаемость поверхностей принимается для помещений, которые в районе аварийной ватерлинии не содержат значительного количества жилых помещений или механизмов, а также для помещений, которые, как правило, не заняты значительным количеством груза или запасов;</w:t>
      </w:r>
    </w:p>
    <w:bookmarkEnd w:id="6010"/>
    <w:bookmarkStart w:name="z6020" w:id="6011"/>
    <w:p>
      <w:pPr>
        <w:spacing w:after="0"/>
        <w:ind w:left="0"/>
        <w:jc w:val="both"/>
      </w:pPr>
      <w:r>
        <w:rPr>
          <w:rFonts w:ascii="Times New Roman"/>
          <w:b w:val="false"/>
          <w:i w:val="false"/>
          <w:color w:val="000000"/>
          <w:sz w:val="28"/>
        </w:rPr>
        <w:t>
      6) для целей соответствия требованиям к аварийной посадке и остойчивости согласно пункту 1944 настоящих Правил размеры повреждений принимаются согласно пункту 1863 настоящих Правил;</w:t>
      </w:r>
    </w:p>
    <w:bookmarkEnd w:id="6011"/>
    <w:bookmarkStart w:name="z6021" w:id="6012"/>
    <w:p>
      <w:pPr>
        <w:spacing w:after="0"/>
        <w:ind w:left="0"/>
        <w:jc w:val="both"/>
      </w:pPr>
      <w:r>
        <w:rPr>
          <w:rFonts w:ascii="Times New Roman"/>
          <w:b w:val="false"/>
          <w:i w:val="false"/>
          <w:color w:val="000000"/>
          <w:sz w:val="28"/>
        </w:rPr>
        <w:t>
      7) посадка поврежденного судна соответствует требованиям пункта 1867 настоящих Правил; время спрямления, необходимое для выполнения этих требований, не превышает 15 мин;</w:t>
      </w:r>
    </w:p>
    <w:bookmarkEnd w:id="6012"/>
    <w:bookmarkStart w:name="z6022" w:id="6013"/>
    <w:p>
      <w:pPr>
        <w:spacing w:after="0"/>
        <w:ind w:left="0"/>
        <w:jc w:val="both"/>
      </w:pPr>
      <w:r>
        <w:rPr>
          <w:rFonts w:ascii="Times New Roman"/>
          <w:b w:val="false"/>
          <w:i w:val="false"/>
          <w:color w:val="000000"/>
          <w:sz w:val="28"/>
        </w:rPr>
        <w:t>
      8) аварийная ватерлиния после спрямления судна, а также для случаев, когда спрямление не производится, проходит на 76 мм ниже палубы переборок.</w:t>
      </w:r>
    </w:p>
    <w:bookmarkEnd w:id="6013"/>
    <w:bookmarkStart w:name="z6023" w:id="6014"/>
    <w:p>
      <w:pPr>
        <w:spacing w:after="0"/>
        <w:ind w:left="0"/>
        <w:jc w:val="both"/>
      </w:pPr>
      <w:r>
        <w:rPr>
          <w:rFonts w:ascii="Times New Roman"/>
          <w:b w:val="false"/>
          <w:i w:val="false"/>
          <w:color w:val="000000"/>
          <w:sz w:val="28"/>
        </w:rPr>
        <w:t>
      1945. Вероятностный индекс А определяется по формуле:</w:t>
      </w:r>
    </w:p>
    <w:bookmarkEnd w:id="6014"/>
    <w:p>
      <w:pPr>
        <w:spacing w:after="0"/>
        <w:ind w:left="0"/>
        <w:jc w:val="both"/>
      </w:pPr>
      <w:r>
        <w:rPr>
          <w:rFonts w:ascii="Times New Roman"/>
          <w:b w:val="false"/>
          <w:i w:val="false"/>
          <w:color w:val="000000"/>
          <w:sz w:val="28"/>
        </w:rPr>
        <w:t xml:space="preserve">
      А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aps (716)</w:t>
      </w:r>
      <w:r>
        <w:br/>
      </w:r>
      <w:r>
        <w:rPr>
          <w:rFonts w:ascii="Times New Roman"/>
          <w:b w:val="false"/>
          <w:i w:val="false"/>
          <w:color w:val="000000"/>
          <w:sz w:val="28"/>
        </w:rPr>
        <w:t>
</w:t>
      </w:r>
    </w:p>
    <w:bookmarkStart w:name="z6024" w:id="6015"/>
    <w:p>
      <w:pPr>
        <w:spacing w:after="0"/>
        <w:ind w:left="0"/>
        <w:jc w:val="both"/>
      </w:pPr>
      <w:r>
        <w:rPr>
          <w:rFonts w:ascii="Times New Roman"/>
          <w:b w:val="false"/>
          <w:i w:val="false"/>
          <w:color w:val="000000"/>
          <w:sz w:val="28"/>
        </w:rPr>
        <w:t>
      Суммирование выполняется для одиночных отсеков и групп двух смежных отсеков.</w:t>
      </w:r>
    </w:p>
    <w:bookmarkEnd w:id="6015"/>
    <w:bookmarkStart w:name="z6025" w:id="6016"/>
    <w:p>
      <w:pPr>
        <w:spacing w:after="0"/>
        <w:ind w:left="0"/>
        <w:jc w:val="both"/>
      </w:pPr>
      <w:r>
        <w:rPr>
          <w:rFonts w:ascii="Times New Roman"/>
          <w:b w:val="false"/>
          <w:i w:val="false"/>
          <w:color w:val="000000"/>
          <w:sz w:val="28"/>
        </w:rPr>
        <w:t>
      1) при расчетах, выполняемых для определения индекса А, судно считается загруженным по самую высокую ватерлинию деления на отсеки на ровный киль или, если имеется, с конструктивным дифферентом, с максимальным эксплуатационным возвышением центра тяжести.</w:t>
      </w:r>
    </w:p>
    <w:bookmarkEnd w:id="6016"/>
    <w:bookmarkStart w:name="z6026" w:id="6017"/>
    <w:p>
      <w:pPr>
        <w:spacing w:after="0"/>
        <w:ind w:left="0"/>
        <w:jc w:val="both"/>
      </w:pPr>
      <w:r>
        <w:rPr>
          <w:rFonts w:ascii="Times New Roman"/>
          <w:b w:val="false"/>
          <w:i w:val="false"/>
          <w:color w:val="000000"/>
          <w:sz w:val="28"/>
        </w:rPr>
        <w:t>
      Коэффициенты проницаемости принимаются в соответствии с требованиями подпункта 1) пункта 1800, пунктов 1801 и 1804 настоящих Правил.</w:t>
      </w:r>
    </w:p>
    <w:bookmarkEnd w:id="6017"/>
    <w:bookmarkStart w:name="z6027" w:id="6018"/>
    <w:p>
      <w:pPr>
        <w:spacing w:after="0"/>
        <w:ind w:left="0"/>
        <w:jc w:val="both"/>
      </w:pPr>
      <w:r>
        <w:rPr>
          <w:rFonts w:ascii="Times New Roman"/>
          <w:b w:val="false"/>
          <w:i w:val="false"/>
          <w:color w:val="000000"/>
          <w:sz w:val="28"/>
        </w:rPr>
        <w:t>
      Для грузовых помещений ро-ро коэффициент проницаемости принимается равным 0,90;</w:t>
      </w:r>
    </w:p>
    <w:bookmarkEnd w:id="6018"/>
    <w:bookmarkStart w:name="z6028" w:id="6019"/>
    <w:p>
      <w:pPr>
        <w:spacing w:after="0"/>
        <w:ind w:left="0"/>
        <w:jc w:val="both"/>
      </w:pPr>
      <w:r>
        <w:rPr>
          <w:rFonts w:ascii="Times New Roman"/>
          <w:b w:val="false"/>
          <w:i w:val="false"/>
          <w:color w:val="000000"/>
          <w:sz w:val="28"/>
        </w:rPr>
        <w:t>
      2) параметры а и р определяются в соответствии с требованиями пунктов 1816 и 1817 настоящих Правил. Значение коэффициента k</w:t>
      </w:r>
      <w:r>
        <w:rPr>
          <w:rFonts w:ascii="Times New Roman"/>
          <w:b w:val="false"/>
          <w:i w:val="false"/>
          <w:color w:val="000000"/>
          <w:vertAlign w:val="subscript"/>
        </w:rPr>
        <w:t>v</w:t>
      </w:r>
      <w:r>
        <w:rPr>
          <w:rFonts w:ascii="Times New Roman"/>
          <w:b w:val="false"/>
          <w:i w:val="false"/>
          <w:color w:val="000000"/>
          <w:sz w:val="28"/>
        </w:rPr>
        <w:t xml:space="preserve"> принимается равным 1;</w:t>
      </w:r>
    </w:p>
    <w:bookmarkEnd w:id="6019"/>
    <w:bookmarkStart w:name="z6029" w:id="6020"/>
    <w:p>
      <w:pPr>
        <w:spacing w:after="0"/>
        <w:ind w:left="0"/>
        <w:jc w:val="both"/>
      </w:pPr>
      <w:r>
        <w:rPr>
          <w:rFonts w:ascii="Times New Roman"/>
          <w:b w:val="false"/>
          <w:i w:val="false"/>
          <w:color w:val="000000"/>
          <w:sz w:val="28"/>
        </w:rPr>
        <w:t>
      3) параметр s определяется по формуле:</w:t>
      </w:r>
    </w:p>
    <w:bookmarkEnd w:id="60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3"/>
                    <a:stretch>
                      <a:fillRect/>
                    </a:stretch>
                  </pic:blipFill>
                  <pic:spPr>
                    <a:xfrm>
                      <a:off x="0" y="0"/>
                      <a:ext cx="198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GZ</w:t>
      </w:r>
      <w:r>
        <w:rPr>
          <w:rFonts w:ascii="Times New Roman"/>
          <w:b w:val="false"/>
          <w:i w:val="false"/>
          <w:color w:val="000000"/>
          <w:vertAlign w:val="subscript"/>
        </w:rPr>
        <w:t>max</w:t>
      </w:r>
      <w:r>
        <w:rPr>
          <w:rFonts w:ascii="Times New Roman"/>
          <w:b w:val="false"/>
          <w:i w:val="false"/>
          <w:color w:val="000000"/>
          <w:sz w:val="28"/>
        </w:rPr>
        <w:t xml:space="preserve"> — максимальное положительное восстанавливающее плечо диаграммы статической остойчивости поврежденного судна, м, в пределах 15</w:t>
      </w:r>
      <w:r>
        <w:rPr>
          <w:rFonts w:ascii="Times New Roman"/>
          <w:b w:val="false"/>
          <w:i w:val="false"/>
          <w:color w:val="000000"/>
          <w:vertAlign w:val="superscript"/>
        </w:rPr>
        <w:t>о</w:t>
      </w:r>
      <w:r>
        <w:rPr>
          <w:rFonts w:ascii="Times New Roman"/>
          <w:b w:val="false"/>
          <w:i w:val="false"/>
          <w:color w:val="000000"/>
          <w:sz w:val="28"/>
        </w:rPr>
        <w:t xml:space="preserve"> от положения равновесия, но не более 0,1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4"/>
                    <a:stretch>
                      <a:fillRect/>
                    </a:stretch>
                  </pic:blipFill>
                  <pic:spPr>
                    <a:xfrm>
                      <a:off x="0" y="0"/>
                      <a:ext cx="114300" cy="127000"/>
                    </a:xfrm>
                    <a:prstGeom prst="rect">
                      <a:avLst/>
                    </a:prstGeom>
                  </pic:spPr>
                </pic:pic>
              </a:graphicData>
            </a:graphic>
          </wp:inline>
        </w:drawing>
      </w:r>
    </w:p>
    <w:p>
      <w:pPr>
        <w:spacing w:after="0"/>
        <w:ind w:left="0"/>
        <w:jc w:val="left"/>
      </w:pPr>
      <w:r>
        <w:rPr>
          <w:rFonts w:ascii="Times New Roman"/>
          <w:b w:val="false"/>
          <w:i w:val="false"/>
          <w:color w:val="000000"/>
          <w:sz w:val="28"/>
        </w:rPr>
        <w:t>— протяженность, положительного участка диаграммы статической остойчивости, град, но не более 15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5"/>
                    <a:stretch>
                      <a:fillRect/>
                    </a:stretch>
                  </pic:blipFill>
                  <pic:spPr>
                    <a:xfrm>
                      <a:off x="0" y="0"/>
                      <a:ext cx="215900" cy="203200"/>
                    </a:xfrm>
                    <a:prstGeom prst="rect">
                      <a:avLst/>
                    </a:prstGeom>
                  </pic:spPr>
                </pic:pic>
              </a:graphicData>
            </a:graphic>
          </wp:inline>
        </w:drawing>
      </w:r>
    </w:p>
    <w:p>
      <w:pPr>
        <w:spacing w:after="0"/>
        <w:ind w:left="0"/>
        <w:jc w:val="left"/>
      </w:pPr>
      <w:r>
        <w:rPr>
          <w:rFonts w:ascii="Times New Roman"/>
          <w:b w:val="false"/>
          <w:i w:val="false"/>
          <w:color w:val="000000"/>
          <w:sz w:val="28"/>
        </w:rPr>
        <w:t>— площадь диаграммы статической остойчивости, м-рад, определяемая в соответствии с пунктом 1871 настоящих Правил, но не более 0,015 м-рад;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коэффициент, равный:</w:t>
      </w:r>
    </w:p>
    <w:p>
      <w:pPr>
        <w:spacing w:after="0"/>
        <w:ind w:left="0"/>
        <w:jc w:val="both"/>
      </w:pPr>
      <w:r>
        <w:rPr>
          <w:rFonts w:ascii="Times New Roman"/>
          <w:b w:val="false"/>
          <w:i w:val="false"/>
          <w:color w:val="000000"/>
          <w:sz w:val="28"/>
        </w:rPr>
        <w:t>
      с = 1 — если угол крена в конечной стадии затопления Ө</w:t>
      </w:r>
      <w:r>
        <w:rPr>
          <w:rFonts w:ascii="Times New Roman"/>
          <w:b w:val="false"/>
          <w:i w:val="false"/>
          <w:color w:val="000000"/>
          <w:vertAlign w:val="subscript"/>
        </w:rPr>
        <w:t>е</w:t>
      </w:r>
      <w:r>
        <w:rPr>
          <w:rFonts w:ascii="Times New Roman"/>
          <w:b w:val="false"/>
          <w:i w:val="false"/>
          <w:color w:val="000000"/>
          <w:sz w:val="28"/>
        </w:rPr>
        <w:t xml:space="preserve"> не превышает 7</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c = </w:t>
      </w:r>
    </w:p>
    <w:p>
      <w:pPr>
        <w:spacing w:after="0"/>
        <w:ind w:left="0"/>
        <w:jc w:val="both"/>
      </w:pPr>
      <w:r>
        <w:drawing>
          <wp:inline distT="0" distB="0" distL="0" distR="0">
            <wp:extent cx="965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6"/>
                    <a:stretch>
                      <a:fillRect/>
                    </a:stretch>
                  </pic:blipFill>
                  <pic:spPr>
                    <a:xfrm>
                      <a:off x="0" y="0"/>
                      <a:ext cx="9652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если 7 </w:t>
      </w:r>
      <w:r>
        <w:rPr>
          <w:rFonts w:ascii="Times New Roman"/>
          <w:b w:val="false"/>
          <w:i w:val="false"/>
          <w:color w:val="000000"/>
          <w:vertAlign w:val="superscript"/>
        </w:rPr>
        <w:t>о</w:t>
      </w:r>
      <w:r>
        <w:rPr>
          <w:rFonts w:ascii="Times New Roman"/>
          <w:b w:val="false"/>
          <w:i w:val="false"/>
          <w:color w:val="000000"/>
          <w:sz w:val="28"/>
        </w:rPr>
        <w:t>&lt;Ө</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2О</w:t>
      </w:r>
      <w:r>
        <w:rPr>
          <w:rFonts w:ascii="Times New Roman"/>
          <w:b w:val="false"/>
          <w:i w:val="false"/>
          <w:color w:val="000000"/>
          <w:vertAlign w:val="superscript"/>
        </w:rPr>
        <w:t>o</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0, если угол Ө</w:t>
      </w:r>
      <w:r>
        <w:rPr>
          <w:rFonts w:ascii="Times New Roman"/>
          <w:b w:val="false"/>
          <w:i w:val="false"/>
          <w:color w:val="000000"/>
          <w:vertAlign w:val="subscript"/>
        </w:rPr>
        <w:t>е</w:t>
      </w:r>
      <w:r>
        <w:rPr>
          <w:rFonts w:ascii="Times New Roman"/>
          <w:b w:val="false"/>
          <w:i w:val="false"/>
          <w:color w:val="000000"/>
          <w:sz w:val="28"/>
        </w:rPr>
        <w:t xml:space="preserve"> превышает 20</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е</w:t>
      </w:r>
      <w:r>
        <w:rPr>
          <w:rFonts w:ascii="Times New Roman"/>
          <w:b w:val="false"/>
          <w:i w:val="false"/>
          <w:color w:val="000000"/>
          <w:sz w:val="28"/>
        </w:rPr>
        <w:t xml:space="preserve"> — угол крена в конечной стадии затопления (до спрямления), град.</w:t>
      </w:r>
    </w:p>
    <w:bookmarkStart w:name="z6030" w:id="6021"/>
    <w:p>
      <w:pPr>
        <w:spacing w:after="0"/>
        <w:ind w:left="0"/>
        <w:jc w:val="both"/>
      </w:pPr>
      <w:r>
        <w:rPr>
          <w:rFonts w:ascii="Times New Roman"/>
          <w:b w:val="false"/>
          <w:i w:val="false"/>
          <w:color w:val="000000"/>
          <w:sz w:val="28"/>
        </w:rPr>
        <w:t>
      1946. Если аварийная посадка и остойчивость полностью соответствуют требованиям параграфа 1 главы 126 настоящих Правил, то параметр s принимается равным 1.</w:t>
      </w:r>
    </w:p>
    <w:bookmarkEnd w:id="6021"/>
    <w:bookmarkStart w:name="z6031" w:id="6022"/>
    <w:p>
      <w:pPr>
        <w:spacing w:after="0"/>
        <w:ind w:left="0"/>
        <w:jc w:val="both"/>
      </w:pPr>
      <w:r>
        <w:rPr>
          <w:rFonts w:ascii="Times New Roman"/>
          <w:b w:val="false"/>
          <w:i w:val="false"/>
          <w:color w:val="000000"/>
          <w:sz w:val="28"/>
        </w:rPr>
        <w:t>
      Параметр s принимается равным нулю для любого случая затопления, вследствие которого:</w:t>
      </w:r>
    </w:p>
    <w:bookmarkEnd w:id="6022"/>
    <w:bookmarkStart w:name="z6032" w:id="6023"/>
    <w:p>
      <w:pPr>
        <w:spacing w:after="0"/>
        <w:ind w:left="0"/>
        <w:jc w:val="both"/>
      </w:pPr>
      <w:r>
        <w:rPr>
          <w:rFonts w:ascii="Times New Roman"/>
          <w:b w:val="false"/>
          <w:i w:val="false"/>
          <w:color w:val="000000"/>
          <w:sz w:val="28"/>
        </w:rPr>
        <w:t>
      1) во время промежуточной стадии затопления или перед спрямлением угол крена превышает 20</w:t>
      </w:r>
      <w:r>
        <w:rPr>
          <w:rFonts w:ascii="Times New Roman"/>
          <w:b w:val="false"/>
          <w:i w:val="false"/>
          <w:color w:val="000000"/>
          <w:vertAlign w:val="superscript"/>
        </w:rPr>
        <w:t>о</w:t>
      </w:r>
      <w:r>
        <w:rPr>
          <w:rFonts w:ascii="Times New Roman"/>
          <w:b w:val="false"/>
          <w:i w:val="false"/>
          <w:color w:val="000000"/>
          <w:sz w:val="28"/>
        </w:rPr>
        <w:t xml:space="preserve"> или угол, при котором входят в воду какие-либо отверстия, через которые происходит распространение воды на судне, или </w:t>
      </w:r>
    </w:p>
    <w:bookmarkEnd w:id="6023"/>
    <w:bookmarkStart w:name="z6033" w:id="6024"/>
    <w:p>
      <w:pPr>
        <w:spacing w:after="0"/>
        <w:ind w:left="0"/>
        <w:jc w:val="both"/>
      </w:pPr>
      <w:r>
        <w:rPr>
          <w:rFonts w:ascii="Times New Roman"/>
          <w:b w:val="false"/>
          <w:i w:val="false"/>
          <w:color w:val="000000"/>
          <w:sz w:val="28"/>
        </w:rPr>
        <w:t>
      2) в конечной стадии затопления входит в воду палуба переборок, исключая район расположения затопленного отсека или отсеков, или</w:t>
      </w:r>
    </w:p>
    <w:bookmarkEnd w:id="6024"/>
    <w:bookmarkStart w:name="z6034" w:id="6025"/>
    <w:p>
      <w:pPr>
        <w:spacing w:after="0"/>
        <w:ind w:left="0"/>
        <w:jc w:val="both"/>
      </w:pPr>
      <w:r>
        <w:rPr>
          <w:rFonts w:ascii="Times New Roman"/>
          <w:b w:val="false"/>
          <w:i w:val="false"/>
          <w:color w:val="000000"/>
          <w:sz w:val="28"/>
        </w:rPr>
        <w:t>
      3) в конечной стадии затопления крен превышает 12</w:t>
      </w:r>
      <w:r>
        <w:rPr>
          <w:rFonts w:ascii="Times New Roman"/>
          <w:b w:val="false"/>
          <w:i w:val="false"/>
          <w:color w:val="000000"/>
          <w:vertAlign w:val="superscript"/>
        </w:rPr>
        <w:t>о</w:t>
      </w:r>
      <w:r>
        <w:rPr>
          <w:rFonts w:ascii="Times New Roman"/>
          <w:b w:val="false"/>
          <w:i w:val="false"/>
          <w:color w:val="000000"/>
          <w:sz w:val="28"/>
        </w:rPr>
        <w:t>, или</w:t>
      </w:r>
    </w:p>
    <w:bookmarkEnd w:id="6025"/>
    <w:bookmarkStart w:name="z6035" w:id="6026"/>
    <w:p>
      <w:pPr>
        <w:spacing w:after="0"/>
        <w:ind w:left="0"/>
        <w:jc w:val="both"/>
      </w:pPr>
      <w:r>
        <w:rPr>
          <w:rFonts w:ascii="Times New Roman"/>
          <w:b w:val="false"/>
          <w:i w:val="false"/>
          <w:color w:val="000000"/>
          <w:sz w:val="28"/>
        </w:rPr>
        <w:t>
      3) в конечной стадии затопления h</w:t>
      </w:r>
      <w:r>
        <w:rPr>
          <w:rFonts w:ascii="Times New Roman"/>
          <w:b w:val="false"/>
          <w:i w:val="false"/>
          <w:color w:val="000000"/>
          <w:vertAlign w:val="subscript"/>
        </w:rPr>
        <w:t>ав</w:t>
      </w:r>
      <w:r>
        <w:rPr>
          <w:rFonts w:ascii="Times New Roman"/>
          <w:b w:val="false"/>
          <w:i w:val="false"/>
          <w:color w:val="000000"/>
          <w:sz w:val="28"/>
        </w:rPr>
        <w:t xml:space="preserve"> меньше 0,05 м.</w:t>
      </w:r>
    </w:p>
    <w:bookmarkEnd w:id="6026"/>
    <w:bookmarkStart w:name="z6036" w:id="6027"/>
    <w:p>
      <w:pPr>
        <w:spacing w:after="0"/>
        <w:ind w:left="0"/>
        <w:jc w:val="both"/>
      </w:pPr>
      <w:r>
        <w:rPr>
          <w:rFonts w:ascii="Times New Roman"/>
          <w:b w:val="false"/>
          <w:i w:val="false"/>
          <w:color w:val="000000"/>
          <w:sz w:val="28"/>
        </w:rPr>
        <w:t xml:space="preserve">
      1947. Если учитывается деление судна продольными водонепроницаемыми переборками, то фактор р умножается на редукционный коэффициент r, определяемый в соответствии с подпунктом 3) пункта 1818 настоящих Правил при значении </w:t>
      </w:r>
    </w:p>
    <w:bookmarkEnd w:id="6027"/>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7"/>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6037" w:id="6028"/>
    <w:p>
      <w:pPr>
        <w:spacing w:after="0"/>
        <w:ind w:left="0"/>
        <w:jc w:val="both"/>
      </w:pPr>
      <w:r>
        <w:rPr>
          <w:rFonts w:ascii="Times New Roman"/>
          <w:b w:val="false"/>
          <w:i w:val="false"/>
          <w:color w:val="000000"/>
          <w:sz w:val="28"/>
        </w:rPr>
        <w:t>
      1948. Если величина s&lt;1 при затоплении одного любого отсека судна, для которого требуется одноотсечный стандарт, или при затоплении любых двух смежных отсеков судна, для которого требуется двухотсечный стандарт, то вычисляется максимальный вероятностный индекс A</w:t>
      </w:r>
      <w:r>
        <w:rPr>
          <w:rFonts w:ascii="Times New Roman"/>
          <w:b w:val="false"/>
          <w:i w:val="false"/>
          <w:color w:val="000000"/>
          <w:vertAlign w:val="subscript"/>
        </w:rPr>
        <w:t>max1</w:t>
      </w:r>
      <w:r>
        <w:rPr>
          <w:rFonts w:ascii="Times New Roman"/>
          <w:b w:val="false"/>
          <w:i w:val="false"/>
          <w:color w:val="000000"/>
          <w:sz w:val="28"/>
        </w:rPr>
        <w:t xml:space="preserve"> или А</w:t>
      </w:r>
      <w:r>
        <w:rPr>
          <w:rFonts w:ascii="Times New Roman"/>
          <w:b w:val="false"/>
          <w:i w:val="false"/>
          <w:color w:val="000000"/>
          <w:vertAlign w:val="subscript"/>
        </w:rPr>
        <w:t>max2</w:t>
      </w:r>
      <w:r>
        <w:rPr>
          <w:rFonts w:ascii="Times New Roman"/>
          <w:b w:val="false"/>
          <w:i w:val="false"/>
          <w:color w:val="000000"/>
          <w:sz w:val="28"/>
        </w:rPr>
        <w:t>, также как А</w:t>
      </w:r>
      <w:r>
        <w:rPr>
          <w:rFonts w:ascii="Times New Roman"/>
          <w:b w:val="false"/>
          <w:i w:val="false"/>
          <w:color w:val="000000"/>
          <w:vertAlign w:val="subscript"/>
        </w:rPr>
        <w:t>1</w:t>
      </w:r>
      <w:r>
        <w:rPr>
          <w:rFonts w:ascii="Times New Roman"/>
          <w:b w:val="false"/>
          <w:i w:val="false"/>
          <w:color w:val="000000"/>
          <w:sz w:val="28"/>
        </w:rPr>
        <w:t xml:space="preserve"> или А</w:t>
      </w:r>
      <w:r>
        <w:rPr>
          <w:rFonts w:ascii="Times New Roman"/>
          <w:b w:val="false"/>
          <w:i w:val="false"/>
          <w:color w:val="000000"/>
          <w:vertAlign w:val="subscript"/>
        </w:rPr>
        <w:t>2</w:t>
      </w:r>
      <w:r>
        <w:rPr>
          <w:rFonts w:ascii="Times New Roman"/>
          <w:b w:val="false"/>
          <w:i w:val="false"/>
          <w:color w:val="000000"/>
          <w:sz w:val="28"/>
        </w:rPr>
        <w:t>, но значение s принимается равным единице при:</w:t>
      </w:r>
    </w:p>
    <w:bookmarkEnd w:id="6028"/>
    <w:bookmarkStart w:name="z6038" w:id="6029"/>
    <w:p>
      <w:pPr>
        <w:spacing w:after="0"/>
        <w:ind w:left="0"/>
        <w:jc w:val="both"/>
      </w:pPr>
      <w:r>
        <w:rPr>
          <w:rFonts w:ascii="Times New Roman"/>
          <w:b w:val="false"/>
          <w:i w:val="false"/>
          <w:color w:val="000000"/>
          <w:sz w:val="28"/>
        </w:rPr>
        <w:t>
      1) затоплении каждого отсека судна, для которого требуется одноотсечный стандарт,</w:t>
      </w:r>
    </w:p>
    <w:bookmarkEnd w:id="6029"/>
    <w:bookmarkStart w:name="z6039" w:id="6030"/>
    <w:p>
      <w:pPr>
        <w:spacing w:after="0"/>
        <w:ind w:left="0"/>
        <w:jc w:val="both"/>
      </w:pPr>
      <w:r>
        <w:rPr>
          <w:rFonts w:ascii="Times New Roman"/>
          <w:b w:val="false"/>
          <w:i w:val="false"/>
          <w:color w:val="000000"/>
          <w:sz w:val="28"/>
        </w:rPr>
        <w:t>
      2) затоплении каждых двух смежных отсеков судна, для которого требуетсядвухотсечныйстандарт.</w:t>
      </w:r>
    </w:p>
    <w:bookmarkEnd w:id="6030"/>
    <w:bookmarkStart w:name="z6040" w:id="6031"/>
    <w:p>
      <w:pPr>
        <w:spacing w:after="0"/>
        <w:ind w:left="0"/>
        <w:jc w:val="both"/>
      </w:pPr>
      <w:r>
        <w:rPr>
          <w:rFonts w:ascii="Times New Roman"/>
          <w:b w:val="false"/>
          <w:i w:val="false"/>
          <w:color w:val="000000"/>
          <w:sz w:val="28"/>
        </w:rPr>
        <w:t>
      1949. Значение А/A</w:t>
      </w:r>
      <w:r>
        <w:rPr>
          <w:rFonts w:ascii="Times New Roman"/>
          <w:b w:val="false"/>
          <w:i w:val="false"/>
          <w:color w:val="000000"/>
          <w:vertAlign w:val="subscript"/>
        </w:rPr>
        <w:t>max</w:t>
      </w:r>
      <w:r>
        <w:rPr>
          <w:rFonts w:ascii="Times New Roman"/>
          <w:b w:val="false"/>
          <w:i w:val="false"/>
          <w:color w:val="000000"/>
          <w:sz w:val="28"/>
        </w:rPr>
        <w:t xml:space="preserve"> вычисляется по следующим формулам:</w:t>
      </w:r>
    </w:p>
    <w:bookmarkEnd w:id="6031"/>
    <w:p>
      <w:pPr>
        <w:spacing w:after="0"/>
        <w:ind w:left="0"/>
        <w:jc w:val="both"/>
      </w:pPr>
      <w:r>
        <w:rPr>
          <w:rFonts w:ascii="Times New Roman"/>
          <w:b w:val="false"/>
          <w:i w:val="false"/>
          <w:color w:val="000000"/>
          <w:sz w:val="28"/>
        </w:rPr>
        <w:t>
      для одноотсечного стандарта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8"/>
                    <a:stretch>
                      <a:fillRect/>
                    </a:stretch>
                  </pic:blipFill>
                  <pic:spPr>
                    <a:xfrm>
                      <a:off x="0" y="0"/>
                      <a:ext cx="1257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или </w:t>
      </w:r>
    </w:p>
    <w:p>
      <w:pPr>
        <w:spacing w:after="0"/>
        <w:ind w:left="0"/>
        <w:jc w:val="both"/>
      </w:pPr>
      <w:r>
        <w:drawing>
          <wp:inline distT="0" distB="0" distL="0" distR="0">
            <wp:extent cx="154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9"/>
                    <a:stretch>
                      <a:fillRect/>
                    </a:stretch>
                  </pic:blipFill>
                  <pic:spPr>
                    <a:xfrm>
                      <a:off x="0" y="0"/>
                      <a:ext cx="1549400" cy="609600"/>
                    </a:xfrm>
                    <a:prstGeom prst="rect">
                      <a:avLst/>
                    </a:prstGeom>
                  </pic:spPr>
                </pic:pic>
              </a:graphicData>
            </a:graphic>
          </wp:inline>
        </w:drawing>
      </w:r>
    </w:p>
    <w:p>
      <w:pPr>
        <w:spacing w:after="0"/>
        <w:ind w:left="0"/>
        <w:jc w:val="left"/>
      </w:pPr>
      <w:r>
        <w:rPr>
          <w:rFonts w:ascii="Times New Roman"/>
          <w:b w:val="false"/>
          <w:i w:val="false"/>
          <w:color w:val="000000"/>
          <w:sz w:val="28"/>
        </w:rPr>
        <w:t>;       (718)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двухотсечного стандарта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0"/>
                    <a:stretch>
                      <a:fillRect/>
                    </a:stretch>
                  </pic:blipFill>
                  <pic:spPr>
                    <a:xfrm>
                      <a:off x="0" y="0"/>
                      <a:ext cx="19558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часть величины </w:t>
      </w:r>
      <w:r>
        <w:rPr>
          <w:rFonts w:ascii="Times New Roman"/>
          <w:b w:val="false"/>
          <w:i/>
          <w:color w:val="000000"/>
          <w:sz w:val="28"/>
        </w:rPr>
        <w:t>А</w:t>
      </w:r>
      <w:r>
        <w:rPr>
          <w:rFonts w:ascii="Times New Roman"/>
          <w:b w:val="false"/>
          <w:i w:val="false"/>
          <w:color w:val="000000"/>
          <w:sz w:val="28"/>
        </w:rPr>
        <w:t>, определенная в соответствии с пунктом 1945 настоящих Правил для случаев затопления одного отсека;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часть величины </w:t>
      </w:r>
      <w:r>
        <w:rPr>
          <w:rFonts w:ascii="Times New Roman"/>
          <w:b w:val="false"/>
          <w:i/>
          <w:color w:val="000000"/>
          <w:sz w:val="28"/>
        </w:rPr>
        <w:t>А</w:t>
      </w:r>
      <w:r>
        <w:rPr>
          <w:rFonts w:ascii="Times New Roman"/>
          <w:b w:val="false"/>
          <w:i w:val="false"/>
          <w:color w:val="000000"/>
          <w:sz w:val="28"/>
        </w:rPr>
        <w:t>, определенная в соответствии с пунктом 1945 настоящих Правил для случаев затопления двух смежных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max1</w:t>
      </w:r>
      <w:r>
        <w:rPr>
          <w:rFonts w:ascii="Times New Roman"/>
          <w:b w:val="false"/>
          <w:i w:val="false"/>
          <w:color w:val="000000"/>
          <w:sz w:val="28"/>
        </w:rPr>
        <w:t xml:space="preserve"> — часть величины </w:t>
      </w:r>
      <w:r>
        <w:rPr>
          <w:rFonts w:ascii="Times New Roman"/>
          <w:b w:val="false"/>
          <w:i/>
          <w:color w:val="000000"/>
          <w:sz w:val="28"/>
        </w:rPr>
        <w:t>А</w:t>
      </w:r>
      <w:r>
        <w:rPr>
          <w:rFonts w:ascii="Times New Roman"/>
          <w:b w:val="false"/>
          <w:i w:val="false"/>
          <w:color w:val="000000"/>
          <w:sz w:val="28"/>
        </w:rPr>
        <w:t>, определенная в соответствии с пунктом 1948 настоящих Правил для случаев затопления одного отсека;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max2</w:t>
      </w:r>
      <w:r>
        <w:rPr>
          <w:rFonts w:ascii="Times New Roman"/>
          <w:b w:val="false"/>
          <w:i w:val="false"/>
          <w:color w:val="000000"/>
          <w:sz w:val="28"/>
        </w:rPr>
        <w:t xml:space="preserve"> — часть величины </w:t>
      </w:r>
      <w:r>
        <w:rPr>
          <w:rFonts w:ascii="Times New Roman"/>
          <w:b w:val="false"/>
          <w:i/>
          <w:color w:val="000000"/>
          <w:sz w:val="28"/>
        </w:rPr>
        <w:t>А</w:t>
      </w:r>
      <w:r>
        <w:rPr>
          <w:rFonts w:ascii="Times New Roman"/>
          <w:b w:val="false"/>
          <w:i w:val="false"/>
          <w:color w:val="000000"/>
          <w:sz w:val="28"/>
        </w:rPr>
        <w:t>, определенная в соответствии с пунктом 1948 настоящих Правил для случаев затопления двух смежных отсеков.</w:t>
      </w:r>
    </w:p>
    <w:bookmarkStart w:name="z6041" w:id="6032"/>
    <w:p>
      <w:pPr>
        <w:spacing w:after="0"/>
        <w:ind w:left="0"/>
        <w:jc w:val="left"/>
      </w:pPr>
      <w:r>
        <w:rPr>
          <w:rFonts w:ascii="Times New Roman"/>
          <w:b/>
          <w:i w:val="false"/>
          <w:color w:val="000000"/>
        </w:rPr>
        <w:t xml:space="preserve"> Глава 132. Навалочные суда, рудовозы и комбинированные суда</w:t>
      </w:r>
    </w:p>
    <w:bookmarkEnd w:id="6032"/>
    <w:p>
      <w:pPr>
        <w:spacing w:after="0"/>
        <w:ind w:left="0"/>
        <w:jc w:val="both"/>
      </w:pPr>
      <w:r>
        <w:rPr>
          <w:rFonts w:ascii="Times New Roman"/>
          <w:b w:val="false"/>
          <w:i w:val="false"/>
          <w:color w:val="ff0000"/>
          <w:sz w:val="28"/>
        </w:rPr>
        <w:t xml:space="preserve">
      Сноска. Заголовок главы 132 -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42" w:id="6033"/>
    <w:p>
      <w:pPr>
        <w:spacing w:after="0"/>
        <w:ind w:left="0"/>
        <w:jc w:val="both"/>
      </w:pPr>
      <w:r>
        <w:rPr>
          <w:rFonts w:ascii="Times New Roman"/>
          <w:b w:val="false"/>
          <w:i w:val="false"/>
          <w:color w:val="000000"/>
          <w:sz w:val="28"/>
        </w:rPr>
        <w:t xml:space="preserve">
      1950. Навалочное судно, с одинарными бортами, конструкция которых отвечает требованиям подпункта 1) пункта 637 настоящих Правил,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l50 м, перевозящее твердые навалочные грузы плотностью 1000 кг/м</w:t>
      </w:r>
      <w:r>
        <w:rPr>
          <w:rFonts w:ascii="Times New Roman"/>
          <w:b w:val="false"/>
          <w:i w:val="false"/>
          <w:color w:val="000000"/>
          <w:vertAlign w:val="superscript"/>
        </w:rPr>
        <w:t>3</w:t>
      </w:r>
      <w:r>
        <w:rPr>
          <w:rFonts w:ascii="Times New Roman"/>
          <w:b w:val="false"/>
          <w:i w:val="false"/>
          <w:color w:val="000000"/>
          <w:sz w:val="28"/>
        </w:rPr>
        <w:t xml:space="preserve"> и более, построенное 1 июля 1999 г. или после этой даты, отвечает требованиям главы 130 настоящих Правил при затоплении любого грузового трюма во всех случаях загрузки по летнюю грузовую марку. Навалочное судно, у которого носовой грузовой трюм ограничен наружной обшивкой или двойным бортом шириной менее 760 мм,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150 м и более, построенное до 1 июля 1999 г., перевозящее твердые навалочные грузы плотностью 1780 кг/м</w:t>
      </w:r>
      <w:r>
        <w:rPr>
          <w:rFonts w:ascii="Times New Roman"/>
          <w:b w:val="false"/>
          <w:i w:val="false"/>
          <w:color w:val="000000"/>
          <w:vertAlign w:val="superscript"/>
        </w:rPr>
        <w:t>3</w:t>
      </w:r>
      <w:r>
        <w:rPr>
          <w:rFonts w:ascii="Times New Roman"/>
          <w:b w:val="false"/>
          <w:i w:val="false"/>
          <w:color w:val="000000"/>
          <w:sz w:val="28"/>
        </w:rPr>
        <w:t xml:space="preserve"> и более, отвечает требованиям главы 130 настоящих Правил при затоплении носового грузового трюма во всех случаях загрузки по летнюю грузовую марку не позднее даты освидетельствования, определенной в зависимости от возраста судна:</w:t>
      </w:r>
    </w:p>
    <w:bookmarkEnd w:id="6033"/>
    <w:bookmarkStart w:name="z6043" w:id="6034"/>
    <w:p>
      <w:pPr>
        <w:spacing w:after="0"/>
        <w:ind w:left="0"/>
        <w:jc w:val="both"/>
      </w:pPr>
      <w:r>
        <w:rPr>
          <w:rFonts w:ascii="Times New Roman"/>
          <w:b w:val="false"/>
          <w:i w:val="false"/>
          <w:color w:val="000000"/>
          <w:sz w:val="28"/>
        </w:rPr>
        <w:t>
      1) для судов, возраст которых на 1 июля 1998 г. составит 20 лет и более, принимается дата первого промежуточного (второго или третьего ежегодного освидетельствования) или первого очередного освидетельствования, которое проводится после 1 июля 1998 г., в зависимости от того, что имеет место ранее;</w:t>
      </w:r>
    </w:p>
    <w:bookmarkEnd w:id="6034"/>
    <w:bookmarkStart w:name="z6044" w:id="6035"/>
    <w:p>
      <w:pPr>
        <w:spacing w:after="0"/>
        <w:ind w:left="0"/>
        <w:jc w:val="both"/>
      </w:pPr>
      <w:r>
        <w:rPr>
          <w:rFonts w:ascii="Times New Roman"/>
          <w:b w:val="false"/>
          <w:i w:val="false"/>
          <w:color w:val="000000"/>
          <w:sz w:val="28"/>
        </w:rPr>
        <w:t>
      2) для судов, возраст которых на 1 июля 1998 г. составит 15 лет и более, но менее 20 лет, принимается дата первого очередного освидетельствования, которое будет проводиться после 1 июля 1998 г., но не позднее 1 июля 2002 г.;</w:t>
      </w:r>
    </w:p>
    <w:bookmarkEnd w:id="6035"/>
    <w:bookmarkStart w:name="z6045" w:id="6036"/>
    <w:p>
      <w:pPr>
        <w:spacing w:after="0"/>
        <w:ind w:left="0"/>
        <w:jc w:val="both"/>
      </w:pPr>
      <w:r>
        <w:rPr>
          <w:rFonts w:ascii="Times New Roman"/>
          <w:b w:val="false"/>
          <w:i w:val="false"/>
          <w:color w:val="000000"/>
          <w:sz w:val="28"/>
        </w:rPr>
        <w:t>
      3) для судов, возраст которых на 1 июля 1998 г. составит менее 15 лет, принимается дата третьего очередного освидетельствования, либо дата достижения судном возраста 15 лет, в зависимости от того, что имеет место позднее.</w:t>
      </w:r>
    </w:p>
    <w:bookmarkEnd w:id="6036"/>
    <w:bookmarkStart w:name="z6046" w:id="6037"/>
    <w:p>
      <w:pPr>
        <w:spacing w:after="0"/>
        <w:ind w:left="0"/>
        <w:jc w:val="both"/>
      </w:pPr>
      <w:r>
        <w:rPr>
          <w:rFonts w:ascii="Times New Roman"/>
          <w:b w:val="false"/>
          <w:i w:val="false"/>
          <w:color w:val="000000"/>
          <w:sz w:val="28"/>
        </w:rPr>
        <w:t>
      1951. При выполнении расчетов аварийной остойчивости принимают следующие значения коэффициентов проницаемости:</w:t>
      </w:r>
    </w:p>
    <w:bookmarkEnd w:id="6037"/>
    <w:bookmarkStart w:name="z6047" w:id="6038"/>
    <w:p>
      <w:pPr>
        <w:spacing w:after="0"/>
        <w:ind w:left="0"/>
        <w:jc w:val="both"/>
      </w:pPr>
      <w:r>
        <w:rPr>
          <w:rFonts w:ascii="Times New Roman"/>
          <w:b w:val="false"/>
          <w:i w:val="false"/>
          <w:color w:val="000000"/>
          <w:sz w:val="28"/>
        </w:rPr>
        <w:t>
      0,90 — для загруженных трюмов; 0,95 — для пустых трюмов.</w:t>
      </w:r>
    </w:p>
    <w:bookmarkEnd w:id="6038"/>
    <w:bookmarkStart w:name="z6048" w:id="6039"/>
    <w:p>
      <w:pPr>
        <w:spacing w:after="0"/>
        <w:ind w:left="0"/>
        <w:jc w:val="both"/>
      </w:pPr>
      <w:r>
        <w:rPr>
          <w:rFonts w:ascii="Times New Roman"/>
          <w:b w:val="false"/>
          <w:i w:val="false"/>
          <w:color w:val="000000"/>
          <w:sz w:val="28"/>
        </w:rPr>
        <w:t>
      1952. Суда, не отвечающие требованиям пункта 1950 настоящих Правил, возможно освободить от выполнения указанного требования при выполнении следующих условий:</w:t>
      </w:r>
    </w:p>
    <w:bookmarkEnd w:id="6039"/>
    <w:bookmarkStart w:name="z6049" w:id="6040"/>
    <w:p>
      <w:pPr>
        <w:spacing w:after="0"/>
        <w:ind w:left="0"/>
        <w:jc w:val="both"/>
      </w:pPr>
      <w:r>
        <w:rPr>
          <w:rFonts w:ascii="Times New Roman"/>
          <w:b w:val="false"/>
          <w:i w:val="false"/>
          <w:color w:val="000000"/>
          <w:sz w:val="28"/>
        </w:rPr>
        <w:t>
      1) программа ежегодного освидетельствования носового трюма заменена программой, принятой при расширенном промежуточном освидетельствовании;</w:t>
      </w:r>
    </w:p>
    <w:bookmarkEnd w:id="6040"/>
    <w:bookmarkStart w:name="z6050" w:id="6041"/>
    <w:p>
      <w:pPr>
        <w:spacing w:after="0"/>
        <w:ind w:left="0"/>
        <w:jc w:val="both"/>
      </w:pPr>
      <w:r>
        <w:rPr>
          <w:rFonts w:ascii="Times New Roman"/>
          <w:b w:val="false"/>
          <w:i w:val="false"/>
          <w:color w:val="000000"/>
          <w:sz w:val="28"/>
        </w:rPr>
        <w:t>
      2) в рулевой рубке предусмотрена световая и звуковая сигнализация:</w:t>
      </w:r>
    </w:p>
    <w:bookmarkEnd w:id="6041"/>
    <w:bookmarkStart w:name="z6051" w:id="6042"/>
    <w:p>
      <w:pPr>
        <w:spacing w:after="0"/>
        <w:ind w:left="0"/>
        <w:jc w:val="both"/>
      </w:pPr>
      <w:r>
        <w:rPr>
          <w:rFonts w:ascii="Times New Roman"/>
          <w:b w:val="false"/>
          <w:i w:val="false"/>
          <w:color w:val="000000"/>
          <w:sz w:val="28"/>
        </w:rPr>
        <w:t>
      о поступлении воды выше уровня два метра над двойным дном в кормовую часть каждого грузового трюма;</w:t>
      </w:r>
    </w:p>
    <w:bookmarkEnd w:id="6042"/>
    <w:bookmarkStart w:name="z6052" w:id="6043"/>
    <w:p>
      <w:pPr>
        <w:spacing w:after="0"/>
        <w:ind w:left="0"/>
        <w:jc w:val="both"/>
      </w:pPr>
      <w:r>
        <w:rPr>
          <w:rFonts w:ascii="Times New Roman"/>
          <w:b w:val="false"/>
          <w:i w:val="false"/>
          <w:color w:val="000000"/>
          <w:sz w:val="28"/>
        </w:rPr>
        <w:t>
      о заполнении водой льяльных колодцев каждого трюма по верхний уровень.</w:t>
      </w:r>
    </w:p>
    <w:bookmarkEnd w:id="6043"/>
    <w:bookmarkStart w:name="z6053" w:id="6044"/>
    <w:p>
      <w:pPr>
        <w:spacing w:after="0"/>
        <w:ind w:left="0"/>
        <w:jc w:val="both"/>
      </w:pPr>
      <w:r>
        <w:rPr>
          <w:rFonts w:ascii="Times New Roman"/>
          <w:b w:val="false"/>
          <w:i w:val="false"/>
          <w:color w:val="000000"/>
          <w:sz w:val="28"/>
        </w:rPr>
        <w:t>
      Такая сигнализация отвечает требованиям раздела 13 настоящих Правил;</w:t>
      </w:r>
    </w:p>
    <w:bookmarkEnd w:id="6044"/>
    <w:bookmarkStart w:name="z6054" w:id="6045"/>
    <w:p>
      <w:pPr>
        <w:spacing w:after="0"/>
        <w:ind w:left="0"/>
        <w:jc w:val="both"/>
      </w:pPr>
      <w:r>
        <w:rPr>
          <w:rFonts w:ascii="Times New Roman"/>
          <w:b w:val="false"/>
          <w:i w:val="false"/>
          <w:color w:val="000000"/>
          <w:sz w:val="28"/>
        </w:rPr>
        <w:t>
      3) судно снабжено подробной информацией о последствиях поэтапного затопления грузового трюма и подробными инструкциями в соответствии с разделом 8 МКУБ.</w:t>
      </w:r>
    </w:p>
    <w:bookmarkEnd w:id="6045"/>
    <w:bookmarkStart w:name="z6055" w:id="6046"/>
    <w:p>
      <w:pPr>
        <w:spacing w:after="0"/>
        <w:ind w:left="0"/>
        <w:jc w:val="both"/>
      </w:pPr>
      <w:r>
        <w:rPr>
          <w:rFonts w:ascii="Times New Roman"/>
          <w:b w:val="false"/>
          <w:i w:val="false"/>
          <w:color w:val="000000"/>
          <w:sz w:val="28"/>
        </w:rPr>
        <w:t>
      Информация содержит сведения и документацию, указанные в подпункте 5) пункта 1791 настоящих Правил, и результаты расчетов аварийной посадки и остойчивости судна при поэтапном затоплении трюма во всех случаях загрузки по летнюю грузовую марку на ровный киль. Если судно отвечает требованиям главы 130 настоящих Правил при меньшей осадке, в документ необходимо включить диаграмму предельных возвышений центра тяжести (предельных моментов или минимальных метацентрических высот), построенную с учетом дифферента и загрузки судна. Необходимо учесть прочность переборки. Информация содержит сводную таблицу результатов расчетов с указанием критических факторов и сведения, указанные в подпункте 5) пункта 1791 настоящих Правил.</w:t>
      </w:r>
    </w:p>
    <w:bookmarkEnd w:id="6046"/>
    <w:bookmarkStart w:name="z6056" w:id="6047"/>
    <w:p>
      <w:pPr>
        <w:spacing w:after="0"/>
        <w:ind w:left="0"/>
        <w:jc w:val="both"/>
      </w:pPr>
      <w:r>
        <w:rPr>
          <w:rFonts w:ascii="Times New Roman"/>
          <w:b w:val="false"/>
          <w:i w:val="false"/>
          <w:color w:val="000000"/>
          <w:sz w:val="28"/>
        </w:rPr>
        <w:t>
      1953. Суда, которым назначен уменьшенный надводный борт в соответствии с требованиями подраздела 4 раздела 7 настоящих Правил, считаются отвечающими требованиям пункта 1950 настоящих Правил.</w:t>
      </w:r>
    </w:p>
    <w:bookmarkEnd w:id="6047"/>
    <w:bookmarkStart w:name="z6057" w:id="6048"/>
    <w:p>
      <w:pPr>
        <w:spacing w:after="0"/>
        <w:ind w:left="0"/>
        <w:jc w:val="both"/>
      </w:pPr>
      <w:r>
        <w:rPr>
          <w:rFonts w:ascii="Times New Roman"/>
          <w:b w:val="false"/>
          <w:i w:val="false"/>
          <w:color w:val="000000"/>
          <w:sz w:val="28"/>
        </w:rPr>
        <w:t>
      1954. Сведения о выполнении требований пунктов 1950 – 1952 настоящих Правил помещают в Информацию, требуемый пунктом 218 настоящих Правил.</w:t>
      </w:r>
    </w:p>
    <w:bookmarkEnd w:id="6048"/>
    <w:bookmarkStart w:name="z6058" w:id="6049"/>
    <w:p>
      <w:pPr>
        <w:spacing w:after="0"/>
        <w:ind w:left="0"/>
        <w:jc w:val="both"/>
      </w:pPr>
      <w:r>
        <w:rPr>
          <w:rFonts w:ascii="Times New Roman"/>
          <w:b w:val="false"/>
          <w:i w:val="false"/>
          <w:color w:val="000000"/>
          <w:sz w:val="28"/>
        </w:rPr>
        <w:t>
      1955. Суда, построенные до 1 июля 2004 г., отвечают требованиям пунктов 1906 - 1908 настоящих Правил не позднее даты первого периодического освидетельствования судна, проводимого после 1 июля 2004 г.</w:t>
      </w:r>
    </w:p>
    <w:bookmarkEnd w:id="6049"/>
    <w:bookmarkStart w:name="z6059" w:id="6050"/>
    <w:p>
      <w:pPr>
        <w:spacing w:after="0"/>
        <w:ind w:left="0"/>
        <w:jc w:val="both"/>
      </w:pPr>
      <w:r>
        <w:rPr>
          <w:rFonts w:ascii="Times New Roman"/>
          <w:b w:val="false"/>
          <w:i w:val="false"/>
          <w:color w:val="000000"/>
          <w:sz w:val="28"/>
        </w:rPr>
        <w:t>
      1956. При невозможности установки датчиков уровня воды в кормовой части грузового трюма на расстоянии, меньшем или равном В/6 от только верхний датчик;</w:t>
      </w:r>
    </w:p>
    <w:bookmarkEnd w:id="6050"/>
    <w:bookmarkStart w:name="z6060" w:id="6051"/>
    <w:p>
      <w:pPr>
        <w:spacing w:after="0"/>
        <w:ind w:left="0"/>
        <w:jc w:val="both"/>
      </w:pPr>
      <w:r>
        <w:rPr>
          <w:rFonts w:ascii="Times New Roman"/>
          <w:b w:val="false"/>
          <w:i w:val="false"/>
          <w:color w:val="000000"/>
          <w:sz w:val="28"/>
        </w:rPr>
        <w:t>
      суда, не выполнившие диаметральной плоскости, они располагают по обоим бортам трюма.</w:t>
      </w:r>
    </w:p>
    <w:bookmarkEnd w:id="6051"/>
    <w:bookmarkStart w:name="z6061" w:id="6052"/>
    <w:p>
      <w:pPr>
        <w:spacing w:after="0"/>
        <w:ind w:left="0"/>
        <w:jc w:val="both"/>
      </w:pPr>
      <w:r>
        <w:rPr>
          <w:rFonts w:ascii="Times New Roman"/>
          <w:b w:val="false"/>
          <w:i w:val="false"/>
          <w:color w:val="000000"/>
          <w:sz w:val="28"/>
        </w:rPr>
        <w:t>
      1957. На судах, подпадающих под требования пункта 1952 настоящих Правил, в грузовых трюмах устанавливается требование подпункта 2) пункта 1952 настоящих Правил на 1 января 2004 года, оборудуются датчиками уровня воды в грузовых трюмах в соответствии с подпунктом 1) пункта 1906 настоящих Правил (с учетом пункта 1956 настоящих Правил).</w:t>
      </w:r>
    </w:p>
    <w:bookmarkEnd w:id="6052"/>
    <w:bookmarkStart w:name="z6062" w:id="6053"/>
    <w:p>
      <w:pPr>
        <w:spacing w:after="0"/>
        <w:ind w:left="0"/>
        <w:jc w:val="left"/>
      </w:pPr>
      <w:r>
        <w:rPr>
          <w:rFonts w:ascii="Times New Roman"/>
          <w:b/>
          <w:i w:val="false"/>
          <w:color w:val="000000"/>
        </w:rPr>
        <w:t xml:space="preserve"> Подраздел 6. Требования к делению на отсеки судов,</w:t>
      </w:r>
      <w:r>
        <w:br/>
      </w:r>
      <w:r>
        <w:rPr>
          <w:rFonts w:ascii="Times New Roman"/>
          <w:b/>
          <w:i w:val="false"/>
          <w:color w:val="000000"/>
        </w:rPr>
        <w:t>кили которых заложены 1 января 2009 года или после этой даты</w:t>
      </w:r>
      <w:r>
        <w:br/>
      </w:r>
      <w:r>
        <w:rPr>
          <w:rFonts w:ascii="Times New Roman"/>
          <w:b/>
          <w:i w:val="false"/>
          <w:color w:val="000000"/>
        </w:rPr>
        <w:t>Глава 133. Общие положения</w:t>
      </w:r>
    </w:p>
    <w:bookmarkEnd w:id="6053"/>
    <w:p>
      <w:pPr>
        <w:spacing w:after="0"/>
        <w:ind w:left="0"/>
        <w:jc w:val="both"/>
      </w:pPr>
      <w:r>
        <w:rPr>
          <w:rFonts w:ascii="Times New Roman"/>
          <w:b w:val="false"/>
          <w:i w:val="false"/>
          <w:color w:val="ff0000"/>
          <w:sz w:val="28"/>
        </w:rPr>
        <w:t xml:space="preserve">
      Сноска. Заголовок главы 140 -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64" w:id="6054"/>
    <w:p>
      <w:pPr>
        <w:spacing w:after="0"/>
        <w:ind w:left="0"/>
        <w:jc w:val="left"/>
      </w:pPr>
      <w:r>
        <w:rPr>
          <w:rFonts w:ascii="Times New Roman"/>
          <w:b/>
          <w:i w:val="false"/>
          <w:color w:val="000000"/>
        </w:rPr>
        <w:t xml:space="preserve"> Параграф 1. Область распространения</w:t>
      </w:r>
    </w:p>
    <w:bookmarkEnd w:id="6054"/>
    <w:bookmarkStart w:name="z6065" w:id="6055"/>
    <w:p>
      <w:pPr>
        <w:spacing w:after="0"/>
        <w:ind w:left="0"/>
        <w:jc w:val="both"/>
      </w:pPr>
      <w:r>
        <w:rPr>
          <w:rFonts w:ascii="Times New Roman"/>
          <w:b w:val="false"/>
          <w:i w:val="false"/>
          <w:color w:val="000000"/>
          <w:sz w:val="28"/>
        </w:rPr>
        <w:t>
      1958. Требования настоящего подраздела применяются при проектировании судов, кили которых будут заложены или которые будут находиться в подобной стадии постройки 1 января 2009 года или после этой даты, и распространяются на:</w:t>
      </w:r>
    </w:p>
    <w:bookmarkEnd w:id="6055"/>
    <w:bookmarkStart w:name="z6066" w:id="6056"/>
    <w:p>
      <w:pPr>
        <w:spacing w:after="0"/>
        <w:ind w:left="0"/>
        <w:jc w:val="both"/>
      </w:pPr>
      <w:r>
        <w:rPr>
          <w:rFonts w:ascii="Times New Roman"/>
          <w:b w:val="false"/>
          <w:i w:val="false"/>
          <w:color w:val="000000"/>
          <w:sz w:val="28"/>
        </w:rPr>
        <w:t>
      1) пассажирские суда;</w:t>
      </w:r>
    </w:p>
    <w:bookmarkEnd w:id="6056"/>
    <w:bookmarkStart w:name="z6067" w:id="6057"/>
    <w:p>
      <w:pPr>
        <w:spacing w:after="0"/>
        <w:ind w:left="0"/>
        <w:jc w:val="both"/>
      </w:pPr>
      <w:r>
        <w:rPr>
          <w:rFonts w:ascii="Times New Roman"/>
          <w:b w:val="false"/>
          <w:i w:val="false"/>
          <w:color w:val="000000"/>
          <w:sz w:val="28"/>
        </w:rPr>
        <w:t>
      2) нефтеналивные суда;</w:t>
      </w:r>
    </w:p>
    <w:bookmarkEnd w:id="6057"/>
    <w:bookmarkStart w:name="z6068" w:id="6058"/>
    <w:p>
      <w:pPr>
        <w:spacing w:after="0"/>
        <w:ind w:left="0"/>
        <w:jc w:val="both"/>
      </w:pPr>
      <w:r>
        <w:rPr>
          <w:rFonts w:ascii="Times New Roman"/>
          <w:b w:val="false"/>
          <w:i w:val="false"/>
          <w:color w:val="000000"/>
          <w:sz w:val="28"/>
        </w:rPr>
        <w:t xml:space="preserve">
      3) рыболовные суда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100 м;</w:t>
      </w:r>
    </w:p>
    <w:bookmarkEnd w:id="6058"/>
    <w:bookmarkStart w:name="z6069" w:id="6059"/>
    <w:p>
      <w:pPr>
        <w:spacing w:after="0"/>
        <w:ind w:left="0"/>
        <w:jc w:val="both"/>
      </w:pPr>
      <w:r>
        <w:rPr>
          <w:rFonts w:ascii="Times New Roman"/>
          <w:b w:val="false"/>
          <w:i w:val="false"/>
          <w:color w:val="000000"/>
          <w:sz w:val="28"/>
        </w:rPr>
        <w:t>
      4) суда типа А и суда типа В с уменьшенным надводным бортом, указанные в пунктах 156 и 161 Правил о грузовой марке;</w:t>
      </w:r>
    </w:p>
    <w:bookmarkEnd w:id="6059"/>
    <w:bookmarkStart w:name="z6070" w:id="6060"/>
    <w:p>
      <w:pPr>
        <w:spacing w:after="0"/>
        <w:ind w:left="0"/>
        <w:jc w:val="both"/>
      </w:pPr>
      <w:r>
        <w:rPr>
          <w:rFonts w:ascii="Times New Roman"/>
          <w:b w:val="false"/>
          <w:i w:val="false"/>
          <w:color w:val="000000"/>
          <w:sz w:val="28"/>
        </w:rPr>
        <w:t>
      7) суда специального назначения;</w:t>
      </w:r>
    </w:p>
    <w:bookmarkEnd w:id="6060"/>
    <w:bookmarkStart w:name="z6071" w:id="6061"/>
    <w:p>
      <w:pPr>
        <w:spacing w:after="0"/>
        <w:ind w:left="0"/>
        <w:jc w:val="both"/>
      </w:pPr>
      <w:r>
        <w:rPr>
          <w:rFonts w:ascii="Times New Roman"/>
          <w:b w:val="false"/>
          <w:i w:val="false"/>
          <w:color w:val="000000"/>
          <w:sz w:val="28"/>
        </w:rPr>
        <w:t>
      8) суда обеспечения;</w:t>
      </w:r>
    </w:p>
    <w:bookmarkEnd w:id="6061"/>
    <w:bookmarkStart w:name="z6072" w:id="6062"/>
    <w:p>
      <w:pPr>
        <w:spacing w:after="0"/>
        <w:ind w:left="0"/>
        <w:jc w:val="both"/>
      </w:pPr>
      <w:r>
        <w:rPr>
          <w:rFonts w:ascii="Times New Roman"/>
          <w:b w:val="false"/>
          <w:i w:val="false"/>
          <w:color w:val="000000"/>
          <w:sz w:val="28"/>
        </w:rPr>
        <w:t>
      10) грузовые суда длиной 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не перечисленные выше;</w:t>
      </w:r>
    </w:p>
    <w:bookmarkEnd w:id="6062"/>
    <w:bookmarkStart w:name="z6073" w:id="6063"/>
    <w:p>
      <w:pPr>
        <w:spacing w:after="0"/>
        <w:ind w:left="0"/>
        <w:jc w:val="both"/>
      </w:pPr>
      <w:r>
        <w:rPr>
          <w:rFonts w:ascii="Times New Roman"/>
          <w:b w:val="false"/>
          <w:i w:val="false"/>
          <w:color w:val="000000"/>
          <w:sz w:val="28"/>
        </w:rPr>
        <w:t>
      11) сухогрузные суда длиной L</w:t>
      </w:r>
      <w:r>
        <w:rPr>
          <w:rFonts w:ascii="Times New Roman"/>
          <w:b w:val="false"/>
          <w:i w:val="false"/>
          <w:color w:val="000000"/>
          <w:vertAlign w:val="subscript"/>
        </w:rPr>
        <w:t>s</w:t>
      </w:r>
      <w:r>
        <w:rPr>
          <w:rFonts w:ascii="Times New Roman"/>
          <w:b w:val="false"/>
          <w:i w:val="false"/>
          <w:color w:val="000000"/>
          <w:sz w:val="28"/>
        </w:rPr>
        <w:t xml:space="preserve"> &lt; 80 м (пункт 1976 настоящих Правил);</w:t>
      </w:r>
    </w:p>
    <w:bookmarkEnd w:id="6063"/>
    <w:bookmarkStart w:name="z6074" w:id="6064"/>
    <w:p>
      <w:pPr>
        <w:spacing w:after="0"/>
        <w:ind w:left="0"/>
        <w:jc w:val="both"/>
      </w:pPr>
      <w:r>
        <w:rPr>
          <w:rFonts w:ascii="Times New Roman"/>
          <w:b w:val="false"/>
          <w:i w:val="false"/>
          <w:color w:val="000000"/>
          <w:sz w:val="28"/>
        </w:rPr>
        <w:t xml:space="preserve">
      12) ледоколы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50 м;</w:t>
      </w:r>
    </w:p>
    <w:bookmarkEnd w:id="6064"/>
    <w:bookmarkStart w:name="z6075" w:id="6065"/>
    <w:p>
      <w:pPr>
        <w:spacing w:after="0"/>
        <w:ind w:left="0"/>
        <w:jc w:val="both"/>
      </w:pPr>
      <w:r>
        <w:rPr>
          <w:rFonts w:ascii="Times New Roman"/>
          <w:b w:val="false"/>
          <w:i w:val="false"/>
          <w:color w:val="000000"/>
          <w:sz w:val="28"/>
        </w:rPr>
        <w:t xml:space="preserve">
      13) буксиры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40 м;</w:t>
      </w:r>
    </w:p>
    <w:bookmarkEnd w:id="6065"/>
    <w:bookmarkStart w:name="z6076" w:id="6066"/>
    <w:p>
      <w:pPr>
        <w:spacing w:after="0"/>
        <w:ind w:left="0"/>
        <w:jc w:val="both"/>
      </w:pPr>
      <w:r>
        <w:rPr>
          <w:rFonts w:ascii="Times New Roman"/>
          <w:b w:val="false"/>
          <w:i w:val="false"/>
          <w:color w:val="000000"/>
          <w:sz w:val="28"/>
        </w:rPr>
        <w:t xml:space="preserve">
      14) земснаряды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40 м, трюмные земснаряды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60 м;</w:t>
      </w:r>
    </w:p>
    <w:bookmarkEnd w:id="6066"/>
    <w:bookmarkStart w:name="z6077" w:id="6067"/>
    <w:p>
      <w:pPr>
        <w:spacing w:after="0"/>
        <w:ind w:left="0"/>
        <w:jc w:val="both"/>
      </w:pPr>
      <w:r>
        <w:rPr>
          <w:rFonts w:ascii="Times New Roman"/>
          <w:b w:val="false"/>
          <w:i w:val="false"/>
          <w:color w:val="000000"/>
          <w:sz w:val="28"/>
        </w:rPr>
        <w:t>
      15) спасательные суда;</w:t>
      </w:r>
    </w:p>
    <w:bookmarkEnd w:id="6067"/>
    <w:bookmarkStart w:name="z6078" w:id="6068"/>
    <w:p>
      <w:pPr>
        <w:spacing w:after="0"/>
        <w:ind w:left="0"/>
        <w:jc w:val="both"/>
      </w:pPr>
      <w:r>
        <w:rPr>
          <w:rFonts w:ascii="Times New Roman"/>
          <w:b w:val="false"/>
          <w:i w:val="false"/>
          <w:color w:val="000000"/>
          <w:sz w:val="28"/>
        </w:rPr>
        <w:t>
      16) буровые суда;</w:t>
      </w:r>
    </w:p>
    <w:bookmarkEnd w:id="6068"/>
    <w:bookmarkStart w:name="z6079" w:id="6069"/>
    <w:p>
      <w:pPr>
        <w:spacing w:after="0"/>
        <w:ind w:left="0"/>
        <w:jc w:val="both"/>
      </w:pPr>
      <w:r>
        <w:rPr>
          <w:rFonts w:ascii="Times New Roman"/>
          <w:b w:val="false"/>
          <w:i w:val="false"/>
          <w:color w:val="000000"/>
          <w:sz w:val="28"/>
        </w:rPr>
        <w:t>
      17) плавучие маяки;</w:t>
      </w:r>
    </w:p>
    <w:bookmarkEnd w:id="6069"/>
    <w:bookmarkStart w:name="z6080" w:id="6070"/>
    <w:p>
      <w:pPr>
        <w:spacing w:after="0"/>
        <w:ind w:left="0"/>
        <w:jc w:val="both"/>
      </w:pPr>
      <w:r>
        <w:rPr>
          <w:rFonts w:ascii="Times New Roman"/>
          <w:b w:val="false"/>
          <w:i w:val="false"/>
          <w:color w:val="000000"/>
          <w:sz w:val="28"/>
        </w:rPr>
        <w:t>
      19) стоечные суда, используемые как плав-гостиницы и/или, если на их борту может находиться более 100 человек;</w:t>
      </w:r>
    </w:p>
    <w:bookmarkEnd w:id="6070"/>
    <w:bookmarkStart w:name="z6081" w:id="6071"/>
    <w:p>
      <w:pPr>
        <w:spacing w:after="0"/>
        <w:ind w:left="0"/>
        <w:jc w:val="both"/>
      </w:pPr>
      <w:r>
        <w:rPr>
          <w:rFonts w:ascii="Times New Roman"/>
          <w:b w:val="false"/>
          <w:i w:val="false"/>
          <w:color w:val="000000"/>
          <w:sz w:val="28"/>
        </w:rPr>
        <w:t>
      20) навалочные суда, рудовозы и комбинированные суда, находящиеся в эксплуатации, время постройки которых оговорено в главе 137 настоящих Правил;</w:t>
      </w:r>
    </w:p>
    <w:bookmarkEnd w:id="6071"/>
    <w:bookmarkStart w:name="z6082" w:id="6072"/>
    <w:p>
      <w:pPr>
        <w:spacing w:after="0"/>
        <w:ind w:left="0"/>
        <w:jc w:val="both"/>
      </w:pPr>
      <w:r>
        <w:rPr>
          <w:rFonts w:ascii="Times New Roman"/>
          <w:b w:val="false"/>
          <w:i w:val="false"/>
          <w:color w:val="000000"/>
          <w:sz w:val="28"/>
        </w:rPr>
        <w:t xml:space="preserve">
      21) грузовые суда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&lt;100 м, не являющиеся навалочными, которые имеют только один грузовой трюм или грузовые трюмы, не разделенные водонепроницаемой переборкой до палубы надводного борта (параграф 3 главы 135 настоящих Правил).</w:t>
      </w:r>
    </w:p>
    <w:bookmarkEnd w:id="6072"/>
    <w:bookmarkStart w:name="z6083" w:id="6073"/>
    <w:p>
      <w:pPr>
        <w:spacing w:after="0"/>
        <w:ind w:left="0"/>
        <w:jc w:val="both"/>
      </w:pPr>
      <w:r>
        <w:rPr>
          <w:rFonts w:ascii="Times New Roman"/>
          <w:b w:val="false"/>
          <w:i w:val="false"/>
          <w:color w:val="000000"/>
          <w:sz w:val="28"/>
        </w:rPr>
        <w:t>
      1959. Для судов, на которые действие требований настоящего раздела не распространяются, рекомендуется принимать все меры, допускаемые назначением и условиями эксплуатации для достижения возможно лучших характеристик деления на отсеки.</w:t>
      </w:r>
    </w:p>
    <w:bookmarkEnd w:id="6073"/>
    <w:bookmarkStart w:name="z6084" w:id="6074"/>
    <w:p>
      <w:pPr>
        <w:spacing w:after="0"/>
        <w:ind w:left="0"/>
        <w:jc w:val="both"/>
      </w:pPr>
      <w:r>
        <w:rPr>
          <w:rFonts w:ascii="Times New Roman"/>
          <w:b w:val="false"/>
          <w:i w:val="false"/>
          <w:color w:val="000000"/>
          <w:sz w:val="28"/>
        </w:rPr>
        <w:t>
      Однако, если, по желанию судовладельца, в символе класса такого судна предусматривается знак деления на отсеки, необходимо чтобы оно отвечало требованиям настоящего раздела в полном объеме.</w:t>
      </w:r>
    </w:p>
    <w:bookmarkEnd w:id="6074"/>
    <w:bookmarkStart w:name="z6085" w:id="6075"/>
    <w:p>
      <w:pPr>
        <w:spacing w:after="0"/>
        <w:ind w:left="0"/>
        <w:jc w:val="both"/>
      </w:pPr>
      <w:r>
        <w:rPr>
          <w:rFonts w:ascii="Times New Roman"/>
          <w:b w:val="false"/>
          <w:i w:val="false"/>
          <w:color w:val="000000"/>
          <w:sz w:val="28"/>
        </w:rPr>
        <w:t>
      Применимость требований настоящего раздела к судам новых типов определяется по согласованию с Регистром судоходства.</w:t>
      </w:r>
    </w:p>
    <w:bookmarkEnd w:id="6075"/>
    <w:bookmarkStart w:name="z6086" w:id="6076"/>
    <w:p>
      <w:pPr>
        <w:spacing w:after="0"/>
        <w:ind w:left="0"/>
        <w:jc w:val="both"/>
      </w:pPr>
      <w:r>
        <w:rPr>
          <w:rFonts w:ascii="Times New Roman"/>
          <w:b w:val="false"/>
          <w:i w:val="false"/>
          <w:color w:val="000000"/>
          <w:sz w:val="28"/>
        </w:rPr>
        <w:t>
      1960. Требования главы 136 настоящих Правил применяются к судам типа А и судам типа В с уменьшенным надводным бортом при подтверждении выполнения требований пунктов 155-167 Правил о грузовой марке, к делению на отсеки этих судов.</w:t>
      </w:r>
    </w:p>
    <w:bookmarkEnd w:id="6076"/>
    <w:bookmarkStart w:name="z6087" w:id="6077"/>
    <w:p>
      <w:pPr>
        <w:spacing w:after="0"/>
        <w:ind w:left="0"/>
        <w:jc w:val="both"/>
      </w:pPr>
      <w:r>
        <w:rPr>
          <w:rFonts w:ascii="Times New Roman"/>
          <w:b w:val="false"/>
          <w:i w:val="false"/>
          <w:color w:val="000000"/>
          <w:sz w:val="28"/>
        </w:rPr>
        <w:t>
      1961. При выполнении расчетов, требуемых главой 136 настоящих Правил, учитывают расчеты, выполненные в соответствии с требованиями глав 134 и 135 настоящих Правил.</w:t>
      </w:r>
    </w:p>
    <w:bookmarkEnd w:id="6077"/>
    <w:bookmarkStart w:name="z6088" w:id="6078"/>
    <w:p>
      <w:pPr>
        <w:spacing w:after="0"/>
        <w:ind w:left="0"/>
        <w:jc w:val="both"/>
      </w:pPr>
      <w:r>
        <w:rPr>
          <w:rFonts w:ascii="Times New Roman"/>
          <w:b w:val="false"/>
          <w:i w:val="false"/>
          <w:color w:val="000000"/>
          <w:sz w:val="28"/>
        </w:rPr>
        <w:t>
      Линия киля проходит в сечении мидель-шпангоута параллельно наклону киля:</w:t>
      </w:r>
    </w:p>
    <w:bookmarkEnd w:id="6078"/>
    <w:bookmarkStart w:name="z6089" w:id="6079"/>
    <w:p>
      <w:pPr>
        <w:spacing w:after="0"/>
        <w:ind w:left="0"/>
        <w:jc w:val="both"/>
      </w:pPr>
      <w:r>
        <w:rPr>
          <w:rFonts w:ascii="Times New Roman"/>
          <w:b w:val="false"/>
          <w:i w:val="false"/>
          <w:color w:val="000000"/>
          <w:sz w:val="28"/>
        </w:rPr>
        <w:t>
      1) через верхнюю кромку киля в диаметральной плоскости или через линию пересечения внутренней стороны обшивки борта с килем, если брусковый киль проходит ниже этой линии на судне с металлической обшивкой;</w:t>
      </w:r>
    </w:p>
    <w:bookmarkEnd w:id="6079"/>
    <w:bookmarkStart w:name="z6090" w:id="6080"/>
    <w:p>
      <w:pPr>
        <w:spacing w:after="0"/>
        <w:ind w:left="0"/>
        <w:jc w:val="both"/>
      </w:pPr>
      <w:r>
        <w:rPr>
          <w:rFonts w:ascii="Times New Roman"/>
          <w:b w:val="false"/>
          <w:i w:val="false"/>
          <w:color w:val="000000"/>
          <w:sz w:val="28"/>
        </w:rPr>
        <w:t>
      2) на деревянных и композитных судах это расстояние измеряется от нижней кромки шпунта в киле. Если днище судна в сечении мидель-шпангоута имеет вогнутую форму или если имеются утолщенные шпунтовые поясья, то это расстояние измеряется от точки пересечения продолженной плоской части днища с диаметральной плоскостью на мидель-шпангоуте;</w:t>
      </w:r>
    </w:p>
    <w:bookmarkEnd w:id="6080"/>
    <w:bookmarkStart w:name="z6091" w:id="6081"/>
    <w:p>
      <w:pPr>
        <w:spacing w:after="0"/>
        <w:ind w:left="0"/>
        <w:jc w:val="both"/>
      </w:pPr>
      <w:r>
        <w:rPr>
          <w:rFonts w:ascii="Times New Roman"/>
          <w:b w:val="false"/>
          <w:i w:val="false"/>
          <w:color w:val="000000"/>
          <w:sz w:val="28"/>
        </w:rPr>
        <w:t>
      1962. Во всех расчетных случаях затопления принимается только одна пробоина в корпусе и учитывается только одна свободная поверхность влившейся после аварии забортной воды. При этом пробоина считается имеющей форму прямоугольного параллелепипеда.</w:t>
      </w:r>
    </w:p>
    <w:bookmarkEnd w:id="6081"/>
    <w:bookmarkStart w:name="z6092" w:id="6082"/>
    <w:p>
      <w:pPr>
        <w:spacing w:after="0"/>
        <w:ind w:left="0"/>
        <w:jc w:val="both"/>
      </w:pPr>
      <w:r>
        <w:rPr>
          <w:rFonts w:ascii="Times New Roman"/>
          <w:b w:val="false"/>
          <w:i w:val="false"/>
          <w:color w:val="000000"/>
          <w:sz w:val="28"/>
        </w:rPr>
        <w:t>
      1963. Все линейные размеры величин, имеющиеся в настоящем разделе, приняты в метрах.</w:t>
      </w:r>
    </w:p>
    <w:bookmarkEnd w:id="6082"/>
    <w:bookmarkStart w:name="z6093" w:id="6083"/>
    <w:p>
      <w:pPr>
        <w:spacing w:after="0"/>
        <w:ind w:left="0"/>
        <w:jc w:val="left"/>
      </w:pPr>
      <w:r>
        <w:rPr>
          <w:rFonts w:ascii="Times New Roman"/>
          <w:b/>
          <w:i w:val="false"/>
          <w:color w:val="000000"/>
        </w:rPr>
        <w:t xml:space="preserve"> Параграф 2. Объем освидетельствований</w:t>
      </w:r>
    </w:p>
    <w:bookmarkEnd w:id="6083"/>
    <w:bookmarkStart w:name="z6094" w:id="6084"/>
    <w:p>
      <w:pPr>
        <w:spacing w:after="0"/>
        <w:ind w:left="0"/>
        <w:jc w:val="both"/>
      </w:pPr>
      <w:r>
        <w:rPr>
          <w:rFonts w:ascii="Times New Roman"/>
          <w:b w:val="false"/>
          <w:i w:val="false"/>
          <w:color w:val="000000"/>
          <w:sz w:val="28"/>
        </w:rPr>
        <w:t>
      1964. Положения, относящиеся к порядку классификации, освидетельствованиям при постройке и классификационным освидетельствованиям, а также требования к технической документации, представляемой на рассмотрение Регистру судоходства, изложены в части 1 настоящих Правил.</w:t>
      </w:r>
    </w:p>
    <w:bookmarkEnd w:id="6084"/>
    <w:bookmarkStart w:name="z6095" w:id="6085"/>
    <w:p>
      <w:pPr>
        <w:spacing w:after="0"/>
        <w:ind w:left="0"/>
        <w:jc w:val="both"/>
      </w:pPr>
      <w:r>
        <w:rPr>
          <w:rFonts w:ascii="Times New Roman"/>
          <w:b w:val="false"/>
          <w:i w:val="false"/>
          <w:color w:val="000000"/>
          <w:sz w:val="28"/>
        </w:rPr>
        <w:t>
      1965. Для каждого судна, отвечающего требованиям настоящего раздела, Регистр судоходства осуществляет:</w:t>
      </w:r>
    </w:p>
    <w:bookmarkEnd w:id="6085"/>
    <w:bookmarkStart w:name="z6096" w:id="6086"/>
    <w:p>
      <w:pPr>
        <w:spacing w:after="0"/>
        <w:ind w:left="0"/>
        <w:jc w:val="both"/>
      </w:pPr>
      <w:r>
        <w:rPr>
          <w:rFonts w:ascii="Times New Roman"/>
          <w:b w:val="false"/>
          <w:i w:val="false"/>
          <w:color w:val="000000"/>
          <w:sz w:val="28"/>
        </w:rPr>
        <w:t>
      1) проверку соответствия конструктивных мероприятий, связанных с делением на отсеки, требованиям, указанным в параграфе 4 главы 8, главы 21 подраздела 4 раздела 5, подразделов 2, 4, 5, раздела 10, и глав 254- 261, 283, 284, 288 настоящих Правил;</w:t>
      </w:r>
    </w:p>
    <w:bookmarkEnd w:id="6086"/>
    <w:bookmarkStart w:name="z6097" w:id="6087"/>
    <w:p>
      <w:pPr>
        <w:spacing w:after="0"/>
        <w:ind w:left="0"/>
        <w:jc w:val="both"/>
      </w:pPr>
      <w:r>
        <w:rPr>
          <w:rFonts w:ascii="Times New Roman"/>
          <w:b w:val="false"/>
          <w:i w:val="false"/>
          <w:color w:val="000000"/>
          <w:sz w:val="28"/>
        </w:rPr>
        <w:t>
      2) рассмотрение и одобрение Информации об аварийной посадке и остойчивости, Наставления по использованию аварийно-предупредительной сигнализации появления воды в отсеках судна, предусмотренного пунктом 2179 настоящих Правил, Схемы по борьбе за живучесть и рассмотрение предусмотренной пунктом 1976 настоящих Правил Информации о последствиях затопления отсеков (принимается к сведению);</w:t>
      </w:r>
    </w:p>
    <w:bookmarkEnd w:id="6087"/>
    <w:bookmarkStart w:name="z6098" w:id="6088"/>
    <w:p>
      <w:pPr>
        <w:spacing w:after="0"/>
        <w:ind w:left="0"/>
        <w:jc w:val="both"/>
      </w:pPr>
      <w:r>
        <w:rPr>
          <w:rFonts w:ascii="Times New Roman"/>
          <w:b w:val="false"/>
          <w:i w:val="false"/>
          <w:color w:val="000000"/>
          <w:sz w:val="28"/>
        </w:rPr>
        <w:t>
      3) проверку правильности назначения и нанесения дополнительных грузовых марок, соответствующих грузовым ватерлиниям деления судна на отсеки;</w:t>
      </w:r>
    </w:p>
    <w:bookmarkEnd w:id="6088"/>
    <w:bookmarkStart w:name="z6099" w:id="6089"/>
    <w:p>
      <w:pPr>
        <w:spacing w:after="0"/>
        <w:ind w:left="0"/>
        <w:jc w:val="both"/>
      </w:pPr>
      <w:r>
        <w:rPr>
          <w:rFonts w:ascii="Times New Roman"/>
          <w:b w:val="false"/>
          <w:i w:val="false"/>
          <w:color w:val="000000"/>
          <w:sz w:val="28"/>
        </w:rPr>
        <w:t>
      4) рассмотрение и одобрение установленной на судне ЭВМ и соответствующего программного обеспечения в случае, если для оценки аварийной посадки и остойчивости предусмотрено ее использование.</w:t>
      </w:r>
    </w:p>
    <w:bookmarkEnd w:id="6089"/>
    <w:bookmarkStart w:name="z6100" w:id="6090"/>
    <w:p>
      <w:pPr>
        <w:spacing w:after="0"/>
        <w:ind w:left="0"/>
        <w:jc w:val="left"/>
      </w:pPr>
      <w:r>
        <w:rPr>
          <w:rFonts w:ascii="Times New Roman"/>
          <w:b/>
          <w:i w:val="false"/>
          <w:color w:val="000000"/>
        </w:rPr>
        <w:t xml:space="preserve"> Параграф 2. Общие технические требования</w:t>
      </w:r>
    </w:p>
    <w:bookmarkEnd w:id="6090"/>
    <w:bookmarkStart w:name="z6101" w:id="6091"/>
    <w:p>
      <w:pPr>
        <w:spacing w:after="0"/>
        <w:ind w:left="0"/>
        <w:jc w:val="both"/>
      </w:pPr>
      <w:r>
        <w:rPr>
          <w:rFonts w:ascii="Times New Roman"/>
          <w:b w:val="false"/>
          <w:i w:val="false"/>
          <w:color w:val="000000"/>
          <w:sz w:val="28"/>
        </w:rPr>
        <w:t>
      1966. Суда имеют как можно более эффективное деление на отсеки с учетом характера эксплуатации, для которой они предназначены. Степень деления судна на отсеки изменяется в зависимости от района плавания, размеров судна и числа людей на борту таким образом, чтобы высшая степень деления на отсеки соответствовала судам, имеющим наибольшую длину и занятым преимущественно перевозкой пассажиров.</w:t>
      </w:r>
    </w:p>
    <w:bookmarkEnd w:id="6091"/>
    <w:bookmarkStart w:name="z6102" w:id="6092"/>
    <w:p>
      <w:pPr>
        <w:spacing w:after="0"/>
        <w:ind w:left="0"/>
        <w:jc w:val="both"/>
      </w:pPr>
      <w:r>
        <w:rPr>
          <w:rFonts w:ascii="Times New Roman"/>
          <w:b w:val="false"/>
          <w:i w:val="false"/>
          <w:color w:val="000000"/>
          <w:sz w:val="28"/>
        </w:rPr>
        <w:t>
      1967. Ни в коем случае ни одна из грузовых ватерлиний деления на отсеки не принимается выше самой высокой грузовой ватерлинии в соленой воде, определенной, исходя из условия обеспечения прочности судна или в соответствии с Правилами о грузовой марке.</w:t>
      </w:r>
    </w:p>
    <w:bookmarkEnd w:id="6092"/>
    <w:bookmarkStart w:name="z6103" w:id="6093"/>
    <w:p>
      <w:pPr>
        <w:spacing w:after="0"/>
        <w:ind w:left="0"/>
        <w:jc w:val="both"/>
      </w:pPr>
      <w:r>
        <w:rPr>
          <w:rFonts w:ascii="Times New Roman"/>
          <w:b w:val="false"/>
          <w:i w:val="false"/>
          <w:color w:val="000000"/>
          <w:sz w:val="28"/>
        </w:rPr>
        <w:t>
      Положение установленной для данного судна грузовой ватерлинии деления на отсеки отмечается на бортах судна и в документах Регистра судоходства в соответствии с Правилами о грузовой марке.</w:t>
      </w:r>
    </w:p>
    <w:bookmarkEnd w:id="6093"/>
    <w:bookmarkStart w:name="z6104" w:id="6094"/>
    <w:p>
      <w:pPr>
        <w:spacing w:after="0"/>
        <w:ind w:left="0"/>
        <w:jc w:val="both"/>
      </w:pPr>
      <w:r>
        <w:rPr>
          <w:rFonts w:ascii="Times New Roman"/>
          <w:b w:val="false"/>
          <w:i w:val="false"/>
          <w:color w:val="000000"/>
          <w:sz w:val="28"/>
        </w:rPr>
        <w:t>
      1968. Объемы и площади во всех случаях вычисляются до теоретических обводов. Количество влившейся воды и элементы свободных поверхностей в отсеках железобетонных, пластмассовых, деревянных и композитных судов вычисляются до внутренних обводов.</w:t>
      </w:r>
    </w:p>
    <w:bookmarkEnd w:id="6094"/>
    <w:bookmarkStart w:name="z6105" w:id="6095"/>
    <w:p>
      <w:pPr>
        <w:spacing w:after="0"/>
        <w:ind w:left="0"/>
        <w:jc w:val="both"/>
      </w:pPr>
      <w:r>
        <w:rPr>
          <w:rFonts w:ascii="Times New Roman"/>
          <w:b w:val="false"/>
          <w:i w:val="false"/>
          <w:color w:val="000000"/>
          <w:sz w:val="28"/>
        </w:rPr>
        <w:t>
      1969. При определении начальной метацентрической высоты поврежденного судна поправки на влияние свободных поверхностей жидкого груза, судовых запасов и балласта учитываются таким же образом, как в расчетах остойчивости неповрежденного судна в соответствии с параграфом 5 главы 91 настоящих Правил.</w:t>
      </w:r>
    </w:p>
    <w:bookmarkEnd w:id="6095"/>
    <w:bookmarkStart w:name="z6106" w:id="6096"/>
    <w:p>
      <w:pPr>
        <w:spacing w:after="0"/>
        <w:ind w:left="0"/>
        <w:jc w:val="both"/>
      </w:pPr>
      <w:r>
        <w:rPr>
          <w:rFonts w:ascii="Times New Roman"/>
          <w:b w:val="false"/>
          <w:i w:val="false"/>
          <w:color w:val="000000"/>
          <w:sz w:val="28"/>
        </w:rPr>
        <w:t>
      При построении диаграмм статической остойчивости поврежденного судна закрытые надстройки, ящики и рубки, углы заливания через считающиеся открытыми отверстия в бортах, палубах и переборках корпуса и надстроек, а также поправки на влияние жидких грузов учитываются таким же образом, как при построении диаграмм неповрежденного судна в соответствии с параграфом 7 главы 91 настоящих Правил.</w:t>
      </w:r>
    </w:p>
    <w:bookmarkEnd w:id="6096"/>
    <w:bookmarkStart w:name="z6107" w:id="6097"/>
    <w:p>
      <w:pPr>
        <w:spacing w:after="0"/>
        <w:ind w:left="0"/>
        <w:jc w:val="both"/>
      </w:pPr>
      <w:r>
        <w:rPr>
          <w:rFonts w:ascii="Times New Roman"/>
          <w:b w:val="false"/>
          <w:i w:val="false"/>
          <w:color w:val="000000"/>
          <w:sz w:val="28"/>
        </w:rPr>
        <w:t>
      Надстройки, ящики и рубки, получившие повреждения, принимаются в расчет только с коэффициентами проницаемости, указанными в параграфе 6 главы 133 настоящих Правил, или вообще не учитываться. Находящиеся внутри них отверстия для доступа в незатопленные помещения считаются открытыми для заливания при соответствующих углах крена в тех случаях, когда они не имеют штатных устройств для закрытия, непроницаемых при воздействии моря.</w:t>
      </w:r>
    </w:p>
    <w:bookmarkEnd w:id="6097"/>
    <w:bookmarkStart w:name="z6108" w:id="6098"/>
    <w:p>
      <w:pPr>
        <w:spacing w:after="0"/>
        <w:ind w:left="0"/>
        <w:jc w:val="both"/>
      </w:pPr>
      <w:r>
        <w:rPr>
          <w:rFonts w:ascii="Times New Roman"/>
          <w:b w:val="false"/>
          <w:i w:val="false"/>
          <w:color w:val="000000"/>
          <w:sz w:val="28"/>
        </w:rPr>
        <w:t>
      1970. При выполнении расчетов аварийной посадки и остойчивости учитывают изменение исходной (до повреждения) нагрузки судна от замещения жидких грузов в поврежденных цистернах и танках забортной водой, с учетом исчезновения свободной поверхности этих грузов в затопленных танках, находящихся ниже аварийной ватерлинии.</w:t>
      </w:r>
    </w:p>
    <w:bookmarkEnd w:id="6098"/>
    <w:bookmarkStart w:name="z6109" w:id="6099"/>
    <w:p>
      <w:pPr>
        <w:spacing w:after="0"/>
        <w:ind w:left="0"/>
        <w:jc w:val="both"/>
      </w:pPr>
      <w:r>
        <w:rPr>
          <w:rFonts w:ascii="Times New Roman"/>
          <w:b w:val="false"/>
          <w:i w:val="false"/>
          <w:color w:val="000000"/>
          <w:sz w:val="28"/>
        </w:rPr>
        <w:t>
      1971. Суда, на которые распространяются требования настоящего раздела, снабжаются одобренной Регистром судоходства Информацией об аварийной посадке и остойчивости судна при затоплении отсеков и Схемой по борьбе за живучесть. Эти документы позволяют капитану учитывать при эксплуатации судна требования, связанные с делением на отсеки, и оценивать состояние судна при затоплении отсеков для принятия необходимых мер по сохранению поврежденного судна</w:t>
      </w:r>
    </w:p>
    <w:bookmarkEnd w:id="6099"/>
    <w:bookmarkStart w:name="z6110" w:id="6100"/>
    <w:p>
      <w:pPr>
        <w:spacing w:after="0"/>
        <w:ind w:left="0"/>
        <w:jc w:val="both"/>
      </w:pPr>
      <w:r>
        <w:rPr>
          <w:rFonts w:ascii="Times New Roman"/>
          <w:b w:val="false"/>
          <w:i w:val="false"/>
          <w:color w:val="000000"/>
          <w:sz w:val="28"/>
        </w:rPr>
        <w:t>
      1972. Информация об аварийной посадке и остойчивости содержит:</w:t>
      </w:r>
    </w:p>
    <w:bookmarkEnd w:id="6100"/>
    <w:bookmarkStart w:name="z6111" w:id="6101"/>
    <w:p>
      <w:pPr>
        <w:spacing w:after="0"/>
        <w:ind w:left="0"/>
        <w:jc w:val="both"/>
      </w:pPr>
      <w:r>
        <w:rPr>
          <w:rFonts w:ascii="Times New Roman"/>
          <w:b w:val="false"/>
          <w:i w:val="false"/>
          <w:color w:val="000000"/>
          <w:sz w:val="28"/>
        </w:rPr>
        <w:t>
      1) сведения о судне, включая его размерения и допустимые осадки при плавании на чистой воде и во льдах, схематический чертеж его продольного разреза, планов палуб и двойного дна, а также характерные поперечные сечения с указанием всех непроницаемых переборок и выгородок, отверстий в них, характера закрытий этих отверстий и приводов, отверстий воздушных и вентиляционных труб, а также схемы систем, используемых при борьбе за живучесть судна;</w:t>
      </w:r>
    </w:p>
    <w:bookmarkEnd w:id="6101"/>
    <w:bookmarkStart w:name="z6112" w:id="6102"/>
    <w:p>
      <w:pPr>
        <w:spacing w:after="0"/>
        <w:ind w:left="0"/>
        <w:jc w:val="both"/>
      </w:pPr>
      <w:r>
        <w:rPr>
          <w:rFonts w:ascii="Times New Roman"/>
          <w:b w:val="false"/>
          <w:i w:val="false"/>
          <w:color w:val="000000"/>
          <w:sz w:val="28"/>
        </w:rPr>
        <w:t>
      2) сведения, необходимые для поддержания остойчивости неповрежденного судна, достаточной для того, чтобы оно могло, в соответствии с требованиями настоящего раздела, выдержать самое опасное расчетное повреждение; инструктивные данные по загрузке и балластировке судна с рекомендациями по целесообразному в отношении принятого деления на отсеки распределению грузов, запасов и балласта, одновременно удовлетворяющему условиям дифферента, остойчивости и прочности судна в целом; краткий перечень требований к аварийной посадке и остойчивости судна;</w:t>
      </w:r>
    </w:p>
    <w:bookmarkEnd w:id="6102"/>
    <w:bookmarkStart w:name="z6113" w:id="6103"/>
    <w:p>
      <w:pPr>
        <w:spacing w:after="0"/>
        <w:ind w:left="0"/>
        <w:jc w:val="both"/>
      </w:pPr>
      <w:r>
        <w:rPr>
          <w:rFonts w:ascii="Times New Roman"/>
          <w:b w:val="false"/>
          <w:i w:val="false"/>
          <w:color w:val="000000"/>
          <w:sz w:val="28"/>
        </w:rPr>
        <w:t>
      3) диаграмму предельных возвышений центра тяжести судна (предельных моментов или минимальных метацентрических высот), построенную с учетом обеспечения выполнения требований настоящего подраздела и раздела 6 настоящих Правил;</w:t>
      </w:r>
    </w:p>
    <w:bookmarkEnd w:id="6103"/>
    <w:bookmarkStart w:name="z6114" w:id="6104"/>
    <w:p>
      <w:pPr>
        <w:spacing w:after="0"/>
        <w:ind w:left="0"/>
        <w:jc w:val="both"/>
      </w:pPr>
      <w:r>
        <w:rPr>
          <w:rFonts w:ascii="Times New Roman"/>
          <w:b w:val="false"/>
          <w:i w:val="false"/>
          <w:color w:val="000000"/>
          <w:sz w:val="28"/>
        </w:rPr>
        <w:t>
      4) сводку результатов расчетов симметричного и несимметричного затоплений, в которой приведены данные об исходной и аварийной посадке, крене, дифференте и метацентрической высоте как до, так и после принятия мер по спрямлению судна или улучшению остойчивости, а также рекомендуемые меры для этого и необходимое время. Приводят характеристики диаграмм статической остойчивости для худших случаев затопления судна;</w:t>
      </w:r>
    </w:p>
    <w:bookmarkEnd w:id="6104"/>
    <w:bookmarkStart w:name="z6115" w:id="6105"/>
    <w:p>
      <w:pPr>
        <w:spacing w:after="0"/>
        <w:ind w:left="0"/>
        <w:jc w:val="both"/>
      </w:pPr>
      <w:r>
        <w:rPr>
          <w:rFonts w:ascii="Times New Roman"/>
          <w:b w:val="false"/>
          <w:i w:val="false"/>
          <w:color w:val="000000"/>
          <w:sz w:val="28"/>
        </w:rPr>
        <w:t>
      5) сведения по конструктивному обеспечению деления судна на отсеки, использованию устройств для закрытия отверстий, устройств для перетока воды и аварийных средств, а также вытекающие из особенностей данного судна возможные последствия затопления, рекомендуемые и запрещенные действия экипажа при эксплуатации и авариях судна, связанных с затоплением.</w:t>
      </w:r>
    </w:p>
    <w:bookmarkEnd w:id="6105"/>
    <w:bookmarkStart w:name="z6116" w:id="6106"/>
    <w:p>
      <w:pPr>
        <w:spacing w:after="0"/>
        <w:ind w:left="0"/>
        <w:jc w:val="both"/>
      </w:pPr>
      <w:r>
        <w:rPr>
          <w:rFonts w:ascii="Times New Roman"/>
          <w:b w:val="false"/>
          <w:i w:val="false"/>
          <w:color w:val="000000"/>
          <w:sz w:val="28"/>
        </w:rPr>
        <w:t>
      1973. Схема по борьбе за живучесть разрабатывается в масштабе, приемлемом для работы, но не менее чем 1:200. На пассажирских судах схема постоянно висит на ходовом мостике. На грузовых судах схема постоянно висит или находится под рукой на ходовом мостике. Схема, содержащая продольный разрез, планы палуб, двойного дна и поперечные сечения, включает:</w:t>
      </w:r>
    </w:p>
    <w:bookmarkEnd w:id="6106"/>
    <w:bookmarkStart w:name="z6117" w:id="6107"/>
    <w:p>
      <w:pPr>
        <w:spacing w:after="0"/>
        <w:ind w:left="0"/>
        <w:jc w:val="both"/>
      </w:pPr>
      <w:r>
        <w:rPr>
          <w:rFonts w:ascii="Times New Roman"/>
          <w:b w:val="false"/>
          <w:i w:val="false"/>
          <w:color w:val="000000"/>
          <w:sz w:val="28"/>
        </w:rPr>
        <w:t>
      1) границы водонепроницаемых отсеков и цистерн;</w:t>
      </w:r>
    </w:p>
    <w:bookmarkEnd w:id="6107"/>
    <w:bookmarkStart w:name="z6118" w:id="6108"/>
    <w:p>
      <w:pPr>
        <w:spacing w:after="0"/>
        <w:ind w:left="0"/>
        <w:jc w:val="both"/>
      </w:pPr>
      <w:r>
        <w:rPr>
          <w:rFonts w:ascii="Times New Roman"/>
          <w:b w:val="false"/>
          <w:i w:val="false"/>
          <w:color w:val="000000"/>
          <w:sz w:val="28"/>
        </w:rPr>
        <w:t>
      2) балластную, осушительную, перепускную (спускную) системы, а также устройства для выравнивания крена, вызванного затоплением;</w:t>
      </w:r>
    </w:p>
    <w:bookmarkEnd w:id="6108"/>
    <w:bookmarkStart w:name="z6119" w:id="6109"/>
    <w:p>
      <w:pPr>
        <w:spacing w:after="0"/>
        <w:ind w:left="0"/>
        <w:jc w:val="both"/>
      </w:pPr>
      <w:r>
        <w:rPr>
          <w:rFonts w:ascii="Times New Roman"/>
          <w:b w:val="false"/>
          <w:i w:val="false"/>
          <w:color w:val="000000"/>
          <w:sz w:val="28"/>
        </w:rPr>
        <w:t>
      3) расположение отверстий в водонепроницаемых отсеках и средств их закрытия с указанием расположения органов управления этими средствами, средств индикации и сигнализации;</w:t>
      </w:r>
    </w:p>
    <w:bookmarkEnd w:id="6109"/>
    <w:bookmarkStart w:name="z6120" w:id="6110"/>
    <w:p>
      <w:pPr>
        <w:spacing w:after="0"/>
        <w:ind w:left="0"/>
        <w:jc w:val="both"/>
      </w:pPr>
      <w:r>
        <w:rPr>
          <w:rFonts w:ascii="Times New Roman"/>
          <w:b w:val="false"/>
          <w:i w:val="false"/>
          <w:color w:val="000000"/>
          <w:sz w:val="28"/>
        </w:rPr>
        <w:t>
      4) расположение дверей в наружной обшивке корпуса с указанием средств индикации, наблюдения и систем определения протечек;</w:t>
      </w:r>
    </w:p>
    <w:bookmarkEnd w:id="6110"/>
    <w:bookmarkStart w:name="z6121" w:id="6111"/>
    <w:p>
      <w:pPr>
        <w:spacing w:after="0"/>
        <w:ind w:left="0"/>
        <w:jc w:val="both"/>
      </w:pPr>
      <w:r>
        <w:rPr>
          <w:rFonts w:ascii="Times New Roman"/>
          <w:b w:val="false"/>
          <w:i w:val="false"/>
          <w:color w:val="000000"/>
          <w:sz w:val="28"/>
        </w:rPr>
        <w:t>
      5) расположение непроницаемых при воздействии моря закрытий над палубой переборок и на самой низкой непроницаемой при воздействии моря палубе с указанием средств индикации, если они применимы;</w:t>
      </w:r>
    </w:p>
    <w:bookmarkEnd w:id="6111"/>
    <w:bookmarkStart w:name="z6122" w:id="6112"/>
    <w:p>
      <w:pPr>
        <w:spacing w:after="0"/>
        <w:ind w:left="0"/>
        <w:jc w:val="both"/>
      </w:pPr>
      <w:r>
        <w:rPr>
          <w:rFonts w:ascii="Times New Roman"/>
          <w:b w:val="false"/>
          <w:i w:val="false"/>
          <w:color w:val="000000"/>
          <w:sz w:val="28"/>
        </w:rPr>
        <w:t>
      6) расположение осушительных и балластных насосов, их постов управления и клапанов.</w:t>
      </w:r>
    </w:p>
    <w:bookmarkEnd w:id="6112"/>
    <w:bookmarkStart w:name="z6123" w:id="6113"/>
    <w:p>
      <w:pPr>
        <w:spacing w:after="0"/>
        <w:ind w:left="0"/>
        <w:jc w:val="both"/>
      </w:pPr>
      <w:r>
        <w:rPr>
          <w:rFonts w:ascii="Times New Roman"/>
          <w:b w:val="false"/>
          <w:i w:val="false"/>
          <w:color w:val="000000"/>
          <w:sz w:val="28"/>
        </w:rPr>
        <w:t>
      1974. Информация об аварийной посадке и остойчивости составляется по данным Информации об остойчивости судна. Порядок распространения Информации об аварийной посадке и остойчивости с одного судна на другое аналогичен порядку распространения Информации об остойчивости, указанному в пункте 1528 настоящих Правил. Информацию об аварийной посадке и остойчивости допускается вводить в Информацию об остойчивости неповрежденного судна в виде отдельного раздела.</w:t>
      </w:r>
    </w:p>
    <w:bookmarkEnd w:id="6113"/>
    <w:bookmarkStart w:name="z6124" w:id="6114"/>
    <w:p>
      <w:pPr>
        <w:spacing w:after="0"/>
        <w:ind w:left="0"/>
        <w:jc w:val="both"/>
      </w:pPr>
      <w:r>
        <w:rPr>
          <w:rFonts w:ascii="Times New Roman"/>
          <w:b w:val="false"/>
          <w:i w:val="false"/>
          <w:color w:val="000000"/>
          <w:sz w:val="28"/>
        </w:rPr>
        <w:t>
      1975. Для оценки аварийной посадки и остойчивости судна рекомендуется использовать судовую ЭВМ. При этом необходимо чтобы соответствующее программное обеспечение имело допуск Регистра судоходства.</w:t>
      </w:r>
    </w:p>
    <w:bookmarkEnd w:id="6114"/>
    <w:bookmarkStart w:name="z6125" w:id="6115"/>
    <w:p>
      <w:pPr>
        <w:spacing w:after="0"/>
        <w:ind w:left="0"/>
        <w:jc w:val="both"/>
      </w:pPr>
      <w:r>
        <w:rPr>
          <w:rFonts w:ascii="Times New Roman"/>
          <w:b w:val="false"/>
          <w:i w:val="false"/>
          <w:color w:val="000000"/>
          <w:sz w:val="28"/>
        </w:rPr>
        <w:t>
      ЭВМ не заменяет Информацию об аварийной посадке и остойчивости.</w:t>
      </w:r>
    </w:p>
    <w:bookmarkEnd w:id="6115"/>
    <w:bookmarkStart w:name="z6126" w:id="6116"/>
    <w:p>
      <w:pPr>
        <w:spacing w:after="0"/>
        <w:ind w:left="0"/>
        <w:jc w:val="both"/>
      </w:pPr>
      <w:r>
        <w:rPr>
          <w:rFonts w:ascii="Times New Roman"/>
          <w:b w:val="false"/>
          <w:i w:val="false"/>
          <w:color w:val="000000"/>
          <w:sz w:val="28"/>
        </w:rPr>
        <w:t>
      1976. Сухогрузные суда длиной Ls менее 80 м снабжают Информацией о последствиях затопления отсеков. Эта Информация должна содержать сведения и документацию, указанные в пункте 1972 настоящих Правил, и результаты расчетов аварийной посадки и остойчивости судна при затоплении машинного отделения и каждого помещения для груза. Расчеты выполняются для двух осадок, одной из которых является осадка по летнюю грузовую марку. Максимально допустимое положение центра тяжести судна принимается в соответствии с Информацией об остойчивости судна. Коэффициенты проницаемости грузовых помещений должны приниматься с учетом предполагаемых к перевозке грузов и должны находиться в пределах 0,60 — 0,90. Информация о последствиях затопления отсеков содержит сводную таблицу результатов расчетов с указанием критических факторов и сведения, указанные в подпункте 5) пункта 1972 настоящих Правил.</w:t>
      </w:r>
    </w:p>
    <w:bookmarkEnd w:id="6116"/>
    <w:bookmarkStart w:name="z6127" w:id="6117"/>
    <w:p>
      <w:pPr>
        <w:spacing w:after="0"/>
        <w:ind w:left="0"/>
        <w:jc w:val="both"/>
      </w:pPr>
      <w:r>
        <w:rPr>
          <w:rFonts w:ascii="Times New Roman"/>
          <w:b w:val="false"/>
          <w:i w:val="false"/>
          <w:color w:val="000000"/>
          <w:sz w:val="28"/>
        </w:rPr>
        <w:t>
      1977. Каждое судно на носу и корме имеет четко нанесенную шкалу осадок. В том случае, когда шкалы осадок расположены таким образом, что они не могут быть ясно видимы, или условия эксплуатации затрудняют снятие показаний со шкал осадок, судно оборудуют надежной системой измерения осадок, с помощью которой можно легко определить осадку носом и кормой.</w:t>
      </w:r>
    </w:p>
    <w:bookmarkEnd w:id="6117"/>
    <w:bookmarkStart w:name="z6128" w:id="6118"/>
    <w:p>
      <w:pPr>
        <w:spacing w:after="0"/>
        <w:ind w:left="0"/>
        <w:jc w:val="left"/>
      </w:pPr>
      <w:r>
        <w:rPr>
          <w:rFonts w:ascii="Times New Roman"/>
          <w:b/>
          <w:i w:val="false"/>
          <w:color w:val="000000"/>
        </w:rPr>
        <w:t xml:space="preserve"> Параграф 3. Условия удовлетворения требованиям</w:t>
      </w:r>
      <w:r>
        <w:br/>
      </w:r>
      <w:r>
        <w:rPr>
          <w:rFonts w:ascii="Times New Roman"/>
          <w:b/>
          <w:i w:val="false"/>
          <w:color w:val="000000"/>
        </w:rPr>
        <w:t>к делению на отсеки</w:t>
      </w:r>
    </w:p>
    <w:bookmarkEnd w:id="6118"/>
    <w:bookmarkStart w:name="z6129" w:id="6119"/>
    <w:p>
      <w:pPr>
        <w:spacing w:after="0"/>
        <w:ind w:left="0"/>
        <w:jc w:val="both"/>
      </w:pPr>
      <w:r>
        <w:rPr>
          <w:rFonts w:ascii="Times New Roman"/>
          <w:b w:val="false"/>
          <w:i w:val="false"/>
          <w:color w:val="000000"/>
          <w:sz w:val="28"/>
        </w:rPr>
        <w:t>
      1978. Деление судна на отсеки считается отвечающим требованиям настоящего раздела, если:</w:t>
      </w:r>
    </w:p>
    <w:bookmarkEnd w:id="6119"/>
    <w:bookmarkStart w:name="z6130" w:id="6120"/>
    <w:p>
      <w:pPr>
        <w:spacing w:after="0"/>
        <w:ind w:left="0"/>
        <w:jc w:val="both"/>
      </w:pPr>
      <w:r>
        <w:rPr>
          <w:rFonts w:ascii="Times New Roman"/>
          <w:b w:val="false"/>
          <w:i w:val="false"/>
          <w:color w:val="000000"/>
          <w:sz w:val="28"/>
        </w:rPr>
        <w:t xml:space="preserve">
      1) достижимый индекс деления на отсеки </w:t>
      </w:r>
      <w:r>
        <w:rPr>
          <w:rFonts w:ascii="Times New Roman"/>
          <w:b w:val="false"/>
          <w:i/>
          <w:color w:val="000000"/>
          <w:sz w:val="28"/>
        </w:rPr>
        <w:t>А</w:t>
      </w:r>
      <w:r>
        <w:rPr>
          <w:rFonts w:ascii="Times New Roman"/>
          <w:b w:val="false"/>
          <w:i w:val="false"/>
          <w:color w:val="000000"/>
          <w:sz w:val="28"/>
        </w:rPr>
        <w:t xml:space="preserve">, рассчитанный в соответствии с требованиями параграфа 3 главы 134 настоящих Правил, не меньше требуемого индекса деления на отсеки R, рассчитанного в соответствии с требованиями параграфа 2 главы 134 настоящих Правил, и кроме того, частичные индексы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p</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vertAlign w:val="subscript"/>
        </w:rPr>
        <w:t>г</w:t>
      </w:r>
      <w:r>
        <w:rPr>
          <w:rFonts w:ascii="Times New Roman"/>
          <w:b w:val="false"/>
          <w:i w:val="false"/>
          <w:color w:val="000000"/>
          <w:sz w:val="28"/>
        </w:rPr>
        <w:t xml:space="preserve"> не менее 0,9R для пассажирских судов и 0,5R — для грузовых судов;</w:t>
      </w:r>
    </w:p>
    <w:bookmarkEnd w:id="6120"/>
    <w:bookmarkStart w:name="z6131" w:id="6121"/>
    <w:p>
      <w:pPr>
        <w:spacing w:after="0"/>
        <w:ind w:left="0"/>
        <w:jc w:val="both"/>
      </w:pPr>
      <w:r>
        <w:rPr>
          <w:rFonts w:ascii="Times New Roman"/>
          <w:b w:val="false"/>
          <w:i w:val="false"/>
          <w:color w:val="000000"/>
          <w:sz w:val="28"/>
        </w:rPr>
        <w:t xml:space="preserve">
      2) достигнутый (фактический) ледовый вероятностный индекс деления на отсеки </w:t>
      </w:r>
      <w:r>
        <w:rPr>
          <w:rFonts w:ascii="Times New Roman"/>
          <w:b w:val="false"/>
          <w:i/>
          <w:color w:val="000000"/>
          <w:sz w:val="28"/>
        </w:rPr>
        <w:t>А</w:t>
      </w:r>
      <w:r>
        <w:rPr>
          <w:rFonts w:ascii="Times New Roman"/>
          <w:b w:val="false"/>
          <w:i w:val="false"/>
          <w:color w:val="000000"/>
          <w:vertAlign w:val="subscript"/>
        </w:rPr>
        <w:t>я</w:t>
      </w:r>
      <w:r>
        <w:rPr>
          <w:rFonts w:ascii="Times New Roman"/>
          <w:b w:val="false"/>
          <w:i w:val="false"/>
          <w:color w:val="000000"/>
          <w:sz w:val="28"/>
        </w:rPr>
        <w:t xml:space="preserve"> не меньше, чем требуемый ледовый вероятностный индекс деления на отсеки </w:t>
      </w:r>
      <w:r>
        <w:rPr>
          <w:rFonts w:ascii="Times New Roman"/>
          <w:b w:val="false"/>
          <w:i/>
          <w:color w:val="000000"/>
          <w:sz w:val="28"/>
        </w:rPr>
        <w:t>R</w:t>
      </w:r>
      <w:r>
        <w:rPr>
          <w:rFonts w:ascii="Times New Roman"/>
          <w:b w:val="false"/>
          <w:i w:val="false"/>
          <w:color w:val="000000"/>
          <w:vertAlign w:val="subscript"/>
        </w:rPr>
        <w:t>R</w:t>
      </w:r>
      <w:r>
        <w:rPr>
          <w:rFonts w:ascii="Times New Roman"/>
          <w:b w:val="false"/>
          <w:i w:val="false"/>
          <w:color w:val="000000"/>
          <w:sz w:val="28"/>
        </w:rPr>
        <w:t xml:space="preserve">. Индексы </w:t>
      </w:r>
      <w:r>
        <w:rPr>
          <w:rFonts w:ascii="Times New Roman"/>
          <w:b w:val="false"/>
          <w:i/>
          <w:color w:val="000000"/>
          <w:sz w:val="28"/>
        </w:rPr>
        <w:t>А</w:t>
      </w:r>
      <w:r>
        <w:rPr>
          <w:rFonts w:ascii="Times New Roman"/>
          <w:b w:val="false"/>
          <w:i w:val="false"/>
          <w:color w:val="000000"/>
          <w:vertAlign w:val="subscript"/>
        </w:rPr>
        <w:t>я</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vertAlign w:val="subscript"/>
        </w:rPr>
        <w:t>R</w:t>
      </w:r>
      <w:r>
        <w:rPr>
          <w:rFonts w:ascii="Times New Roman"/>
          <w:b w:val="false"/>
          <w:i w:val="false"/>
          <w:color w:val="000000"/>
          <w:sz w:val="28"/>
        </w:rPr>
        <w:t xml:space="preserve"> определяются в соответствии с требованиями главы 134 настоящих Правил;</w:t>
      </w:r>
    </w:p>
    <w:bookmarkEnd w:id="6121"/>
    <w:bookmarkStart w:name="z6132" w:id="6122"/>
    <w:p>
      <w:pPr>
        <w:spacing w:after="0"/>
        <w:ind w:left="0"/>
        <w:jc w:val="both"/>
      </w:pPr>
      <w:r>
        <w:rPr>
          <w:rFonts w:ascii="Times New Roman"/>
          <w:b w:val="false"/>
          <w:i w:val="false"/>
          <w:color w:val="000000"/>
          <w:sz w:val="28"/>
        </w:rPr>
        <w:t xml:space="preserve">
      3) к судам, для которых в главе 134 настоящих Правил отсутствуют указания по расчету индексов </w:t>
      </w:r>
      <w:r>
        <w:rPr>
          <w:rFonts w:ascii="Times New Roman"/>
          <w:b w:val="false"/>
          <w:i/>
          <w:color w:val="000000"/>
          <w:sz w:val="28"/>
        </w:rPr>
        <w:t>А</w:t>
      </w:r>
      <w:r>
        <w:rPr>
          <w:rFonts w:ascii="Times New Roman"/>
          <w:b w:val="false"/>
          <w:i w:val="false"/>
          <w:color w:val="000000"/>
          <w:sz w:val="28"/>
        </w:rPr>
        <w:t xml:space="preserve"> и/или </w:t>
      </w:r>
      <w:r>
        <w:rPr>
          <w:rFonts w:ascii="Times New Roman"/>
          <w:b w:val="false"/>
          <w:i/>
          <w:color w:val="000000"/>
          <w:sz w:val="28"/>
        </w:rPr>
        <w:t>R</w:t>
      </w:r>
      <w:r>
        <w:rPr>
          <w:rFonts w:ascii="Times New Roman"/>
          <w:b w:val="false"/>
          <w:i w:val="false"/>
          <w:color w:val="000000"/>
          <w:sz w:val="28"/>
        </w:rPr>
        <w:t>, требование подпункта 1) пункта 1978 настоящих Правил не применяется;</w:t>
      </w:r>
    </w:p>
    <w:bookmarkEnd w:id="6122"/>
    <w:bookmarkStart w:name="z6133" w:id="6123"/>
    <w:p>
      <w:pPr>
        <w:spacing w:after="0"/>
        <w:ind w:left="0"/>
        <w:jc w:val="both"/>
      </w:pPr>
      <w:r>
        <w:rPr>
          <w:rFonts w:ascii="Times New Roman"/>
          <w:b w:val="false"/>
          <w:i w:val="false"/>
          <w:color w:val="000000"/>
          <w:sz w:val="28"/>
        </w:rPr>
        <w:t>
      4) аварийная посадка и остойчивость отвечают требованиям главы 135 настоящих Правил, с учетом пункта 1756 настоящих Правил.</w:t>
      </w:r>
    </w:p>
    <w:bookmarkEnd w:id="6123"/>
    <w:bookmarkStart w:name="z6134" w:id="6124"/>
    <w:p>
      <w:pPr>
        <w:spacing w:after="0"/>
        <w:ind w:left="0"/>
        <w:jc w:val="both"/>
      </w:pPr>
      <w:r>
        <w:rPr>
          <w:rFonts w:ascii="Times New Roman"/>
          <w:b w:val="false"/>
          <w:i w:val="false"/>
          <w:color w:val="000000"/>
          <w:sz w:val="28"/>
        </w:rPr>
        <w:t>
      1979. Знак деления на отсеки вводится в символ класса судна в соответствии с главой 2 настоящих Правил, если при всех расчетных случаях нагрузки, соответствующих назначению данного судна, деление его на отсеки признается удовлетворительным согласно пункту 1978 настоящих Правил, аварийная посадка и остойчивость соответствует требованиям главы 135 настоящих Правил при затоплении любого одного или любых нескольких смежных отсеков по длине судна, соответственно вводимому знаку деления на отсеки, и доказано соответствие конструктивных мероприятий, связанных с делением судна на отсеки, требованиям, указанным в параграфе 4 главы 8, главы 21 и в подразделе 7 раздела 5 настоящих Правил.</w:t>
      </w:r>
    </w:p>
    <w:bookmarkEnd w:id="6124"/>
    <w:bookmarkStart w:name="z6135" w:id="6125"/>
    <w:p>
      <w:pPr>
        <w:spacing w:after="0"/>
        <w:ind w:left="0"/>
        <w:jc w:val="both"/>
      </w:pPr>
      <w:r>
        <w:rPr>
          <w:rFonts w:ascii="Times New Roman"/>
          <w:b w:val="false"/>
          <w:i w:val="false"/>
          <w:color w:val="000000"/>
          <w:sz w:val="28"/>
        </w:rPr>
        <w:t>
      Когда в соответствии с параграфом 4 главы 135 настоящих Правил число затапливаемых отсеков изменяется по длине судна, в знаке деления на отсеки указывается меньшее из них.</w:t>
      </w:r>
    </w:p>
    <w:bookmarkEnd w:id="6125"/>
    <w:bookmarkStart w:name="z6136" w:id="6126"/>
    <w:p>
      <w:pPr>
        <w:spacing w:after="0"/>
        <w:ind w:left="0"/>
        <w:jc w:val="both"/>
      </w:pPr>
      <w:r>
        <w:rPr>
          <w:rFonts w:ascii="Times New Roman"/>
          <w:b w:val="false"/>
          <w:i w:val="false"/>
          <w:color w:val="000000"/>
          <w:sz w:val="28"/>
        </w:rPr>
        <w:t>
      1980. Дополнительные условия введения в символ класса знака деления на отсеки приведены в параграфе 4 главы 135 настоящих Правил.</w:t>
      </w:r>
    </w:p>
    <w:bookmarkEnd w:id="6126"/>
    <w:bookmarkStart w:name="z6137" w:id="6127"/>
    <w:p>
      <w:pPr>
        <w:spacing w:after="0"/>
        <w:ind w:left="0"/>
        <w:jc w:val="left"/>
      </w:pPr>
      <w:r>
        <w:rPr>
          <w:rFonts w:ascii="Times New Roman"/>
          <w:b/>
          <w:i w:val="false"/>
          <w:color w:val="000000"/>
        </w:rPr>
        <w:t xml:space="preserve"> Параграф 6. Коэффициенты проницаемости</w:t>
      </w:r>
    </w:p>
    <w:bookmarkEnd w:id="6127"/>
    <w:bookmarkStart w:name="z6138" w:id="6128"/>
    <w:p>
      <w:pPr>
        <w:spacing w:after="0"/>
        <w:ind w:left="0"/>
        <w:jc w:val="both"/>
      </w:pPr>
      <w:r>
        <w:rPr>
          <w:rFonts w:ascii="Times New Roman"/>
          <w:b w:val="false"/>
          <w:i w:val="false"/>
          <w:color w:val="000000"/>
          <w:sz w:val="28"/>
        </w:rPr>
        <w:t>
      1981. В расчетах аварийной посадки и остойчивости коэффициент проницаемости затопленного помещения принимается равным:</w:t>
      </w:r>
    </w:p>
    <w:bookmarkEnd w:id="6128"/>
    <w:bookmarkStart w:name="z6139" w:id="6129"/>
    <w:p>
      <w:pPr>
        <w:spacing w:after="0"/>
        <w:ind w:left="0"/>
        <w:jc w:val="both"/>
      </w:pPr>
      <w:r>
        <w:rPr>
          <w:rFonts w:ascii="Times New Roman"/>
          <w:b w:val="false"/>
          <w:i w:val="false"/>
          <w:color w:val="000000"/>
          <w:sz w:val="28"/>
        </w:rPr>
        <w:t>
      1) 0,85 — для помещений, занятых механизмами, электростанциями, а также технологическим оборудованием на рыболовных и обрабатывающих судах;</w:t>
      </w:r>
    </w:p>
    <w:bookmarkEnd w:id="6129"/>
    <w:bookmarkStart w:name="z6140" w:id="6130"/>
    <w:p>
      <w:pPr>
        <w:spacing w:after="0"/>
        <w:ind w:left="0"/>
        <w:jc w:val="both"/>
      </w:pPr>
      <w:r>
        <w:rPr>
          <w:rFonts w:ascii="Times New Roman"/>
          <w:b w:val="false"/>
          <w:i w:val="false"/>
          <w:color w:val="000000"/>
          <w:sz w:val="28"/>
        </w:rPr>
        <w:t>
      2) 0,95 — для жилых помещений, а также для пустых помещений, включая порожние цистерны;</w:t>
      </w:r>
    </w:p>
    <w:bookmarkEnd w:id="6130"/>
    <w:bookmarkStart w:name="z6141" w:id="6131"/>
    <w:p>
      <w:pPr>
        <w:spacing w:after="0"/>
        <w:ind w:left="0"/>
        <w:jc w:val="both"/>
      </w:pPr>
      <w:r>
        <w:rPr>
          <w:rFonts w:ascii="Times New Roman"/>
          <w:b w:val="false"/>
          <w:i w:val="false"/>
          <w:color w:val="000000"/>
          <w:sz w:val="28"/>
        </w:rPr>
        <w:t>
      3) 0,6 — для помещений, предназначенных для сухих запасов.</w:t>
      </w:r>
    </w:p>
    <w:bookmarkEnd w:id="6131"/>
    <w:bookmarkStart w:name="z6142" w:id="6132"/>
    <w:p>
      <w:pPr>
        <w:spacing w:after="0"/>
        <w:ind w:left="0"/>
        <w:jc w:val="both"/>
      </w:pPr>
      <w:r>
        <w:rPr>
          <w:rFonts w:ascii="Times New Roman"/>
          <w:b w:val="false"/>
          <w:i w:val="false"/>
          <w:color w:val="000000"/>
          <w:sz w:val="28"/>
        </w:rPr>
        <w:t>
      1982. Проницаемость затопленных цистерн с жидким грузом или жидкими запасами, или водяным балластом определяется, исходя из предположения, что весь груз из цистерны выливается, а забортная вода вливается с учетом коэффициента проницаемости, равного 0,95.</w:t>
      </w:r>
    </w:p>
    <w:bookmarkEnd w:id="6132"/>
    <w:bookmarkStart w:name="z6143" w:id="6133"/>
    <w:p>
      <w:pPr>
        <w:spacing w:after="0"/>
        <w:ind w:left="0"/>
        <w:jc w:val="both"/>
      </w:pPr>
      <w:r>
        <w:rPr>
          <w:rFonts w:ascii="Times New Roman"/>
          <w:b w:val="false"/>
          <w:i w:val="false"/>
          <w:color w:val="000000"/>
          <w:sz w:val="28"/>
        </w:rPr>
        <w:t>
      1983. Значения коэффициентов проницаемости помещений, предназначенных для твердых грузов, указаны далее в соответствующих пунктах глав 134 — 137 настоящих Правил.</w:t>
      </w:r>
    </w:p>
    <w:bookmarkEnd w:id="6133"/>
    <w:bookmarkStart w:name="z6144" w:id="6134"/>
    <w:p>
      <w:pPr>
        <w:spacing w:after="0"/>
        <w:ind w:left="0"/>
        <w:jc w:val="both"/>
      </w:pPr>
      <w:r>
        <w:rPr>
          <w:rFonts w:ascii="Times New Roman"/>
          <w:b w:val="false"/>
          <w:i w:val="false"/>
          <w:color w:val="000000"/>
          <w:sz w:val="28"/>
        </w:rPr>
        <w:t>
      1984. Значения коэффициентов проницаемости помещений воможно принять меньшими, чем указано выше, лишь в том случае, если выполнен специальный расчет проницаемости, одобренный Регистром судоходства.</w:t>
      </w:r>
    </w:p>
    <w:bookmarkEnd w:id="6134"/>
    <w:bookmarkStart w:name="z6145" w:id="6135"/>
    <w:p>
      <w:pPr>
        <w:spacing w:after="0"/>
        <w:ind w:left="0"/>
        <w:jc w:val="both"/>
      </w:pPr>
      <w:r>
        <w:rPr>
          <w:rFonts w:ascii="Times New Roman"/>
          <w:b w:val="false"/>
          <w:i w:val="false"/>
          <w:color w:val="000000"/>
          <w:sz w:val="28"/>
        </w:rPr>
        <w:t>
      Для грузовых помещений, включая рефрижераторные, при выполнении специального расчета проницаемости коэффициент проницаемости груза принимается равным 0,6, а коэффициент проницаемости груза в контейнерах, трейлерах, ролл-трейлерах и грузовиках — 0,71.</w:t>
      </w:r>
    </w:p>
    <w:bookmarkEnd w:id="6135"/>
    <w:bookmarkStart w:name="z6146" w:id="6136"/>
    <w:p>
      <w:pPr>
        <w:spacing w:after="0"/>
        <w:ind w:left="0"/>
        <w:jc w:val="both"/>
      </w:pPr>
      <w:r>
        <w:rPr>
          <w:rFonts w:ascii="Times New Roman"/>
          <w:b w:val="false"/>
          <w:i w:val="false"/>
          <w:color w:val="000000"/>
          <w:sz w:val="28"/>
        </w:rPr>
        <w:t>
      1985. Если расположение помещений судна или характер его эксплуатации таковы, что очевидна целесообразность применения других коэффициентов проницаемости, приводящих к более жестким требованиям, Регистр судоходства требует применения этих более жестких коэффициентов.</w:t>
      </w:r>
    </w:p>
    <w:bookmarkEnd w:id="6136"/>
    <w:bookmarkStart w:name="z6147" w:id="6137"/>
    <w:p>
      <w:pPr>
        <w:spacing w:after="0"/>
        <w:ind w:left="0"/>
        <w:jc w:val="left"/>
      </w:pPr>
      <w:r>
        <w:rPr>
          <w:rFonts w:ascii="Times New Roman"/>
          <w:b/>
          <w:i w:val="false"/>
          <w:color w:val="000000"/>
        </w:rPr>
        <w:t xml:space="preserve"> Глава 134. Вероятностная оценка деления судов на отсеки</w:t>
      </w:r>
    </w:p>
    <w:bookmarkEnd w:id="6137"/>
    <w:p>
      <w:pPr>
        <w:spacing w:after="0"/>
        <w:ind w:left="0"/>
        <w:jc w:val="both"/>
      </w:pPr>
      <w:r>
        <w:rPr>
          <w:rFonts w:ascii="Times New Roman"/>
          <w:b w:val="false"/>
          <w:i w:val="false"/>
          <w:color w:val="ff0000"/>
          <w:sz w:val="28"/>
        </w:rPr>
        <w:t xml:space="preserve">
      Сноска. Заголовок главы 134 -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148" w:id="6138"/>
    <w:p>
      <w:pPr>
        <w:spacing w:after="0"/>
        <w:ind w:left="0"/>
        <w:jc w:val="left"/>
      </w:pPr>
      <w:r>
        <w:rPr>
          <w:rFonts w:ascii="Times New Roman"/>
          <w:b/>
          <w:i w:val="false"/>
          <w:color w:val="000000"/>
        </w:rPr>
        <w:t xml:space="preserve"> Параграф 1. Общие положения,</w:t>
      </w:r>
      <w:r>
        <w:br/>
      </w:r>
      <w:r>
        <w:rPr>
          <w:rFonts w:ascii="Times New Roman"/>
          <w:b/>
          <w:i w:val="false"/>
          <w:color w:val="000000"/>
        </w:rPr>
        <w:t>требуемый индекс деления на отсеки R</w:t>
      </w:r>
    </w:p>
    <w:bookmarkEnd w:id="6138"/>
    <w:bookmarkStart w:name="z6149" w:id="6139"/>
    <w:p>
      <w:pPr>
        <w:spacing w:after="0"/>
        <w:ind w:left="0"/>
        <w:jc w:val="both"/>
      </w:pPr>
      <w:r>
        <w:rPr>
          <w:rFonts w:ascii="Times New Roman"/>
          <w:b w:val="false"/>
          <w:i w:val="false"/>
          <w:color w:val="000000"/>
          <w:sz w:val="28"/>
        </w:rPr>
        <w:t xml:space="preserve">
      1986. Требования настоящей главы применяются к грузовым судам длиной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80 м и более и ко всем пассажирским судам, независимо от длины.</w:t>
      </w:r>
    </w:p>
    <w:bookmarkEnd w:id="6139"/>
    <w:bookmarkStart w:name="z6150" w:id="6140"/>
    <w:p>
      <w:pPr>
        <w:spacing w:after="0"/>
        <w:ind w:left="0"/>
        <w:jc w:val="both"/>
      </w:pPr>
      <w:r>
        <w:rPr>
          <w:rFonts w:ascii="Times New Roman"/>
          <w:b w:val="false"/>
          <w:i w:val="false"/>
          <w:color w:val="000000"/>
          <w:sz w:val="28"/>
        </w:rPr>
        <w:t>
      Исключением из требований настоящей главы в части применения являются те суда, типы которых перечислены в подпунктах 1) - 9), 19), 20) пункта 1958 настоящих Правил.</w:t>
      </w:r>
    </w:p>
    <w:bookmarkEnd w:id="6140"/>
    <w:bookmarkStart w:name="z6151" w:id="6141"/>
    <w:p>
      <w:pPr>
        <w:spacing w:after="0"/>
        <w:ind w:left="0"/>
        <w:jc w:val="both"/>
      </w:pPr>
      <w:r>
        <w:rPr>
          <w:rFonts w:ascii="Times New Roman"/>
          <w:b w:val="false"/>
          <w:i w:val="false"/>
          <w:color w:val="000000"/>
          <w:sz w:val="28"/>
        </w:rPr>
        <w:t xml:space="preserve">
      1987. Деление судна на отсеки считается достаточным, если достижимый индекс деления на отсеки </w:t>
      </w:r>
      <w:r>
        <w:rPr>
          <w:rFonts w:ascii="Times New Roman"/>
          <w:b w:val="false"/>
          <w:i/>
          <w:color w:val="000000"/>
          <w:sz w:val="28"/>
        </w:rPr>
        <w:t>А</w:t>
      </w:r>
      <w:r>
        <w:rPr>
          <w:rFonts w:ascii="Times New Roman"/>
          <w:b w:val="false"/>
          <w:i w:val="false"/>
          <w:color w:val="000000"/>
          <w:sz w:val="28"/>
        </w:rPr>
        <w:t xml:space="preserve">, рассчитанный в соответствии с параграфом 3 главы 134 настоящих Правил, не меньше требуемого индекса деления на отсеки R, рассчитанного в соответствии с требованиями пункта 1988 настоящих Правил, и если, кроме того, частичные индексы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и </w:t>
      </w:r>
      <w:r>
        <w:rPr>
          <w:rFonts w:ascii="Times New Roman"/>
          <w:b w:val="false"/>
          <w:i/>
          <w:color w:val="000000"/>
          <w:sz w:val="28"/>
        </w:rPr>
        <w:t>А</w:t>
      </w:r>
      <w:r>
        <w:rPr>
          <w:rFonts w:ascii="Times New Roman"/>
          <w:b w:val="false"/>
          <w:i w:val="false"/>
          <w:color w:val="000000"/>
          <w:sz w:val="28"/>
        </w:rPr>
        <w:t xml:space="preserve">/ не менее 0,9 </w:t>
      </w:r>
      <w:r>
        <w:rPr>
          <w:rFonts w:ascii="Times New Roman"/>
          <w:b w:val="false"/>
          <w:i/>
          <w:color w:val="000000"/>
          <w:sz w:val="28"/>
        </w:rPr>
        <w:t>R</w:t>
      </w:r>
      <w:r>
        <w:rPr>
          <w:rFonts w:ascii="Times New Roman"/>
          <w:b w:val="false"/>
          <w:i w:val="false"/>
          <w:color w:val="000000"/>
          <w:sz w:val="28"/>
        </w:rPr>
        <w:t xml:space="preserve"> для пассажирских судов и 0,5 </w:t>
      </w:r>
      <w:r>
        <w:rPr>
          <w:rFonts w:ascii="Times New Roman"/>
          <w:b w:val="false"/>
          <w:i/>
          <w:color w:val="000000"/>
          <w:sz w:val="28"/>
        </w:rPr>
        <w:t>R</w:t>
      </w:r>
      <w:r>
        <w:rPr>
          <w:rFonts w:ascii="Times New Roman"/>
          <w:b w:val="false"/>
          <w:i w:val="false"/>
          <w:color w:val="000000"/>
          <w:sz w:val="28"/>
        </w:rPr>
        <w:t xml:space="preserve"> — для грузовых судов.</w:t>
      </w:r>
    </w:p>
    <w:bookmarkEnd w:id="6141"/>
    <w:bookmarkStart w:name="z6152" w:id="6142"/>
    <w:p>
      <w:pPr>
        <w:spacing w:after="0"/>
        <w:ind w:left="0"/>
        <w:jc w:val="both"/>
      </w:pPr>
      <w:r>
        <w:rPr>
          <w:rFonts w:ascii="Times New Roman"/>
          <w:b w:val="false"/>
          <w:i w:val="false"/>
          <w:color w:val="000000"/>
          <w:sz w:val="28"/>
        </w:rPr>
        <w:t xml:space="preserve">
      1988. Для всех судов, к которым применяются требования настоящего раздела, касающиеся остойчивости в поврежденном состоянии, необходимо обеспечить степень деления на отсеки, которая определяется требуемым индексом деления на отсеки </w:t>
      </w:r>
      <w:r>
        <w:rPr>
          <w:rFonts w:ascii="Times New Roman"/>
          <w:b w:val="false"/>
          <w:i/>
          <w:color w:val="000000"/>
          <w:sz w:val="28"/>
        </w:rPr>
        <w:t>R</w:t>
      </w:r>
      <w:r>
        <w:rPr>
          <w:rFonts w:ascii="Times New Roman"/>
          <w:b w:val="false"/>
          <w:i w:val="false"/>
          <w:color w:val="000000"/>
          <w:sz w:val="28"/>
        </w:rPr>
        <w:t xml:space="preserve"> следующим образом:</w:t>
      </w:r>
    </w:p>
    <w:bookmarkEnd w:id="6142"/>
    <w:bookmarkStart w:name="z6153" w:id="6143"/>
    <w:p>
      <w:pPr>
        <w:spacing w:after="0"/>
        <w:ind w:left="0"/>
        <w:jc w:val="both"/>
      </w:pPr>
      <w:r>
        <w:rPr>
          <w:rFonts w:ascii="Times New Roman"/>
          <w:b w:val="false"/>
          <w:i w:val="false"/>
          <w:color w:val="000000"/>
          <w:sz w:val="28"/>
        </w:rPr>
        <w:t xml:space="preserve">
      1) для грузовых судов длиной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более 100 м:</w:t>
      </w:r>
    </w:p>
    <w:bookmarkEnd w:id="6143"/>
    <w:p>
      <w:pPr>
        <w:spacing w:after="0"/>
        <w:ind w:left="0"/>
        <w:jc w:val="both"/>
      </w:pPr>
      <w:r>
        <w:rPr>
          <w:rFonts w:ascii="Times New Roman"/>
          <w:b w:val="false"/>
          <w:i w:val="false"/>
          <w:color w:val="000000"/>
          <w:sz w:val="28"/>
        </w:rPr>
        <w:t>
                                    R =1-128/(</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+152);</w:t>
      </w:r>
    </w:p>
    <w:bookmarkStart w:name="z6154" w:id="6144"/>
    <w:p>
      <w:pPr>
        <w:spacing w:after="0"/>
        <w:ind w:left="0"/>
        <w:jc w:val="both"/>
      </w:pPr>
      <w:r>
        <w:rPr>
          <w:rFonts w:ascii="Times New Roman"/>
          <w:b w:val="false"/>
          <w:i w:val="false"/>
          <w:color w:val="000000"/>
          <w:sz w:val="28"/>
        </w:rPr>
        <w:t xml:space="preserve">
            2) для грузовых судов длиной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не менее 80 м, но не более 100 м:</w:t>
      </w:r>
    </w:p>
    <w:bookmarkEnd w:id="6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06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1"/>
                    <a:stretch>
                      <a:fillRect/>
                    </a:stretch>
                  </pic:blipFill>
                  <pic:spPr>
                    <a:xfrm>
                      <a:off x="0" y="0"/>
                      <a:ext cx="2806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vertAlign w:val="subscript"/>
        </w:rPr>
        <w:t>o</w:t>
      </w:r>
      <w:r>
        <w:rPr>
          <w:rFonts w:ascii="Times New Roman"/>
          <w:b w:val="false"/>
          <w:i w:val="false"/>
          <w:color w:val="000000"/>
          <w:sz w:val="28"/>
        </w:rPr>
        <w:t xml:space="preserve"> — величина </w:t>
      </w:r>
      <w:r>
        <w:rPr>
          <w:rFonts w:ascii="Times New Roman"/>
          <w:b w:val="false"/>
          <w:i/>
          <w:color w:val="000000"/>
          <w:sz w:val="28"/>
        </w:rPr>
        <w:t>R</w:t>
      </w:r>
      <w:r>
        <w:rPr>
          <w:rFonts w:ascii="Times New Roman"/>
          <w:b w:val="false"/>
          <w:i w:val="false"/>
          <w:color w:val="000000"/>
          <w:sz w:val="28"/>
        </w:rPr>
        <w:t>, рассчитанная по формуле, приведенной в подпункте 1) настоящего;</w:t>
      </w:r>
    </w:p>
    <w:bookmarkStart w:name="z6155" w:id="6145"/>
    <w:p>
      <w:pPr>
        <w:spacing w:after="0"/>
        <w:ind w:left="0"/>
        <w:jc w:val="both"/>
      </w:pPr>
      <w:r>
        <w:rPr>
          <w:rFonts w:ascii="Times New Roman"/>
          <w:b w:val="false"/>
          <w:i w:val="false"/>
          <w:color w:val="000000"/>
          <w:sz w:val="28"/>
        </w:rPr>
        <w:t>
            3) для пассажирских судов:</w:t>
      </w:r>
    </w:p>
    <w:bookmarkEnd w:id="6145"/>
    <w:p>
      <w:pPr>
        <w:spacing w:after="0"/>
        <w:ind w:left="0"/>
        <w:jc w:val="both"/>
      </w:pPr>
      <w:r>
        <w:rPr>
          <w:rFonts w:ascii="Times New Roman"/>
          <w:b w:val="false"/>
          <w:i w:val="false"/>
          <w:color w:val="000000"/>
          <w:sz w:val="28"/>
        </w:rPr>
        <w:t xml:space="preserve">
                              R= 1-5000/(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+ 2,5N+ 15255),</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+2</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число людей, для которых обеспечены места в спасательных шлюпках;</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число людей (включая лиц командного состава и экипаж), которое судну разрешено перевозить сверх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w:t>
      </w:r>
    </w:p>
    <w:bookmarkStart w:name="z6156" w:id="6146"/>
    <w:p>
      <w:pPr>
        <w:spacing w:after="0"/>
        <w:ind w:left="0"/>
        <w:jc w:val="both"/>
      </w:pPr>
      <w:r>
        <w:rPr>
          <w:rFonts w:ascii="Times New Roman"/>
          <w:b w:val="false"/>
          <w:i w:val="false"/>
          <w:color w:val="000000"/>
          <w:sz w:val="28"/>
        </w:rPr>
        <w:t xml:space="preserve">
            4) если условия эксплуатации таковы, что соответствие подпункта 3) пункта 1988 настоящих Правил, основанное на использовании формулы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+2</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 xml:space="preserve">, является практически невозможным, и если Регистр судоходства считает, что существующий уровень опасности в достаточной мере снижен, возможно принятие меньшей величины </w:t>
      </w:r>
      <w:r>
        <w:rPr>
          <w:rFonts w:ascii="Times New Roman"/>
          <w:b w:val="false"/>
          <w:i/>
          <w:color w:val="000000"/>
          <w:sz w:val="28"/>
        </w:rPr>
        <w:t>N</w:t>
      </w:r>
      <w:r>
        <w:rPr>
          <w:rFonts w:ascii="Times New Roman"/>
          <w:b w:val="false"/>
          <w:i w:val="false"/>
          <w:color w:val="000000"/>
          <w:sz w:val="28"/>
        </w:rPr>
        <w:t xml:space="preserve">, которая ни в коем случае не менее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+2</w:t>
      </w:r>
      <w:r>
        <w:rPr>
          <w:rFonts w:ascii="Times New Roman"/>
          <w:b w:val="false"/>
          <w:i/>
          <w:color w:val="000000"/>
          <w:sz w:val="28"/>
        </w:rPr>
        <w:t>N</w:t>
      </w:r>
      <w:r>
        <w:rPr>
          <w:rFonts w:ascii="Times New Roman"/>
          <w:b w:val="false"/>
          <w:i w:val="false"/>
          <w:color w:val="000000"/>
          <w:vertAlign w:val="subscript"/>
        </w:rPr>
        <w:t>2</w:t>
      </w:r>
      <w:r>
        <w:rPr>
          <w:rFonts w:ascii="Times New Roman"/>
          <w:b w:val="false"/>
          <w:i w:val="false"/>
          <w:color w:val="000000"/>
          <w:sz w:val="28"/>
        </w:rPr>
        <w:t>.</w:t>
      </w:r>
    </w:p>
    <w:bookmarkEnd w:id="6146"/>
    <w:bookmarkStart w:name="z6157" w:id="6147"/>
    <w:p>
      <w:pPr>
        <w:spacing w:after="0"/>
        <w:ind w:left="0"/>
        <w:jc w:val="left"/>
      </w:pPr>
      <w:r>
        <w:rPr>
          <w:rFonts w:ascii="Times New Roman"/>
          <w:b/>
          <w:i w:val="false"/>
          <w:color w:val="000000"/>
        </w:rPr>
        <w:t xml:space="preserve"> Параграф 2. Достижимый индекс деления на отсеки А</w:t>
      </w:r>
    </w:p>
    <w:bookmarkEnd w:id="6147"/>
    <w:bookmarkStart w:name="z6158" w:id="6148"/>
    <w:p>
      <w:pPr>
        <w:spacing w:after="0"/>
        <w:ind w:left="0"/>
        <w:jc w:val="both"/>
      </w:pPr>
      <w:r>
        <w:rPr>
          <w:rFonts w:ascii="Times New Roman"/>
          <w:b w:val="false"/>
          <w:i w:val="false"/>
          <w:color w:val="000000"/>
          <w:sz w:val="28"/>
        </w:rPr>
        <w:t xml:space="preserve">
      1989. Достижимый индекс деления на отсеки </w:t>
      </w:r>
      <w:r>
        <w:rPr>
          <w:rFonts w:ascii="Times New Roman"/>
          <w:b w:val="false"/>
          <w:i/>
          <w:color w:val="000000"/>
          <w:sz w:val="28"/>
        </w:rPr>
        <w:t>А</w:t>
      </w:r>
      <w:r>
        <w:rPr>
          <w:rFonts w:ascii="Times New Roman"/>
          <w:b w:val="false"/>
          <w:i w:val="false"/>
          <w:color w:val="000000"/>
          <w:sz w:val="28"/>
        </w:rPr>
        <w:t xml:space="preserve"> определяется путем суммирования частичных индексов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p</w:t>
      </w:r>
      <w:r>
        <w:rPr>
          <w:rFonts w:ascii="Times New Roman"/>
          <w:b w:val="false"/>
          <w:i w:val="false"/>
          <w:color w:val="000000"/>
          <w:sz w:val="28"/>
        </w:rPr>
        <w:t xml:space="preserve"> и </w:t>
      </w:r>
      <w:r>
        <w:rPr>
          <w:rFonts w:ascii="Times New Roman"/>
          <w:b w:val="false"/>
          <w:i/>
          <w:color w:val="000000"/>
          <w:sz w:val="28"/>
        </w:rPr>
        <w:t>A</w:t>
      </w:r>
      <w:r>
        <w:rPr>
          <w:rFonts w:ascii="Times New Roman"/>
          <w:b w:val="false"/>
          <w:i w:val="false"/>
          <w:color w:val="000000"/>
          <w:vertAlign w:val="subscript"/>
        </w:rPr>
        <w:t>l</w:t>
      </w:r>
      <w:r>
        <w:rPr>
          <w:rFonts w:ascii="Times New Roman"/>
          <w:b w:val="false"/>
          <w:i w:val="false"/>
          <w:color w:val="000000"/>
          <w:sz w:val="28"/>
        </w:rPr>
        <w:t xml:space="preserve"> рассчитанных для осадок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p</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vertAlign w:val="subscript"/>
        </w:rPr>
        <w:t>l</w:t>
      </w:r>
      <w:r>
        <w:rPr>
          <w:rFonts w:ascii="Times New Roman"/>
          <w:b w:val="false"/>
          <w:i w:val="false"/>
          <w:color w:val="000000"/>
          <w:sz w:val="28"/>
        </w:rPr>
        <w:t>, по следующей формуле:</w:t>
      </w:r>
    </w:p>
    <w:bookmarkEnd w:id="614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0,4</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+ 0,4</w:t>
      </w:r>
      <w:r>
        <w:rPr>
          <w:rFonts w:ascii="Times New Roman"/>
          <w:b w:val="false"/>
          <w:i/>
          <w:color w:val="000000"/>
          <w:sz w:val="28"/>
        </w:rPr>
        <w:t>A</w:t>
      </w:r>
      <w:r>
        <w:rPr>
          <w:rFonts w:ascii="Times New Roman"/>
          <w:b w:val="false"/>
          <w:i w:val="false"/>
          <w:color w:val="000000"/>
          <w:vertAlign w:val="subscript"/>
        </w:rPr>
        <w:t>p</w:t>
      </w:r>
      <w:r>
        <w:rPr>
          <w:rFonts w:ascii="Times New Roman"/>
          <w:b w:val="false"/>
          <w:i w:val="false"/>
          <w:color w:val="000000"/>
          <w:sz w:val="28"/>
        </w:rPr>
        <w:t xml:space="preserve"> + 0,2 </w:t>
      </w:r>
      <w:r>
        <w:rPr>
          <w:rFonts w:ascii="Times New Roman"/>
          <w:b w:val="false"/>
          <w:i/>
          <w:color w:val="000000"/>
          <w:sz w:val="28"/>
        </w:rPr>
        <w:t>A</w:t>
      </w:r>
      <w:r>
        <w:rPr>
          <w:rFonts w:ascii="Times New Roman"/>
          <w:b w:val="false"/>
          <w:i w:val="false"/>
          <w:color w:val="000000"/>
          <w:vertAlign w:val="subscript"/>
        </w:rPr>
        <w:t>l</w:t>
      </w:r>
      <w:r>
        <w:rPr>
          <w:rFonts w:ascii="Times New Roman"/>
          <w:b w:val="false"/>
          <w:i w:val="false"/>
          <w:color w:val="000000"/>
          <w:sz w:val="28"/>
        </w:rPr>
        <w:t>.                 (720)</w:t>
      </w:r>
    </w:p>
    <w:bookmarkStart w:name="z6159" w:id="6149"/>
    <w:p>
      <w:pPr>
        <w:spacing w:after="0"/>
        <w:ind w:left="0"/>
        <w:jc w:val="both"/>
      </w:pPr>
      <w:r>
        <w:rPr>
          <w:rFonts w:ascii="Times New Roman"/>
          <w:b w:val="false"/>
          <w:i w:val="false"/>
          <w:color w:val="000000"/>
          <w:sz w:val="28"/>
        </w:rPr>
        <w:t>
      Каждый частичный индекс есть суммированный вклад всех учитываемых случаев повреждения с использованием следующей формулы:</w:t>
      </w:r>
    </w:p>
    <w:bookmarkEnd w:id="614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i</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(721)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 индекс каждого рассматриваемого отсека или группы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 вероятность затопления только рассматриваемого отсека или группы отсеков, исключая любое горизонтальное деление на отсеки, как определено в параграфе 4 настоящей главы настоящих Правил;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вероятность выживания судна после затопления рассматриваемого отсека или группы отсеков с учетом влияния любого горизонтального деления на отсеки, определенного в параграфе 5 настоящей главы настоящих Правил.</w:t>
      </w:r>
    </w:p>
    <w:bookmarkStart w:name="z6160" w:id="6150"/>
    <w:p>
      <w:pPr>
        <w:spacing w:after="0"/>
        <w:ind w:left="0"/>
        <w:jc w:val="both"/>
      </w:pPr>
      <w:r>
        <w:rPr>
          <w:rFonts w:ascii="Times New Roman"/>
          <w:b w:val="false"/>
          <w:i w:val="false"/>
          <w:color w:val="000000"/>
          <w:sz w:val="28"/>
        </w:rPr>
        <w:t xml:space="preserve">
      1990. При расчете индекса </w:t>
      </w:r>
      <w:r>
        <w:rPr>
          <w:rFonts w:ascii="Times New Roman"/>
          <w:b w:val="false"/>
          <w:i/>
          <w:color w:val="000000"/>
          <w:sz w:val="28"/>
        </w:rPr>
        <w:t>А</w:t>
      </w:r>
      <w:r>
        <w:rPr>
          <w:rFonts w:ascii="Times New Roman"/>
          <w:b w:val="false"/>
          <w:i w:val="false"/>
          <w:color w:val="000000"/>
          <w:sz w:val="28"/>
        </w:rPr>
        <w:t xml:space="preserve"> для осадки при самой высокой ватерлинии деления на отсеки и частичной осадки деления на отсеки принимается, что судно не имеет дифферента. Для расчета индекса </w:t>
      </w:r>
      <w:r>
        <w:rPr>
          <w:rFonts w:ascii="Times New Roman"/>
          <w:b w:val="false"/>
          <w:i/>
          <w:color w:val="000000"/>
          <w:sz w:val="28"/>
        </w:rPr>
        <w:t>А</w:t>
      </w:r>
      <w:r>
        <w:rPr>
          <w:rFonts w:ascii="Times New Roman"/>
          <w:b w:val="false"/>
          <w:i w:val="false"/>
          <w:color w:val="000000"/>
          <w:sz w:val="28"/>
        </w:rPr>
        <w:t xml:space="preserve"> при наименьшей эксплуатационной осадке используется фактический эксплуатационный дифферент. Если по условиям эксплуатации изменение дифферента по сравнению с рассчитанным дифферентом превышает 0,5 %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проводится один или более дополнительных расчетов индекса </w:t>
      </w:r>
      <w:r>
        <w:rPr>
          <w:rFonts w:ascii="Times New Roman"/>
          <w:b w:val="false"/>
          <w:i/>
          <w:color w:val="000000"/>
          <w:sz w:val="28"/>
        </w:rPr>
        <w:t>А</w:t>
      </w:r>
      <w:r>
        <w:rPr>
          <w:rFonts w:ascii="Times New Roman"/>
          <w:b w:val="false"/>
          <w:i w:val="false"/>
          <w:color w:val="000000"/>
          <w:sz w:val="28"/>
        </w:rPr>
        <w:t xml:space="preserve"> для одних и тех же осадок, но с различными дифферентами, с тем чтобы для всех условий эксплуатации разница в дифференте по сравнению со справочным дифферентом, использованным для одного расчета, была менее 0,5 %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p>
    <w:bookmarkEnd w:id="6150"/>
    <w:bookmarkStart w:name="z6161" w:id="6151"/>
    <w:p>
      <w:pPr>
        <w:spacing w:after="0"/>
        <w:ind w:left="0"/>
        <w:jc w:val="both"/>
      </w:pPr>
      <w:r>
        <w:rPr>
          <w:rFonts w:ascii="Times New Roman"/>
          <w:b w:val="false"/>
          <w:i w:val="false"/>
          <w:color w:val="000000"/>
          <w:sz w:val="28"/>
        </w:rPr>
        <w:t>
      1991. При определении положительного восстанавливающего плеча диаграммы остаточной остойчивости используется метод постоянного водоизмещения.</w:t>
      </w:r>
    </w:p>
    <w:bookmarkEnd w:id="6151"/>
    <w:bookmarkStart w:name="z6162" w:id="6152"/>
    <w:p>
      <w:pPr>
        <w:spacing w:after="0"/>
        <w:ind w:left="0"/>
        <w:jc w:val="both"/>
      </w:pPr>
      <w:r>
        <w:rPr>
          <w:rFonts w:ascii="Times New Roman"/>
          <w:b w:val="false"/>
          <w:i w:val="false"/>
          <w:color w:val="000000"/>
          <w:sz w:val="28"/>
        </w:rPr>
        <w:t xml:space="preserve">
      1992. Суммирование, предусматриваемое приведенными выше формулами, производится по всей длине деления судна на отсеки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для всех случаев затопления одного либо двух и более смежных отсеков. В случае несимметричного затопления расчетная величина </w:t>
      </w:r>
      <w:r>
        <w:rPr>
          <w:rFonts w:ascii="Times New Roman"/>
          <w:b w:val="false"/>
          <w:i/>
          <w:color w:val="000000"/>
          <w:sz w:val="28"/>
        </w:rPr>
        <w:t>А</w:t>
      </w:r>
      <w:r>
        <w:rPr>
          <w:rFonts w:ascii="Times New Roman"/>
          <w:b w:val="false"/>
          <w:i w:val="false"/>
          <w:color w:val="000000"/>
          <w:sz w:val="28"/>
        </w:rPr>
        <w:t xml:space="preserve"> принимается как средняя величина, полученная в результате расчетов для обоих бортов. В качестве альтернативы следует принимать ту величину, которая соответствует борту, в отношении которого получен наихудший результат.</w:t>
      </w:r>
    </w:p>
    <w:bookmarkEnd w:id="6152"/>
    <w:bookmarkStart w:name="z6163" w:id="6153"/>
    <w:p>
      <w:pPr>
        <w:spacing w:after="0"/>
        <w:ind w:left="0"/>
        <w:jc w:val="both"/>
      </w:pPr>
      <w:r>
        <w:rPr>
          <w:rFonts w:ascii="Times New Roman"/>
          <w:b w:val="false"/>
          <w:i w:val="false"/>
          <w:color w:val="000000"/>
          <w:sz w:val="28"/>
        </w:rPr>
        <w:t xml:space="preserve">
      1993. При наличии бортовых отсеков всегда, когда рассматриваются варианты затопления, включающего эти отсеки, их затопление учитывают при суммировании в соответствии с приведенной в формуле (721) настоящих Правил. Кроме того, добавляются случаи одновременного затопления одного или нескольких бортовых отсеков и смежного с ними одного или нескольких внутренних отсеков, исключая, однако, повреждение, протяженность которого в поперечном направлении более половины ширины </w:t>
      </w:r>
      <w:r>
        <w:rPr>
          <w:rFonts w:ascii="Times New Roman"/>
          <w:b w:val="false"/>
          <w:i/>
          <w:color w:val="000000"/>
          <w:sz w:val="28"/>
        </w:rPr>
        <w:t>В</w:t>
      </w:r>
      <w:r>
        <w:rPr>
          <w:rFonts w:ascii="Times New Roman"/>
          <w:b w:val="false"/>
          <w:i w:val="false"/>
          <w:color w:val="000000"/>
          <w:sz w:val="28"/>
        </w:rPr>
        <w:t xml:space="preserve"> судна. Для целей требования параграфа 3 настоящей главы поперечная протяженность измеряется от борта судна внутрь под прямым углом к диаметральной плоскости на уровне осадки при самой высокой ватерлинии деления на отсеки.</w:t>
      </w:r>
    </w:p>
    <w:bookmarkEnd w:id="6153"/>
    <w:bookmarkStart w:name="z6164" w:id="6154"/>
    <w:p>
      <w:pPr>
        <w:spacing w:after="0"/>
        <w:ind w:left="0"/>
        <w:jc w:val="both"/>
      </w:pPr>
      <w:r>
        <w:rPr>
          <w:rFonts w:ascii="Times New Roman"/>
          <w:b w:val="false"/>
          <w:i w:val="false"/>
          <w:color w:val="000000"/>
          <w:sz w:val="28"/>
        </w:rPr>
        <w:t>
      1994. В расчетах затопления, выполняемых в соответствии с правилами, предполагается, что имеется только одна пробоина в корпусе и одна свободная поверхность. Протяженность повреждения по вертикали принимается от основной плоскости вверх до любой водонепроницаемой горизонтальной конструкции деления судна на отсеки над ватерлинией или выше. Однако если меньшая протяженность повреждения дает более неблагоприятный результат, принимается такая протяженность.</w:t>
      </w:r>
    </w:p>
    <w:bookmarkEnd w:id="6154"/>
    <w:bookmarkStart w:name="z6165" w:id="6155"/>
    <w:p>
      <w:pPr>
        <w:spacing w:after="0"/>
        <w:ind w:left="0"/>
        <w:jc w:val="both"/>
      </w:pPr>
      <w:r>
        <w:rPr>
          <w:rFonts w:ascii="Times New Roman"/>
          <w:b w:val="false"/>
          <w:i w:val="false"/>
          <w:color w:val="000000"/>
          <w:sz w:val="28"/>
        </w:rPr>
        <w:t>
      1995. Если в пределах принятой протяженности повреждения расположены трубы, проходы или туннели, принимают меры, обеспечивающие, чтобы прогрессирующее затопление не распространялось на отсеки, иные, чем отсеки, принимаемые затопляемыми. Однако Регистр судоходства допускает незначительное прогрессирующее затопление, если доказано, что его воздействие легко контролируется и безопасность судна не снижается.</w:t>
      </w:r>
    </w:p>
    <w:bookmarkEnd w:id="6155"/>
    <w:bookmarkStart w:name="z6166" w:id="6156"/>
    <w:p>
      <w:pPr>
        <w:spacing w:after="0"/>
        <w:ind w:left="0"/>
        <w:jc w:val="left"/>
      </w:pPr>
      <w:r>
        <w:rPr>
          <w:rFonts w:ascii="Times New Roman"/>
          <w:b/>
          <w:i w:val="false"/>
          <w:color w:val="000000"/>
        </w:rPr>
        <w:t xml:space="preserve"> Параграф 3. Расчет фактора p</w:t>
      </w:r>
      <w:r>
        <w:rPr>
          <w:rFonts w:ascii="Times New Roman"/>
          <w:b/>
          <w:i w:val="false"/>
          <w:color w:val="000000"/>
          <w:vertAlign w:val="subscript"/>
        </w:rPr>
        <w:t>t</w:t>
      </w:r>
    </w:p>
    <w:bookmarkEnd w:id="6156"/>
    <w:bookmarkStart w:name="z6167" w:id="6157"/>
    <w:p>
      <w:pPr>
        <w:spacing w:after="0"/>
        <w:ind w:left="0"/>
        <w:jc w:val="both"/>
      </w:pPr>
      <w:r>
        <w:rPr>
          <w:rFonts w:ascii="Times New Roman"/>
          <w:b w:val="false"/>
          <w:i w:val="false"/>
          <w:color w:val="000000"/>
          <w:sz w:val="28"/>
        </w:rPr>
        <w:t xml:space="preserve">
      1996. Фактор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для одного отсека или группы отсеков рассчитывается в соответствии с пунктами 1997 и 1998 настоящих Правил, с использованием следующих условных обозначений:</w:t>
      </w:r>
    </w:p>
    <w:bookmarkEnd w:id="6157"/>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номер зоны, затронутой повреждением, расположенной в корму, начиная с номера 1 в корме;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смежных зон, затронутых повреждением;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номер конкретной продольной переборки, служащей барьером при поперечном повреждении, отсчитываемый от обшивки борта к диаметральной плоскости. Обшивка имеет </w:t>
      </w:r>
      <w:r>
        <w:rPr>
          <w:rFonts w:ascii="Times New Roman"/>
          <w:b w:val="false"/>
          <w:i/>
          <w:color w:val="000000"/>
          <w:sz w:val="28"/>
        </w:rPr>
        <w:t>k</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xml:space="preserve">
      </w:t>
      </w:r>
      <w:r>
        <w:rPr>
          <w:rFonts w:ascii="Times New Roman"/>
          <w:b w:val="false"/>
          <w:i/>
          <w:color w:val="000000"/>
          <w:sz w:val="28"/>
        </w:rPr>
        <w:t>x1</w:t>
      </w:r>
      <w:r>
        <w:rPr>
          <w:rFonts w:ascii="Times New Roman"/>
          <w:b w:val="false"/>
          <w:i w:val="false"/>
          <w:color w:val="000000"/>
          <w:sz w:val="28"/>
        </w:rPr>
        <w:t xml:space="preserve"> — расстояние от крайней кормовой точки длины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до кормовой оконечности рассматриваемой зоны;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x2</w:t>
      </w:r>
      <w:r>
        <w:rPr>
          <w:rFonts w:ascii="Times New Roman"/>
          <w:b w:val="false"/>
          <w:i w:val="false"/>
          <w:color w:val="000000"/>
          <w:sz w:val="28"/>
        </w:rPr>
        <w:t xml:space="preserve"> — расстояние от крайней кормовой точки длины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до носовой оконечности рассматриваемой зоны;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среднее расстояние в поперечном направлении, м, измеренное под прямым углом к диаметральной плоскости на уровне самой высокой грузовой ватерлинии деления на отсеки между обшивкой борта и принимаемой вертикальной плоскостью, простирающейся между продольными пределами, используемыми для расчета фактора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val="false"/>
          <w:color w:val="000000"/>
          <w:sz w:val="28"/>
        </w:rPr>
        <w:t xml:space="preserve"> и являющейся касательной или общей со всей или частью наиболее удаленной от диаметральной плоскости секции рассматриваемой продольной переборки. Эта вертикальная плоскость ориентирована таким образом, чтобы среднее поперечное расстояние до обшивки борта было максимальным, но не более двойного наименьшего расстояния между этой плоскостью и обшивкой борта. Если верхняя часть продольной переборки находится ниже самой высокой грузовой ватерлинии деления на отсеки, вертикальная плоскость, используемая для определения </w:t>
      </w:r>
      <w:r>
        <w:rPr>
          <w:rFonts w:ascii="Times New Roman"/>
          <w:b w:val="false"/>
          <w:i/>
          <w:color w:val="000000"/>
          <w:sz w:val="28"/>
        </w:rPr>
        <w:t>b</w:t>
      </w:r>
      <w:r>
        <w:rPr>
          <w:rFonts w:ascii="Times New Roman"/>
          <w:b w:val="false"/>
          <w:i w:val="false"/>
          <w:color w:val="000000"/>
          <w:sz w:val="28"/>
        </w:rPr>
        <w:t xml:space="preserve">, принимается доходящей до самой высокой ватерлинии деления на отсеки. В любом случае </w:t>
      </w:r>
      <w:r>
        <w:rPr>
          <w:rFonts w:ascii="Times New Roman"/>
          <w:b w:val="false"/>
          <w:i/>
          <w:color w:val="000000"/>
          <w:sz w:val="28"/>
        </w:rPr>
        <w:t>b</w:t>
      </w:r>
      <w:r>
        <w:rPr>
          <w:rFonts w:ascii="Times New Roman"/>
          <w:b w:val="false"/>
          <w:i w:val="false"/>
          <w:color w:val="000000"/>
          <w:sz w:val="28"/>
        </w:rPr>
        <w:t xml:space="preserve"> не принимается больше чем </w:t>
      </w:r>
      <w:r>
        <w:rPr>
          <w:rFonts w:ascii="Times New Roman"/>
          <w:b w:val="false"/>
          <w:i/>
          <w:color w:val="000000"/>
          <w:sz w:val="28"/>
        </w:rPr>
        <w:t>В/2</w:t>
      </w:r>
      <w:r>
        <w:rPr>
          <w:rFonts w:ascii="Times New Roman"/>
          <w:b w:val="false"/>
          <w:i w:val="false"/>
          <w:color w:val="000000"/>
          <w:sz w:val="28"/>
        </w:rPr>
        <w:t>.</w:t>
      </w:r>
    </w:p>
    <w:bookmarkStart w:name="z6168" w:id="6158"/>
    <w:p>
      <w:pPr>
        <w:spacing w:after="0"/>
        <w:ind w:left="0"/>
        <w:jc w:val="both"/>
      </w:pPr>
      <w:r>
        <w:rPr>
          <w:rFonts w:ascii="Times New Roman"/>
          <w:b w:val="false"/>
          <w:i w:val="false"/>
          <w:color w:val="000000"/>
          <w:sz w:val="28"/>
        </w:rPr>
        <w:t>
      Если повреждение затрагивает только одну зону:</w:t>
      </w:r>
    </w:p>
    <w:bookmarkEnd w:id="6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3"/>
                    <a:stretch>
                      <a:fillRect/>
                    </a:stretch>
                  </pic:blipFill>
                  <pic:spPr>
                    <a:xfrm>
                      <a:off x="0" y="0"/>
                      <a:ext cx="3886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9" w:id="6159"/>
    <w:p>
      <w:pPr>
        <w:spacing w:after="0"/>
        <w:ind w:left="0"/>
        <w:jc w:val="both"/>
      </w:pPr>
      <w:r>
        <w:rPr>
          <w:rFonts w:ascii="Times New Roman"/>
          <w:b w:val="false"/>
          <w:i w:val="false"/>
          <w:color w:val="000000"/>
          <w:sz w:val="28"/>
        </w:rPr>
        <w:t>
      Если повреждение затрагивает две смежные зоны:</w:t>
      </w:r>
    </w:p>
    <w:bookmarkEnd w:id="61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4"/>
                    <a:stretch>
                      <a:fillRect/>
                    </a:stretch>
                  </pic:blipFill>
                  <pic:spPr>
                    <a:xfrm>
                      <a:off x="0" y="0"/>
                      <a:ext cx="7594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0" w:id="6160"/>
    <w:p>
      <w:pPr>
        <w:spacing w:after="0"/>
        <w:ind w:left="0"/>
        <w:jc w:val="both"/>
      </w:pPr>
      <w:r>
        <w:rPr>
          <w:rFonts w:ascii="Times New Roman"/>
          <w:b w:val="false"/>
          <w:i w:val="false"/>
          <w:color w:val="000000"/>
          <w:sz w:val="28"/>
        </w:rPr>
        <w:t>
      Если повреждение захватывает три и более смежных зоны:</w:t>
      </w:r>
    </w:p>
    <w:bookmarkEnd w:id="6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848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5"/>
                    <a:stretch>
                      <a:fillRect/>
                    </a:stretch>
                  </pic:blipFill>
                  <pic:spPr>
                    <a:xfrm>
                      <a:off x="0" y="0"/>
                      <a:ext cx="53848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w:t>
      </w:r>
      <w:r>
        <w:rPr>
          <w:rFonts w:ascii="Times New Roman"/>
          <w:b w:val="false"/>
          <w:i/>
          <w:color w:val="000000"/>
          <w:sz w:val="28"/>
        </w:rPr>
        <w:t>x1</w:t>
      </w:r>
      <w:r>
        <w:rPr>
          <w:rFonts w:ascii="Times New Roman"/>
          <w:b w:val="false"/>
          <w:i w:val="false"/>
          <w:color w:val="000000"/>
          <w:sz w:val="28"/>
        </w:rPr>
        <w:t xml:space="preserve">, </w:t>
      </w:r>
      <w:r>
        <w:rPr>
          <w:rFonts w:ascii="Times New Roman"/>
          <w:b w:val="false"/>
          <w:i/>
          <w:color w:val="000000"/>
          <w:sz w:val="28"/>
        </w:rPr>
        <w:t>x2</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0</w:t>
      </w:r>
      <w:r>
        <w:rPr>
          <w:rFonts w:ascii="Times New Roman"/>
          <w:b w:val="false"/>
          <w:i w:val="false"/>
          <w:color w:val="000000"/>
          <w:sz w:val="28"/>
        </w:rPr>
        <w:t>) = 0.</w:t>
      </w:r>
    </w:p>
    <w:bookmarkStart w:name="z6171" w:id="6161"/>
    <w:p>
      <w:pPr>
        <w:spacing w:after="0"/>
        <w:ind w:left="0"/>
        <w:jc w:val="both"/>
      </w:pPr>
      <w:r>
        <w:rPr>
          <w:rFonts w:ascii="Times New Roman"/>
          <w:b w:val="false"/>
          <w:i w:val="false"/>
          <w:color w:val="000000"/>
          <w:sz w:val="28"/>
        </w:rPr>
        <w:t>
      1997. Факторp(</w:t>
      </w:r>
      <w:r>
        <w:rPr>
          <w:rFonts w:ascii="Times New Roman"/>
          <w:b w:val="false"/>
          <w:i/>
          <w:color w:val="000000"/>
          <w:sz w:val="28"/>
        </w:rPr>
        <w:t>x1</w:t>
      </w:r>
      <w:r>
        <w:rPr>
          <w:rFonts w:ascii="Times New Roman"/>
          <w:b w:val="false"/>
          <w:i w:val="false"/>
          <w:color w:val="000000"/>
          <w:sz w:val="28"/>
        </w:rPr>
        <w:t xml:space="preserve">, </w:t>
      </w:r>
      <w:r>
        <w:rPr>
          <w:rFonts w:ascii="Times New Roman"/>
          <w:b w:val="false"/>
          <w:i/>
          <w:color w:val="000000"/>
          <w:sz w:val="28"/>
        </w:rPr>
        <w:t>x2</w:t>
      </w:r>
      <w:r>
        <w:rPr>
          <w:rFonts w:ascii="Times New Roman"/>
          <w:b w:val="false"/>
          <w:i w:val="false"/>
          <w:color w:val="000000"/>
          <w:sz w:val="28"/>
        </w:rPr>
        <w:t>) рассчитывается в соответствии со следующими формулами:</w:t>
      </w:r>
    </w:p>
    <w:bookmarkEnd w:id="6161"/>
    <w:bookmarkStart w:name="z6172" w:id="6162"/>
    <w:p>
      <w:pPr>
        <w:spacing w:after="0"/>
        <w:ind w:left="0"/>
        <w:jc w:val="both"/>
      </w:pPr>
      <w:r>
        <w:rPr>
          <w:rFonts w:ascii="Times New Roman"/>
          <w:b w:val="false"/>
          <w:i w:val="false"/>
          <w:color w:val="000000"/>
          <w:sz w:val="28"/>
        </w:rPr>
        <w:t>
      предельная нормализованная максимальная длина повреждения:</w:t>
      </w:r>
    </w:p>
    <w:bookmarkEnd w:id="6162"/>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val="false"/>
          <w:color w:val="000000"/>
          <w:sz w:val="28"/>
        </w:rPr>
        <w:t xml:space="preserve"> = 10/33;</w:t>
      </w:r>
    </w:p>
    <w:p>
      <w:pPr>
        <w:spacing w:after="0"/>
        <w:ind w:left="0"/>
        <w:jc w:val="both"/>
      </w:pPr>
      <w:r>
        <w:rPr>
          <w:rFonts w:ascii="Times New Roman"/>
          <w:b w:val="false"/>
          <w:i w:val="false"/>
          <w:color w:val="000000"/>
          <w:sz w:val="28"/>
        </w:rPr>
        <w:t xml:space="preserve">
            точка перегиба в распределении: </w:t>
      </w:r>
      <w:r>
        <w:rPr>
          <w:rFonts w:ascii="Times New Roman"/>
          <w:b w:val="false"/>
          <w:i/>
          <w:color w:val="000000"/>
          <w:sz w:val="28"/>
        </w:rPr>
        <w:t>J</w:t>
      </w:r>
      <w:r>
        <w:rPr>
          <w:rFonts w:ascii="Times New Roman"/>
          <w:b w:val="false"/>
          <w:i w:val="false"/>
          <w:color w:val="000000"/>
          <w:vertAlign w:val="subscript"/>
        </w:rPr>
        <w:t>kn</w:t>
      </w:r>
      <w:r>
        <w:rPr>
          <w:rFonts w:ascii="Times New Roman"/>
          <w:b w:val="false"/>
          <w:i w:val="false"/>
          <w:color w:val="000000"/>
          <w:sz w:val="28"/>
        </w:rPr>
        <w:t xml:space="preserve"> = 5/33;</w:t>
      </w:r>
    </w:p>
    <w:p>
      <w:pPr>
        <w:spacing w:after="0"/>
        <w:ind w:left="0"/>
        <w:jc w:val="both"/>
      </w:pPr>
      <w:r>
        <w:rPr>
          <w:rFonts w:ascii="Times New Roman"/>
          <w:b w:val="false"/>
          <w:i w:val="false"/>
          <w:color w:val="000000"/>
          <w:sz w:val="28"/>
        </w:rPr>
        <w:t xml:space="preserve">
            кумулятивная вероятность в </w:t>
      </w:r>
      <w:r>
        <w:rPr>
          <w:rFonts w:ascii="Times New Roman"/>
          <w:b w:val="false"/>
          <w:i/>
          <w:color w:val="000000"/>
          <w:sz w:val="28"/>
        </w:rPr>
        <w:t>J</w:t>
      </w:r>
      <w:r>
        <w:rPr>
          <w:rFonts w:ascii="Times New Roman"/>
          <w:b w:val="false"/>
          <w:i w:val="false"/>
          <w:color w:val="000000"/>
          <w:vertAlign w:val="subscript"/>
        </w:rPr>
        <w:t>kn</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 xml:space="preserve"> = 11/12;</w:t>
      </w:r>
    </w:p>
    <w:p>
      <w:pPr>
        <w:spacing w:after="0"/>
        <w:ind w:left="0"/>
        <w:jc w:val="both"/>
      </w:pPr>
      <w:r>
        <w:rPr>
          <w:rFonts w:ascii="Times New Roman"/>
          <w:b w:val="false"/>
          <w:i w:val="false"/>
          <w:color w:val="000000"/>
          <w:sz w:val="28"/>
        </w:rPr>
        <w:t xml:space="preserve">
            максимальная абсолютная длина повреждения: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 60 м;</w:t>
      </w:r>
    </w:p>
    <w:p>
      <w:pPr>
        <w:spacing w:after="0"/>
        <w:ind w:left="0"/>
        <w:jc w:val="both"/>
      </w:pPr>
      <w:r>
        <w:rPr>
          <w:rFonts w:ascii="Times New Roman"/>
          <w:b w:val="false"/>
          <w:i w:val="false"/>
          <w:color w:val="000000"/>
          <w:sz w:val="28"/>
        </w:rPr>
        <w:t>
            длина, на которой нормализованное распределение заканчивается: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 260 м;</w:t>
      </w:r>
    </w:p>
    <w:p>
      <w:pPr>
        <w:spacing w:after="0"/>
        <w:ind w:left="0"/>
        <w:jc w:val="both"/>
      </w:pPr>
      <w:r>
        <w:rPr>
          <w:rFonts w:ascii="Times New Roman"/>
          <w:b w:val="false"/>
          <w:i w:val="false"/>
          <w:color w:val="000000"/>
          <w:sz w:val="28"/>
        </w:rPr>
        <w:t xml:space="preserve">
            плотность вероятности в точке </w:t>
      </w:r>
      <w:r>
        <w:rPr>
          <w:rFonts w:ascii="Times New Roman"/>
          <w:b w:val="false"/>
          <w:i/>
          <w:color w:val="000000"/>
          <w:sz w:val="28"/>
        </w:rPr>
        <w:t>J</w:t>
      </w:r>
      <w:r>
        <w:rPr>
          <w:rFonts w:ascii="Times New Roman"/>
          <w:b w:val="false"/>
          <w:i w:val="false"/>
          <w:color w:val="000000"/>
          <w:sz w:val="28"/>
        </w:rPr>
        <w:t>= 0:</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o</w:t>
      </w:r>
      <w:r>
        <w:rPr>
          <w:rFonts w:ascii="Times New Roman"/>
          <w:b w:val="false"/>
          <w:i w:val="false"/>
          <w:color w:val="000000"/>
          <w:sz w:val="28"/>
        </w:rPr>
        <w:t>=2(</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kn</w:t>
      </w:r>
      <w:r>
        <w:rPr>
          <w:rFonts w:ascii="Times New Roman"/>
          <w:b w:val="false"/>
          <w:i w:val="false"/>
          <w:color w:val="000000"/>
          <w:sz w:val="28"/>
        </w:rPr>
        <w:t xml:space="preserve"> – (1-</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bscript"/>
        </w:rPr>
        <w:t>kn</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Если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 xml:space="preserve"> = min{</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 xml:space="preserve"> = </w:t>
      </w:r>
    </w:p>
    <w:p>
      <w:pPr>
        <w:spacing w:after="0"/>
        <w:ind w:left="0"/>
        <w:jc w:val="both"/>
      </w:pPr>
      <w:r>
        <w:drawing>
          <wp:inline distT="0" distB="0" distL="0" distR="0">
            <wp:extent cx="448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6"/>
                    <a:stretch>
                      <a:fillRect/>
                    </a:stretch>
                  </pic:blipFill>
                  <pic:spPr>
                    <a:xfrm>
                      <a:off x="0" y="0"/>
                      <a:ext cx="4483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l2</w:t>
      </w:r>
      <w:r>
        <w:rPr>
          <w:rFonts w:ascii="Times New Roman"/>
          <w:b w:val="false"/>
          <w:i w:val="false"/>
          <w:color w:val="000000"/>
          <w:sz w:val="28"/>
        </w:rPr>
        <w:t xml:space="preserve"> = b</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Если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&gt; </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*=min{</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w:t>
      </w:r>
      <w:r>
        <w:rPr>
          <w:rFonts w:ascii="Times New Roman"/>
          <w:b w:val="false"/>
          <w:i w:val="false"/>
          <w:color w:val="000000"/>
          <w:vertAlign w:val="subscript"/>
        </w:rPr>
        <w:t>max</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*=J</w:t>
      </w:r>
      <w:r>
        <w:rPr>
          <w:rFonts w:ascii="Times New Roman"/>
          <w:b w:val="false"/>
          <w:i w:val="false"/>
          <w:color w:val="000000"/>
          <w:vertAlign w:val="subscript"/>
        </w:rPr>
        <w:t>m</w:t>
      </w:r>
      <w:r>
        <w:rPr>
          <w:rFonts w:ascii="Times New Roman"/>
          <w:b w:val="false"/>
          <w:i w:val="false"/>
          <w:color w:val="000000"/>
          <w:sz w:val="28"/>
        </w:rPr>
        <w:t>*/2+</w:t>
      </w:r>
    </w:p>
    <w:p>
      <w:pPr>
        <w:spacing w:after="0"/>
        <w:ind w:left="0"/>
        <w:jc w:val="both"/>
      </w:pPr>
      <w:r>
        <w:drawing>
          <wp:inline distT="0" distB="0" distL="0" distR="0">
            <wp:extent cx="3390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7"/>
                    <a:stretch>
                      <a:fillRect/>
                    </a:stretch>
                  </pic:blipFill>
                  <pic:spPr>
                    <a:xfrm>
                      <a:off x="0" y="0"/>
                      <a:ext cx="3390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l2</w:t>
      </w:r>
      <w:r>
        <w:rPr>
          <w:rFonts w:ascii="Times New Roman"/>
          <w:b w:val="false"/>
          <w:i w:val="false"/>
          <w:color w:val="000000"/>
          <w:sz w:val="28"/>
        </w:rPr>
        <w:t>=2[</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-(1-</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r>
        <w:rPr>
          <w:rFonts w:ascii="Times New Roman"/>
          <w:b w:val="false"/>
          <w:i w:val="false"/>
          <w:color w:val="000000"/>
          <w:vertAlign w:val="subscript"/>
        </w:rPr>
        <w:t>11</w:t>
      </w:r>
      <w:r>
        <w:rPr>
          <w:rFonts w:ascii="Times New Roman"/>
          <w:b w:val="false"/>
          <w:i w:val="false"/>
          <w:color w:val="000000"/>
          <w:sz w:val="28"/>
        </w:rPr>
        <w:t>= 4(1-</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]-2</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vertAlign w:val="subscript"/>
        </w:rPr>
        <w:t>k</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21</w:t>
      </w:r>
      <w:r>
        <w:rPr>
          <w:rFonts w:ascii="Times New Roman"/>
          <w:b w:val="false"/>
          <w:i w:val="false"/>
          <w:color w:val="000000"/>
          <w:sz w:val="28"/>
        </w:rPr>
        <w:t>= -2{1-</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22</w:t>
      </w:r>
      <w:r>
        <w:rPr>
          <w:rFonts w:ascii="Times New Roman"/>
          <w:b w:val="false"/>
          <w:i w:val="false"/>
          <w:color w:val="000000"/>
          <w:sz w:val="28"/>
        </w:rPr>
        <w:t xml:space="preserve"> = - </w:t>
      </w:r>
      <w:r>
        <w:rPr>
          <w:rFonts w:ascii="Times New Roman"/>
          <w:b w:val="false"/>
          <w:i/>
          <w:color w:val="000000"/>
          <w:sz w:val="28"/>
        </w:rPr>
        <w:t>b</w:t>
      </w:r>
      <w:r>
        <w:rPr>
          <w:rFonts w:ascii="Times New Roman"/>
          <w:b w:val="false"/>
          <w:i w:val="false"/>
          <w:color w:val="000000"/>
          <w:vertAlign w:val="subscript"/>
        </w:rPr>
        <w:t>21</w:t>
      </w:r>
      <w:r>
        <w:rPr>
          <w:rFonts w:ascii="Times New Roman"/>
          <w:b w:val="false"/>
          <w:i/>
          <w:color w:val="000000"/>
          <w:sz w:val="28"/>
        </w:rPr>
        <w:t>J</w:t>
      </w:r>
      <w:r>
        <w:rPr>
          <w:rFonts w:ascii="Times New Roman"/>
          <w:b w:val="false"/>
          <w:i w:val="false"/>
          <w:color w:val="000000"/>
          <w:vertAlign w:val="subscript"/>
        </w:rPr>
        <w:t>m</w:t>
      </w:r>
    </w:p>
    <w:p>
      <w:pPr>
        <w:spacing w:after="0"/>
        <w:ind w:left="0"/>
        <w:jc w:val="both"/>
      </w:pPr>
      <w:r>
        <w:rPr>
          <w:rFonts w:ascii="Times New Roman"/>
          <w:b w:val="false"/>
          <w:i w:val="false"/>
          <w:color w:val="000000"/>
          <w:sz w:val="28"/>
        </w:rPr>
        <w:t>
      безразмерная длина повреждения:</w:t>
      </w:r>
    </w:p>
    <w:p>
      <w:pPr>
        <w:spacing w:after="0"/>
        <w:ind w:left="0"/>
        <w:jc w:val="both"/>
      </w:pPr>
      <w:r>
        <w:rPr>
          <w:rFonts w:ascii="Times New Roman"/>
          <w:b w:val="false"/>
          <w:i w:val="false"/>
          <w:color w:val="000000"/>
          <w:sz w:val="28"/>
        </w:rPr>
        <w:t>
                                    J= (</w:t>
      </w:r>
      <w:r>
        <w:rPr>
          <w:rFonts w:ascii="Times New Roman"/>
          <w:b w:val="false"/>
          <w:i/>
          <w:color w:val="000000"/>
          <w:sz w:val="28"/>
        </w:rPr>
        <w:t>x2</w:t>
      </w:r>
      <w:r>
        <w:rPr>
          <w:rFonts w:ascii="Times New Roman"/>
          <w:b w:val="false"/>
          <w:i w:val="false"/>
          <w:color w:val="000000"/>
          <w:sz w:val="28"/>
        </w:rPr>
        <w:t>-</w:t>
      </w:r>
      <w:r>
        <w:rPr>
          <w:rFonts w:ascii="Times New Roman"/>
          <w:b w:val="false"/>
          <w:i/>
          <w:color w:val="000000"/>
          <w:sz w:val="28"/>
        </w:rPr>
        <w:t>x1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нормализованная длина отсека или группы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n</w:t>
      </w:r>
      <w:r>
        <w:rPr>
          <w:rFonts w:ascii="Times New Roman"/>
          <w:b w:val="false"/>
          <w:i w:val="false"/>
          <w:color w:val="000000"/>
          <w:sz w:val="28"/>
        </w:rPr>
        <w:t xml:space="preserve"> принимается как меньшее из значений </w:t>
      </w:r>
      <w:r>
        <w:rPr>
          <w:rFonts w:ascii="Times New Roman"/>
          <w:b w:val="false"/>
          <w:i/>
          <w:color w:val="000000"/>
          <w:sz w:val="28"/>
        </w:rPr>
        <w:t>J</w:t>
      </w:r>
      <w:r>
        <w:rPr>
          <w:rFonts w:ascii="Times New Roman"/>
          <w:b w:val="false"/>
          <w:i w:val="false"/>
          <w:color w:val="000000"/>
          <w:sz w:val="28"/>
        </w:rPr>
        <w:t xml:space="preserve"> и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w:t>
      </w:r>
    </w:p>
    <w:bookmarkStart w:name="z6173" w:id="6163"/>
    <w:p>
      <w:pPr>
        <w:spacing w:after="0"/>
        <w:ind w:left="0"/>
        <w:jc w:val="both"/>
      </w:pPr>
      <w:r>
        <w:rPr>
          <w:rFonts w:ascii="Times New Roman"/>
          <w:b w:val="false"/>
          <w:i w:val="false"/>
          <w:color w:val="000000"/>
          <w:sz w:val="28"/>
        </w:rPr>
        <w:t>
      1998. Если ни одна из границ рассматриваемого отсека или группы отсеков не совпадает с крайними или носовой точками:</w:t>
      </w:r>
    </w:p>
    <w:bookmarkEnd w:id="6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8"/>
                    <a:stretch>
                      <a:fillRect/>
                    </a:stretch>
                  </pic:blipFill>
                  <pic:spPr>
                    <a:xfrm>
                      <a:off x="0" y="0"/>
                      <a:ext cx="5575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4" w:id="6164"/>
    <w:p>
      <w:pPr>
        <w:spacing w:after="0"/>
        <w:ind w:left="0"/>
        <w:jc w:val="both"/>
      </w:pPr>
      <w:r>
        <w:rPr>
          <w:rFonts w:ascii="Times New Roman"/>
          <w:b w:val="false"/>
          <w:i w:val="false"/>
          <w:color w:val="000000"/>
          <w:sz w:val="28"/>
        </w:rPr>
        <w:t>
      1999. Если кормовая граница рассматриваемого отсека или группы отсеков совпадает с крайней кормовой точкой или носовая граница рассматриваемого отсека или группы отсеков совпадает с крайней носовой точкой:</w:t>
      </w:r>
    </w:p>
    <w:bookmarkEnd w:id="6164"/>
    <w:p>
      <w:pPr>
        <w:spacing w:after="0"/>
        <w:ind w:left="0"/>
        <w:jc w:val="both"/>
      </w:pPr>
      <w:r>
        <w:rPr>
          <w:rFonts w:ascii="Times New Roman"/>
          <w:b w:val="false"/>
          <w:i w:val="false"/>
          <w:color w:val="000000"/>
          <w:sz w:val="28"/>
        </w:rPr>
        <w:t xml:space="preserve">
      J </w:t>
      </w:r>
      <w:r>
        <w:rPr>
          <w:rFonts w:ascii="Times New Roman"/>
          <w:b w:val="false"/>
          <w:i w:val="false"/>
          <w:color w:val="000000"/>
          <w:sz w:val="28"/>
          <w:u w:val="single"/>
        </w:rPr>
        <w:t>&lt;</w:t>
      </w:r>
      <w:r>
        <w:rPr>
          <w:rFonts w:ascii="Times New Roman"/>
          <w:b w:val="false"/>
          <w:i w:val="false"/>
          <w:color w:val="000000"/>
          <w:sz w:val="28"/>
        </w:rPr>
        <w:t xml:space="preserve"> J</w:t>
      </w:r>
      <w:r>
        <w:rPr>
          <w:rFonts w:ascii="Times New Roman"/>
          <w:b w:val="false"/>
          <w:i w:val="false"/>
          <w:color w:val="000000"/>
          <w:vertAlign w:val="subscript"/>
        </w:rPr>
        <w:t>k</w:t>
      </w:r>
    </w:p>
    <w:p>
      <w:pPr>
        <w:spacing w:after="0"/>
        <w:ind w:left="0"/>
        <w:jc w:val="both"/>
      </w:pPr>
      <w:r>
        <w:rPr>
          <w:rFonts w:ascii="Times New Roman"/>
          <w:b w:val="false"/>
          <w:i w:val="false"/>
          <w:color w:val="000000"/>
          <w:sz w:val="28"/>
        </w:rPr>
        <w:t>
      р(х1,х2)= 1/2(p</w:t>
      </w:r>
      <w:r>
        <w:rPr>
          <w:rFonts w:ascii="Times New Roman"/>
          <w:b w:val="false"/>
          <w:i w:val="false"/>
          <w:color w:val="000000"/>
          <w:vertAlign w:val="subscript"/>
        </w:rPr>
        <w:t>2</w:t>
      </w:r>
      <w:r>
        <w:rPr>
          <w:rFonts w:ascii="Times New Roman"/>
          <w:b w:val="false"/>
          <w:i w:val="false"/>
          <w:color w:val="000000"/>
          <w:sz w:val="28"/>
        </w:rPr>
        <w:t>+J)</w:t>
      </w:r>
    </w:p>
    <w:p>
      <w:pPr>
        <w:spacing w:after="0"/>
        <w:ind w:left="0"/>
        <w:jc w:val="both"/>
      </w:pPr>
      <w:r>
        <w:rPr>
          <w:rFonts w:ascii="Times New Roman"/>
          <w:b w:val="false"/>
          <w:i w:val="false"/>
          <w:color w:val="000000"/>
          <w:sz w:val="28"/>
        </w:rPr>
        <w:t>
      J &gt; J</w:t>
      </w:r>
      <w:r>
        <w:rPr>
          <w:rFonts w:ascii="Times New Roman"/>
          <w:b w:val="false"/>
          <w:i w:val="false"/>
          <w:color w:val="000000"/>
          <w:vertAlign w:val="subscript"/>
        </w:rPr>
        <w:t>k</w:t>
      </w:r>
    </w:p>
    <w:p>
      <w:pPr>
        <w:spacing w:after="0"/>
        <w:ind w:left="0"/>
        <w:jc w:val="both"/>
      </w:pPr>
      <w:r>
        <w:rPr>
          <w:rFonts w:ascii="Times New Roman"/>
          <w:b w:val="false"/>
          <w:i w:val="false"/>
          <w:color w:val="000000"/>
          <w:sz w:val="28"/>
        </w:rPr>
        <w:t>
      p(x1, x2)= 1/2(p</w:t>
      </w:r>
      <w:r>
        <w:rPr>
          <w:rFonts w:ascii="Times New Roman"/>
          <w:b w:val="false"/>
          <w:i w:val="false"/>
          <w:color w:val="000000"/>
          <w:vertAlign w:val="subscript"/>
        </w:rPr>
        <w:t>2</w:t>
      </w:r>
      <w:r>
        <w:rPr>
          <w:rFonts w:ascii="Times New Roman"/>
          <w:b w:val="false"/>
          <w:i w:val="false"/>
          <w:color w:val="000000"/>
          <w:sz w:val="28"/>
        </w:rPr>
        <w:t>+J)</w:t>
      </w:r>
    </w:p>
    <w:bookmarkStart w:name="z6175" w:id="6165"/>
    <w:p>
      <w:pPr>
        <w:spacing w:after="0"/>
        <w:ind w:left="0"/>
        <w:jc w:val="both"/>
      </w:pPr>
      <w:r>
        <w:rPr>
          <w:rFonts w:ascii="Times New Roman"/>
          <w:b w:val="false"/>
          <w:i w:val="false"/>
          <w:color w:val="000000"/>
          <w:sz w:val="28"/>
        </w:rPr>
        <w:t xml:space="preserve">
      2000. Если рассматриваемый отсек или группа отсеков простираются по всей длине деления на отсеки судна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p>
    <w:bookmarkEnd w:id="6165"/>
    <w:p>
      <w:pPr>
        <w:spacing w:after="0"/>
        <w:ind w:left="0"/>
        <w:jc w:val="both"/>
      </w:pPr>
      <w:r>
        <w:rPr>
          <w:rFonts w:ascii="Times New Roman"/>
          <w:b w:val="false"/>
          <w:i w:val="false"/>
          <w:color w:val="000000"/>
          <w:sz w:val="28"/>
        </w:rPr>
        <w:t>
      p(x1, х2)=1.</w:t>
      </w:r>
    </w:p>
    <w:p>
      <w:pPr>
        <w:spacing w:after="0"/>
        <w:ind w:left="0"/>
        <w:jc w:val="both"/>
      </w:pPr>
      <w:r>
        <w:rPr>
          <w:rFonts w:ascii="Times New Roman"/>
          <w:b w:val="false"/>
          <w:i w:val="false"/>
          <w:color w:val="000000"/>
          <w:sz w:val="28"/>
        </w:rPr>
        <w:t>
      2001. Фактор r(х1,х2,b) определяется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(x1,x2,b) = 1 - (1 – C)[1-G/p(x1,x2)]</w:t>
      </w:r>
    </w:p>
    <w:p>
      <w:pPr>
        <w:spacing w:after="0"/>
        <w:ind w:left="0"/>
        <w:jc w:val="both"/>
      </w:pPr>
      <w:r>
        <w:rPr>
          <w:rFonts w:ascii="Times New Roman"/>
          <w:b w:val="false"/>
          <w:i w:val="false"/>
          <w:color w:val="000000"/>
          <w:sz w:val="28"/>
        </w:rPr>
        <w:t>
      где С = 12J</w:t>
      </w:r>
      <w:r>
        <w:rPr>
          <w:rFonts w:ascii="Times New Roman"/>
          <w:b w:val="false"/>
          <w:i w:val="false"/>
          <w:color w:val="000000"/>
          <w:vertAlign w:val="subscript"/>
        </w:rPr>
        <w:t>ь</w:t>
      </w:r>
      <w:r>
        <w:rPr>
          <w:rFonts w:ascii="Times New Roman"/>
          <w:b w:val="false"/>
          <w:i w:val="false"/>
          <w:color w:val="000000"/>
          <w:sz w:val="28"/>
        </w:rPr>
        <w:t>(- 45J</w:t>
      </w:r>
      <w:r>
        <w:rPr>
          <w:rFonts w:ascii="Times New Roman"/>
          <w:b w:val="false"/>
          <w:i w:val="false"/>
          <w:color w:val="000000"/>
          <w:vertAlign w:val="subscript"/>
        </w:rPr>
        <w:t>b</w:t>
      </w:r>
      <w:r>
        <w:rPr>
          <w:rFonts w:ascii="Times New Roman"/>
          <w:b w:val="false"/>
          <w:i w:val="false"/>
          <w:color w:val="000000"/>
          <w:sz w:val="28"/>
        </w:rPr>
        <w:t xml:space="preserve"> + 4),</w:t>
      </w:r>
    </w:p>
    <w:p>
      <w:pPr>
        <w:spacing w:after="0"/>
        <w:ind w:left="0"/>
        <w:jc w:val="both"/>
      </w:pPr>
      <w:r>
        <w:rPr>
          <w:rFonts w:ascii="Times New Roman"/>
          <w:b w:val="false"/>
          <w:i w:val="false"/>
          <w:color w:val="000000"/>
          <w:sz w:val="28"/>
        </w:rPr>
        <w:t>
      где J</w:t>
      </w:r>
      <w:r>
        <w:rPr>
          <w:rFonts w:ascii="Times New Roman"/>
          <w:b w:val="false"/>
          <w:i w:val="false"/>
          <w:color w:val="000000"/>
          <w:vertAlign w:val="subscript"/>
        </w:rPr>
        <w:t>ь</w:t>
      </w:r>
      <w:r>
        <w:rPr>
          <w:rFonts w:ascii="Times New Roman"/>
          <w:b w:val="false"/>
          <w:i w:val="false"/>
          <w:color w:val="000000"/>
          <w:sz w:val="28"/>
        </w:rPr>
        <w:t xml:space="preserve"> = b/(15В).</w:t>
      </w:r>
    </w:p>
    <w:bookmarkStart w:name="z6176" w:id="6166"/>
    <w:p>
      <w:pPr>
        <w:spacing w:after="0"/>
        <w:ind w:left="0"/>
        <w:jc w:val="both"/>
      </w:pPr>
      <w:r>
        <w:rPr>
          <w:rFonts w:ascii="Times New Roman"/>
          <w:b w:val="false"/>
          <w:i w:val="false"/>
          <w:color w:val="000000"/>
          <w:sz w:val="28"/>
        </w:rPr>
        <w:t>
      2002. Если рассматриваемый отсек или группа отсеков простираются по всей длине деления на отсеки судна L</w:t>
      </w:r>
      <w:r>
        <w:rPr>
          <w:rFonts w:ascii="Times New Roman"/>
          <w:b w:val="false"/>
          <w:i w:val="false"/>
          <w:color w:val="000000"/>
          <w:vertAlign w:val="subscript"/>
        </w:rPr>
        <w:t>s</w:t>
      </w:r>
      <w:r>
        <w:rPr>
          <w:rFonts w:ascii="Times New Roman"/>
          <w:b w:val="false"/>
          <w:i w:val="false"/>
          <w:color w:val="000000"/>
          <w:sz w:val="28"/>
        </w:rPr>
        <w:t>:</w:t>
      </w:r>
    </w:p>
    <w:bookmarkEnd w:id="6166"/>
    <w:p>
      <w:pPr>
        <w:spacing w:after="0"/>
        <w:ind w:left="0"/>
        <w:jc w:val="both"/>
      </w:pPr>
      <w:r>
        <w:rPr>
          <w:rFonts w:ascii="Times New Roman"/>
          <w:b w:val="false"/>
          <w:i w:val="false"/>
          <w:color w:val="000000"/>
          <w:sz w:val="28"/>
        </w:rPr>
        <w:t>
      G=G</w:t>
      </w:r>
      <w:r>
        <w:rPr>
          <w:rFonts w:ascii="Times New Roman"/>
          <w:b w:val="false"/>
          <w:i w:val="false"/>
          <w:color w:val="000000"/>
          <w:vertAlign w:val="subscript"/>
        </w:rPr>
        <w:t>1</w:t>
      </w:r>
      <w:r>
        <w:rPr>
          <w:rFonts w:ascii="Times New Roman"/>
          <w:b w:val="false"/>
          <w:i w:val="false"/>
          <w:color w:val="000000"/>
          <w:sz w:val="28"/>
        </w:rPr>
        <w:t>=1/2b</w:t>
      </w:r>
      <w:r>
        <w:rPr>
          <w:rFonts w:ascii="Times New Roman"/>
          <w:b w:val="false"/>
          <w:i w:val="false"/>
          <w:color w:val="000000"/>
          <w:vertAlign w:val="subscript"/>
        </w:rPr>
        <w:t>n</w:t>
      </w:r>
      <w:r>
        <w:rPr>
          <w:rFonts w:ascii="Times New Roman"/>
          <w:b w:val="false"/>
          <w:i w:val="false"/>
          <w:color w:val="000000"/>
          <w:sz w:val="28"/>
        </w:rPr>
        <w:t>J</w:t>
      </w:r>
      <w:r>
        <w:rPr>
          <w:rFonts w:ascii="Times New Roman"/>
          <w:b w:val="false"/>
          <w:i w:val="false"/>
          <w:color w:val="000000"/>
          <w:vertAlign w:val="superscript"/>
        </w:rPr>
        <w:t>2</w:t>
      </w:r>
      <w:r>
        <w:rPr>
          <w:rFonts w:ascii="Times New Roman"/>
          <w:b w:val="false"/>
          <w:i w:val="false"/>
          <w:color w:val="000000"/>
          <w:vertAlign w:val="subscript"/>
        </w:rPr>
        <w:t>b</w:t>
      </w:r>
      <w:r>
        <w:rPr>
          <w:rFonts w:ascii="Times New Roman"/>
          <w:b w:val="false"/>
          <w:i w:val="false"/>
          <w:color w:val="000000"/>
          <w:sz w:val="28"/>
        </w:rPr>
        <w:t xml:space="preserve"> + b</w:t>
      </w:r>
      <w:r>
        <w:rPr>
          <w:rFonts w:ascii="Times New Roman"/>
          <w:b w:val="false"/>
          <w:i w:val="false"/>
          <w:color w:val="000000"/>
          <w:vertAlign w:val="subscript"/>
        </w:rPr>
        <w:t>l</w:t>
      </w:r>
      <w:r>
        <w:rPr>
          <w:rFonts w:ascii="Times New Roman"/>
          <w:b w:val="false"/>
          <w:i w:val="false"/>
          <w:color w:val="000000"/>
          <w:vertAlign w:val="subscript"/>
        </w:rPr>
        <w:t>2</w:t>
      </w:r>
      <w:r>
        <w:rPr>
          <w:rFonts w:ascii="Times New Roman"/>
          <w:b w:val="false"/>
          <w:i w:val="false"/>
          <w:color w:val="000000"/>
          <w:sz w:val="28"/>
        </w:rPr>
        <w:t>J</w:t>
      </w:r>
      <w:r>
        <w:rPr>
          <w:rFonts w:ascii="Times New Roman"/>
          <w:b w:val="false"/>
          <w:i w:val="false"/>
          <w:color w:val="000000"/>
          <w:vertAlign w:val="subscript"/>
        </w:rPr>
        <w:t>b</w:t>
      </w:r>
      <w:r>
        <w:rPr>
          <w:rFonts w:ascii="Times New Roman"/>
          <w:b w:val="false"/>
          <w:i w:val="false"/>
          <w:color w:val="000000"/>
          <w:sz w:val="28"/>
        </w:rPr>
        <w:t>.</w:t>
      </w:r>
    </w:p>
    <w:bookmarkStart w:name="z6177" w:id="6167"/>
    <w:p>
      <w:pPr>
        <w:spacing w:after="0"/>
        <w:ind w:left="0"/>
        <w:jc w:val="both"/>
      </w:pPr>
      <w:r>
        <w:rPr>
          <w:rFonts w:ascii="Times New Roman"/>
          <w:b w:val="false"/>
          <w:i w:val="false"/>
          <w:color w:val="000000"/>
          <w:sz w:val="28"/>
        </w:rPr>
        <w:t>
      2003. Если ни одна из границ рассматриваемого отсека или группы отсеков не совпадает с крайней кормовой или крайней носовой точками:</w:t>
      </w:r>
    </w:p>
    <w:bookmarkEnd w:id="6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9"/>
                    <a:stretch>
                      <a:fillRect/>
                    </a:stretch>
                  </pic:blipFill>
                  <pic:spPr>
                    <a:xfrm>
                      <a:off x="0" y="0"/>
                      <a:ext cx="48133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J</w:t>
      </w:r>
      <w:r>
        <w:rPr>
          <w:rFonts w:ascii="Times New Roman"/>
          <w:b w:val="false"/>
          <w:i w:val="false"/>
          <w:color w:val="000000"/>
          <w:vertAlign w:val="subscript"/>
        </w:rPr>
        <w:t>o</w:t>
      </w:r>
      <w:r>
        <w:rPr>
          <w:rFonts w:ascii="Times New Roman"/>
          <w:b w:val="false"/>
          <w:i w:val="false"/>
          <w:color w:val="000000"/>
          <w:sz w:val="28"/>
        </w:rPr>
        <w:t xml:space="preserve"> = min(JJ</w:t>
      </w:r>
      <w:r>
        <w:rPr>
          <w:rFonts w:ascii="Times New Roman"/>
          <w:b w:val="false"/>
          <w:i w:val="false"/>
          <w:color w:val="000000"/>
          <w:vertAlign w:val="subscript"/>
        </w:rPr>
        <w:t>b</w:t>
      </w:r>
      <w:r>
        <w:rPr>
          <w:rFonts w:ascii="Times New Roman"/>
          <w:b w:val="false"/>
          <w:i w:val="false"/>
          <w:color w:val="000000"/>
          <w:sz w:val="28"/>
        </w:rPr>
        <w:t>).</w:t>
      </w:r>
    </w:p>
    <w:bookmarkStart w:name="z6178" w:id="6168"/>
    <w:p>
      <w:pPr>
        <w:spacing w:after="0"/>
        <w:ind w:left="0"/>
        <w:jc w:val="both"/>
      </w:pPr>
      <w:r>
        <w:rPr>
          <w:rFonts w:ascii="Times New Roman"/>
          <w:b w:val="false"/>
          <w:i w:val="false"/>
          <w:color w:val="000000"/>
          <w:sz w:val="28"/>
        </w:rPr>
        <w:t>
      2004. Если кормовая граница рассматриваемого отсека или группы отсеков совпадает с крайней кормовой точкой или носовая граница рассматриваемого отсека или группы отсеков совпадает с крайней носовой точкой:</w:t>
      </w:r>
    </w:p>
    <w:bookmarkEnd w:id="6168"/>
    <w:p>
      <w:pPr>
        <w:spacing w:after="0"/>
        <w:ind w:left="0"/>
        <w:jc w:val="both"/>
      </w:pPr>
      <w:r>
        <w:rPr>
          <w:rFonts w:ascii="Times New Roman"/>
          <w:b w:val="false"/>
          <w:i w:val="false"/>
          <w:color w:val="000000"/>
          <w:sz w:val="28"/>
        </w:rPr>
        <w:t>
                                    G = 1/2 (G</w:t>
      </w:r>
      <w:r>
        <w:rPr>
          <w:rFonts w:ascii="Times New Roman"/>
          <w:b w:val="false"/>
          <w:i w:val="false"/>
          <w:color w:val="000000"/>
          <w:vertAlign w:val="subscript"/>
        </w:rPr>
        <w:t>2</w:t>
      </w:r>
      <w:r>
        <w:rPr>
          <w:rFonts w:ascii="Times New Roman"/>
          <w:b w:val="false"/>
          <w:i w:val="false"/>
          <w:color w:val="000000"/>
          <w:sz w:val="28"/>
        </w:rPr>
        <w:t>+G</w:t>
      </w:r>
      <w:r>
        <w:rPr>
          <w:rFonts w:ascii="Times New Roman"/>
          <w:b w:val="false"/>
          <w:i w:val="false"/>
          <w:color w:val="000000"/>
          <w:vertAlign w:val="subscript"/>
        </w:rPr>
        <w:t>1</w:t>
      </w:r>
      <w:r>
        <w:rPr>
          <w:rFonts w:ascii="Times New Roman"/>
          <w:b w:val="false"/>
          <w:i w:val="false"/>
          <w:color w:val="000000"/>
          <w:sz w:val="28"/>
        </w:rPr>
        <w:t>J)</w:t>
      </w:r>
    </w:p>
    <w:bookmarkStart w:name="z6179" w:id="6169"/>
    <w:p>
      <w:pPr>
        <w:spacing w:after="0"/>
        <w:ind w:left="0"/>
        <w:jc w:val="left"/>
      </w:pPr>
      <w:r>
        <w:rPr>
          <w:rFonts w:ascii="Times New Roman"/>
          <w:b/>
          <w:i w:val="false"/>
          <w:color w:val="000000"/>
        </w:rPr>
        <w:t xml:space="preserve"> Параграф 4. Расчет фактора si</w:t>
      </w:r>
    </w:p>
    <w:bookmarkEnd w:id="6169"/>
    <w:bookmarkStart w:name="z6180" w:id="6170"/>
    <w:p>
      <w:pPr>
        <w:spacing w:after="0"/>
        <w:ind w:left="0"/>
        <w:jc w:val="both"/>
      </w:pPr>
      <w:r>
        <w:rPr>
          <w:rFonts w:ascii="Times New Roman"/>
          <w:b w:val="false"/>
          <w:i w:val="false"/>
          <w:color w:val="000000"/>
          <w:sz w:val="28"/>
        </w:rPr>
        <w:t>
      2005. Фактор s</w:t>
      </w:r>
      <w:r>
        <w:rPr>
          <w:rFonts w:ascii="Times New Roman"/>
          <w:b w:val="false"/>
          <w:i w:val="false"/>
          <w:color w:val="000000"/>
          <w:vertAlign w:val="subscript"/>
        </w:rPr>
        <w:t>i</w:t>
      </w:r>
      <w:r>
        <w:rPr>
          <w:rFonts w:ascii="Times New Roman"/>
          <w:b w:val="false"/>
          <w:i w:val="false"/>
          <w:color w:val="000000"/>
          <w:sz w:val="28"/>
        </w:rPr>
        <w:t xml:space="preserve"> определяют для каждого случая предполагаемого затопления отсека или группы отсеков в соответствии с нижеследующими условными обозначениями и положениями:</w:t>
      </w:r>
    </w:p>
    <w:bookmarkEnd w:id="6170"/>
    <w:bookmarkStart w:name="z6181" w:id="6171"/>
    <w:p>
      <w:pPr>
        <w:spacing w:after="0"/>
        <w:ind w:left="0"/>
        <w:jc w:val="both"/>
      </w:pPr>
      <w:r>
        <w:rPr>
          <w:rFonts w:ascii="Times New Roman"/>
          <w:b w:val="false"/>
          <w:i w:val="false"/>
          <w:color w:val="000000"/>
          <w:sz w:val="28"/>
        </w:rPr>
        <w:t>
      1) Ө</w:t>
      </w:r>
      <w:r>
        <w:rPr>
          <w:rFonts w:ascii="Times New Roman"/>
          <w:b w:val="false"/>
          <w:i w:val="false"/>
          <w:color w:val="000000"/>
          <w:vertAlign w:val="subscript"/>
        </w:rPr>
        <w:t>е</w:t>
      </w:r>
      <w:r>
        <w:rPr>
          <w:rFonts w:ascii="Times New Roman"/>
          <w:b w:val="false"/>
          <w:i w:val="false"/>
          <w:color w:val="000000"/>
          <w:sz w:val="28"/>
        </w:rPr>
        <w:t xml:space="preserve"> — угол крена в состоянии равновесия на любой стадии затопления, град.;</w:t>
      </w:r>
    </w:p>
    <w:bookmarkEnd w:id="6171"/>
    <w:bookmarkStart w:name="z6182" w:id="6172"/>
    <w:p>
      <w:pPr>
        <w:spacing w:after="0"/>
        <w:ind w:left="0"/>
        <w:jc w:val="both"/>
      </w:pPr>
      <w:r>
        <w:rPr>
          <w:rFonts w:ascii="Times New Roman"/>
          <w:b w:val="false"/>
          <w:i w:val="false"/>
          <w:color w:val="000000"/>
          <w:sz w:val="28"/>
        </w:rPr>
        <w:t>
      2) Ө</w:t>
      </w:r>
      <w:r>
        <w:rPr>
          <w:rFonts w:ascii="Times New Roman"/>
          <w:b w:val="false"/>
          <w:i w:val="false"/>
          <w:color w:val="000000"/>
          <w:vertAlign w:val="subscript"/>
        </w:rPr>
        <w:t>v</w:t>
      </w:r>
      <w:r>
        <w:rPr>
          <w:rFonts w:ascii="Times New Roman"/>
          <w:b w:val="false"/>
          <w:i w:val="false"/>
          <w:color w:val="000000"/>
          <w:sz w:val="28"/>
        </w:rPr>
        <w:t xml:space="preserve"> — угол на любой стадии затопления, когда восстанавливающее плечо становится отрицательным, или угол, при котором отверстие, которое не может быть закрыто непроницаемо при воздействии моря, погружается в воду;</w:t>
      </w:r>
    </w:p>
    <w:bookmarkEnd w:id="6172"/>
    <w:bookmarkStart w:name="z6183" w:id="6173"/>
    <w:p>
      <w:pPr>
        <w:spacing w:after="0"/>
        <w:ind w:left="0"/>
        <w:jc w:val="both"/>
      </w:pPr>
      <w:r>
        <w:rPr>
          <w:rFonts w:ascii="Times New Roman"/>
          <w:b w:val="false"/>
          <w:i w:val="false"/>
          <w:color w:val="000000"/>
          <w:sz w:val="28"/>
        </w:rPr>
        <w:t>
      3) GZ</w:t>
      </w:r>
      <w:r>
        <w:rPr>
          <w:rFonts w:ascii="Times New Roman"/>
          <w:b w:val="false"/>
          <w:i w:val="false"/>
          <w:color w:val="000000"/>
          <w:vertAlign w:val="subscript"/>
        </w:rPr>
        <w:t>max</w:t>
      </w:r>
      <w:r>
        <w:rPr>
          <w:rFonts w:ascii="Times New Roman"/>
          <w:b w:val="false"/>
          <w:i w:val="false"/>
          <w:color w:val="000000"/>
          <w:sz w:val="28"/>
        </w:rPr>
        <w:t xml:space="preserve"> — максимальное положительное восстанавливающее плечо, м, вплоть до угла Ө</w:t>
      </w:r>
      <w:r>
        <w:rPr>
          <w:rFonts w:ascii="Times New Roman"/>
          <w:b w:val="false"/>
          <w:i w:val="false"/>
          <w:color w:val="000000"/>
          <w:vertAlign w:val="subscript"/>
        </w:rPr>
        <w:t>v</w:t>
      </w:r>
      <w:r>
        <w:rPr>
          <w:rFonts w:ascii="Times New Roman"/>
          <w:b w:val="false"/>
          <w:i w:val="false"/>
          <w:color w:val="000000"/>
          <w:sz w:val="28"/>
        </w:rPr>
        <w:t>;</w:t>
      </w:r>
    </w:p>
    <w:bookmarkEnd w:id="6173"/>
    <w:bookmarkStart w:name="z6184" w:id="6174"/>
    <w:p>
      <w:pPr>
        <w:spacing w:after="0"/>
        <w:ind w:left="0"/>
        <w:jc w:val="both"/>
      </w:pPr>
      <w:r>
        <w:rPr>
          <w:rFonts w:ascii="Times New Roman"/>
          <w:b w:val="false"/>
          <w:i w:val="false"/>
          <w:color w:val="000000"/>
          <w:sz w:val="28"/>
        </w:rPr>
        <w:t>
      4) протяженность — протяженность положительных восстанавливающих плеч, град., измеряемая от угла 0</w:t>
      </w:r>
      <w:r>
        <w:rPr>
          <w:rFonts w:ascii="Times New Roman"/>
          <w:b w:val="false"/>
          <w:i w:val="false"/>
          <w:color w:val="000000"/>
          <w:vertAlign w:val="subscript"/>
        </w:rPr>
        <w:t>е</w:t>
      </w:r>
      <w:r>
        <w:rPr>
          <w:rFonts w:ascii="Times New Roman"/>
          <w:b w:val="false"/>
          <w:i w:val="false"/>
          <w:color w:val="000000"/>
          <w:sz w:val="28"/>
        </w:rPr>
        <w:t>. Положительная протяженность принимается вплоть до угла 0</w:t>
      </w:r>
      <w:r>
        <w:rPr>
          <w:rFonts w:ascii="Times New Roman"/>
          <w:b w:val="false"/>
          <w:i w:val="false"/>
          <w:color w:val="000000"/>
          <w:vertAlign w:val="subscript"/>
        </w:rPr>
        <w:t>V</w:t>
      </w:r>
      <w:r>
        <w:rPr>
          <w:rFonts w:ascii="Times New Roman"/>
          <w:b w:val="false"/>
          <w:i w:val="false"/>
          <w:color w:val="000000"/>
          <w:sz w:val="28"/>
        </w:rPr>
        <w:t>;</w:t>
      </w:r>
    </w:p>
    <w:bookmarkEnd w:id="6174"/>
    <w:bookmarkStart w:name="z6185" w:id="6175"/>
    <w:p>
      <w:pPr>
        <w:spacing w:after="0"/>
        <w:ind w:left="0"/>
        <w:jc w:val="both"/>
      </w:pPr>
      <w:r>
        <w:rPr>
          <w:rFonts w:ascii="Times New Roman"/>
          <w:b w:val="false"/>
          <w:i w:val="false"/>
          <w:color w:val="000000"/>
          <w:sz w:val="28"/>
        </w:rPr>
        <w:t>
      5) стадия затопления — любой отдельный этап в процессе затопления, включая стадию перед спрямлением (если оно выполняется), до достижения конечного равновесия.</w:t>
      </w:r>
    </w:p>
    <w:bookmarkEnd w:id="6175"/>
    <w:bookmarkStart w:name="z6186" w:id="6176"/>
    <w:p>
      <w:pPr>
        <w:spacing w:after="0"/>
        <w:ind w:left="0"/>
        <w:jc w:val="both"/>
      </w:pPr>
      <w:r>
        <w:rPr>
          <w:rFonts w:ascii="Times New Roman"/>
          <w:b w:val="false"/>
          <w:i w:val="false"/>
          <w:color w:val="000000"/>
          <w:sz w:val="28"/>
        </w:rPr>
        <w:t xml:space="preserve">
      2006. Фактор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для любого случая повреждения в любом начальном состоянии загрузки </w:t>
      </w:r>
      <w:r>
        <w:rPr>
          <w:rFonts w:ascii="Times New Roman"/>
          <w:b w:val="false"/>
          <w:i/>
          <w:color w:val="000000"/>
          <w:sz w:val="28"/>
        </w:rPr>
        <w:t>d</w:t>
      </w:r>
      <w:r>
        <w:rPr>
          <w:rFonts w:ascii="Times New Roman"/>
          <w:b w:val="false"/>
          <w:i w:val="false"/>
          <w:color w:val="000000"/>
          <w:vertAlign w:val="subscript"/>
        </w:rPr>
        <w:t>i</w:t>
      </w:r>
      <w:r>
        <w:rPr>
          <w:rFonts w:ascii="Times New Roman"/>
          <w:b w:val="false"/>
          <w:i w:val="false"/>
          <w:color w:val="000000"/>
          <w:sz w:val="28"/>
        </w:rPr>
        <w:t xml:space="preserve"> получают с помощью формулы:</w:t>
      </w:r>
    </w:p>
    <w:bookmarkEnd w:id="617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min(s</w:t>
      </w:r>
      <w:r>
        <w:rPr>
          <w:rFonts w:ascii="Times New Roman"/>
          <w:b w:val="false"/>
          <w:i w:val="false"/>
          <w:color w:val="000000"/>
          <w:vertAlign w:val="subscript"/>
        </w:rPr>
        <w:t>промеж</w:t>
      </w:r>
      <w:r>
        <w:rPr>
          <w:rFonts w:ascii="Times New Roman"/>
          <w:b w:val="false"/>
          <w:i w:val="false"/>
          <w:color w:val="000000"/>
          <w:sz w:val="28"/>
        </w:rPr>
        <w:t>.</w:t>
      </w:r>
      <w:r>
        <w:rPr>
          <w:rFonts w:ascii="Times New Roman"/>
          <w:b w:val="false"/>
          <w:i w:val="false"/>
          <w:color w:val="000000"/>
          <w:vertAlign w:val="subscript"/>
        </w:rPr>
        <w:t xml:space="preserve"> i</w:t>
      </w:r>
      <w:r>
        <w:rPr>
          <w:rFonts w:ascii="Times New Roman"/>
          <w:b w:val="false"/>
          <w:i w:val="false"/>
          <w:color w:val="000000"/>
          <w:sz w:val="28"/>
        </w:rPr>
        <w:t>, s</w:t>
      </w:r>
      <w:r>
        <w:rPr>
          <w:rFonts w:ascii="Times New Roman"/>
          <w:b w:val="false"/>
          <w:i w:val="false"/>
          <w:color w:val="000000"/>
          <w:vertAlign w:val="subscript"/>
        </w:rPr>
        <w:t>кон.i</w:t>
      </w:r>
      <w:r>
        <w:rPr>
          <w:rFonts w:ascii="Times New Roman"/>
          <w:b w:val="false"/>
          <w:i w:val="false"/>
          <w:color w:val="000000"/>
          <w:sz w:val="28"/>
        </w:rPr>
        <w:t>, s</w:t>
      </w:r>
      <w:r>
        <w:rPr>
          <w:rFonts w:ascii="Times New Roman"/>
          <w:b w:val="false"/>
          <w:i w:val="false"/>
          <w:color w:val="000000"/>
          <w:vertAlign w:val="subscript"/>
        </w:rPr>
        <w:t>мом.i</w:t>
      </w:r>
      <w:r>
        <w:rPr>
          <w:rFonts w:ascii="Times New Roman"/>
          <w:b w:val="false"/>
          <w:i w:val="false"/>
          <w:color w:val="000000"/>
          <w:sz w:val="28"/>
        </w:rPr>
        <w:t>),</w:t>
      </w:r>
    </w:p>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промеж. i</w:t>
      </w:r>
      <w:r>
        <w:rPr>
          <w:rFonts w:ascii="Times New Roman"/>
          <w:b w:val="false"/>
          <w:i w:val="false"/>
          <w:color w:val="000000"/>
          <w:sz w:val="28"/>
        </w:rPr>
        <w:t>; — вероятность выживания во всех промежуточных стадиях затопления вплоть до достижения стадии окончательного равновесия. Рассчитывается в соответствии с пунктом 2007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кон.i</w:t>
      </w:r>
      <w:r>
        <w:rPr>
          <w:rFonts w:ascii="Times New Roman"/>
          <w:b w:val="false"/>
          <w:i w:val="false"/>
          <w:color w:val="000000"/>
          <w:sz w:val="28"/>
        </w:rPr>
        <w:t xml:space="preserve"> — вероятность выживания в конечной стадии равновесия после затопления.Рассчитывается в соответствии с пунктом 2008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мом.i</w:t>
      </w:r>
      <w:r>
        <w:rPr>
          <w:rFonts w:ascii="Times New Roman"/>
          <w:b w:val="false"/>
          <w:i w:val="false"/>
          <w:color w:val="000000"/>
          <w:sz w:val="28"/>
        </w:rPr>
        <w:t xml:space="preserve"> — вероятность выживания при воздействии кренящих моментов. Рассчитывается в соответствии с пунктом 2009 настоящих Правил.</w:t>
      </w:r>
    </w:p>
    <w:bookmarkStart w:name="z6187" w:id="6177"/>
    <w:p>
      <w:pPr>
        <w:spacing w:after="0"/>
        <w:ind w:left="0"/>
        <w:jc w:val="both"/>
      </w:pPr>
      <w:r>
        <w:rPr>
          <w:rFonts w:ascii="Times New Roman"/>
          <w:b w:val="false"/>
          <w:i w:val="false"/>
          <w:color w:val="000000"/>
          <w:sz w:val="28"/>
        </w:rPr>
        <w:t>
      2007. Фактор s</w:t>
      </w:r>
      <w:r>
        <w:rPr>
          <w:rFonts w:ascii="Times New Roman"/>
          <w:b w:val="false"/>
          <w:i w:val="false"/>
          <w:color w:val="000000"/>
          <w:vertAlign w:val="subscript"/>
        </w:rPr>
        <w:t>промеж. i</w:t>
      </w:r>
      <w:r>
        <w:rPr>
          <w:rFonts w:ascii="Times New Roman"/>
          <w:b w:val="false"/>
          <w:i w:val="false"/>
          <w:color w:val="000000"/>
          <w:sz w:val="28"/>
        </w:rPr>
        <w:t>, применяется только к пассажирским судам (для грузовых судов s</w:t>
      </w:r>
      <w:r>
        <w:rPr>
          <w:rFonts w:ascii="Times New Roman"/>
          <w:b w:val="false"/>
          <w:i w:val="false"/>
          <w:color w:val="000000"/>
          <w:vertAlign w:val="subscript"/>
        </w:rPr>
        <w:t>промеж. i</w:t>
      </w:r>
      <w:r>
        <w:rPr>
          <w:rFonts w:ascii="Times New Roman"/>
          <w:b w:val="false"/>
          <w:i w:val="false"/>
          <w:color w:val="000000"/>
          <w:sz w:val="28"/>
        </w:rPr>
        <w:t>, принимается равным единице) и принимается как наименьший из s-факторов, полученных из всех стадий затопления, включая стадию перед спрямлением, если выполняется. Рассчитывается следующим образом:</w:t>
      </w:r>
    </w:p>
    <w:bookmarkEnd w:id="6177"/>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 промеж. i</w:t>
      </w:r>
      <w:r>
        <w:rPr>
          <w:rFonts w:ascii="Times New Roman"/>
          <w:b w:val="false"/>
          <w:i w:val="false"/>
          <w:color w:val="000000"/>
          <w:sz w:val="28"/>
        </w:rPr>
        <w:t xml:space="preserve"> = [(СZ</w:t>
      </w:r>
      <w:r>
        <w:rPr>
          <w:rFonts w:ascii="Times New Roman"/>
          <w:b w:val="false"/>
          <w:i w:val="false"/>
          <w:color w:val="000000"/>
          <w:vertAlign w:val="subscript"/>
        </w:rPr>
        <w:t>mах</w:t>
      </w:r>
      <w:r>
        <w:rPr>
          <w:rFonts w:ascii="Times New Roman"/>
          <w:b w:val="false"/>
          <w:i w:val="false"/>
          <w:color w:val="000000"/>
          <w:sz w:val="28"/>
        </w:rPr>
        <w:t>/0,05)(</w:t>
      </w:r>
      <w:r>
        <w:rPr>
          <w:rFonts w:ascii="Times New Roman"/>
          <w:b w:val="false"/>
          <w:i/>
          <w:color w:val="000000"/>
          <w:sz w:val="28"/>
        </w:rPr>
        <w:t>Протяженность</w:t>
      </w:r>
      <w:r>
        <w:rPr>
          <w:rFonts w:ascii="Times New Roman"/>
          <w:b w:val="false"/>
          <w:i w:val="false"/>
          <w:color w:val="000000"/>
          <w:sz w:val="28"/>
        </w:rPr>
        <w:t>/7)</w:t>
      </w:r>
      <w:r>
        <w:rPr>
          <w:rFonts w:ascii="Times New Roman"/>
          <w:b w:val="false"/>
          <w:i w:val="false"/>
          <w:color w:val="000000"/>
          <w:vertAlign w:val="superscript"/>
        </w:rPr>
        <w:t>1/4</w:t>
      </w:r>
      <w:r>
        <w:rPr>
          <w:rFonts w:ascii="Times New Roman"/>
          <w:b w:val="false"/>
          <w:i w:val="false"/>
          <w:color w:val="000000"/>
          <w:sz w:val="28"/>
        </w:rPr>
        <w:t>,</w:t>
      </w:r>
    </w:p>
    <w:p>
      <w:pPr>
        <w:spacing w:after="0"/>
        <w:ind w:left="0"/>
        <w:jc w:val="both"/>
      </w:pPr>
      <w:r>
        <w:rPr>
          <w:rFonts w:ascii="Times New Roman"/>
          <w:b w:val="false"/>
          <w:i w:val="false"/>
          <w:color w:val="000000"/>
          <w:sz w:val="28"/>
        </w:rPr>
        <w:t>
            где CZ</w:t>
      </w:r>
      <w:r>
        <w:rPr>
          <w:rFonts w:ascii="Times New Roman"/>
          <w:b w:val="false"/>
          <w:i w:val="false"/>
          <w:color w:val="000000"/>
          <w:vertAlign w:val="subscript"/>
        </w:rPr>
        <w:t>max</w:t>
      </w:r>
      <w:r>
        <w:rPr>
          <w:rFonts w:ascii="Times New Roman"/>
          <w:b w:val="false"/>
          <w:i w:val="false"/>
          <w:color w:val="000000"/>
          <w:sz w:val="28"/>
        </w:rPr>
        <w:t xml:space="preserve"> не принимается более 0,05 м, а </w:t>
      </w:r>
      <w:r>
        <w:rPr>
          <w:rFonts w:ascii="Times New Roman"/>
          <w:b w:val="false"/>
          <w:i/>
          <w:color w:val="000000"/>
          <w:sz w:val="28"/>
        </w:rPr>
        <w:t>Протяженность</w:t>
      </w:r>
      <w:r>
        <w:rPr>
          <w:rFonts w:ascii="Times New Roman"/>
          <w:b w:val="false"/>
          <w:i w:val="false"/>
          <w:color w:val="000000"/>
          <w:sz w:val="28"/>
        </w:rPr>
        <w:t xml:space="preserve"> — не более 7</w:t>
      </w:r>
      <w:r>
        <w:rPr>
          <w:rFonts w:ascii="Times New Roman"/>
          <w:b w:val="false"/>
          <w:i w:val="false"/>
          <w:color w:val="000000"/>
          <w:vertAlign w:val="superscript"/>
        </w:rPr>
        <w:t>o</w:t>
      </w:r>
      <w:r>
        <w:rPr>
          <w:rFonts w:ascii="Times New Roman"/>
          <w:b w:val="false"/>
          <w:i w:val="false"/>
          <w:color w:val="000000"/>
          <w:sz w:val="28"/>
        </w:rPr>
        <w:t xml:space="preserve">. s </w:t>
      </w:r>
      <w:r>
        <w:rPr>
          <w:rFonts w:ascii="Times New Roman"/>
          <w:b w:val="false"/>
          <w:i w:val="false"/>
          <w:color w:val="000000"/>
          <w:vertAlign w:val="subscript"/>
        </w:rPr>
        <w:t>промеж. I</w:t>
      </w:r>
      <w:r>
        <w:rPr>
          <w:rFonts w:ascii="Times New Roman"/>
          <w:b w:val="false"/>
          <w:i w:val="false"/>
          <w:color w:val="000000"/>
          <w:sz w:val="28"/>
        </w:rPr>
        <w:t xml:space="preserve"> = 0, если промежуточный угол крена превышает 15</w:t>
      </w:r>
      <w:r>
        <w:rPr>
          <w:rFonts w:ascii="Times New Roman"/>
          <w:b w:val="false"/>
          <w:i w:val="false"/>
          <w:color w:val="000000"/>
          <w:vertAlign w:val="superscript"/>
        </w:rPr>
        <w:t>o</w:t>
      </w:r>
      <w:r>
        <w:rPr>
          <w:rFonts w:ascii="Times New Roman"/>
          <w:b w:val="false"/>
          <w:i w:val="false"/>
          <w:color w:val="000000"/>
          <w:sz w:val="28"/>
        </w:rPr>
        <w:t>. Когда требуется оборудование судна устройствами перетока, время спрямления судна не превышает 10 мин.</w:t>
      </w:r>
    </w:p>
    <w:bookmarkStart w:name="z6188" w:id="6178"/>
    <w:p>
      <w:pPr>
        <w:spacing w:after="0"/>
        <w:ind w:left="0"/>
        <w:jc w:val="both"/>
      </w:pPr>
      <w:r>
        <w:rPr>
          <w:rFonts w:ascii="Times New Roman"/>
          <w:b w:val="false"/>
          <w:i w:val="false"/>
          <w:color w:val="000000"/>
          <w:sz w:val="28"/>
        </w:rPr>
        <w:t>
      2008.Фактор s</w:t>
      </w:r>
      <w:r>
        <w:rPr>
          <w:rFonts w:ascii="Times New Roman"/>
          <w:b w:val="false"/>
          <w:i w:val="false"/>
          <w:color w:val="000000"/>
          <w:vertAlign w:val="subscript"/>
        </w:rPr>
        <w:t>кон.i</w:t>
      </w:r>
      <w:r>
        <w:rPr>
          <w:rFonts w:ascii="Times New Roman"/>
          <w:b w:val="false"/>
          <w:i w:val="false"/>
          <w:color w:val="000000"/>
          <w:sz w:val="28"/>
        </w:rPr>
        <w:t xml:space="preserve"> получают с помощью формулы:</w:t>
      </w:r>
    </w:p>
    <w:bookmarkEnd w:id="6178"/>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кон.i</w:t>
      </w:r>
      <w:r>
        <w:rPr>
          <w:rFonts w:ascii="Times New Roman"/>
          <w:b w:val="false"/>
          <w:i w:val="false"/>
          <w:color w:val="000000"/>
          <w:sz w:val="28"/>
        </w:rPr>
        <w:t xml:space="preserve"> = K[(GZ</w:t>
      </w:r>
      <w:r>
        <w:rPr>
          <w:rFonts w:ascii="Times New Roman"/>
          <w:b w:val="false"/>
          <w:i w:val="false"/>
          <w:color w:val="000000"/>
          <w:vertAlign w:val="subscript"/>
        </w:rPr>
        <w:t>max</w:t>
      </w:r>
      <w:r>
        <w:rPr>
          <w:rFonts w:ascii="Times New Roman"/>
          <w:b w:val="false"/>
          <w:i w:val="false"/>
          <w:color w:val="000000"/>
          <w:sz w:val="28"/>
        </w:rPr>
        <w:t>/0,12)(Протияженность/16)</w:t>
      </w:r>
      <w:r>
        <w:rPr>
          <w:rFonts w:ascii="Times New Roman"/>
          <w:b w:val="false"/>
          <w:i w:val="false"/>
          <w:color w:val="000000"/>
          <w:vertAlign w:val="superscript"/>
        </w:rPr>
        <w:t>1/4</w:t>
      </w:r>
      <w:r>
        <w:rPr>
          <w:rFonts w:ascii="Times New Roman"/>
          <w:b w:val="false"/>
          <w:i w:val="false"/>
          <w:color w:val="000000"/>
          <w:sz w:val="28"/>
        </w:rPr>
        <w:t>,</w:t>
      </w:r>
    </w:p>
    <w:p>
      <w:pPr>
        <w:spacing w:after="0"/>
        <w:ind w:left="0"/>
        <w:jc w:val="both"/>
      </w:pPr>
      <w:r>
        <w:rPr>
          <w:rFonts w:ascii="Times New Roman"/>
          <w:b w:val="false"/>
          <w:i w:val="false"/>
          <w:color w:val="000000"/>
          <w:sz w:val="28"/>
        </w:rPr>
        <w:t>
      где GZ</w:t>
      </w:r>
      <w:r>
        <w:rPr>
          <w:rFonts w:ascii="Times New Roman"/>
          <w:b w:val="false"/>
          <w:i w:val="false"/>
          <w:color w:val="000000"/>
          <w:vertAlign w:val="subscript"/>
        </w:rPr>
        <w:t>max</w:t>
      </w:r>
      <w:r>
        <w:rPr>
          <w:rFonts w:ascii="Times New Roman"/>
          <w:b w:val="false"/>
          <w:i w:val="false"/>
          <w:color w:val="000000"/>
          <w:sz w:val="28"/>
        </w:rPr>
        <w:t xml:space="preserve"> не принимается более 0,12 м;</w:t>
      </w:r>
    </w:p>
    <w:p>
      <w:pPr>
        <w:spacing w:after="0"/>
        <w:ind w:left="0"/>
        <w:jc w:val="both"/>
      </w:pPr>
      <w:r>
        <w:rPr>
          <w:rFonts w:ascii="Times New Roman"/>
          <w:b w:val="false"/>
          <w:i w:val="false"/>
          <w:color w:val="000000"/>
          <w:sz w:val="28"/>
        </w:rPr>
        <w:t>
      Протяженность не принимается более 16</w:t>
      </w:r>
      <w:r>
        <w:rPr>
          <w:rFonts w:ascii="Times New Roman"/>
          <w:b w:val="false"/>
          <w:i w:val="false"/>
          <w:color w:val="000000"/>
          <w:vertAlign w:val="superscript"/>
        </w:rPr>
        <w:t>o</w:t>
      </w:r>
      <w:r>
        <w:rPr>
          <w:rFonts w:ascii="Times New Roman"/>
          <w:b w:val="false"/>
          <w:i w:val="false"/>
          <w:color w:val="000000"/>
          <w:sz w:val="28"/>
        </w:rPr>
        <w:t>;</w:t>
      </w:r>
    </w:p>
    <w:p>
      <w:pPr>
        <w:spacing w:after="0"/>
        <w:ind w:left="0"/>
        <w:jc w:val="both"/>
      </w:pPr>
      <w:r>
        <w:rPr>
          <w:rFonts w:ascii="Times New Roman"/>
          <w:b w:val="false"/>
          <w:i w:val="false"/>
          <w:color w:val="000000"/>
          <w:sz w:val="28"/>
        </w:rPr>
        <w:t>
      К=1, если Ө</w:t>
      </w:r>
      <w:r>
        <w:rPr>
          <w:rFonts w:ascii="Times New Roman"/>
          <w:b w:val="false"/>
          <w:i w:val="false"/>
          <w:color w:val="000000"/>
          <w:vertAlign w:val="subscript"/>
        </w:rPr>
        <w:t xml:space="preserve">e </w:t>
      </w:r>
      <w:r>
        <w:rPr>
          <w:rFonts w:ascii="Times New Roman"/>
          <w:b w:val="false"/>
          <w:i w:val="false"/>
          <w:color w:val="000000"/>
          <w:sz w:val="28"/>
          <w:u w:val="single"/>
        </w:rPr>
        <w:t>&lt;</w:t>
      </w:r>
      <w:r>
        <w:rPr>
          <w:rFonts w:ascii="Times New Roman"/>
          <w:b w:val="false"/>
          <w:i w:val="false"/>
          <w:color w:val="000000"/>
          <w:sz w:val="28"/>
        </w:rPr>
        <w:t xml:space="preserve"> Ө</w:t>
      </w:r>
      <w:r>
        <w:rPr>
          <w:rFonts w:ascii="Times New Roman"/>
          <w:b w:val="false"/>
          <w:i w:val="false"/>
          <w:color w:val="000000"/>
          <w:vertAlign w:val="subscript"/>
        </w:rPr>
        <w:t>min</w:t>
      </w:r>
      <w:r>
        <w:rPr>
          <w:rFonts w:ascii="Times New Roman"/>
          <w:b w:val="false"/>
          <w:i w:val="false"/>
          <w:color w:val="000000"/>
          <w:sz w:val="28"/>
        </w:rPr>
        <w:t>;</w:t>
      </w:r>
    </w:p>
    <w:p>
      <w:pPr>
        <w:spacing w:after="0"/>
        <w:ind w:left="0"/>
        <w:jc w:val="both"/>
      </w:pPr>
      <w:r>
        <w:rPr>
          <w:rFonts w:ascii="Times New Roman"/>
          <w:b w:val="false"/>
          <w:i w:val="false"/>
          <w:color w:val="000000"/>
          <w:sz w:val="28"/>
        </w:rPr>
        <w:t>
      К=0, если Ө</w:t>
      </w:r>
      <w:r>
        <w:rPr>
          <w:rFonts w:ascii="Times New Roman"/>
          <w:b w:val="false"/>
          <w:i w:val="false"/>
          <w:color w:val="000000"/>
          <w:vertAlign w:val="subscript"/>
        </w:rPr>
        <w:t>e</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Ө</w:t>
      </w:r>
      <w:r>
        <w:rPr>
          <w:rFonts w:ascii="Times New Roman"/>
          <w:b w:val="false"/>
          <w:i w:val="false"/>
          <w:color w:val="000000"/>
          <w:vertAlign w:val="subscript"/>
        </w:rPr>
        <w:t>mах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 = </w:t>
      </w:r>
    </w:p>
    <w:p>
      <w:pPr>
        <w:spacing w:after="0"/>
        <w:ind w:left="0"/>
        <w:jc w:val="both"/>
      </w:pPr>
      <w:r>
        <w:drawing>
          <wp:inline distT="0" distB="0" distL="0" distR="0">
            <wp:extent cx="233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0"/>
                    <a:stretch>
                      <a:fillRect/>
                    </a:stretch>
                  </pic:blipFill>
                  <pic:spPr>
                    <a:xfrm>
                      <a:off x="0" y="0"/>
                      <a:ext cx="2336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других случаях,</w:t>
      </w:r>
    </w:p>
    <w:p>
      <w:pPr>
        <w:spacing w:after="0"/>
        <w:ind w:left="0"/>
        <w:jc w:val="both"/>
      </w:pPr>
      <w:r>
        <w:rPr>
          <w:rFonts w:ascii="Times New Roman"/>
          <w:b w:val="false"/>
          <w:i w:val="false"/>
          <w:color w:val="000000"/>
          <w:sz w:val="28"/>
        </w:rPr>
        <w:t>
      где Ө</w:t>
      </w:r>
      <w:r>
        <w:rPr>
          <w:rFonts w:ascii="Times New Roman"/>
          <w:b w:val="false"/>
          <w:i w:val="false"/>
          <w:color w:val="000000"/>
          <w:vertAlign w:val="subscript"/>
        </w:rPr>
        <w:t>min</w:t>
      </w:r>
      <w:r>
        <w:rPr>
          <w:rFonts w:ascii="Times New Roman"/>
          <w:b w:val="false"/>
          <w:i w:val="false"/>
          <w:color w:val="000000"/>
          <w:sz w:val="28"/>
        </w:rPr>
        <w:t xml:space="preserve"> — 7</w:t>
      </w:r>
      <w:r>
        <w:rPr>
          <w:rFonts w:ascii="Times New Roman"/>
          <w:b w:val="false"/>
          <w:i w:val="false"/>
          <w:color w:val="000000"/>
          <w:vertAlign w:val="superscript"/>
        </w:rPr>
        <w:t>о</w:t>
      </w:r>
      <w:r>
        <w:rPr>
          <w:rFonts w:ascii="Times New Roman"/>
          <w:b w:val="false"/>
          <w:i w:val="false"/>
          <w:color w:val="000000"/>
          <w:sz w:val="28"/>
        </w:rPr>
        <w:t xml:space="preserve"> для пассажирских судов и 25</w:t>
      </w:r>
      <w:r>
        <w:rPr>
          <w:rFonts w:ascii="Times New Roman"/>
          <w:b w:val="false"/>
          <w:i w:val="false"/>
          <w:color w:val="000000"/>
          <w:vertAlign w:val="superscript"/>
        </w:rPr>
        <w:t>о</w:t>
      </w:r>
      <w:r>
        <w:rPr>
          <w:rFonts w:ascii="Times New Roman"/>
          <w:b w:val="false"/>
          <w:i w:val="false"/>
          <w:color w:val="000000"/>
          <w:sz w:val="28"/>
        </w:rPr>
        <w:t xml:space="preserve"> для грузовых судов;</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mах</w:t>
      </w:r>
      <w:r>
        <w:rPr>
          <w:rFonts w:ascii="Times New Roman"/>
          <w:b w:val="false"/>
          <w:i w:val="false"/>
          <w:color w:val="000000"/>
          <w:sz w:val="28"/>
        </w:rPr>
        <w:t xml:space="preserve"> — 15</w:t>
      </w:r>
      <w:r>
        <w:rPr>
          <w:rFonts w:ascii="Times New Roman"/>
          <w:b w:val="false"/>
          <w:i w:val="false"/>
          <w:color w:val="000000"/>
          <w:vertAlign w:val="superscript"/>
        </w:rPr>
        <w:t>о</w:t>
      </w:r>
      <w:r>
        <w:rPr>
          <w:rFonts w:ascii="Times New Roman"/>
          <w:b w:val="false"/>
          <w:i w:val="false"/>
          <w:color w:val="000000"/>
          <w:sz w:val="28"/>
        </w:rPr>
        <w:t xml:space="preserve"> для пассажирских судов и 30</w:t>
      </w:r>
      <w:r>
        <w:rPr>
          <w:rFonts w:ascii="Times New Roman"/>
          <w:b w:val="false"/>
          <w:i w:val="false"/>
          <w:color w:val="000000"/>
          <w:vertAlign w:val="superscript"/>
        </w:rPr>
        <w:t>о</w:t>
      </w:r>
      <w:r>
        <w:rPr>
          <w:rFonts w:ascii="Times New Roman"/>
          <w:b w:val="false"/>
          <w:i w:val="false"/>
          <w:color w:val="000000"/>
          <w:sz w:val="28"/>
        </w:rPr>
        <w:t xml:space="preserve"> для грузовых судов.</w:t>
      </w:r>
    </w:p>
    <w:bookmarkStart w:name="z6189" w:id="6179"/>
    <w:p>
      <w:pPr>
        <w:spacing w:after="0"/>
        <w:ind w:left="0"/>
        <w:jc w:val="both"/>
      </w:pPr>
      <w:r>
        <w:rPr>
          <w:rFonts w:ascii="Times New Roman"/>
          <w:b w:val="false"/>
          <w:i w:val="false"/>
          <w:color w:val="000000"/>
          <w:sz w:val="28"/>
        </w:rPr>
        <w:t>
      2009. Фактор s</w:t>
      </w:r>
      <w:r>
        <w:rPr>
          <w:rFonts w:ascii="Times New Roman"/>
          <w:b w:val="false"/>
          <w:i w:val="false"/>
          <w:color w:val="000000"/>
          <w:vertAlign w:val="subscript"/>
        </w:rPr>
        <w:t>мом.i</w:t>
      </w:r>
      <w:r>
        <w:rPr>
          <w:rFonts w:ascii="Times New Roman"/>
          <w:b w:val="false"/>
          <w:i w:val="false"/>
          <w:color w:val="000000"/>
          <w:sz w:val="28"/>
        </w:rPr>
        <w:t xml:space="preserve"> применяется только к пассажирским судам (для грузовых судов s</w:t>
      </w:r>
      <w:r>
        <w:rPr>
          <w:rFonts w:ascii="Times New Roman"/>
          <w:b w:val="false"/>
          <w:i w:val="false"/>
          <w:color w:val="000000"/>
          <w:vertAlign w:val="subscript"/>
        </w:rPr>
        <w:t>мом.i</w:t>
      </w:r>
      <w:r>
        <w:rPr>
          <w:rFonts w:ascii="Times New Roman"/>
          <w:b w:val="false"/>
          <w:i w:val="false"/>
          <w:color w:val="000000"/>
          <w:sz w:val="28"/>
        </w:rPr>
        <w:t>, принимается равным единице) и рассчитывается в конечном состоянии равновесия с помощью формулы:</w:t>
      </w:r>
    </w:p>
    <w:bookmarkEnd w:id="617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мом.i</w:t>
      </w:r>
      <w:r>
        <w:rPr>
          <w:rFonts w:ascii="Times New Roman"/>
          <w:b w:val="false"/>
          <w:i w:val="false"/>
          <w:color w:val="000000"/>
          <w:sz w:val="28"/>
        </w:rPr>
        <w:t xml:space="preserve"> = (GZ</w:t>
      </w:r>
      <w:r>
        <w:rPr>
          <w:rFonts w:ascii="Times New Roman"/>
          <w:b w:val="false"/>
          <w:i w:val="false"/>
          <w:color w:val="000000"/>
          <w:vertAlign w:val="subscript"/>
        </w:rPr>
        <w:t>mcix</w:t>
      </w:r>
      <w:r>
        <w:rPr>
          <w:rFonts w:ascii="Times New Roman"/>
          <w:b w:val="false"/>
          <w:i w:val="false"/>
          <w:color w:val="000000"/>
          <w:sz w:val="28"/>
        </w:rPr>
        <w:t xml:space="preserve"> - 0,04)</w:t>
      </w:r>
      <w:r>
        <w:rPr>
          <w:rFonts w:ascii="Times New Roman"/>
          <w:b w:val="false"/>
          <w:i/>
          <w:color w:val="000000"/>
          <w:sz w:val="28"/>
        </w:rPr>
        <w:t>Водоизмещение</w:t>
      </w:r>
      <w:r>
        <w:rPr>
          <w:rFonts w:ascii="Times New Roman"/>
          <w:b w:val="false"/>
          <w:i w:val="false"/>
          <w:color w:val="000000"/>
          <w:sz w:val="28"/>
        </w:rPr>
        <w:t>/М</w:t>
      </w:r>
      <w:r>
        <w:rPr>
          <w:rFonts w:ascii="Times New Roman"/>
          <w:b w:val="false"/>
          <w:i w:val="false"/>
          <w:color w:val="000000"/>
          <w:vertAlign w:val="subscript"/>
        </w:rPr>
        <w:t>крен</w:t>
      </w:r>
      <w:r>
        <w:rPr>
          <w:rFonts w:ascii="Times New Roman"/>
          <w:b w:val="false"/>
          <w:i w:val="false"/>
          <w:color w:val="000000"/>
          <w:sz w:val="28"/>
        </w:rPr>
        <w:t>,</w:t>
      </w:r>
    </w:p>
    <w:bookmarkStart w:name="z6190" w:id="6180"/>
    <w:p>
      <w:pPr>
        <w:spacing w:after="0"/>
        <w:ind w:left="0"/>
        <w:jc w:val="both"/>
      </w:pPr>
      <w:r>
        <w:rPr>
          <w:rFonts w:ascii="Times New Roman"/>
          <w:b w:val="false"/>
          <w:i w:val="false"/>
          <w:color w:val="000000"/>
          <w:sz w:val="28"/>
        </w:rPr>
        <w:t xml:space="preserve">
            где </w:t>
      </w:r>
      <w:r>
        <w:rPr>
          <w:rFonts w:ascii="Times New Roman"/>
          <w:b w:val="false"/>
          <w:i/>
          <w:color w:val="000000"/>
          <w:sz w:val="28"/>
        </w:rPr>
        <w:t>Водоизмещение</w:t>
      </w:r>
      <w:r>
        <w:rPr>
          <w:rFonts w:ascii="Times New Roman"/>
          <w:b w:val="false"/>
          <w:i w:val="false"/>
          <w:color w:val="000000"/>
          <w:sz w:val="28"/>
        </w:rPr>
        <w:t xml:space="preserve"> — водоизмещение в неповрежденном состоянии при осадке по ватерлинию деления на отсеки;</w:t>
      </w:r>
    </w:p>
    <w:bookmarkEnd w:id="6180"/>
    <w:bookmarkStart w:name="z6191" w:id="6181"/>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крен</w:t>
      </w:r>
      <w:r>
        <w:rPr>
          <w:rFonts w:ascii="Times New Roman"/>
          <w:b w:val="false"/>
          <w:i w:val="false"/>
          <w:color w:val="000000"/>
          <w:sz w:val="28"/>
        </w:rPr>
        <w:t xml:space="preserve"> — максимальный принимаемый кренящий момент, рассчитанный в соответствии с пунктом 2010 настоящих Правил;</w:t>
      </w:r>
    </w:p>
    <w:bookmarkEnd w:id="618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мом.i</w:t>
      </w:r>
      <w:r>
        <w:rPr>
          <w:rFonts w:ascii="Times New Roman"/>
          <w:b w:val="false"/>
          <w:i w:val="false"/>
          <w:color w:val="000000"/>
          <w:sz w:val="28"/>
        </w:rPr>
        <w:t xml:space="preserve"> &lt; 1</w:t>
      </w:r>
    </w:p>
    <w:bookmarkStart w:name="z6192" w:id="6182"/>
    <w:p>
      <w:pPr>
        <w:spacing w:after="0"/>
        <w:ind w:left="0"/>
        <w:jc w:val="both"/>
      </w:pPr>
      <w:r>
        <w:rPr>
          <w:rFonts w:ascii="Times New Roman"/>
          <w:b w:val="false"/>
          <w:i w:val="false"/>
          <w:color w:val="000000"/>
          <w:sz w:val="28"/>
        </w:rPr>
        <w:t>
      2010. Кренящий момент М</w:t>
      </w:r>
      <w:r>
        <w:rPr>
          <w:rFonts w:ascii="Times New Roman"/>
          <w:b w:val="false"/>
          <w:i w:val="false"/>
          <w:color w:val="000000"/>
          <w:vertAlign w:val="subscript"/>
        </w:rPr>
        <w:t>крен</w:t>
      </w:r>
      <w:r>
        <w:rPr>
          <w:rFonts w:ascii="Times New Roman"/>
          <w:b w:val="false"/>
          <w:i w:val="false"/>
          <w:color w:val="000000"/>
          <w:sz w:val="28"/>
        </w:rPr>
        <w:t xml:space="preserve"> рассчитывается следующим образом:</w:t>
      </w:r>
    </w:p>
    <w:bookmarkEnd w:id="618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крен</w:t>
      </w:r>
      <w:r>
        <w:rPr>
          <w:rFonts w:ascii="Times New Roman"/>
          <w:b w:val="false"/>
          <w:i w:val="false"/>
          <w:color w:val="000000"/>
          <w:sz w:val="28"/>
        </w:rPr>
        <w:t xml:space="preserve"> = max(M</w:t>
      </w:r>
      <w:r>
        <w:rPr>
          <w:rFonts w:ascii="Times New Roman"/>
          <w:b w:val="false"/>
          <w:i w:val="false"/>
          <w:color w:val="000000"/>
          <w:vertAlign w:val="subscript"/>
        </w:rPr>
        <w:t>пас</w:t>
      </w:r>
      <w:r>
        <w:rPr>
          <w:rFonts w:ascii="Times New Roman"/>
          <w:b w:val="false"/>
          <w:i w:val="false"/>
          <w:color w:val="000000"/>
          <w:sz w:val="28"/>
        </w:rPr>
        <w:t xml:space="preserve"> M</w:t>
      </w:r>
      <w:r>
        <w:rPr>
          <w:rFonts w:ascii="Times New Roman"/>
          <w:b w:val="false"/>
          <w:i w:val="false"/>
          <w:color w:val="000000"/>
          <w:vertAlign w:val="subscript"/>
        </w:rPr>
        <w:t>ветр</w:t>
      </w:r>
      <w:r>
        <w:rPr>
          <w:rFonts w:ascii="Times New Roman"/>
          <w:b w:val="false"/>
          <w:i w:val="false"/>
          <w:color w:val="000000"/>
          <w:sz w:val="28"/>
        </w:rPr>
        <w:t xml:space="preserve"> М</w:t>
      </w:r>
      <w:r>
        <w:rPr>
          <w:rFonts w:ascii="Times New Roman"/>
          <w:b w:val="false"/>
          <w:i w:val="false"/>
          <w:color w:val="000000"/>
          <w:vertAlign w:val="subscript"/>
        </w:rPr>
        <w:t>плав</w:t>
      </w:r>
      <w:r>
        <w:rPr>
          <w:rFonts w:ascii="Times New Roman"/>
          <w:b w:val="false"/>
          <w:i w:val="false"/>
          <w:color w:val="000000"/>
          <w:sz w:val="28"/>
        </w:rPr>
        <w:t>.</w:t>
      </w:r>
      <w:r>
        <w:rPr>
          <w:rFonts w:ascii="Times New Roman"/>
          <w:b w:val="false"/>
          <w:i w:val="false"/>
          <w:color w:val="000000"/>
          <w:vertAlign w:val="subscript"/>
        </w:rPr>
        <w:t>средства</w:t>
      </w:r>
      <w:r>
        <w:rPr>
          <w:rFonts w:ascii="Times New Roman"/>
          <w:b w:val="false"/>
          <w:i w:val="false"/>
          <w:color w:val="000000"/>
          <w:sz w:val="28"/>
        </w:rPr>
        <w:t>)</w:t>
      </w:r>
    </w:p>
    <w:bookmarkStart w:name="z6193" w:id="6183"/>
    <w:p>
      <w:pPr>
        <w:spacing w:after="0"/>
        <w:ind w:left="0"/>
        <w:jc w:val="both"/>
      </w:pPr>
      <w:r>
        <w:rPr>
          <w:rFonts w:ascii="Times New Roman"/>
          <w:b w:val="false"/>
          <w:i w:val="false"/>
          <w:color w:val="000000"/>
          <w:sz w:val="28"/>
        </w:rPr>
        <w:t>
      1) М</w:t>
      </w:r>
      <w:r>
        <w:rPr>
          <w:rFonts w:ascii="Times New Roman"/>
          <w:b w:val="false"/>
          <w:i w:val="false"/>
          <w:color w:val="000000"/>
          <w:vertAlign w:val="subscript"/>
        </w:rPr>
        <w:t>пасс</w:t>
      </w:r>
      <w:r>
        <w:rPr>
          <w:rFonts w:ascii="Times New Roman"/>
          <w:b w:val="false"/>
          <w:i w:val="false"/>
          <w:color w:val="000000"/>
          <w:sz w:val="28"/>
        </w:rPr>
        <w:t xml:space="preserve"> — максимально возможный кренящий момент в результате перемещения пассажиров, т-м, который определяется следующим образом:</w:t>
      </w:r>
    </w:p>
    <w:bookmarkEnd w:id="6183"/>
    <w:p>
      <w:pPr>
        <w:spacing w:after="0"/>
        <w:ind w:left="0"/>
        <w:jc w:val="both"/>
      </w:pPr>
      <w:r>
        <w:rPr>
          <w:rFonts w:ascii="Times New Roman"/>
          <w:b w:val="false"/>
          <w:i w:val="false"/>
          <w:color w:val="000000"/>
          <w:sz w:val="28"/>
        </w:rPr>
        <w:t>
      Мпасс = (0,075 – N</w:t>
      </w:r>
      <w:r>
        <w:rPr>
          <w:rFonts w:ascii="Times New Roman"/>
          <w:b w:val="false"/>
          <w:i w:val="false"/>
          <w:color w:val="000000"/>
          <w:vertAlign w:val="subscript"/>
        </w:rPr>
        <w:t>p</w:t>
      </w:r>
      <w:r>
        <w:rPr>
          <w:rFonts w:ascii="Times New Roman"/>
          <w:b w:val="false"/>
          <w:i w:val="false"/>
          <w:color w:val="000000"/>
          <w:sz w:val="28"/>
        </w:rPr>
        <w:t>)(0,45В),</w:t>
      </w:r>
    </w:p>
    <w:p>
      <w:pPr>
        <w:spacing w:after="0"/>
        <w:ind w:left="0"/>
        <w:jc w:val="both"/>
      </w:pPr>
      <w:r>
        <w:rPr>
          <w:rFonts w:ascii="Times New Roman"/>
          <w:b w:val="false"/>
          <w:i w:val="false"/>
          <w:color w:val="000000"/>
          <w:sz w:val="28"/>
        </w:rPr>
        <w:t>
      где N</w:t>
      </w:r>
      <w:r>
        <w:rPr>
          <w:rFonts w:ascii="Times New Roman"/>
          <w:b w:val="false"/>
          <w:i w:val="false"/>
          <w:color w:val="000000"/>
          <w:vertAlign w:val="subscript"/>
        </w:rPr>
        <w:t>p</w:t>
      </w:r>
      <w:r>
        <w:rPr>
          <w:rFonts w:ascii="Times New Roman"/>
          <w:b w:val="false"/>
          <w:i w:val="false"/>
          <w:color w:val="000000"/>
          <w:sz w:val="28"/>
        </w:rPr>
        <w:t xml:space="preserve"> — максимальное число пассажиров, разрешенное для перевозки на судне при загрузке, соответствующей самой высокой рассматриваемой осадке деления на отсеки;</w:t>
      </w:r>
    </w:p>
    <w:bookmarkStart w:name="z6194" w:id="6184"/>
    <w:p>
      <w:pPr>
        <w:spacing w:after="0"/>
        <w:ind w:left="0"/>
        <w:jc w:val="both"/>
      </w:pPr>
      <w:r>
        <w:rPr>
          <w:rFonts w:ascii="Times New Roman"/>
          <w:b w:val="false"/>
          <w:i w:val="false"/>
          <w:color w:val="000000"/>
          <w:sz w:val="28"/>
        </w:rPr>
        <w:t>
      В — ширина судна.</w:t>
      </w:r>
    </w:p>
    <w:bookmarkEnd w:id="6184"/>
    <w:bookmarkStart w:name="z6195" w:id="6185"/>
    <w:p>
      <w:pPr>
        <w:spacing w:after="0"/>
        <w:ind w:left="0"/>
        <w:jc w:val="both"/>
      </w:pPr>
      <w:r>
        <w:rPr>
          <w:rFonts w:ascii="Times New Roman"/>
          <w:b w:val="false"/>
          <w:i w:val="false"/>
          <w:color w:val="000000"/>
          <w:sz w:val="28"/>
        </w:rPr>
        <w:t>
      В качестве альтернативы кренящий момент рассчитывают, предполагая, что пассажиры распределены на свободных пространствах палуб в направлении одного борта из расчета 4 человека на 1 м</w:t>
      </w:r>
      <w:r>
        <w:rPr>
          <w:rFonts w:ascii="Times New Roman"/>
          <w:b w:val="false"/>
          <w:i w:val="false"/>
          <w:color w:val="000000"/>
          <w:vertAlign w:val="superscript"/>
        </w:rPr>
        <w:t>2</w:t>
      </w:r>
      <w:r>
        <w:rPr>
          <w:rFonts w:ascii="Times New Roman"/>
          <w:b w:val="false"/>
          <w:i w:val="false"/>
          <w:color w:val="000000"/>
          <w:sz w:val="28"/>
        </w:rPr>
        <w:t xml:space="preserve"> на тех палубах, где расположены места сбора, и таким образом, чтобы они создавали наиболее неблагоприятный кренящий момент. При этом предполагается, что вес каждого пассажира составляет 75 кг;</w:t>
      </w:r>
    </w:p>
    <w:bookmarkEnd w:id="6185"/>
    <w:bookmarkStart w:name="z6196" w:id="6186"/>
    <w:p>
      <w:pPr>
        <w:spacing w:after="0"/>
        <w:ind w:left="0"/>
        <w:jc w:val="both"/>
      </w:pPr>
      <w:r>
        <w:rPr>
          <w:rFonts w:ascii="Times New Roman"/>
          <w:b w:val="false"/>
          <w:i w:val="false"/>
          <w:color w:val="000000"/>
          <w:sz w:val="28"/>
        </w:rPr>
        <w:t>
      2) М</w:t>
      </w:r>
      <w:r>
        <w:rPr>
          <w:rFonts w:ascii="Times New Roman"/>
          <w:b w:val="false"/>
          <w:i w:val="false"/>
          <w:color w:val="000000"/>
          <w:vertAlign w:val="subscript"/>
        </w:rPr>
        <w:t>ветр</w:t>
      </w:r>
      <w:r>
        <w:rPr>
          <w:rFonts w:ascii="Times New Roman"/>
          <w:b w:val="false"/>
          <w:i w:val="false"/>
          <w:color w:val="000000"/>
          <w:sz w:val="28"/>
        </w:rPr>
        <w:t xml:space="preserve"> — максимально возможный кренящий момент от ветра, т-м, действующий в аварийной ситуации:</w:t>
      </w:r>
    </w:p>
    <w:bookmarkEnd w:id="618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ветр</w:t>
      </w:r>
      <w:r>
        <w:rPr>
          <w:rFonts w:ascii="Times New Roman"/>
          <w:b w:val="false"/>
          <w:i w:val="false"/>
          <w:color w:val="000000"/>
          <w:sz w:val="28"/>
        </w:rPr>
        <w:t xml:space="preserve"> =(PAZ)/9806,</w:t>
      </w:r>
    </w:p>
    <w:p>
      <w:pPr>
        <w:spacing w:after="0"/>
        <w:ind w:left="0"/>
        <w:jc w:val="both"/>
      </w:pPr>
      <w:r>
        <w:rPr>
          <w:rFonts w:ascii="Times New Roman"/>
          <w:b w:val="false"/>
          <w:i w:val="false"/>
          <w:color w:val="000000"/>
          <w:sz w:val="28"/>
        </w:rPr>
        <w:t>
      где Р=120Н/м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проекция боковой поверхности судна выше ватерлинии;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расстояние от центра проекции боковой поверхности судна выше ватерлинии до Т/2;</w:t>
      </w:r>
    </w:p>
    <w:p>
      <w:pPr>
        <w:spacing w:after="0"/>
        <w:ind w:left="0"/>
        <w:jc w:val="both"/>
      </w:pPr>
      <w:r>
        <w:rPr>
          <w:rFonts w:ascii="Times New Roman"/>
          <w:b w:val="false"/>
          <w:i w:val="false"/>
          <w:color w:val="000000"/>
          <w:sz w:val="28"/>
        </w:rPr>
        <w:t>
      Т— осадка судна, d</w:t>
      </w:r>
      <w:r>
        <w:rPr>
          <w:rFonts w:ascii="Times New Roman"/>
          <w:b w:val="false"/>
          <w:i w:val="false"/>
          <w:color w:val="000000"/>
          <w:vertAlign w:val="subscript"/>
        </w:rPr>
        <w:t>t</w:t>
      </w:r>
      <w:r>
        <w:rPr>
          <w:rFonts w:ascii="Times New Roman"/>
          <w:b w:val="false"/>
          <w:i w:val="false"/>
          <w:color w:val="000000"/>
          <w:sz w:val="28"/>
        </w:rPr>
        <w:t>;</w:t>
      </w:r>
    </w:p>
    <w:bookmarkStart w:name="z6197" w:id="6187"/>
    <w:p>
      <w:pPr>
        <w:spacing w:after="0"/>
        <w:ind w:left="0"/>
        <w:jc w:val="both"/>
      </w:pPr>
      <w:r>
        <w:rPr>
          <w:rFonts w:ascii="Times New Roman"/>
          <w:b w:val="false"/>
          <w:i w:val="false"/>
          <w:color w:val="000000"/>
          <w:sz w:val="28"/>
        </w:rPr>
        <w:t>
      3) М</w:t>
      </w:r>
      <w:r>
        <w:rPr>
          <w:rFonts w:ascii="Times New Roman"/>
          <w:b w:val="false"/>
          <w:i w:val="false"/>
          <w:color w:val="000000"/>
          <w:vertAlign w:val="subscript"/>
        </w:rPr>
        <w:t>спассредства</w:t>
      </w:r>
      <w:r>
        <w:rPr>
          <w:rFonts w:ascii="Times New Roman"/>
          <w:b w:val="false"/>
          <w:i w:val="false"/>
          <w:color w:val="000000"/>
          <w:sz w:val="28"/>
        </w:rPr>
        <w:t xml:space="preserve"> — максимально возможный кренящий момент, возникающий приспуске с одного борта всех спасательных шлюпок и плотов с полным комплектом людей и снабжения, спускаемых с помощью шлюпбалок и кран-балок. Рассчитывается с использованием следующих предположений:</w:t>
      </w:r>
    </w:p>
    <w:bookmarkEnd w:id="6187"/>
    <w:bookmarkStart w:name="z6198" w:id="6188"/>
    <w:p>
      <w:pPr>
        <w:spacing w:after="0"/>
        <w:ind w:left="0"/>
        <w:jc w:val="both"/>
      </w:pPr>
      <w:r>
        <w:rPr>
          <w:rFonts w:ascii="Times New Roman"/>
          <w:b w:val="false"/>
          <w:i w:val="false"/>
          <w:color w:val="000000"/>
          <w:sz w:val="28"/>
        </w:rPr>
        <w:t>
      все спасательные и дежурные шлюпки, установленные на борту, на который судно накренилось после повреждения, принимаются вываленными с полным комплектом людей и снабжения и готовыми к спуску;</w:t>
      </w:r>
    </w:p>
    <w:bookmarkEnd w:id="6188"/>
    <w:bookmarkStart w:name="z6199" w:id="6189"/>
    <w:p>
      <w:pPr>
        <w:spacing w:after="0"/>
        <w:ind w:left="0"/>
        <w:jc w:val="both"/>
      </w:pPr>
      <w:r>
        <w:rPr>
          <w:rFonts w:ascii="Times New Roman"/>
          <w:b w:val="false"/>
          <w:i w:val="false"/>
          <w:color w:val="000000"/>
          <w:sz w:val="28"/>
        </w:rPr>
        <w:t>
      для спасательных шлюпок, устроенных таким образом, что они спускаются с полным комплектом людей и снабжения с мест их установки, принимается максимальный кренящий момент при спуске;</w:t>
      </w:r>
    </w:p>
    <w:bookmarkEnd w:id="6189"/>
    <w:bookmarkStart w:name="z6200" w:id="6190"/>
    <w:p>
      <w:pPr>
        <w:spacing w:after="0"/>
        <w:ind w:left="0"/>
        <w:jc w:val="both"/>
      </w:pPr>
      <w:r>
        <w:rPr>
          <w:rFonts w:ascii="Times New Roman"/>
          <w:b w:val="false"/>
          <w:i w:val="false"/>
          <w:color w:val="000000"/>
          <w:sz w:val="28"/>
        </w:rPr>
        <w:t>
      спускаемый с помощью плотбалки спасательный плот с полным комплектом людей и снабжения, прикрепленный к каждой плотбалке, установленной на борту, на который судно накренилось после повреждения, должен рассматриваться вываленным и готовым к спуску;</w:t>
      </w:r>
    </w:p>
    <w:bookmarkEnd w:id="6190"/>
    <w:bookmarkStart w:name="z6201" w:id="6191"/>
    <w:p>
      <w:pPr>
        <w:spacing w:after="0"/>
        <w:ind w:left="0"/>
        <w:jc w:val="both"/>
      </w:pPr>
      <w:r>
        <w:rPr>
          <w:rFonts w:ascii="Times New Roman"/>
          <w:b w:val="false"/>
          <w:i w:val="false"/>
          <w:color w:val="000000"/>
          <w:sz w:val="28"/>
        </w:rPr>
        <w:t>
      лица, которые не находятся в спасательных средствах, вываленных за борт, не учитываются при расчетах дополнительных моментов, как кренящего, так и восстанавливающего;</w:t>
      </w:r>
    </w:p>
    <w:bookmarkEnd w:id="6191"/>
    <w:bookmarkStart w:name="z6202" w:id="6192"/>
    <w:p>
      <w:pPr>
        <w:spacing w:after="0"/>
        <w:ind w:left="0"/>
        <w:jc w:val="both"/>
      </w:pPr>
      <w:r>
        <w:rPr>
          <w:rFonts w:ascii="Times New Roman"/>
          <w:b w:val="false"/>
          <w:i w:val="false"/>
          <w:color w:val="000000"/>
          <w:sz w:val="28"/>
        </w:rPr>
        <w:t>
      спасательные средства на борту судна, противоположном накрененному, рассматриваются как находящиеся на местах их установки.</w:t>
      </w:r>
    </w:p>
    <w:bookmarkEnd w:id="6192"/>
    <w:bookmarkStart w:name="z6203" w:id="6193"/>
    <w:p>
      <w:pPr>
        <w:spacing w:after="0"/>
        <w:ind w:left="0"/>
        <w:jc w:val="both"/>
      </w:pPr>
      <w:r>
        <w:rPr>
          <w:rFonts w:ascii="Times New Roman"/>
          <w:b w:val="false"/>
          <w:i w:val="false"/>
          <w:color w:val="000000"/>
          <w:sz w:val="28"/>
        </w:rPr>
        <w:t>
      2011. Несимметричное затопление сведится к минимуму с помощью эффективных средств. Если необходимо уменьшить большие углы крена, то применяемые для этого средства, где это практически возможно, автоматически действующими; но в любом случае, если предусмотрены средства управления устройствами спрямления, они приводятся в действие с мест, расположенных выше палубы переборок. Устройства спрямления и средства управления ими одобряются Регистром судоходства. Капитан судна снабжается соответствующей информацией относительно пользования устройствами спрямления.</w:t>
      </w:r>
    </w:p>
    <w:bookmarkEnd w:id="6193"/>
    <w:bookmarkStart w:name="z6204" w:id="6194"/>
    <w:p>
      <w:pPr>
        <w:spacing w:after="0"/>
        <w:ind w:left="0"/>
        <w:jc w:val="both"/>
      </w:pPr>
      <w:r>
        <w:rPr>
          <w:rFonts w:ascii="Times New Roman"/>
          <w:b w:val="false"/>
          <w:i w:val="false"/>
          <w:color w:val="000000"/>
          <w:sz w:val="28"/>
        </w:rPr>
        <w:t>
      2012. Танки и отсеки, участвующие в таком спрямлении, оборудуют воздушными трубками или эквивалентными средствами достаточного сечения таким образом, чтобы предотвратить задержку их заполнения водой.</w:t>
      </w:r>
    </w:p>
    <w:bookmarkEnd w:id="6194"/>
    <w:bookmarkStart w:name="z6205" w:id="6195"/>
    <w:p>
      <w:pPr>
        <w:spacing w:after="0"/>
        <w:ind w:left="0"/>
        <w:jc w:val="both"/>
      </w:pPr>
      <w:r>
        <w:rPr>
          <w:rFonts w:ascii="Times New Roman"/>
          <w:b w:val="false"/>
          <w:i w:val="false"/>
          <w:color w:val="000000"/>
          <w:sz w:val="28"/>
        </w:rPr>
        <w:t>
      2013. Фактор si принимается равным нулю, в тех случаях, когда конечная ватерлиния, учитывая увеличение осадки, крен и дифферент, проходит так, что погружаются:</w:t>
      </w:r>
    </w:p>
    <w:bookmarkEnd w:id="6195"/>
    <w:bookmarkStart w:name="z6206" w:id="6196"/>
    <w:p>
      <w:pPr>
        <w:spacing w:after="0"/>
        <w:ind w:left="0"/>
        <w:jc w:val="both"/>
      </w:pPr>
      <w:r>
        <w:rPr>
          <w:rFonts w:ascii="Times New Roman"/>
          <w:b w:val="false"/>
          <w:i w:val="false"/>
          <w:color w:val="000000"/>
          <w:sz w:val="28"/>
        </w:rPr>
        <w:t>
      1) нижняя кромка отверстий, через которые происходит прогрессирующее затопление, и такое затопление не принимается во внимание в расчетах фактора s</w:t>
      </w:r>
      <w:r>
        <w:rPr>
          <w:rFonts w:ascii="Times New Roman"/>
          <w:b w:val="false"/>
          <w:i w:val="false"/>
          <w:color w:val="000000"/>
          <w:vertAlign w:val="subscript"/>
        </w:rPr>
        <w:t>i</w:t>
      </w:r>
      <w:r>
        <w:rPr>
          <w:rFonts w:ascii="Times New Roman"/>
          <w:b w:val="false"/>
          <w:i w:val="false"/>
          <w:color w:val="000000"/>
          <w:sz w:val="28"/>
        </w:rPr>
        <w:t>. В число таких отверстий включаются воздушные трубки, вентиляторы и отверстия, закрываемые посредством непроницаемых при воздействии моря дверей или люковых крышек; или</w:t>
      </w:r>
    </w:p>
    <w:bookmarkEnd w:id="6196"/>
    <w:bookmarkStart w:name="z6207" w:id="6197"/>
    <w:p>
      <w:pPr>
        <w:spacing w:after="0"/>
        <w:ind w:left="0"/>
        <w:jc w:val="both"/>
      </w:pPr>
      <w:r>
        <w:rPr>
          <w:rFonts w:ascii="Times New Roman"/>
          <w:b w:val="false"/>
          <w:i w:val="false"/>
          <w:color w:val="000000"/>
          <w:sz w:val="28"/>
        </w:rPr>
        <w:t>
      2) любая часть палубы переборок на пассажирских судах, принимаемая как горизонтальный путь эвакуации для целей соответствия раздела 8 настоящих Правил.</w:t>
      </w:r>
    </w:p>
    <w:bookmarkEnd w:id="6197"/>
    <w:bookmarkStart w:name="z6208" w:id="6198"/>
    <w:p>
      <w:pPr>
        <w:spacing w:after="0"/>
        <w:ind w:left="0"/>
        <w:jc w:val="both"/>
      </w:pPr>
      <w:r>
        <w:rPr>
          <w:rFonts w:ascii="Times New Roman"/>
          <w:b w:val="false"/>
          <w:i w:val="false"/>
          <w:color w:val="000000"/>
          <w:sz w:val="28"/>
        </w:rPr>
        <w:t>
      2014. Фактор s</w:t>
      </w:r>
      <w:r>
        <w:rPr>
          <w:rFonts w:ascii="Times New Roman"/>
          <w:b w:val="false"/>
          <w:i w:val="false"/>
          <w:color w:val="000000"/>
          <w:vertAlign w:val="subscript"/>
        </w:rPr>
        <w:t>i</w:t>
      </w:r>
      <w:r>
        <w:rPr>
          <w:rFonts w:ascii="Times New Roman"/>
          <w:b w:val="false"/>
          <w:i w:val="false"/>
          <w:color w:val="000000"/>
          <w:sz w:val="28"/>
        </w:rPr>
        <w:t xml:space="preserve"> принимается равным нулю, если, учитывая увеличение осадки, крен и дифферент, на любой промежуточной или конечной стадии затопления:</w:t>
      </w:r>
    </w:p>
    <w:bookmarkEnd w:id="6198"/>
    <w:bookmarkStart w:name="z6209" w:id="6199"/>
    <w:p>
      <w:pPr>
        <w:spacing w:after="0"/>
        <w:ind w:left="0"/>
        <w:jc w:val="both"/>
      </w:pPr>
      <w:r>
        <w:rPr>
          <w:rFonts w:ascii="Times New Roman"/>
          <w:b w:val="false"/>
          <w:i w:val="false"/>
          <w:color w:val="000000"/>
          <w:sz w:val="28"/>
        </w:rPr>
        <w:t>
      1) происходит погружение в воду любого люка вертикального пути эвакуации на палубе переборок, предназначенного для целей соответствия раздела 8 настоящих Правил;</w:t>
      </w:r>
    </w:p>
    <w:bookmarkEnd w:id="6199"/>
    <w:bookmarkStart w:name="z6210" w:id="6200"/>
    <w:p>
      <w:pPr>
        <w:spacing w:after="0"/>
        <w:ind w:left="0"/>
        <w:jc w:val="both"/>
      </w:pPr>
      <w:r>
        <w:rPr>
          <w:rFonts w:ascii="Times New Roman"/>
          <w:b w:val="false"/>
          <w:i w:val="false"/>
          <w:color w:val="000000"/>
          <w:sz w:val="28"/>
        </w:rPr>
        <w:t>
      2) становятся недоступными или выходят из строя любые органы управления водонепроницаемыми дверями, устройствами спрямления, клапанами на трубопроводах или на вентиляционных каналах, предназначенных для поддержания целостности водонепроницаемых переборок, с мест, расположенных выше палубы переборок;</w:t>
      </w:r>
    </w:p>
    <w:bookmarkEnd w:id="6200"/>
    <w:bookmarkStart w:name="z6211" w:id="6201"/>
    <w:p>
      <w:pPr>
        <w:spacing w:after="0"/>
        <w:ind w:left="0"/>
        <w:jc w:val="both"/>
      </w:pPr>
      <w:r>
        <w:rPr>
          <w:rFonts w:ascii="Times New Roman"/>
          <w:b w:val="false"/>
          <w:i w:val="false"/>
          <w:color w:val="000000"/>
          <w:sz w:val="28"/>
        </w:rPr>
        <w:t xml:space="preserve">
      3) происходит погружение в воду любой части трубопроводов или вентиляционных каналов, проходящих через водонепроницаемую ограничивающую конструкцию, расположенную в пределах любого отсека, включенного в случаи повреждения, которые повышают достижимый индекс </w:t>
      </w:r>
      <w:r>
        <w:rPr>
          <w:rFonts w:ascii="Times New Roman"/>
          <w:b w:val="false"/>
          <w:i/>
          <w:color w:val="000000"/>
          <w:sz w:val="28"/>
        </w:rPr>
        <w:t>А</w:t>
      </w:r>
      <w:r>
        <w:rPr>
          <w:rFonts w:ascii="Times New Roman"/>
          <w:b w:val="false"/>
          <w:i w:val="false"/>
          <w:color w:val="000000"/>
          <w:sz w:val="28"/>
        </w:rPr>
        <w:t xml:space="preserve"> , если эти трубопроводы или каналы не оборудованы водонепроницаемыми средствами закрытия на каждой ограничивающей конструкции.</w:t>
      </w:r>
    </w:p>
    <w:bookmarkEnd w:id="6201"/>
    <w:bookmarkStart w:name="z6214" w:id="6202"/>
    <w:p>
      <w:pPr>
        <w:spacing w:after="0"/>
        <w:ind w:left="0"/>
        <w:jc w:val="both"/>
      </w:pPr>
      <w:r>
        <w:rPr>
          <w:rFonts w:ascii="Times New Roman"/>
          <w:b w:val="false"/>
          <w:i w:val="false"/>
          <w:color w:val="000000"/>
          <w:sz w:val="28"/>
        </w:rPr>
        <w:t>
      2015. Однако, если в расчетах остойчивости в поврежденном состоянии учитываются отсеки, принимаемые затопленными в результате прогрессирующего затопления, рассчитывают несколько значений 5промежутл, предполагая спрямление на дополнительных стадиях затопления.</w:t>
      </w:r>
    </w:p>
    <w:bookmarkEnd w:id="6202"/>
    <w:bookmarkStart w:name="z6215" w:id="6203"/>
    <w:p>
      <w:pPr>
        <w:spacing w:after="0"/>
        <w:ind w:left="0"/>
        <w:jc w:val="both"/>
      </w:pPr>
      <w:r>
        <w:rPr>
          <w:rFonts w:ascii="Times New Roman"/>
          <w:b w:val="false"/>
          <w:i w:val="false"/>
          <w:color w:val="000000"/>
          <w:sz w:val="28"/>
        </w:rPr>
        <w:t>
      2016. За исключением предусмотренного в подпункте 1) пункта 2014 настоящих Правил, не рассматриваются отверстия, которые закрываются при помощи водонепроницаемых крышек лазов и палубных иллюминаторов, небольшие водонепроницаемые крышки люков, дистанционно управляемые водонепроницаемые скользящие двери, бортовые иллюминаторы неоткрывающегося типа, а также водонепроницаемые двери проходов и крышки люков, которые требуется держать закрытыми при нахождении судна в море.</w:t>
      </w:r>
    </w:p>
    <w:bookmarkEnd w:id="6203"/>
    <w:bookmarkStart w:name="z6216" w:id="6204"/>
    <w:p>
      <w:pPr>
        <w:spacing w:after="0"/>
        <w:ind w:left="0"/>
        <w:jc w:val="both"/>
      </w:pPr>
      <w:r>
        <w:rPr>
          <w:rFonts w:ascii="Times New Roman"/>
          <w:b w:val="false"/>
          <w:i w:val="false"/>
          <w:color w:val="000000"/>
          <w:sz w:val="28"/>
        </w:rPr>
        <w:t>
      2017. Если горизонтальные водонепроницаемые границы установлены выше рассматриваемой ватерлинии, величина s, рассчитываемая для находящегося ниже отсека или группы отсеков, получают путем умножения величины, определенной в пункте 2006 настоящих Правил, на редукционный фактор v</w:t>
      </w:r>
      <w:r>
        <w:rPr>
          <w:rFonts w:ascii="Times New Roman"/>
          <w:b w:val="false"/>
          <w:i w:val="false"/>
          <w:color w:val="000000"/>
          <w:vertAlign w:val="subscript"/>
        </w:rPr>
        <w:t>m</w:t>
      </w:r>
      <w:r>
        <w:rPr>
          <w:rFonts w:ascii="Times New Roman"/>
          <w:b w:val="false"/>
          <w:i w:val="false"/>
          <w:color w:val="000000"/>
          <w:sz w:val="28"/>
        </w:rPr>
        <w:t>, согласно пункту 2018 настоящих Правил, который представляет собой вероятность того, что помещения, находящиеся выше горизонтального деления на отсеки, не будут затоплены.</w:t>
      </w:r>
    </w:p>
    <w:bookmarkEnd w:id="6204"/>
    <w:bookmarkStart w:name="z6217" w:id="6205"/>
    <w:p>
      <w:pPr>
        <w:spacing w:after="0"/>
        <w:ind w:left="0"/>
        <w:jc w:val="both"/>
      </w:pPr>
      <w:r>
        <w:rPr>
          <w:rFonts w:ascii="Times New Roman"/>
          <w:b w:val="false"/>
          <w:i w:val="false"/>
          <w:color w:val="000000"/>
          <w:sz w:val="28"/>
        </w:rPr>
        <w:t>
      2018. Фактор v</w:t>
      </w:r>
      <w:r>
        <w:rPr>
          <w:rFonts w:ascii="Times New Roman"/>
          <w:b w:val="false"/>
          <w:i w:val="false"/>
          <w:color w:val="000000"/>
          <w:vertAlign w:val="subscript"/>
        </w:rPr>
        <w:t>m</w:t>
      </w:r>
      <w:r>
        <w:rPr>
          <w:rFonts w:ascii="Times New Roman"/>
          <w:b w:val="false"/>
          <w:i w:val="false"/>
          <w:color w:val="000000"/>
          <w:sz w:val="28"/>
        </w:rPr>
        <w:t xml:space="preserve"> получают с помощью следующей формулы:</w:t>
      </w:r>
    </w:p>
    <w:bookmarkEnd w:id="6205"/>
    <w:p>
      <w:pPr>
        <w:spacing w:after="0"/>
        <w:ind w:left="0"/>
        <w:jc w:val="both"/>
      </w:pPr>
      <w:r>
        <w:rPr>
          <w:rFonts w:ascii="Times New Roman"/>
          <w:b w:val="false"/>
          <w:i w:val="false"/>
          <w:color w:val="000000"/>
          <w:sz w:val="28"/>
        </w:rPr>
        <w:t>
                        v</w:t>
      </w:r>
      <w:r>
        <w:rPr>
          <w:rFonts w:ascii="Times New Roman"/>
          <w:b w:val="false"/>
          <w:i w:val="false"/>
          <w:color w:val="000000"/>
          <w:vertAlign w:val="subscript"/>
        </w:rPr>
        <w:t>m</w:t>
      </w:r>
      <w:r>
        <w:rPr>
          <w:rFonts w:ascii="Times New Roman"/>
          <w:b w:val="false"/>
          <w:i w:val="false"/>
          <w:color w:val="000000"/>
          <w:sz w:val="28"/>
        </w:rPr>
        <w:t xml:space="preserve"> = v(H</w:t>
      </w:r>
      <w:r>
        <w:rPr>
          <w:rFonts w:ascii="Times New Roman"/>
          <w:b w:val="false"/>
          <w:i w:val="false"/>
          <w:color w:val="000000"/>
          <w:vertAlign w:val="subscript"/>
        </w:rPr>
        <w:t>j,n, m,</w:t>
      </w:r>
      <w:r>
        <w:rPr>
          <w:rFonts w:ascii="Times New Roman"/>
          <w:b w:val="false"/>
          <w:i w:val="false"/>
          <w:color w:val="000000"/>
          <w:sz w:val="28"/>
        </w:rPr>
        <w:t xml:space="preserve"> d) - v(H</w:t>
      </w:r>
      <w:r>
        <w:rPr>
          <w:rFonts w:ascii="Times New Roman"/>
          <w:b w:val="false"/>
          <w:i w:val="false"/>
          <w:color w:val="000000"/>
          <w:vertAlign w:val="subscript"/>
        </w:rPr>
        <w:t>j, n, m-1,</w:t>
      </w:r>
      <w:r>
        <w:rPr>
          <w:rFonts w:ascii="Times New Roman"/>
          <w:b w:val="false"/>
          <w:i w:val="false"/>
          <w:color w:val="000000"/>
          <w:sz w:val="28"/>
        </w:rPr>
        <w:t xml:space="preserve"> d),</w:t>
      </w:r>
    </w:p>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j, n, m</w:t>
      </w:r>
      <w:r>
        <w:rPr>
          <w:rFonts w:ascii="Times New Roman"/>
          <w:b w:val="false"/>
          <w:i w:val="false"/>
          <w:color w:val="000000"/>
          <w:sz w:val="28"/>
        </w:rPr>
        <w:t xml:space="preserve"> — наименьшая высота над основной плоскостью, м, в пределах продольной протяженности х1</w:t>
      </w:r>
      <w:r>
        <w:rPr>
          <w:rFonts w:ascii="Times New Roman"/>
          <w:b w:val="false"/>
          <w:i w:val="false"/>
          <w:color w:val="000000"/>
          <w:vertAlign w:val="subscript"/>
        </w:rPr>
        <w:t>(j)</w:t>
      </w:r>
      <w:r>
        <w:rPr>
          <w:rFonts w:ascii="Times New Roman"/>
          <w:b w:val="false"/>
          <w:i w:val="false"/>
          <w:color w:val="000000"/>
          <w:sz w:val="28"/>
        </w:rPr>
        <w:t>...х2</w:t>
      </w:r>
      <w:r>
        <w:rPr>
          <w:rFonts w:ascii="Times New Roman"/>
          <w:b w:val="false"/>
          <w:i w:val="false"/>
          <w:color w:val="000000"/>
          <w:vertAlign w:val="subscript"/>
        </w:rPr>
        <w:t>(j+n-1)</w:t>
      </w:r>
      <w:r>
        <w:rPr>
          <w:rFonts w:ascii="Times New Roman"/>
          <w:b w:val="false"/>
          <w:i w:val="false"/>
          <w:color w:val="000000"/>
          <w:sz w:val="28"/>
        </w:rPr>
        <w:t xml:space="preserve"> горизонтальной границы m, которая, как предполагается, ограничивает вертикальное распространение затопления для рассматриваемых поврежденных отсеков;</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j, n, m-1</w:t>
      </w:r>
      <w:r>
        <w:rPr>
          <w:rFonts w:ascii="Times New Roman"/>
          <w:b w:val="false"/>
          <w:i w:val="false"/>
          <w:color w:val="000000"/>
          <w:sz w:val="28"/>
        </w:rPr>
        <w:t xml:space="preserve"> — наименьшая высота над основной плоскостью, м, в пределах продольной протяженности х1</w:t>
      </w:r>
      <w:r>
        <w:rPr>
          <w:rFonts w:ascii="Times New Roman"/>
          <w:b w:val="false"/>
          <w:i w:val="false"/>
          <w:color w:val="000000"/>
          <w:vertAlign w:val="subscript"/>
        </w:rPr>
        <w:t>(j)...</w:t>
      </w:r>
      <w:r>
        <w:rPr>
          <w:rFonts w:ascii="Times New Roman"/>
          <w:b w:val="false"/>
          <w:i w:val="false"/>
          <w:color w:val="000000"/>
          <w:sz w:val="28"/>
        </w:rPr>
        <w:t>х2</w:t>
      </w:r>
      <w:r>
        <w:rPr>
          <w:rFonts w:ascii="Times New Roman"/>
          <w:b w:val="false"/>
          <w:i w:val="false"/>
          <w:color w:val="000000"/>
          <w:vertAlign w:val="subscript"/>
        </w:rPr>
        <w:t>(j+n-1)</w:t>
      </w:r>
      <w:r>
        <w:rPr>
          <w:rFonts w:ascii="Times New Roman"/>
          <w:b w:val="false"/>
          <w:i w:val="false"/>
          <w:color w:val="000000"/>
          <w:sz w:val="28"/>
        </w:rPr>
        <w:t xml:space="preserve"> горизонтальной границы (т—1), которая, как предполагается, ограничивает вертикальное распространение затопления для рассматриваемых поврежденных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означает крайнюю кормовую точку рассматриваемых поврежденных отсеков;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представляет собой каждую горизонтальную границу, отсчитываемую вверх от рассматриваемой ватерлинии;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является рассматриваемой осадкой, определенной в параграфе 2 главы 133 настоящих Правил;</w:t>
      </w:r>
    </w:p>
    <w:p>
      <w:pPr>
        <w:spacing w:after="0"/>
        <w:ind w:left="0"/>
        <w:jc w:val="both"/>
      </w:pPr>
      <w:r>
        <w:rPr>
          <w:rFonts w:ascii="Times New Roman"/>
          <w:b w:val="false"/>
          <w:i w:val="false"/>
          <w:color w:val="000000"/>
          <w:sz w:val="28"/>
        </w:rPr>
        <w:t>
            х1 и х2 — представляют крайние точки отсека или группы отсеков, рассматриваемых в параграфе 4 главы 134 настоящих Правил.</w:t>
      </w:r>
    </w:p>
    <w:p>
      <w:pPr>
        <w:spacing w:after="0"/>
        <w:ind w:left="0"/>
        <w:jc w:val="both"/>
      </w:pPr>
      <w:r>
        <w:rPr>
          <w:rFonts w:ascii="Times New Roman"/>
          <w:b w:val="false"/>
          <w:i w:val="false"/>
          <w:color w:val="000000"/>
          <w:sz w:val="28"/>
        </w:rPr>
        <w:t xml:space="preserve">
      Факторы </w:t>
      </w:r>
      <w:r>
        <w:rPr>
          <w:rFonts w:ascii="Times New Roman"/>
          <w:b w:val="false"/>
          <w:i/>
          <w:color w:val="000000"/>
          <w:sz w:val="28"/>
        </w:rPr>
        <w:t>v</w:t>
      </w:r>
      <w:r>
        <w:rPr>
          <w:rFonts w:ascii="Times New Roman"/>
          <w:b w:val="false"/>
          <w:i w:val="false"/>
          <w:color w:val="000000"/>
          <w:sz w:val="28"/>
        </w:rPr>
        <w:t>(H</w:t>
      </w:r>
      <w:r>
        <w:rPr>
          <w:rFonts w:ascii="Times New Roman"/>
          <w:b w:val="false"/>
          <w:i w:val="false"/>
          <w:color w:val="000000"/>
          <w:vertAlign w:val="subscript"/>
        </w:rPr>
        <w:t>j, n, m,</w:t>
      </w:r>
      <w:r>
        <w:rPr>
          <w:rFonts w:ascii="Times New Roman"/>
          <w:b w:val="false"/>
          <w:i w:val="false"/>
          <w:color w:val="000000"/>
          <w:sz w:val="28"/>
        </w:rPr>
        <w:t xml:space="preserve"> d) и v(H</w:t>
      </w:r>
      <w:r>
        <w:rPr>
          <w:rFonts w:ascii="Times New Roman"/>
          <w:b w:val="false"/>
          <w:i w:val="false"/>
          <w:color w:val="000000"/>
          <w:vertAlign w:val="subscript"/>
        </w:rPr>
        <w:t>j, n, m-1,</w:t>
      </w:r>
      <w:r>
        <w:rPr>
          <w:rFonts w:ascii="Times New Roman"/>
          <w:b w:val="false"/>
          <w:i w:val="false"/>
          <w:color w:val="000000"/>
          <w:sz w:val="28"/>
        </w:rPr>
        <w:t xml:space="preserve"> d) получают из следующих формул:</w:t>
      </w:r>
    </w:p>
    <w:p>
      <w:pPr>
        <w:spacing w:after="0"/>
        <w:ind w:left="0"/>
        <w:jc w:val="both"/>
      </w:pPr>
      <w:r>
        <w:rPr>
          <w:rFonts w:ascii="Times New Roman"/>
          <w:b w:val="false"/>
          <w:i w:val="false"/>
          <w:color w:val="000000"/>
          <w:sz w:val="28"/>
        </w:rPr>
        <w:t>
      v(H,d)= 0,8(H- d)/7,8], если (H</w:t>
      </w:r>
      <w:r>
        <w:rPr>
          <w:rFonts w:ascii="Times New Roman"/>
          <w:b w:val="false"/>
          <w:i w:val="false"/>
          <w:color w:val="000000"/>
          <w:vertAlign w:val="subscript"/>
        </w:rPr>
        <w:t>m</w:t>
      </w:r>
      <w:r>
        <w:rPr>
          <w:rFonts w:ascii="Times New Roman"/>
          <w:b w:val="false"/>
          <w:i w:val="false"/>
          <w:color w:val="000000"/>
          <w:sz w:val="28"/>
        </w:rPr>
        <w:t>-d) менее или равно 7,8 м;</w:t>
      </w:r>
    </w:p>
    <w:p>
      <w:pPr>
        <w:spacing w:after="0"/>
        <w:ind w:left="0"/>
        <w:jc w:val="both"/>
      </w:pPr>
      <w:r>
        <w:rPr>
          <w:rFonts w:ascii="Times New Roman"/>
          <w:b w:val="false"/>
          <w:i w:val="false"/>
          <w:color w:val="000000"/>
          <w:sz w:val="28"/>
        </w:rPr>
        <w:t>
      v(H,d)= 0,8 + 0,2[(H-d)-7,8]/4,7 - во всех других случаях,</w:t>
      </w:r>
    </w:p>
    <w:p>
      <w:pPr>
        <w:spacing w:after="0"/>
        <w:ind w:left="0"/>
        <w:jc w:val="both"/>
      </w:pPr>
      <w:r>
        <w:rPr>
          <w:rFonts w:ascii="Times New Roman"/>
          <w:b w:val="false"/>
          <w:i w:val="false"/>
          <w:color w:val="000000"/>
          <w:sz w:val="28"/>
        </w:rPr>
        <w:t>
      где v(H</w:t>
      </w:r>
      <w:r>
        <w:rPr>
          <w:rFonts w:ascii="Times New Roman"/>
          <w:b w:val="false"/>
          <w:i w:val="false"/>
          <w:color w:val="000000"/>
          <w:vertAlign w:val="subscript"/>
        </w:rPr>
        <w:t>j, n, m,</w:t>
      </w:r>
      <w:r>
        <w:rPr>
          <w:rFonts w:ascii="Times New Roman"/>
          <w:b w:val="false"/>
          <w:i w:val="false"/>
          <w:color w:val="000000"/>
          <w:sz w:val="28"/>
        </w:rPr>
        <w:t xml:space="preserve"> d) принимается равным единице, если Нт совпадает с самой верхней водонепроницаемой границей судна в пределах протяженности х1</w:t>
      </w:r>
      <w:r>
        <w:rPr>
          <w:rFonts w:ascii="Times New Roman"/>
          <w:b w:val="false"/>
          <w:i w:val="false"/>
          <w:color w:val="000000"/>
          <w:vertAlign w:val="subscript"/>
        </w:rPr>
        <w:t>(j)...</w:t>
      </w:r>
      <w:r>
        <w:rPr>
          <w:rFonts w:ascii="Times New Roman"/>
          <w:b w:val="false"/>
          <w:i w:val="false"/>
          <w:color w:val="000000"/>
          <w:sz w:val="28"/>
        </w:rPr>
        <w:t>х2</w:t>
      </w:r>
      <w:r>
        <w:rPr>
          <w:rFonts w:ascii="Times New Roman"/>
          <w:b w:val="false"/>
          <w:i w:val="false"/>
          <w:color w:val="000000"/>
          <w:vertAlign w:val="subscript"/>
        </w:rPr>
        <w:t>(j+n-1)</w:t>
      </w:r>
      <w:r>
        <w:rPr>
          <w:rFonts w:ascii="Times New Roman"/>
          <w:b w:val="false"/>
          <w:i w:val="false"/>
          <w:color w:val="000000"/>
          <w:sz w:val="28"/>
        </w:rPr>
        <w:t xml:space="preserve"> и v(H</w:t>
      </w:r>
      <w:r>
        <w:rPr>
          <w:rFonts w:ascii="Times New Roman"/>
          <w:b w:val="false"/>
          <w:i w:val="false"/>
          <w:color w:val="000000"/>
          <w:vertAlign w:val="subscript"/>
        </w:rPr>
        <w:t>j, n, 0,</w:t>
      </w:r>
      <w:r>
        <w:rPr>
          <w:rFonts w:ascii="Times New Roman"/>
          <w:b w:val="false"/>
          <w:i w:val="false"/>
          <w:color w:val="000000"/>
          <w:sz w:val="28"/>
        </w:rPr>
        <w:t xml:space="preserve"> d) принимается равным нулю.</w:t>
      </w:r>
    </w:p>
    <w:bookmarkStart w:name="z6218" w:id="6206"/>
    <w:p>
      <w:pPr>
        <w:spacing w:after="0"/>
        <w:ind w:left="0"/>
        <w:jc w:val="both"/>
      </w:pPr>
      <w:r>
        <w:rPr>
          <w:rFonts w:ascii="Times New Roman"/>
          <w:b w:val="false"/>
          <w:i w:val="false"/>
          <w:color w:val="000000"/>
          <w:sz w:val="28"/>
        </w:rPr>
        <w:t>
      Ни в коем случае vm не принимается менее нуля или более единицы.</w:t>
      </w:r>
    </w:p>
    <w:bookmarkEnd w:id="6206"/>
    <w:bookmarkStart w:name="z6219" w:id="6207"/>
    <w:p>
      <w:pPr>
        <w:spacing w:after="0"/>
        <w:ind w:left="0"/>
        <w:jc w:val="both"/>
      </w:pPr>
      <w:r>
        <w:rPr>
          <w:rFonts w:ascii="Times New Roman"/>
          <w:b w:val="false"/>
          <w:i w:val="false"/>
          <w:color w:val="000000"/>
          <w:sz w:val="28"/>
        </w:rPr>
        <w:t>
      2019. Как правило, каждый вклад dA в индексе А при горизонтальном делении на отсеки получают с помощью формулы:</w:t>
      </w:r>
    </w:p>
    <w:bookmarkEnd w:id="6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05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1"/>
                    <a:stretch>
                      <a:fillRect/>
                    </a:stretch>
                  </pic:blipFill>
                  <pic:spPr>
                    <a:xfrm>
                      <a:off x="0" y="0"/>
                      <a:ext cx="5105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w:t>
      </w:r>
      <w:r>
        <w:rPr>
          <w:rFonts w:ascii="Times New Roman"/>
          <w:b w:val="false"/>
          <w:i w:val="false"/>
          <w:color w:val="000000"/>
          <w:sz w:val="28"/>
        </w:rPr>
        <w:t xml:space="preserve"> — величина v, рассчитанная в соответствии с пунктом 2018 настоящих Правил;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наименьший фактор s для всех сочетаний повреждений, полученный, если принимаемое повреждение распространяется вниз от высоты Н</w:t>
      </w:r>
      <w:r>
        <w:rPr>
          <w:rFonts w:ascii="Times New Roman"/>
          <w:b w:val="false"/>
          <w:i w:val="false"/>
          <w:color w:val="000000"/>
          <w:vertAlign w:val="subscript"/>
        </w:rPr>
        <w:t>m</w:t>
      </w:r>
      <w:r>
        <w:rPr>
          <w:rFonts w:ascii="Times New Roman"/>
          <w:b w:val="false"/>
          <w:i w:val="false"/>
          <w:color w:val="000000"/>
          <w:sz w:val="28"/>
        </w:rPr>
        <w:t xml:space="preserve"> предполагаемого повреждения.</w:t>
      </w:r>
    </w:p>
    <w:bookmarkStart w:name="z6220" w:id="6208"/>
    <w:p>
      <w:pPr>
        <w:spacing w:after="0"/>
        <w:ind w:left="0"/>
        <w:jc w:val="left"/>
      </w:pPr>
      <w:r>
        <w:rPr>
          <w:rFonts w:ascii="Times New Roman"/>
          <w:b/>
          <w:i w:val="false"/>
          <w:color w:val="000000"/>
        </w:rPr>
        <w:t xml:space="preserve"> Параграф 5. Проницаемость</w:t>
      </w:r>
    </w:p>
    <w:bookmarkEnd w:id="6208"/>
    <w:bookmarkStart w:name="z6221" w:id="6209"/>
    <w:p>
      <w:pPr>
        <w:spacing w:after="0"/>
        <w:ind w:left="0"/>
        <w:jc w:val="both"/>
      </w:pPr>
      <w:r>
        <w:rPr>
          <w:rFonts w:ascii="Times New Roman"/>
          <w:b w:val="false"/>
          <w:i w:val="false"/>
          <w:color w:val="000000"/>
          <w:sz w:val="28"/>
        </w:rPr>
        <w:t>
      2020. Для целей проведения предусмотренных правилами расчетов деления на отсеки и остойчивости судна в поврежденном состоянии проницаемость каждого негрузового отсека или его части принимают в соответствии с приложением 240 настоящих Правил.</w:t>
      </w:r>
    </w:p>
    <w:bookmarkEnd w:id="6209"/>
    <w:bookmarkStart w:name="z6222" w:id="6210"/>
    <w:p>
      <w:pPr>
        <w:spacing w:after="0"/>
        <w:ind w:left="0"/>
        <w:jc w:val="both"/>
      </w:pPr>
      <w:r>
        <w:rPr>
          <w:rFonts w:ascii="Times New Roman"/>
          <w:b w:val="false"/>
          <w:i w:val="false"/>
          <w:color w:val="000000"/>
          <w:sz w:val="28"/>
        </w:rPr>
        <w:t>
      2021. Для целей проведения предусмотренных правилами расчетов деления на отсеки и остойчивости судна в поврежденном состоянии проницаемость каждого грузового отсека или его части принимают в соответствии с приложением 241 настоящих Правил.</w:t>
      </w:r>
    </w:p>
    <w:bookmarkEnd w:id="6210"/>
    <w:bookmarkStart w:name="z6223" w:id="6211"/>
    <w:p>
      <w:pPr>
        <w:spacing w:after="0"/>
        <w:ind w:left="0"/>
        <w:jc w:val="both"/>
      </w:pPr>
      <w:r>
        <w:rPr>
          <w:rFonts w:ascii="Times New Roman"/>
          <w:b w:val="false"/>
          <w:i w:val="false"/>
          <w:color w:val="000000"/>
          <w:sz w:val="28"/>
        </w:rPr>
        <w:t>
      2022. Допускается использовать другие значения проницаемости, если они подтверждены расчетами.</w:t>
      </w:r>
    </w:p>
    <w:bookmarkEnd w:id="6211"/>
    <w:bookmarkStart w:name="z6224" w:id="6212"/>
    <w:p>
      <w:pPr>
        <w:spacing w:after="0"/>
        <w:ind w:left="0"/>
        <w:jc w:val="left"/>
      </w:pPr>
      <w:r>
        <w:rPr>
          <w:rFonts w:ascii="Times New Roman"/>
          <w:b/>
          <w:i w:val="false"/>
          <w:color w:val="000000"/>
        </w:rPr>
        <w:t xml:space="preserve"> Параграф 6. Специальные требования, касающиеся остойчивости</w:t>
      </w:r>
      <w:r>
        <w:br/>
      </w:r>
      <w:r>
        <w:rPr>
          <w:rFonts w:ascii="Times New Roman"/>
          <w:b/>
          <w:i w:val="false"/>
          <w:color w:val="000000"/>
        </w:rPr>
        <w:t>пассажирских судов</w:t>
      </w:r>
    </w:p>
    <w:bookmarkEnd w:id="6212"/>
    <w:bookmarkStart w:name="z6225" w:id="6213"/>
    <w:p>
      <w:pPr>
        <w:spacing w:after="0"/>
        <w:ind w:left="0"/>
        <w:jc w:val="both"/>
      </w:pPr>
      <w:r>
        <w:rPr>
          <w:rFonts w:ascii="Times New Roman"/>
          <w:b w:val="false"/>
          <w:i w:val="false"/>
          <w:color w:val="000000"/>
          <w:sz w:val="28"/>
        </w:rPr>
        <w:t>
      2023. Пассажирское судно, рассчитанное на перевозку 400 или более человек, имеет водонепроницаемое деление на отсеки в корму от таранной переборки таким образом, чтобы s</w:t>
      </w:r>
      <w:r>
        <w:rPr>
          <w:rFonts w:ascii="Times New Roman"/>
          <w:b w:val="false"/>
          <w:i w:val="false"/>
          <w:color w:val="000000"/>
          <w:vertAlign w:val="subscript"/>
        </w:rPr>
        <w:t>i</w:t>
      </w:r>
      <w:r>
        <w:rPr>
          <w:rFonts w:ascii="Times New Roman"/>
          <w:b w:val="false"/>
          <w:i w:val="false"/>
          <w:color w:val="000000"/>
          <w:sz w:val="28"/>
        </w:rPr>
        <w:t xml:space="preserve"> = 1 для трех условий загрузки, на которых основан расчет индекса деления на отсеки, и для повреждения, охватывающего все отсеки в пределах 0,08L, от носового перпендикуляра.</w:t>
      </w:r>
    </w:p>
    <w:bookmarkEnd w:id="6213"/>
    <w:bookmarkStart w:name="z6226" w:id="6214"/>
    <w:p>
      <w:pPr>
        <w:spacing w:after="0"/>
        <w:ind w:left="0"/>
        <w:jc w:val="both"/>
      </w:pPr>
      <w:r>
        <w:rPr>
          <w:rFonts w:ascii="Times New Roman"/>
          <w:b w:val="false"/>
          <w:i w:val="false"/>
          <w:color w:val="000000"/>
          <w:sz w:val="28"/>
        </w:rPr>
        <w:t>
      2024. Необходимо чтобы пассажирское судно, рассчитанное на перевозку 36 или более человек, было способно выдерживать повреждение в бортовой обшивке, имеющее размеры, указанные в подпункте 3) пункта 2025 настоящих Правил. Соответствие этому требованию считается достигнутым демонстрацией того, что s</w:t>
      </w:r>
      <w:r>
        <w:rPr>
          <w:rFonts w:ascii="Times New Roman"/>
          <w:b w:val="false"/>
          <w:i w:val="false"/>
          <w:color w:val="000000"/>
          <w:vertAlign w:val="subscript"/>
        </w:rPr>
        <w:t>i</w:t>
      </w:r>
      <w:r>
        <w:rPr>
          <w:rFonts w:ascii="Times New Roman"/>
          <w:b w:val="false"/>
          <w:i w:val="false"/>
          <w:color w:val="000000"/>
          <w:sz w:val="28"/>
        </w:rPr>
        <w:t>, как определено в параграфе 5 настоящей главы, не менее 0,9 для трех условий загрузки, на которых основан расчет индекса деления на отсеки.</w:t>
      </w:r>
    </w:p>
    <w:bookmarkEnd w:id="6214"/>
    <w:bookmarkStart w:name="z6227" w:id="6215"/>
    <w:p>
      <w:pPr>
        <w:spacing w:after="0"/>
        <w:ind w:left="0"/>
        <w:jc w:val="both"/>
      </w:pPr>
      <w:r>
        <w:rPr>
          <w:rFonts w:ascii="Times New Roman"/>
          <w:b w:val="false"/>
          <w:i w:val="false"/>
          <w:color w:val="000000"/>
          <w:sz w:val="28"/>
        </w:rPr>
        <w:t xml:space="preserve">
      2025. Размер повреждения, предполагаемого при демонстрации соответствия требованию пункта 2024 настоящих Правил, зависит одновременно от </w:t>
      </w:r>
      <w:r>
        <w:rPr>
          <w:rFonts w:ascii="Times New Roman"/>
          <w:b w:val="false"/>
          <w:i/>
          <w:color w:val="000000"/>
          <w:sz w:val="28"/>
        </w:rPr>
        <w:t>N</w:t>
      </w:r>
      <w:r>
        <w:rPr>
          <w:rFonts w:ascii="Times New Roman"/>
          <w:b w:val="false"/>
          <w:i w:val="false"/>
          <w:color w:val="000000"/>
          <w:sz w:val="28"/>
        </w:rPr>
        <w:t>, определенного в параграфе 2 настоящей главы, и от L</w:t>
      </w:r>
      <w:r>
        <w:rPr>
          <w:rFonts w:ascii="Times New Roman"/>
          <w:b w:val="false"/>
          <w:i w:val="false"/>
          <w:color w:val="000000"/>
          <w:vertAlign w:val="subscript"/>
        </w:rPr>
        <w:t>s</w:t>
      </w:r>
      <w:r>
        <w:rPr>
          <w:rFonts w:ascii="Times New Roman"/>
          <w:b w:val="false"/>
          <w:i w:val="false"/>
          <w:color w:val="000000"/>
          <w:sz w:val="28"/>
        </w:rPr>
        <w:t>, определенного в параграфе 2 главы 133 настоящих Правил, следующим образом:</w:t>
      </w:r>
    </w:p>
    <w:bookmarkEnd w:id="6215"/>
    <w:bookmarkStart w:name="z6228" w:id="6216"/>
    <w:p>
      <w:pPr>
        <w:spacing w:after="0"/>
        <w:ind w:left="0"/>
        <w:jc w:val="both"/>
      </w:pPr>
      <w:r>
        <w:rPr>
          <w:rFonts w:ascii="Times New Roman"/>
          <w:b w:val="false"/>
          <w:i w:val="false"/>
          <w:color w:val="000000"/>
          <w:sz w:val="28"/>
        </w:rPr>
        <w:t>
      1) вертикальная протяженность повреждения принимается от теоретической основной линии судна до места, расположенного на 12,5 м выше осадки при самой высокой ватерлинии деления на отсеки, определенной в параграфе 2 главы 133 настоящих Правил, однако если меньшая вертикальная протяженность повреждения привела бы к меньшему значению s</w:t>
      </w:r>
      <w:r>
        <w:rPr>
          <w:rFonts w:ascii="Times New Roman"/>
          <w:b w:val="false"/>
          <w:i w:val="false"/>
          <w:color w:val="000000"/>
          <w:vertAlign w:val="subscript"/>
        </w:rPr>
        <w:t>it</w:t>
      </w:r>
      <w:r>
        <w:rPr>
          <w:rFonts w:ascii="Times New Roman"/>
          <w:b w:val="false"/>
          <w:i w:val="false"/>
          <w:color w:val="000000"/>
          <w:sz w:val="28"/>
        </w:rPr>
        <w:t xml:space="preserve"> то применяется такая меньшая протяженность;</w:t>
      </w:r>
    </w:p>
    <w:bookmarkEnd w:id="6216"/>
    <w:bookmarkStart w:name="z6229" w:id="6217"/>
    <w:p>
      <w:pPr>
        <w:spacing w:after="0"/>
        <w:ind w:left="0"/>
        <w:jc w:val="both"/>
      </w:pPr>
      <w:r>
        <w:rPr>
          <w:rFonts w:ascii="Times New Roman"/>
          <w:b w:val="false"/>
          <w:i w:val="false"/>
          <w:color w:val="000000"/>
          <w:sz w:val="28"/>
        </w:rPr>
        <w:t>
      2) если судно рассчитано на перевозку 400 или более человек, то протяженность повреждения принимается равной 0,03 L</w:t>
      </w:r>
      <w:r>
        <w:rPr>
          <w:rFonts w:ascii="Times New Roman"/>
          <w:b w:val="false"/>
          <w:i w:val="false"/>
          <w:color w:val="000000"/>
          <w:vertAlign w:val="subscript"/>
        </w:rPr>
        <w:t>s</w:t>
      </w:r>
      <w:r>
        <w:rPr>
          <w:rFonts w:ascii="Times New Roman"/>
          <w:b w:val="false"/>
          <w:i w:val="false"/>
          <w:color w:val="000000"/>
          <w:sz w:val="28"/>
        </w:rPr>
        <w:t>, но не менее 3 м в любом месте вдоль бортовой обшивки вместе с повреждением от борта внутрь судна глубиной 0,1 В, однако не менее 0,75 м, отмеряемой от наружной бортовой обшивки под прямым углом к диаметральной плоскости на уровне осадки при самой высокой ватерлинии деления на отсеки;</w:t>
      </w:r>
    </w:p>
    <w:bookmarkEnd w:id="6217"/>
    <w:bookmarkStart w:name="z6230" w:id="6218"/>
    <w:p>
      <w:pPr>
        <w:spacing w:after="0"/>
        <w:ind w:left="0"/>
        <w:jc w:val="both"/>
      </w:pPr>
      <w:r>
        <w:rPr>
          <w:rFonts w:ascii="Times New Roman"/>
          <w:b w:val="false"/>
          <w:i w:val="false"/>
          <w:color w:val="000000"/>
          <w:sz w:val="28"/>
        </w:rPr>
        <w:t>
      3) если перевозится менее 400 человек, длина повреждения принимается в любом месте вдоль бортовой обшивки между поперечными водонепроницаемыми переборками, при условии что расстояние между двумя соседними поперечными водонепроницаемыми переборками не менее принимаемой длины повреждения. Если расстояние между соседними поперечными водонепроницаемыми переборками менее принимаемой длины повреждения, то для целей демонстрации соответствия требованиям пункта 2024 настоящих Правил эффективной считается только одна из этих переборок;</w:t>
      </w:r>
    </w:p>
    <w:bookmarkEnd w:id="6218"/>
    <w:bookmarkStart w:name="z6231" w:id="6219"/>
    <w:p>
      <w:pPr>
        <w:spacing w:after="0"/>
        <w:ind w:left="0"/>
        <w:jc w:val="both"/>
      </w:pPr>
      <w:r>
        <w:rPr>
          <w:rFonts w:ascii="Times New Roman"/>
          <w:b w:val="false"/>
          <w:i w:val="false"/>
          <w:color w:val="000000"/>
          <w:sz w:val="28"/>
        </w:rPr>
        <w:t>
      4) если перевозится 36 человек, то длина повреждения принимается равной 0,015 L</w:t>
      </w:r>
      <w:r>
        <w:rPr>
          <w:rFonts w:ascii="Times New Roman"/>
          <w:b w:val="false"/>
          <w:i w:val="false"/>
          <w:color w:val="000000"/>
          <w:vertAlign w:val="subscript"/>
        </w:rPr>
        <w:t>s</w:t>
      </w:r>
      <w:r>
        <w:rPr>
          <w:rFonts w:ascii="Times New Roman"/>
          <w:b w:val="false"/>
          <w:i w:val="false"/>
          <w:color w:val="000000"/>
          <w:sz w:val="28"/>
        </w:rPr>
        <w:t>, но не менее 3 м, вместе с глубиной повреждения 0,05 В, но не менее 0,75 м;</w:t>
      </w:r>
    </w:p>
    <w:bookmarkEnd w:id="6219"/>
    <w:bookmarkStart w:name="z6232" w:id="6220"/>
    <w:p>
      <w:pPr>
        <w:spacing w:after="0"/>
        <w:ind w:left="0"/>
        <w:jc w:val="both"/>
      </w:pPr>
      <w:r>
        <w:rPr>
          <w:rFonts w:ascii="Times New Roman"/>
          <w:b w:val="false"/>
          <w:i w:val="false"/>
          <w:color w:val="000000"/>
          <w:sz w:val="28"/>
        </w:rPr>
        <w:t>
      5) если перевозится более 36, но менее 400 человек, то значения длины и глубины повреждения, используемые для определения принимаемых размеров повреждения, получают линейной интерполяцией между значениями длины и глубины повреждения, которые применяются для судов, перевозящих 36 и 400 человек, как указано в подпунктах 2) и 4) пункта 2025 настоящих Правил.</w:t>
      </w:r>
    </w:p>
    <w:bookmarkEnd w:id="6220"/>
    <w:bookmarkStart w:name="z6233" w:id="6221"/>
    <w:p>
      <w:pPr>
        <w:spacing w:after="0"/>
        <w:ind w:left="0"/>
        <w:jc w:val="left"/>
      </w:pPr>
      <w:r>
        <w:rPr>
          <w:rFonts w:ascii="Times New Roman"/>
          <w:b/>
          <w:i w:val="false"/>
          <w:color w:val="000000"/>
        </w:rPr>
        <w:t xml:space="preserve"> Параграф 7. Повреждения днища</w:t>
      </w:r>
    </w:p>
    <w:bookmarkEnd w:id="6221"/>
    <w:bookmarkStart w:name="z6234" w:id="6222"/>
    <w:p>
      <w:pPr>
        <w:spacing w:after="0"/>
        <w:ind w:left="0"/>
        <w:jc w:val="both"/>
      </w:pPr>
      <w:r>
        <w:rPr>
          <w:rFonts w:ascii="Times New Roman"/>
          <w:b w:val="false"/>
          <w:i w:val="false"/>
          <w:color w:val="000000"/>
          <w:sz w:val="28"/>
        </w:rPr>
        <w:t>
      2026. Любая часть пассажирского или грузового судна, не оборудованная двойным дном, способна выдерживать повреждения днища в этой части судна, указанные в пункте 2028 настоящих Правил.</w:t>
      </w:r>
    </w:p>
    <w:bookmarkEnd w:id="6222"/>
    <w:bookmarkStart w:name="z6235" w:id="6223"/>
    <w:p>
      <w:pPr>
        <w:spacing w:after="0"/>
        <w:ind w:left="0"/>
        <w:jc w:val="both"/>
      </w:pPr>
      <w:r>
        <w:rPr>
          <w:rFonts w:ascii="Times New Roman"/>
          <w:b w:val="false"/>
          <w:i w:val="false"/>
          <w:color w:val="000000"/>
          <w:sz w:val="28"/>
        </w:rPr>
        <w:t>
      2027. При необычном устройстве днища на пассажирском или грузовом судне представляют доказательства того, что судно способно выдержать повреждения днища, указанные в пункте 2028 настоящих Правил.</w:t>
      </w:r>
    </w:p>
    <w:bookmarkEnd w:id="6223"/>
    <w:bookmarkStart w:name="z6236" w:id="6224"/>
    <w:p>
      <w:pPr>
        <w:spacing w:after="0"/>
        <w:ind w:left="0"/>
        <w:jc w:val="both"/>
      </w:pPr>
      <w:r>
        <w:rPr>
          <w:rFonts w:ascii="Times New Roman"/>
          <w:b w:val="false"/>
          <w:i w:val="false"/>
          <w:color w:val="000000"/>
          <w:sz w:val="28"/>
        </w:rPr>
        <w:t>
      2028. Соответствие пунктов 2026 или 2027 настоящих Правил достигается доказательством того, что s</w:t>
      </w:r>
      <w:r>
        <w:rPr>
          <w:rFonts w:ascii="Times New Roman"/>
          <w:b w:val="false"/>
          <w:i w:val="false"/>
          <w:color w:val="000000"/>
          <w:vertAlign w:val="subscript"/>
        </w:rPr>
        <w:t>i</w:t>
      </w:r>
      <w:r>
        <w:rPr>
          <w:rFonts w:ascii="Times New Roman"/>
          <w:b w:val="false"/>
          <w:i w:val="false"/>
          <w:color w:val="000000"/>
          <w:sz w:val="28"/>
        </w:rPr>
        <w:t>, при расчете в соответствии с параграфом 5 настоящей главы, будет не менее 1 для всех условий загрузки, если при предполагаемом повреждении днища в любом месте судна протяженностью, указанной в подпункте 2) настоящего пункта, для поврежденной части судна:</w:t>
      </w:r>
    </w:p>
    <w:bookmarkEnd w:id="6224"/>
    <w:bookmarkStart w:name="z6237" w:id="6225"/>
    <w:p>
      <w:pPr>
        <w:spacing w:after="0"/>
        <w:ind w:left="0"/>
        <w:jc w:val="both"/>
      </w:pPr>
      <w:r>
        <w:rPr>
          <w:rFonts w:ascii="Times New Roman"/>
          <w:b w:val="false"/>
          <w:i w:val="false"/>
          <w:color w:val="000000"/>
          <w:sz w:val="28"/>
        </w:rPr>
        <w:t>
      1) затопление таких помещений не приведет к выходу из строя аварийного энергоснабжения и освещения, внутренней связи, сигнализации или других аварийных устройств в других частях судна;</w:t>
      </w:r>
    </w:p>
    <w:bookmarkEnd w:id="6225"/>
    <w:bookmarkStart w:name="z6238" w:id="6226"/>
    <w:p>
      <w:pPr>
        <w:spacing w:after="0"/>
        <w:ind w:left="0"/>
        <w:jc w:val="both"/>
      </w:pPr>
      <w:r>
        <w:rPr>
          <w:rFonts w:ascii="Times New Roman"/>
          <w:b w:val="false"/>
          <w:i w:val="false"/>
          <w:color w:val="000000"/>
          <w:sz w:val="28"/>
        </w:rPr>
        <w:t>
      2) предполагаемый размер повреждения указан в приложении 236 настоящих Правил;</w:t>
      </w:r>
    </w:p>
    <w:bookmarkEnd w:id="6226"/>
    <w:bookmarkStart w:name="z6239" w:id="6227"/>
    <w:p>
      <w:pPr>
        <w:spacing w:after="0"/>
        <w:ind w:left="0"/>
        <w:jc w:val="both"/>
      </w:pPr>
      <w:r>
        <w:rPr>
          <w:rFonts w:ascii="Times New Roman"/>
          <w:b w:val="false"/>
          <w:i w:val="false"/>
          <w:color w:val="000000"/>
          <w:sz w:val="28"/>
        </w:rPr>
        <w:t>
      3) если любое повреждение меньшего размера, чем максимальное повреждение, указанное в подпункте 2) пункта 2028 настоящих Правил, приведет к более тяжелым последствиям, то рассматривается такое повреждение.</w:t>
      </w:r>
    </w:p>
    <w:bookmarkEnd w:id="6227"/>
    <w:bookmarkStart w:name="z6240" w:id="6228"/>
    <w:p>
      <w:pPr>
        <w:spacing w:after="0"/>
        <w:ind w:left="0"/>
        <w:jc w:val="both"/>
      </w:pPr>
      <w:r>
        <w:rPr>
          <w:rFonts w:ascii="Times New Roman"/>
          <w:b w:val="false"/>
          <w:i w:val="false"/>
          <w:color w:val="000000"/>
          <w:sz w:val="28"/>
        </w:rPr>
        <w:t>
      2029. Для больших нижних трюмов на пассажирских судах Регистр судоходства требует увеличенной высоты двойного борта, но не более В/10 или 3 м, смотря по тому, что меньше, отмеряемой от линии киля. В качестве альтернативы повреждения днища рассчитываются для этих районов, в соответствии с пунктом 2028 настоящих Правил, однако предполагая увеличенную вертикальную протяженность.</w:t>
      </w:r>
    </w:p>
    <w:bookmarkEnd w:id="6228"/>
    <w:bookmarkStart w:name="z1384" w:id="6229"/>
    <w:p>
      <w:pPr>
        <w:spacing w:after="0"/>
        <w:ind w:left="0"/>
        <w:jc w:val="left"/>
      </w:pPr>
      <w:r>
        <w:rPr>
          <w:rFonts w:ascii="Times New Roman"/>
          <w:b/>
          <w:i w:val="false"/>
          <w:color w:val="000000"/>
        </w:rPr>
        <w:t xml:space="preserve"> Глава 135. Посадка и остойчивость поврежденного судна</w:t>
      </w:r>
    </w:p>
    <w:bookmarkEnd w:id="6229"/>
    <w:p>
      <w:pPr>
        <w:spacing w:after="0"/>
        <w:ind w:left="0"/>
        <w:jc w:val="both"/>
      </w:pPr>
      <w:r>
        <w:rPr>
          <w:rFonts w:ascii="Times New Roman"/>
          <w:b w:val="false"/>
          <w:i w:val="false"/>
          <w:color w:val="ff0000"/>
          <w:sz w:val="28"/>
        </w:rPr>
        <w:t xml:space="preserve">
      Сноска. Заголовок главы 135 -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5" w:id="6230"/>
    <w:p>
      <w:pPr>
        <w:spacing w:after="0"/>
        <w:ind w:left="0"/>
        <w:jc w:val="left"/>
      </w:pPr>
      <w:r>
        <w:rPr>
          <w:rFonts w:ascii="Times New Roman"/>
          <w:b/>
          <w:i w:val="false"/>
          <w:color w:val="000000"/>
        </w:rPr>
        <w:t xml:space="preserve"> Параграф 1. Общие положения</w:t>
      </w:r>
    </w:p>
    <w:bookmarkEnd w:id="6230"/>
    <w:bookmarkStart w:name="z1729" w:id="6231"/>
    <w:p>
      <w:pPr>
        <w:spacing w:after="0"/>
        <w:ind w:left="0"/>
        <w:jc w:val="both"/>
      </w:pPr>
      <w:r>
        <w:rPr>
          <w:rFonts w:ascii="Times New Roman"/>
          <w:b w:val="false"/>
          <w:i w:val="false"/>
          <w:color w:val="000000"/>
          <w:sz w:val="28"/>
        </w:rPr>
        <w:t>
      2030. Необходимо чтобы посадка и остойчивость неповрежденного судна во всех эксплуатационных случаях нагрузки, соответствующих назначению судна (без учета обледенения), была достаточной для того, чтобы были выполнены требования к аварийной посадке и остойчивости поврежденного судна.</w:t>
      </w:r>
    </w:p>
    <w:bookmarkEnd w:id="6231"/>
    <w:bookmarkStart w:name="z1946" w:id="6232"/>
    <w:p>
      <w:pPr>
        <w:spacing w:after="0"/>
        <w:ind w:left="0"/>
        <w:jc w:val="both"/>
      </w:pPr>
      <w:r>
        <w:rPr>
          <w:rFonts w:ascii="Times New Roman"/>
          <w:b w:val="false"/>
          <w:i w:val="false"/>
          <w:color w:val="000000"/>
          <w:sz w:val="28"/>
        </w:rPr>
        <w:t>
      2031. Требования к аварийной посадке и остойчивости судна считаются выполненными, если при повреждениях, указанных в параграфах 2 и 4 настоящей главы, с затоплением числа отсеков, указанным в параграфе 4 настоящей главы, при коэффициентах проницаемости, определяемых согласно параграфу 6 главы 133 настоящих Правил, расчеты, произведенные в соответствии с условиями пунктов 2032 - 2036 настоящих Правил, покажут, что надлежащие требования, указанные в параграфах 3 и 4 настоящей главы, выполнены.</w:t>
      </w:r>
    </w:p>
    <w:bookmarkEnd w:id="6232"/>
    <w:bookmarkStart w:name="z1983" w:id="6233"/>
    <w:p>
      <w:pPr>
        <w:spacing w:after="0"/>
        <w:ind w:left="0"/>
        <w:jc w:val="both"/>
      </w:pPr>
      <w:r>
        <w:rPr>
          <w:rFonts w:ascii="Times New Roman"/>
          <w:b w:val="false"/>
          <w:i w:val="false"/>
          <w:color w:val="000000"/>
          <w:sz w:val="28"/>
        </w:rPr>
        <w:t>
      2032. Расчеты, подтверждающие выполнение требований параграфов 3 и 4 настоящей главы к аварийной посадке и остойчивости поврежденного судна, производят для такого числа наихудших в отношении посадки и остойчивости эксплуатационных случаев нагрузки (в границах осадки по самую высокую ватерлинию деления судна на отсеки и предусмотренного в проекте распределения грузов), такого расположения и размеров повреждения, определенных в соответствии с параграфами 2 и 4 настоящей главы, чтобы на основании этих расчетов имели уверенность, что во всех остальных случаях состояние поврежденного судна в отношении аварийной остойчивости, остаточного надводного борта, отстояния от аварийной ватерлинии до отверстий, через которые возможно распространение воды по судну, и углов крена будет лучше. При этом учитывается: действительная конфигурация поврежденных отсеков, их коэффициенты проницаемости, характер закрытия отверстий, наличие промежуточных палуб, платформ, двойных бортов, поперечных и продольных переборок, водонепроницаемость которых такова, что эти конструкции полностью или временно ограничивают распространение воды по судну.</w:t>
      </w:r>
    </w:p>
    <w:bookmarkEnd w:id="6233"/>
    <w:bookmarkStart w:name="z1984" w:id="6234"/>
    <w:p>
      <w:pPr>
        <w:spacing w:after="0"/>
        <w:ind w:left="0"/>
        <w:jc w:val="both"/>
      </w:pPr>
      <w:r>
        <w:rPr>
          <w:rFonts w:ascii="Times New Roman"/>
          <w:b w:val="false"/>
          <w:i w:val="false"/>
          <w:color w:val="000000"/>
          <w:sz w:val="28"/>
        </w:rPr>
        <w:t xml:space="preserve">
      2033. Если расстояние между двумя соседними главными поперечными переборками меньше, чем расчетная протяженность пробоины по длине, то при проверке аварийной посадки и остойчивости соответствующий отсек по усмотрению проектанта присоединяется к одному из смежных отсеков. Отступления от этого положения для непассажирских судов допускают, если выполняется условие A </w:t>
      </w:r>
      <w:r>
        <w:rPr>
          <w:rFonts w:ascii="Times New Roman"/>
          <w:b w:val="false"/>
          <w:i w:val="false"/>
          <w:color w:val="000000"/>
          <w:sz w:val="28"/>
          <w:u w:val="single"/>
        </w:rPr>
        <w:t>&gt;</w:t>
      </w:r>
      <w:r>
        <w:rPr>
          <w:rFonts w:ascii="Times New Roman"/>
          <w:b w:val="false"/>
          <w:i w:val="false"/>
          <w:color w:val="000000"/>
          <w:sz w:val="28"/>
        </w:rPr>
        <w:t xml:space="preserve"> R.</w:t>
      </w:r>
    </w:p>
    <w:bookmarkEnd w:id="6234"/>
    <w:bookmarkStart w:name="z1986" w:id="6235"/>
    <w:p>
      <w:pPr>
        <w:spacing w:after="0"/>
        <w:ind w:left="0"/>
        <w:jc w:val="both"/>
      </w:pPr>
      <w:r>
        <w:rPr>
          <w:rFonts w:ascii="Times New Roman"/>
          <w:b w:val="false"/>
          <w:i w:val="false"/>
          <w:color w:val="000000"/>
          <w:sz w:val="28"/>
        </w:rPr>
        <w:t>
      Форпик и ахтерпик считаются самостоятельными отсеками, независимо от их протяженности.</w:t>
      </w:r>
    </w:p>
    <w:bookmarkEnd w:id="6235"/>
    <w:bookmarkStart w:name="z6241" w:id="6236"/>
    <w:p>
      <w:pPr>
        <w:spacing w:after="0"/>
        <w:ind w:left="0"/>
        <w:jc w:val="both"/>
      </w:pPr>
      <w:r>
        <w:rPr>
          <w:rFonts w:ascii="Times New Roman"/>
          <w:b w:val="false"/>
          <w:i w:val="false"/>
          <w:color w:val="000000"/>
          <w:sz w:val="28"/>
        </w:rPr>
        <w:t>
      2034. Если два смежных отсека разделены переборкой с уступом, при рассмотрении затопления одного из этих отсеков переборка с уступом считается захваченной повреждением.</w:t>
      </w:r>
    </w:p>
    <w:bookmarkEnd w:id="6236"/>
    <w:bookmarkStart w:name="z6242" w:id="6237"/>
    <w:p>
      <w:pPr>
        <w:spacing w:after="0"/>
        <w:ind w:left="0"/>
        <w:jc w:val="both"/>
      </w:pPr>
      <w:r>
        <w:rPr>
          <w:rFonts w:ascii="Times New Roman"/>
          <w:b w:val="false"/>
          <w:i w:val="false"/>
          <w:color w:val="000000"/>
          <w:sz w:val="28"/>
        </w:rPr>
        <w:t>
      Если выполняется условие A &gt; R, или протяженность уступа не превышает одной шпации или 0,8 м, смотря по тому, что меньше, или, если уступ образован флорами двойного дна, для не пассажирских судов указанное требование не является обязательным.</w:t>
      </w:r>
    </w:p>
    <w:bookmarkEnd w:id="6237"/>
    <w:bookmarkStart w:name="z6243" w:id="6238"/>
    <w:p>
      <w:pPr>
        <w:spacing w:after="0"/>
        <w:ind w:left="0"/>
        <w:jc w:val="both"/>
      </w:pPr>
      <w:r>
        <w:rPr>
          <w:rFonts w:ascii="Times New Roman"/>
          <w:b w:val="false"/>
          <w:i w:val="false"/>
          <w:color w:val="000000"/>
          <w:sz w:val="28"/>
        </w:rPr>
        <w:t>
      2035. Если любое повреждение меньших размеров, чем указано в параграфах 2 и 4 настоящей главы, приводит к более тяжелым последствиям в отношении посадки и остойчивости поврежденного судна, такое повреждение рассматривают при выполнении проверочных расчетов аварийной посадки и остойчивости.</w:t>
      </w:r>
    </w:p>
    <w:bookmarkEnd w:id="6238"/>
    <w:bookmarkStart w:name="z6244" w:id="6239"/>
    <w:p>
      <w:pPr>
        <w:spacing w:after="0"/>
        <w:ind w:left="0"/>
        <w:jc w:val="both"/>
      </w:pPr>
      <w:r>
        <w:rPr>
          <w:rFonts w:ascii="Times New Roman"/>
          <w:b w:val="false"/>
          <w:i w:val="false"/>
          <w:color w:val="000000"/>
          <w:sz w:val="28"/>
        </w:rPr>
        <w:t>
      2036. Если в пределах предполагаемой зоны повреждения расположены трубопроводы, каналы и туннели, их конструкция исключает распространение воды в отсеки, которые считаются незатопленными.</w:t>
      </w:r>
    </w:p>
    <w:bookmarkEnd w:id="6239"/>
    <w:bookmarkStart w:name="z6245" w:id="6240"/>
    <w:p>
      <w:pPr>
        <w:spacing w:after="0"/>
        <w:ind w:left="0"/>
        <w:jc w:val="both"/>
      </w:pPr>
      <w:r>
        <w:rPr>
          <w:rFonts w:ascii="Times New Roman"/>
          <w:b w:val="false"/>
          <w:i w:val="false"/>
          <w:color w:val="000000"/>
          <w:sz w:val="28"/>
        </w:rPr>
        <w:t>
      2037. Для непассажирских судов время спрямления судна устанавливается по согласованию с Регистром судоходства в зависимости от типа судна.</w:t>
      </w:r>
    </w:p>
    <w:bookmarkEnd w:id="6240"/>
    <w:bookmarkStart w:name="z6246" w:id="6241"/>
    <w:p>
      <w:pPr>
        <w:spacing w:after="0"/>
        <w:ind w:left="0"/>
        <w:jc w:val="both"/>
      </w:pPr>
      <w:r>
        <w:rPr>
          <w:rFonts w:ascii="Times New Roman"/>
          <w:b w:val="false"/>
          <w:i w:val="false"/>
          <w:color w:val="000000"/>
          <w:sz w:val="28"/>
        </w:rPr>
        <w:t>
      2038. Необходимо чтобы средства для спрямления судна после аварии были одобрены Регистром судоходства и были по возможности автоматически действующими.</w:t>
      </w:r>
    </w:p>
    <w:bookmarkEnd w:id="6241"/>
    <w:bookmarkStart w:name="z6247" w:id="6242"/>
    <w:p>
      <w:pPr>
        <w:spacing w:after="0"/>
        <w:ind w:left="0"/>
        <w:jc w:val="both"/>
      </w:pPr>
      <w:r>
        <w:rPr>
          <w:rFonts w:ascii="Times New Roman"/>
          <w:b w:val="false"/>
          <w:i w:val="false"/>
          <w:color w:val="000000"/>
          <w:sz w:val="28"/>
        </w:rPr>
        <w:t>
      При наличии управляемых переточных каналов посты управления их клинкетами располагаются выше палубы переборок.</w:t>
      </w:r>
    </w:p>
    <w:bookmarkEnd w:id="6242"/>
    <w:bookmarkStart w:name="z6248" w:id="6243"/>
    <w:p>
      <w:pPr>
        <w:spacing w:after="0"/>
        <w:ind w:left="0"/>
        <w:jc w:val="left"/>
      </w:pPr>
      <w:r>
        <w:rPr>
          <w:rFonts w:ascii="Times New Roman"/>
          <w:b/>
          <w:i w:val="false"/>
          <w:color w:val="000000"/>
        </w:rPr>
        <w:t xml:space="preserve"> Параграф 2. Размеры расчетного повреждения</w:t>
      </w:r>
    </w:p>
    <w:bookmarkEnd w:id="6243"/>
    <w:bookmarkStart w:name="z6249" w:id="6244"/>
    <w:p>
      <w:pPr>
        <w:spacing w:after="0"/>
        <w:ind w:left="0"/>
        <w:jc w:val="both"/>
      </w:pPr>
      <w:r>
        <w:rPr>
          <w:rFonts w:ascii="Times New Roman"/>
          <w:b w:val="false"/>
          <w:i w:val="false"/>
          <w:color w:val="000000"/>
          <w:sz w:val="28"/>
        </w:rPr>
        <w:t>
      2039. За исключением оговоренных случаев, в том числе в пункте 2036 настоящих Правил, при выполнении расчетов аварийной посадки и остойчивости, подтверждающих выполнение требований параграфов 3 и 4 настоящей главы, принимают следующие размеры повреждения борта:</w:t>
      </w:r>
    </w:p>
    <w:bookmarkEnd w:id="6244"/>
    <w:bookmarkStart w:name="z6250" w:id="6245"/>
    <w:p>
      <w:pPr>
        <w:spacing w:after="0"/>
        <w:ind w:left="0"/>
        <w:jc w:val="both"/>
      </w:pPr>
      <w:r>
        <w:rPr>
          <w:rFonts w:ascii="Times New Roman"/>
          <w:b w:val="false"/>
          <w:i w:val="false"/>
          <w:color w:val="000000"/>
          <w:sz w:val="28"/>
        </w:rPr>
        <w:t xml:space="preserve">
      1) протяженность по длине — </w:t>
      </w:r>
      <w:r>
        <w:rPr>
          <w:rFonts w:ascii="Times New Roman"/>
          <w:b w:val="false"/>
          <w:i/>
          <w:color w:val="000000"/>
          <w:sz w:val="28"/>
        </w:rPr>
        <w:t>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или 14,5 м (в зависимости от того, что меньше);</w:t>
      </w:r>
    </w:p>
    <w:bookmarkEnd w:id="6245"/>
    <w:bookmarkStart w:name="z6251" w:id="6246"/>
    <w:p>
      <w:pPr>
        <w:spacing w:after="0"/>
        <w:ind w:left="0"/>
        <w:jc w:val="both"/>
      </w:pPr>
      <w:r>
        <w:rPr>
          <w:rFonts w:ascii="Times New Roman"/>
          <w:b w:val="false"/>
          <w:i w:val="false"/>
          <w:color w:val="000000"/>
          <w:sz w:val="28"/>
        </w:rPr>
        <w:t xml:space="preserve">
      2) протяженность по ширине, измеренная от внутренней поверхности наружной обшивки под прямым углом к диаметральной плоскости на уровне самой высокой грузовой ватерлинии деления на отсеки, — 1/5 ширины судна </w:t>
      </w:r>
      <w:r>
        <w:rPr>
          <w:rFonts w:ascii="Times New Roman"/>
          <w:b w:val="false"/>
          <w:i/>
          <w:color w:val="000000"/>
          <w:sz w:val="28"/>
        </w:rPr>
        <w:t>В</w:t>
      </w:r>
      <w:r>
        <w:rPr>
          <w:rFonts w:ascii="Times New Roman"/>
          <w:b w:val="false"/>
          <w:i w:val="false"/>
          <w:color w:val="000000"/>
          <w:sz w:val="28"/>
        </w:rPr>
        <w:t xml:space="preserve"> или 11,5 м (в зависимости от того, что меньше);</w:t>
      </w:r>
    </w:p>
    <w:bookmarkEnd w:id="6246"/>
    <w:bookmarkStart w:name="z6252" w:id="6247"/>
    <w:p>
      <w:pPr>
        <w:spacing w:after="0"/>
        <w:ind w:left="0"/>
        <w:jc w:val="both"/>
      </w:pPr>
      <w:r>
        <w:rPr>
          <w:rFonts w:ascii="Times New Roman"/>
          <w:b w:val="false"/>
          <w:i w:val="false"/>
          <w:color w:val="000000"/>
          <w:sz w:val="28"/>
        </w:rPr>
        <w:t>
      3) протяженность по вертикали — от основной плоскости неограниченно вверх.</w:t>
      </w:r>
    </w:p>
    <w:bookmarkEnd w:id="6247"/>
    <w:bookmarkStart w:name="z6253" w:id="6248"/>
    <w:p>
      <w:pPr>
        <w:spacing w:after="0"/>
        <w:ind w:left="0"/>
        <w:jc w:val="both"/>
      </w:pPr>
      <w:r>
        <w:rPr>
          <w:rFonts w:ascii="Times New Roman"/>
          <w:b w:val="false"/>
          <w:i w:val="false"/>
          <w:color w:val="000000"/>
          <w:sz w:val="28"/>
        </w:rPr>
        <w:t>
      2040. Требования параграфа 3 настоящей главы также выполняют при совместном затоплении всех помещений, расположенных в нос от таранной переборки.</w:t>
      </w:r>
    </w:p>
    <w:bookmarkEnd w:id="6248"/>
    <w:bookmarkStart w:name="z6254" w:id="6249"/>
    <w:p>
      <w:pPr>
        <w:spacing w:after="0"/>
        <w:ind w:left="0"/>
        <w:jc w:val="left"/>
      </w:pPr>
      <w:r>
        <w:rPr>
          <w:rFonts w:ascii="Times New Roman"/>
          <w:b/>
          <w:i w:val="false"/>
          <w:color w:val="000000"/>
        </w:rPr>
        <w:t xml:space="preserve"> Параграф 3. Требования к элементам посадки и</w:t>
      </w:r>
      <w:r>
        <w:br/>
      </w:r>
      <w:r>
        <w:rPr>
          <w:rFonts w:ascii="Times New Roman"/>
          <w:b/>
          <w:i w:val="false"/>
          <w:color w:val="000000"/>
        </w:rPr>
        <w:t>устойчивости поврежденного судна</w:t>
      </w:r>
    </w:p>
    <w:bookmarkEnd w:id="6249"/>
    <w:bookmarkStart w:name="z6255" w:id="6250"/>
    <w:p>
      <w:pPr>
        <w:spacing w:after="0"/>
        <w:ind w:left="0"/>
        <w:jc w:val="both"/>
      </w:pPr>
      <w:r>
        <w:rPr>
          <w:rFonts w:ascii="Times New Roman"/>
          <w:b w:val="false"/>
          <w:i w:val="false"/>
          <w:color w:val="000000"/>
          <w:sz w:val="28"/>
        </w:rPr>
        <w:t>
      2041. Начальная метацентрическая высота судна в конечной стадии затопления для ненакрененного положения, определенная методом постоянного водоизмещения, до принятия мер по ее увеличению равна не менее 0,05 м.</w:t>
      </w:r>
    </w:p>
    <w:bookmarkEnd w:id="6250"/>
    <w:bookmarkStart w:name="z6256" w:id="6251"/>
    <w:p>
      <w:pPr>
        <w:spacing w:after="0"/>
        <w:ind w:left="0"/>
        <w:jc w:val="both"/>
      </w:pPr>
      <w:r>
        <w:rPr>
          <w:rFonts w:ascii="Times New Roman"/>
          <w:b w:val="false"/>
          <w:i w:val="false"/>
          <w:color w:val="000000"/>
          <w:sz w:val="28"/>
        </w:rPr>
        <w:t>
      Для непассажирских судов по согласованию с Регистром судоходства допускается для ненакрененного судна в конечной стадии затопления положительная метацентрическая высота, меньшая 0,05 м.</w:t>
      </w:r>
    </w:p>
    <w:bookmarkEnd w:id="6251"/>
    <w:bookmarkStart w:name="z6257" w:id="6252"/>
    <w:p>
      <w:pPr>
        <w:spacing w:after="0"/>
        <w:ind w:left="0"/>
        <w:jc w:val="both"/>
      </w:pPr>
      <w:r>
        <w:rPr>
          <w:rFonts w:ascii="Times New Roman"/>
          <w:b w:val="false"/>
          <w:i w:val="false"/>
          <w:color w:val="000000"/>
          <w:sz w:val="28"/>
        </w:rPr>
        <w:t>
      2042. Угол крена при несимметричном затоплении не превышает:</w:t>
      </w:r>
    </w:p>
    <w:bookmarkEnd w:id="6252"/>
    <w:bookmarkStart w:name="z6258" w:id="6253"/>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о</w:t>
      </w:r>
      <w:r>
        <w:rPr>
          <w:rFonts w:ascii="Times New Roman"/>
          <w:b w:val="false"/>
          <w:i w:val="false"/>
          <w:color w:val="000000"/>
          <w:sz w:val="28"/>
        </w:rPr>
        <w:t xml:space="preserve"> — до принятия мер по спрямлению и до срабатывания перетоков;</w:t>
      </w:r>
    </w:p>
    <w:bookmarkEnd w:id="6253"/>
    <w:bookmarkStart w:name="z6259" w:id="6254"/>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о</w:t>
      </w:r>
      <w:r>
        <w:rPr>
          <w:rFonts w:ascii="Times New Roman"/>
          <w:b w:val="false"/>
          <w:i w:val="false"/>
          <w:color w:val="000000"/>
          <w:sz w:val="28"/>
        </w:rPr>
        <w:t xml:space="preserve"> — после принятия мер по спрямлению и после срабатывания перетоков.</w:t>
      </w:r>
    </w:p>
    <w:bookmarkEnd w:id="6254"/>
    <w:bookmarkStart w:name="z6260" w:id="6255"/>
    <w:p>
      <w:pPr>
        <w:spacing w:after="0"/>
        <w:ind w:left="0"/>
        <w:jc w:val="both"/>
      </w:pPr>
      <w:r>
        <w:rPr>
          <w:rFonts w:ascii="Times New Roman"/>
          <w:b w:val="false"/>
          <w:i w:val="false"/>
          <w:color w:val="000000"/>
          <w:sz w:val="28"/>
        </w:rPr>
        <w:t>
      2043. Диаграмма статической устойчивости поврежденного судна имеет достаточную площадь участков с положительными плечами. При этом в конечной стадии затопления без учета срабатывания перетоков, а также после спрямления судна необходимо обеспечить протяженность участка диаграммы с положительными плечами (с учетом угла заливания) не менее 20</w:t>
      </w:r>
      <w:r>
        <w:rPr>
          <w:rFonts w:ascii="Times New Roman"/>
          <w:b w:val="false"/>
          <w:i w:val="false"/>
          <w:color w:val="000000"/>
          <w:vertAlign w:val="superscript"/>
        </w:rPr>
        <w:t>о</w:t>
      </w:r>
      <w:r>
        <w:rPr>
          <w:rFonts w:ascii="Times New Roman"/>
          <w:b w:val="false"/>
          <w:i w:val="false"/>
          <w:color w:val="000000"/>
          <w:sz w:val="28"/>
        </w:rPr>
        <w:t>. В качестве угла заливания следует принимать угол входа в воду отверстий, не имеющих водонепроницаемых или непроницаемых при воздействии моря закрытии, через которые вода распространяется в неповрежденные отсеки.</w:t>
      </w:r>
    </w:p>
    <w:bookmarkEnd w:id="6255"/>
    <w:bookmarkStart w:name="z6261" w:id="6256"/>
    <w:p>
      <w:pPr>
        <w:spacing w:after="0"/>
        <w:ind w:left="0"/>
        <w:jc w:val="both"/>
      </w:pPr>
      <w:r>
        <w:rPr>
          <w:rFonts w:ascii="Times New Roman"/>
          <w:b w:val="false"/>
          <w:i w:val="false"/>
          <w:color w:val="000000"/>
          <w:sz w:val="28"/>
        </w:rPr>
        <w:t>
      Значение максимального плеча диаграммы равна не менее 0,1 м в пределах указанной протяженности, то еесть в пределах до угла крена, равного статическому, плюс 20</w:t>
      </w:r>
      <w:r>
        <w:rPr>
          <w:rFonts w:ascii="Times New Roman"/>
          <w:b w:val="false"/>
          <w:i w:val="false"/>
          <w:color w:val="000000"/>
          <w:vertAlign w:val="superscript"/>
        </w:rPr>
        <w:t>о</w:t>
      </w:r>
      <w:r>
        <w:rPr>
          <w:rFonts w:ascii="Times New Roman"/>
          <w:b w:val="false"/>
          <w:i w:val="false"/>
          <w:color w:val="000000"/>
          <w:sz w:val="28"/>
        </w:rPr>
        <w:t>.</w:t>
      </w:r>
    </w:p>
    <w:bookmarkEnd w:id="6256"/>
    <w:bookmarkStart w:name="z6262" w:id="6257"/>
    <w:p>
      <w:pPr>
        <w:spacing w:after="0"/>
        <w:ind w:left="0"/>
        <w:jc w:val="both"/>
      </w:pPr>
      <w:r>
        <w:rPr>
          <w:rFonts w:ascii="Times New Roman"/>
          <w:b w:val="false"/>
          <w:i w:val="false"/>
          <w:color w:val="000000"/>
          <w:sz w:val="28"/>
        </w:rPr>
        <w:t>
      Площадь участка диаграммы с положительными плечами в пределах указанной протяженности должна быть не менее 0,0175 м-рад.</w:t>
      </w:r>
    </w:p>
    <w:bookmarkEnd w:id="6257"/>
    <w:bookmarkStart w:name="z6263" w:id="6258"/>
    <w:p>
      <w:pPr>
        <w:spacing w:after="0"/>
        <w:ind w:left="0"/>
        <w:jc w:val="both"/>
      </w:pPr>
      <w:r>
        <w:rPr>
          <w:rFonts w:ascii="Times New Roman"/>
          <w:b w:val="false"/>
          <w:i w:val="false"/>
          <w:color w:val="000000"/>
          <w:sz w:val="28"/>
        </w:rPr>
        <w:t>
      В промежуточных стадиях затопления максимальное плечо диаграммы статической остойчивости - не менее 0,05 м, а протяженность положительной ее части — не менее 7</w:t>
      </w:r>
      <w:r>
        <w:rPr>
          <w:rFonts w:ascii="Times New Roman"/>
          <w:b w:val="false"/>
          <w:i w:val="false"/>
          <w:color w:val="000000"/>
          <w:vertAlign w:val="superscript"/>
        </w:rPr>
        <w:t>о</w:t>
      </w:r>
      <w:r>
        <w:rPr>
          <w:rFonts w:ascii="Times New Roman"/>
          <w:b w:val="false"/>
          <w:i w:val="false"/>
          <w:color w:val="000000"/>
          <w:sz w:val="28"/>
        </w:rPr>
        <w:t>.</w:t>
      </w:r>
    </w:p>
    <w:bookmarkEnd w:id="6258"/>
    <w:bookmarkStart w:name="z6264" w:id="6259"/>
    <w:p>
      <w:pPr>
        <w:spacing w:after="0"/>
        <w:ind w:left="0"/>
        <w:jc w:val="both"/>
      </w:pPr>
      <w:r>
        <w:rPr>
          <w:rFonts w:ascii="Times New Roman"/>
          <w:b w:val="false"/>
          <w:i w:val="false"/>
          <w:color w:val="000000"/>
          <w:sz w:val="28"/>
        </w:rPr>
        <w:t>
      2044. Аварийная ватерлиния до, в процессе и после спрямления проходит по крайней мере на 0,3 м или 0,1 + (L</w:t>
      </w:r>
      <w:r>
        <w:rPr>
          <w:rFonts w:ascii="Times New Roman"/>
          <w:b w:val="false"/>
          <w:i w:val="false"/>
          <w:color w:val="000000"/>
          <w:vertAlign w:val="subscript"/>
        </w:rPr>
        <w:t>1</w:t>
      </w:r>
      <w:r>
        <w:rPr>
          <w:rFonts w:ascii="Times New Roman"/>
          <w:b w:val="false"/>
          <w:i w:val="false"/>
          <w:color w:val="000000"/>
          <w:sz w:val="28"/>
        </w:rPr>
        <w:t xml:space="preserve"> —10)/150 м (в зависимости от того, что меньше) ниже отверстий в переборках, палубах и бортах, через которые возможно дальнейшее распространение воды по судну. Под указанными отверстиями понимаются отверстия воздушных и вентиляционных труб, а также вырезы, закрываемые непроницаемыми при воздействии моря дверями и крышками.</w:t>
      </w:r>
    </w:p>
    <w:bookmarkEnd w:id="6259"/>
    <w:bookmarkStart w:name="z6265" w:id="6260"/>
    <w:p>
      <w:pPr>
        <w:spacing w:after="0"/>
        <w:ind w:left="0"/>
        <w:jc w:val="both"/>
      </w:pPr>
      <w:r>
        <w:rPr>
          <w:rFonts w:ascii="Times New Roman"/>
          <w:b w:val="false"/>
          <w:i w:val="false"/>
          <w:color w:val="000000"/>
          <w:sz w:val="28"/>
        </w:rPr>
        <w:t>
      К ним не относятся:</w:t>
      </w:r>
    </w:p>
    <w:bookmarkEnd w:id="6260"/>
    <w:bookmarkStart w:name="z6266" w:id="6261"/>
    <w:p>
      <w:pPr>
        <w:spacing w:after="0"/>
        <w:ind w:left="0"/>
        <w:jc w:val="both"/>
      </w:pPr>
      <w:r>
        <w:rPr>
          <w:rFonts w:ascii="Times New Roman"/>
          <w:b w:val="false"/>
          <w:i w:val="false"/>
          <w:color w:val="000000"/>
          <w:sz w:val="28"/>
        </w:rPr>
        <w:t>
      1) глухие (неоткрывающегося типа) бортовые и палубные иллюминаторы;</w:t>
      </w:r>
    </w:p>
    <w:bookmarkEnd w:id="6261"/>
    <w:bookmarkStart w:name="z6267" w:id="6262"/>
    <w:p>
      <w:pPr>
        <w:spacing w:after="0"/>
        <w:ind w:left="0"/>
        <w:jc w:val="both"/>
      </w:pPr>
      <w:r>
        <w:rPr>
          <w:rFonts w:ascii="Times New Roman"/>
          <w:b w:val="false"/>
          <w:i w:val="false"/>
          <w:color w:val="000000"/>
          <w:sz w:val="28"/>
        </w:rPr>
        <w:t>
      2) горловины, закрываемые крышками на часто расставленных болтах;</w:t>
      </w:r>
    </w:p>
    <w:bookmarkEnd w:id="6262"/>
    <w:bookmarkStart w:name="z6268" w:id="6263"/>
    <w:p>
      <w:pPr>
        <w:spacing w:after="0"/>
        <w:ind w:left="0"/>
        <w:jc w:val="both"/>
      </w:pPr>
      <w:r>
        <w:rPr>
          <w:rFonts w:ascii="Times New Roman"/>
          <w:b w:val="false"/>
          <w:i w:val="false"/>
          <w:color w:val="000000"/>
          <w:sz w:val="28"/>
        </w:rPr>
        <w:t>
      3) люки грузовых танков на наливных судах;</w:t>
      </w:r>
    </w:p>
    <w:bookmarkEnd w:id="6263"/>
    <w:bookmarkStart w:name="z6269" w:id="6264"/>
    <w:p>
      <w:pPr>
        <w:spacing w:after="0"/>
        <w:ind w:left="0"/>
        <w:jc w:val="both"/>
      </w:pPr>
      <w:r>
        <w:rPr>
          <w:rFonts w:ascii="Times New Roman"/>
          <w:b w:val="false"/>
          <w:i w:val="false"/>
          <w:color w:val="000000"/>
          <w:sz w:val="28"/>
        </w:rPr>
        <w:t>
      4) дистанционно управляемые двери скользящего типа, снабженные индикацией водонепроницаемые двери (за исключением судов, указанных в подпунктах 2), 5), 6) и 8) пункта 2058 настоящих Правил) и крышки люков для доступа, которые обычно закрыты в море;</w:t>
      </w:r>
    </w:p>
    <w:bookmarkEnd w:id="6264"/>
    <w:bookmarkStart w:name="z6270" w:id="6265"/>
    <w:p>
      <w:pPr>
        <w:spacing w:after="0"/>
        <w:ind w:left="0"/>
        <w:jc w:val="both"/>
      </w:pPr>
      <w:r>
        <w:rPr>
          <w:rFonts w:ascii="Times New Roman"/>
          <w:b w:val="false"/>
          <w:i w:val="false"/>
          <w:color w:val="000000"/>
          <w:sz w:val="28"/>
        </w:rPr>
        <w:t>
      5) вырезы в переборках деления на отсеки, предназначенные для проезда колесной техники во время грузовых операций, закрываемые на все время рейса прочными водонепроницаемыми закрытиями. Такие вырезы допускаются только на накатных судах.</w:t>
      </w:r>
    </w:p>
    <w:bookmarkEnd w:id="6265"/>
    <w:bookmarkStart w:name="z6271" w:id="6266"/>
    <w:p>
      <w:pPr>
        <w:spacing w:after="0"/>
        <w:ind w:left="0"/>
        <w:jc w:val="both"/>
      </w:pPr>
      <w:r>
        <w:rPr>
          <w:rFonts w:ascii="Times New Roman"/>
          <w:b w:val="false"/>
          <w:i w:val="false"/>
          <w:color w:val="000000"/>
          <w:sz w:val="28"/>
        </w:rPr>
        <w:t>
      При этом расположение и устройство закрытий вырезов отвечает требованиям подраздела 4 раздела 5 настоящих Правил.</w:t>
      </w:r>
    </w:p>
    <w:bookmarkEnd w:id="6266"/>
    <w:bookmarkStart w:name="z6272" w:id="6267"/>
    <w:p>
      <w:pPr>
        <w:spacing w:after="0"/>
        <w:ind w:left="0"/>
        <w:jc w:val="both"/>
      </w:pPr>
      <w:r>
        <w:rPr>
          <w:rFonts w:ascii="Times New Roman"/>
          <w:b w:val="false"/>
          <w:i w:val="false"/>
          <w:color w:val="000000"/>
          <w:sz w:val="28"/>
        </w:rPr>
        <w:t>
      Расположение помещений аварийных источников электрической энергии отвечает требованиям пункта 5747 настоящих Правил.</w:t>
      </w:r>
    </w:p>
    <w:bookmarkEnd w:id="6267"/>
    <w:bookmarkStart w:name="z6273" w:id="6268"/>
    <w:p>
      <w:pPr>
        <w:spacing w:after="0"/>
        <w:ind w:left="0"/>
        <w:jc w:val="both"/>
      </w:pPr>
      <w:r>
        <w:rPr>
          <w:rFonts w:ascii="Times New Roman"/>
          <w:b w:val="false"/>
          <w:i w:val="false"/>
          <w:color w:val="000000"/>
          <w:sz w:val="28"/>
        </w:rPr>
        <w:t>
      2045 Для грузовых судов допускается вход в воду палубы переборок и даже открытой палубы.</w:t>
      </w:r>
    </w:p>
    <w:bookmarkEnd w:id="6268"/>
    <w:bookmarkStart w:name="z6274" w:id="6269"/>
    <w:p>
      <w:pPr>
        <w:spacing w:after="0"/>
        <w:ind w:left="0"/>
        <w:jc w:val="both"/>
      </w:pPr>
      <w:r>
        <w:rPr>
          <w:rFonts w:ascii="Times New Roman"/>
          <w:b w:val="false"/>
          <w:i w:val="false"/>
          <w:color w:val="000000"/>
          <w:sz w:val="28"/>
        </w:rPr>
        <w:t>
      2046. Требования пунктов 2041 - 2045 настоящих Правил применяются к судам, указанным в параграфе 4 настоящей главы, с учетом дополнительных требований к посадке и остойчивости, специфических для каждого типа судов.</w:t>
      </w:r>
    </w:p>
    <w:bookmarkEnd w:id="6269"/>
    <w:bookmarkStart w:name="z6275" w:id="6270"/>
    <w:p>
      <w:pPr>
        <w:spacing w:after="0"/>
        <w:ind w:left="0"/>
        <w:jc w:val="both"/>
      </w:pPr>
      <w:r>
        <w:rPr>
          <w:rFonts w:ascii="Times New Roman"/>
          <w:b w:val="false"/>
          <w:i w:val="false"/>
          <w:color w:val="000000"/>
          <w:sz w:val="28"/>
        </w:rPr>
        <w:t>
      Для судов, не указанных в параграфе 4 настоящей главы, требования пунктов 2041 – 2045 настоящих Правил применяются, если в символе класса такого судна, по желанию судовладельца, предусматривается знак деления на отсеки.</w:t>
      </w:r>
    </w:p>
    <w:bookmarkEnd w:id="6270"/>
    <w:bookmarkStart w:name="z6276" w:id="6271"/>
    <w:p>
      <w:pPr>
        <w:spacing w:after="0"/>
        <w:ind w:left="0"/>
        <w:jc w:val="left"/>
      </w:pPr>
      <w:r>
        <w:rPr>
          <w:rFonts w:ascii="Times New Roman"/>
          <w:b/>
          <w:i w:val="false"/>
          <w:color w:val="000000"/>
        </w:rPr>
        <w:t xml:space="preserve"> Параграф 4. Дополнительные требования</w:t>
      </w:r>
      <w:r>
        <w:br/>
      </w:r>
      <w:r>
        <w:rPr>
          <w:rFonts w:ascii="Times New Roman"/>
          <w:b/>
          <w:i w:val="false"/>
          <w:color w:val="000000"/>
        </w:rPr>
        <w:t>к посадке и остойчивости поврежденного судна</w:t>
      </w:r>
    </w:p>
    <w:bookmarkEnd w:id="6271"/>
    <w:bookmarkStart w:name="z6277" w:id="6272"/>
    <w:p>
      <w:pPr>
        <w:spacing w:after="0"/>
        <w:ind w:left="0"/>
        <w:jc w:val="both"/>
      </w:pPr>
      <w:r>
        <w:rPr>
          <w:rFonts w:ascii="Times New Roman"/>
          <w:b w:val="false"/>
          <w:i w:val="false"/>
          <w:color w:val="000000"/>
          <w:sz w:val="28"/>
        </w:rPr>
        <w:t>
      2047. Накатные суда, независимо от их длины, если на них предусматривается перевозка колесной техники с сопровождающим ее персоналом в количестве более 12 человек, включая в это число пассажиров (если они есть), в отношении всех требований к делению на отсеки приравниваются к пассажирским с отступлением, указанным в подпункте 5) пункта 2044 настоящих Правил, если оно допускается пунктом 1315 настоящих Правил.</w:t>
      </w:r>
    </w:p>
    <w:bookmarkEnd w:id="6272"/>
    <w:bookmarkStart w:name="z6278" w:id="6273"/>
    <w:p>
      <w:pPr>
        <w:spacing w:after="0"/>
        <w:ind w:left="0"/>
        <w:jc w:val="both"/>
      </w:pPr>
      <w:r>
        <w:rPr>
          <w:rFonts w:ascii="Times New Roman"/>
          <w:b w:val="false"/>
          <w:i w:val="false"/>
          <w:color w:val="000000"/>
          <w:sz w:val="28"/>
        </w:rPr>
        <w:t>
      2048. Число смежных отсеков, при затоплении которых выполняются требования параграфа 3 настоящей главы к остойчивости поврежденного судна, приведено в приложении 243 настоящих Правил.</w:t>
      </w:r>
    </w:p>
    <w:bookmarkEnd w:id="6273"/>
    <w:bookmarkStart w:name="z6279" w:id="6274"/>
    <w:p>
      <w:pPr>
        <w:spacing w:after="0"/>
        <w:ind w:left="0"/>
        <w:jc w:val="both"/>
      </w:pPr>
      <w:r>
        <w:rPr>
          <w:rFonts w:ascii="Times New Roman"/>
          <w:b w:val="false"/>
          <w:i w:val="false"/>
          <w:color w:val="000000"/>
          <w:sz w:val="28"/>
        </w:rPr>
        <w:t xml:space="preserve">
      2049. Ледоколы длиной </w:t>
      </w:r>
      <w:r>
        <w:rPr>
          <w:rFonts w:ascii="Times New Roman"/>
          <w:b w:val="false"/>
          <w:i/>
          <w:color w:val="000000"/>
          <w:sz w:val="28"/>
        </w:rPr>
        <w:t>L</w:t>
      </w:r>
      <w:r>
        <w:rPr>
          <w:rFonts w:ascii="Times New Roman"/>
          <w:b w:val="false"/>
          <w:i w:val="false"/>
          <w:color w:val="000000"/>
          <w:sz w:val="28"/>
        </w:rPr>
        <w:t xml:space="preserve"> ± от 50 до 75 м в районах, где имеется двойной борт, отвечают требованиям параграфа 3 настоящей главы при затоплении одного отсека. В символ класса таких судов вносится знак деления на отсеки Ш.</w:t>
      </w:r>
    </w:p>
    <w:bookmarkEnd w:id="6274"/>
    <w:bookmarkStart w:name="z6280" w:id="6275"/>
    <w:p>
      <w:pPr>
        <w:spacing w:after="0"/>
        <w:ind w:left="0"/>
        <w:jc w:val="both"/>
      </w:pPr>
      <w:r>
        <w:rPr>
          <w:rFonts w:ascii="Times New Roman"/>
          <w:b w:val="false"/>
          <w:i w:val="false"/>
          <w:color w:val="000000"/>
          <w:sz w:val="28"/>
        </w:rPr>
        <w:t>
      2050. Суда специального назначения со специальным персоналом на борту более 200 человек отвечают требованиям настоящего раздела, относящимся к пассажирским судам с тем же числом людей на борту.</w:t>
      </w:r>
    </w:p>
    <w:bookmarkEnd w:id="6275"/>
    <w:bookmarkStart w:name="z6281" w:id="6276"/>
    <w:p>
      <w:pPr>
        <w:spacing w:after="0"/>
        <w:ind w:left="0"/>
        <w:jc w:val="both"/>
      </w:pPr>
      <w:r>
        <w:rPr>
          <w:rFonts w:ascii="Times New Roman"/>
          <w:b w:val="false"/>
          <w:i w:val="false"/>
          <w:color w:val="000000"/>
          <w:sz w:val="28"/>
        </w:rPr>
        <w:t xml:space="preserve">
      2051. Суда специального назначения со специальным персоналом на борту более 50 человек, но не более 200 человек, отвечают требованиям параграфа 3 настоящей главы при затоплении одного любого отсека. Кроме того, такие суда длиной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100 м отвечают требованиям параграфа 3 настоящей главы при получении носовой пробоины протяженностью: 0,08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+13 м при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200 м, 0,03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+ 13 м при 200 м &lt;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267 м, 21 м при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&gt; 267 м. При несимметричном затоплении вследствие получения носовой пробоины допускается угол крена 12</w:t>
      </w:r>
      <w:r>
        <w:rPr>
          <w:rFonts w:ascii="Times New Roman"/>
          <w:b w:val="false"/>
          <w:i w:val="false"/>
          <w:color w:val="000000"/>
          <w:vertAlign w:val="superscript"/>
        </w:rPr>
        <w:t>o</w:t>
      </w:r>
      <w:r>
        <w:rPr>
          <w:rFonts w:ascii="Times New Roman"/>
          <w:b w:val="false"/>
          <w:i w:val="false"/>
          <w:color w:val="000000"/>
          <w:sz w:val="28"/>
        </w:rPr>
        <w:t>.</w:t>
      </w:r>
    </w:p>
    <w:bookmarkEnd w:id="6276"/>
    <w:bookmarkStart w:name="z6282" w:id="6277"/>
    <w:p>
      <w:pPr>
        <w:spacing w:after="0"/>
        <w:ind w:left="0"/>
        <w:jc w:val="both"/>
      </w:pPr>
      <w:r>
        <w:rPr>
          <w:rFonts w:ascii="Times New Roman"/>
          <w:b w:val="false"/>
          <w:i w:val="false"/>
          <w:color w:val="000000"/>
          <w:sz w:val="28"/>
        </w:rPr>
        <w:t>
      2052. Суда специального назначения со специальным персоналом на борту 50 человек и менее отвечают требованиям параграфа 3 настоящей главы при затоплении одного любого отсека, за исключением машинного отделения.</w:t>
      </w:r>
    </w:p>
    <w:bookmarkEnd w:id="6277"/>
    <w:bookmarkStart w:name="z6283" w:id="6278"/>
    <w:p>
      <w:pPr>
        <w:spacing w:after="0"/>
        <w:ind w:left="0"/>
        <w:jc w:val="both"/>
      </w:pPr>
      <w:r>
        <w:rPr>
          <w:rFonts w:ascii="Times New Roman"/>
          <w:b w:val="false"/>
          <w:i w:val="false"/>
          <w:color w:val="000000"/>
          <w:sz w:val="28"/>
        </w:rPr>
        <w:t xml:space="preserve">
      2053. Требования к делению на отсеки судов специального назначения со специальным персоналом на борту 50 человек и менее при длине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50 м и судов специального назначения валовой вместимостью менее 500 являются в каждом случае предметом специального рассмотрения Регистром судоходства.</w:t>
      </w:r>
    </w:p>
    <w:bookmarkEnd w:id="6278"/>
    <w:bookmarkStart w:name="z6284" w:id="6279"/>
    <w:p>
      <w:pPr>
        <w:spacing w:after="0"/>
        <w:ind w:left="0"/>
        <w:jc w:val="both"/>
      </w:pPr>
      <w:r>
        <w:rPr>
          <w:rFonts w:ascii="Times New Roman"/>
          <w:b w:val="false"/>
          <w:i w:val="false"/>
          <w:color w:val="000000"/>
          <w:sz w:val="28"/>
        </w:rPr>
        <w:t>
      2054. Для судов специального назначения при несимметричном затоплении одного отсека угол крена после принятия мер по спрямлению не должен превышать 7</w:t>
      </w:r>
      <w:r>
        <w:rPr>
          <w:rFonts w:ascii="Times New Roman"/>
          <w:b w:val="false"/>
          <w:i w:val="false"/>
          <w:color w:val="000000"/>
          <w:vertAlign w:val="superscript"/>
        </w:rPr>
        <w:t>o</w:t>
      </w:r>
      <w:r>
        <w:rPr>
          <w:rFonts w:ascii="Times New Roman"/>
          <w:b w:val="false"/>
          <w:i w:val="false"/>
          <w:color w:val="000000"/>
          <w:sz w:val="28"/>
        </w:rPr>
        <w:t>.</w:t>
      </w:r>
    </w:p>
    <w:bookmarkEnd w:id="6279"/>
    <w:bookmarkStart w:name="z6285" w:id="6280"/>
    <w:p>
      <w:pPr>
        <w:spacing w:after="0"/>
        <w:ind w:left="0"/>
        <w:jc w:val="both"/>
      </w:pPr>
      <w:r>
        <w:rPr>
          <w:rFonts w:ascii="Times New Roman"/>
          <w:b w:val="false"/>
          <w:i w:val="false"/>
          <w:color w:val="000000"/>
          <w:sz w:val="28"/>
        </w:rPr>
        <w:t>
      2055. Буксиры, земснаряды, спасательные суда и плавучие маяки.</w:t>
      </w:r>
    </w:p>
    <w:bookmarkEnd w:id="6280"/>
    <w:bookmarkStart w:name="z6286" w:id="6281"/>
    <w:p>
      <w:pPr>
        <w:spacing w:after="0"/>
        <w:ind w:left="0"/>
        <w:jc w:val="both"/>
      </w:pPr>
      <w:r>
        <w:rPr>
          <w:rFonts w:ascii="Times New Roman"/>
          <w:b w:val="false"/>
          <w:i w:val="false"/>
          <w:color w:val="000000"/>
          <w:sz w:val="28"/>
        </w:rPr>
        <w:t>
      2056. Требования параграфа 3 настоящей главы к посадке и остойчивости поврежденного судна выполняются при затоплении одного любого отсека для:</w:t>
      </w:r>
    </w:p>
    <w:bookmarkEnd w:id="6281"/>
    <w:bookmarkStart w:name="z6287" w:id="6282"/>
    <w:p>
      <w:pPr>
        <w:spacing w:after="0"/>
        <w:ind w:left="0"/>
        <w:jc w:val="both"/>
      </w:pPr>
      <w:r>
        <w:rPr>
          <w:rFonts w:ascii="Times New Roman"/>
          <w:b w:val="false"/>
          <w:i w:val="false"/>
          <w:color w:val="000000"/>
          <w:sz w:val="28"/>
        </w:rPr>
        <w:t xml:space="preserve">
      1) буксиров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40 м; земснарядов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40 м; спасательных судов и плавмаяков — независимо от длины;</w:t>
      </w:r>
    </w:p>
    <w:bookmarkEnd w:id="6282"/>
    <w:bookmarkStart w:name="z6288" w:id="6283"/>
    <w:p>
      <w:pPr>
        <w:spacing w:after="0"/>
        <w:ind w:left="0"/>
        <w:jc w:val="both"/>
      </w:pPr>
      <w:r>
        <w:rPr>
          <w:rFonts w:ascii="Times New Roman"/>
          <w:b w:val="false"/>
          <w:i w:val="false"/>
          <w:color w:val="000000"/>
          <w:sz w:val="28"/>
        </w:rPr>
        <w:t xml:space="preserve">
      2) трюмных земснарядов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60 м.</w:t>
      </w:r>
    </w:p>
    <w:bookmarkEnd w:id="6283"/>
    <w:bookmarkStart w:name="z6289" w:id="6284"/>
    <w:p>
      <w:pPr>
        <w:spacing w:after="0"/>
        <w:ind w:left="0"/>
        <w:jc w:val="both"/>
      </w:pPr>
      <w:r>
        <w:rPr>
          <w:rFonts w:ascii="Times New Roman"/>
          <w:b w:val="false"/>
          <w:i w:val="false"/>
          <w:color w:val="000000"/>
          <w:sz w:val="28"/>
        </w:rPr>
        <w:t>
      2057. Черпаковые земснаряды отвечают требованиям параграфа 3 настоящей главы также при затоплении одного отсека в районе черпаковой прорези. Глубина повреждения при этом принимается равной 0,76 м.</w:t>
      </w:r>
    </w:p>
    <w:bookmarkEnd w:id="6284"/>
    <w:bookmarkStart w:name="z6290" w:id="6285"/>
    <w:p>
      <w:pPr>
        <w:spacing w:after="0"/>
        <w:ind w:left="0"/>
        <w:jc w:val="both"/>
      </w:pPr>
      <w:r>
        <w:rPr>
          <w:rFonts w:ascii="Times New Roman"/>
          <w:b w:val="false"/>
          <w:i w:val="false"/>
          <w:color w:val="000000"/>
          <w:sz w:val="28"/>
        </w:rPr>
        <w:t>
      2058. Для трюмных земснарядов и грунтоотвозных шаланд допускается не рассматривать случаи, соответствующие состоянию судна после вывалки грунта с одного борта.</w:t>
      </w:r>
    </w:p>
    <w:bookmarkEnd w:id="6285"/>
    <w:bookmarkStart w:name="z6291" w:id="6286"/>
    <w:p>
      <w:pPr>
        <w:spacing w:after="0"/>
        <w:ind w:left="0"/>
        <w:jc w:val="both"/>
      </w:pPr>
      <w:r>
        <w:rPr>
          <w:rFonts w:ascii="Times New Roman"/>
          <w:b w:val="false"/>
          <w:i w:val="false"/>
          <w:color w:val="000000"/>
          <w:sz w:val="28"/>
        </w:rPr>
        <w:t>
      2059. Для нефтеналивных судов и химовозов посадка и остойчивость поврежденного судна отвечает требованиям параграфа 3 настоящей главы как при повреждении борта, так и при повреждении днища.</w:t>
      </w:r>
    </w:p>
    <w:bookmarkEnd w:id="6286"/>
    <w:bookmarkStart w:name="z6292" w:id="6287"/>
    <w:p>
      <w:pPr>
        <w:spacing w:after="0"/>
        <w:ind w:left="0"/>
        <w:jc w:val="both"/>
      </w:pPr>
      <w:r>
        <w:rPr>
          <w:rFonts w:ascii="Times New Roman"/>
          <w:b w:val="false"/>
          <w:i w:val="false"/>
          <w:color w:val="000000"/>
          <w:sz w:val="28"/>
        </w:rPr>
        <w:t>
      2060. Размеры днищевых повреждений:</w:t>
      </w:r>
    </w:p>
    <w:bookmarkEnd w:id="6287"/>
    <w:bookmarkStart w:name="z6293" w:id="6288"/>
    <w:p>
      <w:pPr>
        <w:spacing w:after="0"/>
        <w:ind w:left="0"/>
        <w:jc w:val="both"/>
      </w:pPr>
      <w:r>
        <w:rPr>
          <w:rFonts w:ascii="Times New Roman"/>
          <w:b w:val="false"/>
          <w:i w:val="false"/>
          <w:color w:val="000000"/>
          <w:sz w:val="28"/>
        </w:rPr>
        <w:t xml:space="preserve">
      1) протяженность по длине </w:t>
      </w:r>
      <w:r>
        <w:rPr>
          <w:rFonts w:ascii="Times New Roman"/>
          <w:b w:val="false"/>
          <w:i/>
          <w:color w:val="000000"/>
          <w:sz w:val="28"/>
        </w:rPr>
        <w:t>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или 14,5 м (в зависимости от того, что меньше) на длине, равной 0,3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от носового перпендикуляра, и </w:t>
      </w:r>
      <w:r>
        <w:rPr>
          <w:rFonts w:ascii="Times New Roman"/>
          <w:b w:val="false"/>
          <w:i/>
          <w:color w:val="000000"/>
          <w:sz w:val="28"/>
        </w:rPr>
        <w:t>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или 5 м (в зависимости от того, что меньше) на остальной части длины судна;</w:t>
      </w:r>
    </w:p>
    <w:bookmarkEnd w:id="6288"/>
    <w:bookmarkStart w:name="z6294" w:id="6289"/>
    <w:p>
      <w:pPr>
        <w:spacing w:after="0"/>
        <w:ind w:left="0"/>
        <w:jc w:val="both"/>
      </w:pPr>
      <w:r>
        <w:rPr>
          <w:rFonts w:ascii="Times New Roman"/>
          <w:b w:val="false"/>
          <w:i w:val="false"/>
          <w:color w:val="000000"/>
          <w:sz w:val="28"/>
        </w:rPr>
        <w:t xml:space="preserve">
      2) протяженность по ширине </w:t>
      </w:r>
      <w:r>
        <w:rPr>
          <w:rFonts w:ascii="Times New Roman"/>
          <w:b w:val="false"/>
          <w:i/>
          <w:color w:val="000000"/>
          <w:sz w:val="28"/>
        </w:rPr>
        <w:t>В/6</w:t>
      </w:r>
      <w:r>
        <w:rPr>
          <w:rFonts w:ascii="Times New Roman"/>
          <w:b w:val="false"/>
          <w:i w:val="false"/>
          <w:color w:val="000000"/>
          <w:sz w:val="28"/>
        </w:rPr>
        <w:t xml:space="preserve"> или 10 м (в зависимости от того, что меньше) на длине, равной </w:t>
      </w:r>
      <w:r>
        <w:rPr>
          <w:rFonts w:ascii="Times New Roman"/>
          <w:b w:val="false"/>
          <w:i/>
          <w:color w:val="000000"/>
          <w:sz w:val="28"/>
        </w:rPr>
        <w:t>0,3L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от носового перпендикуляра, и </w:t>
      </w:r>
      <w:r>
        <w:rPr>
          <w:rFonts w:ascii="Times New Roman"/>
          <w:b w:val="false"/>
          <w:i/>
          <w:color w:val="000000"/>
          <w:sz w:val="28"/>
        </w:rPr>
        <w:t>В/6</w:t>
      </w:r>
      <w:r>
        <w:rPr>
          <w:rFonts w:ascii="Times New Roman"/>
          <w:b w:val="false"/>
          <w:i w:val="false"/>
          <w:color w:val="000000"/>
          <w:sz w:val="28"/>
        </w:rPr>
        <w:t xml:space="preserve"> или 5 м (в зависимости от того, что меньше) на остальной части длины судна;</w:t>
      </w:r>
    </w:p>
    <w:bookmarkEnd w:id="6289"/>
    <w:bookmarkStart w:name="z6295" w:id="6290"/>
    <w:p>
      <w:pPr>
        <w:spacing w:after="0"/>
        <w:ind w:left="0"/>
        <w:jc w:val="both"/>
      </w:pPr>
      <w:r>
        <w:rPr>
          <w:rFonts w:ascii="Times New Roman"/>
          <w:b w:val="false"/>
          <w:i w:val="false"/>
          <w:color w:val="000000"/>
          <w:sz w:val="28"/>
        </w:rPr>
        <w:t xml:space="preserve">
      3) протяженность по высоте, измеренная в диаметральной плоскости от теоретических обводов корпуса, </w:t>
      </w:r>
      <w:r>
        <w:rPr>
          <w:rFonts w:ascii="Times New Roman"/>
          <w:b w:val="false"/>
          <w:i/>
          <w:color w:val="000000"/>
          <w:sz w:val="28"/>
        </w:rPr>
        <w:t>В/5</w:t>
      </w:r>
      <w:r>
        <w:rPr>
          <w:rFonts w:ascii="Times New Roman"/>
          <w:b w:val="false"/>
          <w:i w:val="false"/>
          <w:color w:val="000000"/>
          <w:sz w:val="28"/>
        </w:rPr>
        <w:t xml:space="preserve"> или 6 м (в зависимости от того, что меньше).</w:t>
      </w:r>
    </w:p>
    <w:bookmarkEnd w:id="6290"/>
    <w:bookmarkStart w:name="z6296" w:id="6291"/>
    <w:p>
      <w:pPr>
        <w:spacing w:after="0"/>
        <w:ind w:left="0"/>
        <w:jc w:val="both"/>
      </w:pPr>
      <w:r>
        <w:rPr>
          <w:rFonts w:ascii="Times New Roman"/>
          <w:b w:val="false"/>
          <w:i w:val="false"/>
          <w:color w:val="000000"/>
          <w:sz w:val="28"/>
        </w:rPr>
        <w:t>
      2061. Для нефтеналивных судов дедвейтом 20000 т и более рассматривается разрушение наружной обшивки днища при касании грунта следующих размеров:</w:t>
      </w:r>
    </w:p>
    <w:bookmarkEnd w:id="6291"/>
    <w:bookmarkStart w:name="z6297" w:id="6292"/>
    <w:p>
      <w:pPr>
        <w:spacing w:after="0"/>
        <w:ind w:left="0"/>
        <w:jc w:val="both"/>
      </w:pPr>
      <w:r>
        <w:rPr>
          <w:rFonts w:ascii="Times New Roman"/>
          <w:b w:val="false"/>
          <w:i w:val="false"/>
          <w:color w:val="000000"/>
          <w:sz w:val="28"/>
        </w:rPr>
        <w:t>
      1) протяженность по длине 0,6</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от носового перпендикуляра для судов дедвейтом 75 000 т и более и 0,4</w:t>
      </w:r>
      <w:r>
        <w:rPr>
          <w:rFonts w:ascii="Times New Roman"/>
          <w:b w:val="false"/>
          <w:i/>
          <w:color w:val="000000"/>
          <w:sz w:val="28"/>
        </w:rPr>
        <w:t xml:space="preserve"> L</w:t>
      </w:r>
      <w:r>
        <w:rPr>
          <w:rFonts w:ascii="Times New Roman"/>
          <w:b w:val="false"/>
          <w:i w:val="false"/>
          <w:color w:val="000000"/>
          <w:vertAlign w:val="subscript"/>
        </w:rPr>
        <w:t>1</w:t>
      </w:r>
      <w:r>
        <w:rPr>
          <w:rFonts w:ascii="Times New Roman"/>
          <w:b w:val="false"/>
          <w:i w:val="false"/>
          <w:color w:val="000000"/>
          <w:sz w:val="28"/>
        </w:rPr>
        <w:t xml:space="preserve"> от носового перпендикуляра для судов дедвейтом менее 75 000 т;</w:t>
      </w:r>
    </w:p>
    <w:bookmarkEnd w:id="6292"/>
    <w:bookmarkStart w:name="z6298" w:id="6293"/>
    <w:p>
      <w:pPr>
        <w:spacing w:after="0"/>
        <w:ind w:left="0"/>
        <w:jc w:val="both"/>
      </w:pPr>
      <w:r>
        <w:rPr>
          <w:rFonts w:ascii="Times New Roman"/>
          <w:b w:val="false"/>
          <w:i w:val="false"/>
          <w:color w:val="000000"/>
          <w:sz w:val="28"/>
        </w:rPr>
        <w:t xml:space="preserve">
      2) протяженность по ширине </w:t>
      </w:r>
      <w:r>
        <w:rPr>
          <w:rFonts w:ascii="Times New Roman"/>
          <w:b w:val="false"/>
          <w:i/>
          <w:color w:val="000000"/>
          <w:sz w:val="28"/>
        </w:rPr>
        <w:t>В/3</w:t>
      </w:r>
      <w:r>
        <w:rPr>
          <w:rFonts w:ascii="Times New Roman"/>
          <w:b w:val="false"/>
          <w:i w:val="false"/>
          <w:color w:val="000000"/>
          <w:sz w:val="28"/>
        </w:rPr>
        <w:t xml:space="preserve"> в любом месте днища.</w:t>
      </w:r>
    </w:p>
    <w:bookmarkEnd w:id="6293"/>
    <w:bookmarkStart w:name="z6299" w:id="6294"/>
    <w:p>
      <w:pPr>
        <w:spacing w:after="0"/>
        <w:ind w:left="0"/>
        <w:jc w:val="both"/>
      </w:pPr>
      <w:r>
        <w:rPr>
          <w:rFonts w:ascii="Times New Roman"/>
          <w:b w:val="false"/>
          <w:i w:val="false"/>
          <w:color w:val="000000"/>
          <w:sz w:val="28"/>
        </w:rPr>
        <w:t>
      2062. Требования к посадке и остойчивости поврежденного судна выполняются при следующем расположении бортовых и днищевых повреждений:</w:t>
      </w:r>
    </w:p>
    <w:bookmarkEnd w:id="6294"/>
    <w:bookmarkStart w:name="z6300" w:id="6295"/>
    <w:p>
      <w:pPr>
        <w:spacing w:after="0"/>
        <w:ind w:left="0"/>
        <w:jc w:val="both"/>
      </w:pPr>
      <w:r>
        <w:rPr>
          <w:rFonts w:ascii="Times New Roman"/>
          <w:b w:val="false"/>
          <w:i w:val="false"/>
          <w:color w:val="000000"/>
          <w:sz w:val="28"/>
        </w:rPr>
        <w:t>
      1) у нефтеналивных судов:</w:t>
      </w:r>
    </w:p>
    <w:bookmarkEnd w:id="6295"/>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&gt; 225 м – в любом месте по длине судна;</w:t>
      </w:r>
    </w:p>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более 150, но не более 225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p>
      <w:pPr>
        <w:spacing w:after="0"/>
        <w:ind w:left="0"/>
        <w:jc w:val="both"/>
      </w:pPr>
      <w:r>
        <w:rPr>
          <w:rFonts w:ascii="Times New Roman"/>
          <w:b w:val="false"/>
          <w:i w:val="false"/>
          <w:color w:val="000000"/>
          <w:sz w:val="28"/>
        </w:rPr>
        <w:t>
      при длине L</w:t>
      </w:r>
      <w:r>
        <w:rPr>
          <w:rFonts w:ascii="Times New Roman"/>
          <w:b w:val="false"/>
          <w:i w:val="false"/>
          <w:color w:val="000000"/>
          <w:vertAlign w:val="subscript"/>
        </w:rPr>
        <w:t>1</w:t>
      </w:r>
      <w:r>
        <w:rPr>
          <w:rFonts w:ascii="Times New Roman"/>
          <w:b w:val="false"/>
          <w:i w:val="false"/>
          <w:color w:val="000000"/>
          <w:sz w:val="28"/>
        </w:rPr>
        <w:t xml:space="preserve">  &lt; 150 м – в любом месте по длине судна между соседними поперечными переборками, за исключением машинного отделения;</w:t>
      </w:r>
    </w:p>
    <w:p>
      <w:pPr>
        <w:spacing w:after="0"/>
        <w:ind w:left="0"/>
        <w:jc w:val="both"/>
      </w:pPr>
      <w:r>
        <w:rPr>
          <w:rFonts w:ascii="Times New Roman"/>
          <w:b w:val="false"/>
          <w:i w:val="false"/>
          <w:color w:val="000000"/>
          <w:sz w:val="28"/>
        </w:rPr>
        <w:t>
      в случае перевозки веществ категории Y, подпадающих под положения приложения II к Конвенции МАРПОЛ-73/78 с поправками, как у химовозов типа 3;</w:t>
      </w:r>
    </w:p>
    <w:bookmarkStart w:name="z6305" w:id="6296"/>
    <w:p>
      <w:pPr>
        <w:spacing w:after="0"/>
        <w:ind w:left="0"/>
        <w:jc w:val="both"/>
      </w:pPr>
      <w:r>
        <w:rPr>
          <w:rFonts w:ascii="Times New Roman"/>
          <w:b w:val="false"/>
          <w:i w:val="false"/>
          <w:color w:val="000000"/>
          <w:sz w:val="28"/>
        </w:rPr>
        <w:t>
      2) у химовозов:</w:t>
      </w:r>
    </w:p>
    <w:bookmarkEnd w:id="6296"/>
    <w:bookmarkStart w:name="z6306" w:id="6297"/>
    <w:p>
      <w:pPr>
        <w:spacing w:after="0"/>
        <w:ind w:left="0"/>
        <w:jc w:val="both"/>
      </w:pPr>
      <w:r>
        <w:rPr>
          <w:rFonts w:ascii="Times New Roman"/>
          <w:b w:val="false"/>
          <w:i w:val="false"/>
          <w:color w:val="000000"/>
          <w:sz w:val="28"/>
        </w:rPr>
        <w:t>
      типа 1 — в любом месте по длине судна;</w:t>
      </w:r>
    </w:p>
    <w:bookmarkEnd w:id="6297"/>
    <w:bookmarkStart w:name="z6307" w:id="6298"/>
    <w:p>
      <w:pPr>
        <w:spacing w:after="0"/>
        <w:ind w:left="0"/>
        <w:jc w:val="both"/>
      </w:pPr>
      <w:r>
        <w:rPr>
          <w:rFonts w:ascii="Times New Roman"/>
          <w:b w:val="false"/>
          <w:i w:val="false"/>
          <w:color w:val="000000"/>
          <w:sz w:val="28"/>
        </w:rPr>
        <w:t xml:space="preserve">
      типа 2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&gt; 150 м — в любом месте по длине судна;</w:t>
      </w:r>
    </w:p>
    <w:bookmarkEnd w:id="6298"/>
    <w:bookmarkStart w:name="z6308" w:id="6299"/>
    <w:p>
      <w:pPr>
        <w:spacing w:after="0"/>
        <w:ind w:left="0"/>
        <w:jc w:val="both"/>
      </w:pPr>
      <w:r>
        <w:rPr>
          <w:rFonts w:ascii="Times New Roman"/>
          <w:b w:val="false"/>
          <w:i w:val="false"/>
          <w:color w:val="000000"/>
          <w:sz w:val="28"/>
        </w:rPr>
        <w:t xml:space="preserve">
      типа 2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150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6299"/>
    <w:bookmarkStart w:name="z6309" w:id="6300"/>
    <w:p>
      <w:pPr>
        <w:spacing w:after="0"/>
        <w:ind w:left="0"/>
        <w:jc w:val="both"/>
      </w:pPr>
      <w:r>
        <w:rPr>
          <w:rFonts w:ascii="Times New Roman"/>
          <w:b w:val="false"/>
          <w:i w:val="false"/>
          <w:color w:val="000000"/>
          <w:sz w:val="28"/>
        </w:rPr>
        <w:t xml:space="preserve">
      типа 3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&gt; 225 м — в любом месте по длине судна;</w:t>
      </w:r>
    </w:p>
    <w:bookmarkEnd w:id="6300"/>
    <w:bookmarkStart w:name="z6310" w:id="6301"/>
    <w:p>
      <w:pPr>
        <w:spacing w:after="0"/>
        <w:ind w:left="0"/>
        <w:jc w:val="both"/>
      </w:pPr>
      <w:r>
        <w:rPr>
          <w:rFonts w:ascii="Times New Roman"/>
          <w:b w:val="false"/>
          <w:i w:val="false"/>
          <w:color w:val="000000"/>
          <w:sz w:val="28"/>
        </w:rPr>
        <w:t xml:space="preserve">
      типа 3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125 — 225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6301"/>
    <w:bookmarkStart w:name="z6311" w:id="6302"/>
    <w:p>
      <w:pPr>
        <w:spacing w:after="0"/>
        <w:ind w:left="0"/>
        <w:jc w:val="both"/>
      </w:pPr>
      <w:r>
        <w:rPr>
          <w:rFonts w:ascii="Times New Roman"/>
          <w:b w:val="false"/>
          <w:i w:val="false"/>
          <w:color w:val="000000"/>
          <w:sz w:val="28"/>
        </w:rPr>
        <w:t xml:space="preserve">
      типа 3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&lt; 125 м — в любом месте по длине судна, за исключением машинного отделения, когда оно расположено в корме. Однако расчеты аварийной посадки и остойчивости судна при затоплении машинного отделения представляются Регистру судоходства на рассмотрение.</w:t>
      </w:r>
    </w:p>
    <w:bookmarkEnd w:id="6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2062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12" w:id="6303"/>
    <w:p>
      <w:pPr>
        <w:spacing w:after="0"/>
        <w:ind w:left="0"/>
        <w:jc w:val="both"/>
      </w:pPr>
      <w:r>
        <w:rPr>
          <w:rFonts w:ascii="Times New Roman"/>
          <w:b w:val="false"/>
          <w:i w:val="false"/>
          <w:color w:val="000000"/>
          <w:sz w:val="28"/>
        </w:rPr>
        <w:t>
      2063. Судам, у которых в соответствии с подпунктами 1) и 2) пункта 2062 настоящих Правил при затоплении машинного отделения не выполняются требования к аварийной посадке и остойчивости, знак деления на отсеки в символ класса не вносится.</w:t>
      </w:r>
    </w:p>
    <w:bookmarkEnd w:id="6303"/>
    <w:bookmarkStart w:name="z6313" w:id="6304"/>
    <w:p>
      <w:pPr>
        <w:spacing w:after="0"/>
        <w:ind w:left="0"/>
        <w:jc w:val="both"/>
      </w:pPr>
      <w:r>
        <w:rPr>
          <w:rFonts w:ascii="Times New Roman"/>
          <w:b w:val="false"/>
          <w:i w:val="false"/>
          <w:color w:val="000000"/>
          <w:sz w:val="28"/>
        </w:rPr>
        <w:t>
      2064. Угол крена в конечной стадии несимметричного затопления до принятия мер по спрямлению судна и до срабатывания перетоков не превышает 25</w:t>
      </w:r>
      <w:r>
        <w:rPr>
          <w:rFonts w:ascii="Times New Roman"/>
          <w:b w:val="false"/>
          <w:i w:val="false"/>
          <w:color w:val="000000"/>
          <w:vertAlign w:val="superscript"/>
        </w:rPr>
        <w:t>o</w:t>
      </w:r>
      <w:r>
        <w:rPr>
          <w:rFonts w:ascii="Times New Roman"/>
          <w:b w:val="false"/>
          <w:i w:val="false"/>
          <w:color w:val="000000"/>
          <w:sz w:val="28"/>
        </w:rPr>
        <w:t xml:space="preserve"> (или 30</w:t>
      </w:r>
      <w:r>
        <w:rPr>
          <w:rFonts w:ascii="Times New Roman"/>
          <w:b w:val="false"/>
          <w:i w:val="false"/>
          <w:color w:val="000000"/>
          <w:vertAlign w:val="superscript"/>
        </w:rPr>
        <w:t>o</w:t>
      </w:r>
      <w:r>
        <w:rPr>
          <w:rFonts w:ascii="Times New Roman"/>
          <w:b w:val="false"/>
          <w:i w:val="false"/>
          <w:color w:val="000000"/>
          <w:sz w:val="28"/>
        </w:rPr>
        <w:t>, если палуба переборок не входит в воду). После принятия мер по спрямлению судна угол крена не превышает 17</w:t>
      </w:r>
      <w:r>
        <w:rPr>
          <w:rFonts w:ascii="Times New Roman"/>
          <w:b w:val="false"/>
          <w:i w:val="false"/>
          <w:color w:val="000000"/>
          <w:vertAlign w:val="superscript"/>
        </w:rPr>
        <w:t>o</w:t>
      </w:r>
      <w:r>
        <w:rPr>
          <w:rFonts w:ascii="Times New Roman"/>
          <w:b w:val="false"/>
          <w:i w:val="false"/>
          <w:color w:val="000000"/>
          <w:sz w:val="28"/>
        </w:rPr>
        <w:t>.</w:t>
      </w:r>
    </w:p>
    <w:bookmarkEnd w:id="6304"/>
    <w:bookmarkStart w:name="z6314" w:id="6305"/>
    <w:p>
      <w:pPr>
        <w:spacing w:after="0"/>
        <w:ind w:left="0"/>
        <w:jc w:val="both"/>
      </w:pPr>
      <w:r>
        <w:rPr>
          <w:rFonts w:ascii="Times New Roman"/>
          <w:b w:val="false"/>
          <w:i w:val="false"/>
          <w:color w:val="000000"/>
          <w:sz w:val="28"/>
        </w:rPr>
        <w:t>
      2065. На газовозы распространяются требования пунктов 2059 – 2065 настоящих Правил с учетом следующих изменений:</w:t>
      </w:r>
    </w:p>
    <w:bookmarkEnd w:id="6305"/>
    <w:bookmarkStart w:name="z6315" w:id="6306"/>
    <w:p>
      <w:pPr>
        <w:spacing w:after="0"/>
        <w:ind w:left="0"/>
        <w:jc w:val="both"/>
      </w:pPr>
      <w:r>
        <w:rPr>
          <w:rFonts w:ascii="Times New Roman"/>
          <w:b w:val="false"/>
          <w:i w:val="false"/>
          <w:color w:val="000000"/>
          <w:sz w:val="28"/>
        </w:rPr>
        <w:t>
      1) требования к посадке и остойчивости поврежденного судна выполняются при указанном ниже расположении бортовых и днищевых повреждений:</w:t>
      </w:r>
    </w:p>
    <w:bookmarkEnd w:id="6306"/>
    <w:bookmarkStart w:name="z6316" w:id="6307"/>
    <w:p>
      <w:pPr>
        <w:spacing w:after="0"/>
        <w:ind w:left="0"/>
        <w:jc w:val="both"/>
      </w:pPr>
      <w:r>
        <w:rPr>
          <w:rFonts w:ascii="Times New Roman"/>
          <w:b w:val="false"/>
          <w:i w:val="false"/>
          <w:color w:val="000000"/>
          <w:sz w:val="28"/>
        </w:rPr>
        <w:t>
      у газовозов типа 1G — в любом месте по длине судна;</w:t>
      </w:r>
    </w:p>
    <w:bookmarkEnd w:id="6307"/>
    <w:bookmarkStart w:name="z6317" w:id="6308"/>
    <w:p>
      <w:pPr>
        <w:spacing w:after="0"/>
        <w:ind w:left="0"/>
        <w:jc w:val="both"/>
      </w:pPr>
      <w:r>
        <w:rPr>
          <w:rFonts w:ascii="Times New Roman"/>
          <w:b w:val="false"/>
          <w:i w:val="false"/>
          <w:color w:val="000000"/>
          <w:sz w:val="28"/>
        </w:rPr>
        <w:t xml:space="preserve">
      у газовозов типа 2G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&gt; 150 м — в любом месте по длине судна;</w:t>
      </w:r>
    </w:p>
    <w:bookmarkEnd w:id="6308"/>
    <w:bookmarkStart w:name="z6318" w:id="6309"/>
    <w:p>
      <w:pPr>
        <w:spacing w:after="0"/>
        <w:ind w:left="0"/>
        <w:jc w:val="both"/>
      </w:pPr>
      <w:r>
        <w:rPr>
          <w:rFonts w:ascii="Times New Roman"/>
          <w:b w:val="false"/>
          <w:i w:val="false"/>
          <w:color w:val="000000"/>
          <w:sz w:val="28"/>
        </w:rPr>
        <w:t xml:space="preserve">
      у газовозов типа 2G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50 м — в любом месте по длине судна, за исключением машинного отделения, когда оно расположено в корме. Такое машинное отделение рассматривается как отдельный затапливаемый отсек;</w:t>
      </w:r>
    </w:p>
    <w:bookmarkEnd w:id="6309"/>
    <w:bookmarkStart w:name="z6319" w:id="6310"/>
    <w:p>
      <w:pPr>
        <w:spacing w:after="0"/>
        <w:ind w:left="0"/>
        <w:jc w:val="both"/>
      </w:pPr>
      <w:r>
        <w:rPr>
          <w:rFonts w:ascii="Times New Roman"/>
          <w:b w:val="false"/>
          <w:i w:val="false"/>
          <w:color w:val="000000"/>
          <w:sz w:val="28"/>
        </w:rPr>
        <w:t>
      у газовозов типа 2PG — в любом месте по длине судна между переборками деления на отсеки;</w:t>
      </w:r>
    </w:p>
    <w:bookmarkEnd w:id="6310"/>
    <w:bookmarkStart w:name="z6320" w:id="6311"/>
    <w:p>
      <w:pPr>
        <w:spacing w:after="0"/>
        <w:ind w:left="0"/>
        <w:jc w:val="both"/>
      </w:pPr>
      <w:r>
        <w:rPr>
          <w:rFonts w:ascii="Times New Roman"/>
          <w:b w:val="false"/>
          <w:i w:val="false"/>
          <w:color w:val="000000"/>
          <w:sz w:val="28"/>
        </w:rPr>
        <w:t xml:space="preserve">
      у газовозов типа 3G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125 м — в любом месте по длине судна между переборками деления на отсеки;</w:t>
      </w:r>
    </w:p>
    <w:bookmarkEnd w:id="6311"/>
    <w:bookmarkStart w:name="z6321" w:id="6312"/>
    <w:p>
      <w:pPr>
        <w:spacing w:after="0"/>
        <w:ind w:left="0"/>
        <w:jc w:val="both"/>
      </w:pPr>
      <w:r>
        <w:rPr>
          <w:rFonts w:ascii="Times New Roman"/>
          <w:b w:val="false"/>
          <w:i w:val="false"/>
          <w:color w:val="000000"/>
          <w:sz w:val="28"/>
        </w:rPr>
        <w:t xml:space="preserve">
      у газовозов типа 3G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125 м — в любом месте по длине судна между переборками деления на отсеки, за исключением машинного отделения, когда оно расположено в корме. Однако расчеты аварийной посадки и остойчивости судна при затоплении машинного отделения представляются Регистру судоходства на рассмотрение. В случае невыполнения требований к аварийной посадке и остойчивости при затоплении машинного отделения знак деления на отсеки в символ класса не вносится;</w:t>
      </w:r>
    </w:p>
    <w:bookmarkEnd w:id="6312"/>
    <w:bookmarkStart w:name="z6322" w:id="6313"/>
    <w:p>
      <w:pPr>
        <w:spacing w:after="0"/>
        <w:ind w:left="0"/>
        <w:jc w:val="both"/>
      </w:pPr>
      <w:r>
        <w:rPr>
          <w:rFonts w:ascii="Times New Roman"/>
          <w:b w:val="false"/>
          <w:i w:val="false"/>
          <w:color w:val="000000"/>
          <w:sz w:val="28"/>
        </w:rPr>
        <w:t xml:space="preserve">
      2) протяженность днищевого повреждения по высоте принимается равной </w:t>
      </w:r>
      <w:r>
        <w:rPr>
          <w:rFonts w:ascii="Times New Roman"/>
          <w:b w:val="false"/>
          <w:i/>
          <w:color w:val="000000"/>
          <w:sz w:val="28"/>
        </w:rPr>
        <w:t>B/15</w:t>
      </w:r>
      <w:r>
        <w:rPr>
          <w:rFonts w:ascii="Times New Roman"/>
          <w:b w:val="false"/>
          <w:i w:val="false"/>
          <w:color w:val="000000"/>
          <w:sz w:val="28"/>
        </w:rPr>
        <w:t xml:space="preserve"> или 2 м, в зависимости от того, что меньше.</w:t>
      </w:r>
    </w:p>
    <w:bookmarkEnd w:id="6313"/>
    <w:bookmarkStart w:name="z6323" w:id="6314"/>
    <w:p>
      <w:pPr>
        <w:spacing w:after="0"/>
        <w:ind w:left="0"/>
        <w:jc w:val="both"/>
      </w:pPr>
      <w:r>
        <w:rPr>
          <w:rFonts w:ascii="Times New Roman"/>
          <w:b w:val="false"/>
          <w:i w:val="false"/>
          <w:color w:val="000000"/>
          <w:sz w:val="28"/>
        </w:rPr>
        <w:t>
      2066. Буровые суда отвечают требованиям параграфа 3 настоящей главы при затоплении одного любого отсека, если судовладелец не предъявляет более высоких требований.</w:t>
      </w:r>
    </w:p>
    <w:bookmarkEnd w:id="6314"/>
    <w:bookmarkStart w:name="z6324" w:id="6315"/>
    <w:p>
      <w:pPr>
        <w:spacing w:after="0"/>
        <w:ind w:left="0"/>
        <w:jc w:val="both"/>
      </w:pPr>
      <w:r>
        <w:rPr>
          <w:rFonts w:ascii="Times New Roman"/>
          <w:b w:val="false"/>
          <w:i w:val="false"/>
          <w:color w:val="000000"/>
          <w:sz w:val="28"/>
        </w:rPr>
        <w:t>
      Буровые суда имеют достаточный запас остойчивости в поврежденном состоянии, чтобы выдерживать ветровой кренящий момент, создаваемый ветром со скоростью 25,8 м/с (50 уз), действующим с любого направления. При этих условиях конечная ватерлиния после затопления проходит ниже нижней кромки любого отверстия, через которое забортная вода затопит неповрежденные отсеки.</w:t>
      </w:r>
    </w:p>
    <w:bookmarkEnd w:id="6315"/>
    <w:bookmarkStart w:name="z6325" w:id="6316"/>
    <w:p>
      <w:pPr>
        <w:spacing w:after="0"/>
        <w:ind w:left="0"/>
        <w:jc w:val="both"/>
      </w:pPr>
      <w:r>
        <w:rPr>
          <w:rFonts w:ascii="Times New Roman"/>
          <w:b w:val="false"/>
          <w:i w:val="false"/>
          <w:color w:val="000000"/>
          <w:sz w:val="28"/>
        </w:rPr>
        <w:t>
      2067. Аварийная посадка и остойчивость судов, перевозящих упакованное отработавшее ядерное топливо, плутоний и высокорадиоактивные отходы с общей активностью менее 4000 ТБк, является в каждом случае предметом специального рассмотрения Регистром судоходства.</w:t>
      </w:r>
    </w:p>
    <w:bookmarkEnd w:id="6316"/>
    <w:bookmarkStart w:name="z6326" w:id="6317"/>
    <w:p>
      <w:pPr>
        <w:spacing w:after="0"/>
        <w:ind w:left="0"/>
        <w:jc w:val="both"/>
      </w:pPr>
      <w:r>
        <w:rPr>
          <w:rFonts w:ascii="Times New Roman"/>
          <w:b w:val="false"/>
          <w:i w:val="false"/>
          <w:color w:val="000000"/>
          <w:sz w:val="28"/>
        </w:rPr>
        <w:t>
      Требования к аварийной посадке и остойчивости судов, перевозящих упакованное отработавшее ядерное топливо или высокорадиоактивные отходы с общей активностью менее 2 х 10</w:t>
      </w:r>
      <w:r>
        <w:rPr>
          <w:rFonts w:ascii="Times New Roman"/>
          <w:b w:val="false"/>
          <w:i w:val="false"/>
          <w:color w:val="000000"/>
          <w:vertAlign w:val="superscript"/>
        </w:rPr>
        <w:t>6</w:t>
      </w:r>
      <w:r>
        <w:rPr>
          <w:rFonts w:ascii="Times New Roman"/>
          <w:b w:val="false"/>
          <w:i w:val="false"/>
          <w:color w:val="000000"/>
          <w:sz w:val="28"/>
        </w:rPr>
        <w:t xml:space="preserve"> ТБк или же плутоний с общей активностью менее 2 х 10</w:t>
      </w:r>
      <w:r>
        <w:rPr>
          <w:rFonts w:ascii="Times New Roman"/>
          <w:b w:val="false"/>
          <w:i w:val="false"/>
          <w:color w:val="000000"/>
          <w:vertAlign w:val="superscript"/>
        </w:rPr>
        <w:t>5</w:t>
      </w:r>
      <w:r>
        <w:rPr>
          <w:rFonts w:ascii="Times New Roman"/>
          <w:b w:val="false"/>
          <w:i w:val="false"/>
          <w:color w:val="000000"/>
          <w:sz w:val="28"/>
        </w:rPr>
        <w:t xml:space="preserve"> ТБк, выполняются при получении расчетной пробоины в любом месте по длине судна между соседними поперечными переборками.</w:t>
      </w:r>
    </w:p>
    <w:bookmarkEnd w:id="6317"/>
    <w:bookmarkStart w:name="z6327" w:id="6318"/>
    <w:p>
      <w:pPr>
        <w:spacing w:after="0"/>
        <w:ind w:left="0"/>
        <w:jc w:val="both"/>
      </w:pPr>
      <w:r>
        <w:rPr>
          <w:rFonts w:ascii="Times New Roman"/>
          <w:b w:val="false"/>
          <w:i w:val="false"/>
          <w:color w:val="000000"/>
          <w:sz w:val="28"/>
        </w:rPr>
        <w:t>
      Требования к аварийной посадке и остойчивости судов, перевозящих упакованное отработавшее ядерное топливо или высокорадиоактивные отходы с общей активностью 2 х 10</w:t>
      </w:r>
      <w:r>
        <w:rPr>
          <w:rFonts w:ascii="Times New Roman"/>
          <w:b w:val="false"/>
          <w:i w:val="false"/>
          <w:color w:val="000000"/>
          <w:vertAlign w:val="superscript"/>
        </w:rPr>
        <w:t>6</w:t>
      </w:r>
      <w:r>
        <w:rPr>
          <w:rFonts w:ascii="Times New Roman"/>
          <w:b w:val="false"/>
          <w:i w:val="false"/>
          <w:color w:val="000000"/>
          <w:sz w:val="28"/>
        </w:rPr>
        <w:t xml:space="preserve"> ТБк и выше или же плутоний с общей активностью 2 х 10</w:t>
      </w:r>
      <w:r>
        <w:rPr>
          <w:rFonts w:ascii="Times New Roman"/>
          <w:b w:val="false"/>
          <w:i w:val="false"/>
          <w:color w:val="000000"/>
          <w:vertAlign w:val="superscript"/>
        </w:rPr>
        <w:t>5</w:t>
      </w:r>
      <w:r>
        <w:rPr>
          <w:rFonts w:ascii="Times New Roman"/>
          <w:b w:val="false"/>
          <w:i w:val="false"/>
          <w:color w:val="000000"/>
          <w:sz w:val="28"/>
        </w:rPr>
        <w:t xml:space="preserve"> ТБк и выше, выполняются при получении расчетной пробоины в любом месте по длине судна.</w:t>
      </w:r>
    </w:p>
    <w:bookmarkEnd w:id="6318"/>
    <w:bookmarkStart w:name="z6328" w:id="6319"/>
    <w:p>
      <w:pPr>
        <w:spacing w:after="0"/>
        <w:ind w:left="0"/>
        <w:jc w:val="both"/>
      </w:pPr>
      <w:r>
        <w:rPr>
          <w:rFonts w:ascii="Times New Roman"/>
          <w:b w:val="false"/>
          <w:i w:val="false"/>
          <w:color w:val="000000"/>
          <w:sz w:val="28"/>
        </w:rPr>
        <w:t>
      По согласованию с Регистром судоходства вероятностная оценка деления судна на отсеки рассматривается в качестве эквивалентной замены указанным требованиям.</w:t>
      </w:r>
    </w:p>
    <w:bookmarkEnd w:id="6319"/>
    <w:bookmarkStart w:name="z6329" w:id="6320"/>
    <w:p>
      <w:pPr>
        <w:spacing w:after="0"/>
        <w:ind w:left="0"/>
        <w:jc w:val="both"/>
      </w:pPr>
      <w:r>
        <w:rPr>
          <w:rFonts w:ascii="Times New Roman"/>
          <w:b w:val="false"/>
          <w:i w:val="false"/>
          <w:color w:val="000000"/>
          <w:sz w:val="28"/>
        </w:rPr>
        <w:t xml:space="preserve">
      2068. Требования настоящего раздела распространяются на все суда обеспечения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100 м.</w:t>
      </w:r>
    </w:p>
    <w:bookmarkEnd w:id="6320"/>
    <w:bookmarkStart w:name="z6330" w:id="6321"/>
    <w:p>
      <w:pPr>
        <w:spacing w:after="0"/>
        <w:ind w:left="0"/>
        <w:jc w:val="both"/>
      </w:pPr>
      <w:r>
        <w:rPr>
          <w:rFonts w:ascii="Times New Roman"/>
          <w:b w:val="false"/>
          <w:i w:val="false"/>
          <w:color w:val="000000"/>
          <w:sz w:val="28"/>
        </w:rPr>
        <w:t>
      Деление на отсеки и аварийная остойчивость судов обеспечения длиной более 100 м являются в каждом случае предметом специального рассмотрения Регистром судоходства.</w:t>
      </w:r>
    </w:p>
    <w:bookmarkEnd w:id="6321"/>
    <w:bookmarkStart w:name="z6331" w:id="6322"/>
    <w:p>
      <w:pPr>
        <w:spacing w:after="0"/>
        <w:ind w:left="0"/>
        <w:jc w:val="both"/>
      </w:pPr>
      <w:r>
        <w:rPr>
          <w:rFonts w:ascii="Times New Roman"/>
          <w:b w:val="false"/>
          <w:i w:val="false"/>
          <w:color w:val="000000"/>
          <w:sz w:val="28"/>
        </w:rPr>
        <w:t>
      2069. Размеры повреждений:</w:t>
      </w:r>
    </w:p>
    <w:bookmarkEnd w:id="6322"/>
    <w:bookmarkStart w:name="z6332" w:id="6323"/>
    <w:p>
      <w:pPr>
        <w:spacing w:after="0"/>
        <w:ind w:left="0"/>
        <w:jc w:val="both"/>
      </w:pPr>
      <w:r>
        <w:rPr>
          <w:rFonts w:ascii="Times New Roman"/>
          <w:b w:val="false"/>
          <w:i w:val="false"/>
          <w:color w:val="000000"/>
          <w:sz w:val="28"/>
        </w:rPr>
        <w:t xml:space="preserve">
      1) протяженность по длине для судов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&gt; 43 м составляет 3 м + 0,03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а для судов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43 м составляет 0,10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p>
    <w:bookmarkEnd w:id="6323"/>
    <w:bookmarkStart w:name="z6333" w:id="6324"/>
    <w:p>
      <w:pPr>
        <w:spacing w:after="0"/>
        <w:ind w:left="0"/>
        <w:jc w:val="both"/>
      </w:pPr>
      <w:r>
        <w:rPr>
          <w:rFonts w:ascii="Times New Roman"/>
          <w:b w:val="false"/>
          <w:i w:val="false"/>
          <w:color w:val="000000"/>
          <w:sz w:val="28"/>
        </w:rPr>
        <w:t>
      2) глубина повреждения принимается равной 0,76 м и измеряется от внутренней поверхности наружной обшивки под прямым углом к диаметральной плоскости на уровне ватерлинии, соответствующей осадке по летнюю грузовую марку;</w:t>
      </w:r>
    </w:p>
    <w:bookmarkEnd w:id="6324"/>
    <w:bookmarkStart w:name="z6334" w:id="6325"/>
    <w:p>
      <w:pPr>
        <w:spacing w:after="0"/>
        <w:ind w:left="0"/>
        <w:jc w:val="both"/>
      </w:pPr>
      <w:r>
        <w:rPr>
          <w:rFonts w:ascii="Times New Roman"/>
          <w:b w:val="false"/>
          <w:i w:val="false"/>
          <w:color w:val="000000"/>
          <w:sz w:val="28"/>
        </w:rPr>
        <w:t>
      3) протяженность по вертикали: от основной линии до уровня грузовой палубы или ее продолжения.</w:t>
      </w:r>
    </w:p>
    <w:bookmarkEnd w:id="6325"/>
    <w:bookmarkStart w:name="z6335" w:id="6326"/>
    <w:p>
      <w:pPr>
        <w:spacing w:after="0"/>
        <w:ind w:left="0"/>
        <w:jc w:val="both"/>
      </w:pPr>
      <w:r>
        <w:rPr>
          <w:rFonts w:ascii="Times New Roman"/>
          <w:b w:val="false"/>
          <w:i w:val="false"/>
          <w:color w:val="000000"/>
          <w:sz w:val="28"/>
        </w:rPr>
        <w:t>
      2070. Поперечная водонепроницаемая переборка, отстоящая от борта на расстояние 760 мм или более, измеренное под прямым углом к диаметральной плоскости на уровне ватерлинии, соответствующей осадке по летнюю грузовую марку, и соединяющая продольные водонепроницаемые переборки, учитывается как поперечная водонепроницаемая переборка в расчетах аварийной посадки и остойчивости.</w:t>
      </w:r>
    </w:p>
    <w:bookmarkEnd w:id="6326"/>
    <w:bookmarkStart w:name="z6336" w:id="6327"/>
    <w:p>
      <w:pPr>
        <w:spacing w:after="0"/>
        <w:ind w:left="0"/>
        <w:jc w:val="both"/>
      </w:pPr>
      <w:r>
        <w:rPr>
          <w:rFonts w:ascii="Times New Roman"/>
          <w:b w:val="false"/>
          <w:i w:val="false"/>
          <w:color w:val="000000"/>
          <w:sz w:val="28"/>
        </w:rPr>
        <w:t>
      2071. Если поперечная водонепроницаемая переборка с уступом, превышающим 3,0 м, установленная в двойном дне или околобортном пространстве, находится в пределах глубины повреждения, то смежные пространства двойного дна или бортовые танки, разделяемые данной переборкой с уступом, рассматриваются как поврежденные.</w:t>
      </w:r>
    </w:p>
    <w:bookmarkEnd w:id="6327"/>
    <w:bookmarkStart w:name="z6337" w:id="6328"/>
    <w:p>
      <w:pPr>
        <w:spacing w:after="0"/>
        <w:ind w:left="0"/>
        <w:jc w:val="both"/>
      </w:pPr>
      <w:r>
        <w:rPr>
          <w:rFonts w:ascii="Times New Roman"/>
          <w:b w:val="false"/>
          <w:i w:val="false"/>
          <w:color w:val="000000"/>
          <w:sz w:val="28"/>
        </w:rPr>
        <w:t>
      2072. Угол крена в конечной стадии несимметричного затопления до принятия мер по спрямлению и до срабатывания перетоков не превышает 15</w:t>
      </w:r>
      <w:r>
        <w:rPr>
          <w:rFonts w:ascii="Times New Roman"/>
          <w:b w:val="false"/>
          <w:i w:val="false"/>
          <w:color w:val="000000"/>
          <w:vertAlign w:val="superscript"/>
        </w:rPr>
        <w:t>o</w:t>
      </w:r>
      <w:r>
        <w:rPr>
          <w:rFonts w:ascii="Times New Roman"/>
          <w:b w:val="false"/>
          <w:i w:val="false"/>
          <w:color w:val="000000"/>
          <w:sz w:val="28"/>
        </w:rPr>
        <w:t xml:space="preserve"> (или 17</w:t>
      </w:r>
      <w:r>
        <w:rPr>
          <w:rFonts w:ascii="Times New Roman"/>
          <w:b w:val="false"/>
          <w:i w:val="false"/>
          <w:color w:val="000000"/>
          <w:vertAlign w:val="superscript"/>
        </w:rPr>
        <w:t>o</w:t>
      </w:r>
      <w:r>
        <w:rPr>
          <w:rFonts w:ascii="Times New Roman"/>
          <w:b w:val="false"/>
          <w:i w:val="false"/>
          <w:color w:val="000000"/>
          <w:sz w:val="28"/>
        </w:rPr>
        <w:t>, если палуба переборок не входит в воду).</w:t>
      </w:r>
    </w:p>
    <w:bookmarkEnd w:id="6328"/>
    <w:bookmarkStart w:name="z6338" w:id="6329"/>
    <w:p>
      <w:pPr>
        <w:spacing w:after="0"/>
        <w:ind w:left="0"/>
        <w:jc w:val="both"/>
      </w:pPr>
      <w:r>
        <w:rPr>
          <w:rFonts w:ascii="Times New Roman"/>
          <w:b w:val="false"/>
          <w:i w:val="false"/>
          <w:color w:val="000000"/>
          <w:sz w:val="28"/>
        </w:rPr>
        <w:t>
      2073. Число затапливаемых отсеков: требования параграфа 3 настоящей главы к остойчивости поврежденного судна выполняются при затоплении одного отсека в соответствии с размерами повреждений, указанных в подпунктах 1), 3) пункта 2039 и пункта 2068 настоящих Правил.</w:t>
      </w:r>
    </w:p>
    <w:bookmarkEnd w:id="6329"/>
    <w:bookmarkStart w:name="z6339" w:id="6330"/>
    <w:p>
      <w:pPr>
        <w:spacing w:after="0"/>
        <w:ind w:left="0"/>
        <w:jc w:val="both"/>
      </w:pPr>
      <w:r>
        <w:rPr>
          <w:rFonts w:ascii="Times New Roman"/>
          <w:b w:val="false"/>
          <w:i w:val="false"/>
          <w:color w:val="000000"/>
          <w:sz w:val="28"/>
        </w:rPr>
        <w:t>
      2074. Судам, отвечающим требованиям только пункта 2069 настоящих Правил, знак деления на отсеки в символ класса не вносится.</w:t>
      </w:r>
    </w:p>
    <w:bookmarkEnd w:id="6330"/>
    <w:bookmarkStart w:name="z6340" w:id="6331"/>
    <w:p>
      <w:pPr>
        <w:spacing w:after="0"/>
        <w:ind w:left="0"/>
        <w:jc w:val="both"/>
      </w:pPr>
      <w:r>
        <w:rPr>
          <w:rFonts w:ascii="Times New Roman"/>
          <w:b w:val="false"/>
          <w:i w:val="false"/>
          <w:color w:val="000000"/>
          <w:sz w:val="28"/>
        </w:rPr>
        <w:t>
      2075. По желанию судовладельца возможно чтобы судно обеспечения получило в символе класса знак деления на отсеки с указанием числа затапливаемых отсеков. В этом случае размер повреждения по ширине принимается в соответствии с подпунктом 2) пункта 2039 настоящих Правил. Число отсеков, при затоплении которых выполняются требования к посадке и остойчивости поврежденного судна, определяется судовладельцем.</w:t>
      </w:r>
    </w:p>
    <w:bookmarkEnd w:id="6331"/>
    <w:bookmarkStart w:name="z6341" w:id="6332"/>
    <w:p>
      <w:pPr>
        <w:spacing w:after="0"/>
        <w:ind w:left="0"/>
        <w:jc w:val="left"/>
      </w:pPr>
      <w:r>
        <w:rPr>
          <w:rFonts w:ascii="Times New Roman"/>
          <w:b/>
          <w:i w:val="false"/>
          <w:color w:val="000000"/>
        </w:rPr>
        <w:t xml:space="preserve"> Параграф 5. Навалочные суда, рудовозы и комбинированные суда</w:t>
      </w:r>
    </w:p>
    <w:bookmarkEnd w:id="6332"/>
    <w:bookmarkStart w:name="z6342" w:id="6333"/>
    <w:p>
      <w:pPr>
        <w:spacing w:after="0"/>
        <w:ind w:left="0"/>
        <w:jc w:val="both"/>
      </w:pPr>
      <w:r>
        <w:rPr>
          <w:rFonts w:ascii="Times New Roman"/>
          <w:b w:val="false"/>
          <w:i w:val="false"/>
          <w:color w:val="000000"/>
          <w:sz w:val="28"/>
        </w:rPr>
        <w:t xml:space="preserve">
      2076. Навалочные суда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150 м, перевозящие твердые навалочные грузы плотностью 1000 кг/м</w:t>
      </w:r>
      <w:r>
        <w:rPr>
          <w:rFonts w:ascii="Times New Roman"/>
          <w:b w:val="false"/>
          <w:i w:val="false"/>
          <w:color w:val="000000"/>
          <w:vertAlign w:val="superscript"/>
        </w:rPr>
        <w:t>3</w:t>
      </w:r>
      <w:r>
        <w:rPr>
          <w:rFonts w:ascii="Times New Roman"/>
          <w:b w:val="false"/>
          <w:i w:val="false"/>
          <w:color w:val="000000"/>
          <w:sz w:val="28"/>
        </w:rPr>
        <w:t xml:space="preserve"> и более, отвечают требованиям параграфа 4 главы 136 настоящих Правил, при затоплении любого грузового трюма, ограниченного наружной обшивкой или имеющего двойной борт шириной менее </w:t>
      </w:r>
      <w:r>
        <w:rPr>
          <w:rFonts w:ascii="Times New Roman"/>
          <w:b w:val="false"/>
          <w:i/>
          <w:color w:val="000000"/>
          <w:sz w:val="28"/>
        </w:rPr>
        <w:t>В/5</w:t>
      </w:r>
      <w:r>
        <w:rPr>
          <w:rFonts w:ascii="Times New Roman"/>
          <w:b w:val="false"/>
          <w:i w:val="false"/>
          <w:color w:val="000000"/>
          <w:sz w:val="28"/>
        </w:rPr>
        <w:t xml:space="preserve"> или 11,5 м (в зависимости от того, что меньше), во всех случаях нагрузки по летнюю грузовую марку.</w:t>
      </w:r>
    </w:p>
    <w:bookmarkEnd w:id="6333"/>
    <w:bookmarkStart w:name="z6343" w:id="6334"/>
    <w:p>
      <w:pPr>
        <w:spacing w:after="0"/>
        <w:ind w:left="0"/>
        <w:jc w:val="both"/>
      </w:pPr>
      <w:r>
        <w:rPr>
          <w:rFonts w:ascii="Times New Roman"/>
          <w:b w:val="false"/>
          <w:i w:val="false"/>
          <w:color w:val="000000"/>
          <w:sz w:val="28"/>
        </w:rPr>
        <w:t>
      2077. При выполнении расчетов аварийной остойчивости принимают следующие значения коэффициентов проницаемости:</w:t>
      </w:r>
    </w:p>
    <w:bookmarkEnd w:id="6334"/>
    <w:bookmarkStart w:name="z6344" w:id="6335"/>
    <w:p>
      <w:pPr>
        <w:spacing w:after="0"/>
        <w:ind w:left="0"/>
        <w:jc w:val="both"/>
      </w:pPr>
      <w:r>
        <w:rPr>
          <w:rFonts w:ascii="Times New Roman"/>
          <w:b w:val="false"/>
          <w:i w:val="false"/>
          <w:color w:val="000000"/>
          <w:sz w:val="28"/>
        </w:rPr>
        <w:t>
      0,90 — для загруженных трюмов;</w:t>
      </w:r>
    </w:p>
    <w:bookmarkEnd w:id="6335"/>
    <w:bookmarkStart w:name="z6345" w:id="6336"/>
    <w:p>
      <w:pPr>
        <w:spacing w:after="0"/>
        <w:ind w:left="0"/>
        <w:jc w:val="both"/>
      </w:pPr>
      <w:r>
        <w:rPr>
          <w:rFonts w:ascii="Times New Roman"/>
          <w:b w:val="false"/>
          <w:i w:val="false"/>
          <w:color w:val="000000"/>
          <w:sz w:val="28"/>
        </w:rPr>
        <w:t>
      0,95 — для пустых трюмов.</w:t>
      </w:r>
    </w:p>
    <w:bookmarkEnd w:id="6336"/>
    <w:bookmarkStart w:name="z6346" w:id="6337"/>
    <w:p>
      <w:pPr>
        <w:spacing w:after="0"/>
        <w:ind w:left="0"/>
        <w:jc w:val="both"/>
      </w:pPr>
      <w:r>
        <w:rPr>
          <w:rFonts w:ascii="Times New Roman"/>
          <w:b w:val="false"/>
          <w:i w:val="false"/>
          <w:color w:val="000000"/>
          <w:sz w:val="28"/>
        </w:rPr>
        <w:t>
      Суда, которым назначен уменьшенный надводный борт в соответствии с главой 136 настоящих Правил, считаются отвечающими требованиям пункта 2076 настоящих Правил.</w:t>
      </w:r>
    </w:p>
    <w:bookmarkEnd w:id="6337"/>
    <w:bookmarkStart w:name="z6347" w:id="6338"/>
    <w:p>
      <w:pPr>
        <w:spacing w:after="0"/>
        <w:ind w:left="0"/>
        <w:jc w:val="both"/>
      </w:pPr>
      <w:r>
        <w:rPr>
          <w:rFonts w:ascii="Times New Roman"/>
          <w:b w:val="false"/>
          <w:i w:val="false"/>
          <w:color w:val="000000"/>
          <w:sz w:val="28"/>
        </w:rPr>
        <w:t>
      Информацию о выполнении данного требования помещают в Информацию (буклет) об остойчивости и прочности при перевозке незерновых навалочных грузов, требуемый пунктом 218 настоящих Правил.</w:t>
      </w:r>
    </w:p>
    <w:bookmarkEnd w:id="6338"/>
    <w:bookmarkStart w:name="z6348" w:id="6339"/>
    <w:p>
      <w:pPr>
        <w:spacing w:after="0"/>
        <w:ind w:left="0"/>
        <w:jc w:val="both"/>
      </w:pPr>
      <w:r>
        <w:rPr>
          <w:rFonts w:ascii="Times New Roman"/>
          <w:b w:val="false"/>
          <w:i w:val="false"/>
          <w:color w:val="000000"/>
          <w:sz w:val="28"/>
        </w:rPr>
        <w:t>
      2078. Суда оборудуются датчиками уровня воды:</w:t>
      </w:r>
    </w:p>
    <w:bookmarkEnd w:id="6339"/>
    <w:bookmarkStart w:name="z6349" w:id="6340"/>
    <w:p>
      <w:pPr>
        <w:spacing w:after="0"/>
        <w:ind w:left="0"/>
        <w:jc w:val="both"/>
      </w:pPr>
      <w:r>
        <w:rPr>
          <w:rFonts w:ascii="Times New Roman"/>
          <w:b w:val="false"/>
          <w:i w:val="false"/>
          <w:color w:val="000000"/>
          <w:sz w:val="28"/>
        </w:rPr>
        <w:t>
      1) в каждом грузовом трюме — подающими звуковой и визуальный сигналы аварийно-предупредительной сигнализации (первый датчик — когда уровень воды над вторым дном в трюме достигнет высоты 0,5 м, и второй — на высоте не менее 15 % от высоты грузового трюма, но не более 2 м над вторым дном); вместо двух допускается использование одного датчика в случае, если его конструкция позволяет производить сигналы аварийно-предупредительной сигнализации при обоих уровнях затопления трюма. Датчики уровня располагаются в кормовой части грузового трюма у диаметральной плоскости, насколько это практически осуществимо. При невозможности установки датчиков в пределах одной шпации гофров или вертикальных ребер жесткости поперечной переборки, они устанавливают по обоим бортам трюма;</w:t>
      </w:r>
    </w:p>
    <w:bookmarkEnd w:id="6340"/>
    <w:bookmarkStart w:name="z6350" w:id="6341"/>
    <w:p>
      <w:pPr>
        <w:spacing w:after="0"/>
        <w:ind w:left="0"/>
        <w:jc w:val="both"/>
      </w:pPr>
      <w:r>
        <w:rPr>
          <w:rFonts w:ascii="Times New Roman"/>
          <w:b w:val="false"/>
          <w:i w:val="false"/>
          <w:color w:val="000000"/>
          <w:sz w:val="28"/>
        </w:rPr>
        <w:t>
      2) в любом балластном танке, расположенном в нос от таранной переборки, требуемой параграфом 4 главы 8 настоящих Правил, — подающим сигналы аварийно-предупредительной сигнализации, когда жидкость в танке достигнет уровня, не превышающего 10 % от вместимости танка;</w:t>
      </w:r>
    </w:p>
    <w:bookmarkEnd w:id="6341"/>
    <w:bookmarkStart w:name="z6351" w:id="6342"/>
    <w:p>
      <w:pPr>
        <w:spacing w:after="0"/>
        <w:ind w:left="0"/>
        <w:jc w:val="both"/>
      </w:pPr>
      <w:r>
        <w:rPr>
          <w:rFonts w:ascii="Times New Roman"/>
          <w:b w:val="false"/>
          <w:i w:val="false"/>
          <w:color w:val="000000"/>
          <w:sz w:val="28"/>
        </w:rPr>
        <w:t>
      3) в любом сухом или пустом помещении, за исключением цепного ящика, любая часть которого выступает вперед от носового грузового трюма, — подающим сигналы аварийно-предупредительной сигнализации при достижении уровня воды 0,1 м над палубой помещения. Такой сигнализацией не оборудуются закрытые помещения, объем которых не превышает 0,1 % от максимального объемного водоизмещения судна.</w:t>
      </w:r>
    </w:p>
    <w:bookmarkEnd w:id="6342"/>
    <w:bookmarkStart w:name="z6352" w:id="6343"/>
    <w:p>
      <w:pPr>
        <w:spacing w:after="0"/>
        <w:ind w:left="0"/>
        <w:jc w:val="both"/>
      </w:pPr>
      <w:r>
        <w:rPr>
          <w:rFonts w:ascii="Times New Roman"/>
          <w:b w:val="false"/>
          <w:i w:val="false"/>
          <w:color w:val="000000"/>
          <w:sz w:val="28"/>
        </w:rPr>
        <w:t>
      Датчики, установленные в грузовых трюмах, защищаются прочным ограждением от повреждений грузом или механическим оборудованием, используемым при погрузочно-разгрузочных операциях.</w:t>
      </w:r>
    </w:p>
    <w:bookmarkEnd w:id="6343"/>
    <w:bookmarkStart w:name="z6353" w:id="6344"/>
    <w:p>
      <w:pPr>
        <w:spacing w:after="0"/>
        <w:ind w:left="0"/>
        <w:jc w:val="both"/>
      </w:pPr>
      <w:r>
        <w:rPr>
          <w:rFonts w:ascii="Times New Roman"/>
          <w:b w:val="false"/>
          <w:i w:val="false"/>
          <w:color w:val="000000"/>
          <w:sz w:val="28"/>
        </w:rPr>
        <w:t>
      2079. На судне находится Наставление по использованию аварийно-предупредительной сигнализации появления воды в отсеках судна, включающее в себя, как минимум:</w:t>
      </w:r>
    </w:p>
    <w:bookmarkEnd w:id="6344"/>
    <w:bookmarkStart w:name="z6354" w:id="6345"/>
    <w:p>
      <w:pPr>
        <w:spacing w:after="0"/>
        <w:ind w:left="0"/>
        <w:jc w:val="both"/>
      </w:pPr>
      <w:r>
        <w:rPr>
          <w:rFonts w:ascii="Times New Roman"/>
          <w:b w:val="false"/>
          <w:i w:val="false"/>
          <w:color w:val="000000"/>
          <w:sz w:val="28"/>
        </w:rPr>
        <w:t>
      1) техническое описание оборудования системы аварийно-предупредительной сигнализации, включающее в том числе перечень процедур для проверки работоспособности, насколько это практически осуществимо, каждого элемента оборудования на любой стадии эксплуатации судна;</w:t>
      </w:r>
    </w:p>
    <w:bookmarkEnd w:id="6345"/>
    <w:bookmarkStart w:name="z6355" w:id="6346"/>
    <w:p>
      <w:pPr>
        <w:spacing w:after="0"/>
        <w:ind w:left="0"/>
        <w:jc w:val="both"/>
      </w:pPr>
      <w:r>
        <w:rPr>
          <w:rFonts w:ascii="Times New Roman"/>
          <w:b w:val="false"/>
          <w:i w:val="false"/>
          <w:color w:val="000000"/>
          <w:sz w:val="28"/>
        </w:rPr>
        <w:t>
      2) свидетельство о типовом одобрении системы аварийно-предупредительной сигнализации;</w:t>
      </w:r>
    </w:p>
    <w:bookmarkEnd w:id="6346"/>
    <w:bookmarkStart w:name="z6356" w:id="6347"/>
    <w:p>
      <w:pPr>
        <w:spacing w:after="0"/>
        <w:ind w:left="0"/>
        <w:jc w:val="both"/>
      </w:pPr>
      <w:r>
        <w:rPr>
          <w:rFonts w:ascii="Times New Roman"/>
          <w:b w:val="false"/>
          <w:i w:val="false"/>
          <w:color w:val="000000"/>
          <w:sz w:val="28"/>
        </w:rPr>
        <w:t>
      3) однолинейные схемы системы аварийно-предупредительной сигнализации с обозначением на схеме общего расположения судна местоположения оборудования;</w:t>
      </w:r>
    </w:p>
    <w:bookmarkEnd w:id="6347"/>
    <w:bookmarkStart w:name="z6357" w:id="6348"/>
    <w:p>
      <w:pPr>
        <w:spacing w:after="0"/>
        <w:ind w:left="0"/>
        <w:jc w:val="both"/>
      </w:pPr>
      <w:r>
        <w:rPr>
          <w:rFonts w:ascii="Times New Roman"/>
          <w:b w:val="false"/>
          <w:i w:val="false"/>
          <w:color w:val="000000"/>
          <w:sz w:val="28"/>
        </w:rPr>
        <w:t>
      4) инструкции с указанием расположения, креплений, защиты и испытаний оборудования аварийно-предупредительной сигнализации;</w:t>
      </w:r>
    </w:p>
    <w:bookmarkEnd w:id="6348"/>
    <w:bookmarkStart w:name="z6358" w:id="6349"/>
    <w:p>
      <w:pPr>
        <w:spacing w:after="0"/>
        <w:ind w:left="0"/>
        <w:jc w:val="both"/>
      </w:pPr>
      <w:r>
        <w:rPr>
          <w:rFonts w:ascii="Times New Roman"/>
          <w:b w:val="false"/>
          <w:i w:val="false"/>
          <w:color w:val="000000"/>
          <w:sz w:val="28"/>
        </w:rPr>
        <w:t>
      5) список грузов, в 50-процентной смеси которых с морской водой датчики, закрытые защитным ограждением, работоспособны;</w:t>
      </w:r>
    </w:p>
    <w:bookmarkEnd w:id="6349"/>
    <w:bookmarkStart w:name="z6359" w:id="6350"/>
    <w:p>
      <w:pPr>
        <w:spacing w:after="0"/>
        <w:ind w:left="0"/>
        <w:jc w:val="both"/>
      </w:pPr>
      <w:r>
        <w:rPr>
          <w:rFonts w:ascii="Times New Roman"/>
          <w:b w:val="false"/>
          <w:i w:val="false"/>
          <w:color w:val="000000"/>
          <w:sz w:val="28"/>
        </w:rPr>
        <w:t>
      6) описание процедур, необходимых для выполнения в случае появления сбоев в работе системы аварийно-предупредительной сигнализации;</w:t>
      </w:r>
    </w:p>
    <w:bookmarkEnd w:id="6350"/>
    <w:bookmarkStart w:name="z6360" w:id="6351"/>
    <w:p>
      <w:pPr>
        <w:spacing w:after="0"/>
        <w:ind w:left="0"/>
        <w:jc w:val="both"/>
      </w:pPr>
      <w:r>
        <w:rPr>
          <w:rFonts w:ascii="Times New Roman"/>
          <w:b w:val="false"/>
          <w:i w:val="false"/>
          <w:color w:val="000000"/>
          <w:sz w:val="28"/>
        </w:rPr>
        <w:t>
      7) требования по техническому обслуживанию оборудования системы аварийно-предупредительной сигнализации.</w:t>
      </w:r>
    </w:p>
    <w:bookmarkEnd w:id="6351"/>
    <w:bookmarkStart w:name="z6361" w:id="6352"/>
    <w:p>
      <w:pPr>
        <w:spacing w:after="0"/>
        <w:ind w:left="0"/>
        <w:jc w:val="both"/>
      </w:pPr>
      <w:r>
        <w:rPr>
          <w:rFonts w:ascii="Times New Roman"/>
          <w:b w:val="false"/>
          <w:i w:val="false"/>
          <w:color w:val="000000"/>
          <w:sz w:val="28"/>
        </w:rPr>
        <w:t>
      Наставление составляется на языке, которым владеет командный состав судна.</w:t>
      </w:r>
    </w:p>
    <w:bookmarkEnd w:id="6352"/>
    <w:bookmarkStart w:name="z6362" w:id="6353"/>
    <w:p>
      <w:pPr>
        <w:spacing w:after="0"/>
        <w:ind w:left="0"/>
        <w:jc w:val="both"/>
      </w:pPr>
      <w:r>
        <w:rPr>
          <w:rFonts w:ascii="Times New Roman"/>
          <w:b w:val="false"/>
          <w:i w:val="false"/>
          <w:color w:val="000000"/>
          <w:sz w:val="28"/>
        </w:rPr>
        <w:t>
      2080. Необходимо чтобы система аварийно-предупредительной сигнализации поступления воды отвечала требованиям главы 466 настоящих Правил.</w:t>
      </w:r>
    </w:p>
    <w:bookmarkEnd w:id="6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63" w:id="6354"/>
    <w:p>
      <w:pPr>
        <w:spacing w:after="0"/>
        <w:ind w:left="0"/>
        <w:jc w:val="both"/>
      </w:pPr>
      <w:r>
        <w:rPr>
          <w:rFonts w:ascii="Times New Roman"/>
          <w:b w:val="false"/>
          <w:i w:val="false"/>
          <w:color w:val="000000"/>
          <w:sz w:val="28"/>
        </w:rPr>
        <w:t>
      2081. Требования, указанные в параграфе 3 настоящей главы Правил, выполняются при затоплении одного любого отсека, расположенного на периферии судна и имеющего длину не менее, чем расчетная протяженность пробоины, указанная в подпункте 2) пункта 2082 настоящих Правил.</w:t>
      </w:r>
    </w:p>
    <w:bookmarkEnd w:id="6354"/>
    <w:bookmarkStart w:name="z6364" w:id="6355"/>
    <w:p>
      <w:pPr>
        <w:spacing w:after="0"/>
        <w:ind w:left="0"/>
        <w:jc w:val="both"/>
      </w:pPr>
      <w:r>
        <w:rPr>
          <w:rFonts w:ascii="Times New Roman"/>
          <w:b w:val="false"/>
          <w:i w:val="false"/>
          <w:color w:val="000000"/>
          <w:sz w:val="28"/>
        </w:rPr>
        <w:t>
      2082. В расчетах аварийной посадки и остойчивости принимают следующие размеры повреждения:</w:t>
      </w:r>
    </w:p>
    <w:bookmarkEnd w:id="6355"/>
    <w:bookmarkStart w:name="z6365" w:id="6356"/>
    <w:p>
      <w:pPr>
        <w:spacing w:after="0"/>
        <w:ind w:left="0"/>
        <w:jc w:val="both"/>
      </w:pPr>
      <w:r>
        <w:rPr>
          <w:rFonts w:ascii="Times New Roman"/>
          <w:b w:val="false"/>
          <w:i w:val="false"/>
          <w:color w:val="000000"/>
          <w:sz w:val="28"/>
        </w:rPr>
        <w:t>
      1) глубина повреждения, измеренная от внутренней поверхности наружной обшивки под прямым углом к диаметральной плоскости на уровне самой высокой ватерлинии, допускаемой грузовой маркой, — 0,76 м;</w:t>
      </w:r>
    </w:p>
    <w:bookmarkEnd w:id="6356"/>
    <w:bookmarkStart w:name="z6366" w:id="6357"/>
    <w:p>
      <w:pPr>
        <w:spacing w:after="0"/>
        <w:ind w:left="0"/>
        <w:jc w:val="both"/>
      </w:pPr>
      <w:r>
        <w:rPr>
          <w:rFonts w:ascii="Times New Roman"/>
          <w:b w:val="false"/>
          <w:i w:val="false"/>
          <w:color w:val="000000"/>
          <w:sz w:val="28"/>
        </w:rPr>
        <w:t xml:space="preserve">
      2) протяженность по длине — 1/6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или 7,2 м (в зависимости от того, что меньше);</w:t>
      </w:r>
    </w:p>
    <w:bookmarkEnd w:id="6357"/>
    <w:bookmarkStart w:name="z6367" w:id="6358"/>
    <w:p>
      <w:pPr>
        <w:spacing w:after="0"/>
        <w:ind w:left="0"/>
        <w:jc w:val="both"/>
      </w:pPr>
      <w:r>
        <w:rPr>
          <w:rFonts w:ascii="Times New Roman"/>
          <w:b w:val="false"/>
          <w:i w:val="false"/>
          <w:color w:val="000000"/>
          <w:sz w:val="28"/>
        </w:rPr>
        <w:t>
      3) протяженность по вертикали — в соответствии с подпунктом 3) пункта 2039 настоящих Правил.</w:t>
      </w:r>
    </w:p>
    <w:bookmarkEnd w:id="6358"/>
    <w:bookmarkStart w:name="z6368" w:id="6359"/>
    <w:p>
      <w:pPr>
        <w:spacing w:after="0"/>
        <w:ind w:left="0"/>
        <w:jc w:val="both"/>
      </w:pPr>
      <w:r>
        <w:rPr>
          <w:rFonts w:ascii="Times New Roman"/>
          <w:b w:val="false"/>
          <w:i w:val="false"/>
          <w:color w:val="000000"/>
          <w:sz w:val="28"/>
        </w:rPr>
        <w:t>
      2083. Стоечным судам, отвечающим только требованиям пунктов 2081 – 2084 настоящих Правил с учетом указаний подпункта 2) пункта 2082 настоящих Правил, знак деления на отсеки в символ класса не вносится.</w:t>
      </w:r>
    </w:p>
    <w:bookmarkEnd w:id="6359"/>
    <w:bookmarkStart w:name="z6369" w:id="6360"/>
    <w:p>
      <w:pPr>
        <w:spacing w:after="0"/>
        <w:ind w:left="0"/>
        <w:jc w:val="both"/>
      </w:pPr>
      <w:r>
        <w:rPr>
          <w:rFonts w:ascii="Times New Roman"/>
          <w:b w:val="false"/>
          <w:i w:val="false"/>
          <w:color w:val="000000"/>
          <w:sz w:val="28"/>
        </w:rPr>
        <w:t>
      2084. Если глубина акватории, где установлено судно, такова, что исключается возможность погружения в воду самой низкой палубы, на которой возможно будут находиться пассажиры, и тем более его опрокидывание, то требования настоящего раздела не применяются.</w:t>
      </w:r>
    </w:p>
    <w:bookmarkEnd w:id="6360"/>
    <w:bookmarkStart w:name="z6370" w:id="6361"/>
    <w:p>
      <w:pPr>
        <w:spacing w:after="0"/>
        <w:ind w:left="0"/>
        <w:jc w:val="left"/>
      </w:pPr>
      <w:r>
        <w:rPr>
          <w:rFonts w:ascii="Times New Roman"/>
          <w:b/>
          <w:i w:val="false"/>
          <w:color w:val="000000"/>
        </w:rPr>
        <w:t xml:space="preserve"> Параграф 5. Грузовые суда не являющиеся навалочными судами</w:t>
      </w:r>
    </w:p>
    <w:bookmarkEnd w:id="6361"/>
    <w:bookmarkStart w:name="z6371" w:id="6362"/>
    <w:p>
      <w:pPr>
        <w:spacing w:after="0"/>
        <w:ind w:left="0"/>
        <w:jc w:val="both"/>
      </w:pPr>
      <w:r>
        <w:rPr>
          <w:rFonts w:ascii="Times New Roman"/>
          <w:b w:val="false"/>
          <w:i w:val="false"/>
          <w:color w:val="000000"/>
          <w:sz w:val="28"/>
        </w:rPr>
        <w:t>
      2085. Грузовые суда, длиной менее 100 м, с одним трюмом, не являющиеся навалочными, отвечают настоящим требованиям не позже даты промежуточного освидетельствования или освидетельствования для возобновления свидетельства судна, в зависимости от того, что наступит раньше, но, в любом случае, не позднее 31 декабря 2009 года.</w:t>
      </w:r>
    </w:p>
    <w:bookmarkEnd w:id="6362"/>
    <w:bookmarkStart w:name="z6372" w:id="6363"/>
    <w:p>
      <w:pPr>
        <w:spacing w:after="0"/>
        <w:ind w:left="0"/>
        <w:jc w:val="both"/>
      </w:pPr>
      <w:r>
        <w:rPr>
          <w:rFonts w:ascii="Times New Roman"/>
          <w:b w:val="false"/>
          <w:i w:val="false"/>
          <w:color w:val="000000"/>
          <w:sz w:val="28"/>
        </w:rPr>
        <w:t xml:space="preserve">
      2086. Суда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менее 80 м или, если они построены до 1998 года, - менее 100 м, которые имеют только один грузовой трюм, расположенный ниже палубы надводного борта, или грузовые трюмы ниже палубы надводного борта, не разделенные, по меньшей мере, одной переборкой, являющейся водонепроницаемой до этой палубы, оборудуют в таком помещении или помещениях датчиками уровня воды, подающими звуковой и визуальный сигналы аварийно-предупредительной сигнализации на ходовом мостике, если уровень воды над вторым дном в грузовом трюме достигнет высоты не менее 0,3 м, и второй сигнал - когда этот уровень достигнет высоты, не превышающей 15 % средней высоты грузового трюма.</w:t>
      </w:r>
    </w:p>
    <w:bookmarkEnd w:id="6363"/>
    <w:bookmarkStart w:name="z6373" w:id="6364"/>
    <w:p>
      <w:pPr>
        <w:spacing w:after="0"/>
        <w:ind w:left="0"/>
        <w:jc w:val="both"/>
      </w:pPr>
      <w:r>
        <w:rPr>
          <w:rFonts w:ascii="Times New Roman"/>
          <w:b w:val="false"/>
          <w:i w:val="false"/>
          <w:color w:val="000000"/>
          <w:sz w:val="28"/>
        </w:rPr>
        <w:t>
      2087. Датчики уровня устанавливаются в кормовой части грузового трюма или над его самой низкой частью, если второе дно не параллельно конструктивной ватерлинии. При невозможности установки датчиков в пределах одной шпации гофров или вертикальных ребер жесткости поперечной переборки у диаметральной плоскости, они устанавливаются по обоим бортам трюма. Если над вторым дном установлены шпангоуты или частично водонепроницаемые переборки, Регистр судоходства требует установки дополнительных датчиков. Вместо двух датчиков по высоте допускается использование одного датчика в случае, если его конструкция позволяет производить сигналы аварийно-предупредительной сигнализации при обоих уровнях затопления трюма.</w:t>
      </w:r>
    </w:p>
    <w:bookmarkEnd w:id="6364"/>
    <w:bookmarkStart w:name="z6374" w:id="6365"/>
    <w:p>
      <w:pPr>
        <w:spacing w:after="0"/>
        <w:ind w:left="0"/>
        <w:jc w:val="both"/>
      </w:pPr>
      <w:r>
        <w:rPr>
          <w:rFonts w:ascii="Times New Roman"/>
          <w:b w:val="false"/>
          <w:i w:val="false"/>
          <w:color w:val="000000"/>
          <w:sz w:val="28"/>
        </w:rPr>
        <w:t>
      2088. Датчики уровня воды не устанавливаются на судах, отвечающих требованиям пункта 2078 настоящих Правил, либо на судах, у которых имеются водонепроницаемые бортовые отсеки по каждому борту грузового трюма, простирающиеся вертикально, по меньшей мере, от второго дна до палубы надводного борта.</w:t>
      </w:r>
    </w:p>
    <w:bookmarkEnd w:id="6365"/>
    <w:bookmarkStart w:name="z6375" w:id="6366"/>
    <w:p>
      <w:pPr>
        <w:spacing w:after="0"/>
        <w:ind w:left="0"/>
        <w:jc w:val="both"/>
      </w:pPr>
      <w:r>
        <w:rPr>
          <w:rFonts w:ascii="Times New Roman"/>
          <w:b w:val="false"/>
          <w:i w:val="false"/>
          <w:color w:val="000000"/>
          <w:sz w:val="28"/>
        </w:rPr>
        <w:t>
      2089. Система аварийно-предупредительной сигнализации поступления воды отвечают требованиям главы 466 настоящих Правил.</w:t>
      </w:r>
    </w:p>
    <w:bookmarkEnd w:id="6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6" w:id="6367"/>
    <w:p>
      <w:pPr>
        <w:spacing w:after="0"/>
        <w:ind w:left="0"/>
        <w:jc w:val="both"/>
      </w:pPr>
      <w:r>
        <w:rPr>
          <w:rFonts w:ascii="Times New Roman"/>
          <w:b w:val="false"/>
          <w:i w:val="false"/>
          <w:color w:val="000000"/>
          <w:sz w:val="28"/>
        </w:rPr>
        <w:t>
      2090. На судне находится Наставление по использованию аварийно-предупредительной сигнализации появления воды в отсеках судна, разработанное в соответствии с требованиями пункта 2079 настоящих Правил.</w:t>
      </w:r>
    </w:p>
    <w:bookmarkEnd w:id="6367"/>
    <w:bookmarkStart w:name="z6377" w:id="6368"/>
    <w:p>
      <w:pPr>
        <w:spacing w:after="0"/>
        <w:ind w:left="0"/>
        <w:jc w:val="left"/>
      </w:pPr>
      <w:r>
        <w:rPr>
          <w:rFonts w:ascii="Times New Roman"/>
          <w:b/>
          <w:i w:val="false"/>
          <w:color w:val="000000"/>
        </w:rPr>
        <w:t xml:space="preserve"> Глава 136. Специальные требования к судам типа В с уменьшенным надводным бортом и к судам типа А</w:t>
      </w:r>
    </w:p>
    <w:bookmarkEnd w:id="6368"/>
    <w:p>
      <w:pPr>
        <w:spacing w:after="0"/>
        <w:ind w:left="0"/>
        <w:jc w:val="both"/>
      </w:pPr>
      <w:r>
        <w:rPr>
          <w:rFonts w:ascii="Times New Roman"/>
          <w:b w:val="false"/>
          <w:i w:val="false"/>
          <w:color w:val="ff0000"/>
          <w:sz w:val="28"/>
        </w:rPr>
        <w:t xml:space="preserve">
      Сноска. Заголовок главы 136 -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78" w:id="6369"/>
    <w:p>
      <w:pPr>
        <w:spacing w:after="0"/>
        <w:ind w:left="0"/>
        <w:jc w:val="left"/>
      </w:pPr>
      <w:r>
        <w:rPr>
          <w:rFonts w:ascii="Times New Roman"/>
          <w:b/>
          <w:i w:val="false"/>
          <w:color w:val="000000"/>
        </w:rPr>
        <w:t xml:space="preserve"> Параграф 1. Общие положения</w:t>
      </w:r>
    </w:p>
    <w:bookmarkEnd w:id="6369"/>
    <w:bookmarkStart w:name="z6379" w:id="6370"/>
    <w:p>
      <w:pPr>
        <w:spacing w:after="0"/>
        <w:ind w:left="0"/>
        <w:jc w:val="both"/>
      </w:pPr>
      <w:r>
        <w:rPr>
          <w:rFonts w:ascii="Times New Roman"/>
          <w:b w:val="false"/>
          <w:i w:val="false"/>
          <w:color w:val="000000"/>
          <w:sz w:val="28"/>
        </w:rPr>
        <w:t>
      2091. Требования настоящей главы распространяются на суда типа А и типа В, указанные в пункте 1960 настоящих Правил.</w:t>
      </w:r>
    </w:p>
    <w:bookmarkEnd w:id="6370"/>
    <w:bookmarkStart w:name="z6380" w:id="6371"/>
    <w:p>
      <w:pPr>
        <w:spacing w:after="0"/>
        <w:ind w:left="0"/>
        <w:jc w:val="both"/>
      </w:pPr>
      <w:r>
        <w:rPr>
          <w:rFonts w:ascii="Times New Roman"/>
          <w:b w:val="false"/>
          <w:i w:val="false"/>
          <w:color w:val="000000"/>
          <w:sz w:val="28"/>
        </w:rPr>
        <w:t>
      Требования настоящей главы выполняются независимо от соответствия этих судов требованиям остальных глав.</w:t>
      </w:r>
    </w:p>
    <w:bookmarkEnd w:id="6371"/>
    <w:bookmarkStart w:name="z6381" w:id="6372"/>
    <w:p>
      <w:pPr>
        <w:spacing w:after="0"/>
        <w:ind w:left="0"/>
        <w:jc w:val="both"/>
      </w:pPr>
      <w:r>
        <w:rPr>
          <w:rFonts w:ascii="Times New Roman"/>
          <w:b w:val="false"/>
          <w:i w:val="false"/>
          <w:color w:val="000000"/>
          <w:sz w:val="28"/>
        </w:rPr>
        <w:t>
      2092. Требования считаются выполненными, если расчетами будет показано, что судно, находящееся в состоянии условной нагрузки, указанной в параграфе 2 настоящей главы, после затопления числа отсеков, требуемого пунктами 2093, 2094 или 2095 настоящих Правил, вызванного повреждениями, указанными в параграфе 3 настоящей главы, остается на плаву и в равновесном состоянии соответствует требованиям параграфа 4 настоящей главы.</w:t>
      </w:r>
    </w:p>
    <w:bookmarkEnd w:id="6372"/>
    <w:bookmarkStart w:name="z6382" w:id="6373"/>
    <w:p>
      <w:pPr>
        <w:spacing w:after="0"/>
        <w:ind w:left="0"/>
        <w:jc w:val="both"/>
      </w:pPr>
      <w:r>
        <w:rPr>
          <w:rFonts w:ascii="Times New Roman"/>
          <w:b w:val="false"/>
          <w:i w:val="false"/>
          <w:color w:val="000000"/>
          <w:sz w:val="28"/>
        </w:rPr>
        <w:t xml:space="preserve">
      2093. Для судов типа А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более 150 м, если им назначен надводный борт менее, чем соответствующим судам типа В, требования настоящей главы выполняются при затоплении одного любого отсека.</w:t>
      </w:r>
    </w:p>
    <w:bookmarkEnd w:id="6373"/>
    <w:bookmarkStart w:name="z6383" w:id="6374"/>
    <w:p>
      <w:pPr>
        <w:spacing w:after="0"/>
        <w:ind w:left="0"/>
        <w:jc w:val="both"/>
      </w:pPr>
      <w:r>
        <w:rPr>
          <w:rFonts w:ascii="Times New Roman"/>
          <w:b w:val="false"/>
          <w:i w:val="false"/>
          <w:color w:val="000000"/>
          <w:sz w:val="28"/>
        </w:rPr>
        <w:t xml:space="preserve">
      2094. Суда типа В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более 100 м, у которых допущенное уменьшение базисного надводного борта не превышает 60 % разницы между его значениями по приложениям 15 и 16 Правил о грузовой марке, рассматриваются при затоплении:</w:t>
      </w:r>
    </w:p>
    <w:bookmarkEnd w:id="6374"/>
    <w:bookmarkStart w:name="z6384" w:id="6375"/>
    <w:p>
      <w:pPr>
        <w:spacing w:after="0"/>
        <w:ind w:left="0"/>
        <w:jc w:val="both"/>
      </w:pPr>
      <w:r>
        <w:rPr>
          <w:rFonts w:ascii="Times New Roman"/>
          <w:b w:val="false"/>
          <w:i w:val="false"/>
          <w:color w:val="000000"/>
          <w:sz w:val="28"/>
        </w:rPr>
        <w:t>
      1)одного любого отсека, исключая машинное отделение;</w:t>
      </w:r>
    </w:p>
    <w:bookmarkEnd w:id="6375"/>
    <w:bookmarkStart w:name="z6385" w:id="6376"/>
    <w:p>
      <w:pPr>
        <w:spacing w:after="0"/>
        <w:ind w:left="0"/>
        <w:jc w:val="both"/>
      </w:pPr>
      <w:r>
        <w:rPr>
          <w:rFonts w:ascii="Times New Roman"/>
          <w:b w:val="false"/>
          <w:i w:val="false"/>
          <w:color w:val="000000"/>
          <w:sz w:val="28"/>
        </w:rPr>
        <w:t>
      2) одного любого отсека, включая машинное отделение, при длине судна более 150 м.</w:t>
      </w:r>
    </w:p>
    <w:bookmarkEnd w:id="6376"/>
    <w:bookmarkStart w:name="z6386" w:id="6377"/>
    <w:p>
      <w:pPr>
        <w:spacing w:after="0"/>
        <w:ind w:left="0"/>
        <w:jc w:val="both"/>
      </w:pPr>
      <w:r>
        <w:rPr>
          <w:rFonts w:ascii="Times New Roman"/>
          <w:b w:val="false"/>
          <w:i w:val="false"/>
          <w:color w:val="000000"/>
          <w:sz w:val="28"/>
        </w:rPr>
        <w:t xml:space="preserve">
      2095. Суда типа В длиной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более 100 м, у которых допущенное уменьшение базисного надводного борта превышает 60 % разницы между его значениями по приложениям 15 и 16 Правил о грузовой марке, рассматриваются при затоплении:</w:t>
      </w:r>
    </w:p>
    <w:bookmarkEnd w:id="6377"/>
    <w:bookmarkStart w:name="z6387" w:id="6378"/>
    <w:p>
      <w:pPr>
        <w:spacing w:after="0"/>
        <w:ind w:left="0"/>
        <w:jc w:val="both"/>
      </w:pPr>
      <w:r>
        <w:rPr>
          <w:rFonts w:ascii="Times New Roman"/>
          <w:b w:val="false"/>
          <w:i w:val="false"/>
          <w:color w:val="000000"/>
          <w:sz w:val="28"/>
        </w:rPr>
        <w:t>
      1) двух любых смежных отсеков, исключая машинное отделение;</w:t>
      </w:r>
    </w:p>
    <w:bookmarkEnd w:id="6378"/>
    <w:bookmarkStart w:name="z6388" w:id="6379"/>
    <w:p>
      <w:pPr>
        <w:spacing w:after="0"/>
        <w:ind w:left="0"/>
        <w:jc w:val="both"/>
      </w:pPr>
      <w:r>
        <w:rPr>
          <w:rFonts w:ascii="Times New Roman"/>
          <w:b w:val="false"/>
          <w:i w:val="false"/>
          <w:color w:val="000000"/>
          <w:sz w:val="28"/>
        </w:rPr>
        <w:t>
      2) двух любых смежных отсеков и машинного отделения, рассматриваемого отдельно, на судах длиной более 150 м.</w:t>
      </w:r>
    </w:p>
    <w:bookmarkEnd w:id="6379"/>
    <w:bookmarkStart w:name="z6389" w:id="6380"/>
    <w:p>
      <w:pPr>
        <w:spacing w:after="0"/>
        <w:ind w:left="0"/>
        <w:jc w:val="both"/>
      </w:pPr>
      <w:r>
        <w:rPr>
          <w:rFonts w:ascii="Times New Roman"/>
          <w:b w:val="false"/>
          <w:i w:val="false"/>
          <w:color w:val="000000"/>
          <w:sz w:val="28"/>
        </w:rPr>
        <w:t>
      2096. При выполнении расчетов, указанных в пункте 2092 настоящих Правил, коэффициенты проницаемости принимаются:</w:t>
      </w:r>
    </w:p>
    <w:bookmarkEnd w:id="6380"/>
    <w:bookmarkStart w:name="z6390" w:id="6381"/>
    <w:p>
      <w:pPr>
        <w:spacing w:after="0"/>
        <w:ind w:left="0"/>
        <w:jc w:val="both"/>
      </w:pPr>
      <w:r>
        <w:rPr>
          <w:rFonts w:ascii="Times New Roman"/>
          <w:b w:val="false"/>
          <w:i w:val="false"/>
          <w:color w:val="000000"/>
          <w:sz w:val="28"/>
        </w:rPr>
        <w:t>
      0,95 — для любых затапливаемых отсеков и помещений, кроме машинного отделения;</w:t>
      </w:r>
    </w:p>
    <w:bookmarkEnd w:id="6381"/>
    <w:bookmarkStart w:name="z6391" w:id="6382"/>
    <w:p>
      <w:pPr>
        <w:spacing w:after="0"/>
        <w:ind w:left="0"/>
        <w:jc w:val="both"/>
      </w:pPr>
      <w:r>
        <w:rPr>
          <w:rFonts w:ascii="Times New Roman"/>
          <w:b w:val="false"/>
          <w:i w:val="false"/>
          <w:color w:val="000000"/>
          <w:sz w:val="28"/>
        </w:rPr>
        <w:t>
      0,85 — для затапливаемого машинного отделения.</w:t>
      </w:r>
    </w:p>
    <w:bookmarkEnd w:id="6382"/>
    <w:bookmarkStart w:name="z6392" w:id="6383"/>
    <w:p>
      <w:pPr>
        <w:spacing w:after="0"/>
        <w:ind w:left="0"/>
        <w:jc w:val="both"/>
      </w:pPr>
      <w:r>
        <w:rPr>
          <w:rFonts w:ascii="Times New Roman"/>
          <w:b w:val="false"/>
          <w:i w:val="false"/>
          <w:color w:val="000000"/>
          <w:sz w:val="28"/>
        </w:rPr>
        <w:t>
      Коэффициент проницаемости 0,95 распространяется также на грузовые помещения и цистерны, которые при расчете возвышения центра тяжести судна согласно пункту 2100 настоящих Правил принимаются заполненными.</w:t>
      </w:r>
    </w:p>
    <w:bookmarkEnd w:id="6383"/>
    <w:bookmarkStart w:name="z6393" w:id="6384"/>
    <w:p>
      <w:pPr>
        <w:spacing w:after="0"/>
        <w:ind w:left="0"/>
        <w:jc w:val="both"/>
      </w:pPr>
      <w:r>
        <w:rPr>
          <w:rFonts w:ascii="Times New Roman"/>
          <w:b w:val="false"/>
          <w:i w:val="false"/>
          <w:color w:val="000000"/>
          <w:sz w:val="28"/>
        </w:rPr>
        <w:t>
      2097. В дополнение к требованиям пунктов 2094 и 2095 настоящих Правил, суда, предназначенные для перевозки палубного груза, отвечают требованиям главы 134 настоящих Правил. Аппликата центра тяжести, используемая для демонстрации соответствия требованиям параграфа 4 настоящей главы при детерминированном анализе аварийной остойчивости, равна аппликате центра тяжести, используемой для расчетов аварийной остойчивости при вероятностной оценке, при самой высокой ватерлинии. Диаграмма предельных возвышений центра тяжести судна (предельных моментов или минимальных метацентрических высот) с палубным грузом, построенная с учетом обеспечения выполнения требований главы 134 настоящих Правил, включается в Информацию об остойчивости и в Информацию об аварийной посадке и остойчивости.</w:t>
      </w:r>
    </w:p>
    <w:bookmarkEnd w:id="6384"/>
    <w:bookmarkStart w:name="z6394" w:id="6385"/>
    <w:p>
      <w:pPr>
        <w:spacing w:after="0"/>
        <w:ind w:left="0"/>
        <w:jc w:val="left"/>
      </w:pPr>
      <w:r>
        <w:rPr>
          <w:rFonts w:ascii="Times New Roman"/>
          <w:b/>
          <w:i w:val="false"/>
          <w:color w:val="000000"/>
        </w:rPr>
        <w:t xml:space="preserve"> Параграф 2. Посадка и нагрузка судна перед повреждением</w:t>
      </w:r>
    </w:p>
    <w:bookmarkEnd w:id="6385"/>
    <w:bookmarkStart w:name="z6395" w:id="6386"/>
    <w:p>
      <w:pPr>
        <w:spacing w:after="0"/>
        <w:ind w:left="0"/>
        <w:jc w:val="both"/>
      </w:pPr>
      <w:r>
        <w:rPr>
          <w:rFonts w:ascii="Times New Roman"/>
          <w:b w:val="false"/>
          <w:i w:val="false"/>
          <w:color w:val="000000"/>
          <w:sz w:val="28"/>
        </w:rPr>
        <w:t>
      2098. Все варианты затоплений анализируются при одном условном исходном состоянии судна, определяемом согласно пунктов 2099 – 2101 настоящих Правил.</w:t>
      </w:r>
    </w:p>
    <w:bookmarkEnd w:id="6386"/>
    <w:bookmarkStart w:name="z6396" w:id="6387"/>
    <w:p>
      <w:pPr>
        <w:spacing w:after="0"/>
        <w:ind w:left="0"/>
        <w:jc w:val="both"/>
      </w:pPr>
      <w:r>
        <w:rPr>
          <w:rFonts w:ascii="Times New Roman"/>
          <w:b w:val="false"/>
          <w:i w:val="false"/>
          <w:color w:val="000000"/>
          <w:sz w:val="28"/>
        </w:rPr>
        <w:t>
      2099. Судно считается загруженным однородным грузом, без дифферента и с осадкой по летнюю грузовую марку в соленой воде.</w:t>
      </w:r>
    </w:p>
    <w:bookmarkEnd w:id="6387"/>
    <w:bookmarkStart w:name="z6397" w:id="6388"/>
    <w:p>
      <w:pPr>
        <w:spacing w:after="0"/>
        <w:ind w:left="0"/>
        <w:jc w:val="both"/>
      </w:pPr>
      <w:r>
        <w:rPr>
          <w:rFonts w:ascii="Times New Roman"/>
          <w:b w:val="false"/>
          <w:i w:val="false"/>
          <w:color w:val="000000"/>
          <w:sz w:val="28"/>
        </w:rPr>
        <w:t>
      2100. Возвышение центра тяжести судна вычисляется для следующего условного состояния загрузки:</w:t>
      </w:r>
    </w:p>
    <w:bookmarkEnd w:id="6388"/>
    <w:bookmarkStart w:name="z6398" w:id="6389"/>
    <w:p>
      <w:pPr>
        <w:spacing w:after="0"/>
        <w:ind w:left="0"/>
        <w:jc w:val="both"/>
      </w:pPr>
      <w:r>
        <w:rPr>
          <w:rFonts w:ascii="Times New Roman"/>
          <w:b w:val="false"/>
          <w:i w:val="false"/>
          <w:color w:val="000000"/>
          <w:sz w:val="28"/>
        </w:rPr>
        <w:t>
      1) все грузовые помещения, кроме указанных в подпункте 2) настоящего пункта, включая помещения с предполагаемым в эксплуатации частичным заполнением, считаются загруженными полностью, если груз сухой, и на 98 % — если жидкий;</w:t>
      </w:r>
    </w:p>
    <w:bookmarkEnd w:id="6389"/>
    <w:bookmarkStart w:name="z6399" w:id="6390"/>
    <w:p>
      <w:pPr>
        <w:spacing w:after="0"/>
        <w:ind w:left="0"/>
        <w:jc w:val="both"/>
      </w:pPr>
      <w:r>
        <w:rPr>
          <w:rFonts w:ascii="Times New Roman"/>
          <w:b w:val="false"/>
          <w:i w:val="false"/>
          <w:color w:val="000000"/>
          <w:sz w:val="28"/>
        </w:rPr>
        <w:t>
      2) если судно при загрузке по летнюю грузовую марку должно эксплуатироваться, имея некоторые помещения не загруженными или не заполненными жидким грузом, такие помещения рассматриваются как пустые при условии, что высота центра тяжести судна, вычисленная с учетом пустых отсеков, не меньше высоты центра тяжести судна, вычисленной в предположении заполнения грузом всех помещений;</w:t>
      </w:r>
    </w:p>
    <w:bookmarkEnd w:id="6390"/>
    <w:bookmarkStart w:name="z6400" w:id="6391"/>
    <w:p>
      <w:pPr>
        <w:spacing w:after="0"/>
        <w:ind w:left="0"/>
        <w:jc w:val="both"/>
      </w:pPr>
      <w:r>
        <w:rPr>
          <w:rFonts w:ascii="Times New Roman"/>
          <w:b w:val="false"/>
          <w:i w:val="false"/>
          <w:color w:val="000000"/>
          <w:sz w:val="28"/>
        </w:rPr>
        <w:t>
      3) количество каждого вида судовых запасов и расходуемых жидкостей принимается равным 50 % от полного. Цистерны, за исключением указанных в подпункте 2) пункта 2101 настоящих Правил, считаются либо пустыми, либо полностью заполненными и распределение запасов по этим цистернам производится так, чтобы получить наибольшее возвышение центра тяжести судна. Центры тяжести содержимого цистерн, указанных в подпункте 2) пункта 2101 настоящих Правил, принимаются в центре тяжести их объема;</w:t>
      </w:r>
    </w:p>
    <w:bookmarkEnd w:id="6391"/>
    <w:bookmarkStart w:name="z6401" w:id="6392"/>
    <w:p>
      <w:pPr>
        <w:spacing w:after="0"/>
        <w:ind w:left="0"/>
        <w:jc w:val="both"/>
      </w:pPr>
      <w:r>
        <w:rPr>
          <w:rFonts w:ascii="Times New Roman"/>
          <w:b w:val="false"/>
          <w:i w:val="false"/>
          <w:color w:val="000000"/>
          <w:sz w:val="28"/>
        </w:rPr>
        <w:t>
      4) нагрузка судна в отношении расходуемых жидкостей и балласта определяется при следующих значениях их плотности, т/м</w:t>
      </w:r>
      <w:r>
        <w:rPr>
          <w:rFonts w:ascii="Times New Roman"/>
          <w:b w:val="false"/>
          <w:i w:val="false"/>
          <w:color w:val="000000"/>
          <w:vertAlign w:val="superscript"/>
        </w:rPr>
        <w:t>3</w:t>
      </w:r>
      <w:r>
        <w:rPr>
          <w:rFonts w:ascii="Times New Roman"/>
          <w:b w:val="false"/>
          <w:i w:val="false"/>
          <w:color w:val="000000"/>
          <w:sz w:val="28"/>
        </w:rPr>
        <w:t>:</w:t>
      </w:r>
    </w:p>
    <w:bookmarkEnd w:id="6392"/>
    <w:bookmarkStart w:name="z6402" w:id="6393"/>
    <w:p>
      <w:pPr>
        <w:spacing w:after="0"/>
        <w:ind w:left="0"/>
        <w:jc w:val="both"/>
      </w:pPr>
      <w:r>
        <w:rPr>
          <w:rFonts w:ascii="Times New Roman"/>
          <w:b w:val="false"/>
          <w:i w:val="false"/>
          <w:color w:val="000000"/>
          <w:sz w:val="28"/>
        </w:rPr>
        <w:t>
      забортная вода — 1,025,</w:t>
      </w:r>
    </w:p>
    <w:bookmarkEnd w:id="6393"/>
    <w:bookmarkStart w:name="z6403" w:id="6394"/>
    <w:p>
      <w:pPr>
        <w:spacing w:after="0"/>
        <w:ind w:left="0"/>
        <w:jc w:val="both"/>
      </w:pPr>
      <w:r>
        <w:rPr>
          <w:rFonts w:ascii="Times New Roman"/>
          <w:b w:val="false"/>
          <w:i w:val="false"/>
          <w:color w:val="000000"/>
          <w:sz w:val="28"/>
        </w:rPr>
        <w:t>
      пресная вода — 1,000,</w:t>
      </w:r>
    </w:p>
    <w:bookmarkEnd w:id="6394"/>
    <w:bookmarkStart w:name="z6404" w:id="6395"/>
    <w:p>
      <w:pPr>
        <w:spacing w:after="0"/>
        <w:ind w:left="0"/>
        <w:jc w:val="both"/>
      </w:pPr>
      <w:r>
        <w:rPr>
          <w:rFonts w:ascii="Times New Roman"/>
          <w:b w:val="false"/>
          <w:i w:val="false"/>
          <w:color w:val="000000"/>
          <w:sz w:val="28"/>
        </w:rPr>
        <w:t>
      мазут — 0,950,</w:t>
      </w:r>
    </w:p>
    <w:bookmarkEnd w:id="6395"/>
    <w:bookmarkStart w:name="z6405" w:id="6396"/>
    <w:p>
      <w:pPr>
        <w:spacing w:after="0"/>
        <w:ind w:left="0"/>
        <w:jc w:val="both"/>
      </w:pPr>
      <w:r>
        <w:rPr>
          <w:rFonts w:ascii="Times New Roman"/>
          <w:b w:val="false"/>
          <w:i w:val="false"/>
          <w:color w:val="000000"/>
          <w:sz w:val="28"/>
        </w:rPr>
        <w:t>
      дизельное топливо — 0,900,</w:t>
      </w:r>
    </w:p>
    <w:bookmarkEnd w:id="6396"/>
    <w:bookmarkStart w:name="z6406" w:id="6397"/>
    <w:p>
      <w:pPr>
        <w:spacing w:after="0"/>
        <w:ind w:left="0"/>
        <w:jc w:val="both"/>
      </w:pPr>
      <w:r>
        <w:rPr>
          <w:rFonts w:ascii="Times New Roman"/>
          <w:b w:val="false"/>
          <w:i w:val="false"/>
          <w:color w:val="000000"/>
          <w:sz w:val="28"/>
        </w:rPr>
        <w:t>
      смазочное масло — 0,900.</w:t>
      </w:r>
    </w:p>
    <w:bookmarkEnd w:id="6397"/>
    <w:bookmarkStart w:name="z6407" w:id="6398"/>
    <w:p>
      <w:pPr>
        <w:spacing w:after="0"/>
        <w:ind w:left="0"/>
        <w:jc w:val="both"/>
      </w:pPr>
      <w:r>
        <w:rPr>
          <w:rFonts w:ascii="Times New Roman"/>
          <w:b w:val="false"/>
          <w:i w:val="false"/>
          <w:color w:val="000000"/>
          <w:sz w:val="28"/>
        </w:rPr>
        <w:t>
      2101. При определении возвышения центра тяжести судна учитываются поправки на влияние свободных поверхностей жидкостей:</w:t>
      </w:r>
    </w:p>
    <w:bookmarkEnd w:id="6398"/>
    <w:bookmarkStart w:name="z6408" w:id="6399"/>
    <w:p>
      <w:pPr>
        <w:spacing w:after="0"/>
        <w:ind w:left="0"/>
        <w:jc w:val="both"/>
      </w:pPr>
      <w:r>
        <w:rPr>
          <w:rFonts w:ascii="Times New Roman"/>
          <w:b w:val="false"/>
          <w:i w:val="false"/>
          <w:color w:val="000000"/>
          <w:sz w:val="28"/>
        </w:rPr>
        <w:t>
      1) для жидкого груза — исходя из загрузки, указанной в подпункте 1) пункта 2100 настоящих Правил;</w:t>
      </w:r>
    </w:p>
    <w:bookmarkEnd w:id="6399"/>
    <w:bookmarkStart w:name="z6409" w:id="6400"/>
    <w:p>
      <w:pPr>
        <w:spacing w:after="0"/>
        <w:ind w:left="0"/>
        <w:jc w:val="both"/>
      </w:pPr>
      <w:r>
        <w:rPr>
          <w:rFonts w:ascii="Times New Roman"/>
          <w:b w:val="false"/>
          <w:i w:val="false"/>
          <w:color w:val="000000"/>
          <w:sz w:val="28"/>
        </w:rPr>
        <w:t>
      2) для расходуемых жидкостей — исходя из того, что по каждому виду жидкости по крайней мере одна цистерна в диаметральной плоскости или пара бортовых имеют свободные поверхности. В расчет следует принимать цистерны или комбинацию цистерн, в которых влияние свободных поверхностей наибольшее.</w:t>
      </w:r>
    </w:p>
    <w:bookmarkEnd w:id="6400"/>
    <w:bookmarkStart w:name="z6410" w:id="6401"/>
    <w:p>
      <w:pPr>
        <w:spacing w:after="0"/>
        <w:ind w:left="0"/>
        <w:jc w:val="both"/>
      </w:pPr>
      <w:r>
        <w:rPr>
          <w:rFonts w:ascii="Times New Roman"/>
          <w:b w:val="false"/>
          <w:i w:val="false"/>
          <w:color w:val="000000"/>
          <w:sz w:val="28"/>
        </w:rPr>
        <w:t>
      Учет поправок на влияние свободных поверхностей жидкостей рекомендуется производить согласно параграфу 5 главы 91 настоящих Правил.</w:t>
      </w:r>
    </w:p>
    <w:bookmarkEnd w:id="6401"/>
    <w:bookmarkStart w:name="z6411" w:id="6402"/>
    <w:p>
      <w:pPr>
        <w:spacing w:after="0"/>
        <w:ind w:left="0"/>
        <w:jc w:val="left"/>
      </w:pPr>
      <w:r>
        <w:rPr>
          <w:rFonts w:ascii="Times New Roman"/>
          <w:b/>
          <w:i w:val="false"/>
          <w:color w:val="000000"/>
        </w:rPr>
        <w:t xml:space="preserve"> Параграф 3. Размеры повреждений</w:t>
      </w:r>
    </w:p>
    <w:bookmarkEnd w:id="6402"/>
    <w:bookmarkStart w:name="z6412" w:id="6403"/>
    <w:p>
      <w:pPr>
        <w:spacing w:after="0"/>
        <w:ind w:left="0"/>
        <w:jc w:val="both"/>
      </w:pPr>
      <w:r>
        <w:rPr>
          <w:rFonts w:ascii="Times New Roman"/>
          <w:b w:val="false"/>
          <w:i w:val="false"/>
          <w:color w:val="000000"/>
          <w:sz w:val="28"/>
        </w:rPr>
        <w:t>
      2102. Протяженность повреждений судна по высоте принимается от основной линии неограниченно вверх.</w:t>
      </w:r>
    </w:p>
    <w:bookmarkEnd w:id="6403"/>
    <w:bookmarkStart w:name="z6413" w:id="6404"/>
    <w:p>
      <w:pPr>
        <w:spacing w:after="0"/>
        <w:ind w:left="0"/>
        <w:jc w:val="both"/>
      </w:pPr>
      <w:r>
        <w:rPr>
          <w:rFonts w:ascii="Times New Roman"/>
          <w:b w:val="false"/>
          <w:i w:val="false"/>
          <w:color w:val="000000"/>
          <w:sz w:val="28"/>
        </w:rPr>
        <w:t>
      2103. Глубина повреждения, измеренная от внутренней кромки наружной обшивки под прямым углом к диаметральной плоскости на уровне летней грузовой ватерлинии, принимается равной 1/5 ширины судна или 11,5 м, в зависимости от того, что меньше.</w:t>
      </w:r>
    </w:p>
    <w:bookmarkEnd w:id="6404"/>
    <w:bookmarkStart w:name="z6414" w:id="6405"/>
    <w:p>
      <w:pPr>
        <w:spacing w:after="0"/>
        <w:ind w:left="0"/>
        <w:jc w:val="both"/>
      </w:pPr>
      <w:r>
        <w:rPr>
          <w:rFonts w:ascii="Times New Roman"/>
          <w:b w:val="false"/>
          <w:i w:val="false"/>
          <w:color w:val="000000"/>
          <w:sz w:val="28"/>
        </w:rPr>
        <w:t xml:space="preserve">
      2104. Если повреждение меньших размеров, чем указано в пунктах 2002 и 20203 настоящих Правил, приводит к более тяжелым последствиям, такое повреждение следует принимать в расчет. </w:t>
      </w:r>
    </w:p>
    <w:bookmarkEnd w:id="6405"/>
    <w:bookmarkStart w:name="z6415" w:id="6406"/>
    <w:p>
      <w:pPr>
        <w:spacing w:after="0"/>
        <w:ind w:left="0"/>
        <w:jc w:val="both"/>
      </w:pPr>
      <w:r>
        <w:rPr>
          <w:rFonts w:ascii="Times New Roman"/>
          <w:b w:val="false"/>
          <w:i w:val="false"/>
          <w:color w:val="000000"/>
          <w:sz w:val="28"/>
        </w:rPr>
        <w:t xml:space="preserve">
      2105. Поперечные переборки считаются эффективными, если они или поперечные плоскости, проходящие через ближайшие части переборок, имеющих уступы, расположены на расстоянии по крайней мере </w:t>
      </w:r>
      <w:r>
        <w:rPr>
          <w:rFonts w:ascii="Times New Roman"/>
          <w:b w:val="false"/>
          <w:i/>
          <w:color w:val="000000"/>
          <w:sz w:val="28"/>
        </w:rPr>
        <w:t>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и 14,5 м, в зависимости от того, что меньше. Если указанное расстояние меньше, одну или более из таких переборок следует считать несуществующими.</w:t>
      </w:r>
    </w:p>
    <w:bookmarkEnd w:id="6406"/>
    <w:bookmarkStart w:name="z6416" w:id="6407"/>
    <w:p>
      <w:pPr>
        <w:spacing w:after="0"/>
        <w:ind w:left="0"/>
        <w:jc w:val="both"/>
      </w:pPr>
      <w:r>
        <w:rPr>
          <w:rFonts w:ascii="Times New Roman"/>
          <w:b w:val="false"/>
          <w:i w:val="false"/>
          <w:color w:val="000000"/>
          <w:sz w:val="28"/>
        </w:rPr>
        <w:t>
      2106. При одноотсечном затоплении, с учетом указанного в пункте 2105 настоящих Правил, считается, что главные поперечные переборки не повреждаются, если они не имеют уступов длиной более 3 м.</w:t>
      </w:r>
    </w:p>
    <w:bookmarkEnd w:id="6407"/>
    <w:bookmarkStart w:name="z6417" w:id="6408"/>
    <w:p>
      <w:pPr>
        <w:spacing w:after="0"/>
        <w:ind w:left="0"/>
        <w:jc w:val="both"/>
      </w:pPr>
      <w:r>
        <w:rPr>
          <w:rFonts w:ascii="Times New Roman"/>
          <w:b w:val="false"/>
          <w:i w:val="false"/>
          <w:color w:val="000000"/>
          <w:sz w:val="28"/>
        </w:rPr>
        <w:t>
      В тех случаях, когда указанные переборки имеют уступы протяженностью более 3 м, примыкающие к этим переборкам два отсека следует считать затопляемыми совместно.</w:t>
      </w:r>
    </w:p>
    <w:bookmarkEnd w:id="6408"/>
    <w:bookmarkStart w:name="z6418" w:id="6409"/>
    <w:p>
      <w:pPr>
        <w:spacing w:after="0"/>
        <w:ind w:left="0"/>
        <w:jc w:val="both"/>
      </w:pPr>
      <w:r>
        <w:rPr>
          <w:rFonts w:ascii="Times New Roman"/>
          <w:b w:val="false"/>
          <w:i w:val="false"/>
          <w:color w:val="000000"/>
          <w:sz w:val="28"/>
        </w:rPr>
        <w:t>
      Протяженность повреждения ограничивается поперечными переборками бортовой цистерны, если ее продольная переборка находится вне пределов глубины повреждения.</w:t>
      </w:r>
    </w:p>
    <w:bookmarkEnd w:id="6409"/>
    <w:bookmarkStart w:name="z6419" w:id="6410"/>
    <w:p>
      <w:pPr>
        <w:spacing w:after="0"/>
        <w:ind w:left="0"/>
        <w:jc w:val="both"/>
      </w:pPr>
      <w:r>
        <w:rPr>
          <w:rFonts w:ascii="Times New Roman"/>
          <w:b w:val="false"/>
          <w:i w:val="false"/>
          <w:color w:val="000000"/>
          <w:sz w:val="28"/>
        </w:rPr>
        <w:t>
      В случае, когда бортовая цистерна или цистерна двойного дна разделены поперечной переборкой, расположенной на расстоянии более 3 м от главной поперечной переборки, обе цистерны, разделенные такой переборкой, считаются затопляемыми. Следующие отсеки следует считать затопляемыми:</w:t>
      </w:r>
    </w:p>
    <w:bookmarkEnd w:id="6410"/>
    <w:bookmarkStart w:name="z6420" w:id="6411"/>
    <w:p>
      <w:pPr>
        <w:spacing w:after="0"/>
        <w:ind w:left="0"/>
        <w:jc w:val="both"/>
      </w:pPr>
      <w:r>
        <w:rPr>
          <w:rFonts w:ascii="Times New Roman"/>
          <w:b w:val="false"/>
          <w:i w:val="false"/>
          <w:color w:val="000000"/>
          <w:sz w:val="28"/>
        </w:rPr>
        <w:t>
      A + D, В + Е, C + E + F (приложение 244 настоящих Правил);</w:t>
      </w:r>
    </w:p>
    <w:bookmarkEnd w:id="6411"/>
    <w:p>
      <w:pPr>
        <w:spacing w:after="0"/>
        <w:ind w:left="0"/>
        <w:jc w:val="both"/>
      </w:pPr>
      <w:r>
        <w:rPr>
          <w:rFonts w:ascii="Times New Roman"/>
          <w:b w:val="false"/>
          <w:i w:val="false"/>
          <w:color w:val="000000"/>
          <w:sz w:val="28"/>
        </w:rPr>
        <w:t>
      A + D + E, В + Е (приложение 245 настоящих Правил);</w:t>
      </w:r>
    </w:p>
    <w:p>
      <w:pPr>
        <w:spacing w:after="0"/>
        <w:ind w:left="0"/>
        <w:jc w:val="both"/>
      </w:pPr>
      <w:r>
        <w:rPr>
          <w:rFonts w:ascii="Times New Roman"/>
          <w:b w:val="false"/>
          <w:i w:val="false"/>
          <w:color w:val="000000"/>
          <w:sz w:val="28"/>
        </w:rPr>
        <w:t>
      A + D, B + D + E (приложение 246 настоящих Правил);</w:t>
      </w:r>
    </w:p>
    <w:p>
      <w:pPr>
        <w:spacing w:after="0"/>
        <w:ind w:left="0"/>
        <w:jc w:val="both"/>
      </w:pPr>
      <w:r>
        <w:rPr>
          <w:rFonts w:ascii="Times New Roman"/>
          <w:b w:val="false"/>
          <w:i w:val="false"/>
          <w:color w:val="000000"/>
          <w:sz w:val="28"/>
        </w:rPr>
        <w:t>
      A + B + D, B + D + E (приложение 247 настоящих Правил).</w:t>
      </w:r>
    </w:p>
    <w:bookmarkStart w:name="z6421" w:id="6412"/>
    <w:p>
      <w:pPr>
        <w:spacing w:after="0"/>
        <w:ind w:left="0"/>
        <w:jc w:val="both"/>
      </w:pPr>
      <w:r>
        <w:rPr>
          <w:rFonts w:ascii="Times New Roman"/>
          <w:b w:val="false"/>
          <w:i w:val="false"/>
          <w:color w:val="000000"/>
          <w:sz w:val="28"/>
        </w:rPr>
        <w:t>
      В случае, когда бак располагается над носовым грузовым трюмом, при условии, что переборка бака отстоит в корму от носовой переборки трюма не более чем 3 м и обеспечивается водонепроницаемость палубной конструкции, образующей уступ, то переборка рассматривается как непрерывная и не повреждается.</w:t>
      </w:r>
    </w:p>
    <w:bookmarkEnd w:id="6412"/>
    <w:bookmarkStart w:name="z6422" w:id="6413"/>
    <w:p>
      <w:pPr>
        <w:spacing w:after="0"/>
        <w:ind w:left="0"/>
        <w:jc w:val="both"/>
      </w:pPr>
      <w:r>
        <w:rPr>
          <w:rFonts w:ascii="Times New Roman"/>
          <w:b w:val="false"/>
          <w:i w:val="false"/>
          <w:color w:val="000000"/>
          <w:sz w:val="28"/>
        </w:rPr>
        <w:t>
      2107. Если бортовая цистерна имеет отверстия со стороны трюма, она считается сообщающейся с трюмом независимо от наличия у этих отверстий устройств для закрывания. Аналогичное требование предъявляется к судам, перевозящим жидкие грузы, за исключением переборок между цистернами, считающихся водонепроницаемыми при наличии в них отверстий, закрываемых клинкетными задвижками, если последние имеют управление, расположенное выше палубы переборок.</w:t>
      </w:r>
    </w:p>
    <w:bookmarkEnd w:id="6413"/>
    <w:bookmarkStart w:name="z6423" w:id="6414"/>
    <w:p>
      <w:pPr>
        <w:spacing w:after="0"/>
        <w:ind w:left="0"/>
        <w:jc w:val="both"/>
      </w:pPr>
      <w:r>
        <w:rPr>
          <w:rFonts w:ascii="Times New Roman"/>
          <w:b w:val="false"/>
          <w:i w:val="false"/>
          <w:color w:val="000000"/>
          <w:sz w:val="28"/>
        </w:rPr>
        <w:t>
      2108. Если в пределах принятых размеров повреждения расположены трубы, шахты или туннели, предусматривают такие конструктивные меры, чтобы затопление не могло распространиться через них за пределы, принятые в расчетах аварийного состояния.</w:t>
      </w:r>
    </w:p>
    <w:bookmarkEnd w:id="6414"/>
    <w:bookmarkStart w:name="z6424" w:id="6415"/>
    <w:p>
      <w:pPr>
        <w:spacing w:after="0"/>
        <w:ind w:left="0"/>
        <w:jc w:val="both"/>
      </w:pPr>
      <w:r>
        <w:rPr>
          <w:rFonts w:ascii="Times New Roman"/>
          <w:b w:val="false"/>
          <w:i w:val="false"/>
          <w:color w:val="000000"/>
          <w:sz w:val="28"/>
        </w:rPr>
        <w:t>
      2109. В случаях двухотсечного затопления следует исходить из положений, указанных в пунктах 2102 - 2105, 2106 и 2107 настоящих Правил.</w:t>
      </w:r>
    </w:p>
    <w:bookmarkEnd w:id="6415"/>
    <w:bookmarkStart w:name="z6425" w:id="6416"/>
    <w:p>
      <w:pPr>
        <w:spacing w:after="0"/>
        <w:ind w:left="0"/>
        <w:jc w:val="left"/>
      </w:pPr>
      <w:r>
        <w:rPr>
          <w:rFonts w:ascii="Times New Roman"/>
          <w:b/>
          <w:i w:val="false"/>
          <w:color w:val="000000"/>
        </w:rPr>
        <w:t xml:space="preserve"> Параграф 4. Посадка и остойчивость поврежденного судна</w:t>
      </w:r>
    </w:p>
    <w:bookmarkEnd w:id="6416"/>
    <w:bookmarkStart w:name="z6426" w:id="6417"/>
    <w:p>
      <w:pPr>
        <w:spacing w:after="0"/>
        <w:ind w:left="0"/>
        <w:jc w:val="both"/>
      </w:pPr>
      <w:r>
        <w:rPr>
          <w:rFonts w:ascii="Times New Roman"/>
          <w:b w:val="false"/>
          <w:i w:val="false"/>
          <w:color w:val="000000"/>
          <w:sz w:val="28"/>
        </w:rPr>
        <w:t>
      2110. Метацентрическая высота поврежденного судна до принятия мер по ее увеличению имеет положительное значение.</w:t>
      </w:r>
    </w:p>
    <w:bookmarkEnd w:id="6417"/>
    <w:bookmarkStart w:name="z6427" w:id="6418"/>
    <w:p>
      <w:pPr>
        <w:spacing w:after="0"/>
        <w:ind w:left="0"/>
        <w:jc w:val="both"/>
      </w:pPr>
      <w:r>
        <w:rPr>
          <w:rFonts w:ascii="Times New Roman"/>
          <w:b w:val="false"/>
          <w:i w:val="false"/>
          <w:color w:val="000000"/>
          <w:sz w:val="28"/>
        </w:rPr>
        <w:t>
      2111. Угол крена вследствие несимметричного затопления до начала спрямления судна не превышает 15</w:t>
      </w:r>
      <w:r>
        <w:rPr>
          <w:rFonts w:ascii="Times New Roman"/>
          <w:b w:val="false"/>
          <w:i w:val="false"/>
          <w:color w:val="000000"/>
          <w:vertAlign w:val="superscript"/>
        </w:rPr>
        <w:t>o</w:t>
      </w:r>
      <w:r>
        <w:rPr>
          <w:rFonts w:ascii="Times New Roman"/>
          <w:b w:val="false"/>
          <w:i w:val="false"/>
          <w:color w:val="000000"/>
          <w:sz w:val="28"/>
        </w:rPr>
        <w:t>. Если при затоплении никакая часть палубы переборок не входит в воду, лопускается увеличение крена до 17</w:t>
      </w:r>
      <w:r>
        <w:rPr>
          <w:rFonts w:ascii="Times New Roman"/>
          <w:b w:val="false"/>
          <w:i w:val="false"/>
          <w:color w:val="000000"/>
          <w:vertAlign w:val="superscript"/>
        </w:rPr>
        <w:t>o</w:t>
      </w:r>
      <w:r>
        <w:rPr>
          <w:rFonts w:ascii="Times New Roman"/>
          <w:b w:val="false"/>
          <w:i w:val="false"/>
          <w:color w:val="000000"/>
          <w:sz w:val="28"/>
        </w:rPr>
        <w:t>.</w:t>
      </w:r>
    </w:p>
    <w:bookmarkEnd w:id="6418"/>
    <w:bookmarkStart w:name="z6428" w:id="6419"/>
    <w:p>
      <w:pPr>
        <w:spacing w:after="0"/>
        <w:ind w:left="0"/>
        <w:jc w:val="both"/>
      </w:pPr>
      <w:r>
        <w:rPr>
          <w:rFonts w:ascii="Times New Roman"/>
          <w:b w:val="false"/>
          <w:i w:val="false"/>
          <w:color w:val="000000"/>
          <w:sz w:val="28"/>
        </w:rPr>
        <w:t>
      2112. Конечная аварийная ватерлиния с учетом крена и дифферента до начала спрямления судна не проходит выше нижней кромки отверстий, указанных в пункте 2105 настоящих Правил, через которые происходит дальнейшее затопление.</w:t>
      </w:r>
    </w:p>
    <w:bookmarkEnd w:id="6419"/>
    <w:bookmarkStart w:name="z6429" w:id="6420"/>
    <w:p>
      <w:pPr>
        <w:spacing w:after="0"/>
        <w:ind w:left="0"/>
        <w:jc w:val="both"/>
      </w:pPr>
      <w:r>
        <w:rPr>
          <w:rFonts w:ascii="Times New Roman"/>
          <w:b w:val="false"/>
          <w:i w:val="false"/>
          <w:color w:val="000000"/>
          <w:sz w:val="28"/>
        </w:rPr>
        <w:t>
      2113. Если какая-либо часть палубы переборок вне пределов затапливаемых отсеков входит в воду или если запас аварийной остойчивости представляется сомнительным, необходимо провести исследование аварийной остойчивости на больших углах крена. При этом показывают, что значение максимального плеча диаграммы статической остойчивости поврежденного судна составляет не менее 0,1 м в пределах нормируемой протяженности (20</w:t>
      </w:r>
      <w:r>
        <w:rPr>
          <w:rFonts w:ascii="Times New Roman"/>
          <w:b w:val="false"/>
          <w:i w:val="false"/>
          <w:color w:val="000000"/>
          <w:vertAlign w:val="superscript"/>
        </w:rPr>
        <w:t>o</w:t>
      </w:r>
      <w:r>
        <w:rPr>
          <w:rFonts w:ascii="Times New Roman"/>
          <w:b w:val="false"/>
          <w:i w:val="false"/>
          <w:color w:val="000000"/>
          <w:sz w:val="28"/>
        </w:rPr>
        <w:t>), протяженность части диаграммы с положительными плечами составляет не менее 20</w:t>
      </w:r>
      <w:r>
        <w:rPr>
          <w:rFonts w:ascii="Times New Roman"/>
          <w:b w:val="false"/>
          <w:i w:val="false"/>
          <w:color w:val="000000"/>
          <w:vertAlign w:val="superscript"/>
        </w:rPr>
        <w:t>o</w:t>
      </w:r>
      <w:r>
        <w:rPr>
          <w:rFonts w:ascii="Times New Roman"/>
          <w:b w:val="false"/>
          <w:i w:val="false"/>
          <w:color w:val="000000"/>
          <w:sz w:val="28"/>
        </w:rPr>
        <w:t>, а площадь положительного участка диаграммы в пределах этой протяженности составляет не менее 0,0175 м-рад.</w:t>
      </w:r>
    </w:p>
    <w:bookmarkEnd w:id="6420"/>
    <w:bookmarkStart w:name="z6430" w:id="6421"/>
    <w:p>
      <w:pPr>
        <w:spacing w:after="0"/>
        <w:ind w:left="0"/>
        <w:jc w:val="left"/>
      </w:pPr>
      <w:r>
        <w:rPr>
          <w:rFonts w:ascii="Times New Roman"/>
          <w:b/>
          <w:i w:val="false"/>
          <w:color w:val="000000"/>
        </w:rPr>
        <w:t xml:space="preserve"> Глава 137. Требования к навалочным судам, рудовозам и комбинированным судам, находящимся в эксплуатации</w:t>
      </w:r>
    </w:p>
    <w:bookmarkEnd w:id="6421"/>
    <w:p>
      <w:pPr>
        <w:spacing w:after="0"/>
        <w:ind w:left="0"/>
        <w:jc w:val="both"/>
      </w:pPr>
      <w:r>
        <w:rPr>
          <w:rFonts w:ascii="Times New Roman"/>
          <w:b w:val="false"/>
          <w:i w:val="false"/>
          <w:color w:val="ff0000"/>
          <w:sz w:val="28"/>
        </w:rPr>
        <w:t xml:space="preserve">
      Сноска. Заголовок главы 137 -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31" w:id="6422"/>
    <w:p>
      <w:pPr>
        <w:spacing w:after="0"/>
        <w:ind w:left="0"/>
        <w:jc w:val="both"/>
      </w:pPr>
      <w:r>
        <w:rPr>
          <w:rFonts w:ascii="Times New Roman"/>
          <w:b w:val="false"/>
          <w:i w:val="false"/>
          <w:color w:val="000000"/>
          <w:sz w:val="28"/>
        </w:rPr>
        <w:t>
      2114. Навалочное судно с одинарными бортами, конструкция которых отвечает требованиям подпункта 1) пункта 637 настоящих Правил, длиной L1&gt;150 метров, перевозящее твердые навалочные грузы плотностью 1000 килограмм/метров3 и более, построенное 1 июля 1999 года или после этой даты, отвечает требованиям параграфа 4 главы 136 при затоплении любого грузового трюма во всех случаях загрузки по летнюю грузовую марку. Навалочное судно, у которого носовой грузовой трюм ограничен наружной обшивкой или двойным бортом шириной менее 760 миллиметров, длиной L±150 метров и более, построенное до 1 июля 1999 года, перевозящее твердые навалочные грузы плотностью 1780 килограмм/метров3 и более, отвечает требованиям параграфа 4 главы 136 при затоплении носового грузового трюма во всех случаях загрузки по летнюю грузовую марку не позднее даты освидетельствования, определенной в зависимости от возраста судна:</w:t>
      </w:r>
    </w:p>
    <w:bookmarkEnd w:id="6422"/>
    <w:bookmarkStart w:name="z10739" w:id="6423"/>
    <w:p>
      <w:pPr>
        <w:spacing w:after="0"/>
        <w:ind w:left="0"/>
        <w:jc w:val="both"/>
      </w:pPr>
      <w:r>
        <w:rPr>
          <w:rFonts w:ascii="Times New Roman"/>
          <w:b w:val="false"/>
          <w:i w:val="false"/>
          <w:color w:val="000000"/>
          <w:sz w:val="28"/>
        </w:rPr>
        <w:t>
      1) для судов, возраст которых на 1 июля 1998 года составит 20 лет и более, принимается дата первого промежуточного (второго или третьего ежегодного освидетельствования) или первого очередного освидетельствования, которое будет проводиться после 1 июля 1998 года, в зависимости от того, что имеет место ранее;</w:t>
      </w:r>
    </w:p>
    <w:bookmarkEnd w:id="6423"/>
    <w:bookmarkStart w:name="z10740" w:id="6424"/>
    <w:p>
      <w:pPr>
        <w:spacing w:after="0"/>
        <w:ind w:left="0"/>
        <w:jc w:val="both"/>
      </w:pPr>
      <w:r>
        <w:rPr>
          <w:rFonts w:ascii="Times New Roman"/>
          <w:b w:val="false"/>
          <w:i w:val="false"/>
          <w:color w:val="000000"/>
          <w:sz w:val="28"/>
        </w:rPr>
        <w:t>
      2) для судов, возраст которых на 1 июля 1998 года составит 15 лет и более, но менее 20 лет, принимается дата первого очередного освидетельствования, которое будет проводиться после 1 июля 1998 года, но не позднее 1 июля 2002 года;</w:t>
      </w:r>
    </w:p>
    <w:bookmarkEnd w:id="6424"/>
    <w:bookmarkStart w:name="z10741" w:id="6425"/>
    <w:p>
      <w:pPr>
        <w:spacing w:after="0"/>
        <w:ind w:left="0"/>
        <w:jc w:val="both"/>
      </w:pPr>
      <w:r>
        <w:rPr>
          <w:rFonts w:ascii="Times New Roman"/>
          <w:b w:val="false"/>
          <w:i w:val="false"/>
          <w:color w:val="000000"/>
          <w:sz w:val="28"/>
        </w:rPr>
        <w:t>
      3) для судов, возраст которых на 1 июля 1998 года составит менее 15 лет, принимается дата третьего очередного освидетельствования, либо дата достижения судном возраста 15 лет, в зависимости от того, что имеет место позднее.</w:t>
      </w:r>
    </w:p>
    <w:bookmarkEnd w:id="6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5" w:id="6426"/>
    <w:p>
      <w:pPr>
        <w:spacing w:after="0"/>
        <w:ind w:left="0"/>
        <w:jc w:val="both"/>
      </w:pPr>
      <w:r>
        <w:rPr>
          <w:rFonts w:ascii="Times New Roman"/>
          <w:b w:val="false"/>
          <w:i w:val="false"/>
          <w:color w:val="000000"/>
          <w:sz w:val="28"/>
        </w:rPr>
        <w:t>
      2115. При выполнении расчетов аварийной остойчивости принимают следующие значения коэффициентов проницаемости:</w:t>
      </w:r>
    </w:p>
    <w:bookmarkEnd w:id="6426"/>
    <w:bookmarkStart w:name="z6436" w:id="6427"/>
    <w:p>
      <w:pPr>
        <w:spacing w:after="0"/>
        <w:ind w:left="0"/>
        <w:jc w:val="both"/>
      </w:pPr>
      <w:r>
        <w:rPr>
          <w:rFonts w:ascii="Times New Roman"/>
          <w:b w:val="false"/>
          <w:i w:val="false"/>
          <w:color w:val="000000"/>
          <w:sz w:val="28"/>
        </w:rPr>
        <w:t>
      0,90 — для загруженных трюмов;</w:t>
      </w:r>
    </w:p>
    <w:bookmarkEnd w:id="6427"/>
    <w:bookmarkStart w:name="z6437" w:id="6428"/>
    <w:p>
      <w:pPr>
        <w:spacing w:after="0"/>
        <w:ind w:left="0"/>
        <w:jc w:val="both"/>
      </w:pPr>
      <w:r>
        <w:rPr>
          <w:rFonts w:ascii="Times New Roman"/>
          <w:b w:val="false"/>
          <w:i w:val="false"/>
          <w:color w:val="000000"/>
          <w:sz w:val="28"/>
        </w:rPr>
        <w:t>
      0,95 — для пустых трюмов.</w:t>
      </w:r>
    </w:p>
    <w:bookmarkEnd w:id="6428"/>
    <w:bookmarkStart w:name="z6438" w:id="6429"/>
    <w:p>
      <w:pPr>
        <w:spacing w:after="0"/>
        <w:ind w:left="0"/>
        <w:jc w:val="both"/>
      </w:pPr>
      <w:r>
        <w:rPr>
          <w:rFonts w:ascii="Times New Roman"/>
          <w:b w:val="false"/>
          <w:i w:val="false"/>
          <w:color w:val="000000"/>
          <w:sz w:val="28"/>
        </w:rPr>
        <w:t>
      2116. Суда, не отвечающие требованиям пункта 2314 настоящих Правил, освобождают от выполнения указанного требования при выполнении следующих условий:</w:t>
      </w:r>
    </w:p>
    <w:bookmarkEnd w:id="6429"/>
    <w:bookmarkStart w:name="z10743" w:id="6430"/>
    <w:p>
      <w:pPr>
        <w:spacing w:after="0"/>
        <w:ind w:left="0"/>
        <w:jc w:val="both"/>
      </w:pPr>
      <w:r>
        <w:rPr>
          <w:rFonts w:ascii="Times New Roman"/>
          <w:b w:val="false"/>
          <w:i w:val="false"/>
          <w:color w:val="000000"/>
          <w:sz w:val="28"/>
        </w:rPr>
        <w:t>
      1) программа ежегодного освидетельствования носового трюма заменена программой, принятой при расширенном промежуточном освидетельствовании;</w:t>
      </w:r>
    </w:p>
    <w:bookmarkEnd w:id="6430"/>
    <w:bookmarkStart w:name="z10744" w:id="6431"/>
    <w:p>
      <w:pPr>
        <w:spacing w:after="0"/>
        <w:ind w:left="0"/>
        <w:jc w:val="both"/>
      </w:pPr>
      <w:r>
        <w:rPr>
          <w:rFonts w:ascii="Times New Roman"/>
          <w:b w:val="false"/>
          <w:i w:val="false"/>
          <w:color w:val="000000"/>
          <w:sz w:val="28"/>
        </w:rPr>
        <w:t>
      2) в рулевой рубке предусмотрена световая и звуковая сигнализация:</w:t>
      </w:r>
    </w:p>
    <w:bookmarkEnd w:id="6431"/>
    <w:bookmarkStart w:name="z10745" w:id="6432"/>
    <w:p>
      <w:pPr>
        <w:spacing w:after="0"/>
        <w:ind w:left="0"/>
        <w:jc w:val="both"/>
      </w:pPr>
      <w:r>
        <w:rPr>
          <w:rFonts w:ascii="Times New Roman"/>
          <w:b w:val="false"/>
          <w:i w:val="false"/>
          <w:color w:val="000000"/>
          <w:sz w:val="28"/>
        </w:rPr>
        <w:t>
      о поступлении воды выше уровня два метра над двойным дном в кормовую часть каждого грузового трюма;</w:t>
      </w:r>
    </w:p>
    <w:bookmarkEnd w:id="6432"/>
    <w:bookmarkStart w:name="z10746" w:id="6433"/>
    <w:p>
      <w:pPr>
        <w:spacing w:after="0"/>
        <w:ind w:left="0"/>
        <w:jc w:val="both"/>
      </w:pPr>
      <w:r>
        <w:rPr>
          <w:rFonts w:ascii="Times New Roman"/>
          <w:b w:val="false"/>
          <w:i w:val="false"/>
          <w:color w:val="000000"/>
          <w:sz w:val="28"/>
        </w:rPr>
        <w:t>
      о заполнении водой льяльных колодцев каждого трюма по верхний уровень.</w:t>
      </w:r>
    </w:p>
    <w:bookmarkEnd w:id="6433"/>
    <w:bookmarkStart w:name="z10747" w:id="6434"/>
    <w:p>
      <w:pPr>
        <w:spacing w:after="0"/>
        <w:ind w:left="0"/>
        <w:jc w:val="both"/>
      </w:pPr>
      <w:r>
        <w:rPr>
          <w:rFonts w:ascii="Times New Roman"/>
          <w:b w:val="false"/>
          <w:i w:val="false"/>
          <w:color w:val="000000"/>
          <w:sz w:val="28"/>
        </w:rPr>
        <w:t>
      Такая сигнализация отвечает требованиям раздела 13 настоящих Правил;</w:t>
      </w:r>
    </w:p>
    <w:bookmarkEnd w:id="6434"/>
    <w:bookmarkStart w:name="z10748" w:id="6435"/>
    <w:p>
      <w:pPr>
        <w:spacing w:after="0"/>
        <w:ind w:left="0"/>
        <w:jc w:val="both"/>
      </w:pPr>
      <w:r>
        <w:rPr>
          <w:rFonts w:ascii="Times New Roman"/>
          <w:b w:val="false"/>
          <w:i w:val="false"/>
          <w:color w:val="000000"/>
          <w:sz w:val="28"/>
        </w:rPr>
        <w:t>
      3) судно снабжено подробной информацией о последствиях поэтапного затопления грузового трюма и подробными инструкциями в соответствии с разделом 8 Международного кодекса по управлению безопасностью.</w:t>
      </w:r>
    </w:p>
    <w:bookmarkEnd w:id="6435"/>
    <w:bookmarkStart w:name="z10749" w:id="6436"/>
    <w:p>
      <w:pPr>
        <w:spacing w:after="0"/>
        <w:ind w:left="0"/>
        <w:jc w:val="both"/>
      </w:pPr>
      <w:r>
        <w:rPr>
          <w:rFonts w:ascii="Times New Roman"/>
          <w:b w:val="false"/>
          <w:i w:val="false"/>
          <w:color w:val="000000"/>
          <w:sz w:val="28"/>
        </w:rPr>
        <w:t>
      Информация содержит сведения и документацию, указанные в пункте 1972 настоящих Правил, и результаты расчетов аварийной посадки и остойчивости судна при поэтапном затоплении трюма во всех случаях загрузки по летнюю грузовую марку на ровный киль. Если судно отвечает требованиям параграфа 4 главы 136 при меньшей осадке, в документ необходимо включить диаграмму предельных возвышений центра тяжести (предельных моментов или минимальных метацентрических высот), построенную с учетом дифферента и загрузки судна. Необходимо учесть прочность переборки. Информация содержит сводную таблицу результатов расчетов с указанием критических факторов и сведения, указанные в подпункте 5) пункта 1972 настоящих Правил.</w:t>
      </w:r>
    </w:p>
    <w:bookmarkEnd w:id="6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6" w:id="6437"/>
    <w:p>
      <w:pPr>
        <w:spacing w:after="0"/>
        <w:ind w:left="0"/>
        <w:jc w:val="both"/>
      </w:pPr>
      <w:r>
        <w:rPr>
          <w:rFonts w:ascii="Times New Roman"/>
          <w:b w:val="false"/>
          <w:i w:val="false"/>
          <w:color w:val="000000"/>
          <w:sz w:val="28"/>
        </w:rPr>
        <w:t>
      2117. Суда, которым назначен уменьшенный надводный борт в соответствии с требованиями главы 136 настоящих Правил, считаются отвечающими требованиям пункта 2114 настоящих Правил.</w:t>
      </w:r>
    </w:p>
    <w:bookmarkEnd w:id="6437"/>
    <w:bookmarkStart w:name="z6447" w:id="6438"/>
    <w:p>
      <w:pPr>
        <w:spacing w:after="0"/>
        <w:ind w:left="0"/>
        <w:jc w:val="both"/>
      </w:pPr>
      <w:r>
        <w:rPr>
          <w:rFonts w:ascii="Times New Roman"/>
          <w:b w:val="false"/>
          <w:i w:val="false"/>
          <w:color w:val="000000"/>
          <w:sz w:val="28"/>
        </w:rPr>
        <w:t>
      2118. Сведения о выполнении требований пунктов 2114 — 2116 настоящих Правил помещают в Информацию, требуемый пунктом 249 настоящих Правил.</w:t>
      </w:r>
    </w:p>
    <w:bookmarkEnd w:id="6438"/>
    <w:bookmarkStart w:name="z6448" w:id="6439"/>
    <w:p>
      <w:pPr>
        <w:spacing w:after="0"/>
        <w:ind w:left="0"/>
        <w:jc w:val="both"/>
      </w:pPr>
      <w:r>
        <w:rPr>
          <w:rFonts w:ascii="Times New Roman"/>
          <w:b w:val="false"/>
          <w:i w:val="false"/>
          <w:color w:val="000000"/>
          <w:sz w:val="28"/>
        </w:rPr>
        <w:t>
      2119. Необходимо чтобы суда, построенные до 1 июля 2004 г., отвечали требованиям пунктов 2078 - 2080 настоящих Правил не позднее даты первого периодического освидетельствования судна, проводимого после 1 июля 2004 г.</w:t>
      </w:r>
    </w:p>
    <w:bookmarkEnd w:id="6439"/>
    <w:bookmarkStart w:name="z6449" w:id="6440"/>
    <w:p>
      <w:pPr>
        <w:spacing w:after="0"/>
        <w:ind w:left="0"/>
        <w:jc w:val="both"/>
      </w:pPr>
      <w:r>
        <w:rPr>
          <w:rFonts w:ascii="Times New Roman"/>
          <w:b w:val="false"/>
          <w:i w:val="false"/>
          <w:color w:val="000000"/>
          <w:sz w:val="28"/>
        </w:rPr>
        <w:t>
      2120. В случае невозможности установки датчиков уровня воды в кормовой части грузового трюма на расстоянии, меньшем или равном В/6 от диаметральной плоскости, они располагаются по обоим бортам трюма.</w:t>
      </w:r>
    </w:p>
    <w:bookmarkEnd w:id="6440"/>
    <w:bookmarkStart w:name="z6450" w:id="6441"/>
    <w:p>
      <w:pPr>
        <w:spacing w:after="0"/>
        <w:ind w:left="0"/>
        <w:jc w:val="both"/>
      </w:pPr>
      <w:r>
        <w:rPr>
          <w:rFonts w:ascii="Times New Roman"/>
          <w:b w:val="false"/>
          <w:i w:val="false"/>
          <w:color w:val="000000"/>
          <w:sz w:val="28"/>
        </w:rPr>
        <w:t>
      2121. На судах, подпадающих под требования пункта 2116 настоящих Правил, в грузовых трюмах устанавливается только верхний датчик; суда, не выполнившие требование подпункта 2) пункта 2116 настоящих Правил на 1 января 2004 г., оборудуются датчиками уровня воды в грузовых трюмах в соответствии с подпунктом 1) пункта 2078 настоящих Правил (с учетом пункта 2120 настоящих Правил).</w:t>
      </w:r>
    </w:p>
    <w:bookmarkEnd w:id="6441"/>
    <w:bookmarkStart w:name="z6451" w:id="6442"/>
    <w:p>
      <w:pPr>
        <w:spacing w:after="0"/>
        <w:ind w:left="0"/>
        <w:jc w:val="left"/>
      </w:pPr>
      <w:r>
        <w:rPr>
          <w:rFonts w:ascii="Times New Roman"/>
          <w:b/>
          <w:i w:val="false"/>
          <w:color w:val="000000"/>
        </w:rPr>
        <w:t xml:space="preserve"> Раздел 8. Противопожарная защита</w:t>
      </w:r>
      <w:r>
        <w:br/>
      </w:r>
      <w:r>
        <w:rPr>
          <w:rFonts w:ascii="Times New Roman"/>
          <w:b/>
          <w:i w:val="false"/>
          <w:color w:val="000000"/>
        </w:rPr>
        <w:t>Подраздел 1. Общие положения</w:t>
      </w:r>
    </w:p>
    <w:bookmarkEnd w:id="6442"/>
    <w:p>
      <w:pPr>
        <w:spacing w:after="0"/>
        <w:ind w:left="0"/>
        <w:jc w:val="both"/>
      </w:pPr>
      <w:r>
        <w:rPr>
          <w:rFonts w:ascii="Times New Roman"/>
          <w:b w:val="false"/>
          <w:i w:val="false"/>
          <w:color w:val="ff0000"/>
          <w:sz w:val="28"/>
        </w:rPr>
        <w:t xml:space="preserve">
      Сноска. Заголовок подраздела 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53" w:id="6443"/>
    <w:p>
      <w:pPr>
        <w:spacing w:after="0"/>
        <w:ind w:left="0"/>
        <w:jc w:val="left"/>
      </w:pPr>
      <w:r>
        <w:rPr>
          <w:rFonts w:ascii="Times New Roman"/>
          <w:b/>
          <w:i w:val="false"/>
          <w:color w:val="000000"/>
        </w:rPr>
        <w:t xml:space="preserve"> Глава 138. Область распространения</w:t>
      </w:r>
    </w:p>
    <w:bookmarkEnd w:id="6443"/>
    <w:p>
      <w:pPr>
        <w:spacing w:after="0"/>
        <w:ind w:left="0"/>
        <w:jc w:val="both"/>
      </w:pPr>
      <w:r>
        <w:rPr>
          <w:rFonts w:ascii="Times New Roman"/>
          <w:b w:val="false"/>
          <w:i w:val="false"/>
          <w:color w:val="ff0000"/>
          <w:sz w:val="28"/>
        </w:rPr>
        <w:t xml:space="preserve">
      Сноска. Заголовок главы 138 -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54" w:id="6444"/>
    <w:p>
      <w:pPr>
        <w:spacing w:after="0"/>
        <w:ind w:left="0"/>
        <w:jc w:val="both"/>
      </w:pPr>
      <w:r>
        <w:rPr>
          <w:rFonts w:ascii="Times New Roman"/>
          <w:b w:val="false"/>
          <w:i w:val="false"/>
          <w:color w:val="000000"/>
          <w:sz w:val="28"/>
        </w:rPr>
        <w:t>
      2122. Требования настоящего раздела Правил распространяются на конструктивные элементы судовой противопожарной защиты, системы пожаротушения и пожарной сигнализации, а также на напротивопожарное оборудование и снабжение.</w:t>
      </w:r>
    </w:p>
    <w:bookmarkEnd w:id="6444"/>
    <w:bookmarkStart w:name="z6455" w:id="6445"/>
    <w:p>
      <w:pPr>
        <w:spacing w:after="0"/>
        <w:ind w:left="0"/>
        <w:jc w:val="both"/>
      </w:pPr>
      <w:r>
        <w:rPr>
          <w:rFonts w:ascii="Times New Roman"/>
          <w:b w:val="false"/>
          <w:i w:val="false"/>
          <w:color w:val="000000"/>
          <w:sz w:val="28"/>
        </w:rPr>
        <w:t>
      2123. Требования противопожарной защиты к элементам конструкции судна, механизмам, их деталям, электрическому оборудованию, общесудовым системам и трубопроводам, судовым устройствам, хранилищам жидкого топлива и масла, к конструкции и расположению котлов, холодильным установкам, судовым помещениям изложены в соответствующих частях Правил.</w:t>
      </w:r>
    </w:p>
    <w:bookmarkEnd w:id="6445"/>
    <w:bookmarkStart w:name="z6456" w:id="6446"/>
    <w:p>
      <w:pPr>
        <w:spacing w:after="0"/>
        <w:ind w:left="0"/>
        <w:jc w:val="both"/>
      </w:pPr>
      <w:r>
        <w:rPr>
          <w:rFonts w:ascii="Times New Roman"/>
          <w:b w:val="false"/>
          <w:i w:val="false"/>
          <w:color w:val="000000"/>
          <w:sz w:val="28"/>
        </w:rPr>
        <w:t>
      2124. Помещения, мебель и отделка которых представляют ограниченную пожарную опасность для целей применения на судах, перевозящих более 36 пассажиров — это помещения (каюты, общественные помещения, кабинеты или иные жилые помещения, указанные в пункте 2134 настоящих Правил), в которых:</w:t>
      </w:r>
    </w:p>
    <w:bookmarkEnd w:id="6446"/>
    <w:bookmarkStart w:name="z6457" w:id="6447"/>
    <w:p>
      <w:pPr>
        <w:spacing w:after="0"/>
        <w:ind w:left="0"/>
        <w:jc w:val="both"/>
      </w:pPr>
      <w:r>
        <w:rPr>
          <w:rFonts w:ascii="Times New Roman"/>
          <w:b w:val="false"/>
          <w:i w:val="false"/>
          <w:color w:val="000000"/>
          <w:sz w:val="28"/>
        </w:rPr>
        <w:t>
      вся мебель, такая как столы, гардеробы, туалетные столы, бюро, платяные шкафы, полностью изготовлена из одобренных негорючих материалов, однако рабочая поверхность такой мебели имеет горючую облицовку толщиной не более 2 мм;</w:t>
      </w:r>
    </w:p>
    <w:bookmarkEnd w:id="6447"/>
    <w:bookmarkStart w:name="z6458" w:id="6448"/>
    <w:p>
      <w:pPr>
        <w:spacing w:after="0"/>
        <w:ind w:left="0"/>
        <w:jc w:val="both"/>
      </w:pPr>
      <w:r>
        <w:rPr>
          <w:rFonts w:ascii="Times New Roman"/>
          <w:b w:val="false"/>
          <w:i w:val="false"/>
          <w:color w:val="000000"/>
          <w:sz w:val="28"/>
        </w:rPr>
        <w:t>
      вся незакрепляемая мебель, такая как кресла, диваны, столы, изготовлена с применением каркасов из негорючих материалов;</w:t>
      </w:r>
    </w:p>
    <w:bookmarkEnd w:id="6448"/>
    <w:bookmarkStart w:name="z6459" w:id="6449"/>
    <w:p>
      <w:pPr>
        <w:spacing w:after="0"/>
        <w:ind w:left="0"/>
        <w:jc w:val="both"/>
      </w:pPr>
      <w:r>
        <w:rPr>
          <w:rFonts w:ascii="Times New Roman"/>
          <w:b w:val="false"/>
          <w:i w:val="false"/>
          <w:color w:val="000000"/>
          <w:sz w:val="28"/>
        </w:rPr>
        <w:t>
      все драпировки, занавеси и другие висящие тканевые изделия противостоят распространению пламени не хуже, чем изделия из шерсти массой 0,8 кг на 1 м</w:t>
      </w:r>
      <w:r>
        <w:rPr>
          <w:rFonts w:ascii="Times New Roman"/>
          <w:b w:val="false"/>
          <w:i w:val="false"/>
          <w:color w:val="000000"/>
          <w:vertAlign w:val="superscript"/>
        </w:rPr>
        <w:t>2</w:t>
      </w:r>
      <w:r>
        <w:rPr>
          <w:rFonts w:ascii="Times New Roman"/>
          <w:b w:val="false"/>
          <w:i w:val="false"/>
          <w:color w:val="000000"/>
          <w:sz w:val="28"/>
        </w:rPr>
        <w:t>, что определяется в соответствии с Кодексом процедур огневых испытаний;</w:t>
      </w:r>
    </w:p>
    <w:bookmarkEnd w:id="6449"/>
    <w:bookmarkStart w:name="z6460" w:id="6450"/>
    <w:p>
      <w:pPr>
        <w:spacing w:after="0"/>
        <w:ind w:left="0"/>
        <w:jc w:val="both"/>
      </w:pPr>
      <w:r>
        <w:rPr>
          <w:rFonts w:ascii="Times New Roman"/>
          <w:b w:val="false"/>
          <w:i w:val="false"/>
          <w:color w:val="000000"/>
          <w:sz w:val="28"/>
        </w:rPr>
        <w:t>
      все покрытия палуб имеют характеристики медленного распространения пламени;</w:t>
      </w:r>
    </w:p>
    <w:bookmarkEnd w:id="6450"/>
    <w:bookmarkStart w:name="z6461" w:id="6451"/>
    <w:p>
      <w:pPr>
        <w:spacing w:after="0"/>
        <w:ind w:left="0"/>
        <w:jc w:val="both"/>
      </w:pPr>
      <w:r>
        <w:rPr>
          <w:rFonts w:ascii="Times New Roman"/>
          <w:b w:val="false"/>
          <w:i w:val="false"/>
          <w:color w:val="000000"/>
          <w:sz w:val="28"/>
        </w:rPr>
        <w:t>
      все открытые поверхности переборок, зашивок и подволоков имеют характеристики медленного распространения пламени;</w:t>
      </w:r>
    </w:p>
    <w:bookmarkEnd w:id="6451"/>
    <w:bookmarkStart w:name="z6462" w:id="6452"/>
    <w:p>
      <w:pPr>
        <w:spacing w:after="0"/>
        <w:ind w:left="0"/>
        <w:jc w:val="both"/>
      </w:pPr>
      <w:r>
        <w:rPr>
          <w:rFonts w:ascii="Times New Roman"/>
          <w:b w:val="false"/>
          <w:i w:val="false"/>
          <w:color w:val="000000"/>
          <w:sz w:val="28"/>
        </w:rPr>
        <w:t>
      вся обитая мебель отвечает требованиям в отношении сопротивления воспламенению и распространению пламени, что определяется Кодексом процедур огневых испытаний;</w:t>
      </w:r>
    </w:p>
    <w:bookmarkEnd w:id="6452"/>
    <w:bookmarkStart w:name="z6463" w:id="6453"/>
    <w:p>
      <w:pPr>
        <w:spacing w:after="0"/>
        <w:ind w:left="0"/>
        <w:jc w:val="both"/>
      </w:pPr>
      <w:r>
        <w:rPr>
          <w:rFonts w:ascii="Times New Roman"/>
          <w:b w:val="false"/>
          <w:i w:val="false"/>
          <w:color w:val="000000"/>
          <w:sz w:val="28"/>
        </w:rPr>
        <w:t>
      все спальные принадлежности удовлетворяют требованиям в отношении сопротивления воспламенению и распространению пламени, что определяется Кодексом процедур огневых испытаний;</w:t>
      </w:r>
    </w:p>
    <w:bookmarkEnd w:id="6453"/>
    <w:bookmarkStart w:name="z6464" w:id="6454"/>
    <w:p>
      <w:pPr>
        <w:spacing w:after="0"/>
        <w:ind w:left="0"/>
        <w:jc w:val="left"/>
      </w:pPr>
      <w:r>
        <w:rPr>
          <w:rFonts w:ascii="Times New Roman"/>
          <w:b/>
          <w:i w:val="false"/>
          <w:color w:val="000000"/>
        </w:rPr>
        <w:t xml:space="preserve"> Глава 139. Объем освидетельствований</w:t>
      </w:r>
    </w:p>
    <w:bookmarkEnd w:id="6454"/>
    <w:p>
      <w:pPr>
        <w:spacing w:after="0"/>
        <w:ind w:left="0"/>
        <w:jc w:val="both"/>
      </w:pPr>
      <w:r>
        <w:rPr>
          <w:rFonts w:ascii="Times New Roman"/>
          <w:b w:val="false"/>
          <w:i w:val="false"/>
          <w:color w:val="ff0000"/>
          <w:sz w:val="28"/>
        </w:rPr>
        <w:t xml:space="preserve">
      Сноска. Заголовок главы 139 -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65" w:id="6455"/>
    <w:p>
      <w:pPr>
        <w:spacing w:after="0"/>
        <w:ind w:left="0"/>
        <w:jc w:val="both"/>
      </w:pPr>
      <w:r>
        <w:rPr>
          <w:rFonts w:ascii="Times New Roman"/>
          <w:b w:val="false"/>
          <w:i w:val="false"/>
          <w:color w:val="000000"/>
          <w:sz w:val="28"/>
        </w:rPr>
        <w:t>
      2125. Общие положения, относящиеся к порядку классификации, освидетельствованиям при постройке и классификационным освидетельствованиям, а также требования к технической документации, представляемой на рассмотрение Регистру судоходства, изложены в части 1 настоящих Правил.</w:t>
      </w:r>
    </w:p>
    <w:bookmarkEnd w:id="6455"/>
    <w:bookmarkStart w:name="z6466" w:id="6456"/>
    <w:p>
      <w:pPr>
        <w:spacing w:after="0"/>
        <w:ind w:left="0"/>
        <w:jc w:val="both"/>
      </w:pPr>
      <w:r>
        <w:rPr>
          <w:rFonts w:ascii="Times New Roman"/>
          <w:b w:val="false"/>
          <w:i w:val="false"/>
          <w:color w:val="000000"/>
          <w:sz w:val="28"/>
        </w:rPr>
        <w:t>
      2126. Во время постройки судна освидетельствованиям Регистра судоходства подлежат конструктивная противопожарная защита, материалы, идущие на внутреннюю отделку судовых помещений, в отношении их пожароопасных свойств, системы пожаротушения и пожарной сигнализации, регламентируемые настоящим разделом Правил, за исключением противопожарного снабжения, в отношении которого производится только проверка комплектности в соответствии с нормами настоящего раздела Правил и соответствия размещения.</w:t>
      </w:r>
    </w:p>
    <w:bookmarkEnd w:id="6456"/>
    <w:bookmarkStart w:name="z6467" w:id="6457"/>
    <w:p>
      <w:pPr>
        <w:spacing w:after="0"/>
        <w:ind w:left="0"/>
        <w:jc w:val="both"/>
      </w:pPr>
      <w:r>
        <w:rPr>
          <w:rFonts w:ascii="Times New Roman"/>
          <w:b w:val="false"/>
          <w:i w:val="false"/>
          <w:color w:val="000000"/>
          <w:sz w:val="28"/>
        </w:rPr>
        <w:t>
      2127. Для одобрения вновь применяемых активных средств борьбы с пожарами и пассивных средств конструктивной противопожарной защиты Регистру судоходства представляют:</w:t>
      </w:r>
    </w:p>
    <w:bookmarkEnd w:id="6457"/>
    <w:bookmarkStart w:name="z6468" w:id="6458"/>
    <w:p>
      <w:pPr>
        <w:spacing w:after="0"/>
        <w:ind w:left="0"/>
        <w:jc w:val="both"/>
      </w:pPr>
      <w:r>
        <w:rPr>
          <w:rFonts w:ascii="Times New Roman"/>
          <w:b w:val="false"/>
          <w:i w:val="false"/>
          <w:color w:val="000000"/>
          <w:sz w:val="28"/>
        </w:rPr>
        <w:t>
      1) материалы по огневым испытаниям, проведенным компетентными организациями, подтверждающие эффективность огнетушащего вещества при рекомендуемых нормативах по составу и интенсивности подачи, а также сведения об условиях и продолжительности его хранения;</w:t>
      </w:r>
    </w:p>
    <w:bookmarkEnd w:id="6458"/>
    <w:bookmarkStart w:name="z6469" w:id="6459"/>
    <w:p>
      <w:pPr>
        <w:spacing w:after="0"/>
        <w:ind w:left="0"/>
        <w:jc w:val="both"/>
      </w:pPr>
      <w:r>
        <w:rPr>
          <w:rFonts w:ascii="Times New Roman"/>
          <w:b w:val="false"/>
          <w:i w:val="false"/>
          <w:color w:val="000000"/>
          <w:sz w:val="28"/>
        </w:rPr>
        <w:t>
      2) отчеты признанных лабораторий по огневым испытаниям противопожарных конструкций типов А и В и закрытий отверстий в этих конструкциях (в том числе дверей типов А и В);</w:t>
      </w:r>
    </w:p>
    <w:bookmarkEnd w:id="6459"/>
    <w:bookmarkStart w:name="z6470" w:id="6460"/>
    <w:p>
      <w:pPr>
        <w:spacing w:after="0"/>
        <w:ind w:left="0"/>
        <w:jc w:val="both"/>
      </w:pPr>
      <w:r>
        <w:rPr>
          <w:rFonts w:ascii="Times New Roman"/>
          <w:b w:val="false"/>
          <w:i w:val="false"/>
          <w:color w:val="000000"/>
          <w:sz w:val="28"/>
        </w:rPr>
        <w:t>
      3) чертежи узлов противопожарных конструкций с протоколами признанных лабораторий об испытаниях, подтверждающих их соответствие конструкциям типов А и В;</w:t>
      </w:r>
    </w:p>
    <w:bookmarkEnd w:id="6460"/>
    <w:bookmarkStart w:name="z6471" w:id="6461"/>
    <w:p>
      <w:pPr>
        <w:spacing w:after="0"/>
        <w:ind w:left="0"/>
        <w:jc w:val="both"/>
      </w:pPr>
      <w:r>
        <w:rPr>
          <w:rFonts w:ascii="Times New Roman"/>
          <w:b w:val="false"/>
          <w:i w:val="false"/>
          <w:color w:val="000000"/>
          <w:sz w:val="28"/>
        </w:rPr>
        <w:t>
      4) отчеты признанных лабораторий об испытаниях пожароопасных свойств материалов (глава 142 настоящих Правил);</w:t>
      </w:r>
    </w:p>
    <w:bookmarkEnd w:id="6461"/>
    <w:bookmarkStart w:name="z6472" w:id="6462"/>
    <w:p>
      <w:pPr>
        <w:spacing w:after="0"/>
        <w:ind w:left="0"/>
        <w:jc w:val="both"/>
      </w:pPr>
      <w:r>
        <w:rPr>
          <w:rFonts w:ascii="Times New Roman"/>
          <w:b w:val="false"/>
          <w:i w:val="false"/>
          <w:color w:val="000000"/>
          <w:sz w:val="28"/>
        </w:rPr>
        <w:t>
      5) чертежи типовых узлов (оборудования) систем пожаротушения и предметов противожарного снабжения;</w:t>
      </w:r>
    </w:p>
    <w:bookmarkEnd w:id="6462"/>
    <w:bookmarkStart w:name="z6473" w:id="6463"/>
    <w:p>
      <w:pPr>
        <w:spacing w:after="0"/>
        <w:ind w:left="0"/>
        <w:jc w:val="both"/>
      </w:pPr>
      <w:r>
        <w:rPr>
          <w:rFonts w:ascii="Times New Roman"/>
          <w:b w:val="false"/>
          <w:i w:val="false"/>
          <w:color w:val="000000"/>
          <w:sz w:val="28"/>
        </w:rPr>
        <w:t>
      6) необходимые расчеты, подтверждающие выполнение требований настоящей части Правил.</w:t>
      </w:r>
    </w:p>
    <w:bookmarkEnd w:id="6463"/>
    <w:bookmarkStart w:name="z6474" w:id="6464"/>
    <w:p>
      <w:pPr>
        <w:spacing w:after="0"/>
        <w:ind w:left="0"/>
        <w:jc w:val="left"/>
      </w:pPr>
      <w:r>
        <w:rPr>
          <w:rFonts w:ascii="Times New Roman"/>
          <w:b/>
          <w:i w:val="false"/>
          <w:color w:val="000000"/>
        </w:rPr>
        <w:t xml:space="preserve"> Глава 140. Планы пожарные</w:t>
      </w:r>
    </w:p>
    <w:bookmarkEnd w:id="6464"/>
    <w:p>
      <w:pPr>
        <w:spacing w:after="0"/>
        <w:ind w:left="0"/>
        <w:jc w:val="both"/>
      </w:pPr>
      <w:r>
        <w:rPr>
          <w:rFonts w:ascii="Times New Roman"/>
          <w:b w:val="false"/>
          <w:i w:val="false"/>
          <w:color w:val="ff0000"/>
          <w:sz w:val="28"/>
        </w:rPr>
        <w:t xml:space="preserve">
      Сноска. Заголовок главы 140 -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75" w:id="6465"/>
    <w:p>
      <w:pPr>
        <w:spacing w:after="0"/>
        <w:ind w:left="0"/>
        <w:jc w:val="both"/>
      </w:pPr>
      <w:r>
        <w:rPr>
          <w:rFonts w:ascii="Times New Roman"/>
          <w:b w:val="false"/>
          <w:i w:val="false"/>
          <w:color w:val="000000"/>
          <w:sz w:val="28"/>
        </w:rPr>
        <w:t>
      2128. На каждом судне в центральном пожарном посту (далее – ЦПП) либо в рулевой рубке или на видных местах в коридорах и вестибюлях должны быть вывешены планы общего расположения судна, ясно показывающие для каждой палубы:</w:t>
      </w:r>
    </w:p>
    <w:bookmarkEnd w:id="6465"/>
    <w:bookmarkStart w:name="z6476" w:id="6466"/>
    <w:p>
      <w:pPr>
        <w:spacing w:after="0"/>
        <w:ind w:left="0"/>
        <w:jc w:val="both"/>
      </w:pPr>
      <w:r>
        <w:rPr>
          <w:rFonts w:ascii="Times New Roman"/>
          <w:b w:val="false"/>
          <w:i w:val="false"/>
          <w:color w:val="000000"/>
          <w:sz w:val="28"/>
        </w:rPr>
        <w:t>
      1) размещение постов управления;</w:t>
      </w:r>
    </w:p>
    <w:bookmarkEnd w:id="6466"/>
    <w:bookmarkStart w:name="z6477" w:id="6467"/>
    <w:p>
      <w:pPr>
        <w:spacing w:after="0"/>
        <w:ind w:left="0"/>
        <w:jc w:val="both"/>
      </w:pPr>
      <w:r>
        <w:rPr>
          <w:rFonts w:ascii="Times New Roman"/>
          <w:b w:val="false"/>
          <w:i w:val="false"/>
          <w:color w:val="000000"/>
          <w:sz w:val="28"/>
        </w:rPr>
        <w:t>
      2) расположение огнестойких и огнезадержи-вающих конструкций;</w:t>
      </w:r>
    </w:p>
    <w:bookmarkEnd w:id="6467"/>
    <w:bookmarkStart w:name="z6478" w:id="6468"/>
    <w:p>
      <w:pPr>
        <w:spacing w:after="0"/>
        <w:ind w:left="0"/>
        <w:jc w:val="both"/>
      </w:pPr>
      <w:r>
        <w:rPr>
          <w:rFonts w:ascii="Times New Roman"/>
          <w:b w:val="false"/>
          <w:i w:val="false"/>
          <w:color w:val="000000"/>
          <w:sz w:val="28"/>
        </w:rPr>
        <w:t>
      3) помещения, защищаемые системой пожарной сигнализации;</w:t>
      </w:r>
    </w:p>
    <w:bookmarkEnd w:id="6468"/>
    <w:bookmarkStart w:name="z6479" w:id="6469"/>
    <w:p>
      <w:pPr>
        <w:spacing w:after="0"/>
        <w:ind w:left="0"/>
        <w:jc w:val="both"/>
      </w:pPr>
      <w:r>
        <w:rPr>
          <w:rFonts w:ascii="Times New Roman"/>
          <w:b w:val="false"/>
          <w:i w:val="false"/>
          <w:color w:val="000000"/>
          <w:sz w:val="28"/>
        </w:rPr>
        <w:t>
      4) помещения, защищаемые стационарными системами пожаротушения с указанием местонахождения приборов и арматуры для управления их работой, а также расположение пожарных кранов;</w:t>
      </w:r>
    </w:p>
    <w:bookmarkEnd w:id="6469"/>
    <w:bookmarkStart w:name="z6480" w:id="6470"/>
    <w:p>
      <w:pPr>
        <w:spacing w:after="0"/>
        <w:ind w:left="0"/>
        <w:jc w:val="both"/>
      </w:pPr>
      <w:r>
        <w:rPr>
          <w:rFonts w:ascii="Times New Roman"/>
          <w:b w:val="false"/>
          <w:i w:val="false"/>
          <w:color w:val="000000"/>
          <w:sz w:val="28"/>
        </w:rPr>
        <w:t>
      5) средства доступа в различные отсеки, на палубы с указанием путей эвакуации, коридоров и дверей;</w:t>
      </w:r>
    </w:p>
    <w:bookmarkEnd w:id="6470"/>
    <w:bookmarkStart w:name="z6481" w:id="6471"/>
    <w:p>
      <w:pPr>
        <w:spacing w:after="0"/>
        <w:ind w:left="0"/>
        <w:jc w:val="both"/>
      </w:pPr>
      <w:r>
        <w:rPr>
          <w:rFonts w:ascii="Times New Roman"/>
          <w:b w:val="false"/>
          <w:i w:val="false"/>
          <w:color w:val="000000"/>
          <w:sz w:val="28"/>
        </w:rPr>
        <w:t>
      6) систему вентиляции, включая устройства управления вентиляторами, места установки заслонок, а также идентификационные номера вентиляторов, обслуживающих группы помещений, выгороженных противопожарными конструкциями;</w:t>
      </w:r>
    </w:p>
    <w:bookmarkEnd w:id="6471"/>
    <w:bookmarkStart w:name="z6482" w:id="6472"/>
    <w:p>
      <w:pPr>
        <w:spacing w:after="0"/>
        <w:ind w:left="0"/>
        <w:jc w:val="both"/>
      </w:pPr>
      <w:r>
        <w:rPr>
          <w:rFonts w:ascii="Times New Roman"/>
          <w:b w:val="false"/>
          <w:i w:val="false"/>
          <w:color w:val="000000"/>
          <w:sz w:val="28"/>
        </w:rPr>
        <w:t>
      7) размещение противопожарного снабжения;</w:t>
      </w:r>
    </w:p>
    <w:bookmarkEnd w:id="6472"/>
    <w:bookmarkStart w:name="z6483" w:id="6473"/>
    <w:p>
      <w:pPr>
        <w:spacing w:after="0"/>
        <w:ind w:left="0"/>
        <w:jc w:val="both"/>
      </w:pPr>
      <w:r>
        <w:rPr>
          <w:rFonts w:ascii="Times New Roman"/>
          <w:b w:val="false"/>
          <w:i w:val="false"/>
          <w:color w:val="000000"/>
          <w:sz w:val="28"/>
        </w:rPr>
        <w:t>
      8) местонахождение документов, указанных в пункте 2133 настоящих Правил.</w:t>
      </w:r>
    </w:p>
    <w:bookmarkEnd w:id="6473"/>
    <w:bookmarkStart w:name="z6484" w:id="6474"/>
    <w:p>
      <w:pPr>
        <w:spacing w:after="0"/>
        <w:ind w:left="0"/>
        <w:jc w:val="both"/>
      </w:pPr>
      <w:r>
        <w:rPr>
          <w:rFonts w:ascii="Times New Roman"/>
          <w:b w:val="false"/>
          <w:i w:val="false"/>
          <w:color w:val="000000"/>
          <w:sz w:val="28"/>
        </w:rPr>
        <w:t>
      9) размещение аварийных дыхательных устройств, указанных в пункте 2541 настоящих Правил.</w:t>
      </w:r>
    </w:p>
    <w:bookmarkEnd w:id="6474"/>
    <w:bookmarkStart w:name="z6485" w:id="6475"/>
    <w:p>
      <w:pPr>
        <w:spacing w:after="0"/>
        <w:ind w:left="0"/>
        <w:jc w:val="both"/>
      </w:pPr>
      <w:r>
        <w:rPr>
          <w:rFonts w:ascii="Times New Roman"/>
          <w:b w:val="false"/>
          <w:i w:val="false"/>
          <w:color w:val="000000"/>
          <w:sz w:val="28"/>
        </w:rPr>
        <w:t>
      2129. Вместо планов сведения, указанные в пункте 2128 настоящих Правил, излагают в буклете, по одному экземпляру которого хранится у каждого лица командного состава и один в легкодоступном месте.</w:t>
      </w:r>
    </w:p>
    <w:bookmarkEnd w:id="6475"/>
    <w:bookmarkStart w:name="z6486" w:id="6476"/>
    <w:p>
      <w:pPr>
        <w:spacing w:after="0"/>
        <w:ind w:left="0"/>
        <w:jc w:val="both"/>
      </w:pPr>
      <w:r>
        <w:rPr>
          <w:rFonts w:ascii="Times New Roman"/>
          <w:b w:val="false"/>
          <w:i w:val="false"/>
          <w:color w:val="000000"/>
          <w:sz w:val="28"/>
        </w:rPr>
        <w:t>
      2130. Второй комплект планов или буклет, защищенные от воздействия морской среды, постоянно хранится снаружи надстройки в брызгозащищенном укрытии, окрашенном в красный цвет и обозначенном специальным знаком в соответствии с указаниями циркуляра ИМО MSC/Circ (приложение 248 настоящих Правил).</w:t>
      </w:r>
    </w:p>
    <w:bookmarkEnd w:id="6476"/>
    <w:bookmarkStart w:name="z6487" w:id="6477"/>
    <w:p>
      <w:pPr>
        <w:spacing w:after="0"/>
        <w:ind w:left="0"/>
        <w:jc w:val="both"/>
      </w:pPr>
      <w:r>
        <w:rPr>
          <w:rFonts w:ascii="Times New Roman"/>
          <w:b w:val="false"/>
          <w:i w:val="false"/>
          <w:color w:val="000000"/>
          <w:sz w:val="28"/>
        </w:rPr>
        <w:t>
      Укрытие легко открывается, быть легкодоступным для береговых пожарных и располагается в местах с хорошей освещенностью, где по возможности имеется также аварийное освещение.</w:t>
      </w:r>
    </w:p>
    <w:bookmarkEnd w:id="6477"/>
    <w:bookmarkStart w:name="z6488" w:id="6478"/>
    <w:p>
      <w:pPr>
        <w:spacing w:after="0"/>
        <w:ind w:left="0"/>
        <w:jc w:val="both"/>
      </w:pPr>
      <w:r>
        <w:rPr>
          <w:rFonts w:ascii="Times New Roman"/>
          <w:b w:val="false"/>
          <w:i w:val="false"/>
          <w:color w:val="000000"/>
          <w:sz w:val="28"/>
        </w:rPr>
        <w:t>
      На нефтеналивных судах, газовозах и химовозах укрытие не должно располагаться на переборках надстроек, обращенных в сторону грузовой зоны, а также на примыкающих к ним бортовых переборках на расстоянии 3 м.</w:t>
      </w:r>
    </w:p>
    <w:bookmarkEnd w:id="6478"/>
    <w:bookmarkStart w:name="z6489" w:id="6479"/>
    <w:p>
      <w:pPr>
        <w:spacing w:after="0"/>
        <w:ind w:left="0"/>
        <w:jc w:val="both"/>
      </w:pPr>
      <w:r>
        <w:rPr>
          <w:rFonts w:ascii="Times New Roman"/>
          <w:b w:val="false"/>
          <w:i w:val="false"/>
          <w:color w:val="000000"/>
          <w:sz w:val="28"/>
        </w:rPr>
        <w:t>
      Если укрытие не находится непосредственно у сходного трапа, предусматривают специальные знаки (приложение 249 настоящих Правил), указывающие путь к нему. Размеры знаков - не менее 300 х 400 мм.</w:t>
      </w:r>
    </w:p>
    <w:bookmarkEnd w:id="6479"/>
    <w:bookmarkStart w:name="z6490" w:id="6480"/>
    <w:p>
      <w:pPr>
        <w:spacing w:after="0"/>
        <w:ind w:left="0"/>
        <w:jc w:val="both"/>
      </w:pPr>
      <w:r>
        <w:rPr>
          <w:rFonts w:ascii="Times New Roman"/>
          <w:b w:val="false"/>
          <w:i w:val="false"/>
          <w:color w:val="000000"/>
          <w:sz w:val="28"/>
        </w:rPr>
        <w:t>
      На грузовых судах валовой вместимостью менее 150 возможно второй комплект планов или буклет не предусматривать.</w:t>
      </w:r>
    </w:p>
    <w:bookmarkEnd w:id="6480"/>
    <w:bookmarkStart w:name="z6491" w:id="6481"/>
    <w:p>
      <w:pPr>
        <w:spacing w:after="0"/>
        <w:ind w:left="0"/>
        <w:jc w:val="both"/>
      </w:pPr>
      <w:r>
        <w:rPr>
          <w:rFonts w:ascii="Times New Roman"/>
          <w:b w:val="false"/>
          <w:i w:val="false"/>
          <w:color w:val="000000"/>
          <w:sz w:val="28"/>
        </w:rPr>
        <w:t>
      2131. Сведения на планах и в буклетах приводятся на государственном, русском или английском языках, при этом условные обозначения элементов, перечисленных в пункте 2128 настоящих Правил, соответствуют резолюции ИМО А.952(23) "Графические символы, используемые в планах противопожарной зашиты".</w:t>
      </w:r>
    </w:p>
    <w:bookmarkEnd w:id="6481"/>
    <w:bookmarkStart w:name="z6492" w:id="6482"/>
    <w:p>
      <w:pPr>
        <w:spacing w:after="0"/>
        <w:ind w:left="0"/>
        <w:jc w:val="both"/>
      </w:pPr>
      <w:r>
        <w:rPr>
          <w:rFonts w:ascii="Times New Roman"/>
          <w:b w:val="false"/>
          <w:i w:val="false"/>
          <w:color w:val="000000"/>
          <w:sz w:val="28"/>
        </w:rPr>
        <w:t>
      Для судов, не совершающих международных рейсов, перевод на английский язык не требуется.</w:t>
      </w:r>
    </w:p>
    <w:bookmarkEnd w:id="6482"/>
    <w:bookmarkStart w:name="z6493" w:id="6483"/>
    <w:p>
      <w:pPr>
        <w:spacing w:after="0"/>
        <w:ind w:left="0"/>
        <w:jc w:val="both"/>
      </w:pPr>
      <w:r>
        <w:rPr>
          <w:rFonts w:ascii="Times New Roman"/>
          <w:b w:val="false"/>
          <w:i w:val="false"/>
          <w:color w:val="000000"/>
          <w:sz w:val="28"/>
        </w:rPr>
        <w:t>
      Графические символы изображают в цветной раскраске.</w:t>
      </w:r>
    </w:p>
    <w:bookmarkEnd w:id="6483"/>
    <w:bookmarkStart w:name="z6494" w:id="6484"/>
    <w:p>
      <w:pPr>
        <w:spacing w:after="0"/>
        <w:ind w:left="0"/>
        <w:jc w:val="both"/>
      </w:pPr>
      <w:r>
        <w:rPr>
          <w:rFonts w:ascii="Times New Roman"/>
          <w:b w:val="false"/>
          <w:i w:val="false"/>
          <w:color w:val="000000"/>
          <w:sz w:val="28"/>
        </w:rPr>
        <w:t>
      2132. Все изменения в противопожарной защите судна вносится в документы, указанные в пунктах 2128 и 2129 настоящих Правил.</w:t>
      </w:r>
    </w:p>
    <w:bookmarkEnd w:id="6484"/>
    <w:bookmarkStart w:name="z6495" w:id="6485"/>
    <w:p>
      <w:pPr>
        <w:spacing w:after="0"/>
        <w:ind w:left="0"/>
        <w:jc w:val="both"/>
      </w:pPr>
      <w:r>
        <w:rPr>
          <w:rFonts w:ascii="Times New Roman"/>
          <w:b w:val="false"/>
          <w:i w:val="false"/>
          <w:color w:val="000000"/>
          <w:sz w:val="28"/>
        </w:rPr>
        <w:t>
      2133. В отдельной папке, хранящейся в легкодоступном месте, находятся инструкции по техническому обслуживанию и применению всех судовых средств и установок для тушения и локализации пожара.</w:t>
      </w:r>
    </w:p>
    <w:bookmarkEnd w:id="6485"/>
    <w:bookmarkStart w:name="z6496" w:id="6486"/>
    <w:p>
      <w:pPr>
        <w:spacing w:after="0"/>
        <w:ind w:left="0"/>
        <w:jc w:val="left"/>
      </w:pPr>
      <w:r>
        <w:rPr>
          <w:rFonts w:ascii="Times New Roman"/>
          <w:b/>
          <w:i w:val="false"/>
          <w:color w:val="000000"/>
        </w:rPr>
        <w:t xml:space="preserve"> Глава 141. Подразделение судовых помещений</w:t>
      </w:r>
    </w:p>
    <w:bookmarkEnd w:id="6486"/>
    <w:p>
      <w:pPr>
        <w:spacing w:after="0"/>
        <w:ind w:left="0"/>
        <w:jc w:val="both"/>
      </w:pPr>
      <w:r>
        <w:rPr>
          <w:rFonts w:ascii="Times New Roman"/>
          <w:b w:val="false"/>
          <w:i w:val="false"/>
          <w:color w:val="ff0000"/>
          <w:sz w:val="28"/>
        </w:rPr>
        <w:t xml:space="preserve">
      Сноска. Заголовок главы 141 -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97" w:id="6487"/>
    <w:p>
      <w:pPr>
        <w:spacing w:after="0"/>
        <w:ind w:left="0"/>
        <w:jc w:val="left"/>
      </w:pPr>
      <w:r>
        <w:rPr>
          <w:rFonts w:ascii="Times New Roman"/>
          <w:b/>
          <w:i w:val="false"/>
          <w:color w:val="000000"/>
        </w:rPr>
        <w:t xml:space="preserve"> Параграф 1. Посты управления</w:t>
      </w:r>
    </w:p>
    <w:bookmarkEnd w:id="6487"/>
    <w:bookmarkStart w:name="z6498" w:id="6488"/>
    <w:p>
      <w:pPr>
        <w:spacing w:after="0"/>
        <w:ind w:left="0"/>
        <w:jc w:val="both"/>
      </w:pPr>
      <w:r>
        <w:rPr>
          <w:rFonts w:ascii="Times New Roman"/>
          <w:b w:val="false"/>
          <w:i w:val="false"/>
          <w:color w:val="000000"/>
          <w:sz w:val="28"/>
        </w:rPr>
        <w:t>
      2134. К постам управления относятся:</w:t>
      </w:r>
    </w:p>
    <w:bookmarkEnd w:id="6488"/>
    <w:bookmarkStart w:name="z6499" w:id="6489"/>
    <w:p>
      <w:pPr>
        <w:spacing w:after="0"/>
        <w:ind w:left="0"/>
        <w:jc w:val="both"/>
      </w:pPr>
      <w:r>
        <w:rPr>
          <w:rFonts w:ascii="Times New Roman"/>
          <w:b w:val="false"/>
          <w:i w:val="false"/>
          <w:color w:val="000000"/>
          <w:sz w:val="28"/>
        </w:rPr>
        <w:t>
      1) помещения, в которых расположено судовое радиооборудование или главное навигационное приборы и оборудование (в частности: тумба штурвала, компас, радар и оборудование для определения место положения судна) или аварийный источник энергии (в том числе, аккумуляторные батареи независимо от их емкости, требуемые согласно разделу 13 настоящих Правил), либо в которых сосредоточены средства сигнализации обнаружения пожара или управления пожаротушением. Помещение рулевой машины, содержащее ее аварийное управление, не рассматривается как пост управления. Если в настоящей части нет требований по сосредоточению основных компонентов стационарных систем пожаротушения в посту управления, такие компоненты размещаются в помещениях, которые не рассматриваются как посты управления;</w:t>
      </w:r>
    </w:p>
    <w:bookmarkEnd w:id="6489"/>
    <w:bookmarkStart w:name="z6500" w:id="6490"/>
    <w:p>
      <w:pPr>
        <w:spacing w:after="0"/>
        <w:ind w:left="0"/>
        <w:jc w:val="both"/>
      </w:pPr>
      <w:r>
        <w:rPr>
          <w:rFonts w:ascii="Times New Roman"/>
          <w:b w:val="false"/>
          <w:i w:val="false"/>
          <w:color w:val="000000"/>
          <w:sz w:val="28"/>
        </w:rPr>
        <w:t>
      2) посты управления (подпункт 1) пункта 2134 настоящих Правил), которые также относят к машинным помещениям, такие как помещения аварийных дизель-генераторов;</w:t>
      </w:r>
    </w:p>
    <w:bookmarkEnd w:id="6490"/>
    <w:bookmarkStart w:name="z6501" w:id="6491"/>
    <w:p>
      <w:pPr>
        <w:spacing w:after="0"/>
        <w:ind w:left="0"/>
        <w:jc w:val="both"/>
      </w:pPr>
      <w:r>
        <w:rPr>
          <w:rFonts w:ascii="Times New Roman"/>
          <w:b w:val="false"/>
          <w:i w:val="false"/>
          <w:color w:val="000000"/>
          <w:sz w:val="28"/>
        </w:rPr>
        <w:t>
      3) помещения, в которых сосредоточено управление процессами погружения, всплытия, кренования.</w:t>
      </w:r>
    </w:p>
    <w:bookmarkEnd w:id="6491"/>
    <w:bookmarkStart w:name="z6502" w:id="6492"/>
    <w:p>
      <w:pPr>
        <w:spacing w:after="0"/>
        <w:ind w:left="0"/>
        <w:jc w:val="both"/>
      </w:pPr>
      <w:r>
        <w:rPr>
          <w:rFonts w:ascii="Times New Roman"/>
          <w:b w:val="false"/>
          <w:i w:val="false"/>
          <w:color w:val="000000"/>
          <w:sz w:val="28"/>
        </w:rPr>
        <w:t>
      4) посты управления пожарно-спасательными операциями (пункт 2589 настоящих Правил).</w:t>
      </w:r>
    </w:p>
    <w:bookmarkEnd w:id="6492"/>
    <w:bookmarkStart w:name="z6503" w:id="6493"/>
    <w:p>
      <w:pPr>
        <w:spacing w:after="0"/>
        <w:ind w:left="0"/>
        <w:jc w:val="left"/>
      </w:pPr>
      <w:r>
        <w:rPr>
          <w:rFonts w:ascii="Times New Roman"/>
          <w:b/>
          <w:i w:val="false"/>
          <w:color w:val="000000"/>
        </w:rPr>
        <w:t xml:space="preserve"> Параграф 2. Жилые, служебные помещения</w:t>
      </w:r>
    </w:p>
    <w:bookmarkEnd w:id="6493"/>
    <w:bookmarkStart w:name="z6504" w:id="6494"/>
    <w:p>
      <w:pPr>
        <w:spacing w:after="0"/>
        <w:ind w:left="0"/>
        <w:jc w:val="both"/>
      </w:pPr>
      <w:r>
        <w:rPr>
          <w:rFonts w:ascii="Times New Roman"/>
          <w:b w:val="false"/>
          <w:i w:val="false"/>
          <w:color w:val="000000"/>
          <w:sz w:val="28"/>
        </w:rPr>
        <w:t>
      2135. К жилым помещениям относятся:</w:t>
      </w:r>
    </w:p>
    <w:bookmarkEnd w:id="6494"/>
    <w:bookmarkStart w:name="z6505" w:id="6495"/>
    <w:p>
      <w:pPr>
        <w:spacing w:after="0"/>
        <w:ind w:left="0"/>
        <w:jc w:val="both"/>
      </w:pPr>
      <w:r>
        <w:rPr>
          <w:rFonts w:ascii="Times New Roman"/>
          <w:b w:val="false"/>
          <w:i w:val="false"/>
          <w:color w:val="000000"/>
          <w:sz w:val="28"/>
        </w:rPr>
        <w:t>
      1) помещения, используемые как каюты, коридоры, офисы, лазареты, комнаты для игр и развлечений, парикмахерские, буфетные, не используемые для прима пищи и не содержащие оборудование для приготовления горячей пищи (однако такие буфетные содержат: кофеварочные автоматы, тостеры, посудомоечные машины, микроволновые печи, индукционные нагреватели и подобные устройства, каждое из которых потребляет не более 5 кВт и с температурой поверхности не более 150</w:t>
      </w:r>
      <w:r>
        <w:rPr>
          <w:rFonts w:ascii="Times New Roman"/>
          <w:b w:val="false"/>
          <w:i w:val="false"/>
          <w:color w:val="000000"/>
          <w:vertAlign w:val="superscript"/>
        </w:rPr>
        <w:t>o</w:t>
      </w:r>
      <w:r>
        <w:rPr>
          <w:rFonts w:ascii="Times New Roman"/>
          <w:b w:val="false"/>
          <w:i w:val="false"/>
          <w:color w:val="000000"/>
          <w:sz w:val="28"/>
        </w:rPr>
        <w:t>С), и другие подобные помещения;</w:t>
      </w:r>
    </w:p>
    <w:bookmarkEnd w:id="6495"/>
    <w:bookmarkStart w:name="z6506" w:id="6496"/>
    <w:p>
      <w:pPr>
        <w:spacing w:after="0"/>
        <w:ind w:left="0"/>
        <w:jc w:val="both"/>
      </w:pPr>
      <w:r>
        <w:rPr>
          <w:rFonts w:ascii="Times New Roman"/>
          <w:b w:val="false"/>
          <w:i w:val="false"/>
          <w:color w:val="000000"/>
          <w:sz w:val="28"/>
        </w:rPr>
        <w:t>
      2) общественные помещения: те из жилых помещений, которые используются как столовые, салоны постоянно выгороженные помещения;</w:t>
      </w:r>
    </w:p>
    <w:bookmarkEnd w:id="6496"/>
    <w:bookmarkStart w:name="z6507" w:id="6497"/>
    <w:p>
      <w:pPr>
        <w:spacing w:after="0"/>
        <w:ind w:left="0"/>
        <w:jc w:val="both"/>
      </w:pPr>
      <w:r>
        <w:rPr>
          <w:rFonts w:ascii="Times New Roman"/>
          <w:b w:val="false"/>
          <w:i w:val="false"/>
          <w:color w:val="000000"/>
          <w:sz w:val="28"/>
        </w:rPr>
        <w:t>
      3) санитарно-гигиенические помещения: туалетные, умывальные, душевые, ванные, раздевальные, небольшие прачечные, закрытые плавательные бассейны, операционные.</w:t>
      </w:r>
    </w:p>
    <w:bookmarkEnd w:id="6497"/>
    <w:bookmarkStart w:name="z6508" w:id="6498"/>
    <w:p>
      <w:pPr>
        <w:spacing w:after="0"/>
        <w:ind w:left="0"/>
        <w:jc w:val="both"/>
      </w:pPr>
      <w:r>
        <w:rPr>
          <w:rFonts w:ascii="Times New Roman"/>
          <w:b w:val="false"/>
          <w:i w:val="false"/>
          <w:color w:val="000000"/>
          <w:sz w:val="28"/>
        </w:rPr>
        <w:t>
      2136. К служебным помещениям относятся служебные помещения, используемые как камбузы, (помещения, в которых находятся электроплиты и кухонные плиты мощностью свыше 5 кВт), буфетные, содержащие оборудование для приготовления горящей пищи (такие буфетные содержат: кофеварочные автоматы, тостеры, микроволновые печи, кипятильники, индукционные нагреватели и подобные устройства, потребляющие не более 5 кВт; электроплитки и кухонные плиты для подогревания пищи, потребляющие до 5 кВт), различные мастерские, не являющиеся частью машинных помещений, а также шахты, ведущие в эти помещения.</w:t>
      </w:r>
    </w:p>
    <w:bookmarkEnd w:id="6498"/>
    <w:bookmarkStart w:name="z6509" w:id="6499"/>
    <w:p>
      <w:pPr>
        <w:spacing w:after="0"/>
        <w:ind w:left="0"/>
        <w:jc w:val="both"/>
      </w:pPr>
      <w:r>
        <w:rPr>
          <w:rFonts w:ascii="Times New Roman"/>
          <w:b w:val="false"/>
          <w:i w:val="false"/>
          <w:color w:val="000000"/>
          <w:sz w:val="28"/>
        </w:rPr>
        <w:t>
      Помимо указанных в пункте 2136 настоящих Правил к служебным помещениям относятся помещения, используемые как;</w:t>
      </w:r>
    </w:p>
    <w:bookmarkEnd w:id="6499"/>
    <w:bookmarkStart w:name="z6510" w:id="6500"/>
    <w:p>
      <w:pPr>
        <w:spacing w:after="0"/>
        <w:ind w:left="0"/>
        <w:jc w:val="both"/>
      </w:pPr>
      <w:r>
        <w:rPr>
          <w:rFonts w:ascii="Times New Roman"/>
          <w:b w:val="false"/>
          <w:i w:val="false"/>
          <w:color w:val="000000"/>
          <w:sz w:val="28"/>
        </w:rPr>
        <w:t>
      1) кладовые взрывчатых веществ;</w:t>
      </w:r>
    </w:p>
    <w:bookmarkEnd w:id="6500"/>
    <w:bookmarkStart w:name="z6511" w:id="6501"/>
    <w:p>
      <w:pPr>
        <w:spacing w:after="0"/>
        <w:ind w:left="0"/>
        <w:jc w:val="both"/>
      </w:pPr>
      <w:r>
        <w:rPr>
          <w:rFonts w:ascii="Times New Roman"/>
          <w:b w:val="false"/>
          <w:i w:val="false"/>
          <w:color w:val="000000"/>
          <w:sz w:val="28"/>
        </w:rPr>
        <w:t>
      2) кладовые легковоспламеняющихся материалов и веществ — малярные, кладовые воспламеняющихся жидкостей, воспламеняющихся сжиженных и сжатых газов, станции раздачи топлива;</w:t>
      </w:r>
    </w:p>
    <w:bookmarkEnd w:id="6501"/>
    <w:bookmarkStart w:name="z6512" w:id="6502"/>
    <w:p>
      <w:pPr>
        <w:spacing w:after="0"/>
        <w:ind w:left="0"/>
        <w:jc w:val="both"/>
      </w:pPr>
      <w:r>
        <w:rPr>
          <w:rFonts w:ascii="Times New Roman"/>
          <w:b w:val="false"/>
          <w:i w:val="false"/>
          <w:color w:val="000000"/>
          <w:sz w:val="28"/>
        </w:rPr>
        <w:t>
      3) кладовые, иные, чем кладовые взрывчатых веществ указанные в подпункте 1) настоящего пункта и кладовые легковоспламеняющихся материалов и веществ;</w:t>
      </w:r>
    </w:p>
    <w:bookmarkEnd w:id="6502"/>
    <w:bookmarkStart w:name="z6513" w:id="6503"/>
    <w:p>
      <w:pPr>
        <w:spacing w:after="0"/>
        <w:ind w:left="0"/>
        <w:jc w:val="both"/>
      </w:pPr>
      <w:r>
        <w:rPr>
          <w:rFonts w:ascii="Times New Roman"/>
          <w:b w:val="false"/>
          <w:i w:val="false"/>
          <w:color w:val="000000"/>
          <w:sz w:val="28"/>
        </w:rPr>
        <w:t>
      4) производственные помещения, определенные в пункте 2142 настоящих Правил;</w:t>
      </w:r>
    </w:p>
    <w:bookmarkEnd w:id="6503"/>
    <w:bookmarkStart w:name="z6514" w:id="6504"/>
    <w:p>
      <w:pPr>
        <w:spacing w:after="0"/>
        <w:ind w:left="0"/>
        <w:jc w:val="both"/>
      </w:pPr>
      <w:r>
        <w:rPr>
          <w:rFonts w:ascii="Times New Roman"/>
          <w:b w:val="false"/>
          <w:i w:val="false"/>
          <w:color w:val="000000"/>
          <w:sz w:val="28"/>
        </w:rPr>
        <w:t>
      5) посты управления грузовыми операциями (пункт 6 настоящих Правил) также относятся к служебным помещениям.</w:t>
      </w:r>
    </w:p>
    <w:bookmarkEnd w:id="6504"/>
    <w:bookmarkStart w:name="z6515" w:id="6505"/>
    <w:p>
      <w:pPr>
        <w:spacing w:after="0"/>
        <w:ind w:left="0"/>
        <w:jc w:val="left"/>
      </w:pPr>
      <w:r>
        <w:rPr>
          <w:rFonts w:ascii="Times New Roman"/>
          <w:b/>
          <w:i w:val="false"/>
          <w:color w:val="000000"/>
        </w:rPr>
        <w:t xml:space="preserve"> Параграф 3. Грузовые и машинные помещения</w:t>
      </w:r>
    </w:p>
    <w:bookmarkEnd w:id="6505"/>
    <w:bookmarkStart w:name="z6516" w:id="6506"/>
    <w:p>
      <w:pPr>
        <w:spacing w:after="0"/>
        <w:ind w:left="0"/>
        <w:jc w:val="both"/>
      </w:pPr>
      <w:r>
        <w:rPr>
          <w:rFonts w:ascii="Times New Roman"/>
          <w:b w:val="false"/>
          <w:i w:val="false"/>
          <w:color w:val="000000"/>
          <w:sz w:val="28"/>
        </w:rPr>
        <w:t>
      2137.К грузовым помещениям относятся следущие помещения:</w:t>
      </w:r>
    </w:p>
    <w:bookmarkEnd w:id="6506"/>
    <w:bookmarkStart w:name="z6517" w:id="6507"/>
    <w:p>
      <w:pPr>
        <w:spacing w:after="0"/>
        <w:ind w:left="0"/>
        <w:jc w:val="both"/>
      </w:pPr>
      <w:r>
        <w:rPr>
          <w:rFonts w:ascii="Times New Roman"/>
          <w:b w:val="false"/>
          <w:i w:val="false"/>
          <w:color w:val="000000"/>
          <w:sz w:val="28"/>
        </w:rPr>
        <w:t>
      грузовые танки, предназначенные для перевозки грузов наливом, в том числе сливные цистерны;</w:t>
      </w:r>
    </w:p>
    <w:bookmarkEnd w:id="6507"/>
    <w:bookmarkStart w:name="z6518" w:id="6508"/>
    <w:p>
      <w:pPr>
        <w:spacing w:after="0"/>
        <w:ind w:left="0"/>
        <w:jc w:val="both"/>
      </w:pPr>
      <w:r>
        <w:rPr>
          <w:rFonts w:ascii="Times New Roman"/>
          <w:b w:val="false"/>
          <w:i w:val="false"/>
          <w:color w:val="000000"/>
          <w:sz w:val="28"/>
        </w:rPr>
        <w:t xml:space="preserve">
      помещения для сухих грузов, не относящихся к судовым запасам: сухогрузные и рефрижераторные трюмы и твиндеки, предназначенные в том числе и для перевозки контейнеров и съемных цистерн, опасных грузов в таре и навалом, автотранспорта без топлива в баках, </w:t>
      </w:r>
    </w:p>
    <w:bookmarkEnd w:id="6508"/>
    <w:bookmarkStart w:name="z6519" w:id="6509"/>
    <w:p>
      <w:pPr>
        <w:spacing w:after="0"/>
        <w:ind w:left="0"/>
        <w:jc w:val="both"/>
      </w:pPr>
      <w:r>
        <w:rPr>
          <w:rFonts w:ascii="Times New Roman"/>
          <w:b w:val="false"/>
          <w:i w:val="false"/>
          <w:color w:val="000000"/>
          <w:sz w:val="28"/>
        </w:rPr>
        <w:t>
      склады выработанной продукции, утиля, промыслового снабжения, тары, в том числе шахты для выгрузки продукции, грузовых лифтов и сходов, ведущих в эти помещения.</w:t>
      </w:r>
    </w:p>
    <w:bookmarkEnd w:id="6509"/>
    <w:bookmarkStart w:name="z6520" w:id="6510"/>
    <w:p>
      <w:pPr>
        <w:spacing w:after="0"/>
        <w:ind w:left="0"/>
        <w:jc w:val="both"/>
      </w:pPr>
      <w:r>
        <w:rPr>
          <w:rFonts w:ascii="Times New Roman"/>
          <w:b w:val="false"/>
          <w:i w:val="false"/>
          <w:color w:val="000000"/>
          <w:sz w:val="28"/>
        </w:rPr>
        <w:t>
      2138. Грузовые помещения с горизонтальным способом погрузки и выгрузки, обычно не разделенные на отсеки и простирающиеся на значительную часть либо на всю длину судна, в которые авто транспоттные средства с топливом в баках для передвижения своим ходом и/или грузы (в таре или навалом, находящиеся в железнодорожных вагонах или на автомобилях, на транспортных средствах (включая автомобильные и железнодорожные цистерны), на трейлерах, в контейнерах, на поддонах, в съемных цистернах либо в подобных укрупненных единицах или других емкостях) обычно загружаются или выгружаются из них в горизонтальном направлении.</w:t>
      </w:r>
    </w:p>
    <w:bookmarkEnd w:id="6510"/>
    <w:p>
      <w:pPr>
        <w:spacing w:after="0"/>
        <w:ind w:left="0"/>
        <w:jc w:val="both"/>
      </w:pPr>
      <w:r>
        <w:rPr>
          <w:rFonts w:ascii="Times New Roman"/>
          <w:b w:val="false"/>
          <w:i w:val="false"/>
          <w:color w:val="000000"/>
          <w:sz w:val="28"/>
        </w:rPr>
        <w:t>
      Такие помещения подразделяются на:</w:t>
      </w:r>
    </w:p>
    <w:bookmarkStart w:name="z6521" w:id="6511"/>
    <w:p>
      <w:pPr>
        <w:spacing w:after="0"/>
        <w:ind w:left="0"/>
        <w:jc w:val="both"/>
      </w:pPr>
      <w:r>
        <w:rPr>
          <w:rFonts w:ascii="Times New Roman"/>
          <w:b w:val="false"/>
          <w:i w:val="false"/>
          <w:color w:val="000000"/>
          <w:sz w:val="28"/>
        </w:rPr>
        <w:t>
      закрытые грузовые помещения с горизонтальным способом погрузки и выгрузки, не являющиеся помещениями, указанными в абзаце четвертом настоящего пункта;</w:t>
      </w:r>
    </w:p>
    <w:bookmarkEnd w:id="6511"/>
    <w:bookmarkStart w:name="z6522" w:id="6512"/>
    <w:p>
      <w:pPr>
        <w:spacing w:after="0"/>
        <w:ind w:left="0"/>
        <w:jc w:val="both"/>
      </w:pPr>
      <w:r>
        <w:rPr>
          <w:rFonts w:ascii="Times New Roman"/>
          <w:b w:val="false"/>
          <w:i w:val="false"/>
          <w:color w:val="000000"/>
          <w:sz w:val="28"/>
        </w:rPr>
        <w:t>
      открытые грузовые помещения с горизонтальным способом погрузки и выгрузки, открытые с обоих концов или с одного конца и имеющие достаточную естественную вентиляцию, эффективную по всей их длине, через постоянные отверстия в бортовой обшивке или в подволоке или сверху, причем общая площадь отверстий должна составлять не менее 10 % от площади бортовой обшивки помещений.</w:t>
      </w:r>
    </w:p>
    <w:bookmarkEnd w:id="6512"/>
    <w:bookmarkStart w:name="z6523" w:id="6513"/>
    <w:p>
      <w:pPr>
        <w:spacing w:after="0"/>
        <w:ind w:left="0"/>
        <w:jc w:val="both"/>
      </w:pPr>
      <w:r>
        <w:rPr>
          <w:rFonts w:ascii="Times New Roman"/>
          <w:b w:val="false"/>
          <w:i w:val="false"/>
          <w:color w:val="000000"/>
          <w:sz w:val="28"/>
        </w:rPr>
        <w:t>
      2139. Помещения транспортных средств, предназначенные для перевозки автотехники с топливом в баках для передвижения своим ходом, которые делятся на:</w:t>
      </w:r>
    </w:p>
    <w:bookmarkEnd w:id="6513"/>
    <w:bookmarkStart w:name="z6524" w:id="6514"/>
    <w:p>
      <w:pPr>
        <w:spacing w:after="0"/>
        <w:ind w:left="0"/>
        <w:jc w:val="both"/>
      </w:pPr>
      <w:r>
        <w:rPr>
          <w:rFonts w:ascii="Times New Roman"/>
          <w:b w:val="false"/>
          <w:i w:val="false"/>
          <w:color w:val="000000"/>
          <w:sz w:val="28"/>
        </w:rPr>
        <w:t>
      закрытые помещения транспортных средств, не являющиеся ни открытыми помещениями транспортных средств ни верхними палубами;</w:t>
      </w:r>
    </w:p>
    <w:bookmarkEnd w:id="6514"/>
    <w:bookmarkStart w:name="z6525" w:id="6515"/>
    <w:p>
      <w:pPr>
        <w:spacing w:after="0"/>
        <w:ind w:left="0"/>
        <w:jc w:val="both"/>
      </w:pPr>
      <w:r>
        <w:rPr>
          <w:rFonts w:ascii="Times New Roman"/>
          <w:b w:val="false"/>
          <w:i w:val="false"/>
          <w:color w:val="000000"/>
          <w:sz w:val="28"/>
        </w:rPr>
        <w:t>
      открытые помещения транспортных средств (абзац четвертый пункта 2138 настоящих Правил);</w:t>
      </w:r>
    </w:p>
    <w:bookmarkEnd w:id="6515"/>
    <w:bookmarkStart w:name="z6526" w:id="6516"/>
    <w:p>
      <w:pPr>
        <w:spacing w:after="0"/>
        <w:ind w:left="0"/>
        <w:jc w:val="both"/>
      </w:pPr>
      <w:r>
        <w:rPr>
          <w:rFonts w:ascii="Times New Roman"/>
          <w:b w:val="false"/>
          <w:i w:val="false"/>
          <w:color w:val="000000"/>
          <w:sz w:val="28"/>
        </w:rPr>
        <w:t>
      открытая палуба — палуба, полностью открытая воздействию окружающей среды сверху и не менее чем с двух сторон.</w:t>
      </w:r>
    </w:p>
    <w:bookmarkEnd w:id="6516"/>
    <w:bookmarkStart w:name="z6527" w:id="6517"/>
    <w:p>
      <w:pPr>
        <w:spacing w:after="0"/>
        <w:ind w:left="0"/>
        <w:jc w:val="both"/>
      </w:pPr>
      <w:r>
        <w:rPr>
          <w:rFonts w:ascii="Times New Roman"/>
          <w:b w:val="false"/>
          <w:i w:val="false"/>
          <w:color w:val="000000"/>
          <w:sz w:val="28"/>
        </w:rPr>
        <w:t>
      2140. Определения - машинные помещения, машинные помещения категории А приведены в пункте 6 настоящих Правил.</w:t>
      </w:r>
    </w:p>
    <w:bookmarkEnd w:id="6517"/>
    <w:bookmarkStart w:name="z6528" w:id="6518"/>
    <w:p>
      <w:pPr>
        <w:spacing w:after="0"/>
        <w:ind w:left="0"/>
        <w:jc w:val="left"/>
      </w:pPr>
      <w:r>
        <w:rPr>
          <w:rFonts w:ascii="Times New Roman"/>
          <w:b/>
          <w:i w:val="false"/>
          <w:color w:val="000000"/>
        </w:rPr>
        <w:t xml:space="preserve"> Параграф 4. Насосные помещения на наливных и комбинированных</w:t>
      </w:r>
      <w:r>
        <w:br/>
      </w:r>
      <w:r>
        <w:rPr>
          <w:rFonts w:ascii="Times New Roman"/>
          <w:b/>
          <w:i w:val="false"/>
          <w:color w:val="000000"/>
        </w:rPr>
        <w:t>судах, производственные помещения</w:t>
      </w:r>
    </w:p>
    <w:bookmarkEnd w:id="6518"/>
    <w:bookmarkStart w:name="z6529" w:id="6519"/>
    <w:p>
      <w:pPr>
        <w:spacing w:after="0"/>
        <w:ind w:left="0"/>
        <w:jc w:val="both"/>
      </w:pPr>
      <w:r>
        <w:rPr>
          <w:rFonts w:ascii="Times New Roman"/>
          <w:b w:val="false"/>
          <w:i w:val="false"/>
          <w:color w:val="000000"/>
          <w:sz w:val="28"/>
        </w:rPr>
        <w:t>
      2141. Насосные помещения на наливных и комбинированных судах:</w:t>
      </w:r>
    </w:p>
    <w:bookmarkEnd w:id="6519"/>
    <w:bookmarkStart w:name="z6530" w:id="6520"/>
    <w:p>
      <w:pPr>
        <w:spacing w:after="0"/>
        <w:ind w:left="0"/>
        <w:jc w:val="both"/>
      </w:pPr>
      <w:r>
        <w:rPr>
          <w:rFonts w:ascii="Times New Roman"/>
          <w:b w:val="false"/>
          <w:i w:val="false"/>
          <w:color w:val="000000"/>
          <w:sz w:val="28"/>
        </w:rPr>
        <w:t>
      1) грузовые насосные помещения, в которых расположены грузовые насосы, а также выходы и шахты, ведущие в такие помещения; насосные помещения, примыкающие к грузовым танкам и сливным цистернам (пункт 2143 настоящих Правил);</w:t>
      </w:r>
    </w:p>
    <w:bookmarkEnd w:id="6520"/>
    <w:bookmarkStart w:name="z6531" w:id="6521"/>
    <w:p>
      <w:pPr>
        <w:spacing w:after="0"/>
        <w:ind w:left="0"/>
        <w:jc w:val="both"/>
      </w:pPr>
      <w:r>
        <w:rPr>
          <w:rFonts w:ascii="Times New Roman"/>
          <w:b w:val="false"/>
          <w:i w:val="false"/>
          <w:color w:val="000000"/>
          <w:sz w:val="28"/>
        </w:rPr>
        <w:t>
      2) насосные помещения, в которых расположены насосы только для перекачки воды и жидкого топлива.</w:t>
      </w:r>
    </w:p>
    <w:bookmarkEnd w:id="6521"/>
    <w:bookmarkStart w:name="z6532" w:id="6522"/>
    <w:p>
      <w:pPr>
        <w:spacing w:after="0"/>
        <w:ind w:left="0"/>
        <w:jc w:val="both"/>
      </w:pPr>
      <w:r>
        <w:rPr>
          <w:rFonts w:ascii="Times New Roman"/>
          <w:b w:val="false"/>
          <w:i w:val="false"/>
          <w:color w:val="000000"/>
          <w:sz w:val="28"/>
        </w:rPr>
        <w:t>
      2142. Производственные помещения — помещения на судах специального назначения, не являющиеся ни машинными помещениями, ни их частью, такие как производственные цеха, лаборатории и другие подобные помещение, а также шахты, ведущие в эти помещения, в которых:</w:t>
      </w:r>
    </w:p>
    <w:bookmarkEnd w:id="6522"/>
    <w:bookmarkStart w:name="z6533" w:id="6523"/>
    <w:p>
      <w:pPr>
        <w:spacing w:after="0"/>
        <w:ind w:left="0"/>
        <w:jc w:val="both"/>
      </w:pPr>
      <w:r>
        <w:rPr>
          <w:rFonts w:ascii="Times New Roman"/>
          <w:b w:val="false"/>
          <w:i w:val="false"/>
          <w:color w:val="000000"/>
          <w:sz w:val="28"/>
        </w:rPr>
        <w:t>
      1) применяются жидкое топливо, воспламеняющиеся жидкости или обрабатываются горючие материалы;</w:t>
      </w:r>
    </w:p>
    <w:bookmarkEnd w:id="6523"/>
    <w:bookmarkStart w:name="z6534" w:id="6524"/>
    <w:p>
      <w:pPr>
        <w:spacing w:after="0"/>
        <w:ind w:left="0"/>
        <w:jc w:val="both"/>
      </w:pPr>
      <w:r>
        <w:rPr>
          <w:rFonts w:ascii="Times New Roman"/>
          <w:b w:val="false"/>
          <w:i w:val="false"/>
          <w:color w:val="000000"/>
          <w:sz w:val="28"/>
        </w:rPr>
        <w:t>
      2) не применяются воспламеняющиеся жидкости и не обрабатываются горючие материалы.</w:t>
      </w:r>
    </w:p>
    <w:bookmarkEnd w:id="6524"/>
    <w:bookmarkStart w:name="z6535" w:id="6525"/>
    <w:p>
      <w:pPr>
        <w:spacing w:after="0"/>
        <w:ind w:left="0"/>
        <w:jc w:val="left"/>
      </w:pPr>
      <w:r>
        <w:rPr>
          <w:rFonts w:ascii="Times New Roman"/>
          <w:b/>
          <w:i w:val="false"/>
          <w:color w:val="000000"/>
        </w:rPr>
        <w:t xml:space="preserve"> Параграф 5. Помещения специальной категории,</w:t>
      </w:r>
      <w:r>
        <w:br/>
      </w:r>
      <w:r>
        <w:rPr>
          <w:rFonts w:ascii="Times New Roman"/>
          <w:b/>
          <w:i w:val="false"/>
          <w:color w:val="000000"/>
        </w:rPr>
        <w:t>специальные электрические помещения</w:t>
      </w:r>
    </w:p>
    <w:bookmarkEnd w:id="6525"/>
    <w:bookmarkStart w:name="z6536" w:id="6526"/>
    <w:p>
      <w:pPr>
        <w:spacing w:after="0"/>
        <w:ind w:left="0"/>
        <w:jc w:val="both"/>
      </w:pPr>
      <w:r>
        <w:rPr>
          <w:rFonts w:ascii="Times New Roman"/>
          <w:b w:val="false"/>
          <w:i w:val="false"/>
          <w:color w:val="000000"/>
          <w:sz w:val="28"/>
        </w:rPr>
        <w:t>
      2143. К помещениям специальной категории относятся: выгороженные помещения транспортных средств, расположение над или под палубой переборок, в которые транспортные средства могут въезжать и из которых они могут выезжать своим ходом и в которые имеют доступ пассажиры.</w:t>
      </w:r>
    </w:p>
    <w:bookmarkEnd w:id="6526"/>
    <w:bookmarkStart w:name="z6537" w:id="6527"/>
    <w:p>
      <w:pPr>
        <w:spacing w:after="0"/>
        <w:ind w:left="0"/>
        <w:jc w:val="both"/>
      </w:pPr>
      <w:r>
        <w:rPr>
          <w:rFonts w:ascii="Times New Roman"/>
          <w:b w:val="false"/>
          <w:i w:val="false"/>
          <w:color w:val="000000"/>
          <w:sz w:val="28"/>
        </w:rPr>
        <w:t>
      Эти помещения размещаются более чем на одной палубе, при условии, что общий габарит по высоте для транспортных средств не превышает 10 м.</w:t>
      </w:r>
    </w:p>
    <w:bookmarkEnd w:id="6527"/>
    <w:bookmarkStart w:name="z6538" w:id="6528"/>
    <w:p>
      <w:pPr>
        <w:spacing w:after="0"/>
        <w:ind w:left="0"/>
        <w:jc w:val="both"/>
      </w:pPr>
      <w:r>
        <w:rPr>
          <w:rFonts w:ascii="Times New Roman"/>
          <w:b w:val="false"/>
          <w:i w:val="false"/>
          <w:color w:val="000000"/>
          <w:sz w:val="28"/>
        </w:rPr>
        <w:t>
      2144. Требования к специальным электрическим помещениям регламентированы разделом 13 настоящих Правил.</w:t>
      </w:r>
    </w:p>
    <w:bookmarkEnd w:id="6528"/>
    <w:bookmarkStart w:name="z6539" w:id="6529"/>
    <w:p>
      <w:pPr>
        <w:spacing w:after="0"/>
        <w:ind w:left="0"/>
        <w:jc w:val="left"/>
      </w:pPr>
      <w:r>
        <w:rPr>
          <w:rFonts w:ascii="Times New Roman"/>
          <w:b/>
          <w:i w:val="false"/>
          <w:color w:val="000000"/>
        </w:rPr>
        <w:t xml:space="preserve"> Глава 142. Подразделение и испытания материалов и изделий</w:t>
      </w:r>
    </w:p>
    <w:bookmarkEnd w:id="6529"/>
    <w:p>
      <w:pPr>
        <w:spacing w:after="0"/>
        <w:ind w:left="0"/>
        <w:jc w:val="both"/>
      </w:pPr>
      <w:r>
        <w:rPr>
          <w:rFonts w:ascii="Times New Roman"/>
          <w:b w:val="false"/>
          <w:i w:val="false"/>
          <w:color w:val="ff0000"/>
          <w:sz w:val="28"/>
        </w:rPr>
        <w:t xml:space="preserve">
      Сноска. Заголовок главы 142 -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40" w:id="6530"/>
    <w:p>
      <w:pPr>
        <w:spacing w:after="0"/>
        <w:ind w:left="0"/>
        <w:jc w:val="both"/>
      </w:pPr>
      <w:r>
        <w:rPr>
          <w:rFonts w:ascii="Times New Roman"/>
          <w:b w:val="false"/>
          <w:i w:val="false"/>
          <w:color w:val="000000"/>
          <w:sz w:val="28"/>
        </w:rPr>
        <w:t>
      2145. Кодекс процедур огневых испытаний применяется к материалам и изделиям, которые испытывают и оценивают в соответствии с его положениями и одобрены Регистром судоходства, как это требуется в настоящих Правилах.</w:t>
      </w:r>
    </w:p>
    <w:bookmarkEnd w:id="6530"/>
    <w:bookmarkStart w:name="z6541" w:id="6531"/>
    <w:p>
      <w:pPr>
        <w:spacing w:after="0"/>
        <w:ind w:left="0"/>
        <w:jc w:val="both"/>
      </w:pPr>
      <w:r>
        <w:rPr>
          <w:rFonts w:ascii="Times New Roman"/>
          <w:b w:val="false"/>
          <w:i w:val="false"/>
          <w:color w:val="000000"/>
          <w:sz w:val="28"/>
        </w:rPr>
        <w:t>
      2146. Если в тексте какого-либо требования настоящих Правил имеются ссылка на Кодекс процедур огневых испытаний, это означает, что материал или изделие необходимо испытать в соответствии с применимой методикой или методиками испытаний, изложенными в этом Кодексе, за исключением случаев, предусмотренных в этом же Кодекс.</w:t>
      </w:r>
    </w:p>
    <w:bookmarkEnd w:id="6531"/>
    <w:bookmarkStart w:name="z6542" w:id="6532"/>
    <w:p>
      <w:pPr>
        <w:spacing w:after="0"/>
        <w:ind w:left="0"/>
        <w:jc w:val="both"/>
      </w:pPr>
      <w:r>
        <w:rPr>
          <w:rFonts w:ascii="Times New Roman"/>
          <w:b w:val="false"/>
          <w:i w:val="false"/>
          <w:color w:val="000000"/>
          <w:sz w:val="28"/>
        </w:rPr>
        <w:t>
      2147. В соответствии с применимыми частями приложения 1 Кодекса процедур огневых испытаний испытывают материалы и изделия, которые упомянуты в настоящих Правилах как:</w:t>
      </w:r>
    </w:p>
    <w:bookmarkEnd w:id="6532"/>
    <w:bookmarkStart w:name="z6543" w:id="6533"/>
    <w:p>
      <w:pPr>
        <w:spacing w:after="0"/>
        <w:ind w:left="0"/>
        <w:jc w:val="both"/>
      </w:pPr>
      <w:r>
        <w:rPr>
          <w:rFonts w:ascii="Times New Roman"/>
          <w:b w:val="false"/>
          <w:i w:val="false"/>
          <w:color w:val="000000"/>
          <w:sz w:val="28"/>
        </w:rPr>
        <w:t>
      1) негорючие (пункты 2059, 2106, 2127 и параграф 2 главы 157 настоящих Правил). Негорючим считается материал, который при нагревании до температуры примерно 750</w:t>
      </w:r>
      <w:r>
        <w:rPr>
          <w:rFonts w:ascii="Times New Roman"/>
          <w:b w:val="false"/>
          <w:i w:val="false"/>
          <w:color w:val="000000"/>
          <w:vertAlign w:val="superscript"/>
        </w:rPr>
        <w:t>o</w:t>
      </w:r>
      <w:r>
        <w:rPr>
          <w:rFonts w:ascii="Times New Roman"/>
          <w:b w:val="false"/>
          <w:i w:val="false"/>
          <w:color w:val="000000"/>
          <w:sz w:val="28"/>
        </w:rPr>
        <w:t>С не горит и не выделяет легковоспламеняющихся паров в количестве, достаточном для их самовоспламенения. Любой другой материал считается горючим. Однако изделия, изготовленные только из стекла, бетона, керамические изделия, природный камень, каменные или кирпичные секции, конструкционные металлы и металлические сплавы рассматриваются как негорючие и устанавливаются без испытания;</w:t>
      </w:r>
    </w:p>
    <w:bookmarkEnd w:id="6533"/>
    <w:bookmarkStart w:name="z6544" w:id="6534"/>
    <w:p>
      <w:pPr>
        <w:spacing w:after="0"/>
        <w:ind w:left="0"/>
        <w:jc w:val="both"/>
      </w:pPr>
      <w:r>
        <w:rPr>
          <w:rFonts w:ascii="Times New Roman"/>
          <w:b w:val="false"/>
          <w:i w:val="false"/>
          <w:color w:val="000000"/>
          <w:sz w:val="28"/>
        </w:rPr>
        <w:t>
      2) не выделяющие чрезмерное количество дыма и токсичных продуктов (пункты 2060 и 2061 настоящих Правил) или не представляющие опасность в отношении выделения токсичных или взрывоопасных продуктов при повышенных температурах (пункт 2060 настоящих Правил);</w:t>
      </w:r>
    </w:p>
    <w:bookmarkEnd w:id="6534"/>
    <w:bookmarkStart w:name="z6545" w:id="6535"/>
    <w:p>
      <w:pPr>
        <w:spacing w:after="0"/>
        <w:ind w:left="0"/>
        <w:jc w:val="both"/>
      </w:pPr>
      <w:r>
        <w:rPr>
          <w:rFonts w:ascii="Times New Roman"/>
          <w:b w:val="false"/>
          <w:i w:val="false"/>
          <w:color w:val="000000"/>
          <w:sz w:val="28"/>
        </w:rPr>
        <w:t>
      3) конструкции типов А или В, такие как: палубы, переборки, двери, непрерывные подволоки и зашивки, окна. Пожарные заслонки, места прохода труб и кабелей (параграфы 2 и 3 главы 157 настоящих Правил);</w:t>
      </w:r>
    </w:p>
    <w:bookmarkEnd w:id="6535"/>
    <w:bookmarkStart w:name="z6546" w:id="6536"/>
    <w:p>
      <w:pPr>
        <w:spacing w:after="0"/>
        <w:ind w:left="0"/>
        <w:jc w:val="both"/>
      </w:pPr>
      <w:r>
        <w:rPr>
          <w:rFonts w:ascii="Times New Roman"/>
          <w:b w:val="false"/>
          <w:i w:val="false"/>
          <w:color w:val="000000"/>
          <w:sz w:val="28"/>
        </w:rPr>
        <w:t>
      4) системы управления противопожарными дверьми, способные работать в случае пожара (подпункт 15) пункта 2117 настоящих Правил);</w:t>
      </w:r>
    </w:p>
    <w:bookmarkEnd w:id="6536"/>
    <w:bookmarkStart w:name="z6547" w:id="6537"/>
    <w:p>
      <w:pPr>
        <w:spacing w:after="0"/>
        <w:ind w:left="0"/>
        <w:jc w:val="both"/>
      </w:pPr>
      <w:r>
        <w:rPr>
          <w:rFonts w:ascii="Times New Roman"/>
          <w:b w:val="false"/>
          <w:i w:val="false"/>
          <w:color w:val="000000"/>
          <w:sz w:val="28"/>
        </w:rPr>
        <w:t>
      5) с характеристиками медленного распространения пламени (пункты 2059, 2062, 2072 и 2074 настоящих Правил). Медленное распространение пламени означает, что поверхность в достаточной степени ограничивает распространение пламени;</w:t>
      </w:r>
    </w:p>
    <w:bookmarkEnd w:id="6537"/>
    <w:bookmarkStart w:name="z6548" w:id="6538"/>
    <w:p>
      <w:pPr>
        <w:spacing w:after="0"/>
        <w:ind w:left="0"/>
        <w:jc w:val="both"/>
      </w:pPr>
      <w:r>
        <w:rPr>
          <w:rFonts w:ascii="Times New Roman"/>
          <w:b w:val="false"/>
          <w:i w:val="false"/>
          <w:color w:val="000000"/>
          <w:sz w:val="28"/>
        </w:rPr>
        <w:t>
      6) не легковоспламеняющиеся первичные палубные покрытия (пункт 2060 настоящих Правил);</w:t>
      </w:r>
    </w:p>
    <w:bookmarkEnd w:id="6538"/>
    <w:bookmarkStart w:name="z6549" w:id="6539"/>
    <w:p>
      <w:pPr>
        <w:spacing w:after="0"/>
        <w:ind w:left="0"/>
        <w:jc w:val="both"/>
      </w:pPr>
      <w:r>
        <w:rPr>
          <w:rFonts w:ascii="Times New Roman"/>
          <w:b w:val="false"/>
          <w:i w:val="false"/>
          <w:color w:val="000000"/>
          <w:sz w:val="28"/>
        </w:rPr>
        <w:t>
      7) драпировки, занавеси и другие подвешенные тканевые материалы, отвечающие требованиям в отношении способности противостоять распространению пламени не хуже материалов, изготовленных из шерсти, массой 0,8 кг/м</w:t>
      </w:r>
      <w:r>
        <w:rPr>
          <w:rFonts w:ascii="Times New Roman"/>
          <w:b w:val="false"/>
          <w:i w:val="false"/>
          <w:color w:val="000000"/>
          <w:vertAlign w:val="superscript"/>
        </w:rPr>
        <w:t>2</w:t>
      </w:r>
      <w:r>
        <w:rPr>
          <w:rFonts w:ascii="Times New Roman"/>
          <w:b w:val="false"/>
          <w:i w:val="false"/>
          <w:color w:val="000000"/>
          <w:sz w:val="28"/>
        </w:rPr>
        <w:t xml:space="preserve"> (пункт 2063 настоящих Правил);</w:t>
      </w:r>
    </w:p>
    <w:bookmarkEnd w:id="6539"/>
    <w:bookmarkStart w:name="z6550" w:id="6540"/>
    <w:p>
      <w:pPr>
        <w:spacing w:after="0"/>
        <w:ind w:left="0"/>
        <w:jc w:val="both"/>
      </w:pPr>
      <w:r>
        <w:rPr>
          <w:rFonts w:ascii="Times New Roman"/>
          <w:b w:val="false"/>
          <w:i w:val="false"/>
          <w:color w:val="000000"/>
          <w:sz w:val="28"/>
        </w:rPr>
        <w:t>
      8) обитая мебель, отвечающая требованиям в отношении сопротивления воспламенению и распространению пламени (пункт 2063 настоящих Правил);</w:t>
      </w:r>
    </w:p>
    <w:bookmarkEnd w:id="6540"/>
    <w:bookmarkStart w:name="z6551" w:id="6541"/>
    <w:p>
      <w:pPr>
        <w:spacing w:after="0"/>
        <w:ind w:left="0"/>
        <w:jc w:val="both"/>
      </w:pPr>
      <w:r>
        <w:rPr>
          <w:rFonts w:ascii="Times New Roman"/>
          <w:b w:val="false"/>
          <w:i w:val="false"/>
          <w:color w:val="000000"/>
          <w:sz w:val="28"/>
        </w:rPr>
        <w:t>
      9) постельные принадлежности (одеяла, покрывала, подушки, матрацы), отвечающие требованиям в отношении сопротивления воспламенению и распространению пламени (пункт 2063 настоящих Правил).</w:t>
      </w:r>
    </w:p>
    <w:bookmarkEnd w:id="6541"/>
    <w:bookmarkStart w:name="z6552" w:id="6542"/>
    <w:p>
      <w:pPr>
        <w:spacing w:after="0"/>
        <w:ind w:left="0"/>
        <w:jc w:val="both"/>
      </w:pPr>
      <w:r>
        <w:rPr>
          <w:rFonts w:ascii="Times New Roman"/>
          <w:b w:val="false"/>
          <w:i w:val="false"/>
          <w:color w:val="000000"/>
          <w:sz w:val="28"/>
        </w:rPr>
        <w:t>
      2148. При испытаниях и одобрении изделий и материалов в соответствии с Кодексом процедур огневых испытаний учитываются дополнительные требования, приведенные в соответствующих частях приложения 1 Кодекса процедур огневых испытаний.</w:t>
      </w:r>
    </w:p>
    <w:bookmarkEnd w:id="6542"/>
    <w:bookmarkStart w:name="z6553" w:id="6543"/>
    <w:p>
      <w:pPr>
        <w:spacing w:after="0"/>
        <w:ind w:left="0"/>
        <w:jc w:val="left"/>
      </w:pPr>
      <w:r>
        <w:rPr>
          <w:rFonts w:ascii="Times New Roman"/>
          <w:b/>
          <w:i w:val="false"/>
          <w:color w:val="000000"/>
        </w:rPr>
        <w:t xml:space="preserve"> Глава 143. Альтернативные конструкции, меры и устройства</w:t>
      </w:r>
    </w:p>
    <w:bookmarkEnd w:id="6543"/>
    <w:p>
      <w:pPr>
        <w:spacing w:after="0"/>
        <w:ind w:left="0"/>
        <w:jc w:val="both"/>
      </w:pPr>
      <w:r>
        <w:rPr>
          <w:rFonts w:ascii="Times New Roman"/>
          <w:b w:val="false"/>
          <w:i w:val="false"/>
          <w:color w:val="ff0000"/>
          <w:sz w:val="28"/>
        </w:rPr>
        <w:t xml:space="preserve">
      Сноска. Заголовок главы 143 -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54" w:id="6544"/>
    <w:p>
      <w:pPr>
        <w:spacing w:after="0"/>
        <w:ind w:left="0"/>
        <w:jc w:val="left"/>
      </w:pPr>
      <w:r>
        <w:rPr>
          <w:rFonts w:ascii="Times New Roman"/>
          <w:b/>
          <w:i w:val="false"/>
          <w:color w:val="000000"/>
        </w:rPr>
        <w:t xml:space="preserve"> Параграф 1. Общие положения</w:t>
      </w:r>
    </w:p>
    <w:bookmarkEnd w:id="6544"/>
    <w:bookmarkStart w:name="z6555" w:id="6545"/>
    <w:p>
      <w:pPr>
        <w:spacing w:after="0"/>
        <w:ind w:left="0"/>
        <w:jc w:val="both"/>
      </w:pPr>
      <w:r>
        <w:rPr>
          <w:rFonts w:ascii="Times New Roman"/>
          <w:b w:val="false"/>
          <w:i w:val="false"/>
          <w:color w:val="000000"/>
          <w:sz w:val="28"/>
        </w:rPr>
        <w:t>
      2149. Конструкции, меры и устройства по противопожарной защите могут отличаться от требований настоящего раздела Правил при условии, что конструкция, меры и устройства отвечают целям противопожарной защиты и функциональным требованиям.</w:t>
      </w:r>
    </w:p>
    <w:bookmarkEnd w:id="6545"/>
    <w:bookmarkStart w:name="z6556" w:id="6546"/>
    <w:p>
      <w:pPr>
        <w:spacing w:after="0"/>
        <w:ind w:left="0"/>
        <w:jc w:val="both"/>
      </w:pPr>
      <w:r>
        <w:rPr>
          <w:rFonts w:ascii="Times New Roman"/>
          <w:b w:val="false"/>
          <w:i w:val="false"/>
          <w:color w:val="000000"/>
          <w:sz w:val="28"/>
        </w:rPr>
        <w:t>
      2150. Если конструкции, меры и устройства отличаются от предписанных требований настоящего раздела Правил, то в соответствии с требованиями настоящей главы выполняют технический анализ, оценку и одобрение этих альтернативных конструкций, мер и устройства.</w:t>
      </w:r>
    </w:p>
    <w:bookmarkEnd w:id="6546"/>
    <w:bookmarkStart w:name="z6557" w:id="6547"/>
    <w:p>
      <w:pPr>
        <w:spacing w:after="0"/>
        <w:ind w:left="0"/>
        <w:jc w:val="left"/>
      </w:pPr>
      <w:r>
        <w:rPr>
          <w:rFonts w:ascii="Times New Roman"/>
          <w:b/>
          <w:i w:val="false"/>
          <w:color w:val="000000"/>
        </w:rPr>
        <w:t xml:space="preserve"> Параграф 2. Технический анализ</w:t>
      </w:r>
    </w:p>
    <w:bookmarkEnd w:id="6547"/>
    <w:bookmarkStart w:name="z6558" w:id="6548"/>
    <w:p>
      <w:pPr>
        <w:spacing w:after="0"/>
        <w:ind w:left="0"/>
        <w:jc w:val="both"/>
      </w:pPr>
      <w:r>
        <w:rPr>
          <w:rFonts w:ascii="Times New Roman"/>
          <w:b w:val="false"/>
          <w:i w:val="false"/>
          <w:color w:val="000000"/>
          <w:sz w:val="28"/>
        </w:rPr>
        <w:t>
      2151. Представляемый Регистру судоходства технический анализ, как минимум, включает:</w:t>
      </w:r>
    </w:p>
    <w:bookmarkEnd w:id="6548"/>
    <w:bookmarkStart w:name="z6559" w:id="6549"/>
    <w:p>
      <w:pPr>
        <w:spacing w:after="0"/>
        <w:ind w:left="0"/>
        <w:jc w:val="both"/>
      </w:pPr>
      <w:r>
        <w:rPr>
          <w:rFonts w:ascii="Times New Roman"/>
          <w:b w:val="false"/>
          <w:i w:val="false"/>
          <w:color w:val="000000"/>
          <w:sz w:val="28"/>
        </w:rPr>
        <w:t>
      1) определение типа судна и соответствующего (их) помещения (й);</w:t>
      </w:r>
    </w:p>
    <w:bookmarkEnd w:id="6549"/>
    <w:bookmarkStart w:name="z6560" w:id="6550"/>
    <w:p>
      <w:pPr>
        <w:spacing w:after="0"/>
        <w:ind w:left="0"/>
        <w:jc w:val="both"/>
      </w:pPr>
      <w:r>
        <w:rPr>
          <w:rFonts w:ascii="Times New Roman"/>
          <w:b w:val="false"/>
          <w:i w:val="false"/>
          <w:color w:val="000000"/>
          <w:sz w:val="28"/>
        </w:rPr>
        <w:t>
      2) установление требования (ий), которое (ые) не будет (ут) выполняться на судне или в помещении (ях);</w:t>
      </w:r>
    </w:p>
    <w:bookmarkEnd w:id="6550"/>
    <w:bookmarkStart w:name="z6561" w:id="6551"/>
    <w:p>
      <w:pPr>
        <w:spacing w:after="0"/>
        <w:ind w:left="0"/>
        <w:jc w:val="both"/>
      </w:pPr>
      <w:r>
        <w:rPr>
          <w:rFonts w:ascii="Times New Roman"/>
          <w:b w:val="false"/>
          <w:i w:val="false"/>
          <w:color w:val="000000"/>
          <w:sz w:val="28"/>
        </w:rPr>
        <w:t>
      3) установление опасностей пожара и взрыва, которым может подвергнуться судно или соответствующее (ие) помещение (ия), в том числе:</w:t>
      </w:r>
    </w:p>
    <w:bookmarkEnd w:id="6551"/>
    <w:bookmarkStart w:name="z6562" w:id="6552"/>
    <w:p>
      <w:pPr>
        <w:spacing w:after="0"/>
        <w:ind w:left="0"/>
        <w:jc w:val="both"/>
      </w:pPr>
      <w:r>
        <w:rPr>
          <w:rFonts w:ascii="Times New Roman"/>
          <w:b w:val="false"/>
          <w:i w:val="false"/>
          <w:color w:val="000000"/>
          <w:sz w:val="28"/>
        </w:rPr>
        <w:t>
      возможных источников воспламенения;</w:t>
      </w:r>
    </w:p>
    <w:bookmarkEnd w:id="6552"/>
    <w:bookmarkStart w:name="z6563" w:id="6553"/>
    <w:p>
      <w:pPr>
        <w:spacing w:after="0"/>
        <w:ind w:left="0"/>
        <w:jc w:val="both"/>
      </w:pPr>
      <w:r>
        <w:rPr>
          <w:rFonts w:ascii="Times New Roman"/>
          <w:b w:val="false"/>
          <w:i w:val="false"/>
          <w:color w:val="000000"/>
          <w:sz w:val="28"/>
        </w:rPr>
        <w:t>
      потенциальной опасности распространения пожара в отношении каждого помещения;</w:t>
      </w:r>
    </w:p>
    <w:bookmarkEnd w:id="6553"/>
    <w:bookmarkStart w:name="z6564" w:id="6554"/>
    <w:p>
      <w:pPr>
        <w:spacing w:after="0"/>
        <w:ind w:left="0"/>
        <w:jc w:val="both"/>
      </w:pPr>
      <w:r>
        <w:rPr>
          <w:rFonts w:ascii="Times New Roman"/>
          <w:b w:val="false"/>
          <w:i w:val="false"/>
          <w:color w:val="000000"/>
          <w:sz w:val="28"/>
        </w:rPr>
        <w:t>
      потенциальной опасности образования дыма и токсичных веществ в отношении каждого рассматриваемого помещения;</w:t>
      </w:r>
    </w:p>
    <w:bookmarkEnd w:id="6554"/>
    <w:bookmarkStart w:name="z6565" w:id="6555"/>
    <w:p>
      <w:pPr>
        <w:spacing w:after="0"/>
        <w:ind w:left="0"/>
        <w:jc w:val="both"/>
      </w:pPr>
      <w:r>
        <w:rPr>
          <w:rFonts w:ascii="Times New Roman"/>
          <w:b w:val="false"/>
          <w:i w:val="false"/>
          <w:color w:val="000000"/>
          <w:sz w:val="28"/>
        </w:rPr>
        <w:t>
      потенциальной опасности распространения пожара, дыма и токсичных веществ из рассматриваемого(ых) помещения(й) в другие помещения;</w:t>
      </w:r>
    </w:p>
    <w:bookmarkEnd w:id="6555"/>
    <w:bookmarkStart w:name="z6566" w:id="6556"/>
    <w:p>
      <w:pPr>
        <w:spacing w:after="0"/>
        <w:ind w:left="0"/>
        <w:jc w:val="both"/>
      </w:pPr>
      <w:r>
        <w:rPr>
          <w:rFonts w:ascii="Times New Roman"/>
          <w:b w:val="false"/>
          <w:i w:val="false"/>
          <w:color w:val="000000"/>
          <w:sz w:val="28"/>
        </w:rPr>
        <w:t>
      4) определение требуемых эксплуатационных критериев противопожарной защиты судна или рассматриваемого(ых) помещения(ий), предусмотренных предписывающим(ими) требованием(ями), которые:</w:t>
      </w:r>
    </w:p>
    <w:bookmarkEnd w:id="6556"/>
    <w:bookmarkStart w:name="z6567" w:id="6557"/>
    <w:p>
      <w:pPr>
        <w:spacing w:after="0"/>
        <w:ind w:left="0"/>
        <w:jc w:val="both"/>
      </w:pPr>
      <w:r>
        <w:rPr>
          <w:rFonts w:ascii="Times New Roman"/>
          <w:b w:val="false"/>
          <w:i w:val="false"/>
          <w:color w:val="000000"/>
          <w:sz w:val="28"/>
        </w:rPr>
        <w:t>
      основываются на целях противопожарной защиты и на функциональных требованиях настоящей части Правил;</w:t>
      </w:r>
    </w:p>
    <w:bookmarkEnd w:id="6557"/>
    <w:bookmarkStart w:name="z6568" w:id="6558"/>
    <w:p>
      <w:pPr>
        <w:spacing w:after="0"/>
        <w:ind w:left="0"/>
        <w:jc w:val="both"/>
      </w:pPr>
      <w:r>
        <w:rPr>
          <w:rFonts w:ascii="Times New Roman"/>
          <w:b w:val="false"/>
          <w:i w:val="false"/>
          <w:color w:val="000000"/>
          <w:sz w:val="28"/>
        </w:rPr>
        <w:t>
      обеспечивают уровень противопожарной защиты не ниже того, который достигается при использовании предписываемых требований;</w:t>
      </w:r>
    </w:p>
    <w:bookmarkEnd w:id="6558"/>
    <w:bookmarkStart w:name="z6569" w:id="6559"/>
    <w:p>
      <w:pPr>
        <w:spacing w:after="0"/>
        <w:ind w:left="0"/>
        <w:jc w:val="both"/>
      </w:pPr>
      <w:r>
        <w:rPr>
          <w:rFonts w:ascii="Times New Roman"/>
          <w:b w:val="false"/>
          <w:i w:val="false"/>
          <w:color w:val="000000"/>
          <w:sz w:val="28"/>
        </w:rPr>
        <w:t>
      выражают в количественной форме и измеряемы;</w:t>
      </w:r>
    </w:p>
    <w:bookmarkEnd w:id="6559"/>
    <w:bookmarkStart w:name="z6570" w:id="6560"/>
    <w:p>
      <w:pPr>
        <w:spacing w:after="0"/>
        <w:ind w:left="0"/>
        <w:jc w:val="both"/>
      </w:pPr>
      <w:r>
        <w:rPr>
          <w:rFonts w:ascii="Times New Roman"/>
          <w:b w:val="false"/>
          <w:i w:val="false"/>
          <w:color w:val="000000"/>
          <w:sz w:val="28"/>
        </w:rPr>
        <w:t>
      5) подробное описание альтернативных конструкций, мер и устройства, включая перечень допущений, используемых в конструкции, любые предложенные эксплуатационные ограничения или условия;</w:t>
      </w:r>
    </w:p>
    <w:bookmarkEnd w:id="6560"/>
    <w:bookmarkStart w:name="z6571" w:id="6561"/>
    <w:p>
      <w:pPr>
        <w:spacing w:after="0"/>
        <w:ind w:left="0"/>
        <w:jc w:val="both"/>
      </w:pPr>
      <w:r>
        <w:rPr>
          <w:rFonts w:ascii="Times New Roman"/>
          <w:b w:val="false"/>
          <w:i w:val="false"/>
          <w:color w:val="000000"/>
          <w:sz w:val="28"/>
        </w:rPr>
        <w:t>
      6) технического обоснование, показывающее, что эти альтернативные конструкции, меры и устройства отвечают требуемым эксплуатационным критериям противопожарной защиты.</w:t>
      </w:r>
    </w:p>
    <w:bookmarkEnd w:id="6561"/>
    <w:bookmarkStart w:name="z6572" w:id="6562"/>
    <w:p>
      <w:pPr>
        <w:spacing w:after="0"/>
        <w:ind w:left="0"/>
        <w:jc w:val="left"/>
      </w:pPr>
      <w:r>
        <w:rPr>
          <w:rFonts w:ascii="Times New Roman"/>
          <w:b/>
          <w:i w:val="false"/>
          <w:color w:val="000000"/>
        </w:rPr>
        <w:t xml:space="preserve"> Параграф 3. Оценка и одобрение альтернативных конструкций,</w:t>
      </w:r>
      <w:r>
        <w:br/>
      </w:r>
      <w:r>
        <w:rPr>
          <w:rFonts w:ascii="Times New Roman"/>
          <w:b/>
          <w:i w:val="false"/>
          <w:color w:val="000000"/>
        </w:rPr>
        <w:t>мер и устройств, переоценка из-за изменившихся условий</w:t>
      </w:r>
    </w:p>
    <w:bookmarkEnd w:id="6562"/>
    <w:bookmarkStart w:name="z6573" w:id="6563"/>
    <w:p>
      <w:pPr>
        <w:spacing w:after="0"/>
        <w:ind w:left="0"/>
        <w:jc w:val="both"/>
      </w:pPr>
      <w:r>
        <w:rPr>
          <w:rFonts w:ascii="Times New Roman"/>
          <w:b w:val="false"/>
          <w:i w:val="false"/>
          <w:color w:val="000000"/>
          <w:sz w:val="28"/>
        </w:rPr>
        <w:t>
      2152. Технический анализ, требуемый в параграфе 2 настоящей главы, рассматривается и одобряется Регистром судоходства с учетом Руководства, разработанного ИМО.</w:t>
      </w:r>
    </w:p>
    <w:bookmarkEnd w:id="6563"/>
    <w:bookmarkStart w:name="z6574" w:id="6564"/>
    <w:p>
      <w:pPr>
        <w:spacing w:after="0"/>
        <w:ind w:left="0"/>
        <w:jc w:val="both"/>
      </w:pPr>
      <w:r>
        <w:rPr>
          <w:rFonts w:ascii="Times New Roman"/>
          <w:b w:val="false"/>
          <w:i w:val="false"/>
          <w:color w:val="000000"/>
          <w:sz w:val="28"/>
        </w:rPr>
        <w:t>
      2153. Копии документов, одобренных Регистром судоходства, указывающие, что альтернативные конструкции, меры и устройства отвечают требованиям данной главы, находятся на судне.</w:t>
      </w:r>
    </w:p>
    <w:bookmarkEnd w:id="6564"/>
    <w:bookmarkStart w:name="z6575" w:id="6565"/>
    <w:p>
      <w:pPr>
        <w:spacing w:after="0"/>
        <w:ind w:left="0"/>
        <w:jc w:val="both"/>
      </w:pPr>
      <w:r>
        <w:rPr>
          <w:rFonts w:ascii="Times New Roman"/>
          <w:b w:val="false"/>
          <w:i w:val="false"/>
          <w:color w:val="000000"/>
          <w:sz w:val="28"/>
        </w:rPr>
        <w:t>
      2154. Если допущения и ограничения эксплуатационного характера, оговоренные в альтернативных конструкциях, мерах и устройствах, изменяются, то технический анализ вновь проводится с учетом изменившихся условий и одобряется Регистром судоходства.</w:t>
      </w:r>
    </w:p>
    <w:bookmarkEnd w:id="6565"/>
    <w:bookmarkStart w:name="z6576" w:id="6566"/>
    <w:p>
      <w:pPr>
        <w:spacing w:after="0"/>
        <w:ind w:left="0"/>
        <w:jc w:val="left"/>
      </w:pPr>
      <w:r>
        <w:rPr>
          <w:rFonts w:ascii="Times New Roman"/>
          <w:b/>
          <w:i w:val="false"/>
          <w:color w:val="000000"/>
        </w:rPr>
        <w:t xml:space="preserve"> Подраздел 2. Конструктивная противопожарная защита</w:t>
      </w:r>
      <w:r>
        <w:br/>
      </w:r>
      <w:r>
        <w:rPr>
          <w:rFonts w:ascii="Times New Roman"/>
          <w:b/>
          <w:i w:val="false"/>
          <w:color w:val="000000"/>
        </w:rPr>
        <w:t>Глава 144. Общие требования</w:t>
      </w:r>
    </w:p>
    <w:bookmarkEnd w:id="6566"/>
    <w:p>
      <w:pPr>
        <w:spacing w:after="0"/>
        <w:ind w:left="0"/>
        <w:jc w:val="both"/>
      </w:pPr>
      <w:r>
        <w:rPr>
          <w:rFonts w:ascii="Times New Roman"/>
          <w:b w:val="false"/>
          <w:i w:val="false"/>
          <w:color w:val="ff0000"/>
          <w:sz w:val="28"/>
        </w:rPr>
        <w:t xml:space="preserve">
      Сноска. Заголовок главы 144 -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578" w:id="6567"/>
    <w:p>
      <w:pPr>
        <w:spacing w:after="0"/>
        <w:ind w:left="0"/>
        <w:jc w:val="left"/>
      </w:pPr>
      <w:r>
        <w:rPr>
          <w:rFonts w:ascii="Times New Roman"/>
          <w:b/>
          <w:i w:val="false"/>
          <w:color w:val="000000"/>
        </w:rPr>
        <w:t xml:space="preserve"> Параграф 1. Требования к материалам</w:t>
      </w:r>
    </w:p>
    <w:bookmarkEnd w:id="6567"/>
    <w:bookmarkStart w:name="z6579" w:id="6568"/>
    <w:p>
      <w:pPr>
        <w:spacing w:after="0"/>
        <w:ind w:left="0"/>
        <w:jc w:val="both"/>
      </w:pPr>
      <w:r>
        <w:rPr>
          <w:rFonts w:ascii="Times New Roman"/>
          <w:b w:val="false"/>
          <w:i w:val="false"/>
          <w:color w:val="000000"/>
          <w:sz w:val="28"/>
        </w:rPr>
        <w:t>
      2155. Корпус, надстройки, конструктивные переборки, палубы и рубки изготавливают из стали или другого равноценного материала. В целях применения определения стали или другого равноценного материала, данного в пункте 2124 настоящих Правил, "применимое огневое воздействие" соответствует стандартам огнестойкости и изоляции, приведенным в соответствующих таблицах огнестойкости переборок и палуб. Например, если для таких перекрытий как палубы или бортовые и концевые переборки рубок, допускается огнестойкость В-0, то "применимое огневое воздействие" равняется получасу.</w:t>
      </w:r>
    </w:p>
    <w:bookmarkEnd w:id="6568"/>
    <w:bookmarkStart w:name="z6580" w:id="6569"/>
    <w:p>
      <w:pPr>
        <w:spacing w:after="0"/>
        <w:ind w:left="0"/>
        <w:jc w:val="both"/>
      </w:pPr>
      <w:r>
        <w:rPr>
          <w:rFonts w:ascii="Times New Roman"/>
          <w:b w:val="false"/>
          <w:i w:val="false"/>
          <w:color w:val="000000"/>
          <w:sz w:val="28"/>
        </w:rPr>
        <w:t>
      При использовании алюминиевых сплавов или стеклопластика выполняют требования пунктов 2127 или 2166 настоящих Правил, соответственно.</w:t>
      </w:r>
    </w:p>
    <w:bookmarkEnd w:id="6569"/>
    <w:bookmarkStart w:name="z6581" w:id="6570"/>
    <w:p>
      <w:pPr>
        <w:spacing w:after="0"/>
        <w:ind w:left="0"/>
        <w:jc w:val="both"/>
      </w:pPr>
      <w:r>
        <w:rPr>
          <w:rFonts w:ascii="Times New Roman"/>
          <w:b w:val="false"/>
          <w:i w:val="false"/>
          <w:color w:val="000000"/>
          <w:sz w:val="28"/>
        </w:rPr>
        <w:t>
      Использование материалов, иных, чем упомянуты выше, для изготовления корпуса, надстроек, конструктивных переборок, палуб и рубок подлежит специальному рассмотрению Регистром судоходства в каждом конкретном случае в зависимости от назначения и размеров судна.</w:t>
      </w:r>
    </w:p>
    <w:bookmarkEnd w:id="6570"/>
    <w:bookmarkStart w:name="z6582" w:id="6571"/>
    <w:p>
      <w:pPr>
        <w:spacing w:after="0"/>
        <w:ind w:left="0"/>
        <w:jc w:val="both"/>
      </w:pPr>
      <w:r>
        <w:rPr>
          <w:rFonts w:ascii="Times New Roman"/>
          <w:b w:val="false"/>
          <w:i w:val="false"/>
          <w:color w:val="000000"/>
          <w:sz w:val="28"/>
        </w:rPr>
        <w:t>
      2156. Шахты и верхние перекрытия машинных помещений категории А изготавливают из стали и изолированы как требуется в приложениях 265 и 270 настоящих Правил в зависимости от случая.</w:t>
      </w:r>
    </w:p>
    <w:bookmarkEnd w:id="6571"/>
    <w:bookmarkStart w:name="z6583" w:id="6572"/>
    <w:p>
      <w:pPr>
        <w:spacing w:after="0"/>
        <w:ind w:left="0"/>
        <w:jc w:val="both"/>
      </w:pPr>
      <w:r>
        <w:rPr>
          <w:rFonts w:ascii="Times New Roman"/>
          <w:b w:val="false"/>
          <w:i w:val="false"/>
          <w:color w:val="000000"/>
          <w:sz w:val="28"/>
        </w:rPr>
        <w:t>
      2157. Если какая-либо часть конструкции изготавливается из алюминиевого сплава, необходимо чтобы было обеспечено следующее:</w:t>
      </w:r>
    </w:p>
    <w:bookmarkEnd w:id="6572"/>
    <w:bookmarkStart w:name="z6584" w:id="6573"/>
    <w:p>
      <w:pPr>
        <w:spacing w:after="0"/>
        <w:ind w:left="0"/>
        <w:jc w:val="both"/>
      </w:pPr>
      <w:r>
        <w:rPr>
          <w:rFonts w:ascii="Times New Roman"/>
          <w:b w:val="false"/>
          <w:i w:val="false"/>
          <w:color w:val="000000"/>
          <w:sz w:val="28"/>
        </w:rPr>
        <w:t>
      1) изоляция изготовленных из алюминиевого сплава деталей перекрытий типа А или В, за исключением конструкций, не являющихся несущими, такая, чтобы в любой момент применимого огневого воздействия при стандартном испытании на огнестойкость температура основы конструкций не превышалась более чем на 200</w:t>
      </w:r>
      <w:r>
        <w:rPr>
          <w:rFonts w:ascii="Times New Roman"/>
          <w:b w:val="false"/>
          <w:i w:val="false"/>
          <w:color w:val="000000"/>
          <w:vertAlign w:val="superscript"/>
        </w:rPr>
        <w:t>o</w:t>
      </w:r>
      <w:r>
        <w:rPr>
          <w:rFonts w:ascii="Times New Roman"/>
          <w:b w:val="false"/>
          <w:i w:val="false"/>
          <w:color w:val="000000"/>
          <w:sz w:val="28"/>
        </w:rPr>
        <w:t>С по сравнению с окружающей температурой;</w:t>
      </w:r>
    </w:p>
    <w:bookmarkEnd w:id="6573"/>
    <w:bookmarkStart w:name="z6585" w:id="6574"/>
    <w:p>
      <w:pPr>
        <w:spacing w:after="0"/>
        <w:ind w:left="0"/>
        <w:jc w:val="both"/>
      </w:pPr>
      <w:r>
        <w:rPr>
          <w:rFonts w:ascii="Times New Roman"/>
          <w:b w:val="false"/>
          <w:i w:val="false"/>
          <w:color w:val="000000"/>
          <w:sz w:val="28"/>
        </w:rPr>
        <w:t>
      2) особое внимание уделяют изоляции изготовленных из алюминиевого сплава детали колонн, пиллерсов и другие элементы конструкций, служащие опорой для мест расположения и спуска спасательных шлюпок и плотов, мест посадки в них, и перекрытий типа А и В, для обеспечения того, чтобы:</w:t>
      </w:r>
    </w:p>
    <w:bookmarkEnd w:id="6574"/>
    <w:bookmarkStart w:name="z6586" w:id="6575"/>
    <w:p>
      <w:pPr>
        <w:spacing w:after="0"/>
        <w:ind w:left="0"/>
        <w:jc w:val="both"/>
      </w:pPr>
      <w:r>
        <w:rPr>
          <w:rFonts w:ascii="Times New Roman"/>
          <w:b w:val="false"/>
          <w:i w:val="false"/>
          <w:color w:val="000000"/>
          <w:sz w:val="28"/>
        </w:rPr>
        <w:t>
      такие элементы, служащие опорой мест расположения и спуска спасательных шлюпок и плотов, мест посадки в них и перекрытий типа А, отвечали требованию в отношение предела повышения температуры, указанного в подпункте 1) пункта 2157 настоящих Правил, по истечении одного часа;</w:t>
      </w:r>
    </w:p>
    <w:bookmarkEnd w:id="6575"/>
    <w:bookmarkStart w:name="z6587" w:id="6576"/>
    <w:p>
      <w:pPr>
        <w:spacing w:after="0"/>
        <w:ind w:left="0"/>
        <w:jc w:val="both"/>
      </w:pPr>
      <w:r>
        <w:rPr>
          <w:rFonts w:ascii="Times New Roman"/>
          <w:b w:val="false"/>
          <w:i w:val="false"/>
          <w:color w:val="000000"/>
          <w:sz w:val="28"/>
        </w:rPr>
        <w:t>
      такие элементы, служащие опорой перекрытий типа В, отвечали требованию в отношении предела повышения температуры, указного в пункте 2157 настоящих Правил, по истечении получаса.</w:t>
      </w:r>
    </w:p>
    <w:bookmarkEnd w:id="6576"/>
    <w:bookmarkStart w:name="z6588" w:id="6577"/>
    <w:p>
      <w:pPr>
        <w:spacing w:after="0"/>
        <w:ind w:left="0"/>
        <w:jc w:val="both"/>
      </w:pPr>
      <w:r>
        <w:rPr>
          <w:rFonts w:ascii="Times New Roman"/>
          <w:b w:val="false"/>
          <w:i w:val="false"/>
          <w:color w:val="000000"/>
          <w:sz w:val="28"/>
        </w:rPr>
        <w:t>
      2158. Для жилых и служебных помещений и постов управления на судах всех типов подсчитывается общая масса горючих материалов в каждом выгороженном помещении по следующей формуле:</w:t>
      </w:r>
    </w:p>
    <w:bookmarkEnd w:id="6577"/>
    <w:bookmarkStart w:name="z6589" w:id="6578"/>
    <w:p>
      <w:pPr>
        <w:spacing w:after="0"/>
        <w:ind w:left="0"/>
        <w:jc w:val="both"/>
      </w:pPr>
      <w:r>
        <w:rPr>
          <w:rFonts w:ascii="Times New Roman"/>
          <w:b w:val="false"/>
          <w:i w:val="false"/>
          <w:color w:val="000000"/>
          <w:sz w:val="28"/>
        </w:rPr>
        <w:t>
                  Мотн = Мсум/S,                                      (722)</w:t>
      </w:r>
    </w:p>
    <w:bookmarkEnd w:id="6578"/>
    <w:bookmarkStart w:name="z6590" w:id="6579"/>
    <w:p>
      <w:pPr>
        <w:spacing w:after="0"/>
        <w:ind w:left="0"/>
        <w:jc w:val="both"/>
      </w:pPr>
      <w:r>
        <w:rPr>
          <w:rFonts w:ascii="Times New Roman"/>
          <w:b w:val="false"/>
          <w:i w:val="false"/>
          <w:color w:val="000000"/>
          <w:sz w:val="28"/>
        </w:rPr>
        <w:t>
      где Мотн — общая масса горючих материалов на единицу площади помещения, кг/м</w:t>
      </w:r>
      <w:r>
        <w:rPr>
          <w:rFonts w:ascii="Times New Roman"/>
          <w:b w:val="false"/>
          <w:i w:val="false"/>
          <w:color w:val="000000"/>
          <w:vertAlign w:val="superscript"/>
        </w:rPr>
        <w:t>2</w:t>
      </w:r>
      <w:r>
        <w:rPr>
          <w:rFonts w:ascii="Times New Roman"/>
          <w:b w:val="false"/>
          <w:i w:val="false"/>
          <w:color w:val="000000"/>
          <w:sz w:val="28"/>
        </w:rPr>
        <w:t>;</w:t>
      </w:r>
    </w:p>
    <w:bookmarkEnd w:id="6579"/>
    <w:bookmarkStart w:name="z6591" w:id="6580"/>
    <w:p>
      <w:pPr>
        <w:spacing w:after="0"/>
        <w:ind w:left="0"/>
        <w:jc w:val="both"/>
      </w:pPr>
      <w:r>
        <w:rPr>
          <w:rFonts w:ascii="Times New Roman"/>
          <w:b w:val="false"/>
          <w:i w:val="false"/>
          <w:color w:val="000000"/>
          <w:sz w:val="28"/>
        </w:rPr>
        <w:t>
      Мсум — общая масса горючих материалов в помещении, кг;</w:t>
      </w:r>
    </w:p>
    <w:bookmarkEnd w:id="6580"/>
    <w:bookmarkStart w:name="z6592" w:id="6581"/>
    <w:p>
      <w:pPr>
        <w:spacing w:after="0"/>
        <w:ind w:left="0"/>
        <w:jc w:val="both"/>
      </w:pPr>
      <w:r>
        <w:rPr>
          <w:rFonts w:ascii="Times New Roman"/>
          <w:b w:val="false"/>
          <w:i w:val="false"/>
          <w:color w:val="000000"/>
          <w:sz w:val="28"/>
        </w:rPr>
        <w:t>
      S — площадь помещения, м</w:t>
      </w:r>
      <w:r>
        <w:rPr>
          <w:rFonts w:ascii="Times New Roman"/>
          <w:b w:val="false"/>
          <w:i w:val="false"/>
          <w:color w:val="000000"/>
          <w:vertAlign w:val="superscript"/>
        </w:rPr>
        <w:t>2</w:t>
      </w:r>
      <w:r>
        <w:rPr>
          <w:rFonts w:ascii="Times New Roman"/>
          <w:b w:val="false"/>
          <w:i w:val="false"/>
          <w:color w:val="000000"/>
          <w:sz w:val="28"/>
        </w:rPr>
        <w:t>.</w:t>
      </w:r>
    </w:p>
    <w:bookmarkEnd w:id="6581"/>
    <w:bookmarkStart w:name="z6593" w:id="6582"/>
    <w:p>
      <w:pPr>
        <w:spacing w:after="0"/>
        <w:ind w:left="0"/>
        <w:jc w:val="both"/>
      </w:pPr>
      <w:r>
        <w:rPr>
          <w:rFonts w:ascii="Times New Roman"/>
          <w:b w:val="false"/>
          <w:i w:val="false"/>
          <w:color w:val="000000"/>
          <w:sz w:val="28"/>
        </w:rPr>
        <w:t>
      В расчет включают следующие горючие материалы:</w:t>
      </w:r>
    </w:p>
    <w:bookmarkEnd w:id="6582"/>
    <w:bookmarkStart w:name="z6594" w:id="6583"/>
    <w:p>
      <w:pPr>
        <w:spacing w:after="0"/>
        <w:ind w:left="0"/>
        <w:jc w:val="both"/>
      </w:pPr>
      <w:r>
        <w:rPr>
          <w:rFonts w:ascii="Times New Roman"/>
          <w:b w:val="false"/>
          <w:i w:val="false"/>
          <w:color w:val="000000"/>
          <w:sz w:val="28"/>
        </w:rPr>
        <w:t>
      1) конструкционные материалы, такие,как изоляция кабелей, пластиковые трубы, облицовки, и другие горючие материалы, разрешенные к применению согласно требованиям настоящих Правил;</w:t>
      </w:r>
    </w:p>
    <w:bookmarkEnd w:id="6583"/>
    <w:bookmarkStart w:name="z6595" w:id="6584"/>
    <w:p>
      <w:pPr>
        <w:spacing w:after="0"/>
        <w:ind w:left="0"/>
        <w:jc w:val="both"/>
      </w:pPr>
      <w:r>
        <w:rPr>
          <w:rFonts w:ascii="Times New Roman"/>
          <w:b w:val="false"/>
          <w:i w:val="false"/>
          <w:color w:val="000000"/>
          <w:sz w:val="28"/>
        </w:rPr>
        <w:t>
      2) оборудование, которое устанавливают во время постройки или предусмотрено судовладельцем или экипажем, включая мебель, постельные принадлежности и электрическое оборудование.</w:t>
      </w:r>
    </w:p>
    <w:bookmarkEnd w:id="6584"/>
    <w:bookmarkStart w:name="z6596" w:id="6585"/>
    <w:p>
      <w:pPr>
        <w:spacing w:after="0"/>
        <w:ind w:left="0"/>
        <w:jc w:val="both"/>
      </w:pPr>
      <w:r>
        <w:rPr>
          <w:rFonts w:ascii="Times New Roman"/>
          <w:b w:val="false"/>
          <w:i w:val="false"/>
          <w:color w:val="000000"/>
          <w:sz w:val="28"/>
        </w:rPr>
        <w:t>
      Общая масса горючих материалов на единицу площади помещения (Мотн), кг/м</w:t>
      </w:r>
      <w:r>
        <w:rPr>
          <w:rFonts w:ascii="Times New Roman"/>
          <w:b w:val="false"/>
          <w:i w:val="false"/>
          <w:color w:val="000000"/>
          <w:vertAlign w:val="superscript"/>
        </w:rPr>
        <w:t>2</w:t>
      </w:r>
      <w:r>
        <w:rPr>
          <w:rFonts w:ascii="Times New Roman"/>
          <w:b w:val="false"/>
          <w:i w:val="false"/>
          <w:color w:val="000000"/>
          <w:sz w:val="28"/>
        </w:rPr>
        <w:t>, не превышает величин, указанных в приложении 250 настоящих Правил. Категории помещений соответствуют указанным в пунктах 2199, 2201, 2226 или 2235 настоящих Правил, в зависимости от типа судна.</w:t>
      </w:r>
    </w:p>
    <w:bookmarkEnd w:id="6585"/>
    <w:bookmarkStart w:name="z6597" w:id="6586"/>
    <w:p>
      <w:pPr>
        <w:spacing w:after="0"/>
        <w:ind w:left="0"/>
        <w:jc w:val="both"/>
      </w:pPr>
      <w:r>
        <w:rPr>
          <w:rFonts w:ascii="Times New Roman"/>
          <w:b w:val="false"/>
          <w:i w:val="false"/>
          <w:color w:val="000000"/>
          <w:sz w:val="28"/>
        </w:rPr>
        <w:t>
      2159. Необходимо чтобы изоляционные материалы были негорючими, за исключением их использования в грузовых помещениях, почтовых и багажных кладовых и холодильных кладовых служебных помещений. Антиконденсатные покрытия и клеи, применяемые вместе с изоляция трубопроводной арматуры систем охлаждения и трубопроводов охлаждающей воды систем кондиционирования, бывают горючими, но их количество сводят практически к необходимому минимуму, а их открытые поверхности имеют характеристики медленного распространения пламени.</w:t>
      </w:r>
    </w:p>
    <w:bookmarkEnd w:id="6586"/>
    <w:bookmarkStart w:name="z6598" w:id="6587"/>
    <w:p>
      <w:pPr>
        <w:spacing w:after="0"/>
        <w:ind w:left="0"/>
        <w:jc w:val="both"/>
      </w:pPr>
      <w:r>
        <w:rPr>
          <w:rFonts w:ascii="Times New Roman"/>
          <w:b w:val="false"/>
          <w:i w:val="false"/>
          <w:color w:val="000000"/>
          <w:sz w:val="28"/>
        </w:rPr>
        <w:t>
      Изоляционные материалы не содержат асбест.</w:t>
      </w:r>
    </w:p>
    <w:bookmarkEnd w:id="6587"/>
    <w:bookmarkStart w:name="z6599" w:id="6588"/>
    <w:p>
      <w:pPr>
        <w:spacing w:after="0"/>
        <w:ind w:left="0"/>
        <w:jc w:val="both"/>
      </w:pPr>
      <w:r>
        <w:rPr>
          <w:rFonts w:ascii="Times New Roman"/>
          <w:b w:val="false"/>
          <w:i w:val="false"/>
          <w:color w:val="000000"/>
          <w:sz w:val="28"/>
        </w:rPr>
        <w:t>
      В помещениях, в которых присутствуют нефтепродукты, поверхность изоляции непроницаема для их паров, что обеспечивается за счет покрытия изоляции металлической фольгой или стеклотканью, непроницаемой для паров и надежно герметизированной на стыках.</w:t>
      </w:r>
    </w:p>
    <w:bookmarkEnd w:id="6588"/>
    <w:bookmarkStart w:name="z6600" w:id="6589"/>
    <w:p>
      <w:pPr>
        <w:spacing w:after="0"/>
        <w:ind w:left="0"/>
        <w:jc w:val="both"/>
      </w:pPr>
      <w:r>
        <w:rPr>
          <w:rFonts w:ascii="Times New Roman"/>
          <w:b w:val="false"/>
          <w:i w:val="false"/>
          <w:color w:val="000000"/>
          <w:sz w:val="28"/>
        </w:rPr>
        <w:t>
      2160. Первичные палубные покрытия, если они применяются в жилых и служебных помещениях и постах управления, применяют из одобренного материала, который не является легковоспламеняющимся или представляющим опасность в отношении выделения токсичных или взрывоопасных веществ при повышенных температурах, что определяется Кодексом процедур огневых испытаний.</w:t>
      </w:r>
    </w:p>
    <w:bookmarkEnd w:id="6589"/>
    <w:bookmarkStart w:name="z6601" w:id="6590"/>
    <w:p>
      <w:pPr>
        <w:spacing w:after="0"/>
        <w:ind w:left="0"/>
        <w:jc w:val="both"/>
      </w:pPr>
      <w:r>
        <w:rPr>
          <w:rFonts w:ascii="Times New Roman"/>
          <w:b w:val="false"/>
          <w:i w:val="false"/>
          <w:color w:val="000000"/>
          <w:sz w:val="28"/>
        </w:rPr>
        <w:t>
      Если согласно пункту 2162 настоящих Правил требуется, чтобы покрытие настила имело характеристики медленного распространения пламени, все слои должны отвечать требованию подпункта 5) пункта 2147 настоящих Правил. Если покрытие настила имеет многослойную конструкцию, то испытания проведят для каждого слоя или комбинаций некоторых слоев такого покрытия, при этом одобрение Регистра судоходства применимо только для испытанных комбинаций слоев. Если первичное палубное покрытие является также наружной поверхностью (пункт 2162 настоящих Правил), необходимо чтобы оно отвечало требованиям подпункта 5) пункта 1863 настоящих Правил. Однако первичные палубные покрытия, отвечающие требованию подпункту 6) пункта 2147 настоящих Правил, рассматриваются как отвечающие требованиям подпункта 5) пункта 2147 настоящих Правил для покрытий настила. Возможно чтобы грунтовый или подобный ему тонкий слой краски на палубном покрытии не отвечали требованию подпункта 6) пункта 2147 настоящих Правил.</w:t>
      </w:r>
    </w:p>
    <w:bookmarkEnd w:id="6590"/>
    <w:bookmarkStart w:name="z6602" w:id="6591"/>
    <w:p>
      <w:pPr>
        <w:spacing w:after="0"/>
        <w:ind w:left="0"/>
        <w:jc w:val="both"/>
      </w:pPr>
      <w:r>
        <w:rPr>
          <w:rFonts w:ascii="Times New Roman"/>
          <w:b w:val="false"/>
          <w:i w:val="false"/>
          <w:color w:val="000000"/>
          <w:sz w:val="28"/>
        </w:rPr>
        <w:t>
      2161. Краски, лаки и прочие отделочные материалы, применяемые на открытых поверхностях внутри помещений, не приводят к образованию чрезмерного количества дыма и токсичных веществ, что определяется Кодексом процедур огневых испытаний.</w:t>
      </w:r>
    </w:p>
    <w:bookmarkEnd w:id="6591"/>
    <w:bookmarkStart w:name="z6603" w:id="6592"/>
    <w:p>
      <w:pPr>
        <w:spacing w:after="0"/>
        <w:ind w:left="0"/>
        <w:jc w:val="both"/>
      </w:pPr>
      <w:r>
        <w:rPr>
          <w:rFonts w:ascii="Times New Roman"/>
          <w:b w:val="false"/>
          <w:i w:val="false"/>
          <w:color w:val="000000"/>
          <w:sz w:val="28"/>
        </w:rPr>
        <w:t>
      Это требование применяется к поверхностям переборок, палуб, покрытий настила, зашивок и подволоков, но не применяется к изоляции кабелей, пластмассовым трубам и мебели.</w:t>
      </w:r>
    </w:p>
    <w:bookmarkEnd w:id="6592"/>
    <w:bookmarkStart w:name="z6604" w:id="6593"/>
    <w:p>
      <w:pPr>
        <w:spacing w:after="0"/>
        <w:ind w:left="0"/>
        <w:jc w:val="both"/>
      </w:pPr>
      <w:r>
        <w:rPr>
          <w:rFonts w:ascii="Times New Roman"/>
          <w:b w:val="false"/>
          <w:i w:val="false"/>
          <w:color w:val="000000"/>
          <w:sz w:val="28"/>
        </w:rPr>
        <w:t>
      Материалы поверхностей и первичные палубные покрытия (пункт 2160 настоящих Правил) с общим тепловым излучением не более 0,2 МДж и предельным значением коэффициента теплового излучения не более 1,0 кВт (обе величины определяются в соответствии с резолюцией ИМО А.653(16)), рассматриваются как отвечающие требованиям подпункта 2) пункта 2147 настоящих Правил без испытания.</w:t>
      </w:r>
    </w:p>
    <w:bookmarkEnd w:id="6593"/>
    <w:bookmarkStart w:name="z6605" w:id="6594"/>
    <w:p>
      <w:pPr>
        <w:spacing w:after="0"/>
        <w:ind w:left="0"/>
        <w:jc w:val="both"/>
      </w:pPr>
      <w:r>
        <w:rPr>
          <w:rFonts w:ascii="Times New Roman"/>
          <w:b w:val="false"/>
          <w:i w:val="false"/>
          <w:color w:val="000000"/>
          <w:sz w:val="28"/>
        </w:rPr>
        <w:t>
      На нефтеналивных и нефтесборных судах в грузовых танках, коффердамах, насосных помещениях, в районе грузовых палуб и в других местах, где возможно скопление взрывоопасных паров, применение алюминиевых красок не допускается.</w:t>
      </w:r>
    </w:p>
    <w:bookmarkEnd w:id="6594"/>
    <w:bookmarkStart w:name="z6606" w:id="6595"/>
    <w:p>
      <w:pPr>
        <w:spacing w:after="0"/>
        <w:ind w:left="0"/>
        <w:jc w:val="both"/>
      </w:pPr>
      <w:r>
        <w:rPr>
          <w:rFonts w:ascii="Times New Roman"/>
          <w:b w:val="false"/>
          <w:i w:val="false"/>
          <w:color w:val="000000"/>
          <w:sz w:val="28"/>
        </w:rPr>
        <w:t>
      2162. Следующие поверхности имеют характеристики медленного распространения пламени:</w:t>
      </w:r>
    </w:p>
    <w:bookmarkEnd w:id="6595"/>
    <w:bookmarkStart w:name="z6607" w:id="6596"/>
    <w:p>
      <w:pPr>
        <w:spacing w:after="0"/>
        <w:ind w:left="0"/>
        <w:jc w:val="both"/>
      </w:pPr>
      <w:r>
        <w:rPr>
          <w:rFonts w:ascii="Times New Roman"/>
          <w:b w:val="false"/>
          <w:i w:val="false"/>
          <w:color w:val="000000"/>
          <w:sz w:val="28"/>
        </w:rPr>
        <w:t>
      1) на пассажирских судах:</w:t>
      </w:r>
    </w:p>
    <w:bookmarkEnd w:id="6596"/>
    <w:bookmarkStart w:name="z6608" w:id="6597"/>
    <w:p>
      <w:pPr>
        <w:spacing w:after="0"/>
        <w:ind w:left="0"/>
        <w:jc w:val="both"/>
      </w:pPr>
      <w:r>
        <w:rPr>
          <w:rFonts w:ascii="Times New Roman"/>
          <w:b w:val="false"/>
          <w:i w:val="false"/>
          <w:color w:val="000000"/>
          <w:sz w:val="28"/>
        </w:rPr>
        <w:t>
      открытые поверхности в коридорах и выгородках трапов, а также переборок и подволоков в жилых, служебных помещениях (за исключением саун) и постах управления;</w:t>
      </w:r>
    </w:p>
    <w:bookmarkEnd w:id="6597"/>
    <w:bookmarkStart w:name="z6609" w:id="6598"/>
    <w:p>
      <w:pPr>
        <w:spacing w:after="0"/>
        <w:ind w:left="0"/>
        <w:jc w:val="both"/>
      </w:pPr>
      <w:r>
        <w:rPr>
          <w:rFonts w:ascii="Times New Roman"/>
          <w:b w:val="false"/>
          <w:i w:val="false"/>
          <w:color w:val="000000"/>
          <w:sz w:val="28"/>
        </w:rPr>
        <w:t>
      поверхности и настилы в скрытых или недоступных местах жилых, служебных помещений и постов управления;</w:t>
      </w:r>
    </w:p>
    <w:bookmarkEnd w:id="6598"/>
    <w:bookmarkStart w:name="z6610" w:id="6599"/>
    <w:p>
      <w:pPr>
        <w:spacing w:after="0"/>
        <w:ind w:left="0"/>
        <w:jc w:val="both"/>
      </w:pPr>
      <w:r>
        <w:rPr>
          <w:rFonts w:ascii="Times New Roman"/>
          <w:b w:val="false"/>
          <w:i w:val="false"/>
          <w:color w:val="000000"/>
          <w:sz w:val="28"/>
        </w:rPr>
        <w:t>
      2) на грузовых судах валовой вместимостью более 500:</w:t>
      </w:r>
    </w:p>
    <w:bookmarkEnd w:id="6599"/>
    <w:bookmarkStart w:name="z6611" w:id="6600"/>
    <w:p>
      <w:pPr>
        <w:spacing w:after="0"/>
        <w:ind w:left="0"/>
        <w:jc w:val="both"/>
      </w:pPr>
      <w:r>
        <w:rPr>
          <w:rFonts w:ascii="Times New Roman"/>
          <w:b w:val="false"/>
          <w:i w:val="false"/>
          <w:color w:val="000000"/>
          <w:sz w:val="28"/>
        </w:rPr>
        <w:t>
      открытые поверхности в коридорах и выгородках трапов и подволоки жилых, служебных помещений (за исключением саун) и постов управления; и</w:t>
      </w:r>
    </w:p>
    <w:bookmarkEnd w:id="6600"/>
    <w:bookmarkStart w:name="z6612" w:id="6601"/>
    <w:p>
      <w:pPr>
        <w:spacing w:after="0"/>
        <w:ind w:left="0"/>
        <w:jc w:val="both"/>
      </w:pPr>
      <w:r>
        <w:rPr>
          <w:rFonts w:ascii="Times New Roman"/>
          <w:b w:val="false"/>
          <w:i w:val="false"/>
          <w:color w:val="000000"/>
          <w:sz w:val="28"/>
        </w:rPr>
        <w:t>
      поверхности и настилы в скрытых или недоступных местах жилых, служебных помещений и постов управления.</w:t>
      </w:r>
    </w:p>
    <w:bookmarkEnd w:id="6601"/>
    <w:bookmarkStart w:name="z6613" w:id="6602"/>
    <w:p>
      <w:pPr>
        <w:spacing w:after="0"/>
        <w:ind w:left="0"/>
        <w:jc w:val="both"/>
      </w:pPr>
      <w:r>
        <w:rPr>
          <w:rFonts w:ascii="Times New Roman"/>
          <w:b w:val="false"/>
          <w:i w:val="false"/>
          <w:color w:val="000000"/>
          <w:sz w:val="28"/>
        </w:rPr>
        <w:t>
      3) клеи и герметики, используемые в конструкциях типов А и В.</w:t>
      </w:r>
    </w:p>
    <w:bookmarkEnd w:id="6602"/>
    <w:bookmarkStart w:name="z6614" w:id="6603"/>
    <w:p>
      <w:pPr>
        <w:spacing w:after="0"/>
        <w:ind w:left="0"/>
        <w:jc w:val="both"/>
      </w:pPr>
      <w:r>
        <w:rPr>
          <w:rFonts w:ascii="Times New Roman"/>
          <w:b w:val="false"/>
          <w:i w:val="false"/>
          <w:color w:val="000000"/>
          <w:sz w:val="28"/>
        </w:rPr>
        <w:t>
      Приведенные выше требования применяются к поверхностям переборок, палуб, покрытий настила, облицовок и подволоков, но не применяются к пластмассовым трубам, электрическим кабелям и мебели.</w:t>
      </w:r>
    </w:p>
    <w:bookmarkEnd w:id="6603"/>
    <w:bookmarkStart w:name="z6615" w:id="6604"/>
    <w:p>
      <w:pPr>
        <w:spacing w:after="0"/>
        <w:ind w:left="0"/>
        <w:jc w:val="both"/>
      </w:pPr>
      <w:r>
        <w:rPr>
          <w:rFonts w:ascii="Times New Roman"/>
          <w:b w:val="false"/>
          <w:i w:val="false"/>
          <w:color w:val="000000"/>
          <w:sz w:val="28"/>
        </w:rPr>
        <w:t>
      2163. На пассажирских судах, перевозящих более 36 пассажиров, в жилых помещениях, мебель и отделка которых представляет ограниченную пожарную опасность, обитая мебель, постельные принадлежности, драпировки и занавеси и другие подобные висящие изделия испытывают согласно Кодексу процедур огневых испытаний с удовлетворительными результатами (подпункты 7) – 9) пункта 2147 настоящих Правил). Для других типов судов данные требования являются рекомендуемыми.</w:t>
      </w:r>
    </w:p>
    <w:bookmarkEnd w:id="6604"/>
    <w:bookmarkStart w:name="z6616" w:id="6605"/>
    <w:p>
      <w:pPr>
        <w:spacing w:after="0"/>
        <w:ind w:left="0"/>
        <w:jc w:val="both"/>
      </w:pPr>
      <w:r>
        <w:rPr>
          <w:rFonts w:ascii="Times New Roman"/>
          <w:b w:val="false"/>
          <w:i w:val="false"/>
          <w:color w:val="000000"/>
          <w:sz w:val="28"/>
        </w:rPr>
        <w:t>
      2164. На пассажирских судах перекрытия типов А, В или С в жилых и служебных помещениях, которые отделаны горючими материалами, облицовками, багетами, декорациями и пленками, отвечают требованиям настоящего пункта и пунктов 2160 – 2162 настоящих Правил. Однако традиционные деревянные полки и деревянные зашивки переборок и подволоков допускаются в саунах, и такие материалы не учитываются в расчетах, предписанных настоящим пунктом.</w:t>
      </w:r>
    </w:p>
    <w:bookmarkEnd w:id="6605"/>
    <w:bookmarkStart w:name="z6617" w:id="6606"/>
    <w:p>
      <w:pPr>
        <w:spacing w:after="0"/>
        <w:ind w:left="0"/>
        <w:jc w:val="both"/>
      </w:pPr>
      <w:r>
        <w:rPr>
          <w:rFonts w:ascii="Times New Roman"/>
          <w:b w:val="false"/>
          <w:i w:val="false"/>
          <w:color w:val="000000"/>
          <w:sz w:val="28"/>
        </w:rPr>
        <w:t>
      На грузовых судах негорючие переборки, подволоки и зашивки, установленные в жилых и служебных помещениях, отделывают горючими материалами, облицовками, багетами, декорациями и пленками при условии, что эти помещения ограничены негорючими переборками, подволоками и зашивками в соответствии с требованиями настоящего пункта и пунктов 2160 – 2162 настоящих Правил.</w:t>
      </w:r>
    </w:p>
    <w:bookmarkEnd w:id="6606"/>
    <w:bookmarkStart w:name="z6618" w:id="6607"/>
    <w:p>
      <w:pPr>
        <w:spacing w:after="0"/>
        <w:ind w:left="0"/>
        <w:jc w:val="both"/>
      </w:pPr>
      <w:r>
        <w:rPr>
          <w:rFonts w:ascii="Times New Roman"/>
          <w:b w:val="false"/>
          <w:i w:val="false"/>
          <w:color w:val="000000"/>
          <w:sz w:val="28"/>
        </w:rPr>
        <w:t>
      Горючие материалы, используемые для облицовки и отделки поверхностей, имеют теплотворную способность не более 45 МДж/м</w:t>
      </w:r>
      <w:r>
        <w:rPr>
          <w:rFonts w:ascii="Times New Roman"/>
          <w:b w:val="false"/>
          <w:i w:val="false"/>
          <w:color w:val="000000"/>
          <w:vertAlign w:val="superscript"/>
        </w:rPr>
        <w:t>2</w:t>
      </w:r>
      <w:r>
        <w:rPr>
          <w:rFonts w:ascii="Times New Roman"/>
          <w:b w:val="false"/>
          <w:i w:val="false"/>
          <w:color w:val="000000"/>
          <w:sz w:val="28"/>
        </w:rPr>
        <w:t xml:space="preserve"> с учетом их толщины. Требования данного пункта не применяются к поверхностям мебели, закрепленной к зашивкам или переборкам.</w:t>
      </w:r>
    </w:p>
    <w:bookmarkEnd w:id="6607"/>
    <w:bookmarkStart w:name="z6619" w:id="6608"/>
    <w:p>
      <w:pPr>
        <w:spacing w:after="0"/>
        <w:ind w:left="0"/>
        <w:jc w:val="both"/>
      </w:pPr>
      <w:r>
        <w:rPr>
          <w:rFonts w:ascii="Times New Roman"/>
          <w:b w:val="false"/>
          <w:i w:val="false"/>
          <w:color w:val="000000"/>
          <w:sz w:val="28"/>
        </w:rPr>
        <w:t>
      Теплотворная способность Q, МДж/м</w:t>
      </w:r>
      <w:r>
        <w:rPr>
          <w:rFonts w:ascii="Times New Roman"/>
          <w:b w:val="false"/>
          <w:i w:val="false"/>
          <w:color w:val="000000"/>
          <w:vertAlign w:val="superscript"/>
        </w:rPr>
        <w:t>2</w:t>
      </w:r>
      <w:r>
        <w:rPr>
          <w:rFonts w:ascii="Times New Roman"/>
          <w:b w:val="false"/>
          <w:i w:val="false"/>
          <w:color w:val="000000"/>
          <w:sz w:val="28"/>
        </w:rPr>
        <w:t>, с учетом толщины облицовочного материала определяется по формуле:</w:t>
      </w:r>
    </w:p>
    <w:bookmarkEnd w:id="6608"/>
    <w:bookmarkStart w:name="z6620" w:id="6609"/>
    <w:p>
      <w:pPr>
        <w:spacing w:after="0"/>
        <w:ind w:left="0"/>
        <w:jc w:val="both"/>
      </w:pPr>
      <w:r>
        <w:rPr>
          <w:rFonts w:ascii="Times New Roman"/>
          <w:b w:val="false"/>
          <w:i w:val="false"/>
          <w:color w:val="000000"/>
          <w:sz w:val="28"/>
        </w:rPr>
        <w:t>
                              Q = Qgps, (723)</w:t>
      </w:r>
    </w:p>
    <w:bookmarkEnd w:id="6609"/>
    <w:bookmarkStart w:name="z6621" w:id="6610"/>
    <w:p>
      <w:pPr>
        <w:spacing w:after="0"/>
        <w:ind w:left="0"/>
        <w:jc w:val="both"/>
      </w:pPr>
      <w:r>
        <w:rPr>
          <w:rFonts w:ascii="Times New Roman"/>
          <w:b w:val="false"/>
          <w:i w:val="false"/>
          <w:color w:val="000000"/>
          <w:sz w:val="28"/>
        </w:rPr>
        <w:t>
           где Qg — наибольшая удельная теплота сгорания материала, определяемая по стандарту ИСО 1716 "Строительные материалы. Определение теплотворной способности", МДж/кг;</w:t>
      </w:r>
    </w:p>
    <w:bookmarkEnd w:id="6610"/>
    <w:bookmarkStart w:name="z6622" w:id="6611"/>
    <w:p>
      <w:pPr>
        <w:spacing w:after="0"/>
        <w:ind w:left="0"/>
        <w:jc w:val="both"/>
      </w:pPr>
      <w:r>
        <w:rPr>
          <w:rFonts w:ascii="Times New Roman"/>
          <w:b w:val="false"/>
          <w:i w:val="false"/>
          <w:color w:val="000000"/>
          <w:sz w:val="28"/>
        </w:rPr>
        <w:t>
           р — плотность материала кг/м;</w:t>
      </w:r>
    </w:p>
    <w:bookmarkEnd w:id="6611"/>
    <w:bookmarkStart w:name="z6623" w:id="6612"/>
    <w:p>
      <w:pPr>
        <w:spacing w:after="0"/>
        <w:ind w:left="0"/>
        <w:jc w:val="both"/>
      </w:pPr>
      <w:r>
        <w:rPr>
          <w:rFonts w:ascii="Times New Roman"/>
          <w:b w:val="false"/>
          <w:i w:val="false"/>
          <w:color w:val="000000"/>
          <w:sz w:val="28"/>
        </w:rPr>
        <w:t>
           s — толщина материала, м.</w:t>
      </w:r>
    </w:p>
    <w:bookmarkEnd w:id="6612"/>
    <w:bookmarkStart w:name="z6624" w:id="6613"/>
    <w:p>
      <w:pPr>
        <w:spacing w:after="0"/>
        <w:ind w:left="0"/>
        <w:jc w:val="both"/>
      </w:pPr>
      <w:r>
        <w:rPr>
          <w:rFonts w:ascii="Times New Roman"/>
          <w:b w:val="false"/>
          <w:i w:val="false"/>
          <w:color w:val="000000"/>
          <w:sz w:val="28"/>
        </w:rPr>
        <w:t>
      Там, где горючие материалы используются в соответствии с настоящим пунктом, они отвечают нижеследующим требованиям:</w:t>
      </w:r>
    </w:p>
    <w:bookmarkEnd w:id="6613"/>
    <w:bookmarkStart w:name="z6625" w:id="6614"/>
    <w:p>
      <w:pPr>
        <w:spacing w:after="0"/>
        <w:ind w:left="0"/>
        <w:jc w:val="both"/>
      </w:pPr>
      <w:r>
        <w:rPr>
          <w:rFonts w:ascii="Times New Roman"/>
          <w:b w:val="false"/>
          <w:i w:val="false"/>
          <w:color w:val="000000"/>
          <w:sz w:val="28"/>
        </w:rPr>
        <w:t>
      1) общий объем горючих облицовок, багетов, декораций и пленок в любых жилых и служебных помещениях не превышает объема, эквивалентного покрытию облицовкой, толщиной 2,5 мм, всей площади стен и подволока. Мебель, закрепленная к зашивкам, переборкам или палубам, не включается в расчет общего объема горючих материалов; и</w:t>
      </w:r>
    </w:p>
    <w:bookmarkEnd w:id="6614"/>
    <w:bookmarkStart w:name="z6626" w:id="6615"/>
    <w:p>
      <w:pPr>
        <w:spacing w:after="0"/>
        <w:ind w:left="0"/>
        <w:jc w:val="both"/>
      </w:pPr>
      <w:r>
        <w:rPr>
          <w:rFonts w:ascii="Times New Roman"/>
          <w:b w:val="false"/>
          <w:i w:val="false"/>
          <w:color w:val="000000"/>
          <w:sz w:val="28"/>
        </w:rPr>
        <w:t>
      2) для судов, оборудованных автоматической спринклерной системой, отвечающей положениям Кодекса по системам противопожарной безопасности, вышеуказанный объем включает некоторые горючие материалы, используемые для монтажа перекрытий типа С.</w:t>
      </w:r>
    </w:p>
    <w:bookmarkEnd w:id="6615"/>
    <w:bookmarkStart w:name="z6627" w:id="6616"/>
    <w:p>
      <w:pPr>
        <w:spacing w:after="0"/>
        <w:ind w:left="0"/>
        <w:jc w:val="both"/>
      </w:pPr>
      <w:r>
        <w:rPr>
          <w:rFonts w:ascii="Times New Roman"/>
          <w:b w:val="false"/>
          <w:i w:val="false"/>
          <w:color w:val="000000"/>
          <w:sz w:val="28"/>
        </w:rPr>
        <w:t>
      На грузовых судах валовой вместимостью менее 500 и несамоходных, независимо от валовой вместимости, взамен выполнения вышеуказанного требования допускается установка в жилых и служебных помещениях негорючих переборок, зашивок и подволоков с горючей облицовкой толщиной не более 2 мм, кроме коридоров, выгородок трапов, а также постов управления, где толщина горючей облицовки не превышает 1,5 мм.</w:t>
      </w:r>
    </w:p>
    <w:bookmarkEnd w:id="6616"/>
    <w:bookmarkStart w:name="z6628" w:id="6617"/>
    <w:p>
      <w:pPr>
        <w:spacing w:after="0"/>
        <w:ind w:left="0"/>
        <w:jc w:val="both"/>
      </w:pPr>
      <w:r>
        <w:rPr>
          <w:rFonts w:ascii="Times New Roman"/>
          <w:b w:val="false"/>
          <w:i w:val="false"/>
          <w:color w:val="000000"/>
          <w:sz w:val="28"/>
        </w:rPr>
        <w:t>
      2165. Емкости для отходов изготавливаются из негорючих материалов и не иметь отверстий в стенках или днищах.</w:t>
      </w:r>
    </w:p>
    <w:bookmarkEnd w:id="6617"/>
    <w:bookmarkStart w:name="z6629" w:id="6618"/>
    <w:p>
      <w:pPr>
        <w:spacing w:after="0"/>
        <w:ind w:left="0"/>
        <w:jc w:val="both"/>
      </w:pPr>
      <w:r>
        <w:rPr>
          <w:rFonts w:ascii="Times New Roman"/>
          <w:b w:val="false"/>
          <w:i w:val="false"/>
          <w:color w:val="000000"/>
          <w:sz w:val="28"/>
        </w:rPr>
        <w:t>
      В камбузах, буфетных, барах, помещениях для переработки или хранения отходов и помещениях инсинераторов используются емкости для отходов, изготовленные из горючих материалов, при условии, что они используются только для мокрых отходов, стеклянной и металлической тары и соответствующим образом маркированы.</w:t>
      </w:r>
    </w:p>
    <w:bookmarkEnd w:id="6618"/>
    <w:bookmarkStart w:name="z6630" w:id="6619"/>
    <w:p>
      <w:pPr>
        <w:spacing w:after="0"/>
        <w:ind w:left="0"/>
        <w:jc w:val="both"/>
      </w:pPr>
      <w:r>
        <w:rPr>
          <w:rFonts w:ascii="Times New Roman"/>
          <w:b w:val="false"/>
          <w:i w:val="false"/>
          <w:color w:val="000000"/>
          <w:sz w:val="28"/>
        </w:rPr>
        <w:t>
      2166. Если конструкции судна или шлюпки изготавливаются из стеклопластика в соответствии с требованиями части 17 настоящих Правил, то огнезащитные свойства и огнестойкость таких конструкций испытываются в соответствии с методикой, изложенной в циркуляре ИМО MSO/Circ. 1006.</w:t>
      </w:r>
    </w:p>
    <w:bookmarkEnd w:id="6619"/>
    <w:bookmarkStart w:name="z6631" w:id="6620"/>
    <w:p>
      <w:pPr>
        <w:spacing w:after="0"/>
        <w:ind w:left="0"/>
        <w:jc w:val="left"/>
      </w:pPr>
      <w:r>
        <w:rPr>
          <w:rFonts w:ascii="Times New Roman"/>
          <w:b/>
          <w:i w:val="false"/>
          <w:color w:val="000000"/>
        </w:rPr>
        <w:t xml:space="preserve"> Параграф 2. Противопожарные конструкции</w:t>
      </w:r>
    </w:p>
    <w:bookmarkEnd w:id="6620"/>
    <w:bookmarkStart w:name="z6632" w:id="6621"/>
    <w:p>
      <w:pPr>
        <w:spacing w:after="0"/>
        <w:ind w:left="0"/>
        <w:jc w:val="both"/>
      </w:pPr>
      <w:r>
        <w:rPr>
          <w:rFonts w:ascii="Times New Roman"/>
          <w:b w:val="false"/>
          <w:i w:val="false"/>
          <w:color w:val="000000"/>
          <w:sz w:val="28"/>
        </w:rPr>
        <w:t>
      2167. Конструкции типа А — это конструкции, которые образованы переборками или палубами и которые:</w:t>
      </w:r>
    </w:p>
    <w:bookmarkEnd w:id="6621"/>
    <w:bookmarkStart w:name="z6633" w:id="6622"/>
    <w:p>
      <w:pPr>
        <w:spacing w:after="0"/>
        <w:ind w:left="0"/>
        <w:jc w:val="both"/>
      </w:pPr>
      <w:r>
        <w:rPr>
          <w:rFonts w:ascii="Times New Roman"/>
          <w:b w:val="false"/>
          <w:i w:val="false"/>
          <w:color w:val="000000"/>
          <w:sz w:val="28"/>
        </w:rPr>
        <w:t>
      1) изготовлены из стали или из другого равноценного материала;</w:t>
      </w:r>
    </w:p>
    <w:bookmarkEnd w:id="6622"/>
    <w:bookmarkStart w:name="z6634" w:id="6623"/>
    <w:p>
      <w:pPr>
        <w:spacing w:after="0"/>
        <w:ind w:left="0"/>
        <w:jc w:val="both"/>
      </w:pPr>
      <w:r>
        <w:rPr>
          <w:rFonts w:ascii="Times New Roman"/>
          <w:b w:val="false"/>
          <w:i w:val="false"/>
          <w:color w:val="000000"/>
          <w:sz w:val="28"/>
        </w:rPr>
        <w:t>
      2) имеют соответствующие элементы жесткости;</w:t>
      </w:r>
    </w:p>
    <w:bookmarkEnd w:id="6623"/>
    <w:bookmarkStart w:name="z6635" w:id="6624"/>
    <w:p>
      <w:pPr>
        <w:spacing w:after="0"/>
        <w:ind w:left="0"/>
        <w:jc w:val="both"/>
      </w:pPr>
      <w:r>
        <w:rPr>
          <w:rFonts w:ascii="Times New Roman"/>
          <w:b w:val="false"/>
          <w:i w:val="false"/>
          <w:color w:val="000000"/>
          <w:sz w:val="28"/>
        </w:rPr>
        <w:t>
      3) изготовлены так, чтобы предотвратить прохождение через них дыма и пламени до конца 60 мин стандартного испытания огнестойкости;</w:t>
      </w:r>
    </w:p>
    <w:bookmarkEnd w:id="6624"/>
    <w:bookmarkStart w:name="z6636" w:id="6625"/>
    <w:p>
      <w:pPr>
        <w:spacing w:after="0"/>
        <w:ind w:left="0"/>
        <w:jc w:val="both"/>
      </w:pPr>
      <w:r>
        <w:rPr>
          <w:rFonts w:ascii="Times New Roman"/>
          <w:b w:val="false"/>
          <w:i w:val="false"/>
          <w:color w:val="000000"/>
          <w:sz w:val="28"/>
        </w:rPr>
        <w:t>
      4) изолированы негорючими материалами так, чтобы средняя температура на стороне, противоположной огневому воздействию, не повышалась более чем на 140</w:t>
      </w:r>
      <w:r>
        <w:rPr>
          <w:rFonts w:ascii="Times New Roman"/>
          <w:b w:val="false"/>
          <w:i w:val="false"/>
          <w:color w:val="000000"/>
          <w:vertAlign w:val="superscript"/>
        </w:rPr>
        <w:t>o</w:t>
      </w:r>
      <w:r>
        <w:rPr>
          <w:rFonts w:ascii="Times New Roman"/>
          <w:b w:val="false"/>
          <w:i w:val="false"/>
          <w:color w:val="000000"/>
          <w:sz w:val="28"/>
        </w:rPr>
        <w:t>С по сравнению с первоначальной; при этом температура в любой точке, включая любое соединение, не повышается более чем на 180</w:t>
      </w:r>
      <w:r>
        <w:rPr>
          <w:rFonts w:ascii="Times New Roman"/>
          <w:b w:val="false"/>
          <w:i w:val="false"/>
          <w:color w:val="000000"/>
          <w:vertAlign w:val="superscript"/>
        </w:rPr>
        <w:t>o</w:t>
      </w:r>
      <w:r>
        <w:rPr>
          <w:rFonts w:ascii="Times New Roman"/>
          <w:b w:val="false"/>
          <w:i w:val="false"/>
          <w:color w:val="000000"/>
          <w:sz w:val="28"/>
        </w:rPr>
        <w:t>С по сравнению с первоначальной.</w:t>
      </w:r>
    </w:p>
    <w:bookmarkEnd w:id="6625"/>
    <w:bookmarkStart w:name="z6637" w:id="6626"/>
    <w:p>
      <w:pPr>
        <w:spacing w:after="0"/>
        <w:ind w:left="0"/>
        <w:jc w:val="both"/>
      </w:pPr>
      <w:r>
        <w:rPr>
          <w:rFonts w:ascii="Times New Roman"/>
          <w:b w:val="false"/>
          <w:i w:val="false"/>
          <w:color w:val="000000"/>
          <w:sz w:val="28"/>
        </w:rPr>
        <w:t xml:space="preserve">
      В зависимости от времени, в течение которого обеспечивается соблюдение указанного перепада температур в процессе стандартного испытания огнестойкости, конструкциям присваиваются следующие обозначения: </w:t>
      </w:r>
    </w:p>
    <w:bookmarkEnd w:id="6626"/>
    <w:bookmarkStart w:name="z6638" w:id="6627"/>
    <w:p>
      <w:pPr>
        <w:spacing w:after="0"/>
        <w:ind w:left="0"/>
        <w:jc w:val="both"/>
      </w:pPr>
      <w:r>
        <w:rPr>
          <w:rFonts w:ascii="Times New Roman"/>
          <w:b w:val="false"/>
          <w:i w:val="false"/>
          <w:color w:val="000000"/>
          <w:sz w:val="28"/>
        </w:rPr>
        <w:t>
      А-60 — в течение 60 мин.;</w:t>
      </w:r>
    </w:p>
    <w:bookmarkEnd w:id="6627"/>
    <w:bookmarkStart w:name="z6639" w:id="6628"/>
    <w:p>
      <w:pPr>
        <w:spacing w:after="0"/>
        <w:ind w:left="0"/>
        <w:jc w:val="both"/>
      </w:pPr>
      <w:r>
        <w:rPr>
          <w:rFonts w:ascii="Times New Roman"/>
          <w:b w:val="false"/>
          <w:i w:val="false"/>
          <w:color w:val="000000"/>
          <w:sz w:val="28"/>
        </w:rPr>
        <w:t>
      А-30 — 30 мин;</w:t>
      </w:r>
    </w:p>
    <w:bookmarkEnd w:id="6628"/>
    <w:bookmarkStart w:name="z6640" w:id="6629"/>
    <w:p>
      <w:pPr>
        <w:spacing w:after="0"/>
        <w:ind w:left="0"/>
        <w:jc w:val="both"/>
      </w:pPr>
      <w:r>
        <w:rPr>
          <w:rFonts w:ascii="Times New Roman"/>
          <w:b w:val="false"/>
          <w:i w:val="false"/>
          <w:color w:val="000000"/>
          <w:sz w:val="28"/>
        </w:rPr>
        <w:t>
      А — 15 мин;</w:t>
      </w:r>
    </w:p>
    <w:bookmarkEnd w:id="6629"/>
    <w:bookmarkStart w:name="z6641" w:id="6630"/>
    <w:p>
      <w:pPr>
        <w:spacing w:after="0"/>
        <w:ind w:left="0"/>
        <w:jc w:val="both"/>
      </w:pPr>
      <w:r>
        <w:rPr>
          <w:rFonts w:ascii="Times New Roman"/>
          <w:b w:val="false"/>
          <w:i w:val="false"/>
          <w:color w:val="000000"/>
          <w:sz w:val="28"/>
        </w:rPr>
        <w:t>
      А-0 — в течение 0 мин.</w:t>
      </w:r>
    </w:p>
    <w:bookmarkEnd w:id="6630"/>
    <w:bookmarkStart w:name="z6642" w:id="6631"/>
    <w:p>
      <w:pPr>
        <w:spacing w:after="0"/>
        <w:ind w:left="0"/>
        <w:jc w:val="both"/>
      </w:pPr>
      <w:r>
        <w:rPr>
          <w:rFonts w:ascii="Times New Roman"/>
          <w:b w:val="false"/>
          <w:i w:val="false"/>
          <w:color w:val="000000"/>
          <w:sz w:val="28"/>
        </w:rPr>
        <w:t>
      2168. При одобрении конструктивной противопожарной защиты принимается во внимание опасность переноса тепла на стыках и оконечностях требуемых температурных барьеров. Изоляция палуб и переборок, изготовленных из стали или алюминия, продолжается на расстояние не менее 450 мм за границы конструкций, образующих данное помещение. Если помещение разделяется палубой или переборкой типа "А", имеющими изоляцию разной величины, то изоляция большей величины продолжается по палубе или переборке на расстояние не менее 450 мм от конструкций с изоляцией меньшей величины.</w:t>
      </w:r>
    </w:p>
    <w:bookmarkEnd w:id="6631"/>
    <w:bookmarkStart w:name="z6643" w:id="6632"/>
    <w:p>
      <w:pPr>
        <w:spacing w:after="0"/>
        <w:ind w:left="0"/>
        <w:jc w:val="both"/>
      </w:pPr>
      <w:r>
        <w:rPr>
          <w:rFonts w:ascii="Times New Roman"/>
          <w:b w:val="false"/>
          <w:i w:val="false"/>
          <w:color w:val="000000"/>
          <w:sz w:val="28"/>
        </w:rPr>
        <w:t>
      Меры, применяемые для предотвращения распространения тепло в точках пересечения и конечных точках изоляции палуб и переборок, показаны в приложениях 251 и 252 настоящих Правил. Регистром судоходства принимаются и другие варианты таких мер при условии, что эффективность предлагаемой конструкции подтверждена результатами испытаний в соответствии с Кодексом процедур огневых испытаний.</w:t>
      </w:r>
    </w:p>
    <w:bookmarkEnd w:id="6632"/>
    <w:bookmarkStart w:name="z6644" w:id="6633"/>
    <w:p>
      <w:pPr>
        <w:spacing w:after="0"/>
        <w:ind w:left="0"/>
        <w:jc w:val="both"/>
      </w:pPr>
      <w:r>
        <w:rPr>
          <w:rFonts w:ascii="Times New Roman"/>
          <w:b w:val="false"/>
          <w:i w:val="false"/>
          <w:color w:val="000000"/>
          <w:sz w:val="28"/>
        </w:rPr>
        <w:t>
      В случаях, если нижняя часть изоляции отрезана для обеспечения стока, конструкция соответствует приложению 253 настоящих Правил.</w:t>
      </w:r>
    </w:p>
    <w:bookmarkEnd w:id="6633"/>
    <w:bookmarkStart w:name="z6645" w:id="6634"/>
    <w:p>
      <w:pPr>
        <w:spacing w:after="0"/>
        <w:ind w:left="0"/>
        <w:jc w:val="both"/>
      </w:pPr>
      <w:r>
        <w:rPr>
          <w:rFonts w:ascii="Times New Roman"/>
          <w:b w:val="false"/>
          <w:i w:val="false"/>
          <w:color w:val="000000"/>
          <w:sz w:val="28"/>
        </w:rPr>
        <w:t>
      2169. Облегченные конструкции (сотовые и другие), изготовленные из стали или другого равноценного материала, используются в качестве внутренних перекрытий типа А в жилых и служебных помещениях при условии, что они не являются несущими конструкциями и успешно прошли установленные испытания согласно Кодексу процедур огневых испытаний. Такие облегченные конструкции не используются в качестве составной части главных противопожарных зон и выгородок трапов на пассажирских судах.</w:t>
      </w:r>
    </w:p>
    <w:bookmarkEnd w:id="6634"/>
    <w:bookmarkStart w:name="z6646" w:id="6635"/>
    <w:p>
      <w:pPr>
        <w:spacing w:after="0"/>
        <w:ind w:left="0"/>
        <w:jc w:val="both"/>
      </w:pPr>
      <w:r>
        <w:rPr>
          <w:rFonts w:ascii="Times New Roman"/>
          <w:b w:val="false"/>
          <w:i w:val="false"/>
          <w:color w:val="000000"/>
          <w:sz w:val="28"/>
        </w:rPr>
        <w:t>
      2170. Без испытания устанавливаются:</w:t>
      </w:r>
    </w:p>
    <w:bookmarkEnd w:id="6635"/>
    <w:bookmarkStart w:name="z6647" w:id="6636"/>
    <w:p>
      <w:pPr>
        <w:spacing w:after="0"/>
        <w:ind w:left="0"/>
        <w:jc w:val="both"/>
      </w:pPr>
      <w:r>
        <w:rPr>
          <w:rFonts w:ascii="Times New Roman"/>
          <w:b w:val="false"/>
          <w:i w:val="false"/>
          <w:color w:val="000000"/>
          <w:sz w:val="28"/>
        </w:rPr>
        <w:t>
      1) переборки типа А-0, если они изготовлены из стали и имеют размеры не менее следующих:</w:t>
      </w:r>
    </w:p>
    <w:bookmarkEnd w:id="6636"/>
    <w:p>
      <w:pPr>
        <w:spacing w:after="0"/>
        <w:ind w:left="0"/>
        <w:jc w:val="both"/>
      </w:pPr>
      <w:r>
        <w:rPr>
          <w:rFonts w:ascii="Times New Roman"/>
          <w:b w:val="false"/>
          <w:i w:val="false"/>
          <w:color w:val="000000"/>
          <w:sz w:val="28"/>
        </w:rPr>
        <w:t>
      толщина листа – 4 мм;</w:t>
      </w:r>
    </w:p>
    <w:p>
      <w:pPr>
        <w:spacing w:after="0"/>
        <w:ind w:left="0"/>
        <w:jc w:val="both"/>
      </w:pPr>
      <w:r>
        <w:rPr>
          <w:rFonts w:ascii="Times New Roman"/>
          <w:b w:val="false"/>
          <w:i w:val="false"/>
          <w:color w:val="000000"/>
          <w:sz w:val="28"/>
        </w:rPr>
        <w:t>
      ребра жесткости 60х60х5 мм, расположенные на расстоянии 600 мм друг от друга или конструктивно равноценные;</w:t>
      </w:r>
    </w:p>
    <w:bookmarkStart w:name="z6648" w:id="6637"/>
    <w:p>
      <w:pPr>
        <w:spacing w:after="0"/>
        <w:ind w:left="0"/>
        <w:jc w:val="both"/>
      </w:pPr>
      <w:r>
        <w:rPr>
          <w:rFonts w:ascii="Times New Roman"/>
          <w:b w:val="false"/>
          <w:i w:val="false"/>
          <w:color w:val="000000"/>
          <w:sz w:val="28"/>
        </w:rPr>
        <w:t>
      2) палубы типа А-0, если они изготовлены из стали и имеют размеры не менее следующих:</w:t>
      </w:r>
    </w:p>
    <w:bookmarkEnd w:id="6637"/>
    <w:bookmarkStart w:name="z6649" w:id="6638"/>
    <w:p>
      <w:pPr>
        <w:spacing w:after="0"/>
        <w:ind w:left="0"/>
        <w:jc w:val="both"/>
      </w:pPr>
      <w:r>
        <w:rPr>
          <w:rFonts w:ascii="Times New Roman"/>
          <w:b w:val="false"/>
          <w:i w:val="false"/>
          <w:color w:val="000000"/>
          <w:sz w:val="28"/>
        </w:rPr>
        <w:t>
      толщина листа – 4 мм;</w:t>
      </w:r>
    </w:p>
    <w:bookmarkEnd w:id="6638"/>
    <w:bookmarkStart w:name="z6650" w:id="6639"/>
    <w:p>
      <w:pPr>
        <w:spacing w:after="0"/>
        <w:ind w:left="0"/>
        <w:jc w:val="both"/>
      </w:pPr>
      <w:r>
        <w:rPr>
          <w:rFonts w:ascii="Times New Roman"/>
          <w:b w:val="false"/>
          <w:i w:val="false"/>
          <w:color w:val="000000"/>
          <w:sz w:val="28"/>
        </w:rPr>
        <w:t>
      ребра жесткости 95х65х7 мм, расположенные на расстоянии 600 мм друг от друга или конструктивно равноценные.</w:t>
      </w:r>
    </w:p>
    <w:bookmarkEnd w:id="6639"/>
    <w:bookmarkStart w:name="z6651" w:id="6640"/>
    <w:p>
      <w:pPr>
        <w:spacing w:after="0"/>
        <w:ind w:left="0"/>
        <w:jc w:val="both"/>
      </w:pPr>
      <w:r>
        <w:rPr>
          <w:rFonts w:ascii="Times New Roman"/>
          <w:b w:val="false"/>
          <w:i w:val="false"/>
          <w:color w:val="000000"/>
          <w:sz w:val="28"/>
        </w:rPr>
        <w:t>
      2171. Конструкции типа В — конструкции, которые образованы переборками, палубами, подволоками или зашивками и которые:</w:t>
      </w:r>
    </w:p>
    <w:bookmarkEnd w:id="6640"/>
    <w:bookmarkStart w:name="z6652" w:id="6641"/>
    <w:p>
      <w:pPr>
        <w:spacing w:after="0"/>
        <w:ind w:left="0"/>
        <w:jc w:val="both"/>
      </w:pPr>
      <w:r>
        <w:rPr>
          <w:rFonts w:ascii="Times New Roman"/>
          <w:b w:val="false"/>
          <w:i w:val="false"/>
          <w:color w:val="000000"/>
          <w:sz w:val="28"/>
        </w:rPr>
        <w:t>
      1) изготовлены из негорючих материалов.</w:t>
      </w:r>
    </w:p>
    <w:bookmarkEnd w:id="6641"/>
    <w:p>
      <w:pPr>
        <w:spacing w:after="0"/>
        <w:ind w:left="0"/>
        <w:jc w:val="both"/>
      </w:pPr>
      <w:r>
        <w:rPr>
          <w:rFonts w:ascii="Times New Roman"/>
          <w:b w:val="false"/>
          <w:i w:val="false"/>
          <w:color w:val="000000"/>
          <w:sz w:val="28"/>
        </w:rPr>
        <w:t>
      Допускается применение горючей облицовки (пункты 2162 и 2164 настоящих Правил);</w:t>
      </w:r>
    </w:p>
    <w:bookmarkStart w:name="z6653" w:id="6642"/>
    <w:p>
      <w:pPr>
        <w:spacing w:after="0"/>
        <w:ind w:left="0"/>
        <w:jc w:val="both"/>
      </w:pPr>
      <w:r>
        <w:rPr>
          <w:rFonts w:ascii="Times New Roman"/>
          <w:b w:val="false"/>
          <w:i w:val="false"/>
          <w:color w:val="000000"/>
          <w:sz w:val="28"/>
        </w:rPr>
        <w:t>
      2) изготовлены так, чтобы они сохраняли непроницаемость для пламени в течение 30 мин стандартного испытания огнестойкости;</w:t>
      </w:r>
    </w:p>
    <w:bookmarkEnd w:id="6642"/>
    <w:bookmarkStart w:name="z6654" w:id="6643"/>
    <w:p>
      <w:pPr>
        <w:spacing w:after="0"/>
        <w:ind w:left="0"/>
        <w:jc w:val="both"/>
      </w:pPr>
      <w:r>
        <w:rPr>
          <w:rFonts w:ascii="Times New Roman"/>
          <w:b w:val="false"/>
          <w:i w:val="false"/>
          <w:color w:val="000000"/>
          <w:sz w:val="28"/>
        </w:rPr>
        <w:t>
      3) снабжены изоляцией такой толщины, чтобы средняя температура поверхности на стороне, противоположной огневому воздействию, не повышалась более чем на 140</w:t>
      </w:r>
      <w:r>
        <w:rPr>
          <w:rFonts w:ascii="Times New Roman"/>
          <w:b w:val="false"/>
          <w:i w:val="false"/>
          <w:color w:val="000000"/>
          <w:vertAlign w:val="superscript"/>
        </w:rPr>
        <w:t>o</w:t>
      </w:r>
      <w:r>
        <w:rPr>
          <w:rFonts w:ascii="Times New Roman"/>
          <w:b w:val="false"/>
          <w:i w:val="false"/>
          <w:color w:val="000000"/>
          <w:sz w:val="28"/>
        </w:rPr>
        <w:t xml:space="preserve"> С по сравнению с первоначальной и в любой точке, включая любое соединение, не повышалась более чем на 225</w:t>
      </w:r>
      <w:r>
        <w:rPr>
          <w:rFonts w:ascii="Times New Roman"/>
          <w:b w:val="false"/>
          <w:i w:val="false"/>
          <w:color w:val="000000"/>
          <w:vertAlign w:val="superscript"/>
        </w:rPr>
        <w:t>o</w:t>
      </w:r>
      <w:r>
        <w:rPr>
          <w:rFonts w:ascii="Times New Roman"/>
          <w:b w:val="false"/>
          <w:i w:val="false"/>
          <w:color w:val="000000"/>
          <w:sz w:val="28"/>
        </w:rPr>
        <w:t xml:space="preserve">С по сравнению с первоначальной при воздействии пламени с любой стороны. В зависимости от времени, в течение которого обеспечивается соблюдение указанного перепада температур в процессе стандартного испытания огнестойкости, конструкциям присваиваются следующие обозначения: </w:t>
      </w:r>
    </w:p>
    <w:bookmarkEnd w:id="6643"/>
    <w:bookmarkStart w:name="z6655" w:id="6644"/>
    <w:p>
      <w:pPr>
        <w:spacing w:after="0"/>
        <w:ind w:left="0"/>
        <w:jc w:val="both"/>
      </w:pPr>
      <w:r>
        <w:rPr>
          <w:rFonts w:ascii="Times New Roman"/>
          <w:b w:val="false"/>
          <w:i w:val="false"/>
          <w:color w:val="000000"/>
          <w:sz w:val="28"/>
        </w:rPr>
        <w:t>
      В-15 — в течение 15 мин;</w:t>
      </w:r>
    </w:p>
    <w:bookmarkEnd w:id="6644"/>
    <w:bookmarkStart w:name="z6656" w:id="6645"/>
    <w:p>
      <w:pPr>
        <w:spacing w:after="0"/>
        <w:ind w:left="0"/>
        <w:jc w:val="both"/>
      </w:pPr>
      <w:r>
        <w:rPr>
          <w:rFonts w:ascii="Times New Roman"/>
          <w:b w:val="false"/>
          <w:i w:val="false"/>
          <w:color w:val="000000"/>
          <w:sz w:val="28"/>
        </w:rPr>
        <w:t>
      В-О — в течение 0 мин.</w:t>
      </w:r>
    </w:p>
    <w:bookmarkEnd w:id="6645"/>
    <w:bookmarkStart w:name="z6657" w:id="6646"/>
    <w:p>
      <w:pPr>
        <w:spacing w:after="0"/>
        <w:ind w:left="0"/>
        <w:jc w:val="both"/>
      </w:pPr>
      <w:r>
        <w:rPr>
          <w:rFonts w:ascii="Times New Roman"/>
          <w:b w:val="false"/>
          <w:i w:val="false"/>
          <w:color w:val="000000"/>
          <w:sz w:val="28"/>
        </w:rPr>
        <w:t>
      2172. Материалы, которые используются в конструкциях типа А и В и от которых согласно настоящих части требуется, чтобы они имели определенные характеристики (быть негорючими, иметь характеристики медленного распространения пламени или не выделять чрезмерное количество дыма и токсичных веществ), должны отвечать требованиям Кодекса процедур огневых испытаний (подпункты 1), 2) и 5) пункта 2147 настоящих Правил.</w:t>
      </w:r>
    </w:p>
    <w:bookmarkEnd w:id="6646"/>
    <w:bookmarkStart w:name="z6658" w:id="6647"/>
    <w:p>
      <w:pPr>
        <w:spacing w:after="0"/>
        <w:ind w:left="0"/>
        <w:jc w:val="both"/>
      </w:pPr>
      <w:r>
        <w:rPr>
          <w:rFonts w:ascii="Times New Roman"/>
          <w:b w:val="false"/>
          <w:i w:val="false"/>
          <w:color w:val="000000"/>
          <w:sz w:val="28"/>
        </w:rPr>
        <w:t>
      2173. Непрерывные подволоки и зашивки типа В в совокупности с относящимися к ним палубами и переборками принимают как отвечающие полностью или частично требованиям к изоляции и огнестойкости перекрытий, требуемых соответствующими таблицами по огнестойкости.</w:t>
      </w:r>
    </w:p>
    <w:bookmarkEnd w:id="6647"/>
    <w:bookmarkStart w:name="z6659" w:id="6648"/>
    <w:p>
      <w:pPr>
        <w:spacing w:after="0"/>
        <w:ind w:left="0"/>
        <w:jc w:val="both"/>
      </w:pPr>
      <w:r>
        <w:rPr>
          <w:rFonts w:ascii="Times New Roman"/>
          <w:b w:val="false"/>
          <w:i w:val="false"/>
          <w:color w:val="000000"/>
          <w:sz w:val="28"/>
        </w:rPr>
        <w:t>
      2174. Конструкции типа С – конструкции, изготовленные из одобренных негорючих материалов. Но к ним не предъявляются требования в отношении прохождения через них дымы и пламени и соблюдения перепада температур. Не требуется, чтобы клеящие материалы в таких конструкциях были негорючие, однако такие материалы обладают характеристиками медленного распространения пламени.</w:t>
      </w:r>
    </w:p>
    <w:bookmarkEnd w:id="6648"/>
    <w:bookmarkStart w:name="z6660" w:id="6649"/>
    <w:p>
      <w:pPr>
        <w:spacing w:after="0"/>
        <w:ind w:left="0"/>
        <w:jc w:val="both"/>
      </w:pPr>
      <w:r>
        <w:rPr>
          <w:rFonts w:ascii="Times New Roman"/>
          <w:b w:val="false"/>
          <w:i w:val="false"/>
          <w:color w:val="000000"/>
          <w:sz w:val="28"/>
        </w:rPr>
        <w:t>
      2175. Конструкции, состоящие из негорючей основы и горючих облицовок, могут считаться конструкциями типа В или С при условии, что их основа испытана и отвечает требованиям подпункта 1) пункта 2147 настоящих Правил, а перекрытие типа В испытано и отвечает требованиям пункта 2170 настоящих Правил и облицовки, если применимо, испытаны и отвечают требованиям подпунктов 2) и 5) пункта 2147 настоящих Правил.</w:t>
      </w:r>
    </w:p>
    <w:bookmarkEnd w:id="6649"/>
    <w:bookmarkStart w:name="z6661" w:id="6650"/>
    <w:p>
      <w:pPr>
        <w:spacing w:after="0"/>
        <w:ind w:left="0"/>
        <w:jc w:val="left"/>
      </w:pPr>
      <w:r>
        <w:rPr>
          <w:rFonts w:ascii="Times New Roman"/>
          <w:b/>
          <w:i w:val="false"/>
          <w:color w:val="000000"/>
        </w:rPr>
        <w:t xml:space="preserve"> Параграф 3. Закрытия отверстий в противопожарных конструкциях</w:t>
      </w:r>
    </w:p>
    <w:bookmarkEnd w:id="6650"/>
    <w:bookmarkStart w:name="z6662" w:id="6651"/>
    <w:p>
      <w:pPr>
        <w:spacing w:after="0"/>
        <w:ind w:left="0"/>
        <w:jc w:val="both"/>
      </w:pPr>
      <w:r>
        <w:rPr>
          <w:rFonts w:ascii="Times New Roman"/>
          <w:b w:val="false"/>
          <w:i w:val="false"/>
          <w:color w:val="000000"/>
          <w:sz w:val="28"/>
        </w:rPr>
        <w:t>
      2176. Необходимо чтобы огнестойкость дверей была равноценной огнестойкости перекрытия, в котором они установлены, что определяется в соответствии с Кодексом процедур огневых испытаний. Двери и рамы дверей в конструкциях типа А изготавливают из стали или другого равноценного материала. Необходимо чтобы двери в конструкциях типа В были негорючими.</w:t>
      </w:r>
    </w:p>
    <w:bookmarkEnd w:id="6651"/>
    <w:bookmarkStart w:name="z6663" w:id="6652"/>
    <w:p>
      <w:pPr>
        <w:spacing w:after="0"/>
        <w:ind w:left="0"/>
        <w:jc w:val="both"/>
      </w:pPr>
      <w:r>
        <w:rPr>
          <w:rFonts w:ascii="Times New Roman"/>
          <w:b w:val="false"/>
          <w:i w:val="false"/>
          <w:color w:val="000000"/>
          <w:sz w:val="28"/>
        </w:rPr>
        <w:t>
      2177. Двери, конструкция которых соответствует требованиям параграфа 2 главы 70 и главы 77 настоящих Правил и которые установлены в соответствии с требованиями главы 77 настоящих Правил, а также, по согласованию с Регистром судоходства, в других случаях (например, для обеспечения газонепроницаемости) допускается применять в переборках типа А. Водонепроницаемые двери могут не изолироваться и не требуют огневых испытаний при их установке ниже палубы переборок. Двери, установленные выше палубы переборок, от которых требуется, чтобы они были и огнестойкими и водонепроницаемыми.</w:t>
      </w:r>
    </w:p>
    <w:bookmarkEnd w:id="6652"/>
    <w:bookmarkStart w:name="z6664" w:id="6653"/>
    <w:p>
      <w:pPr>
        <w:spacing w:after="0"/>
        <w:ind w:left="0"/>
        <w:jc w:val="both"/>
      </w:pPr>
      <w:r>
        <w:rPr>
          <w:rFonts w:ascii="Times New Roman"/>
          <w:b w:val="false"/>
          <w:i w:val="false"/>
          <w:color w:val="000000"/>
          <w:sz w:val="28"/>
        </w:rPr>
        <w:t>
      2178. Если конструкции типа А прорезаются, то такие места прохода (вырезы) испытываются с учетом пункта 2170 настоящих Правил. В случае каналов вентиляции применяются требования пунктов 3596 и 3605 настоящих Правил. Испытания не проводятся, если места прохода для труб изготовлены из стал или равноценного материала толщиной 3 мм и более и длиной не менее 900 мм (предпочтительно по 450 мм с каждой стороны перекрытия) и не имеют отверстий. Такие места прохода изолируют таким же образом, как и конструкция.</w:t>
      </w:r>
    </w:p>
    <w:bookmarkEnd w:id="6653"/>
    <w:bookmarkStart w:name="z6665" w:id="6654"/>
    <w:p>
      <w:pPr>
        <w:spacing w:after="0"/>
        <w:ind w:left="0"/>
        <w:jc w:val="both"/>
      </w:pPr>
      <w:r>
        <w:rPr>
          <w:rFonts w:ascii="Times New Roman"/>
          <w:b w:val="false"/>
          <w:i w:val="false"/>
          <w:color w:val="000000"/>
          <w:sz w:val="28"/>
        </w:rPr>
        <w:t>
      2179. Если конструкции типа В прорезаются для прохода электрических кабелей, труб, шахт, каналов или для установки концевых вентиляционных устройств, осветительной арматуры и других подобных устройств, осветительной арматуры и других подобных устройств, то должны быть приняты меры, обеспечивающие сохранение огнестойкости конструкции. Для вентиляционных каналов выполняются требования пунктом 3598 настоящих Правил. Трубы из материалов, иных, чем сталь или медь, которые проходят через конструкции типа В, должны быть защищены:</w:t>
      </w:r>
    </w:p>
    <w:bookmarkEnd w:id="6654"/>
    <w:bookmarkStart w:name="z6666" w:id="6655"/>
    <w:p>
      <w:pPr>
        <w:spacing w:after="0"/>
        <w:ind w:left="0"/>
        <w:jc w:val="both"/>
      </w:pPr>
      <w:r>
        <w:rPr>
          <w:rFonts w:ascii="Times New Roman"/>
          <w:b w:val="false"/>
          <w:i w:val="false"/>
          <w:color w:val="000000"/>
          <w:sz w:val="28"/>
        </w:rPr>
        <w:t>
      1) прошедшим огневые испытания устройством прохода, соответствующим огнестойкости прорезанного перекрытия и типу применяемых труб; или</w:t>
      </w:r>
    </w:p>
    <w:bookmarkEnd w:id="6655"/>
    <w:bookmarkStart w:name="z6667" w:id="6656"/>
    <w:p>
      <w:pPr>
        <w:spacing w:after="0"/>
        <w:ind w:left="0"/>
        <w:jc w:val="both"/>
      </w:pPr>
      <w:r>
        <w:rPr>
          <w:rFonts w:ascii="Times New Roman"/>
          <w:b w:val="false"/>
          <w:i w:val="false"/>
          <w:color w:val="000000"/>
          <w:sz w:val="28"/>
        </w:rPr>
        <w:t>
      2) стальным стаканом толщиной не менее 1,8 мм и длиной не менее 900 мм для труб диаметром 150 мм и более и не менее 600 мм для труб диаметром менее 150 мм, как правило, одинаково распределенным с каждой стороны конструкции. Трубы соединяют с концами стакана фланцами или муфтами; или просвет между стаканом и трубой не должен превышать 2,5 мм;</w:t>
      </w:r>
    </w:p>
    <w:bookmarkEnd w:id="6656"/>
    <w:bookmarkStart w:name="z6668" w:id="6657"/>
    <w:p>
      <w:pPr>
        <w:spacing w:after="0"/>
        <w:ind w:left="0"/>
        <w:jc w:val="both"/>
      </w:pPr>
      <w:r>
        <w:rPr>
          <w:rFonts w:ascii="Times New Roman"/>
          <w:b w:val="false"/>
          <w:i w:val="false"/>
          <w:color w:val="000000"/>
          <w:sz w:val="28"/>
        </w:rPr>
        <w:t>
      или любой просвет между трубой и стаканом непроницаем за счет его заполнения негорючим или другим подходящим материалом.</w:t>
      </w:r>
    </w:p>
    <w:bookmarkEnd w:id="6657"/>
    <w:bookmarkStart w:name="z6669" w:id="6658"/>
    <w:p>
      <w:pPr>
        <w:spacing w:after="0"/>
        <w:ind w:left="0"/>
        <w:jc w:val="both"/>
      </w:pPr>
      <w:r>
        <w:rPr>
          <w:rFonts w:ascii="Times New Roman"/>
          <w:b w:val="false"/>
          <w:i w:val="false"/>
          <w:color w:val="000000"/>
          <w:sz w:val="28"/>
        </w:rPr>
        <w:t xml:space="preserve">
      2180. Неизолированные металлические трубы, проходящие через конструкции типа А или В, изготавливают из материалов, имеющих температуру плавления выше 950 </w:t>
      </w:r>
      <w:r>
        <w:rPr>
          <w:rFonts w:ascii="Times New Roman"/>
          <w:b w:val="false"/>
          <w:i w:val="false"/>
          <w:color w:val="000000"/>
          <w:vertAlign w:val="superscript"/>
        </w:rPr>
        <w:t>o</w:t>
      </w:r>
      <w:r>
        <w:rPr>
          <w:rFonts w:ascii="Times New Roman"/>
          <w:b w:val="false"/>
          <w:i w:val="false"/>
          <w:color w:val="000000"/>
          <w:sz w:val="28"/>
        </w:rPr>
        <w:t xml:space="preserve">С для конструкций типа А-0 и выше 850 </w:t>
      </w:r>
      <w:r>
        <w:rPr>
          <w:rFonts w:ascii="Times New Roman"/>
          <w:b w:val="false"/>
          <w:i w:val="false"/>
          <w:color w:val="000000"/>
          <w:vertAlign w:val="superscript"/>
        </w:rPr>
        <w:t>o</w:t>
      </w:r>
      <w:r>
        <w:rPr>
          <w:rFonts w:ascii="Times New Roman"/>
          <w:b w:val="false"/>
          <w:i w:val="false"/>
          <w:color w:val="000000"/>
          <w:sz w:val="28"/>
        </w:rPr>
        <w:t>С 0 – для конструкций типа В-0.</w:t>
      </w:r>
    </w:p>
    <w:bookmarkEnd w:id="6658"/>
    <w:bookmarkStart w:name="z6670" w:id="6659"/>
    <w:p>
      <w:pPr>
        <w:spacing w:after="0"/>
        <w:ind w:left="0"/>
        <w:jc w:val="both"/>
      </w:pPr>
      <w:r>
        <w:rPr>
          <w:rFonts w:ascii="Times New Roman"/>
          <w:b w:val="false"/>
          <w:i w:val="false"/>
          <w:color w:val="000000"/>
          <w:sz w:val="28"/>
        </w:rPr>
        <w:t>
      2181. На судах, кроме пассажирских судов, перевозящих более 36 пассажиров, наружные ограничивающие конструкции, которые изготавливаются из стали или другого равноценного материала, прорезают для установки в них окон и иллюминаторов, при условии, что в настоящем разделе Правил отсутствует какое-либо требование в отношении того, чтобы такие ограничивающие конструкции были типа А. В таких ограничивающих конструкциях, в отношении которых не требуется, чтобы они были типа А, двери, по согласованию с Регистром судоходства, изготавливают из других материалов, чем те, из которых изготовлена конструкция.</w:t>
      </w:r>
    </w:p>
    <w:bookmarkEnd w:id="6659"/>
    <w:bookmarkStart w:name="z6671" w:id="6660"/>
    <w:p>
      <w:pPr>
        <w:spacing w:after="0"/>
        <w:ind w:left="0"/>
        <w:jc w:val="both"/>
      </w:pPr>
      <w:r>
        <w:rPr>
          <w:rFonts w:ascii="Times New Roman"/>
          <w:b w:val="false"/>
          <w:i w:val="false"/>
          <w:color w:val="000000"/>
          <w:sz w:val="28"/>
        </w:rPr>
        <w:t>
      2182. Выравнивающие давление воздуха отверстия и вентиляционные каналы между двумя выгороженными помещениями не допускаются за исключением отверстий, разрешенных согласно пункту 2219 и 2231 настоящих Правил.</w:t>
      </w:r>
    </w:p>
    <w:bookmarkEnd w:id="6660"/>
    <w:bookmarkStart w:name="z6672" w:id="6661"/>
    <w:p>
      <w:pPr>
        <w:spacing w:after="0"/>
        <w:ind w:left="0"/>
        <w:jc w:val="left"/>
      </w:pPr>
      <w:r>
        <w:rPr>
          <w:rFonts w:ascii="Times New Roman"/>
          <w:b/>
          <w:i w:val="false"/>
          <w:color w:val="000000"/>
        </w:rPr>
        <w:t xml:space="preserve"> Параграф 4. Меры по предотвращению</w:t>
      </w:r>
      <w:r>
        <w:br/>
      </w:r>
      <w:r>
        <w:rPr>
          <w:rFonts w:ascii="Times New Roman"/>
          <w:b/>
          <w:i w:val="false"/>
          <w:color w:val="000000"/>
        </w:rPr>
        <w:t>распространения пожара и дыма</w:t>
      </w:r>
    </w:p>
    <w:bookmarkEnd w:id="6661"/>
    <w:bookmarkStart w:name="z6673" w:id="6662"/>
    <w:p>
      <w:pPr>
        <w:spacing w:after="0"/>
        <w:ind w:left="0"/>
        <w:jc w:val="both"/>
      </w:pPr>
      <w:r>
        <w:rPr>
          <w:rFonts w:ascii="Times New Roman"/>
          <w:b w:val="false"/>
          <w:i w:val="false"/>
          <w:color w:val="000000"/>
          <w:sz w:val="28"/>
        </w:rPr>
        <w:t>
      2183. Для машинных помещений предусматривают средства управления:</w:t>
      </w:r>
    </w:p>
    <w:bookmarkEnd w:id="6662"/>
    <w:bookmarkStart w:name="z6674" w:id="6663"/>
    <w:p>
      <w:pPr>
        <w:spacing w:after="0"/>
        <w:ind w:left="0"/>
        <w:jc w:val="both"/>
      </w:pPr>
      <w:r>
        <w:rPr>
          <w:rFonts w:ascii="Times New Roman"/>
          <w:b w:val="false"/>
          <w:i w:val="false"/>
          <w:color w:val="000000"/>
          <w:sz w:val="28"/>
        </w:rPr>
        <w:t>
      открытием и закрытием световых люков, закрытием отверстий в вытяжной вентиляции, расположенных в дымовых трубах, которые обычно дают возможность осуществлять вытяжную вентиляцию, а также закрытием вентиляционных заслонок.</w:t>
      </w:r>
    </w:p>
    <w:bookmarkEnd w:id="6663"/>
    <w:bookmarkStart w:name="z6675" w:id="6664"/>
    <w:p>
      <w:pPr>
        <w:spacing w:after="0"/>
        <w:ind w:left="0"/>
        <w:jc w:val="both"/>
      </w:pPr>
      <w:r>
        <w:rPr>
          <w:rFonts w:ascii="Times New Roman"/>
          <w:b w:val="false"/>
          <w:i w:val="false"/>
          <w:color w:val="000000"/>
          <w:sz w:val="28"/>
        </w:rPr>
        <w:t>
      Такие средства управления размещаются вне обслуживаемого помещения так, чтобы не были отрезанными в случае пожара в этом помещении.</w:t>
      </w:r>
    </w:p>
    <w:bookmarkEnd w:id="6664"/>
    <w:bookmarkStart w:name="z6676" w:id="6665"/>
    <w:p>
      <w:pPr>
        <w:spacing w:after="0"/>
        <w:ind w:left="0"/>
        <w:jc w:val="both"/>
      </w:pPr>
      <w:r>
        <w:rPr>
          <w:rFonts w:ascii="Times New Roman"/>
          <w:b w:val="false"/>
          <w:i w:val="false"/>
          <w:color w:val="000000"/>
          <w:sz w:val="28"/>
        </w:rPr>
        <w:t>
      2184. Для защиты отверстий в ограничивающих конструкциях машинных помещений категории А выполняют следующее:</w:t>
      </w:r>
    </w:p>
    <w:bookmarkEnd w:id="6665"/>
    <w:bookmarkStart w:name="z6677" w:id="6666"/>
    <w:p>
      <w:pPr>
        <w:spacing w:after="0"/>
        <w:ind w:left="0"/>
        <w:jc w:val="both"/>
      </w:pPr>
      <w:r>
        <w:rPr>
          <w:rFonts w:ascii="Times New Roman"/>
          <w:b w:val="false"/>
          <w:i w:val="false"/>
          <w:color w:val="000000"/>
          <w:sz w:val="28"/>
        </w:rPr>
        <w:t>
      1) количество световых люков, дверей, вентиляционных отверстий, отверстий в кожухах дымовых труб, обеспечивающих вытяжную вентиляцию, и иных отверстий сведут к минимуму, необходимому потребностям вентиляции, а также надлежащей и безопасной работы судна;</w:t>
      </w:r>
    </w:p>
    <w:bookmarkEnd w:id="6666"/>
    <w:bookmarkStart w:name="z6678" w:id="6667"/>
    <w:p>
      <w:pPr>
        <w:spacing w:after="0"/>
        <w:ind w:left="0"/>
        <w:jc w:val="both"/>
      </w:pPr>
      <w:r>
        <w:rPr>
          <w:rFonts w:ascii="Times New Roman"/>
          <w:b w:val="false"/>
          <w:i w:val="false"/>
          <w:color w:val="000000"/>
          <w:sz w:val="28"/>
        </w:rPr>
        <w:t>
      2) световые люки изготавливают из стали и не содержат остекленных панелей;</w:t>
      </w:r>
    </w:p>
    <w:bookmarkEnd w:id="6667"/>
    <w:bookmarkStart w:name="z6679" w:id="6668"/>
    <w:p>
      <w:pPr>
        <w:spacing w:after="0"/>
        <w:ind w:left="0"/>
        <w:jc w:val="both"/>
      </w:pPr>
      <w:r>
        <w:rPr>
          <w:rFonts w:ascii="Times New Roman"/>
          <w:b w:val="false"/>
          <w:i w:val="false"/>
          <w:color w:val="000000"/>
          <w:sz w:val="28"/>
        </w:rPr>
        <w:t>
      3) предусматривают средства управления закрытием дверей с приводом от источника энергии или механизмом освобождения дверей, иных, чем водонепроницаемые двери с приводом от источника энергии. Средства управления располагаются вне обслуживаемого ими помещения в таком месте, где они не будут отрезаны в случае пожара в этом помещении;</w:t>
      </w:r>
    </w:p>
    <w:bookmarkEnd w:id="6668"/>
    <w:bookmarkStart w:name="z6680" w:id="6669"/>
    <w:p>
      <w:pPr>
        <w:spacing w:after="0"/>
        <w:ind w:left="0"/>
        <w:jc w:val="both"/>
      </w:pPr>
      <w:r>
        <w:rPr>
          <w:rFonts w:ascii="Times New Roman"/>
          <w:b w:val="false"/>
          <w:i w:val="false"/>
          <w:color w:val="000000"/>
          <w:sz w:val="28"/>
        </w:rPr>
        <w:t>
      4) устройства окон в ограничивающих конструкциях машинных помещений не допускается. Однако допускается использование остекления в постах управления внутри машинных помещений;</w:t>
      </w:r>
    </w:p>
    <w:bookmarkEnd w:id="6669"/>
    <w:bookmarkStart w:name="z6681" w:id="6670"/>
    <w:p>
      <w:pPr>
        <w:spacing w:after="0"/>
        <w:ind w:left="0"/>
        <w:jc w:val="both"/>
      </w:pPr>
      <w:r>
        <w:rPr>
          <w:rFonts w:ascii="Times New Roman"/>
          <w:b w:val="false"/>
          <w:i w:val="false"/>
          <w:color w:val="000000"/>
          <w:sz w:val="28"/>
        </w:rPr>
        <w:t>
      5) на пассажирских судах дополнительно выполняют требования пункта 2117 настоящих Правил.</w:t>
      </w:r>
    </w:p>
    <w:bookmarkEnd w:id="6670"/>
    <w:bookmarkStart w:name="z6682" w:id="6671"/>
    <w:p>
      <w:pPr>
        <w:spacing w:after="0"/>
        <w:ind w:left="0"/>
        <w:jc w:val="both"/>
      </w:pPr>
      <w:r>
        <w:rPr>
          <w:rFonts w:ascii="Times New Roman"/>
          <w:b w:val="false"/>
          <w:i w:val="false"/>
          <w:color w:val="000000"/>
          <w:sz w:val="28"/>
        </w:rPr>
        <w:t>
      Световые люки грузовых насосных отделений, указанных в подпункте 1) пункта 2141 настоящих Правил, изготавливают из стали и закрываются из места, находящегося вне насосного отделения.</w:t>
      </w:r>
    </w:p>
    <w:bookmarkEnd w:id="6671"/>
    <w:bookmarkStart w:name="z6683" w:id="6672"/>
    <w:p>
      <w:pPr>
        <w:spacing w:after="0"/>
        <w:ind w:left="0"/>
        <w:jc w:val="both"/>
      </w:pPr>
      <w:r>
        <w:rPr>
          <w:rFonts w:ascii="Times New Roman"/>
          <w:b w:val="false"/>
          <w:i w:val="false"/>
          <w:color w:val="000000"/>
          <w:sz w:val="28"/>
        </w:rPr>
        <w:t>
      2185. В жилых, служебных помещениях и постах управления защита трапов и шахт лифтов выполняют следующим образом:</w:t>
      </w:r>
    </w:p>
    <w:bookmarkEnd w:id="6672"/>
    <w:bookmarkStart w:name="z6684" w:id="6673"/>
    <w:p>
      <w:pPr>
        <w:spacing w:after="0"/>
        <w:ind w:left="0"/>
        <w:jc w:val="both"/>
      </w:pPr>
      <w:r>
        <w:rPr>
          <w:rFonts w:ascii="Times New Roman"/>
          <w:b w:val="false"/>
          <w:i w:val="false"/>
          <w:color w:val="000000"/>
          <w:sz w:val="28"/>
        </w:rPr>
        <w:t>
      1) на грузовых судах трапы, проходящие только через одну палубу, защищают не менее чем на одном уровне, как минимум, перекрытиями типа В-О и самозакрывающимися дверями. Лифты, проходящие только через одну палубу, выгораживают перекрытиями типа А-О со стальными дверями на обоих уровнях. Трапы и шахты лифтов, проходящие более чем через одну палубу, выгоражтвают, как минимум, перекрытиями типа А-О и защищают самозакрывающимися дверями на всех уровнях; при этом выгородки трапов устроены так, чтобы обеспечивать переход с трапа на трап в пределах такой выгородки (приложение 254 настоящих Правил), или выгораживать только трапы с дверьми у каждого конца трапа(приложение 255 настоящих Правил), или выгораживать только трапы в сочетании с полностью закрытыми стальными трапами и дверьми на одном из концов каждого трапа (приложение 256 настоящих Правил);</w:t>
      </w:r>
    </w:p>
    <w:bookmarkEnd w:id="6673"/>
    <w:bookmarkStart w:name="z6685" w:id="6674"/>
    <w:p>
      <w:pPr>
        <w:spacing w:after="0"/>
        <w:ind w:left="0"/>
        <w:jc w:val="both"/>
      </w:pPr>
      <w:r>
        <w:rPr>
          <w:rFonts w:ascii="Times New Roman"/>
          <w:b w:val="false"/>
          <w:i w:val="false"/>
          <w:color w:val="000000"/>
          <w:sz w:val="28"/>
        </w:rPr>
        <w:t>
      2) на судах, имеющих жилые помещения на 12 человек и менее, на которых трапы проходят более чем через одну палубу и имеется не менее двух выходов на открытую палубу на каждом уровне жилых помещений, трапы и шахты лифтов могут быть защищены перекрытиями типа В-О;</w:t>
      </w:r>
    </w:p>
    <w:bookmarkEnd w:id="6674"/>
    <w:bookmarkStart w:name="z6686" w:id="6675"/>
    <w:p>
      <w:pPr>
        <w:spacing w:after="0"/>
        <w:ind w:left="0"/>
        <w:jc w:val="both"/>
      </w:pPr>
      <w:r>
        <w:rPr>
          <w:rFonts w:ascii="Times New Roman"/>
          <w:b w:val="false"/>
          <w:i w:val="false"/>
          <w:color w:val="000000"/>
          <w:sz w:val="28"/>
        </w:rPr>
        <w:t>
      3) на пассажирских судах защита трапов и шахт лифтов выполняется в соответствии с пунктом 2205 настоящих Правил.</w:t>
      </w:r>
    </w:p>
    <w:bookmarkEnd w:id="6675"/>
    <w:bookmarkStart w:name="z6687" w:id="6676"/>
    <w:p>
      <w:pPr>
        <w:spacing w:after="0"/>
        <w:ind w:left="0"/>
        <w:jc w:val="both"/>
      </w:pPr>
      <w:r>
        <w:rPr>
          <w:rFonts w:ascii="Times New Roman"/>
          <w:b w:val="false"/>
          <w:i w:val="false"/>
          <w:color w:val="000000"/>
          <w:sz w:val="28"/>
        </w:rPr>
        <w:t>
      4) конструкция трапов отвечает требованию параграфа 3 главы 90 настоящих Правил.</w:t>
      </w:r>
    </w:p>
    <w:bookmarkEnd w:id="6676"/>
    <w:bookmarkStart w:name="z6688" w:id="6677"/>
    <w:p>
      <w:pPr>
        <w:spacing w:after="0"/>
        <w:ind w:left="0"/>
        <w:jc w:val="both"/>
      </w:pPr>
      <w:r>
        <w:rPr>
          <w:rFonts w:ascii="Times New Roman"/>
          <w:b w:val="false"/>
          <w:i w:val="false"/>
          <w:color w:val="000000"/>
          <w:sz w:val="28"/>
        </w:rPr>
        <w:t>
      2186. Воздушные пространства за подволоками, панелями или зашивкой разделены плотно пригнанными заделками, предотвращающими тягу и расположенными на расстоянии не более 14 м друг от друга.</w:t>
      </w:r>
    </w:p>
    <w:bookmarkEnd w:id="6677"/>
    <w:bookmarkStart w:name="z6689" w:id="6678"/>
    <w:p>
      <w:pPr>
        <w:spacing w:after="0"/>
        <w:ind w:left="0"/>
        <w:jc w:val="both"/>
      </w:pPr>
      <w:r>
        <w:rPr>
          <w:rFonts w:ascii="Times New Roman"/>
          <w:b w:val="false"/>
          <w:i w:val="false"/>
          <w:color w:val="000000"/>
          <w:sz w:val="28"/>
        </w:rPr>
        <w:t>
      В вертикальном направлении такие воздушные пространства, включая пространства за зашивками выгородок трапов, шахт перекрыты у каждой палубы.</w:t>
      </w:r>
    </w:p>
    <w:bookmarkEnd w:id="6678"/>
    <w:bookmarkStart w:name="z6690" w:id="6679"/>
    <w:p>
      <w:pPr>
        <w:spacing w:after="0"/>
        <w:ind w:left="0"/>
        <w:jc w:val="both"/>
      </w:pPr>
      <w:r>
        <w:rPr>
          <w:rFonts w:ascii="Times New Roman"/>
          <w:b w:val="false"/>
          <w:i w:val="false"/>
          <w:color w:val="000000"/>
          <w:sz w:val="28"/>
        </w:rPr>
        <w:t>
      2187. В машинных помещениях, из которых в соответствии с главой 185 настоящих Правил предусматривается два комплекта трапов, один из них на всем протяжении выходного пути располагается в защищенной выгородке, отвечающей категории (2) требования пункта 2199 настоящих Правил или категории (4) требований пункта 2101, 2126 или 2135 настоящих Правил в зависимости от случая. В выгородке устанавливаются самозакрывающиеся противопожарные двери такого же типа огнестойкости.</w:t>
      </w:r>
    </w:p>
    <w:bookmarkEnd w:id="6679"/>
    <w:bookmarkStart w:name="z6691" w:id="6680"/>
    <w:p>
      <w:pPr>
        <w:spacing w:after="0"/>
        <w:ind w:left="0"/>
        <w:jc w:val="both"/>
      </w:pPr>
      <w:r>
        <w:rPr>
          <w:rFonts w:ascii="Times New Roman"/>
          <w:b w:val="false"/>
          <w:i w:val="false"/>
          <w:color w:val="000000"/>
          <w:sz w:val="28"/>
        </w:rPr>
        <w:t>
      2188. В дополнение к водонепроницаемой двери, отделяющей машинное помещение категории А от туннеля гребного вала, со стороны туннеля устанавливается легкая стальная дверь-экран, управляемая с обеих сторон.</w:t>
      </w:r>
    </w:p>
    <w:bookmarkEnd w:id="6680"/>
    <w:bookmarkStart w:name="z6692" w:id="6681"/>
    <w:p>
      <w:pPr>
        <w:spacing w:after="0"/>
        <w:ind w:left="0"/>
        <w:jc w:val="both"/>
      </w:pPr>
      <w:r>
        <w:rPr>
          <w:rFonts w:ascii="Times New Roman"/>
          <w:b w:val="false"/>
          <w:i w:val="false"/>
          <w:color w:val="000000"/>
          <w:sz w:val="28"/>
        </w:rPr>
        <w:t>
      2189. Постоянные отверстия в бортовой обшивке, оконечностях и подволоке закрытых помещений для перевозки транспортных средств, закрытых помещений с горизонтальным способом погрузки и выгрузки, а также помещений специальной категории расположены таким образом, чтобы пожар в этих помещениях не угрожал местам установки и посадки в спасательные шлюпки и плоты, жилым и служебным помещениям и постам управления в надстройках и рубках над указанными помещениями.</w:t>
      </w:r>
    </w:p>
    <w:bookmarkEnd w:id="6681"/>
    <w:bookmarkStart w:name="z6693" w:id="6682"/>
    <w:p>
      <w:pPr>
        <w:spacing w:after="0"/>
        <w:ind w:left="0"/>
        <w:jc w:val="left"/>
      </w:pPr>
      <w:r>
        <w:rPr>
          <w:rFonts w:ascii="Times New Roman"/>
          <w:b/>
          <w:i w:val="false"/>
          <w:color w:val="000000"/>
        </w:rPr>
        <w:t xml:space="preserve"> Параграф 5. Дополнительные требования к помещениям</w:t>
      </w:r>
      <w:r>
        <w:br/>
      </w:r>
      <w:r>
        <w:rPr>
          <w:rFonts w:ascii="Times New Roman"/>
          <w:b/>
          <w:i w:val="false"/>
          <w:color w:val="000000"/>
        </w:rPr>
        <w:t>отдельных категорий</w:t>
      </w:r>
    </w:p>
    <w:bookmarkEnd w:id="6682"/>
    <w:bookmarkStart w:name="z6694" w:id="6683"/>
    <w:p>
      <w:pPr>
        <w:spacing w:after="0"/>
        <w:ind w:left="0"/>
        <w:jc w:val="both"/>
      </w:pPr>
      <w:r>
        <w:rPr>
          <w:rFonts w:ascii="Times New Roman"/>
          <w:b w:val="false"/>
          <w:i w:val="false"/>
          <w:color w:val="000000"/>
          <w:sz w:val="28"/>
        </w:rPr>
        <w:t>
      2190. В дополнение требованиям подраздела 2 раздела 8 настоящих Правил выполняются требования к конструктивной противопожарной защите, изложенные ниже.</w:t>
      </w:r>
    </w:p>
    <w:bookmarkEnd w:id="6683"/>
    <w:bookmarkStart w:name="z10751" w:id="6684"/>
    <w:p>
      <w:pPr>
        <w:spacing w:after="0"/>
        <w:ind w:left="0"/>
        <w:jc w:val="both"/>
      </w:pPr>
      <w:r>
        <w:rPr>
          <w:rFonts w:ascii="Times New Roman"/>
          <w:b w:val="false"/>
          <w:i w:val="false"/>
          <w:color w:val="000000"/>
          <w:sz w:val="28"/>
        </w:rPr>
        <w:t>
      Сауны отвечают следующим требованиям:</w:t>
      </w:r>
    </w:p>
    <w:bookmarkEnd w:id="6684"/>
    <w:bookmarkStart w:name="z10752" w:id="6685"/>
    <w:p>
      <w:pPr>
        <w:spacing w:after="0"/>
        <w:ind w:left="0"/>
        <w:jc w:val="both"/>
      </w:pPr>
      <w:r>
        <w:rPr>
          <w:rFonts w:ascii="Times New Roman"/>
          <w:b w:val="false"/>
          <w:i w:val="false"/>
          <w:color w:val="000000"/>
          <w:sz w:val="28"/>
        </w:rPr>
        <w:t>
      1) по периметру сауны ограничиваются конструкциями типа А-60, за исключением помещений, расположенных внутри ее периметра и помещений категорий (5),(9) и (10), определенных в пункте 2199 настоящих Правил, или помещений категорий (5),(7) и (10), определенных в подпункте 1) пункта 2201, 2235 или параграфа 3 главы 146 настоящих Правил, в зависимости от назначения судна;</w:t>
      </w:r>
    </w:p>
    <w:bookmarkEnd w:id="6685"/>
    <w:bookmarkStart w:name="z10753" w:id="6686"/>
    <w:p>
      <w:pPr>
        <w:spacing w:after="0"/>
        <w:ind w:left="0"/>
        <w:jc w:val="both"/>
      </w:pPr>
      <w:r>
        <w:rPr>
          <w:rFonts w:ascii="Times New Roman"/>
          <w:b w:val="false"/>
          <w:i w:val="false"/>
          <w:color w:val="000000"/>
          <w:sz w:val="28"/>
        </w:rPr>
        <w:t>
      2) сауны включают в себя раздевалки, души и туалеты. Ванные комнаты с непосредственным входом в сауны рассматриваются как часть сауны. В таких случаях дверь между сауной и ванной комнатой может не отвечать требованиям противопожарной безопасности;</w:t>
      </w:r>
    </w:p>
    <w:bookmarkEnd w:id="6686"/>
    <w:bookmarkStart w:name="z10754" w:id="6687"/>
    <w:p>
      <w:pPr>
        <w:spacing w:after="0"/>
        <w:ind w:left="0"/>
        <w:jc w:val="both"/>
      </w:pPr>
      <w:r>
        <w:rPr>
          <w:rFonts w:ascii="Times New Roman"/>
          <w:b w:val="false"/>
          <w:i w:val="false"/>
          <w:color w:val="000000"/>
          <w:sz w:val="28"/>
        </w:rPr>
        <w:t>
      3) в саунах допускается традиционная деревянная зашивка переборок и подволоков. Подволок над печью обшивается негорючей пластиной с зазором, по крайней мере, в 30 миллиметров от подволока. Расстояние от горячих поверхностей до горючих материалов равна не менее 500 миллиметров, или горючие материалы защищают (например, негорючей пластиной с зазором, по меньшей мере, в 30 миллиметров);</w:t>
      </w:r>
    </w:p>
    <w:bookmarkEnd w:id="6687"/>
    <w:bookmarkStart w:name="z10755" w:id="6688"/>
    <w:p>
      <w:pPr>
        <w:spacing w:after="0"/>
        <w:ind w:left="0"/>
        <w:jc w:val="both"/>
      </w:pPr>
      <w:r>
        <w:rPr>
          <w:rFonts w:ascii="Times New Roman"/>
          <w:b w:val="false"/>
          <w:i w:val="false"/>
          <w:color w:val="000000"/>
          <w:sz w:val="28"/>
        </w:rPr>
        <w:t>
      4) традиционные деревянные полки в сауне допускаются;</w:t>
      </w:r>
    </w:p>
    <w:bookmarkEnd w:id="6688"/>
    <w:bookmarkStart w:name="z10756" w:id="6689"/>
    <w:p>
      <w:pPr>
        <w:spacing w:after="0"/>
        <w:ind w:left="0"/>
        <w:jc w:val="both"/>
      </w:pPr>
      <w:r>
        <w:rPr>
          <w:rFonts w:ascii="Times New Roman"/>
          <w:b w:val="false"/>
          <w:i w:val="false"/>
          <w:color w:val="000000"/>
          <w:sz w:val="28"/>
        </w:rPr>
        <w:t>
      5) дверь сауне не имеет замков и отрывается наружу толчком;</w:t>
      </w:r>
    </w:p>
    <w:bookmarkEnd w:id="6689"/>
    <w:bookmarkStart w:name="z10757" w:id="6690"/>
    <w:p>
      <w:pPr>
        <w:spacing w:after="0"/>
        <w:ind w:left="0"/>
        <w:jc w:val="both"/>
      </w:pPr>
      <w:r>
        <w:rPr>
          <w:rFonts w:ascii="Times New Roman"/>
          <w:b w:val="false"/>
          <w:i w:val="false"/>
          <w:color w:val="000000"/>
          <w:sz w:val="28"/>
        </w:rPr>
        <w:t>
      6) электрические печи саун имеют таймеры и отвечают требованиям подраздела 15 раздела 13 настоящих Правил, а проводка – требованиям главы 510 настоящих Правил.</w:t>
      </w:r>
    </w:p>
    <w:bookmarkEnd w:id="6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02" w:id="6691"/>
    <w:p>
      <w:pPr>
        <w:spacing w:after="0"/>
        <w:ind w:left="0"/>
        <w:jc w:val="both"/>
      </w:pPr>
      <w:r>
        <w:rPr>
          <w:rFonts w:ascii="Times New Roman"/>
          <w:b w:val="false"/>
          <w:i w:val="false"/>
          <w:color w:val="000000"/>
          <w:sz w:val="28"/>
        </w:rPr>
        <w:t>
      2191. Камбузы отвечают следующим требованиям:</w:t>
      </w:r>
    </w:p>
    <w:bookmarkEnd w:id="6691"/>
    <w:bookmarkStart w:name="z6703" w:id="6692"/>
    <w:p>
      <w:pPr>
        <w:spacing w:after="0"/>
        <w:ind w:left="0"/>
        <w:jc w:val="both"/>
      </w:pPr>
      <w:r>
        <w:rPr>
          <w:rFonts w:ascii="Times New Roman"/>
          <w:b w:val="false"/>
          <w:i w:val="false"/>
          <w:color w:val="000000"/>
          <w:sz w:val="28"/>
        </w:rPr>
        <w:t>
      1) камбузы, работающие на иных, чем электричество источниках энергии, не смежны с кладовыми легковоспламеняющихся материалов и веществ и цистернами для топлива и масел;</w:t>
      </w:r>
    </w:p>
    <w:bookmarkEnd w:id="6692"/>
    <w:bookmarkStart w:name="z6704" w:id="6693"/>
    <w:p>
      <w:pPr>
        <w:spacing w:after="0"/>
        <w:ind w:left="0"/>
        <w:jc w:val="both"/>
      </w:pPr>
      <w:r>
        <w:rPr>
          <w:rFonts w:ascii="Times New Roman"/>
          <w:b w:val="false"/>
          <w:i w:val="false"/>
          <w:color w:val="000000"/>
          <w:sz w:val="28"/>
        </w:rPr>
        <w:t>
      2) палубы камбузов покрывают керамическими плитками или подобным негорючим покрытием;</w:t>
      </w:r>
    </w:p>
    <w:bookmarkEnd w:id="6693"/>
    <w:bookmarkStart w:name="z6705" w:id="6694"/>
    <w:p>
      <w:pPr>
        <w:spacing w:after="0"/>
        <w:ind w:left="0"/>
        <w:jc w:val="both"/>
      </w:pPr>
      <w:r>
        <w:rPr>
          <w:rFonts w:ascii="Times New Roman"/>
          <w:b w:val="false"/>
          <w:i w:val="false"/>
          <w:color w:val="000000"/>
          <w:sz w:val="28"/>
        </w:rPr>
        <w:t>
      3) каналы вытяжной вентиляции от камбузных плит отвечают требованиям пунктов 3600 или 3613 настоящих Правил.</w:t>
      </w:r>
    </w:p>
    <w:bookmarkEnd w:id="6694"/>
    <w:bookmarkStart w:name="z6706" w:id="6695"/>
    <w:p>
      <w:pPr>
        <w:spacing w:after="0"/>
        <w:ind w:left="0"/>
        <w:jc w:val="both"/>
      </w:pPr>
      <w:r>
        <w:rPr>
          <w:rFonts w:ascii="Times New Roman"/>
          <w:b w:val="false"/>
          <w:i w:val="false"/>
          <w:color w:val="000000"/>
          <w:sz w:val="28"/>
        </w:rPr>
        <w:t>
      2192. Кладовые легковоспламеняющихся материалов и веществ отвечают следующим требованиям:</w:t>
      </w:r>
    </w:p>
    <w:bookmarkEnd w:id="6695"/>
    <w:bookmarkStart w:name="z10759" w:id="6696"/>
    <w:p>
      <w:pPr>
        <w:spacing w:after="0"/>
        <w:ind w:left="0"/>
        <w:jc w:val="both"/>
      </w:pPr>
      <w:r>
        <w:rPr>
          <w:rFonts w:ascii="Times New Roman"/>
          <w:b w:val="false"/>
          <w:i w:val="false"/>
          <w:color w:val="000000"/>
          <w:sz w:val="28"/>
        </w:rPr>
        <w:t>
      1) они, как правило, не размещаются в одной настройке или рубке с жилыми помещениями. Входы в такие кладовые устраиваются непосредственно с открытой палубы или через коридор и/или трап, ведущий только к этим кладовым;</w:t>
      </w:r>
    </w:p>
    <w:bookmarkEnd w:id="6696"/>
    <w:bookmarkStart w:name="z10760" w:id="6697"/>
    <w:p>
      <w:pPr>
        <w:spacing w:after="0"/>
        <w:ind w:left="0"/>
        <w:jc w:val="both"/>
      </w:pPr>
      <w:r>
        <w:rPr>
          <w:rFonts w:ascii="Times New Roman"/>
          <w:b w:val="false"/>
          <w:i w:val="false"/>
          <w:color w:val="000000"/>
          <w:sz w:val="28"/>
        </w:rPr>
        <w:t>
      2) на грузовых судах валовой вместимостью менее 300 регистровых тонн размещение кладовых допускается в районе жилых помещений, но не допускается чтобы кладовые были смежными с жилыми помещениями. Если устройство отдельной для легковоспламеняющихся жидкостей затруднено, допускается их хранение в стальных вентилируемых шкафах или ящиках. Такие шкафы или ящики не примыкают к жилым и их дверцы открываются наружу;</w:t>
      </w:r>
    </w:p>
    <w:bookmarkEnd w:id="6697"/>
    <w:bookmarkStart w:name="z10761" w:id="6698"/>
    <w:p>
      <w:pPr>
        <w:spacing w:after="0"/>
        <w:ind w:left="0"/>
        <w:jc w:val="both"/>
      </w:pPr>
      <w:r>
        <w:rPr>
          <w:rFonts w:ascii="Times New Roman"/>
          <w:b w:val="false"/>
          <w:i w:val="false"/>
          <w:color w:val="000000"/>
          <w:sz w:val="28"/>
        </w:rPr>
        <w:t>
      3) все электрическое оборудование кладовой имеют взрывозащищенное исполнение согласно требованиям главы 433 настоящих Правил.</w:t>
      </w:r>
    </w:p>
    <w:bookmarkEnd w:id="6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2192 -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0" w:id="6699"/>
    <w:p>
      <w:pPr>
        <w:spacing w:after="0"/>
        <w:ind w:left="0"/>
        <w:jc w:val="both"/>
      </w:pPr>
      <w:r>
        <w:rPr>
          <w:rFonts w:ascii="Times New Roman"/>
          <w:b w:val="false"/>
          <w:i w:val="false"/>
          <w:color w:val="000000"/>
          <w:sz w:val="28"/>
        </w:rPr>
        <w:t>
      2193. Помещения для производства электрогазосварочных работ отвечают следующим требованиям:</w:t>
      </w:r>
    </w:p>
    <w:bookmarkEnd w:id="6699"/>
    <w:bookmarkStart w:name="z6711" w:id="6700"/>
    <w:p>
      <w:pPr>
        <w:spacing w:after="0"/>
        <w:ind w:left="0"/>
        <w:jc w:val="both"/>
      </w:pPr>
      <w:r>
        <w:rPr>
          <w:rFonts w:ascii="Times New Roman"/>
          <w:b w:val="false"/>
          <w:i w:val="false"/>
          <w:color w:val="000000"/>
          <w:sz w:val="28"/>
        </w:rPr>
        <w:t>
      1) конструкции, отделяющие такие помещения от смежных помещений - типа А-60;</w:t>
      </w:r>
    </w:p>
    <w:bookmarkEnd w:id="6700"/>
    <w:bookmarkStart w:name="z6712" w:id="6701"/>
    <w:p>
      <w:pPr>
        <w:spacing w:after="0"/>
        <w:ind w:left="0"/>
        <w:jc w:val="both"/>
      </w:pPr>
      <w:r>
        <w:rPr>
          <w:rFonts w:ascii="Times New Roman"/>
          <w:b w:val="false"/>
          <w:i w:val="false"/>
          <w:color w:val="000000"/>
          <w:sz w:val="28"/>
        </w:rPr>
        <w:t>
      2) входы в такие помещения устраиваются непосредственно с открытой палубы, при этом двери должны открываться наружу и иметь замки;</w:t>
      </w:r>
    </w:p>
    <w:bookmarkEnd w:id="6701"/>
    <w:bookmarkStart w:name="z6713" w:id="6702"/>
    <w:p>
      <w:pPr>
        <w:spacing w:after="0"/>
        <w:ind w:left="0"/>
        <w:jc w:val="both"/>
      </w:pPr>
      <w:r>
        <w:rPr>
          <w:rFonts w:ascii="Times New Roman"/>
          <w:b w:val="false"/>
          <w:i w:val="false"/>
          <w:color w:val="000000"/>
          <w:sz w:val="28"/>
        </w:rPr>
        <w:t>
      3) размещение и оборудование такие помещений на нефтеналивных судах подлежит специальному рассмотрению Регистром судоходства;</w:t>
      </w:r>
    </w:p>
    <w:bookmarkEnd w:id="6702"/>
    <w:bookmarkStart w:name="z6714" w:id="6703"/>
    <w:p>
      <w:pPr>
        <w:spacing w:after="0"/>
        <w:ind w:left="0"/>
        <w:jc w:val="both"/>
      </w:pPr>
      <w:r>
        <w:rPr>
          <w:rFonts w:ascii="Times New Roman"/>
          <w:b w:val="false"/>
          <w:i w:val="false"/>
          <w:color w:val="000000"/>
          <w:sz w:val="28"/>
        </w:rPr>
        <w:t>
      4) баллоны с ацетиленом и кислородом для электрогазосварочных работ хранятся в отдельных кладовых, отвечающих следующим требованиям:</w:t>
      </w:r>
    </w:p>
    <w:bookmarkEnd w:id="6703"/>
    <w:bookmarkStart w:name="z6715" w:id="6704"/>
    <w:p>
      <w:pPr>
        <w:spacing w:after="0"/>
        <w:ind w:left="0"/>
        <w:jc w:val="both"/>
      </w:pPr>
      <w:r>
        <w:rPr>
          <w:rFonts w:ascii="Times New Roman"/>
          <w:b w:val="false"/>
          <w:i w:val="false"/>
          <w:color w:val="000000"/>
          <w:sz w:val="28"/>
        </w:rPr>
        <w:t>
      кладовая для хранения баллонов с ацетиленом располагается отдельно от кладовой для хранения баллонов с кислородов;</w:t>
      </w:r>
    </w:p>
    <w:bookmarkEnd w:id="6704"/>
    <w:bookmarkStart w:name="z6716" w:id="6705"/>
    <w:p>
      <w:pPr>
        <w:spacing w:after="0"/>
        <w:ind w:left="0"/>
        <w:jc w:val="both"/>
      </w:pPr>
      <w:r>
        <w:rPr>
          <w:rFonts w:ascii="Times New Roman"/>
          <w:b w:val="false"/>
          <w:i w:val="false"/>
          <w:color w:val="000000"/>
          <w:sz w:val="28"/>
        </w:rPr>
        <w:t>
      кладовые не располагаются под жилыми помещениями и постами управления и быть смежными с ними. Кроме того, кладовые не примыкают к машинным помещениям категории А, камбузам, кладовым легковоспламеняющихся веществ и материалов и другим пожароопасным помещениями, а также к топливным и масляным цистернам;</w:t>
      </w:r>
    </w:p>
    <w:bookmarkEnd w:id="6705"/>
    <w:bookmarkStart w:name="z6717" w:id="6706"/>
    <w:p>
      <w:pPr>
        <w:spacing w:after="0"/>
        <w:ind w:left="0"/>
        <w:jc w:val="both"/>
      </w:pPr>
      <w:r>
        <w:rPr>
          <w:rFonts w:ascii="Times New Roman"/>
          <w:b w:val="false"/>
          <w:i w:val="false"/>
          <w:color w:val="000000"/>
          <w:sz w:val="28"/>
        </w:rPr>
        <w:t>
      конструкции, отделяющие кладовые от смежных помещений - типа А-60;</w:t>
      </w:r>
    </w:p>
    <w:bookmarkEnd w:id="6706"/>
    <w:bookmarkStart w:name="z6718" w:id="6707"/>
    <w:p>
      <w:pPr>
        <w:spacing w:after="0"/>
        <w:ind w:left="0"/>
        <w:jc w:val="both"/>
      </w:pPr>
      <w:r>
        <w:rPr>
          <w:rFonts w:ascii="Times New Roman"/>
          <w:b w:val="false"/>
          <w:i w:val="false"/>
          <w:color w:val="000000"/>
          <w:sz w:val="28"/>
        </w:rPr>
        <w:t>
      входы в такие кладовые устраиваются непосредственно с открытой палубы, при этом двери открываются наружу и снабжают средствами, обеспечивающими их надежное закрытие для предотвращения несанкционированного доступа;</w:t>
      </w:r>
    </w:p>
    <w:bookmarkEnd w:id="6707"/>
    <w:bookmarkStart w:name="z6719" w:id="6708"/>
    <w:p>
      <w:pPr>
        <w:spacing w:after="0"/>
        <w:ind w:left="0"/>
        <w:jc w:val="both"/>
      </w:pPr>
      <w:r>
        <w:rPr>
          <w:rFonts w:ascii="Times New Roman"/>
          <w:b w:val="false"/>
          <w:i w:val="false"/>
          <w:color w:val="000000"/>
          <w:sz w:val="28"/>
        </w:rPr>
        <w:t>
      на дверях кладовых предусматривают надписи "Взрывоопасно!".</w:t>
      </w:r>
    </w:p>
    <w:bookmarkEnd w:id="6708"/>
    <w:bookmarkStart w:name="z6720" w:id="6709"/>
    <w:p>
      <w:pPr>
        <w:spacing w:after="0"/>
        <w:ind w:left="0"/>
        <w:jc w:val="both"/>
      </w:pPr>
      <w:r>
        <w:rPr>
          <w:rFonts w:ascii="Times New Roman"/>
          <w:b w:val="false"/>
          <w:i w:val="false"/>
          <w:color w:val="000000"/>
          <w:sz w:val="28"/>
        </w:rPr>
        <w:t>
      2194. Грузовые помещения, указанные в подпунктах 3), 4) пункта 2137 и пункте 2143 настоящих Правил, в которых перевозится автотранспорт с топливом в баках, отвечают следующим требованиям:</w:t>
      </w:r>
    </w:p>
    <w:bookmarkEnd w:id="6709"/>
    <w:bookmarkStart w:name="z6721" w:id="6710"/>
    <w:p>
      <w:pPr>
        <w:spacing w:after="0"/>
        <w:ind w:left="0"/>
        <w:jc w:val="both"/>
      </w:pPr>
      <w:r>
        <w:rPr>
          <w:rFonts w:ascii="Times New Roman"/>
          <w:b w:val="false"/>
          <w:i w:val="false"/>
          <w:color w:val="000000"/>
          <w:sz w:val="28"/>
        </w:rPr>
        <w:t>
      1) входы в грузовые помещения из жилых, машинных и специальных электрических помещений оборудуют самозакрывающимися постоянно закрытыми дверями. Высота комингсов этих дверей равна не менее 450 мм;</w:t>
      </w:r>
    </w:p>
    <w:bookmarkEnd w:id="6710"/>
    <w:bookmarkStart w:name="z6722" w:id="6711"/>
    <w:p>
      <w:pPr>
        <w:spacing w:after="0"/>
        <w:ind w:left="0"/>
        <w:jc w:val="both"/>
      </w:pPr>
      <w:r>
        <w:rPr>
          <w:rFonts w:ascii="Times New Roman"/>
          <w:b w:val="false"/>
          <w:i w:val="false"/>
          <w:color w:val="000000"/>
          <w:sz w:val="28"/>
        </w:rPr>
        <w:t>
      2) у входов в грузовые помещения предусматривают надписи, запрещающие курение;</w:t>
      </w:r>
    </w:p>
    <w:bookmarkEnd w:id="6711"/>
    <w:bookmarkStart w:name="z6723" w:id="6712"/>
    <w:p>
      <w:pPr>
        <w:spacing w:after="0"/>
        <w:ind w:left="0"/>
        <w:jc w:val="both"/>
      </w:pPr>
      <w:r>
        <w:rPr>
          <w:rFonts w:ascii="Times New Roman"/>
          <w:b w:val="false"/>
          <w:i w:val="false"/>
          <w:color w:val="000000"/>
          <w:sz w:val="28"/>
        </w:rPr>
        <w:t>
      3) грузовые помещения отвечают требованиям глав 293 и 537 настоящих Правил.</w:t>
      </w:r>
    </w:p>
    <w:bookmarkEnd w:id="6712"/>
    <w:bookmarkStart w:name="z6724" w:id="6713"/>
    <w:p>
      <w:pPr>
        <w:spacing w:after="0"/>
        <w:ind w:left="0"/>
        <w:jc w:val="both"/>
      </w:pPr>
      <w:r>
        <w:rPr>
          <w:rFonts w:ascii="Times New Roman"/>
          <w:b w:val="false"/>
          <w:i w:val="false"/>
          <w:color w:val="000000"/>
          <w:sz w:val="28"/>
        </w:rPr>
        <w:t>
      2195. Часть открытой палубы, расположенная в углублении в палубной конструкции, шахте машинного отделения, надстройке, используемая исключительно для хранения баллонов с газом, отвечает следующим требованиям:</w:t>
      </w:r>
    </w:p>
    <w:bookmarkEnd w:id="6713"/>
    <w:bookmarkStart w:name="z6725" w:id="6714"/>
    <w:p>
      <w:pPr>
        <w:spacing w:after="0"/>
        <w:ind w:left="0"/>
        <w:jc w:val="both"/>
      </w:pPr>
      <w:r>
        <w:rPr>
          <w:rFonts w:ascii="Times New Roman"/>
          <w:b w:val="false"/>
          <w:i w:val="false"/>
          <w:color w:val="000000"/>
          <w:sz w:val="28"/>
        </w:rPr>
        <w:t>
      1) такое углубление имеет свободное открытие, за исключением небольших вспомогательных конструкций, таких как угловые кницы открытия, небольшие горизонтальные ребра, пиллерсы. Открытие оборудуют решетчатыми стенами и дверьми;</w:t>
      </w:r>
    </w:p>
    <w:bookmarkEnd w:id="6714"/>
    <w:bookmarkStart w:name="z6726" w:id="6715"/>
    <w:p>
      <w:pPr>
        <w:spacing w:after="0"/>
        <w:ind w:left="0"/>
        <w:jc w:val="both"/>
      </w:pPr>
      <w:r>
        <w:rPr>
          <w:rFonts w:ascii="Times New Roman"/>
          <w:b w:val="false"/>
          <w:i w:val="false"/>
          <w:color w:val="000000"/>
          <w:sz w:val="28"/>
        </w:rPr>
        <w:t>
      2) глубина такого углубления не больше 1 м;</w:t>
      </w:r>
    </w:p>
    <w:bookmarkEnd w:id="6715"/>
    <w:bookmarkStart w:name="z6727" w:id="6716"/>
    <w:p>
      <w:pPr>
        <w:spacing w:after="0"/>
        <w:ind w:left="0"/>
        <w:jc w:val="both"/>
      </w:pPr>
      <w:r>
        <w:rPr>
          <w:rFonts w:ascii="Times New Roman"/>
          <w:b w:val="false"/>
          <w:i w:val="false"/>
          <w:color w:val="000000"/>
          <w:sz w:val="28"/>
        </w:rPr>
        <w:t>
      3) часть открытой палубы, отвечающая требованиям подпункта 2) пункта 2195 настоящих Правил, рассматривается как открытая палуба для целей применения приложений 261, 262, 263, 264, 265, 270 и 271 настоящих Правил.</w:t>
      </w:r>
    </w:p>
    <w:bookmarkEnd w:id="6716"/>
    <w:bookmarkStart w:name="z6728" w:id="6717"/>
    <w:p>
      <w:pPr>
        <w:spacing w:after="0"/>
        <w:ind w:left="0"/>
        <w:jc w:val="both"/>
      </w:pPr>
      <w:r>
        <w:rPr>
          <w:rFonts w:ascii="Times New Roman"/>
          <w:b w:val="false"/>
          <w:i w:val="false"/>
          <w:color w:val="000000"/>
          <w:sz w:val="28"/>
        </w:rPr>
        <w:t>
      2196. Помещения вентиляторов, обслуживающие машинные помещения, отвечают следующим требованиям:</w:t>
      </w:r>
    </w:p>
    <w:bookmarkEnd w:id="6717"/>
    <w:bookmarkStart w:name="z6729" w:id="6718"/>
    <w:p>
      <w:pPr>
        <w:spacing w:after="0"/>
        <w:ind w:left="0"/>
        <w:jc w:val="both"/>
      </w:pPr>
      <w:r>
        <w:rPr>
          <w:rFonts w:ascii="Times New Roman"/>
          <w:b w:val="false"/>
          <w:i w:val="false"/>
          <w:color w:val="000000"/>
          <w:sz w:val="28"/>
        </w:rPr>
        <w:t>
      1) если помещение вентиляторов обслуживает машинное помещение или различные помещения, в состав которых входят машинные помещения, то его считают машинным помещением с малой пожароопасностью или непожароопасным, и в этом случае ограничивающие конструкции между помещением вентиляторов и обшивкой машинного помещения имеют огнестойкость класса "А-0";</w:t>
      </w:r>
    </w:p>
    <w:bookmarkEnd w:id="6718"/>
    <w:bookmarkStart w:name="z6730" w:id="6719"/>
    <w:p>
      <w:pPr>
        <w:spacing w:after="0"/>
        <w:ind w:left="0"/>
        <w:jc w:val="both"/>
      </w:pPr>
      <w:r>
        <w:rPr>
          <w:rFonts w:ascii="Times New Roman"/>
          <w:b w:val="false"/>
          <w:i w:val="false"/>
          <w:color w:val="000000"/>
          <w:sz w:val="28"/>
        </w:rPr>
        <w:t>
      2) если помещение вентиляторов обслуживает машинное помещение, то его считают частью машинного помещения, и в этом случае не обязательно применять требования к огнестойкости горизонтальной ограничивающей конструкции между помещением вентиляторов и машинным помещением;</w:t>
      </w:r>
    </w:p>
    <w:bookmarkEnd w:id="6719"/>
    <w:bookmarkStart w:name="z6731" w:id="6720"/>
    <w:p>
      <w:pPr>
        <w:spacing w:after="0"/>
        <w:ind w:left="0"/>
        <w:jc w:val="both"/>
      </w:pPr>
      <w:r>
        <w:rPr>
          <w:rFonts w:ascii="Times New Roman"/>
          <w:b w:val="false"/>
          <w:i w:val="false"/>
          <w:color w:val="000000"/>
          <w:sz w:val="28"/>
        </w:rPr>
        <w:t>
      3) для обоих описанных выше случаев, для любого помещения, смежного с надстройкой помещения вентиляторов, огнестойкость ограничивающей конструкции соответствовует применимым требованиям по огнестойкости, содержащимся в настоящих Правилах</w:t>
      </w:r>
    </w:p>
    <w:bookmarkEnd w:id="6720"/>
    <w:bookmarkStart w:name="z6732" w:id="6721"/>
    <w:p>
      <w:pPr>
        <w:spacing w:after="0"/>
        <w:ind w:left="0"/>
        <w:jc w:val="left"/>
      </w:pPr>
      <w:r>
        <w:rPr>
          <w:rFonts w:ascii="Times New Roman"/>
          <w:b/>
          <w:i w:val="false"/>
          <w:color w:val="000000"/>
        </w:rPr>
        <w:t xml:space="preserve"> Глава 145. Пассажирские суда</w:t>
      </w:r>
    </w:p>
    <w:bookmarkEnd w:id="6721"/>
    <w:p>
      <w:pPr>
        <w:spacing w:after="0"/>
        <w:ind w:left="0"/>
        <w:jc w:val="both"/>
      </w:pPr>
      <w:r>
        <w:rPr>
          <w:rFonts w:ascii="Times New Roman"/>
          <w:b w:val="false"/>
          <w:i w:val="false"/>
          <w:color w:val="ff0000"/>
          <w:sz w:val="28"/>
        </w:rPr>
        <w:t xml:space="preserve">
      Сноска. Заголовок главы 145 -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33" w:id="6722"/>
    <w:p>
      <w:pPr>
        <w:spacing w:after="0"/>
        <w:ind w:left="0"/>
        <w:jc w:val="both"/>
      </w:pPr>
      <w:r>
        <w:rPr>
          <w:rFonts w:ascii="Times New Roman"/>
          <w:b w:val="false"/>
          <w:i w:val="false"/>
          <w:color w:val="000000"/>
          <w:sz w:val="28"/>
        </w:rPr>
        <w:t>
      2197.Требования настоящей главы дополняют изложенные в главе 144 настоящих Правил.</w:t>
      </w:r>
    </w:p>
    <w:bookmarkEnd w:id="6722"/>
    <w:bookmarkStart w:name="z6734" w:id="6723"/>
    <w:p>
      <w:pPr>
        <w:spacing w:after="0"/>
        <w:ind w:left="0"/>
        <w:jc w:val="both"/>
      </w:pPr>
      <w:r>
        <w:rPr>
          <w:rFonts w:ascii="Times New Roman"/>
          <w:b w:val="false"/>
          <w:i w:val="false"/>
          <w:color w:val="000000"/>
          <w:sz w:val="28"/>
        </w:rPr>
        <w:t>
      2198. На судах, перевозящих более 36 пассажиров, корпус, надстройка и рубки разделяют на главные вертикальные зоны перекрытиями типа А-60. Число уступов и выступов (рецессов) минимальные, а там, где они необходимы, они также выполняются перекрытиями типа А-60. Если с одной стороны перекрытия имеется помещение категорий, перечисленных в подпунктах 5), 9), 10) пункта 2199 настоящих Правил или топливные танки расположены по обе стороны перекрытия, тип огнестойкости снижают до А-0.</w:t>
      </w:r>
    </w:p>
    <w:bookmarkEnd w:id="6723"/>
    <w:bookmarkStart w:name="z6735" w:id="6724"/>
    <w:p>
      <w:pPr>
        <w:spacing w:after="0"/>
        <w:ind w:left="0"/>
        <w:jc w:val="both"/>
      </w:pPr>
      <w:r>
        <w:rPr>
          <w:rFonts w:ascii="Times New Roman"/>
          <w:b w:val="false"/>
          <w:i w:val="false"/>
          <w:color w:val="000000"/>
          <w:sz w:val="28"/>
        </w:rPr>
        <w:t>
      На судах, перевозящих не более 36 пассажиров, корпус, надстройки и рубки в районе расположения жилых и служебных помещений разделяют на главные вертикальные зоны перекрытиями типа А. Эти перекрытия имеют изоляцию в соответствии с приложениями 263 и 264 настоящих Правил.</w:t>
      </w:r>
    </w:p>
    <w:bookmarkEnd w:id="6724"/>
    <w:bookmarkStart w:name="z6736" w:id="6725"/>
    <w:p>
      <w:pPr>
        <w:spacing w:after="0"/>
        <w:ind w:left="0"/>
        <w:jc w:val="both"/>
      </w:pPr>
      <w:r>
        <w:rPr>
          <w:rFonts w:ascii="Times New Roman"/>
          <w:b w:val="false"/>
          <w:i w:val="false"/>
          <w:color w:val="000000"/>
          <w:sz w:val="28"/>
        </w:rPr>
        <w:t>
      Переборки, образующие границы вертикальных зон выше палубы переборок, располагают, насколько это практически возможно, в одной вертикальной плоскости с водонепроницаемыми переборками деления на отсеки, расположенными непосредственно под палубой переборок. Длина и ширина главных вертикальных зон возможно увеличчить максимум до 48 м, чтобы совместить концы главных вертикальных зон с водонепроницаемыми переборками деления на отсеки или чтобы разместить большое общественное помещение, простирающееся на всю длину главной вертикальной зоны при условии, что общая площадь главной вертикальной зоны не превышает 1600 м</w:t>
      </w:r>
      <w:r>
        <w:rPr>
          <w:rFonts w:ascii="Times New Roman"/>
          <w:b w:val="false"/>
          <w:i w:val="false"/>
          <w:color w:val="000000"/>
          <w:vertAlign w:val="superscript"/>
        </w:rPr>
        <w:t>2</w:t>
      </w:r>
      <w:r>
        <w:rPr>
          <w:rFonts w:ascii="Times New Roman"/>
          <w:b w:val="false"/>
          <w:i w:val="false"/>
          <w:color w:val="000000"/>
          <w:sz w:val="28"/>
        </w:rPr>
        <w:t xml:space="preserve"> на любой палубе.</w:t>
      </w:r>
    </w:p>
    <w:bookmarkEnd w:id="6725"/>
    <w:bookmarkStart w:name="z6737" w:id="6726"/>
    <w:p>
      <w:pPr>
        <w:spacing w:after="0"/>
        <w:ind w:left="0"/>
        <w:jc w:val="both"/>
      </w:pPr>
      <w:r>
        <w:rPr>
          <w:rFonts w:ascii="Times New Roman"/>
          <w:b w:val="false"/>
          <w:i w:val="false"/>
          <w:color w:val="000000"/>
          <w:sz w:val="28"/>
        </w:rPr>
        <w:t>
      Если трап обслуживает две главные вертикальные зоны, то максимальная длина одной главной вертикальной зоны измеряется от дельней стороны выгороди трапа. В этом случае, все перекрытия выгородки трапа изолируют как переборки главной вертикальной зоны и двери, ведущие к трапу, предусматривают из этих зон (приложения 257 – 260 настоящих Правил). Однако трап не включается в расчет размера главой вертикальной зоны, если он относится к главной вертикальной зоне.</w:t>
      </w:r>
    </w:p>
    <w:bookmarkEnd w:id="6726"/>
    <w:bookmarkStart w:name="z6738" w:id="6727"/>
    <w:p>
      <w:pPr>
        <w:spacing w:after="0"/>
        <w:ind w:left="0"/>
        <w:jc w:val="both"/>
      </w:pPr>
      <w:r>
        <w:rPr>
          <w:rFonts w:ascii="Times New Roman"/>
          <w:b w:val="false"/>
          <w:i w:val="false"/>
          <w:color w:val="000000"/>
          <w:sz w:val="28"/>
        </w:rPr>
        <w:t>
      Переборки, образующие границы главных вертикальных зон, простираются от палубы до палубы и до обшивки корпуса или других ограничивающих конструкций.</w:t>
      </w:r>
    </w:p>
    <w:bookmarkEnd w:id="6727"/>
    <w:bookmarkStart w:name="z6739" w:id="6728"/>
    <w:p>
      <w:pPr>
        <w:spacing w:after="0"/>
        <w:ind w:left="0"/>
        <w:jc w:val="both"/>
      </w:pPr>
      <w:r>
        <w:rPr>
          <w:rFonts w:ascii="Times New Roman"/>
          <w:b w:val="false"/>
          <w:i w:val="false"/>
          <w:color w:val="000000"/>
          <w:sz w:val="28"/>
        </w:rPr>
        <w:t>
      Если главная вертикальная зона на судах, перевозящих не более 36 пассажиров, разделена горизонтальными перекрытиями типа А на горизонтальные зоны с тем, чтобы обеспечить надлежащую преграду между зонами судна, защищенными спринклерной системой и не защищенными ею, то такие перекрытия должны быть доведены до ближайших переборок главных вертикальных зон и до обшивки корпуса или наружных ограничивающих конструкций судна и изолированы в соответствии с типами изоляции согласно приложению 260 настоящих Правил.</w:t>
      </w:r>
    </w:p>
    <w:bookmarkEnd w:id="6728"/>
    <w:bookmarkStart w:name="z6740" w:id="6729"/>
    <w:p>
      <w:pPr>
        <w:spacing w:after="0"/>
        <w:ind w:left="0"/>
        <w:jc w:val="both"/>
      </w:pPr>
      <w:r>
        <w:rPr>
          <w:rFonts w:ascii="Times New Roman"/>
          <w:b w:val="false"/>
          <w:i w:val="false"/>
          <w:color w:val="000000"/>
          <w:sz w:val="28"/>
        </w:rPr>
        <w:t>
      На судах, предназначенных для специальных целей, таких как автомобильные или железнодорожные паромы, где установка переборок главных вертикальных зон препятствовала бы использованию судна по назначению, предусматривают равноценные средства тушения и ограничения распространения пожара, которыми могут быть водяные завесы, отвечающие требованиям главы 152 настоящих Правил. Служебные помещения не располагаются на палубах судов, указанных в подпункте 3) пункта 2137 настоящих Правил.</w:t>
      </w:r>
    </w:p>
    <w:bookmarkEnd w:id="6729"/>
    <w:bookmarkStart w:name="z6741" w:id="6730"/>
    <w:p>
      <w:pPr>
        <w:spacing w:after="0"/>
        <w:ind w:left="0"/>
        <w:jc w:val="both"/>
      </w:pPr>
      <w:r>
        <w:rPr>
          <w:rFonts w:ascii="Times New Roman"/>
          <w:b w:val="false"/>
          <w:i w:val="false"/>
          <w:color w:val="000000"/>
          <w:sz w:val="28"/>
        </w:rPr>
        <w:t>
      2199. Минимальная огнестойкость переборок и палуб, разделяющих смежные помещения на судах, перевозящих более 36 пассажиров, отвечает требованиям приложений 261 – 262 настоящих Правил с учетом следующего.</w:t>
      </w:r>
    </w:p>
    <w:bookmarkEnd w:id="6730"/>
    <w:bookmarkStart w:name="z6742" w:id="6731"/>
    <w:p>
      <w:pPr>
        <w:spacing w:after="0"/>
        <w:ind w:left="0"/>
        <w:jc w:val="both"/>
      </w:pPr>
      <w:r>
        <w:rPr>
          <w:rFonts w:ascii="Times New Roman"/>
          <w:b w:val="false"/>
          <w:i w:val="false"/>
          <w:color w:val="000000"/>
          <w:sz w:val="28"/>
        </w:rPr>
        <w:t>
      В целях определения типа конструкций между смежными помещениями последние подразделяются в зависимости от их пожарной опасности на следующие категории:</w:t>
      </w:r>
    </w:p>
    <w:bookmarkEnd w:id="6731"/>
    <w:bookmarkStart w:name="z6743" w:id="6732"/>
    <w:p>
      <w:pPr>
        <w:spacing w:after="0"/>
        <w:ind w:left="0"/>
        <w:jc w:val="both"/>
      </w:pPr>
      <w:r>
        <w:rPr>
          <w:rFonts w:ascii="Times New Roman"/>
          <w:b w:val="false"/>
          <w:i w:val="false"/>
          <w:color w:val="000000"/>
          <w:sz w:val="28"/>
        </w:rPr>
        <w:t>
      1) посты управления: помещения, в которых расположены аварийные источники электроэнергии и освещения; рулевая и штурманская рубки; помещения, в которых расположено судовое радиооборудование; пожарные посты; центральный пост управления главными механизмами, если он находится за пределами помещения, в котором расположены эти механизмы; помещения, в которых расположена централизованная система оповещения о пожаре; помещения, в которых расположены центральные посты и оборудование аварийной громкоговорящей связи;</w:t>
      </w:r>
    </w:p>
    <w:bookmarkEnd w:id="6732"/>
    <w:bookmarkStart w:name="z6744" w:id="6733"/>
    <w:p>
      <w:pPr>
        <w:spacing w:after="0"/>
        <w:ind w:left="0"/>
        <w:jc w:val="both"/>
      </w:pPr>
      <w:r>
        <w:rPr>
          <w:rFonts w:ascii="Times New Roman"/>
          <w:b w:val="false"/>
          <w:i w:val="false"/>
          <w:color w:val="000000"/>
          <w:sz w:val="28"/>
        </w:rPr>
        <w:t>
      2) междупалубные сообщения — внутренние трапы, лифты, полностью выгороженные шахты для эвакуации и эскалаторы для пассажиров и экипажа (за исключением тех, которые полностью находятся в машинных помещениях) и их выгородки.</w:t>
      </w:r>
    </w:p>
    <w:bookmarkEnd w:id="6733"/>
    <w:bookmarkStart w:name="z6745" w:id="6734"/>
    <w:p>
      <w:pPr>
        <w:spacing w:after="0"/>
        <w:ind w:left="0"/>
        <w:jc w:val="both"/>
      </w:pPr>
      <w:r>
        <w:rPr>
          <w:rFonts w:ascii="Times New Roman"/>
          <w:b w:val="false"/>
          <w:i w:val="false"/>
          <w:color w:val="000000"/>
          <w:sz w:val="28"/>
        </w:rPr>
        <w:t>
      Трап, выгороженный в одном междупалубном пространстве, рассматривается как часть помещения, от которого он не отделен противопожарной дверью.</w:t>
      </w:r>
    </w:p>
    <w:bookmarkEnd w:id="6734"/>
    <w:bookmarkStart w:name="z6746" w:id="6735"/>
    <w:p>
      <w:pPr>
        <w:spacing w:after="0"/>
        <w:ind w:left="0"/>
        <w:jc w:val="both"/>
      </w:pPr>
      <w:r>
        <w:rPr>
          <w:rFonts w:ascii="Times New Roman"/>
          <w:b w:val="false"/>
          <w:i w:val="false"/>
          <w:color w:val="000000"/>
          <w:sz w:val="28"/>
        </w:rPr>
        <w:t>
      3) коридоры: коридоры и вестибюли для пассажиров и экипажа.</w:t>
      </w:r>
    </w:p>
    <w:bookmarkEnd w:id="6735"/>
    <w:bookmarkStart w:name="z6747" w:id="6736"/>
    <w:p>
      <w:pPr>
        <w:spacing w:after="0"/>
        <w:ind w:left="0"/>
        <w:jc w:val="both"/>
      </w:pPr>
      <w:r>
        <w:rPr>
          <w:rFonts w:ascii="Times New Roman"/>
          <w:b w:val="false"/>
          <w:i w:val="false"/>
          <w:color w:val="000000"/>
          <w:sz w:val="28"/>
        </w:rPr>
        <w:t>
      4) места эвакуации и внешние пути эвакуации; места размещения спасательных шлюпок и плотов; открытые участки палуб и закрытые прогулочные палубы, образующие места посадки в спасательные шлюпки и плоты и места их спуска; внешние и внутренние места сбора; внешние трапы и открытые палубы, используемые как пути эвакуации; борт судна до ватерлинии, соответствующий наименьшей эксплуатационной осадке, борта надстройки и рубки, расположенные ниже районов мест посадки в спасательные плоты и слипов для эвакуации, и примыкающие к ним районы.</w:t>
      </w:r>
    </w:p>
    <w:bookmarkEnd w:id="6736"/>
    <w:bookmarkStart w:name="z6748" w:id="6737"/>
    <w:p>
      <w:pPr>
        <w:spacing w:after="0"/>
        <w:ind w:left="0"/>
        <w:jc w:val="both"/>
      </w:pPr>
      <w:r>
        <w:rPr>
          <w:rFonts w:ascii="Times New Roman"/>
          <w:b w:val="false"/>
          <w:i w:val="false"/>
          <w:color w:val="000000"/>
          <w:sz w:val="28"/>
        </w:rPr>
        <w:t>
      5) открытые участки палуб:</w:t>
      </w:r>
    </w:p>
    <w:bookmarkEnd w:id="6737"/>
    <w:bookmarkStart w:name="z6749" w:id="6738"/>
    <w:p>
      <w:pPr>
        <w:spacing w:after="0"/>
        <w:ind w:left="0"/>
        <w:jc w:val="both"/>
      </w:pPr>
      <w:r>
        <w:rPr>
          <w:rFonts w:ascii="Times New Roman"/>
          <w:b w:val="false"/>
          <w:i w:val="false"/>
          <w:color w:val="000000"/>
          <w:sz w:val="28"/>
        </w:rPr>
        <w:t>
      открытые участки палуб и закрытые прогулочные палубы, на которых нет мест посадки в спасательные шлюпки и плоты и нет устройств для их спуска. Чтобы относиться к этой категории, выгороженные прогулочные палубы не представляют пожарной опасности. Это означает, что меблировка ограничивается палубной мебелью. Кроме того, такие места имеют естественную вентиляцию посредством постоянных отверстий;</w:t>
      </w:r>
    </w:p>
    <w:bookmarkEnd w:id="6738"/>
    <w:bookmarkStart w:name="z6750" w:id="6739"/>
    <w:p>
      <w:pPr>
        <w:spacing w:after="0"/>
        <w:ind w:left="0"/>
        <w:jc w:val="both"/>
      </w:pPr>
      <w:r>
        <w:rPr>
          <w:rFonts w:ascii="Times New Roman"/>
          <w:b w:val="false"/>
          <w:i w:val="false"/>
          <w:color w:val="000000"/>
          <w:sz w:val="28"/>
        </w:rPr>
        <w:t>
      открытые пространства (пространства вне надстроек и рубок).</w:t>
      </w:r>
    </w:p>
    <w:bookmarkEnd w:id="6739"/>
    <w:bookmarkStart w:name="z6751" w:id="6740"/>
    <w:p>
      <w:pPr>
        <w:spacing w:after="0"/>
        <w:ind w:left="0"/>
        <w:jc w:val="both"/>
      </w:pPr>
      <w:r>
        <w:rPr>
          <w:rFonts w:ascii="Times New Roman"/>
          <w:b w:val="false"/>
          <w:i w:val="false"/>
          <w:color w:val="000000"/>
          <w:sz w:val="28"/>
        </w:rPr>
        <w:t>
      6) жилые помещения малой пожароопасности — каюты, кабинеты, амбулатории и общественные помещения (с площадью палубы менее 50 м</w:t>
      </w:r>
      <w:r>
        <w:rPr>
          <w:rFonts w:ascii="Times New Roman"/>
          <w:b w:val="false"/>
          <w:i w:val="false"/>
          <w:color w:val="000000"/>
          <w:vertAlign w:val="superscript"/>
        </w:rPr>
        <w:t>2</w:t>
      </w:r>
      <w:r>
        <w:rPr>
          <w:rFonts w:ascii="Times New Roman"/>
          <w:b w:val="false"/>
          <w:i w:val="false"/>
          <w:color w:val="000000"/>
          <w:sz w:val="28"/>
        </w:rPr>
        <w:t>) с мебелью и отделкой ограниченной пожарной опасности (пункт 6 настоящих Правил).</w:t>
      </w:r>
    </w:p>
    <w:bookmarkEnd w:id="6740"/>
    <w:bookmarkStart w:name="z6752" w:id="6741"/>
    <w:p>
      <w:pPr>
        <w:spacing w:after="0"/>
        <w:ind w:left="0"/>
        <w:jc w:val="both"/>
      </w:pPr>
      <w:r>
        <w:rPr>
          <w:rFonts w:ascii="Times New Roman"/>
          <w:b w:val="false"/>
          <w:i w:val="false"/>
          <w:color w:val="000000"/>
          <w:sz w:val="28"/>
        </w:rPr>
        <w:t>
      7) жилые помещения умеренной пожароопасности:</w:t>
      </w:r>
    </w:p>
    <w:bookmarkEnd w:id="6741"/>
    <w:bookmarkStart w:name="z6753" w:id="6742"/>
    <w:p>
      <w:pPr>
        <w:spacing w:after="0"/>
        <w:ind w:left="0"/>
        <w:jc w:val="both"/>
      </w:pPr>
      <w:r>
        <w:rPr>
          <w:rFonts w:ascii="Times New Roman"/>
          <w:b w:val="false"/>
          <w:i w:val="false"/>
          <w:color w:val="000000"/>
          <w:sz w:val="28"/>
        </w:rPr>
        <w:t>
      жилые помещения, перечисленные в категории 6) настоящего пункта, с мебелью и отделкой иной, чем с ограниченной пожарной опасностью;</w:t>
      </w:r>
    </w:p>
    <w:bookmarkEnd w:id="6742"/>
    <w:bookmarkStart w:name="z6754" w:id="6743"/>
    <w:p>
      <w:pPr>
        <w:spacing w:after="0"/>
        <w:ind w:left="0"/>
        <w:jc w:val="both"/>
      </w:pPr>
      <w:r>
        <w:rPr>
          <w:rFonts w:ascii="Times New Roman"/>
          <w:b w:val="false"/>
          <w:i w:val="false"/>
          <w:color w:val="000000"/>
          <w:sz w:val="28"/>
        </w:rPr>
        <w:t>
      общественные помещения с мебелью и отделкой ограниченной пожарной опасности, имеющие площадь палубы 50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6743"/>
    <w:bookmarkStart w:name="z6755" w:id="6744"/>
    <w:p>
      <w:pPr>
        <w:spacing w:after="0"/>
        <w:ind w:left="0"/>
        <w:jc w:val="both"/>
      </w:pPr>
      <w:r>
        <w:rPr>
          <w:rFonts w:ascii="Times New Roman"/>
          <w:b w:val="false"/>
          <w:i w:val="false"/>
          <w:color w:val="000000"/>
          <w:sz w:val="28"/>
        </w:rPr>
        <w:t>
      отдельные шкафы и небольшие кладовые в жилых помещениях площадью менее 4 м</w:t>
      </w:r>
      <w:r>
        <w:rPr>
          <w:rFonts w:ascii="Times New Roman"/>
          <w:b w:val="false"/>
          <w:i w:val="false"/>
          <w:color w:val="000000"/>
          <w:vertAlign w:val="superscript"/>
        </w:rPr>
        <w:t>2</w:t>
      </w:r>
      <w:r>
        <w:rPr>
          <w:rFonts w:ascii="Times New Roman"/>
          <w:b w:val="false"/>
          <w:i w:val="false"/>
          <w:color w:val="000000"/>
          <w:sz w:val="28"/>
        </w:rPr>
        <w:t xml:space="preserve"> (в которых не хранятся воспламеняющиеся жидкости), киоски;</w:t>
      </w:r>
    </w:p>
    <w:bookmarkEnd w:id="6744"/>
    <w:bookmarkStart w:name="z6756" w:id="6745"/>
    <w:p>
      <w:pPr>
        <w:spacing w:after="0"/>
        <w:ind w:left="0"/>
        <w:jc w:val="both"/>
      </w:pPr>
      <w:r>
        <w:rPr>
          <w:rFonts w:ascii="Times New Roman"/>
          <w:b w:val="false"/>
          <w:i w:val="false"/>
          <w:color w:val="000000"/>
          <w:sz w:val="28"/>
        </w:rPr>
        <w:t>
      Переборки, которые не ограничивают главные вертикальные и горизонтальные зоны киоски;</w:t>
      </w:r>
    </w:p>
    <w:bookmarkEnd w:id="6745"/>
    <w:bookmarkStart w:name="z6757" w:id="6746"/>
    <w:p>
      <w:pPr>
        <w:spacing w:after="0"/>
        <w:ind w:left="0"/>
        <w:jc w:val="both"/>
      </w:pPr>
      <w:r>
        <w:rPr>
          <w:rFonts w:ascii="Times New Roman"/>
          <w:b w:val="false"/>
          <w:i w:val="false"/>
          <w:color w:val="000000"/>
          <w:sz w:val="28"/>
        </w:rPr>
        <w:t>
      шкафы для уборочного инвентаря, лаборатории (в которых не хранятся воспламеняющиеся жидкости);</w:t>
      </w:r>
    </w:p>
    <w:bookmarkEnd w:id="6746"/>
    <w:bookmarkStart w:name="z6758" w:id="6747"/>
    <w:p>
      <w:pPr>
        <w:spacing w:after="0"/>
        <w:ind w:left="0"/>
        <w:jc w:val="both"/>
      </w:pPr>
      <w:r>
        <w:rPr>
          <w:rFonts w:ascii="Times New Roman"/>
          <w:b w:val="false"/>
          <w:i w:val="false"/>
          <w:color w:val="000000"/>
          <w:sz w:val="28"/>
        </w:rPr>
        <w:t>
      сушильные помещения (с площадью палубы 4 м</w:t>
      </w:r>
      <w:r>
        <w:rPr>
          <w:rFonts w:ascii="Times New Roman"/>
          <w:b w:val="false"/>
          <w:i w:val="false"/>
          <w:color w:val="000000"/>
          <w:vertAlign w:val="superscript"/>
        </w:rPr>
        <w:t>2</w:t>
      </w:r>
      <w:r>
        <w:rPr>
          <w:rFonts w:ascii="Times New Roman"/>
          <w:b w:val="false"/>
          <w:i w:val="false"/>
          <w:color w:val="000000"/>
          <w:sz w:val="28"/>
        </w:rPr>
        <w:t xml:space="preserve"> и менее); диетические кухни (в которых не применяется открытое пламя);</w:t>
      </w:r>
    </w:p>
    <w:bookmarkEnd w:id="6747"/>
    <w:bookmarkStart w:name="z6759" w:id="6748"/>
    <w:p>
      <w:pPr>
        <w:spacing w:after="0"/>
        <w:ind w:left="0"/>
        <w:jc w:val="both"/>
      </w:pPr>
      <w:r>
        <w:rPr>
          <w:rFonts w:ascii="Times New Roman"/>
          <w:b w:val="false"/>
          <w:i w:val="false"/>
          <w:color w:val="000000"/>
          <w:sz w:val="28"/>
        </w:rPr>
        <w:t>
      кладовые ценностей;</w:t>
      </w:r>
    </w:p>
    <w:bookmarkEnd w:id="6748"/>
    <w:bookmarkStart w:name="z6760" w:id="6749"/>
    <w:p>
      <w:pPr>
        <w:spacing w:after="0"/>
        <w:ind w:left="0"/>
        <w:jc w:val="both"/>
      </w:pPr>
      <w:r>
        <w:rPr>
          <w:rFonts w:ascii="Times New Roman"/>
          <w:b w:val="false"/>
          <w:i w:val="false"/>
          <w:color w:val="000000"/>
          <w:sz w:val="28"/>
        </w:rPr>
        <w:t>
      кинобудки и помещения кинолент;</w:t>
      </w:r>
    </w:p>
    <w:bookmarkEnd w:id="6749"/>
    <w:bookmarkStart w:name="z6761" w:id="6750"/>
    <w:p>
      <w:pPr>
        <w:spacing w:after="0"/>
        <w:ind w:left="0"/>
        <w:jc w:val="both"/>
      </w:pPr>
      <w:r>
        <w:rPr>
          <w:rFonts w:ascii="Times New Roman"/>
          <w:b w:val="false"/>
          <w:i w:val="false"/>
          <w:color w:val="000000"/>
          <w:sz w:val="28"/>
        </w:rPr>
        <w:t>
      аптеки;</w:t>
      </w:r>
    </w:p>
    <w:bookmarkEnd w:id="6750"/>
    <w:bookmarkStart w:name="z6762" w:id="6751"/>
    <w:p>
      <w:pPr>
        <w:spacing w:after="0"/>
        <w:ind w:left="0"/>
        <w:jc w:val="both"/>
      </w:pPr>
      <w:r>
        <w:rPr>
          <w:rFonts w:ascii="Times New Roman"/>
          <w:b w:val="false"/>
          <w:i w:val="false"/>
          <w:color w:val="000000"/>
          <w:sz w:val="28"/>
        </w:rPr>
        <w:t>
      операционные.</w:t>
      </w:r>
    </w:p>
    <w:bookmarkEnd w:id="6751"/>
    <w:bookmarkStart w:name="z6763" w:id="6752"/>
    <w:p>
      <w:pPr>
        <w:spacing w:after="0"/>
        <w:ind w:left="0"/>
        <w:jc w:val="both"/>
      </w:pPr>
      <w:r>
        <w:rPr>
          <w:rFonts w:ascii="Times New Roman"/>
          <w:b w:val="false"/>
          <w:i w:val="false"/>
          <w:color w:val="000000"/>
          <w:sz w:val="28"/>
        </w:rPr>
        <w:t>
      помещения, содержащие электрические распредельные щиты, площадью менее 4 м</w:t>
      </w:r>
      <w:r>
        <w:rPr>
          <w:rFonts w:ascii="Times New Roman"/>
          <w:b w:val="false"/>
          <w:i w:val="false"/>
          <w:color w:val="000000"/>
          <w:vertAlign w:val="superscript"/>
        </w:rPr>
        <w:t>2</w:t>
      </w:r>
      <w:r>
        <w:rPr>
          <w:rFonts w:ascii="Times New Roman"/>
          <w:b w:val="false"/>
          <w:i w:val="false"/>
          <w:color w:val="000000"/>
          <w:sz w:val="28"/>
        </w:rPr>
        <w:t>;</w:t>
      </w:r>
    </w:p>
    <w:bookmarkEnd w:id="6752"/>
    <w:bookmarkStart w:name="z6764" w:id="6753"/>
    <w:p>
      <w:pPr>
        <w:spacing w:after="0"/>
        <w:ind w:left="0"/>
        <w:jc w:val="both"/>
      </w:pPr>
      <w:r>
        <w:rPr>
          <w:rFonts w:ascii="Times New Roman"/>
          <w:b w:val="false"/>
          <w:i w:val="false"/>
          <w:color w:val="000000"/>
          <w:sz w:val="28"/>
        </w:rPr>
        <w:t>
      8) жилые помещения повышенной пожароопасности:</w:t>
      </w:r>
    </w:p>
    <w:bookmarkEnd w:id="6753"/>
    <w:bookmarkStart w:name="z6765" w:id="6754"/>
    <w:p>
      <w:pPr>
        <w:spacing w:after="0"/>
        <w:ind w:left="0"/>
        <w:jc w:val="both"/>
      </w:pPr>
      <w:r>
        <w:rPr>
          <w:rFonts w:ascii="Times New Roman"/>
          <w:b w:val="false"/>
          <w:i w:val="false"/>
          <w:color w:val="000000"/>
          <w:sz w:val="28"/>
        </w:rPr>
        <w:t>
      общественные помещения с мебелью и отделкой иной, чем с ограниченной пожарной опасностью, имеющие площадь палубы 50 м</w:t>
      </w:r>
      <w:r>
        <w:rPr>
          <w:rFonts w:ascii="Times New Roman"/>
          <w:b w:val="false"/>
          <w:i w:val="false"/>
          <w:color w:val="000000"/>
          <w:vertAlign w:val="superscript"/>
        </w:rPr>
        <w:t>2</w:t>
      </w:r>
      <w:r>
        <w:rPr>
          <w:rFonts w:ascii="Times New Roman"/>
          <w:b w:val="false"/>
          <w:i w:val="false"/>
          <w:color w:val="000000"/>
          <w:sz w:val="28"/>
        </w:rPr>
        <w:t xml:space="preserve"> и более;</w:t>
      </w:r>
    </w:p>
    <w:bookmarkEnd w:id="6754"/>
    <w:bookmarkStart w:name="z6766" w:id="6755"/>
    <w:p>
      <w:pPr>
        <w:spacing w:after="0"/>
        <w:ind w:left="0"/>
        <w:jc w:val="both"/>
      </w:pPr>
      <w:r>
        <w:rPr>
          <w:rFonts w:ascii="Times New Roman"/>
          <w:b w:val="false"/>
          <w:i w:val="false"/>
          <w:color w:val="000000"/>
          <w:sz w:val="28"/>
        </w:rPr>
        <w:t>
      парикмахерские и косметические салоны, сауны;</w:t>
      </w:r>
    </w:p>
    <w:bookmarkEnd w:id="6755"/>
    <w:bookmarkStart w:name="z6767" w:id="6756"/>
    <w:p>
      <w:pPr>
        <w:spacing w:after="0"/>
        <w:ind w:left="0"/>
        <w:jc w:val="both"/>
      </w:pPr>
      <w:r>
        <w:rPr>
          <w:rFonts w:ascii="Times New Roman"/>
          <w:b w:val="false"/>
          <w:i w:val="false"/>
          <w:color w:val="000000"/>
          <w:sz w:val="28"/>
        </w:rPr>
        <w:t>
      9) санитарные и подобные им помещения:</w:t>
      </w:r>
    </w:p>
    <w:bookmarkEnd w:id="6756"/>
    <w:bookmarkStart w:name="z6768" w:id="6757"/>
    <w:p>
      <w:pPr>
        <w:spacing w:after="0"/>
        <w:ind w:left="0"/>
        <w:jc w:val="both"/>
      </w:pPr>
      <w:r>
        <w:rPr>
          <w:rFonts w:ascii="Times New Roman"/>
          <w:b w:val="false"/>
          <w:i w:val="false"/>
          <w:color w:val="000000"/>
          <w:sz w:val="28"/>
        </w:rPr>
        <w:t>
      общественные санитарные помещения, душевые, ванные, туалеты;</w:t>
      </w:r>
    </w:p>
    <w:bookmarkEnd w:id="6757"/>
    <w:bookmarkStart w:name="z6769" w:id="6758"/>
    <w:p>
      <w:pPr>
        <w:spacing w:after="0"/>
        <w:ind w:left="0"/>
        <w:jc w:val="both"/>
      </w:pPr>
      <w:r>
        <w:rPr>
          <w:rFonts w:ascii="Times New Roman"/>
          <w:b w:val="false"/>
          <w:i w:val="false"/>
          <w:color w:val="000000"/>
          <w:sz w:val="28"/>
        </w:rPr>
        <w:t>
      небольшие прачечные;</w:t>
      </w:r>
    </w:p>
    <w:bookmarkEnd w:id="6758"/>
    <w:bookmarkStart w:name="z6770" w:id="6759"/>
    <w:p>
      <w:pPr>
        <w:spacing w:after="0"/>
        <w:ind w:left="0"/>
        <w:jc w:val="both"/>
      </w:pPr>
      <w:r>
        <w:rPr>
          <w:rFonts w:ascii="Times New Roman"/>
          <w:b w:val="false"/>
          <w:i w:val="false"/>
          <w:color w:val="000000"/>
          <w:sz w:val="28"/>
        </w:rPr>
        <w:t>
      закрытые плавательные бассейны;</w:t>
      </w:r>
    </w:p>
    <w:bookmarkEnd w:id="6759"/>
    <w:bookmarkStart w:name="z6771" w:id="6760"/>
    <w:p>
      <w:pPr>
        <w:spacing w:after="0"/>
        <w:ind w:left="0"/>
        <w:jc w:val="both"/>
      </w:pPr>
      <w:r>
        <w:rPr>
          <w:rFonts w:ascii="Times New Roman"/>
          <w:b w:val="false"/>
          <w:i w:val="false"/>
          <w:color w:val="000000"/>
          <w:sz w:val="28"/>
        </w:rPr>
        <w:t>
      отдельные буфетные в жилых помещениях, не содержащие оборудования для приготовления пищи.</w:t>
      </w:r>
    </w:p>
    <w:bookmarkEnd w:id="6760"/>
    <w:bookmarkStart w:name="z6772" w:id="6761"/>
    <w:p>
      <w:pPr>
        <w:spacing w:after="0"/>
        <w:ind w:left="0"/>
        <w:jc w:val="both"/>
      </w:pPr>
      <w:r>
        <w:rPr>
          <w:rFonts w:ascii="Times New Roman"/>
          <w:b w:val="false"/>
          <w:i w:val="false"/>
          <w:color w:val="000000"/>
          <w:sz w:val="28"/>
        </w:rPr>
        <w:t>
      Индивидуальные санитарные помещение рассматриваются как часть того помещения, в котором они расположены;</w:t>
      </w:r>
    </w:p>
    <w:bookmarkEnd w:id="6761"/>
    <w:bookmarkStart w:name="z6773" w:id="6762"/>
    <w:p>
      <w:pPr>
        <w:spacing w:after="0"/>
        <w:ind w:left="0"/>
        <w:jc w:val="both"/>
      </w:pPr>
      <w:r>
        <w:rPr>
          <w:rFonts w:ascii="Times New Roman"/>
          <w:b w:val="false"/>
          <w:i w:val="false"/>
          <w:color w:val="000000"/>
          <w:sz w:val="28"/>
        </w:rPr>
        <w:t>
      10) цистерны, пустые пространства и помещения вспомогательных механизмов, обладающие низкой пожарной опасностью или вообще непожароопасные:</w:t>
      </w:r>
    </w:p>
    <w:bookmarkEnd w:id="6762"/>
    <w:bookmarkStart w:name="z6774" w:id="6763"/>
    <w:p>
      <w:pPr>
        <w:spacing w:after="0"/>
        <w:ind w:left="0"/>
        <w:jc w:val="both"/>
      </w:pPr>
      <w:r>
        <w:rPr>
          <w:rFonts w:ascii="Times New Roman"/>
          <w:b w:val="false"/>
          <w:i w:val="false"/>
          <w:color w:val="000000"/>
          <w:sz w:val="28"/>
        </w:rPr>
        <w:t>
      встроенные водяные цистерны;</w:t>
      </w:r>
    </w:p>
    <w:bookmarkEnd w:id="6763"/>
    <w:bookmarkStart w:name="z6775" w:id="6764"/>
    <w:p>
      <w:pPr>
        <w:spacing w:after="0"/>
        <w:ind w:left="0"/>
        <w:jc w:val="both"/>
      </w:pPr>
      <w:r>
        <w:rPr>
          <w:rFonts w:ascii="Times New Roman"/>
          <w:b w:val="false"/>
          <w:i w:val="false"/>
          <w:color w:val="000000"/>
          <w:sz w:val="28"/>
        </w:rPr>
        <w:t>
      пустые пространства и коффердамы;</w:t>
      </w:r>
    </w:p>
    <w:bookmarkEnd w:id="6764"/>
    <w:bookmarkStart w:name="z6776" w:id="6765"/>
    <w:p>
      <w:pPr>
        <w:spacing w:after="0"/>
        <w:ind w:left="0"/>
        <w:jc w:val="both"/>
      </w:pPr>
      <w:r>
        <w:rPr>
          <w:rFonts w:ascii="Times New Roman"/>
          <w:b w:val="false"/>
          <w:i w:val="false"/>
          <w:color w:val="000000"/>
          <w:sz w:val="28"/>
        </w:rPr>
        <w:t>
      помещения вспомогательных механизмов, в которых нет механизмов с системой смазки под давлением и в которых запрещено хранение горючих веществ. К таким помещениям относятся:</w:t>
      </w:r>
    </w:p>
    <w:bookmarkEnd w:id="6765"/>
    <w:bookmarkStart w:name="z6777" w:id="6766"/>
    <w:p>
      <w:pPr>
        <w:spacing w:after="0"/>
        <w:ind w:left="0"/>
        <w:jc w:val="both"/>
      </w:pPr>
      <w:r>
        <w:rPr>
          <w:rFonts w:ascii="Times New Roman"/>
          <w:b w:val="false"/>
          <w:i w:val="false"/>
          <w:color w:val="000000"/>
          <w:sz w:val="28"/>
        </w:rPr>
        <w:t>
      помещения оборудования вентиляции и кондиционирования воздуха; помещение брашпиля;</w:t>
      </w:r>
    </w:p>
    <w:bookmarkEnd w:id="6766"/>
    <w:bookmarkStart w:name="z6778" w:id="6767"/>
    <w:p>
      <w:pPr>
        <w:spacing w:after="0"/>
        <w:ind w:left="0"/>
        <w:jc w:val="both"/>
      </w:pPr>
      <w:r>
        <w:rPr>
          <w:rFonts w:ascii="Times New Roman"/>
          <w:b w:val="false"/>
          <w:i w:val="false"/>
          <w:color w:val="000000"/>
          <w:sz w:val="28"/>
        </w:rPr>
        <w:t>
      румпельное отделение; помещения оборудования успокоителей качки; отделения гребных электродвигателей;</w:t>
      </w:r>
    </w:p>
    <w:bookmarkEnd w:id="6767"/>
    <w:bookmarkStart w:name="z6779" w:id="6768"/>
    <w:p>
      <w:pPr>
        <w:spacing w:after="0"/>
        <w:ind w:left="0"/>
        <w:jc w:val="both"/>
      </w:pPr>
      <w:r>
        <w:rPr>
          <w:rFonts w:ascii="Times New Roman"/>
          <w:b w:val="false"/>
          <w:i w:val="false"/>
          <w:color w:val="000000"/>
          <w:sz w:val="28"/>
        </w:rPr>
        <w:t>
      помещения с секционными электрическими щитами и с электрическим оборудованием, кроме масляных трансформаторов (мощностью свыше 10 кВа); туннели гребных валов и туннели для трубопроводов;</w:t>
      </w:r>
    </w:p>
    <w:bookmarkEnd w:id="6768"/>
    <w:bookmarkStart w:name="z6780" w:id="6769"/>
    <w:p>
      <w:pPr>
        <w:spacing w:after="0"/>
        <w:ind w:left="0"/>
        <w:jc w:val="both"/>
      </w:pPr>
      <w:r>
        <w:rPr>
          <w:rFonts w:ascii="Times New Roman"/>
          <w:b w:val="false"/>
          <w:i w:val="false"/>
          <w:color w:val="000000"/>
          <w:sz w:val="28"/>
        </w:rPr>
        <w:t>
      помещения для насосов (которые не перекачивают и не применяют воспламеняющихся жидкостей) и холодильных установок;</w:t>
      </w:r>
    </w:p>
    <w:bookmarkEnd w:id="6769"/>
    <w:bookmarkStart w:name="z6781" w:id="6770"/>
    <w:p>
      <w:pPr>
        <w:spacing w:after="0"/>
        <w:ind w:left="0"/>
        <w:jc w:val="both"/>
      </w:pPr>
      <w:r>
        <w:rPr>
          <w:rFonts w:ascii="Times New Roman"/>
          <w:b w:val="false"/>
          <w:i w:val="false"/>
          <w:color w:val="000000"/>
          <w:sz w:val="28"/>
        </w:rPr>
        <w:t>
      закрытые шахты, обслуживающие вышеупомянутые помещения;</w:t>
      </w:r>
    </w:p>
    <w:bookmarkEnd w:id="6770"/>
    <w:bookmarkStart w:name="z6782" w:id="6771"/>
    <w:p>
      <w:pPr>
        <w:spacing w:after="0"/>
        <w:ind w:left="0"/>
        <w:jc w:val="both"/>
      </w:pPr>
      <w:r>
        <w:rPr>
          <w:rFonts w:ascii="Times New Roman"/>
          <w:b w:val="false"/>
          <w:i w:val="false"/>
          <w:color w:val="000000"/>
          <w:sz w:val="28"/>
        </w:rPr>
        <w:t>
      другие закрытые шахты: такие, как шахты для труб и кабелей;</w:t>
      </w:r>
    </w:p>
    <w:bookmarkEnd w:id="6771"/>
    <w:bookmarkStart w:name="z6783" w:id="6772"/>
    <w:p>
      <w:pPr>
        <w:spacing w:after="0"/>
        <w:ind w:left="0"/>
        <w:jc w:val="both"/>
      </w:pPr>
      <w:r>
        <w:rPr>
          <w:rFonts w:ascii="Times New Roman"/>
          <w:b w:val="false"/>
          <w:i w:val="false"/>
          <w:color w:val="000000"/>
          <w:sz w:val="28"/>
        </w:rPr>
        <w:t>
      11) помещения вспомогательных механизмов, грузовые помещения, грузовые и другие цистерны для нефтепродуктов и другие подобные помещения с умеренной пожарной опасностью:</w:t>
      </w:r>
    </w:p>
    <w:bookmarkEnd w:id="6772"/>
    <w:bookmarkStart w:name="z6784" w:id="6773"/>
    <w:p>
      <w:pPr>
        <w:spacing w:after="0"/>
        <w:ind w:left="0"/>
        <w:jc w:val="both"/>
      </w:pPr>
      <w:r>
        <w:rPr>
          <w:rFonts w:ascii="Times New Roman"/>
          <w:b w:val="false"/>
          <w:i w:val="false"/>
          <w:color w:val="000000"/>
          <w:sz w:val="28"/>
        </w:rPr>
        <w:t>
      грузовые нефтеналивные танки;</w:t>
      </w:r>
    </w:p>
    <w:bookmarkEnd w:id="6773"/>
    <w:bookmarkStart w:name="z6785" w:id="6774"/>
    <w:p>
      <w:pPr>
        <w:spacing w:after="0"/>
        <w:ind w:left="0"/>
        <w:jc w:val="both"/>
      </w:pPr>
      <w:r>
        <w:rPr>
          <w:rFonts w:ascii="Times New Roman"/>
          <w:b w:val="false"/>
          <w:i w:val="false"/>
          <w:color w:val="000000"/>
          <w:sz w:val="28"/>
        </w:rPr>
        <w:t>
      грузовые трюмы, шахты и люки;</w:t>
      </w:r>
    </w:p>
    <w:bookmarkEnd w:id="6774"/>
    <w:bookmarkStart w:name="z6786" w:id="6775"/>
    <w:p>
      <w:pPr>
        <w:spacing w:after="0"/>
        <w:ind w:left="0"/>
        <w:jc w:val="both"/>
      </w:pPr>
      <w:r>
        <w:rPr>
          <w:rFonts w:ascii="Times New Roman"/>
          <w:b w:val="false"/>
          <w:i w:val="false"/>
          <w:color w:val="000000"/>
          <w:sz w:val="28"/>
        </w:rPr>
        <w:t>
      холодильные камеры;</w:t>
      </w:r>
    </w:p>
    <w:bookmarkEnd w:id="6775"/>
    <w:bookmarkStart w:name="z6787" w:id="6776"/>
    <w:p>
      <w:pPr>
        <w:spacing w:after="0"/>
        <w:ind w:left="0"/>
        <w:jc w:val="both"/>
      </w:pPr>
      <w:r>
        <w:rPr>
          <w:rFonts w:ascii="Times New Roman"/>
          <w:b w:val="false"/>
          <w:i w:val="false"/>
          <w:color w:val="000000"/>
          <w:sz w:val="28"/>
        </w:rPr>
        <w:t>
      цистерны жидкого топлива (установленные в отдельных помещениях, в которых нет механизмов);</w:t>
      </w:r>
    </w:p>
    <w:bookmarkEnd w:id="6776"/>
    <w:bookmarkStart w:name="z6788" w:id="6777"/>
    <w:p>
      <w:pPr>
        <w:spacing w:after="0"/>
        <w:ind w:left="0"/>
        <w:jc w:val="both"/>
      </w:pPr>
      <w:r>
        <w:rPr>
          <w:rFonts w:ascii="Times New Roman"/>
          <w:b w:val="false"/>
          <w:i w:val="false"/>
          <w:color w:val="000000"/>
          <w:sz w:val="28"/>
        </w:rPr>
        <w:t>
      туннели гребных валов и туннели для трубопроводов, в которых допускается хранить горючие вещества;</w:t>
      </w:r>
    </w:p>
    <w:bookmarkEnd w:id="6777"/>
    <w:bookmarkStart w:name="z6789" w:id="6778"/>
    <w:p>
      <w:pPr>
        <w:spacing w:after="0"/>
        <w:ind w:left="0"/>
        <w:jc w:val="both"/>
      </w:pPr>
      <w:r>
        <w:rPr>
          <w:rFonts w:ascii="Times New Roman"/>
          <w:b w:val="false"/>
          <w:i w:val="false"/>
          <w:color w:val="000000"/>
          <w:sz w:val="28"/>
        </w:rPr>
        <w:t>
      помещения вспомогательных механизмов, перечисленные в категории указанной в подпункте 10) настоящего пункта, в которых установлены механизмы, имеющие систему смазки под давлением, или в которых разрешается хранить горючие вещества;</w:t>
      </w:r>
    </w:p>
    <w:bookmarkEnd w:id="6778"/>
    <w:bookmarkStart w:name="z6790" w:id="6779"/>
    <w:p>
      <w:pPr>
        <w:spacing w:after="0"/>
        <w:ind w:left="0"/>
        <w:jc w:val="both"/>
      </w:pPr>
      <w:r>
        <w:rPr>
          <w:rFonts w:ascii="Times New Roman"/>
          <w:b w:val="false"/>
          <w:i w:val="false"/>
          <w:color w:val="000000"/>
          <w:sz w:val="28"/>
        </w:rPr>
        <w:t>
      станции приема топлива;</w:t>
      </w:r>
    </w:p>
    <w:bookmarkEnd w:id="6779"/>
    <w:bookmarkStart w:name="z6791" w:id="6780"/>
    <w:p>
      <w:pPr>
        <w:spacing w:after="0"/>
        <w:ind w:left="0"/>
        <w:jc w:val="both"/>
      </w:pPr>
      <w:r>
        <w:rPr>
          <w:rFonts w:ascii="Times New Roman"/>
          <w:b w:val="false"/>
          <w:i w:val="false"/>
          <w:color w:val="000000"/>
          <w:sz w:val="28"/>
        </w:rPr>
        <w:t>
      помещения, которые имеют турбины и поршневые паровые машины, приводящие вспомогательные генераторы и небольшие двигатели внутреннего сгорания мощностью до 110 кВт, приводящие генераторы, насосы для спринклеров, орошения или пожарные, осушительные насосы;</w:t>
      </w:r>
    </w:p>
    <w:bookmarkEnd w:id="6780"/>
    <w:bookmarkStart w:name="z6792" w:id="6781"/>
    <w:p>
      <w:pPr>
        <w:spacing w:after="0"/>
        <w:ind w:left="0"/>
        <w:jc w:val="both"/>
      </w:pPr>
      <w:r>
        <w:rPr>
          <w:rFonts w:ascii="Times New Roman"/>
          <w:b w:val="false"/>
          <w:i w:val="false"/>
          <w:color w:val="000000"/>
          <w:sz w:val="28"/>
        </w:rPr>
        <w:t>
      закрытые шахты, обслуживающие вышеупомянутые помещения.</w:t>
      </w:r>
    </w:p>
    <w:bookmarkEnd w:id="6781"/>
    <w:bookmarkStart w:name="z6793" w:id="6782"/>
    <w:p>
      <w:pPr>
        <w:spacing w:after="0"/>
        <w:ind w:left="0"/>
        <w:jc w:val="both"/>
      </w:pPr>
      <w:r>
        <w:rPr>
          <w:rFonts w:ascii="Times New Roman"/>
          <w:b w:val="false"/>
          <w:i w:val="false"/>
          <w:color w:val="000000"/>
          <w:sz w:val="28"/>
        </w:rPr>
        <w:t>
      помещения, в которых имеются масляные трансформаторы (мощностью свыше 10 кВА);</w:t>
      </w:r>
    </w:p>
    <w:bookmarkEnd w:id="6782"/>
    <w:bookmarkStart w:name="z6794" w:id="6783"/>
    <w:p>
      <w:pPr>
        <w:spacing w:after="0"/>
        <w:ind w:left="0"/>
        <w:jc w:val="both"/>
      </w:pPr>
      <w:r>
        <w:rPr>
          <w:rFonts w:ascii="Times New Roman"/>
          <w:b w:val="false"/>
          <w:i w:val="false"/>
          <w:color w:val="000000"/>
          <w:sz w:val="28"/>
        </w:rPr>
        <w:t>
      12) машинные помещения и главные камбузы:</w:t>
      </w:r>
    </w:p>
    <w:bookmarkEnd w:id="6783"/>
    <w:bookmarkStart w:name="z6795" w:id="6784"/>
    <w:p>
      <w:pPr>
        <w:spacing w:after="0"/>
        <w:ind w:left="0"/>
        <w:jc w:val="both"/>
      </w:pPr>
      <w:r>
        <w:rPr>
          <w:rFonts w:ascii="Times New Roman"/>
          <w:b w:val="false"/>
          <w:i w:val="false"/>
          <w:color w:val="000000"/>
          <w:sz w:val="28"/>
        </w:rPr>
        <w:t>
      машинные и котельные отделения (за исключением помещений электрических гребных двигателей);</w:t>
      </w:r>
    </w:p>
    <w:bookmarkEnd w:id="6784"/>
    <w:bookmarkStart w:name="z6796" w:id="6785"/>
    <w:p>
      <w:pPr>
        <w:spacing w:after="0"/>
        <w:ind w:left="0"/>
        <w:jc w:val="both"/>
      </w:pPr>
      <w:r>
        <w:rPr>
          <w:rFonts w:ascii="Times New Roman"/>
          <w:b w:val="false"/>
          <w:i w:val="false"/>
          <w:color w:val="000000"/>
          <w:sz w:val="28"/>
        </w:rPr>
        <w:t>
      вспомогательные машинные помещения, кроме отнесенных к категориям предусмотренных подпунктами 10) и 11) настоящего пункта, в которых находятся двигатели внутреннего сгорания или другие установки, которые используют, нагревают или перекачивают жидкое топливо;</w:t>
      </w:r>
    </w:p>
    <w:bookmarkEnd w:id="6785"/>
    <w:bookmarkStart w:name="z6797" w:id="6786"/>
    <w:p>
      <w:pPr>
        <w:spacing w:after="0"/>
        <w:ind w:left="0"/>
        <w:jc w:val="both"/>
      </w:pPr>
      <w:r>
        <w:rPr>
          <w:rFonts w:ascii="Times New Roman"/>
          <w:b w:val="false"/>
          <w:i w:val="false"/>
          <w:color w:val="000000"/>
          <w:sz w:val="28"/>
        </w:rPr>
        <w:t>
      камбузы и их вспомогательные помещения;</w:t>
      </w:r>
    </w:p>
    <w:bookmarkEnd w:id="6786"/>
    <w:bookmarkStart w:name="z6798" w:id="6787"/>
    <w:p>
      <w:pPr>
        <w:spacing w:after="0"/>
        <w:ind w:left="0"/>
        <w:jc w:val="both"/>
      </w:pPr>
      <w:r>
        <w:rPr>
          <w:rFonts w:ascii="Times New Roman"/>
          <w:b w:val="false"/>
          <w:i w:val="false"/>
          <w:color w:val="000000"/>
          <w:sz w:val="28"/>
        </w:rPr>
        <w:t>
      шахты и проходы, обслуживающие упомянутые помещения;</w:t>
      </w:r>
    </w:p>
    <w:bookmarkEnd w:id="6787"/>
    <w:bookmarkStart w:name="z6799" w:id="6788"/>
    <w:p>
      <w:pPr>
        <w:spacing w:after="0"/>
        <w:ind w:left="0"/>
        <w:jc w:val="both"/>
      </w:pPr>
      <w:r>
        <w:rPr>
          <w:rFonts w:ascii="Times New Roman"/>
          <w:b w:val="false"/>
          <w:i w:val="false"/>
          <w:color w:val="000000"/>
          <w:sz w:val="28"/>
        </w:rPr>
        <w:t>
      13) кладовые, мастерские, буфетные:</w:t>
      </w:r>
    </w:p>
    <w:bookmarkEnd w:id="6788"/>
    <w:bookmarkStart w:name="z6800" w:id="6789"/>
    <w:p>
      <w:pPr>
        <w:spacing w:after="0"/>
        <w:ind w:left="0"/>
        <w:jc w:val="both"/>
      </w:pPr>
      <w:r>
        <w:rPr>
          <w:rFonts w:ascii="Times New Roman"/>
          <w:b w:val="false"/>
          <w:i w:val="false"/>
          <w:color w:val="000000"/>
          <w:sz w:val="28"/>
        </w:rPr>
        <w:t>
      главные буфетные, не являющиеся частью камбузов;</w:t>
      </w:r>
    </w:p>
    <w:bookmarkEnd w:id="6789"/>
    <w:bookmarkStart w:name="z6801" w:id="6790"/>
    <w:p>
      <w:pPr>
        <w:spacing w:after="0"/>
        <w:ind w:left="0"/>
        <w:jc w:val="both"/>
      </w:pPr>
      <w:r>
        <w:rPr>
          <w:rFonts w:ascii="Times New Roman"/>
          <w:b w:val="false"/>
          <w:i w:val="false"/>
          <w:color w:val="000000"/>
          <w:sz w:val="28"/>
        </w:rPr>
        <w:t>
      главная прачечная, сауна;</w:t>
      </w:r>
    </w:p>
    <w:bookmarkEnd w:id="6790"/>
    <w:bookmarkStart w:name="z6802" w:id="6791"/>
    <w:p>
      <w:pPr>
        <w:spacing w:after="0"/>
        <w:ind w:left="0"/>
        <w:jc w:val="both"/>
      </w:pPr>
      <w:r>
        <w:rPr>
          <w:rFonts w:ascii="Times New Roman"/>
          <w:b w:val="false"/>
          <w:i w:val="false"/>
          <w:color w:val="000000"/>
          <w:sz w:val="28"/>
        </w:rPr>
        <w:t>
      большие сушильные помещения (площадью палубы более 4 м</w:t>
      </w:r>
      <w:r>
        <w:rPr>
          <w:rFonts w:ascii="Times New Roman"/>
          <w:b w:val="false"/>
          <w:i w:val="false"/>
          <w:color w:val="000000"/>
          <w:vertAlign w:val="superscript"/>
        </w:rPr>
        <w:t>2</w:t>
      </w:r>
      <w:r>
        <w:rPr>
          <w:rFonts w:ascii="Times New Roman"/>
          <w:b w:val="false"/>
          <w:i w:val="false"/>
          <w:color w:val="000000"/>
          <w:sz w:val="28"/>
        </w:rPr>
        <w:t>);</w:t>
      </w:r>
    </w:p>
    <w:bookmarkEnd w:id="6791"/>
    <w:bookmarkStart w:name="z6803" w:id="6792"/>
    <w:p>
      <w:pPr>
        <w:spacing w:after="0"/>
        <w:ind w:left="0"/>
        <w:jc w:val="both"/>
      </w:pPr>
      <w:r>
        <w:rPr>
          <w:rFonts w:ascii="Times New Roman"/>
          <w:b w:val="false"/>
          <w:i w:val="false"/>
          <w:color w:val="000000"/>
          <w:sz w:val="28"/>
        </w:rPr>
        <w:t>
      различные кладовые;</w:t>
      </w:r>
    </w:p>
    <w:bookmarkEnd w:id="6792"/>
    <w:bookmarkStart w:name="z6804" w:id="6793"/>
    <w:p>
      <w:pPr>
        <w:spacing w:after="0"/>
        <w:ind w:left="0"/>
        <w:jc w:val="both"/>
      </w:pPr>
      <w:r>
        <w:rPr>
          <w:rFonts w:ascii="Times New Roman"/>
          <w:b w:val="false"/>
          <w:i w:val="false"/>
          <w:color w:val="000000"/>
          <w:sz w:val="28"/>
        </w:rPr>
        <w:t>
      почтовые и багажные отделения;</w:t>
      </w:r>
    </w:p>
    <w:bookmarkEnd w:id="6793"/>
    <w:bookmarkStart w:name="z6805" w:id="6794"/>
    <w:p>
      <w:pPr>
        <w:spacing w:after="0"/>
        <w:ind w:left="0"/>
        <w:jc w:val="both"/>
      </w:pPr>
      <w:r>
        <w:rPr>
          <w:rFonts w:ascii="Times New Roman"/>
          <w:b w:val="false"/>
          <w:i w:val="false"/>
          <w:color w:val="000000"/>
          <w:sz w:val="28"/>
        </w:rPr>
        <w:t>
      помещения для отходов и мусора;</w:t>
      </w:r>
    </w:p>
    <w:bookmarkEnd w:id="6794"/>
    <w:bookmarkStart w:name="z6806" w:id="6795"/>
    <w:p>
      <w:pPr>
        <w:spacing w:after="0"/>
        <w:ind w:left="0"/>
        <w:jc w:val="both"/>
      </w:pPr>
      <w:r>
        <w:rPr>
          <w:rFonts w:ascii="Times New Roman"/>
          <w:b w:val="false"/>
          <w:i w:val="false"/>
          <w:color w:val="000000"/>
          <w:sz w:val="28"/>
        </w:rPr>
        <w:t>
      мастерские (не составляющие часть машинных помещений, камбузов);</w:t>
      </w:r>
    </w:p>
    <w:bookmarkEnd w:id="6795"/>
    <w:bookmarkStart w:name="z6807" w:id="6796"/>
    <w:p>
      <w:pPr>
        <w:spacing w:after="0"/>
        <w:ind w:left="0"/>
        <w:jc w:val="both"/>
      </w:pPr>
      <w:r>
        <w:rPr>
          <w:rFonts w:ascii="Times New Roman"/>
          <w:b w:val="false"/>
          <w:i w:val="false"/>
          <w:color w:val="000000"/>
          <w:sz w:val="28"/>
        </w:rPr>
        <w:t>
      шкафы и кладовые площадью более 4 м</w:t>
      </w:r>
      <w:r>
        <w:rPr>
          <w:rFonts w:ascii="Times New Roman"/>
          <w:b w:val="false"/>
          <w:i w:val="false"/>
          <w:color w:val="000000"/>
          <w:vertAlign w:val="superscript"/>
        </w:rPr>
        <w:t>2</w:t>
      </w:r>
      <w:r>
        <w:rPr>
          <w:rFonts w:ascii="Times New Roman"/>
          <w:b w:val="false"/>
          <w:i w:val="false"/>
          <w:color w:val="000000"/>
          <w:sz w:val="28"/>
        </w:rPr>
        <w:t>, не имеющие условий для хранения воспламеняющихся жидкостей.</w:t>
      </w:r>
    </w:p>
    <w:bookmarkEnd w:id="6796"/>
    <w:bookmarkStart w:name="z6808" w:id="6797"/>
    <w:p>
      <w:pPr>
        <w:spacing w:after="0"/>
        <w:ind w:left="0"/>
        <w:jc w:val="both"/>
      </w:pPr>
      <w:r>
        <w:rPr>
          <w:rFonts w:ascii="Times New Roman"/>
          <w:b w:val="false"/>
          <w:i w:val="false"/>
          <w:color w:val="000000"/>
          <w:sz w:val="28"/>
        </w:rPr>
        <w:t>
      14) прочие помещения, в которых хранятся воспламеняющиеся жидкости:</w:t>
      </w:r>
    </w:p>
    <w:bookmarkEnd w:id="6797"/>
    <w:bookmarkStart w:name="z6809" w:id="6798"/>
    <w:p>
      <w:pPr>
        <w:spacing w:after="0"/>
        <w:ind w:left="0"/>
        <w:jc w:val="both"/>
      </w:pPr>
      <w:r>
        <w:rPr>
          <w:rFonts w:ascii="Times New Roman"/>
          <w:b w:val="false"/>
          <w:i w:val="false"/>
          <w:color w:val="000000"/>
          <w:sz w:val="28"/>
        </w:rPr>
        <w:t>
      малярные;</w:t>
      </w:r>
    </w:p>
    <w:bookmarkEnd w:id="6798"/>
    <w:bookmarkStart w:name="z6810" w:id="6799"/>
    <w:p>
      <w:pPr>
        <w:spacing w:after="0"/>
        <w:ind w:left="0"/>
        <w:jc w:val="both"/>
      </w:pPr>
      <w:r>
        <w:rPr>
          <w:rFonts w:ascii="Times New Roman"/>
          <w:b w:val="false"/>
          <w:i w:val="false"/>
          <w:color w:val="000000"/>
          <w:sz w:val="28"/>
        </w:rPr>
        <w:t>
      кладовые воспламеняющихся жидкостей (включая краски, медикаменты);</w:t>
      </w:r>
    </w:p>
    <w:bookmarkEnd w:id="6799"/>
    <w:bookmarkStart w:name="z6811" w:id="6800"/>
    <w:p>
      <w:pPr>
        <w:spacing w:after="0"/>
        <w:ind w:left="0"/>
        <w:jc w:val="both"/>
      </w:pPr>
      <w:r>
        <w:rPr>
          <w:rFonts w:ascii="Times New Roman"/>
          <w:b w:val="false"/>
          <w:i w:val="false"/>
          <w:color w:val="000000"/>
          <w:sz w:val="28"/>
        </w:rPr>
        <w:t>
      лаборатории, в которых хранятся воспламеняющиеся жидкости.</w:t>
      </w:r>
    </w:p>
    <w:bookmarkEnd w:id="6800"/>
    <w:bookmarkStart w:name="z6812" w:id="6801"/>
    <w:p>
      <w:pPr>
        <w:spacing w:after="0"/>
        <w:ind w:left="0"/>
        <w:jc w:val="both"/>
      </w:pPr>
      <w:r>
        <w:rPr>
          <w:rFonts w:ascii="Times New Roman"/>
          <w:b w:val="false"/>
          <w:i w:val="false"/>
          <w:color w:val="000000"/>
          <w:sz w:val="28"/>
        </w:rPr>
        <w:t>
      2200. На судах, перевозящих не более 36 пассажиров, если помещение защищено автоматической спринклерной системой или имеет непрерывный подволок типа В, отверстия в палубах, не образующих уступов в главных вертикальных зонах и не ограничивающих горизонтальные зоны, имеют достаточно плотные закрытия, и такие палубы отвечают требованиям огнестойкости типа А.</w:t>
      </w:r>
    </w:p>
    <w:bookmarkEnd w:id="6801"/>
    <w:bookmarkStart w:name="z6813" w:id="6802"/>
    <w:p>
      <w:pPr>
        <w:spacing w:after="0"/>
        <w:ind w:left="0"/>
        <w:jc w:val="both"/>
      </w:pPr>
      <w:r>
        <w:rPr>
          <w:rFonts w:ascii="Times New Roman"/>
          <w:b w:val="false"/>
          <w:i w:val="false"/>
          <w:color w:val="000000"/>
          <w:sz w:val="28"/>
        </w:rPr>
        <w:t>
      2201. Минимальная огнестойкость переборок и палуб, разделяющих смежные помещения на судах, перевозящих не более 36 пассажиров, отвечает требованиям приложений 263 и 264 настоящих Приложений с учетом следующего:</w:t>
      </w:r>
    </w:p>
    <w:bookmarkEnd w:id="6802"/>
    <w:bookmarkStart w:name="z6814" w:id="6803"/>
    <w:p>
      <w:pPr>
        <w:spacing w:after="0"/>
        <w:ind w:left="0"/>
        <w:jc w:val="both"/>
      </w:pPr>
      <w:r>
        <w:rPr>
          <w:rFonts w:ascii="Times New Roman"/>
          <w:b w:val="false"/>
          <w:i w:val="false"/>
          <w:color w:val="000000"/>
          <w:sz w:val="28"/>
        </w:rPr>
        <w:t>
      1) для определения типа конструкции между смежными помещениями последние подразделяются, в зависимости от их пожарной опасности, на следующие категории:</w:t>
      </w:r>
    </w:p>
    <w:bookmarkEnd w:id="6803"/>
    <w:bookmarkStart w:name="z6815" w:id="6804"/>
    <w:p>
      <w:pPr>
        <w:spacing w:after="0"/>
        <w:ind w:left="0"/>
        <w:jc w:val="both"/>
      </w:pPr>
      <w:r>
        <w:rPr>
          <w:rFonts w:ascii="Times New Roman"/>
          <w:b w:val="false"/>
          <w:i w:val="false"/>
          <w:color w:val="000000"/>
          <w:sz w:val="28"/>
        </w:rPr>
        <w:t>
      2) посты управления: помещения, в которых расположены аварийные источники электроэнергии и освещения, рулевая и штурманская рубки; помещения, в которых расположено судовое радиооборудование; пожарные посты; центральный пост управления главными механизмами, если он находится вне машинного помещения; помещения, в которых расположена централизованная система оповещения о пожаре;</w:t>
      </w:r>
    </w:p>
    <w:bookmarkEnd w:id="6804"/>
    <w:bookmarkStart w:name="z6816" w:id="6805"/>
    <w:p>
      <w:pPr>
        <w:spacing w:after="0"/>
        <w:ind w:left="0"/>
        <w:jc w:val="both"/>
      </w:pPr>
      <w:r>
        <w:rPr>
          <w:rFonts w:ascii="Times New Roman"/>
          <w:b w:val="false"/>
          <w:i w:val="false"/>
          <w:color w:val="000000"/>
          <w:sz w:val="28"/>
        </w:rPr>
        <w:t>
      3) коридоры и вестибюли;</w:t>
      </w:r>
    </w:p>
    <w:bookmarkEnd w:id="6805"/>
    <w:bookmarkStart w:name="z6817" w:id="6806"/>
    <w:p>
      <w:pPr>
        <w:spacing w:after="0"/>
        <w:ind w:left="0"/>
        <w:jc w:val="both"/>
      </w:pPr>
      <w:r>
        <w:rPr>
          <w:rFonts w:ascii="Times New Roman"/>
          <w:b w:val="false"/>
          <w:i w:val="false"/>
          <w:color w:val="000000"/>
          <w:sz w:val="28"/>
        </w:rPr>
        <w:t>
      4) жилые помещения в соответствии с пунктом 2135 настоящих Правил, за исключением коридоров;</w:t>
      </w:r>
    </w:p>
    <w:bookmarkEnd w:id="6806"/>
    <w:bookmarkStart w:name="z6818" w:id="6807"/>
    <w:p>
      <w:pPr>
        <w:spacing w:after="0"/>
        <w:ind w:left="0"/>
        <w:jc w:val="both"/>
      </w:pPr>
      <w:r>
        <w:rPr>
          <w:rFonts w:ascii="Times New Roman"/>
          <w:b w:val="false"/>
          <w:i w:val="false"/>
          <w:color w:val="000000"/>
          <w:sz w:val="28"/>
        </w:rPr>
        <w:t>
      5) междупалубные сообщения:</w:t>
      </w:r>
    </w:p>
    <w:bookmarkEnd w:id="6807"/>
    <w:bookmarkStart w:name="z6819" w:id="6808"/>
    <w:p>
      <w:pPr>
        <w:spacing w:after="0"/>
        <w:ind w:left="0"/>
        <w:jc w:val="both"/>
      </w:pPr>
      <w:r>
        <w:rPr>
          <w:rFonts w:ascii="Times New Roman"/>
          <w:b w:val="false"/>
          <w:i w:val="false"/>
          <w:color w:val="000000"/>
          <w:sz w:val="28"/>
        </w:rPr>
        <w:t>
      внутренние трапы, лифты, полностью выгороженные шахты аварийного выхода наружу и эскалаторы (за исключением тех, которые полностью находятся в машинных помещениях) и их выгородки.</w:t>
      </w:r>
    </w:p>
    <w:bookmarkEnd w:id="6808"/>
    <w:bookmarkStart w:name="z6820" w:id="6809"/>
    <w:p>
      <w:pPr>
        <w:spacing w:after="0"/>
        <w:ind w:left="0"/>
        <w:jc w:val="both"/>
      </w:pPr>
      <w:r>
        <w:rPr>
          <w:rFonts w:ascii="Times New Roman"/>
          <w:b w:val="false"/>
          <w:i w:val="false"/>
          <w:color w:val="000000"/>
          <w:sz w:val="28"/>
        </w:rPr>
        <w:t>
      Трап, выгороженный только в одном междупалубном пространстве, рассматривается как часть помещения, от которого он не отделен противопожарной дверью;</w:t>
      </w:r>
    </w:p>
    <w:bookmarkEnd w:id="6809"/>
    <w:bookmarkStart w:name="z6821" w:id="6810"/>
    <w:p>
      <w:pPr>
        <w:spacing w:after="0"/>
        <w:ind w:left="0"/>
        <w:jc w:val="both"/>
      </w:pPr>
      <w:r>
        <w:rPr>
          <w:rFonts w:ascii="Times New Roman"/>
          <w:b w:val="false"/>
          <w:i w:val="false"/>
          <w:color w:val="000000"/>
          <w:sz w:val="28"/>
        </w:rPr>
        <w:t>
      6) служебные помещения (с низкой пожарной опасностью):</w:t>
      </w:r>
    </w:p>
    <w:bookmarkEnd w:id="6810"/>
    <w:bookmarkStart w:name="z6822" w:id="6811"/>
    <w:p>
      <w:pPr>
        <w:spacing w:after="0"/>
        <w:ind w:left="0"/>
        <w:jc w:val="both"/>
      </w:pPr>
      <w:r>
        <w:rPr>
          <w:rFonts w:ascii="Times New Roman"/>
          <w:b w:val="false"/>
          <w:i w:val="false"/>
          <w:color w:val="000000"/>
          <w:sz w:val="28"/>
        </w:rPr>
        <w:t>
      шкафы и кладовые площадью менее 4 м</w:t>
      </w:r>
      <w:r>
        <w:rPr>
          <w:rFonts w:ascii="Times New Roman"/>
          <w:b w:val="false"/>
          <w:i w:val="false"/>
          <w:color w:val="000000"/>
          <w:vertAlign w:val="superscript"/>
        </w:rPr>
        <w:t>2</w:t>
      </w:r>
      <w:r>
        <w:rPr>
          <w:rFonts w:ascii="Times New Roman"/>
          <w:b w:val="false"/>
          <w:i w:val="false"/>
          <w:color w:val="000000"/>
          <w:sz w:val="28"/>
        </w:rPr>
        <w:t>, не имеющие условий для хранения воспламеняющихся жидкостей, сушильные и прачечные, помещения содержащие электрические распределительные щиты, площадью 4 м</w:t>
      </w:r>
      <w:r>
        <w:rPr>
          <w:rFonts w:ascii="Times New Roman"/>
          <w:b w:val="false"/>
          <w:i w:val="false"/>
          <w:color w:val="000000"/>
          <w:vertAlign w:val="superscript"/>
        </w:rPr>
        <w:t>2</w:t>
      </w:r>
      <w:r>
        <w:rPr>
          <w:rFonts w:ascii="Times New Roman"/>
          <w:b w:val="false"/>
          <w:i w:val="false"/>
          <w:color w:val="000000"/>
          <w:sz w:val="28"/>
        </w:rPr>
        <w:t>;</w:t>
      </w:r>
    </w:p>
    <w:bookmarkEnd w:id="6811"/>
    <w:bookmarkStart w:name="z6823" w:id="6812"/>
    <w:p>
      <w:pPr>
        <w:spacing w:after="0"/>
        <w:ind w:left="0"/>
        <w:jc w:val="both"/>
      </w:pPr>
      <w:r>
        <w:rPr>
          <w:rFonts w:ascii="Times New Roman"/>
          <w:b w:val="false"/>
          <w:i w:val="false"/>
          <w:color w:val="000000"/>
          <w:sz w:val="28"/>
        </w:rPr>
        <w:t>
      7) машинные помещения категории А (определение данных помещений которых приведено в пункте 6 настоящих Правил;</w:t>
      </w:r>
    </w:p>
    <w:bookmarkEnd w:id="6812"/>
    <w:bookmarkStart w:name="z6824" w:id="6813"/>
    <w:p>
      <w:pPr>
        <w:spacing w:after="0"/>
        <w:ind w:left="0"/>
        <w:jc w:val="both"/>
      </w:pPr>
      <w:r>
        <w:rPr>
          <w:rFonts w:ascii="Times New Roman"/>
          <w:b w:val="false"/>
          <w:i w:val="false"/>
          <w:color w:val="000000"/>
          <w:sz w:val="28"/>
        </w:rPr>
        <w:t>
      8) прочие машинные помещения (машинные помещения, кроме перечисленных в подпункте 6) настоящего пункта и помещения электрооборудования (автоматические телефонные станции, помещения каналов кондиционирования воздуха);</w:t>
      </w:r>
    </w:p>
    <w:bookmarkEnd w:id="6813"/>
    <w:bookmarkStart w:name="z6825" w:id="6814"/>
    <w:p>
      <w:pPr>
        <w:spacing w:after="0"/>
        <w:ind w:left="0"/>
        <w:jc w:val="both"/>
      </w:pPr>
      <w:r>
        <w:rPr>
          <w:rFonts w:ascii="Times New Roman"/>
          <w:b w:val="false"/>
          <w:i w:val="false"/>
          <w:color w:val="000000"/>
          <w:sz w:val="28"/>
        </w:rPr>
        <w:t>
      9) грузовые помещения: все помещения, не являющиеся помещениями специальной категории, используемые для перевозки груза (включая грузовые танки для нефтепродуктов), а также вентиляционные и люковые шахты, обслуживающие такие помещения;</w:t>
      </w:r>
    </w:p>
    <w:bookmarkEnd w:id="6814"/>
    <w:bookmarkStart w:name="z6826" w:id="6815"/>
    <w:p>
      <w:pPr>
        <w:spacing w:after="0"/>
        <w:ind w:left="0"/>
        <w:jc w:val="both"/>
      </w:pPr>
      <w:r>
        <w:rPr>
          <w:rFonts w:ascii="Times New Roman"/>
          <w:b w:val="false"/>
          <w:i w:val="false"/>
          <w:color w:val="000000"/>
          <w:sz w:val="28"/>
        </w:rPr>
        <w:t>
      10) служебные помещения (с высокой пожарной опасностью): камбузы, буфетные, содержащие оборудование для приготовления горячей пищи, малярные, шкафы и клодовые площадью 4 м</w:t>
      </w:r>
      <w:r>
        <w:rPr>
          <w:rFonts w:ascii="Times New Roman"/>
          <w:b w:val="false"/>
          <w:i w:val="false"/>
          <w:color w:val="000000"/>
          <w:vertAlign w:val="superscript"/>
        </w:rPr>
        <w:t>2</w:t>
      </w:r>
      <w:r>
        <w:rPr>
          <w:rFonts w:ascii="Times New Roman"/>
          <w:b w:val="false"/>
          <w:i w:val="false"/>
          <w:color w:val="000000"/>
          <w:sz w:val="28"/>
        </w:rPr>
        <w:t xml:space="preserve"> и более, помещения для хранения воспламеняющихся жидкостей, сауны, мастерские и подобные им помещения, не являющиеся частью машинных помещений;</w:t>
      </w:r>
    </w:p>
    <w:bookmarkEnd w:id="6815"/>
    <w:bookmarkStart w:name="z6827" w:id="6816"/>
    <w:p>
      <w:pPr>
        <w:spacing w:after="0"/>
        <w:ind w:left="0"/>
        <w:jc w:val="both"/>
      </w:pPr>
      <w:r>
        <w:rPr>
          <w:rFonts w:ascii="Times New Roman"/>
          <w:b w:val="false"/>
          <w:i w:val="false"/>
          <w:color w:val="000000"/>
          <w:sz w:val="28"/>
        </w:rPr>
        <w:t>
      11) открытые палубы:</w:t>
      </w:r>
    </w:p>
    <w:bookmarkEnd w:id="6816"/>
    <w:bookmarkStart w:name="z6828" w:id="6817"/>
    <w:p>
      <w:pPr>
        <w:spacing w:after="0"/>
        <w:ind w:left="0"/>
        <w:jc w:val="both"/>
      </w:pPr>
      <w:r>
        <w:rPr>
          <w:rFonts w:ascii="Times New Roman"/>
          <w:b w:val="false"/>
          <w:i w:val="false"/>
          <w:color w:val="000000"/>
          <w:sz w:val="28"/>
        </w:rPr>
        <w:t>
      открытые участки палуб и выгороженные прогулочные палубы, не представляющие пожарной опасности. Чтобы относиться к этой категории, выгороженные прогулочные палубы не должны представлять пожарной опасности. Это означает, что меблировка ограничивается палубной мебелью. Кроме того, такие места имеют естественную вентиляцию посредством постоянных отверстий;</w:t>
      </w:r>
    </w:p>
    <w:bookmarkEnd w:id="6817"/>
    <w:bookmarkStart w:name="z6829" w:id="6818"/>
    <w:p>
      <w:pPr>
        <w:spacing w:after="0"/>
        <w:ind w:left="0"/>
        <w:jc w:val="both"/>
      </w:pPr>
      <w:r>
        <w:rPr>
          <w:rFonts w:ascii="Times New Roman"/>
          <w:b w:val="false"/>
          <w:i w:val="false"/>
          <w:color w:val="000000"/>
          <w:sz w:val="28"/>
        </w:rPr>
        <w:t>
      открытые пространства (помещения вне надстроек и рубок);</w:t>
      </w:r>
    </w:p>
    <w:bookmarkEnd w:id="6818"/>
    <w:bookmarkStart w:name="z6830" w:id="6819"/>
    <w:p>
      <w:pPr>
        <w:spacing w:after="0"/>
        <w:ind w:left="0"/>
        <w:jc w:val="both"/>
      </w:pPr>
      <w:r>
        <w:rPr>
          <w:rFonts w:ascii="Times New Roman"/>
          <w:b w:val="false"/>
          <w:i w:val="false"/>
          <w:color w:val="000000"/>
          <w:sz w:val="28"/>
        </w:rPr>
        <w:t>
      12) помещения специальной категории в соответствии с пунктом 2143 настоящих Правил и помещения с горизонтальным способом погрузки и выгрузки в соответствии с подпунктом 3) пункта 2137 настоящих Правил;</w:t>
      </w:r>
    </w:p>
    <w:bookmarkEnd w:id="6819"/>
    <w:bookmarkStart w:name="z6831" w:id="6820"/>
    <w:p>
      <w:pPr>
        <w:spacing w:after="0"/>
        <w:ind w:left="0"/>
        <w:jc w:val="both"/>
      </w:pPr>
      <w:r>
        <w:rPr>
          <w:rFonts w:ascii="Times New Roman"/>
          <w:b w:val="false"/>
          <w:i w:val="false"/>
          <w:color w:val="000000"/>
          <w:sz w:val="28"/>
        </w:rPr>
        <w:t>
      13) двери из кают во внутренние индивидуальные санитарные помещения могут выполняться из горючих материалов.</w:t>
      </w:r>
    </w:p>
    <w:bookmarkEnd w:id="6820"/>
    <w:bookmarkStart w:name="z6832" w:id="6821"/>
    <w:p>
      <w:pPr>
        <w:spacing w:after="0"/>
        <w:ind w:left="0"/>
        <w:jc w:val="left"/>
      </w:pPr>
      <w:r>
        <w:rPr>
          <w:rFonts w:ascii="Times New Roman"/>
          <w:b/>
          <w:i w:val="false"/>
          <w:color w:val="000000"/>
        </w:rPr>
        <w:t xml:space="preserve"> Параграф 2. Жилые и служебные помещения внутри</w:t>
      </w:r>
      <w:r>
        <w:br/>
      </w:r>
      <w:r>
        <w:rPr>
          <w:rFonts w:ascii="Times New Roman"/>
          <w:b/>
          <w:i w:val="false"/>
          <w:color w:val="000000"/>
        </w:rPr>
        <w:t>главной вертикальной зоны</w:t>
      </w:r>
    </w:p>
    <w:bookmarkEnd w:id="6821"/>
    <w:bookmarkStart w:name="z6833" w:id="6822"/>
    <w:p>
      <w:pPr>
        <w:spacing w:after="0"/>
        <w:ind w:left="0"/>
        <w:jc w:val="both"/>
      </w:pPr>
      <w:r>
        <w:rPr>
          <w:rFonts w:ascii="Times New Roman"/>
          <w:b w:val="false"/>
          <w:i w:val="false"/>
          <w:color w:val="000000"/>
          <w:sz w:val="28"/>
        </w:rPr>
        <w:t>
      2202. На судах, перевозящих более 36 пассажиров, все переборки, которые не требуется выполнять как конструкции типа А, типа В или С согласно указаниям приложения 261 настоящих Правил.</w:t>
      </w:r>
    </w:p>
    <w:bookmarkEnd w:id="6822"/>
    <w:bookmarkStart w:name="z6834" w:id="6823"/>
    <w:p>
      <w:pPr>
        <w:spacing w:after="0"/>
        <w:ind w:left="0"/>
        <w:jc w:val="both"/>
      </w:pPr>
      <w:r>
        <w:rPr>
          <w:rFonts w:ascii="Times New Roman"/>
          <w:b w:val="false"/>
          <w:i w:val="false"/>
          <w:color w:val="000000"/>
          <w:sz w:val="28"/>
        </w:rPr>
        <w:t>
      На судах, перевозящих не более 36 пассажиров, все переборки в жилых и служебных помещениях, которые не требуется выполнять как конструкции типа А, типа В или С согласно указаниям приложения 263 настоящих Правил.</w:t>
      </w:r>
    </w:p>
    <w:bookmarkEnd w:id="6823"/>
    <w:bookmarkStart w:name="z6835" w:id="6824"/>
    <w:p>
      <w:pPr>
        <w:spacing w:after="0"/>
        <w:ind w:left="0"/>
        <w:jc w:val="both"/>
      </w:pPr>
      <w:r>
        <w:rPr>
          <w:rFonts w:ascii="Times New Roman"/>
          <w:b w:val="false"/>
          <w:i w:val="false"/>
          <w:color w:val="000000"/>
          <w:sz w:val="28"/>
        </w:rPr>
        <w:t>
      Все такие переборки облицовывают горючими материалами согласно пункту 2164 настоящих Правил.</w:t>
      </w:r>
    </w:p>
    <w:bookmarkEnd w:id="6824"/>
    <w:bookmarkStart w:name="z6836" w:id="6825"/>
    <w:p>
      <w:pPr>
        <w:spacing w:after="0"/>
        <w:ind w:left="0"/>
        <w:jc w:val="both"/>
      </w:pPr>
      <w:r>
        <w:rPr>
          <w:rFonts w:ascii="Times New Roman"/>
          <w:b w:val="false"/>
          <w:i w:val="false"/>
          <w:color w:val="000000"/>
          <w:sz w:val="28"/>
        </w:rPr>
        <w:t>
      2203. На судах, перевозящих не более 36 пассажиров, все переборки коридоров, которые не требуется выполнять как конструкции типа А, должны быть типа В и простираются от палубы до палубы, за исключением следующих случаев:</w:t>
      </w:r>
    </w:p>
    <w:bookmarkEnd w:id="6825"/>
    <w:bookmarkStart w:name="z6837" w:id="6826"/>
    <w:p>
      <w:pPr>
        <w:spacing w:after="0"/>
        <w:ind w:left="0"/>
        <w:jc w:val="both"/>
      </w:pPr>
      <w:r>
        <w:rPr>
          <w:rFonts w:ascii="Times New Roman"/>
          <w:b w:val="false"/>
          <w:i w:val="false"/>
          <w:color w:val="000000"/>
          <w:sz w:val="28"/>
        </w:rPr>
        <w:t>
      1) когда с обеих сторон переборки установлены непрерывные подволоки или зашивки типа В, часть переборки за непрерывным подволоком или зашивкой из материала, который по толщине и составу допускается для изготовления перекрытий типа В, но который отвечает огнестойкости конструкций типа В лишь в той мере, в какой это является целесообразным и практически возможным;</w:t>
      </w:r>
    </w:p>
    <w:bookmarkEnd w:id="6826"/>
    <w:bookmarkStart w:name="z6838" w:id="6827"/>
    <w:p>
      <w:pPr>
        <w:spacing w:after="0"/>
        <w:ind w:left="0"/>
        <w:jc w:val="both"/>
      </w:pPr>
      <w:r>
        <w:rPr>
          <w:rFonts w:ascii="Times New Roman"/>
          <w:b w:val="false"/>
          <w:i w:val="false"/>
          <w:color w:val="000000"/>
          <w:sz w:val="28"/>
        </w:rPr>
        <w:t>
      2) на судне, оборудованном автоматической спринклерной системой, переборки коридоров заканчиваются у подволока в коридоре при условии, что такие переборки и подволоки являются конструкциями типа В в соответствии с пунктом 2201 настоящих Правил. Все двери и дверные рамы в таких переборках изготавливаются из негорючих материалов и имеют ту же огнестойкость, что и переборка, в которой они установлены.</w:t>
      </w:r>
    </w:p>
    <w:bookmarkEnd w:id="6827"/>
    <w:bookmarkStart w:name="z6839" w:id="6828"/>
    <w:p>
      <w:pPr>
        <w:spacing w:after="0"/>
        <w:ind w:left="0"/>
        <w:jc w:val="both"/>
      </w:pPr>
      <w:r>
        <w:rPr>
          <w:rFonts w:ascii="Times New Roman"/>
          <w:b w:val="false"/>
          <w:i w:val="false"/>
          <w:color w:val="000000"/>
          <w:sz w:val="28"/>
        </w:rPr>
        <w:t>
      2204. Переборки, в отношении которых требуется, чтобы они были перекрытиями типа В, за исключением переборок коридоров, предусмотренных в пункте 2203 настоящих Правил, простирается от палубы до палубы и до обшивки корпуса или других ограничивающих конструкций, однако если с обеих сторон переборки установлены непрерывные подволоки или зашивки типа В, по крайней мере, такой же огнестойкости, как и прилегающая переборка, то в этом случае переборка оканчивается у непрерывного подволока или зашивки. Если воздушный зазор между каютами образует раскрытие в непрерывном в непрерывном подволоке типа В-15, то переборки с обеих сторон воздушного зазора должны быть типа В-15.</w:t>
      </w:r>
    </w:p>
    <w:bookmarkEnd w:id="6828"/>
    <w:bookmarkStart w:name="z6840" w:id="6829"/>
    <w:p>
      <w:pPr>
        <w:spacing w:after="0"/>
        <w:ind w:left="0"/>
        <w:jc w:val="both"/>
      </w:pPr>
      <w:r>
        <w:rPr>
          <w:rFonts w:ascii="Times New Roman"/>
          <w:b w:val="false"/>
          <w:i w:val="false"/>
          <w:color w:val="000000"/>
          <w:sz w:val="28"/>
        </w:rPr>
        <w:t>
      2205. Защита трапов и лифтов выполняют следующим образом:</w:t>
      </w:r>
    </w:p>
    <w:bookmarkEnd w:id="6829"/>
    <w:bookmarkStart w:name="z6841" w:id="6830"/>
    <w:p>
      <w:pPr>
        <w:spacing w:after="0"/>
        <w:ind w:left="0"/>
        <w:jc w:val="both"/>
      </w:pPr>
      <w:r>
        <w:rPr>
          <w:rFonts w:ascii="Times New Roman"/>
          <w:b w:val="false"/>
          <w:i w:val="false"/>
          <w:color w:val="000000"/>
          <w:sz w:val="28"/>
        </w:rPr>
        <w:t>
      1) трапы выгораживают конструкциями типа А со средствами принудительного закрытия всех отверстий, за исключением того, что трап, соединяющий только две палубы, не выгораживается при условии, что огнестойкость палубы обеспечивается надлежащими переборками или самозакрывающимися дверями в одном междупалубном пространстве. Если трап выгорожен в одном междупалубном пространстве, то эта выгородка защищается в соответствии с требованиями приложений 262 и 264 настоящих Правил;</w:t>
      </w:r>
    </w:p>
    <w:bookmarkEnd w:id="6830"/>
    <w:bookmarkStart w:name="z6842" w:id="6831"/>
    <w:p>
      <w:pPr>
        <w:spacing w:after="0"/>
        <w:ind w:left="0"/>
        <w:jc w:val="both"/>
      </w:pPr>
      <w:r>
        <w:rPr>
          <w:rFonts w:ascii="Times New Roman"/>
          <w:b w:val="false"/>
          <w:i w:val="false"/>
          <w:color w:val="000000"/>
          <w:sz w:val="28"/>
        </w:rPr>
        <w:t>
      2) в общественных помещениях трапы не имеют выгородок при условии, что они полностью расположены внутри таких помещений;</w:t>
      </w:r>
    </w:p>
    <w:bookmarkEnd w:id="6831"/>
    <w:bookmarkStart w:name="z6843" w:id="6832"/>
    <w:p>
      <w:pPr>
        <w:spacing w:after="0"/>
        <w:ind w:left="0"/>
        <w:jc w:val="both"/>
      </w:pPr>
      <w:r>
        <w:rPr>
          <w:rFonts w:ascii="Times New Roman"/>
          <w:b w:val="false"/>
          <w:i w:val="false"/>
          <w:color w:val="000000"/>
          <w:sz w:val="28"/>
        </w:rPr>
        <w:t>
      3) шахты лифтов устраиваются таким образом, чтобы предотвратить прохождение дыма и пламени из одного межпалубного отсека в другой, и снабжаются средствами закрытия, с тем чтобы не допустить тяги и проникновения дыма. Механизмы лифтов, расположения в выгородках трапов, должны находиться в отдельном помещении, окруженном стальными ограничивающими конструкциями, за исключением того, что допускаются небольшие проходы для тросов лифта. Лифты, открывающиеся в помещения, иные, чем коридоры, общественные помещения, помещения специальной категории, трапы и наружные пространства, не открываются (останавливаются) на трапах, являющихся путями эвакуации;</w:t>
      </w:r>
    </w:p>
    <w:bookmarkEnd w:id="6832"/>
    <w:bookmarkStart w:name="z6844" w:id="6833"/>
    <w:p>
      <w:pPr>
        <w:spacing w:after="0"/>
        <w:ind w:left="0"/>
        <w:jc w:val="both"/>
      </w:pPr>
      <w:r>
        <w:rPr>
          <w:rFonts w:ascii="Times New Roman"/>
          <w:b w:val="false"/>
          <w:i w:val="false"/>
          <w:color w:val="000000"/>
          <w:sz w:val="28"/>
        </w:rPr>
        <w:t>
      4) выгородки трапов имеют непосредственное сообщение с коридорами и иметь площадь согласно пункту 1431 настоящих Правил. В пределах периметра таких выгородок трапов разрешены только общественные туалеты, кладовые из негорючего материала для хранения предметов аварийно-спасательного имущества и противопожарного снабжения и бюро информации открытого типа для пассажиров. Только общественные помещения, коридоры, общественные туалеты, помещения специальной категории, другие трапы путей эвакуации, требуемые разделом 5 настоящих Правил, и открытые палубы имеют прямой доступ к этим выгородкам трапов;</w:t>
      </w:r>
    </w:p>
    <w:bookmarkEnd w:id="6833"/>
    <w:bookmarkStart w:name="z6845" w:id="6834"/>
    <w:p>
      <w:pPr>
        <w:spacing w:after="0"/>
        <w:ind w:left="0"/>
        <w:jc w:val="both"/>
      </w:pPr>
      <w:r>
        <w:rPr>
          <w:rFonts w:ascii="Times New Roman"/>
          <w:b w:val="false"/>
          <w:i w:val="false"/>
          <w:color w:val="000000"/>
          <w:sz w:val="28"/>
        </w:rPr>
        <w:t>
      5) из водонепроницаемого отсека или главной противопожарной вертикальной зоны один из путей эвакуации, требуемых пунктом 1412 настоящих Правил, образовывают наклонными трапами, непрерывно выгороженными на всем протяжении в соответствии с требованиями пунктов 2199 или 2201 настоящих Правил;</w:t>
      </w:r>
    </w:p>
    <w:bookmarkEnd w:id="6834"/>
    <w:bookmarkStart w:name="z6846" w:id="6835"/>
    <w:p>
      <w:pPr>
        <w:spacing w:after="0"/>
        <w:ind w:left="0"/>
        <w:jc w:val="both"/>
      </w:pPr>
      <w:r>
        <w:rPr>
          <w:rFonts w:ascii="Times New Roman"/>
          <w:b w:val="false"/>
          <w:i w:val="false"/>
          <w:color w:val="000000"/>
          <w:sz w:val="28"/>
        </w:rPr>
        <w:t>
      6) защита пути следования от выгородок от трапов к местам посадки в спасательные шлюпки и плоты обеспечиваются либо непосредственно, либо путем защищенных внутренних путей, имеющих огнестойкость для выгородок трапов, определения в приложениях 261, 262, 263 и 264 настоящих Правил, в зависимости от случая.</w:t>
      </w:r>
    </w:p>
    <w:bookmarkEnd w:id="6835"/>
    <w:bookmarkStart w:name="z6847" w:id="6836"/>
    <w:p>
      <w:pPr>
        <w:spacing w:after="0"/>
        <w:ind w:left="0"/>
        <w:jc w:val="both"/>
      </w:pPr>
      <w:r>
        <w:rPr>
          <w:rFonts w:ascii="Times New Roman"/>
          <w:b w:val="false"/>
          <w:i w:val="false"/>
          <w:color w:val="000000"/>
          <w:sz w:val="28"/>
        </w:rPr>
        <w:t>
      2206. Во всех помещениях (за исключением охлаждаемых продовольственных кладовых, грузовых помещений, почтовых и багажных кают и саун) подволоки, переборки, зашивки, предотвращающие тягу заделки и обрешетник, выполняют из негорючих материалов.</w:t>
      </w:r>
    </w:p>
    <w:bookmarkEnd w:id="6836"/>
    <w:bookmarkStart w:name="z6848" w:id="6837"/>
    <w:p>
      <w:pPr>
        <w:spacing w:after="0"/>
        <w:ind w:left="0"/>
        <w:jc w:val="both"/>
      </w:pPr>
      <w:r>
        <w:rPr>
          <w:rFonts w:ascii="Times New Roman"/>
          <w:b w:val="false"/>
          <w:i w:val="false"/>
          <w:color w:val="000000"/>
          <w:sz w:val="28"/>
        </w:rPr>
        <w:t>
      Частичные переборки или палубы, применяемые для разделения помещения по практическим или эстетическим соображениям, выполняют также из негорючих материалов.</w:t>
      </w:r>
    </w:p>
    <w:bookmarkEnd w:id="6837"/>
    <w:bookmarkStart w:name="z6849" w:id="6838"/>
    <w:p>
      <w:pPr>
        <w:spacing w:after="0"/>
        <w:ind w:left="0"/>
        <w:jc w:val="both"/>
      </w:pPr>
      <w:r>
        <w:rPr>
          <w:rFonts w:ascii="Times New Roman"/>
          <w:b w:val="false"/>
          <w:i w:val="false"/>
          <w:color w:val="000000"/>
          <w:sz w:val="28"/>
        </w:rPr>
        <w:t>
      2207. Если судно оборудовано автоматической спринклерной системой, к общему объему горючих материалов, упомянутому в пункте 2164 настоящих Правил, добавляют горючие материалы, используемые для сборки конструкций типа С.</w:t>
      </w:r>
    </w:p>
    <w:bookmarkEnd w:id="6838"/>
    <w:bookmarkStart w:name="z6850" w:id="6839"/>
    <w:p>
      <w:pPr>
        <w:spacing w:after="0"/>
        <w:ind w:left="0"/>
        <w:jc w:val="both"/>
      </w:pPr>
      <w:r>
        <w:rPr>
          <w:rFonts w:ascii="Times New Roman"/>
          <w:b w:val="false"/>
          <w:i w:val="false"/>
          <w:color w:val="000000"/>
          <w:sz w:val="28"/>
        </w:rPr>
        <w:t>
      2208. Конструкция подволок и зашивка переборок такие, чтобы пожарные дозорные, не нарушая эффективности противопожарной защиты, возможно обнаружить дым, появившийся в труднодоступных и недоступных местах; исключение составляют места, в которых отсутствует опасность возникновения пожара.</w:t>
      </w:r>
    </w:p>
    <w:bookmarkEnd w:id="6839"/>
    <w:bookmarkStart w:name="z6851" w:id="6840"/>
    <w:p>
      <w:pPr>
        <w:spacing w:after="0"/>
        <w:ind w:left="0"/>
        <w:jc w:val="both"/>
      </w:pPr>
      <w:r>
        <w:rPr>
          <w:rFonts w:ascii="Times New Roman"/>
          <w:b w:val="false"/>
          <w:i w:val="false"/>
          <w:color w:val="000000"/>
          <w:sz w:val="28"/>
        </w:rPr>
        <w:t>
      2209. Мебель в выгородках трапов ограничивают только местами для сидения. Она закрепляется, ограничивается шестью местами на каждой палубе в каждой выгородке трапа, имеют ограниченную пожароопасность и не препятствует пассажирам выйти наружу. Регистр судоходства разрешает дополнительные сидячие места в главном вестибюле в пределах выгородки трапа, если они закреплены, изготовлены из негорючих материалов и не создают препятствия пассажирам на пути эвакуации. Мебель не разрешается устанавливать в коридорах для пассажиров и команды, образующих пути в районах кают. В дополнение к вышесказанному возможно разрешить кладовые из негорючих материалов для предметов противопожарного снабжения и спасательных средств, требуемых настоящими Правилами. Автоматы питьевой воды и установки для производства кубиков льда разрешается иметь в коридорах при условии, что они закреплены и не ограничивают ширину путей эвакуации. Это применяется также к устройству декоративных посадок цветов или деревьев, скульптур или иных объектов искусства, таких как картины и гобелены на переборках коридорах и трапов.</w:t>
      </w:r>
    </w:p>
    <w:bookmarkEnd w:id="6840"/>
    <w:bookmarkStart w:name="z6852" w:id="6841"/>
    <w:p>
      <w:pPr>
        <w:spacing w:after="0"/>
        <w:ind w:left="0"/>
        <w:jc w:val="both"/>
      </w:pPr>
      <w:r>
        <w:rPr>
          <w:rFonts w:ascii="Times New Roman"/>
          <w:b w:val="false"/>
          <w:i w:val="false"/>
          <w:color w:val="000000"/>
          <w:sz w:val="28"/>
        </w:rPr>
        <w:t>
      2210. Зашивки, подволоки и неполные переборки или палубы, применяемые для того, чтобы отгораживать или разделять примыкающие балконы кают, из негорючих материалов. Балконы кают на пассажирских судах, построенных до 1 июля 2008 года, необходимо чтобы соответствовали требованиям данного пункта к дате первого освидетельствования, которая наступит после 1 июля 2008 года.</w:t>
      </w:r>
    </w:p>
    <w:bookmarkEnd w:id="6841"/>
    <w:bookmarkStart w:name="z6853" w:id="6842"/>
    <w:p>
      <w:pPr>
        <w:spacing w:after="0"/>
        <w:ind w:left="0"/>
        <w:jc w:val="both"/>
      </w:pPr>
      <w:r>
        <w:rPr>
          <w:rFonts w:ascii="Times New Roman"/>
          <w:b w:val="false"/>
          <w:i w:val="false"/>
          <w:color w:val="000000"/>
          <w:sz w:val="28"/>
        </w:rPr>
        <w:t>
      2211. Мебель и отделка на балконах кают пассажирских судов.</w:t>
      </w:r>
    </w:p>
    <w:bookmarkEnd w:id="6842"/>
    <w:bookmarkStart w:name="z6854" w:id="6843"/>
    <w:p>
      <w:pPr>
        <w:spacing w:after="0"/>
        <w:ind w:left="0"/>
        <w:jc w:val="both"/>
      </w:pPr>
      <w:r>
        <w:rPr>
          <w:rFonts w:ascii="Times New Roman"/>
          <w:b w:val="false"/>
          <w:i w:val="false"/>
          <w:color w:val="000000"/>
          <w:sz w:val="28"/>
        </w:rPr>
        <w:t>
      Помещения, мебель и отделка которых представляют ограниченную пожароопасность для целей локализации пожара в месте его возникновения, как указано в Резолюции ИМО MSC.99(73), есть помещения (каюты, общественные помещения, кабинеты или жилые помещения других типов), в которых:</w:t>
      </w:r>
    </w:p>
    <w:bookmarkEnd w:id="6843"/>
    <w:bookmarkStart w:name="z6855" w:id="6844"/>
    <w:p>
      <w:pPr>
        <w:spacing w:after="0"/>
        <w:ind w:left="0"/>
        <w:jc w:val="both"/>
      </w:pPr>
      <w:r>
        <w:rPr>
          <w:rFonts w:ascii="Times New Roman"/>
          <w:b w:val="false"/>
          <w:i w:val="false"/>
          <w:color w:val="000000"/>
          <w:sz w:val="28"/>
        </w:rPr>
        <w:t>
      1) ящичная мебель, такая, как столы, гардеробы, туалетные столики, бюро, платяные шкафы, полностью изготовлена из одобренных негорючих материалов, однако рабочая поверхность такой мебели имеет горючую облицовку толщиной не более 2 мм;</w:t>
      </w:r>
    </w:p>
    <w:bookmarkEnd w:id="6844"/>
    <w:bookmarkStart w:name="z6856" w:id="6845"/>
    <w:p>
      <w:pPr>
        <w:spacing w:after="0"/>
        <w:ind w:left="0"/>
        <w:jc w:val="both"/>
      </w:pPr>
      <w:r>
        <w:rPr>
          <w:rFonts w:ascii="Times New Roman"/>
          <w:b w:val="false"/>
          <w:i w:val="false"/>
          <w:color w:val="000000"/>
          <w:sz w:val="28"/>
        </w:rPr>
        <w:t>
      2) незакрепленная мебель, такая, как кресла, диваны, столы, изготовлена с применением каркасов из негорючих материалов;</w:t>
      </w:r>
    </w:p>
    <w:bookmarkEnd w:id="6845"/>
    <w:bookmarkStart w:name="z6857" w:id="6846"/>
    <w:p>
      <w:pPr>
        <w:spacing w:after="0"/>
        <w:ind w:left="0"/>
        <w:jc w:val="both"/>
      </w:pPr>
      <w:r>
        <w:rPr>
          <w:rFonts w:ascii="Times New Roman"/>
          <w:b w:val="false"/>
          <w:i w:val="false"/>
          <w:color w:val="000000"/>
          <w:sz w:val="28"/>
        </w:rPr>
        <w:t>
      3) драпировки, занавеси и другие висящие тканевые изделия противостоят распространению пламени не хуже, чем изделия из шерсти массой 0,8 кг/м</w:t>
      </w:r>
      <w:r>
        <w:rPr>
          <w:rFonts w:ascii="Times New Roman"/>
          <w:b w:val="false"/>
          <w:i w:val="false"/>
          <w:color w:val="000000"/>
          <w:vertAlign w:val="superscript"/>
        </w:rPr>
        <w:t>2</w:t>
      </w:r>
      <w:r>
        <w:rPr>
          <w:rFonts w:ascii="Times New Roman"/>
          <w:b w:val="false"/>
          <w:i w:val="false"/>
          <w:color w:val="000000"/>
          <w:sz w:val="28"/>
        </w:rPr>
        <w:t>;</w:t>
      </w:r>
    </w:p>
    <w:bookmarkEnd w:id="6846"/>
    <w:bookmarkStart w:name="z6858" w:id="6847"/>
    <w:p>
      <w:pPr>
        <w:spacing w:after="0"/>
        <w:ind w:left="0"/>
        <w:jc w:val="both"/>
      </w:pPr>
      <w:r>
        <w:rPr>
          <w:rFonts w:ascii="Times New Roman"/>
          <w:b w:val="false"/>
          <w:i w:val="false"/>
          <w:color w:val="000000"/>
          <w:sz w:val="28"/>
        </w:rPr>
        <w:t>
      4) обитая мебель обладает качеством сопротивления воспламенению и распространению пламени; и</w:t>
      </w:r>
    </w:p>
    <w:bookmarkEnd w:id="6847"/>
    <w:bookmarkStart w:name="z6859" w:id="6848"/>
    <w:p>
      <w:pPr>
        <w:spacing w:after="0"/>
        <w:ind w:left="0"/>
        <w:jc w:val="both"/>
      </w:pPr>
      <w:r>
        <w:rPr>
          <w:rFonts w:ascii="Times New Roman"/>
          <w:b w:val="false"/>
          <w:i w:val="false"/>
          <w:color w:val="000000"/>
          <w:sz w:val="28"/>
        </w:rPr>
        <w:t>
      5) спальные принадлежности обладают необходимым качеством в отношении сопротивления воспламенению и распространению пламени.</w:t>
      </w:r>
    </w:p>
    <w:bookmarkEnd w:id="6848"/>
    <w:bookmarkStart w:name="z6860" w:id="6849"/>
    <w:p>
      <w:pPr>
        <w:spacing w:after="0"/>
        <w:ind w:left="0"/>
        <w:jc w:val="both"/>
      </w:pPr>
      <w:r>
        <w:rPr>
          <w:rFonts w:ascii="Times New Roman"/>
          <w:b w:val="false"/>
          <w:i w:val="false"/>
          <w:color w:val="000000"/>
          <w:sz w:val="28"/>
        </w:rPr>
        <w:t>
      2212. На пассажирских судах мебель и отделка на балконах кают соответствуют требованиям пункта 2211 настоящих Правил, за исключением случаев, когда такие балконы защищены стационарной системой водораспыления и стационарной системой сигнализации обнаружения пожара.</w:t>
      </w:r>
    </w:p>
    <w:bookmarkEnd w:id="6849"/>
    <w:bookmarkStart w:name="z6861" w:id="6850"/>
    <w:p>
      <w:pPr>
        <w:spacing w:after="0"/>
        <w:ind w:left="0"/>
        <w:jc w:val="both"/>
      </w:pPr>
      <w:r>
        <w:rPr>
          <w:rFonts w:ascii="Times New Roman"/>
          <w:b w:val="false"/>
          <w:i w:val="false"/>
          <w:color w:val="000000"/>
          <w:sz w:val="28"/>
        </w:rPr>
        <w:t>
      Пассажирские суда, построенные до 1 июля 2008 г., соответствуют требованиям данного пункта к дате первого освидетельствования, которая наступит после 1 июля 2008 года.</w:t>
      </w:r>
    </w:p>
    <w:bookmarkEnd w:id="6850"/>
    <w:bookmarkStart w:name="z6862" w:id="6851"/>
    <w:p>
      <w:pPr>
        <w:spacing w:after="0"/>
        <w:ind w:left="0"/>
        <w:jc w:val="left"/>
      </w:pPr>
      <w:r>
        <w:rPr>
          <w:rFonts w:ascii="Times New Roman"/>
          <w:b/>
          <w:i w:val="false"/>
          <w:color w:val="000000"/>
        </w:rPr>
        <w:t xml:space="preserve"> Параграф 3. Помещения транспортных средстве, помещения с</w:t>
      </w:r>
      <w:r>
        <w:br/>
      </w:r>
      <w:r>
        <w:rPr>
          <w:rFonts w:ascii="Times New Roman"/>
          <w:b/>
          <w:i w:val="false"/>
          <w:color w:val="000000"/>
        </w:rPr>
        <w:t>горизонтальным способом погрузки и выгрузки и</w:t>
      </w:r>
      <w:r>
        <w:br/>
      </w:r>
      <w:r>
        <w:rPr>
          <w:rFonts w:ascii="Times New Roman"/>
          <w:b/>
          <w:i w:val="false"/>
          <w:color w:val="000000"/>
        </w:rPr>
        <w:t>помещения специальной категории</w:t>
      </w:r>
    </w:p>
    <w:bookmarkEnd w:id="6851"/>
    <w:bookmarkStart w:name="z6863" w:id="6852"/>
    <w:p>
      <w:pPr>
        <w:spacing w:after="0"/>
        <w:ind w:left="0"/>
        <w:jc w:val="both"/>
      </w:pPr>
      <w:r>
        <w:rPr>
          <w:rFonts w:ascii="Times New Roman"/>
          <w:b w:val="false"/>
          <w:i w:val="false"/>
          <w:color w:val="000000"/>
          <w:sz w:val="28"/>
        </w:rPr>
        <w:t>
      2213. Там, где такие помещения невозможно защитить главными вертикальными противопожарными зонами, их защита обеспечивается разделением на горизонтальные зоны. Эти зоны располагаются более чем на одной палубе, при этом общая высота, определяемая как сумма расстояний между соседними палубами без учета высоты рамного набора, не превышает 10м.</w:t>
      </w:r>
    </w:p>
    <w:bookmarkEnd w:id="6852"/>
    <w:bookmarkStart w:name="z6864" w:id="6853"/>
    <w:p>
      <w:pPr>
        <w:spacing w:after="0"/>
        <w:ind w:left="0"/>
        <w:jc w:val="both"/>
      </w:pPr>
      <w:r>
        <w:rPr>
          <w:rFonts w:ascii="Times New Roman"/>
          <w:b w:val="false"/>
          <w:i w:val="false"/>
          <w:color w:val="000000"/>
          <w:sz w:val="28"/>
        </w:rPr>
        <w:t>
      Противопожарные двери и проходы (вырезы) в палубах и переборках типа А, образующих ограничивающие конструкции, отделяющие горизонтальные зоны друг от друга и от остальной части судна, удовлетворяют требованиям, применяемым к противопожарным дверям и проходам (вырезам) в горизонтальных зонах (параграф 4 настоящей главы).</w:t>
      </w:r>
    </w:p>
    <w:bookmarkEnd w:id="6853"/>
    <w:bookmarkStart w:name="z6865" w:id="6854"/>
    <w:p>
      <w:pPr>
        <w:spacing w:after="0"/>
        <w:ind w:left="0"/>
        <w:jc w:val="both"/>
      </w:pPr>
      <w:r>
        <w:rPr>
          <w:rFonts w:ascii="Times New Roman"/>
          <w:b w:val="false"/>
          <w:i w:val="false"/>
          <w:color w:val="000000"/>
          <w:sz w:val="28"/>
        </w:rPr>
        <w:t>
      2214. На судах, перевозящих более 36 пассажиров, переборки и палубы, ограничивающие помещения специальной категории, должны быть типа А-60. Однако там, где с одной стороны переборки находятся помещения, перечисленные в подпунктах 5), 9) или 10) пункта 2199 настоящих Правил, они могут быть типа А-О. Если топливные танки располагаются под помещениями специальной категории, огнестойкость палубы между такими помещениями может быть типа А-О.</w:t>
      </w:r>
    </w:p>
    <w:bookmarkEnd w:id="6854"/>
    <w:bookmarkStart w:name="z6866" w:id="6855"/>
    <w:p>
      <w:pPr>
        <w:spacing w:after="0"/>
        <w:ind w:left="0"/>
        <w:jc w:val="both"/>
      </w:pPr>
      <w:r>
        <w:rPr>
          <w:rFonts w:ascii="Times New Roman"/>
          <w:b w:val="false"/>
          <w:i w:val="false"/>
          <w:color w:val="000000"/>
          <w:sz w:val="28"/>
        </w:rPr>
        <w:t>
      На судах, перевозящих не более 36 пассажиров, переборки, ограничивающие помещения специальной категории, должны быть типа, требуемого для помещений категории (11) по приложению 263 настоящих Правил, а горизонтальные ограничивающие конструкции — типа, требуемого для помещений категории (11) приложению 264 настоящих Правил.</w:t>
      </w:r>
    </w:p>
    <w:bookmarkEnd w:id="6855"/>
    <w:bookmarkStart w:name="z6867" w:id="6856"/>
    <w:p>
      <w:pPr>
        <w:spacing w:after="0"/>
        <w:ind w:left="0"/>
        <w:jc w:val="both"/>
      </w:pPr>
      <w:r>
        <w:rPr>
          <w:rFonts w:ascii="Times New Roman"/>
          <w:b w:val="false"/>
          <w:i w:val="false"/>
          <w:color w:val="000000"/>
          <w:sz w:val="28"/>
        </w:rPr>
        <w:t>
      На пассажирских судах, перевозящих не более 36 пассажиров, переборки и палубы, ограничивающие закрытые и открытые помещения с горизонтальным способом погрузки и выгрузки, имеют огнестойкость, требуемую для помещений категории (8) согласно приложению 263 настоящих Правил, а горизонтальные ограничивающие конструкции – огнестойкость, требуемую для помещений категории (8) согласно приложению 264 настоящих Правил.</w:t>
      </w:r>
    </w:p>
    <w:bookmarkEnd w:id="6856"/>
    <w:bookmarkStart w:name="z6868" w:id="6857"/>
    <w:p>
      <w:pPr>
        <w:spacing w:after="0"/>
        <w:ind w:left="0"/>
        <w:jc w:val="both"/>
      </w:pPr>
      <w:r>
        <w:rPr>
          <w:rFonts w:ascii="Times New Roman"/>
          <w:b w:val="false"/>
          <w:i w:val="false"/>
          <w:color w:val="000000"/>
          <w:sz w:val="28"/>
        </w:rPr>
        <w:t>
      2215. На ходовом мостике предусматривают индикаторы закрытия любой противопожарной двери помещений специальной категории.</w:t>
      </w:r>
    </w:p>
    <w:bookmarkEnd w:id="6857"/>
    <w:bookmarkStart w:name="z6869" w:id="6858"/>
    <w:p>
      <w:pPr>
        <w:spacing w:after="0"/>
        <w:ind w:left="0"/>
        <w:jc w:val="both"/>
      </w:pPr>
      <w:r>
        <w:rPr>
          <w:rFonts w:ascii="Times New Roman"/>
          <w:b w:val="false"/>
          <w:i w:val="false"/>
          <w:color w:val="000000"/>
          <w:sz w:val="28"/>
        </w:rPr>
        <w:t>
      2216. Помещения специальной категории имеют выходы к местам посадки в спасательные шлюпки и плоты, отвечающие требованиям параграфа 1 главы 84, пункта 1414 настоящих Правил, а также требованиям пункта 2189 и подпункта 1) пункта 2205 настоящих Правил.</w:t>
      </w:r>
    </w:p>
    <w:bookmarkEnd w:id="6858"/>
    <w:bookmarkStart w:name="z6870" w:id="6859"/>
    <w:p>
      <w:pPr>
        <w:spacing w:after="0"/>
        <w:ind w:left="0"/>
        <w:jc w:val="both"/>
      </w:pPr>
      <w:r>
        <w:rPr>
          <w:rFonts w:ascii="Times New Roman"/>
          <w:b w:val="false"/>
          <w:i w:val="false"/>
          <w:color w:val="000000"/>
          <w:sz w:val="28"/>
        </w:rPr>
        <w:t>
      Один из путей эвакуации из машинных помещений, где обычно работает экипаж, не имеет прямого сообщения с помещениями специальной категории.</w:t>
      </w:r>
    </w:p>
    <w:bookmarkEnd w:id="6859"/>
    <w:bookmarkStart w:name="z6871" w:id="6860"/>
    <w:p>
      <w:pPr>
        <w:spacing w:after="0"/>
        <w:ind w:left="0"/>
        <w:jc w:val="left"/>
      </w:pPr>
      <w:r>
        <w:rPr>
          <w:rFonts w:ascii="Times New Roman"/>
          <w:b/>
          <w:i w:val="false"/>
          <w:color w:val="000000"/>
        </w:rPr>
        <w:t xml:space="preserve"> Параграф 4. Двери, окна, иллюминаторы</w:t>
      </w:r>
    </w:p>
    <w:bookmarkEnd w:id="6860"/>
    <w:bookmarkStart w:name="z6872" w:id="6861"/>
    <w:p>
      <w:pPr>
        <w:spacing w:after="0"/>
        <w:ind w:left="0"/>
        <w:jc w:val="both"/>
      </w:pPr>
      <w:r>
        <w:rPr>
          <w:rFonts w:ascii="Times New Roman"/>
          <w:b w:val="false"/>
          <w:i w:val="false"/>
          <w:color w:val="000000"/>
          <w:sz w:val="28"/>
        </w:rPr>
        <w:t>
      2217. Противопожарные двери в переборках главных вертикальных зон, камбуза и выгородках трапов, иные, чем водонепроницаемые двери с приводом от источника энергии, а также те, что обычно находятся в задраенном состоянии, должны отвечать следующим требованиям:</w:t>
      </w:r>
    </w:p>
    <w:bookmarkEnd w:id="6861"/>
    <w:bookmarkStart w:name="z6873" w:id="6862"/>
    <w:p>
      <w:pPr>
        <w:spacing w:after="0"/>
        <w:ind w:left="0"/>
        <w:jc w:val="both"/>
      </w:pPr>
      <w:r>
        <w:rPr>
          <w:rFonts w:ascii="Times New Roman"/>
          <w:b w:val="false"/>
          <w:i w:val="false"/>
          <w:color w:val="000000"/>
          <w:sz w:val="28"/>
        </w:rPr>
        <w:t>
      1) двери самозакрывающиеся и закрываются при угле наклона до 3,5</w:t>
      </w:r>
      <w:r>
        <w:rPr>
          <w:rFonts w:ascii="Times New Roman"/>
          <w:b w:val="false"/>
          <w:i w:val="false"/>
          <w:color w:val="000000"/>
          <w:vertAlign w:val="superscript"/>
        </w:rPr>
        <w:t>о</w:t>
      </w:r>
      <w:r>
        <w:rPr>
          <w:rFonts w:ascii="Times New Roman"/>
          <w:b w:val="false"/>
          <w:i w:val="false"/>
          <w:color w:val="000000"/>
          <w:sz w:val="28"/>
        </w:rPr>
        <w:t xml:space="preserve"> в сторону, противоположную закрыванию;</w:t>
      </w:r>
    </w:p>
    <w:bookmarkEnd w:id="6862"/>
    <w:bookmarkStart w:name="z6874" w:id="6863"/>
    <w:p>
      <w:pPr>
        <w:spacing w:after="0"/>
        <w:ind w:left="0"/>
        <w:jc w:val="both"/>
      </w:pPr>
      <w:r>
        <w:rPr>
          <w:rFonts w:ascii="Times New Roman"/>
          <w:b w:val="false"/>
          <w:i w:val="false"/>
          <w:color w:val="000000"/>
          <w:sz w:val="28"/>
        </w:rPr>
        <w:t>
      2) время закрытия навесных противопожарных дверей должно быть 10 — 40 с с момента начала их движения, когда судно находится на ровном киле. Скорость закрытия скользящих противопожарных дверей равна 0,1 — 0,2 м/с, когда судно находится на ровном киле;</w:t>
      </w:r>
    </w:p>
    <w:bookmarkEnd w:id="6863"/>
    <w:bookmarkStart w:name="z6875" w:id="6864"/>
    <w:p>
      <w:pPr>
        <w:spacing w:after="0"/>
        <w:ind w:left="0"/>
        <w:jc w:val="both"/>
      </w:pPr>
      <w:r>
        <w:rPr>
          <w:rFonts w:ascii="Times New Roman"/>
          <w:b w:val="false"/>
          <w:i w:val="false"/>
          <w:color w:val="000000"/>
          <w:sz w:val="28"/>
        </w:rPr>
        <w:t>
      3) двери дистанционно освобождаются из центрального поста управления с постоянной вахтой либо одновременно, либо по группам, а также отдельно, на месте их установки, с обеих сторон двери. Освобождающие выключатели имеют положения "включено" — "выключено" для предотвращения автоматического возврата системы в прежнее положение;</w:t>
      </w:r>
    </w:p>
    <w:bookmarkEnd w:id="6864"/>
    <w:bookmarkStart w:name="z6876" w:id="6865"/>
    <w:p>
      <w:pPr>
        <w:spacing w:after="0"/>
        <w:ind w:left="0"/>
        <w:jc w:val="both"/>
      </w:pPr>
      <w:r>
        <w:rPr>
          <w:rFonts w:ascii="Times New Roman"/>
          <w:b w:val="false"/>
          <w:i w:val="false"/>
          <w:color w:val="000000"/>
          <w:sz w:val="28"/>
        </w:rPr>
        <w:t>
      4) крючки-защелки, не освобождаемые из ЦПП, запрещаются;</w:t>
      </w:r>
    </w:p>
    <w:bookmarkEnd w:id="6865"/>
    <w:bookmarkStart w:name="z6877" w:id="6866"/>
    <w:p>
      <w:pPr>
        <w:spacing w:after="0"/>
        <w:ind w:left="0"/>
        <w:jc w:val="both"/>
      </w:pPr>
      <w:r>
        <w:rPr>
          <w:rFonts w:ascii="Times New Roman"/>
          <w:b w:val="false"/>
          <w:i w:val="false"/>
          <w:color w:val="000000"/>
          <w:sz w:val="28"/>
        </w:rPr>
        <w:t>
      5) двери, закрываемые дистанционно из ЦПП, имеют способность открываться с обеих сторон с помощью местного управления. После такого открытия с места дверь вновь закрывается автоматически;</w:t>
      </w:r>
    </w:p>
    <w:bookmarkEnd w:id="6866"/>
    <w:bookmarkStart w:name="z6878" w:id="6867"/>
    <w:p>
      <w:pPr>
        <w:spacing w:after="0"/>
        <w:ind w:left="0"/>
        <w:jc w:val="both"/>
      </w:pPr>
      <w:r>
        <w:rPr>
          <w:rFonts w:ascii="Times New Roman"/>
          <w:b w:val="false"/>
          <w:i w:val="false"/>
          <w:color w:val="000000"/>
          <w:sz w:val="28"/>
        </w:rPr>
        <w:t>
      6) на панели индикации положения дверей на ЦПП с постоянной вахтой обеспечивается индикация о закрытии каждой из дистанционно освобождаемых дверей;</w:t>
      </w:r>
    </w:p>
    <w:bookmarkEnd w:id="6867"/>
    <w:bookmarkStart w:name="z6879" w:id="6868"/>
    <w:p>
      <w:pPr>
        <w:spacing w:after="0"/>
        <w:ind w:left="0"/>
        <w:jc w:val="both"/>
      </w:pPr>
      <w:r>
        <w:rPr>
          <w:rFonts w:ascii="Times New Roman"/>
          <w:b w:val="false"/>
          <w:i w:val="false"/>
          <w:color w:val="000000"/>
          <w:sz w:val="28"/>
        </w:rPr>
        <w:t>
      7) освобождающий механизм дверей устроен так, чтобы дверь автоматически закрывалась в случае повреждения системы управления или основного источника энергии;</w:t>
      </w:r>
    </w:p>
    <w:bookmarkEnd w:id="6868"/>
    <w:bookmarkStart w:name="z6880" w:id="6869"/>
    <w:p>
      <w:pPr>
        <w:spacing w:after="0"/>
        <w:ind w:left="0"/>
        <w:jc w:val="both"/>
      </w:pPr>
      <w:r>
        <w:rPr>
          <w:rFonts w:ascii="Times New Roman"/>
          <w:b w:val="false"/>
          <w:i w:val="false"/>
          <w:color w:val="000000"/>
          <w:sz w:val="28"/>
        </w:rPr>
        <w:t>
      8) местные аккумуляторы энергии для дверей с приводом от источника энергии предусматривают в непосредственной близости от дверей, чтобы обеспечить после повреждения системы управления или основного источника энергии, по меньшей мере, 10-кратное срабатывание дверей ("полностью открыто" — "полностью закрыто"), используя местное управление;</w:t>
      </w:r>
    </w:p>
    <w:bookmarkEnd w:id="6869"/>
    <w:bookmarkStart w:name="z6881" w:id="6870"/>
    <w:p>
      <w:pPr>
        <w:spacing w:after="0"/>
        <w:ind w:left="0"/>
        <w:jc w:val="both"/>
      </w:pPr>
      <w:r>
        <w:rPr>
          <w:rFonts w:ascii="Times New Roman"/>
          <w:b w:val="false"/>
          <w:i w:val="false"/>
          <w:color w:val="000000"/>
          <w:sz w:val="28"/>
        </w:rPr>
        <w:t>
      9) повреждение системы управления или основного источника энергии одной двери не влияет на безопасность срабатывания других дверей;</w:t>
      </w:r>
    </w:p>
    <w:bookmarkEnd w:id="6870"/>
    <w:bookmarkStart w:name="z6882" w:id="6871"/>
    <w:p>
      <w:pPr>
        <w:spacing w:after="0"/>
        <w:ind w:left="0"/>
        <w:jc w:val="both"/>
      </w:pPr>
      <w:r>
        <w:rPr>
          <w:rFonts w:ascii="Times New Roman"/>
          <w:b w:val="false"/>
          <w:i w:val="false"/>
          <w:color w:val="000000"/>
          <w:sz w:val="28"/>
        </w:rPr>
        <w:t>
      10) дистанционно освобождаемые скользящие двери или двери с приводом от источника энергии оборудуют аварийно-предупредительной сигнализацией, подающей звуковой сигнал в течение 5 — 10 с после освобождения двери из ЦПП, до того, как дверь начнет движение, и звучащий до тех пор, пока дверь не закроется полностью;</w:t>
      </w:r>
    </w:p>
    <w:bookmarkEnd w:id="6871"/>
    <w:bookmarkStart w:name="z6883" w:id="6872"/>
    <w:p>
      <w:pPr>
        <w:spacing w:after="0"/>
        <w:ind w:left="0"/>
        <w:jc w:val="both"/>
      </w:pPr>
      <w:r>
        <w:rPr>
          <w:rFonts w:ascii="Times New Roman"/>
          <w:b w:val="false"/>
          <w:i w:val="false"/>
          <w:color w:val="000000"/>
          <w:sz w:val="28"/>
        </w:rPr>
        <w:t>
      11) дверь, устроенная таким образом, что вновь открывается при контакте с каким-либо препятствием на пути закрытия, открывается на расстояние не более 1 м от точки контакта;</w:t>
      </w:r>
    </w:p>
    <w:bookmarkEnd w:id="6872"/>
    <w:bookmarkStart w:name="z6884" w:id="6873"/>
    <w:p>
      <w:pPr>
        <w:spacing w:after="0"/>
        <w:ind w:left="0"/>
        <w:jc w:val="both"/>
      </w:pPr>
      <w:r>
        <w:rPr>
          <w:rFonts w:ascii="Times New Roman"/>
          <w:b w:val="false"/>
          <w:i w:val="false"/>
          <w:color w:val="000000"/>
          <w:sz w:val="28"/>
        </w:rPr>
        <w:t>
      12) двери с двойными створками, оборудованные защелками-стопорами для обеспечения их огнестойкости, имеют защелку, которая срабатывает автоматически при приведении в действие дверей, освобождаемых системой управления;</w:t>
      </w:r>
    </w:p>
    <w:bookmarkEnd w:id="6873"/>
    <w:bookmarkStart w:name="z6885" w:id="6874"/>
    <w:p>
      <w:pPr>
        <w:spacing w:after="0"/>
        <w:ind w:left="0"/>
        <w:jc w:val="both"/>
      </w:pPr>
      <w:r>
        <w:rPr>
          <w:rFonts w:ascii="Times New Roman"/>
          <w:b w:val="false"/>
          <w:i w:val="false"/>
          <w:color w:val="000000"/>
          <w:sz w:val="28"/>
        </w:rPr>
        <w:t>
      13) автоматически закрываемые двери с приводом от источника энергии, ведущие непосредственно в помещения специальной категории, не требуют оборудования аварийно-предупредительной сигнализацией и механизмами дистанционного освобождения, указанными в подпунктах 3) и 10) пункта 2238 настоящих Правил;</w:t>
      </w:r>
    </w:p>
    <w:bookmarkEnd w:id="6874"/>
    <w:bookmarkStart w:name="z6886" w:id="6875"/>
    <w:p>
      <w:pPr>
        <w:spacing w:after="0"/>
        <w:ind w:left="0"/>
        <w:jc w:val="both"/>
      </w:pPr>
      <w:r>
        <w:rPr>
          <w:rFonts w:ascii="Times New Roman"/>
          <w:b w:val="false"/>
          <w:i w:val="false"/>
          <w:color w:val="000000"/>
          <w:sz w:val="28"/>
        </w:rPr>
        <w:t>
      14) компоненты местной системы управления доступны для технического обслуживания, ремонта и регулировки; и</w:t>
      </w:r>
    </w:p>
    <w:bookmarkEnd w:id="6875"/>
    <w:bookmarkStart w:name="z6887" w:id="6876"/>
    <w:p>
      <w:pPr>
        <w:spacing w:after="0"/>
        <w:ind w:left="0"/>
        <w:jc w:val="both"/>
      </w:pPr>
      <w:r>
        <w:rPr>
          <w:rFonts w:ascii="Times New Roman"/>
          <w:b w:val="false"/>
          <w:i w:val="false"/>
          <w:color w:val="000000"/>
          <w:sz w:val="28"/>
        </w:rPr>
        <w:t>
      15) двери с приводом от источника энергии оборудуют системой управления одобренного типа, способной работать при пожаре, что устанавливается в соответствии с Кодексом процедур огневых испытаний.</w:t>
      </w:r>
    </w:p>
    <w:bookmarkEnd w:id="6876"/>
    <w:bookmarkStart w:name="z6888" w:id="6877"/>
    <w:p>
      <w:pPr>
        <w:spacing w:after="0"/>
        <w:ind w:left="0"/>
        <w:jc w:val="both"/>
      </w:pPr>
      <w:r>
        <w:rPr>
          <w:rFonts w:ascii="Times New Roman"/>
          <w:b w:val="false"/>
          <w:i w:val="false"/>
          <w:color w:val="000000"/>
          <w:sz w:val="28"/>
        </w:rPr>
        <w:t>
      Такая система отвечает следующим требованиям:</w:t>
      </w:r>
    </w:p>
    <w:bookmarkEnd w:id="6877"/>
    <w:bookmarkStart w:name="z6889" w:id="6878"/>
    <w:p>
      <w:pPr>
        <w:spacing w:after="0"/>
        <w:ind w:left="0"/>
        <w:jc w:val="both"/>
      </w:pPr>
      <w:r>
        <w:rPr>
          <w:rFonts w:ascii="Times New Roman"/>
          <w:b w:val="false"/>
          <w:i w:val="false"/>
          <w:color w:val="000000"/>
          <w:sz w:val="28"/>
        </w:rPr>
        <w:t xml:space="preserve">
      система управления способна обеспечивать срабатывание двери при температуре, по меньшей мере, 200 </w:t>
      </w:r>
      <w:r>
        <w:rPr>
          <w:rFonts w:ascii="Times New Roman"/>
          <w:b w:val="false"/>
          <w:i w:val="false"/>
          <w:color w:val="000000"/>
          <w:vertAlign w:val="superscript"/>
        </w:rPr>
        <w:t>о</w:t>
      </w:r>
      <w:r>
        <w:rPr>
          <w:rFonts w:ascii="Times New Roman"/>
          <w:b w:val="false"/>
          <w:i w:val="false"/>
          <w:color w:val="000000"/>
          <w:sz w:val="28"/>
        </w:rPr>
        <w:t>С, в течение, по меньшей мере, 60 мин, при питании от источника энергии;</w:t>
      </w:r>
    </w:p>
    <w:bookmarkEnd w:id="6878"/>
    <w:bookmarkStart w:name="z6890" w:id="6879"/>
    <w:p>
      <w:pPr>
        <w:spacing w:after="0"/>
        <w:ind w:left="0"/>
        <w:jc w:val="both"/>
      </w:pPr>
      <w:r>
        <w:rPr>
          <w:rFonts w:ascii="Times New Roman"/>
          <w:b w:val="false"/>
          <w:i w:val="false"/>
          <w:color w:val="000000"/>
          <w:sz w:val="28"/>
        </w:rPr>
        <w:t>
      источник энергии для всех других дверей, не подверженных пожару, не повреждается; и</w:t>
      </w:r>
    </w:p>
    <w:bookmarkEnd w:id="6879"/>
    <w:bookmarkStart w:name="z6891" w:id="6880"/>
    <w:p>
      <w:pPr>
        <w:spacing w:after="0"/>
        <w:ind w:left="0"/>
        <w:jc w:val="both"/>
      </w:pPr>
      <w:r>
        <w:rPr>
          <w:rFonts w:ascii="Times New Roman"/>
          <w:b w:val="false"/>
          <w:i w:val="false"/>
          <w:color w:val="000000"/>
          <w:sz w:val="28"/>
        </w:rPr>
        <w:t xml:space="preserve">
      при температуре выше 200 </w:t>
      </w:r>
      <w:r>
        <w:rPr>
          <w:rFonts w:ascii="Times New Roman"/>
          <w:b w:val="false"/>
          <w:i w:val="false"/>
          <w:color w:val="000000"/>
          <w:vertAlign w:val="superscript"/>
        </w:rPr>
        <w:t>о</w:t>
      </w:r>
      <w:r>
        <w:rPr>
          <w:rFonts w:ascii="Times New Roman"/>
          <w:b w:val="false"/>
          <w:i w:val="false"/>
          <w:color w:val="000000"/>
          <w:sz w:val="28"/>
        </w:rPr>
        <w:t xml:space="preserve">С система управления автоматически отключается от источника энергии и способна удерживать дверь в закрытом состоянии до температуры, по меньшей мере, 945 </w:t>
      </w:r>
      <w:r>
        <w:rPr>
          <w:rFonts w:ascii="Times New Roman"/>
          <w:b w:val="false"/>
          <w:i w:val="false"/>
          <w:color w:val="000000"/>
          <w:vertAlign w:val="superscript"/>
        </w:rPr>
        <w:t>о</w:t>
      </w:r>
      <w:r>
        <w:rPr>
          <w:rFonts w:ascii="Times New Roman"/>
          <w:b w:val="false"/>
          <w:i w:val="false"/>
          <w:color w:val="000000"/>
          <w:sz w:val="28"/>
        </w:rPr>
        <w:t>С.</w:t>
      </w:r>
    </w:p>
    <w:bookmarkEnd w:id="6880"/>
    <w:bookmarkStart w:name="z6892" w:id="6881"/>
    <w:p>
      <w:pPr>
        <w:spacing w:after="0"/>
        <w:ind w:left="0"/>
        <w:jc w:val="both"/>
      </w:pPr>
      <w:r>
        <w:rPr>
          <w:rFonts w:ascii="Times New Roman"/>
          <w:b w:val="false"/>
          <w:i w:val="false"/>
          <w:color w:val="000000"/>
          <w:sz w:val="28"/>
        </w:rPr>
        <w:t>
      За исключением люков между грузовыми помещениями, помещениями специальной категории, кладовыми и багажными помещениями, а также между такими помещениями и открытыми палубами, все отверстия снабжают постоянно установленными средствами закрытия, которые по меньшей мере такие же огнестойкие, как и конструкции, в которых они установлены.</w:t>
      </w:r>
    </w:p>
    <w:bookmarkEnd w:id="6881"/>
    <w:bookmarkStart w:name="z6893" w:id="6882"/>
    <w:p>
      <w:pPr>
        <w:spacing w:after="0"/>
        <w:ind w:left="0"/>
        <w:jc w:val="both"/>
      </w:pPr>
      <w:r>
        <w:rPr>
          <w:rFonts w:ascii="Times New Roman"/>
          <w:b w:val="false"/>
          <w:i w:val="false"/>
          <w:color w:val="000000"/>
          <w:sz w:val="28"/>
        </w:rPr>
        <w:t>
      Конструкция дверей и дверных рам в переборках типа А с устройствами удержания их в закрытом положении, обеспечивает такую же огнестойкость и такую же непроницаемость для дыма и пламени, как и переборки, в которых установлены эти двери, что определяется в соответствии с Кодексом процедур огневых испытаний. Обеспечивается возможность открытия и закрытия каждой двери, установленной в конструкции типа А, с любой стороны переборки только одним человеком.</w:t>
      </w:r>
    </w:p>
    <w:bookmarkEnd w:id="6882"/>
    <w:bookmarkStart w:name="z6894" w:id="6883"/>
    <w:p>
      <w:pPr>
        <w:spacing w:after="0"/>
        <w:ind w:left="0"/>
        <w:jc w:val="both"/>
      </w:pPr>
      <w:r>
        <w:rPr>
          <w:rFonts w:ascii="Times New Roman"/>
          <w:b w:val="false"/>
          <w:i w:val="false"/>
          <w:color w:val="000000"/>
          <w:sz w:val="28"/>
        </w:rPr>
        <w:t>
      2218. За исключением водонепроницаемых дверей, дверей, непроицаемых при воздействии моря (полуводонепроницаемых дверей), дверей, ведущих на открытые палубы, и дверей, которые в достаточной степени газонепроницаемы, все двери типа А, размещенные в выгородках трапов, общественных помещениях и переборках главных вертикальных зон на путях эвакуации, должны быть оборудованы отверстиями для прокладки пожарных рукавов с самозакрывающимся устройством. Материал, конструкция и огнестойкость этого устройства такие же, что и у двери, в которой отверстие выполнено. Отверстие имеет площадь в свету 150 см</w:t>
      </w:r>
      <w:r>
        <w:rPr>
          <w:rFonts w:ascii="Times New Roman"/>
          <w:b w:val="false"/>
          <w:i w:val="false"/>
          <w:color w:val="000000"/>
          <w:vertAlign w:val="superscript"/>
        </w:rPr>
        <w:t>2</w:t>
      </w:r>
      <w:r>
        <w:rPr>
          <w:rFonts w:ascii="Times New Roman"/>
          <w:b w:val="false"/>
          <w:i w:val="false"/>
          <w:color w:val="000000"/>
          <w:sz w:val="28"/>
        </w:rPr>
        <w:t xml:space="preserve"> при закрытой двери и расположено в нижней части двери с противоположной стороны от петель двери или, если двери скользящего типа, как можно ближе к стороне открытия.</w:t>
      </w:r>
    </w:p>
    <w:bookmarkEnd w:id="6883"/>
    <w:bookmarkStart w:name="z6895" w:id="6884"/>
    <w:p>
      <w:pPr>
        <w:spacing w:after="0"/>
        <w:ind w:left="0"/>
        <w:jc w:val="both"/>
      </w:pPr>
      <w:r>
        <w:rPr>
          <w:rFonts w:ascii="Times New Roman"/>
          <w:b w:val="false"/>
          <w:i w:val="false"/>
          <w:color w:val="000000"/>
          <w:sz w:val="28"/>
        </w:rPr>
        <w:t>
      2219. Двери и дверные рамы в конструкциях типа В и устройства удержания их в закрытом положении обеспечивают огнестойкость, равноценную огнестойкости конструкции, что определяется в соответствии с Кодексом процедур огневых испытаний, за исключением того, что в нижней части таких дверей допускают вентиляционные отверстия. Если такие отверстия расположены в двери или под ней, их общая полезная площадь не превышает 0,05 м</w:t>
      </w:r>
      <w:r>
        <w:rPr>
          <w:rFonts w:ascii="Times New Roman"/>
          <w:b w:val="false"/>
          <w:i w:val="false"/>
          <w:color w:val="000000"/>
          <w:vertAlign w:val="superscript"/>
        </w:rPr>
        <w:t>2</w:t>
      </w:r>
      <w:r>
        <w:rPr>
          <w:rFonts w:ascii="Times New Roman"/>
          <w:b w:val="false"/>
          <w:i w:val="false"/>
          <w:color w:val="000000"/>
          <w:sz w:val="28"/>
        </w:rPr>
        <w:t>. Альтернативно, допускается выравнивающий давление воздуха канал вентиляции из негорючих материалов, устроенный между каютой и коридором, и расположенный под санитарным узлом, если площадь его поперечного сечения не превышает 0,05 м</w:t>
      </w:r>
      <w:r>
        <w:rPr>
          <w:rFonts w:ascii="Times New Roman"/>
          <w:b w:val="false"/>
          <w:i w:val="false"/>
          <w:color w:val="000000"/>
          <w:vertAlign w:val="superscript"/>
        </w:rPr>
        <w:t>2</w:t>
      </w:r>
      <w:r>
        <w:rPr>
          <w:rFonts w:ascii="Times New Roman"/>
          <w:b w:val="false"/>
          <w:i w:val="false"/>
          <w:color w:val="000000"/>
          <w:sz w:val="28"/>
        </w:rPr>
        <w:t>. Все такие отверстия снабжают решетками из негорючего материала. Двери кают в переборках типа В самозакрывающегося типа, стопоры не разрешаются.</w:t>
      </w:r>
    </w:p>
    <w:bookmarkEnd w:id="6884"/>
    <w:bookmarkStart w:name="z6896" w:id="6885"/>
    <w:p>
      <w:pPr>
        <w:spacing w:after="0"/>
        <w:ind w:left="0"/>
        <w:jc w:val="both"/>
      </w:pPr>
      <w:r>
        <w:rPr>
          <w:rFonts w:ascii="Times New Roman"/>
          <w:b w:val="false"/>
          <w:i w:val="false"/>
          <w:color w:val="000000"/>
          <w:sz w:val="28"/>
        </w:rPr>
        <w:t>
      2220. Окна, выходящие на места размещения спасательных средств и устройств, сбора и посадки, внешние трапы и открытые палубы, используемые в качестве путей эвакуации, и окна, находящиеся под районами посадки в спасательные плоты и под слипами для эвакуации, имеют огнестойкость, требуемую приложением 261 настоящих Правил. Однако, если для окон специально предусмотрена автоматическая спринклерная система, допускают окна типа А-О. При этом спринклеры располагают над окнами и устанавливают дополнительно к спринклерам подволоков; либо это могут быть спринклеры подволоков, установленные таким образом, чтобы окно защищалось водяным потоком с подачей по меньшей мере 5 л/мин м</w:t>
      </w:r>
      <w:r>
        <w:rPr>
          <w:rFonts w:ascii="Times New Roman"/>
          <w:b w:val="false"/>
          <w:i w:val="false"/>
          <w:color w:val="000000"/>
          <w:vertAlign w:val="superscript"/>
        </w:rPr>
        <w:t>2</w:t>
      </w:r>
      <w:r>
        <w:rPr>
          <w:rFonts w:ascii="Times New Roman"/>
          <w:b w:val="false"/>
          <w:i w:val="false"/>
          <w:color w:val="000000"/>
          <w:sz w:val="28"/>
        </w:rPr>
        <w:t>, а площадь окна включается в расчет площади охвата спринклером. Окна, расположенные по борту судна ниже мест посадки в спасательные шлюпки, имеют огнестойкость, равную, по меньшей мере, типу А-О.</w:t>
      </w:r>
    </w:p>
    <w:bookmarkEnd w:id="6885"/>
    <w:bookmarkStart w:name="z6897" w:id="6886"/>
    <w:p>
      <w:pPr>
        <w:spacing w:after="0"/>
        <w:ind w:left="0"/>
        <w:jc w:val="both"/>
      </w:pPr>
      <w:r>
        <w:rPr>
          <w:rFonts w:ascii="Times New Roman"/>
          <w:b w:val="false"/>
          <w:i w:val="false"/>
          <w:color w:val="000000"/>
          <w:sz w:val="28"/>
        </w:rPr>
        <w:t>
      Все окна и иллюминаторы в переборках, расположенные в переделах жилых и служебных помещений и постов управления, за исключением тех, к которым применяются положения пунктов 2221 и 2224 настоящих Правил, изготавливают так, чтобы соблюдались требования по огнестойкости переборок, в которых они установлены. Несмотря на требования приложений 261, 262, 263 и 264 настоящих Правил, окна и иллюминаторы в наружных переборках жилых, служебных помещений и постов управления имеют рамы, изготовленные из стали или другого равноценного материала, и отвечают пункту 1203 настоящих Правил.</w:t>
      </w:r>
    </w:p>
    <w:bookmarkEnd w:id="6886"/>
    <w:bookmarkStart w:name="z6898" w:id="6887"/>
    <w:p>
      <w:pPr>
        <w:spacing w:after="0"/>
        <w:ind w:left="0"/>
        <w:jc w:val="both"/>
      </w:pPr>
      <w:r>
        <w:rPr>
          <w:rFonts w:ascii="Times New Roman"/>
          <w:b w:val="false"/>
          <w:i w:val="false"/>
          <w:color w:val="000000"/>
          <w:sz w:val="28"/>
        </w:rPr>
        <w:t>
      2221. Требование в отношении огнестойкости типа А для наружных ограничивающих конструкций судна не применяется к остекленным переборкам, окнам и иллюминаторам, при условии, что в пункте 2220 настоящих Правил не содержатся требования о том, что такие ограничивающие конструкции должны быть типа А. Требование в отношении огнестойкости типа А для наружных ограничивающих конструкций судна не применяется к наружным дверям, за исключением дверей в надстройках и рубках, обращенных к спасательным средствам, местам посадки в спасательные средства и наружным местам сбора, наружным трапам и открытым палубам, используемым в качестве путей эвакуации. Двери выгородок трапов могут не отвечать данному требованию.</w:t>
      </w:r>
    </w:p>
    <w:bookmarkEnd w:id="6887"/>
    <w:bookmarkStart w:name="z6899" w:id="6888"/>
    <w:p>
      <w:pPr>
        <w:spacing w:after="0"/>
        <w:ind w:left="0"/>
        <w:jc w:val="both"/>
      </w:pPr>
      <w:r>
        <w:rPr>
          <w:rFonts w:ascii="Times New Roman"/>
          <w:b w:val="false"/>
          <w:i w:val="false"/>
          <w:color w:val="000000"/>
          <w:sz w:val="28"/>
        </w:rPr>
        <w:t>
      2222. На судах, перевозящих не более 36 пассажиров, разрешается применение горючих материалов для изготовления дверей, отделяющих каюты от индивидуальных внутренних санитарных помещений, таких как душевые.</w:t>
      </w:r>
    </w:p>
    <w:bookmarkEnd w:id="6888"/>
    <w:bookmarkStart w:name="z6900" w:id="6889"/>
    <w:p>
      <w:pPr>
        <w:spacing w:after="0"/>
        <w:ind w:left="0"/>
        <w:jc w:val="both"/>
      </w:pPr>
      <w:r>
        <w:rPr>
          <w:rFonts w:ascii="Times New Roman"/>
          <w:b w:val="false"/>
          <w:i w:val="false"/>
          <w:color w:val="000000"/>
          <w:sz w:val="28"/>
        </w:rPr>
        <w:t>
      2223. Двери в машинные помещения категории А, иные, чем водонепроницаемые двери с приводом от источника энергии, устроены так, чтобы обеспечивалось их принудительное закрытие при помощи закрывающих устройств с приводом от источника энергии или посредством установки самозакрывающихся дверей, способных закрываться при наклоне в 3,5</w:t>
      </w:r>
      <w:r>
        <w:rPr>
          <w:rFonts w:ascii="Times New Roman"/>
          <w:b w:val="false"/>
          <w:i w:val="false"/>
          <w:color w:val="000000"/>
          <w:vertAlign w:val="superscript"/>
        </w:rPr>
        <w:t>о</w:t>
      </w:r>
      <w:r>
        <w:rPr>
          <w:rFonts w:ascii="Times New Roman"/>
          <w:b w:val="false"/>
          <w:i w:val="false"/>
          <w:color w:val="000000"/>
          <w:sz w:val="28"/>
        </w:rPr>
        <w:t xml:space="preserve"> в сторону, противоположную закрытию двери, и имеющих безотказное удерживающее устройство, снабженное освобождающим устройством с дистанционным управлением. Двери для шахт аварийного выхода наружу допускается не оборудовать безотказным удерживающим устройством и устройством дистанционного освобождения двери.</w:t>
      </w:r>
    </w:p>
    <w:bookmarkEnd w:id="6889"/>
    <w:bookmarkStart w:name="z6901" w:id="6890"/>
    <w:p>
      <w:pPr>
        <w:spacing w:after="0"/>
        <w:ind w:left="0"/>
        <w:jc w:val="both"/>
      </w:pPr>
      <w:r>
        <w:rPr>
          <w:rFonts w:ascii="Times New Roman"/>
          <w:b w:val="false"/>
          <w:i w:val="false"/>
          <w:color w:val="000000"/>
          <w:sz w:val="28"/>
        </w:rPr>
        <w:t>
      Средства управления закрытием дверей, требуемые в подпункте 3) пункта 2184 настоящих Правил, располагаются на одном месте или сосредоточены в возможно меньшем количестве мест. К таким местам обеспечивают свободный доступ с открытой палубы.</w:t>
      </w:r>
    </w:p>
    <w:bookmarkEnd w:id="6890"/>
    <w:bookmarkStart w:name="z6902" w:id="6891"/>
    <w:p>
      <w:pPr>
        <w:spacing w:after="0"/>
        <w:ind w:left="0"/>
        <w:jc w:val="both"/>
      </w:pPr>
      <w:r>
        <w:rPr>
          <w:rFonts w:ascii="Times New Roman"/>
          <w:b w:val="false"/>
          <w:i w:val="false"/>
          <w:color w:val="000000"/>
          <w:sz w:val="28"/>
        </w:rPr>
        <w:t>
      2224. Требования в отношении огнестойкости типа В для наружных ограничивающих конструкций судна не применяются к остекленным переборкам, окнам и иллюминаторам. Также требования в отношении огнестойкости типа В не применяются к наружным дверям надстроек и рубок.</w:t>
      </w:r>
    </w:p>
    <w:bookmarkEnd w:id="6891"/>
    <w:bookmarkStart w:name="z6903" w:id="6892"/>
    <w:p>
      <w:pPr>
        <w:spacing w:after="0"/>
        <w:ind w:left="0"/>
        <w:jc w:val="left"/>
      </w:pPr>
      <w:r>
        <w:rPr>
          <w:rFonts w:ascii="Times New Roman"/>
          <w:b/>
          <w:i w:val="false"/>
          <w:color w:val="000000"/>
        </w:rPr>
        <w:t xml:space="preserve"> Глава 146. Грузовые суда</w:t>
      </w:r>
    </w:p>
    <w:bookmarkEnd w:id="6892"/>
    <w:p>
      <w:pPr>
        <w:spacing w:after="0"/>
        <w:ind w:left="0"/>
        <w:jc w:val="both"/>
      </w:pPr>
      <w:r>
        <w:rPr>
          <w:rFonts w:ascii="Times New Roman"/>
          <w:b w:val="false"/>
          <w:i w:val="false"/>
          <w:color w:val="ff0000"/>
          <w:sz w:val="28"/>
        </w:rPr>
        <w:t xml:space="preserve">
      Сноска. Заголовок главы 146 -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04" w:id="6893"/>
    <w:p>
      <w:pPr>
        <w:spacing w:after="0"/>
        <w:ind w:left="0"/>
        <w:jc w:val="both"/>
      </w:pPr>
      <w:r>
        <w:rPr>
          <w:rFonts w:ascii="Times New Roman"/>
          <w:b w:val="false"/>
          <w:i w:val="false"/>
          <w:color w:val="000000"/>
          <w:sz w:val="28"/>
        </w:rPr>
        <w:t>
      2225. В районе жилых и служебных помещениях принимают один из следующих способов защиты:</w:t>
      </w:r>
    </w:p>
    <w:bookmarkEnd w:id="6893"/>
    <w:bookmarkStart w:name="z6905" w:id="6894"/>
    <w:p>
      <w:pPr>
        <w:spacing w:after="0"/>
        <w:ind w:left="0"/>
        <w:jc w:val="both"/>
      </w:pPr>
      <w:r>
        <w:rPr>
          <w:rFonts w:ascii="Times New Roman"/>
          <w:b w:val="false"/>
          <w:i w:val="false"/>
          <w:color w:val="000000"/>
          <w:sz w:val="28"/>
        </w:rPr>
        <w:t>
      1) способ 1С:</w:t>
      </w:r>
    </w:p>
    <w:bookmarkEnd w:id="6894"/>
    <w:bookmarkStart w:name="z6906" w:id="6895"/>
    <w:p>
      <w:pPr>
        <w:spacing w:after="0"/>
        <w:ind w:left="0"/>
        <w:jc w:val="both"/>
      </w:pPr>
      <w:r>
        <w:rPr>
          <w:rFonts w:ascii="Times New Roman"/>
          <w:b w:val="false"/>
          <w:i w:val="false"/>
          <w:color w:val="000000"/>
          <w:sz w:val="28"/>
        </w:rPr>
        <w:t>
      выполнение внутренних разделительных переборок негорючими типа В или С, как правило, без установки в жилых и служебных помещениях автоматической спринклерной системы пожаротушения и сигнализации обнаружения пожара;</w:t>
      </w:r>
    </w:p>
    <w:bookmarkEnd w:id="6895"/>
    <w:bookmarkStart w:name="z6907" w:id="6896"/>
    <w:p>
      <w:pPr>
        <w:spacing w:after="0"/>
        <w:ind w:left="0"/>
        <w:jc w:val="both"/>
      </w:pPr>
      <w:r>
        <w:rPr>
          <w:rFonts w:ascii="Times New Roman"/>
          <w:b w:val="false"/>
          <w:i w:val="false"/>
          <w:color w:val="000000"/>
          <w:sz w:val="28"/>
        </w:rPr>
        <w:t>
      2) способ IIС:</w:t>
      </w:r>
    </w:p>
    <w:bookmarkEnd w:id="6896"/>
    <w:bookmarkStart w:name="z6908" w:id="6897"/>
    <w:p>
      <w:pPr>
        <w:spacing w:after="0"/>
        <w:ind w:left="0"/>
        <w:jc w:val="both"/>
      </w:pPr>
      <w:r>
        <w:rPr>
          <w:rFonts w:ascii="Times New Roman"/>
          <w:b w:val="false"/>
          <w:i w:val="false"/>
          <w:color w:val="000000"/>
          <w:sz w:val="28"/>
        </w:rPr>
        <w:t>
      устройство спринклерной автоматической системы пожаротушения и сигнализации пожара во всех помещениях, в которых возможно его возникновение; при этом к типам внутренних переборок специальные требования обычно не предъявляются;</w:t>
      </w:r>
    </w:p>
    <w:bookmarkEnd w:id="6897"/>
    <w:bookmarkStart w:name="z6909" w:id="6898"/>
    <w:p>
      <w:pPr>
        <w:spacing w:after="0"/>
        <w:ind w:left="0"/>
        <w:jc w:val="both"/>
      </w:pPr>
      <w:r>
        <w:rPr>
          <w:rFonts w:ascii="Times New Roman"/>
          <w:b w:val="false"/>
          <w:i w:val="false"/>
          <w:color w:val="000000"/>
          <w:sz w:val="28"/>
        </w:rPr>
        <w:t>
      3) способ IIIС:</w:t>
      </w:r>
    </w:p>
    <w:bookmarkEnd w:id="6898"/>
    <w:bookmarkStart w:name="z6910" w:id="6899"/>
    <w:p>
      <w:pPr>
        <w:spacing w:after="0"/>
        <w:ind w:left="0"/>
        <w:jc w:val="both"/>
      </w:pPr>
      <w:r>
        <w:rPr>
          <w:rFonts w:ascii="Times New Roman"/>
          <w:b w:val="false"/>
          <w:i w:val="false"/>
          <w:color w:val="000000"/>
          <w:sz w:val="28"/>
        </w:rPr>
        <w:t>
      устройство стационарной системы сигнализации обнаружения пожара одобренного типа, отвечающей требованиям глав 160 и 161 настоящих Правил, в помещениях, в которых возможно возникнет пожар, как правило, без ограничения типа внутренних разделительных переборок, разделяющих зоны; при этом ни в коем случае площадь любого жилого помещения или помещений, ограниченных перекрытиями типа А или В, не должна превышать 50 м</w:t>
      </w:r>
      <w:r>
        <w:rPr>
          <w:rFonts w:ascii="Times New Roman"/>
          <w:b w:val="false"/>
          <w:i w:val="false"/>
          <w:color w:val="000000"/>
          <w:vertAlign w:val="superscript"/>
        </w:rPr>
        <w:t>2</w:t>
      </w:r>
      <w:r>
        <w:rPr>
          <w:rFonts w:ascii="Times New Roman"/>
          <w:b w:val="false"/>
          <w:i w:val="false"/>
          <w:color w:val="000000"/>
          <w:sz w:val="28"/>
        </w:rPr>
        <w:t>. Регистр судоходства рассматривает возможность увеличения этой площади для общественных помещений.</w:t>
      </w:r>
    </w:p>
    <w:bookmarkEnd w:id="6899"/>
    <w:bookmarkStart w:name="z6911" w:id="6900"/>
    <w:p>
      <w:pPr>
        <w:spacing w:after="0"/>
        <w:ind w:left="0"/>
        <w:jc w:val="both"/>
      </w:pPr>
      <w:r>
        <w:rPr>
          <w:rFonts w:ascii="Times New Roman"/>
          <w:b w:val="false"/>
          <w:i w:val="false"/>
          <w:color w:val="000000"/>
          <w:sz w:val="28"/>
        </w:rPr>
        <w:t>
      Требования по использованию негорючих материалов для изготовления и изоляции переборок, ограничивающих машинные помещения, посты управления, служебные помещения, а также защита вышеуказанных выгородок трапов и коридоров являются общими для всех трех описанных выше способов.</w:t>
      </w:r>
    </w:p>
    <w:bookmarkEnd w:id="6900"/>
    <w:bookmarkStart w:name="z6912" w:id="6901"/>
    <w:p>
      <w:pPr>
        <w:spacing w:after="0"/>
        <w:ind w:left="0"/>
        <w:jc w:val="both"/>
      </w:pPr>
      <w:r>
        <w:rPr>
          <w:rFonts w:ascii="Times New Roman"/>
          <w:b w:val="false"/>
          <w:i w:val="false"/>
          <w:color w:val="000000"/>
          <w:sz w:val="28"/>
        </w:rPr>
        <w:t>
      2226. Минимальная огнестойкость переборок и палуб, разделяющих смежные помещения, отвечает требованиям приложений 265 и 266 настоящих Правил.</w:t>
      </w:r>
    </w:p>
    <w:bookmarkEnd w:id="6901"/>
    <w:bookmarkStart w:name="z6913" w:id="6902"/>
    <w:p>
      <w:pPr>
        <w:spacing w:after="0"/>
        <w:ind w:left="0"/>
        <w:jc w:val="both"/>
      </w:pPr>
      <w:r>
        <w:rPr>
          <w:rFonts w:ascii="Times New Roman"/>
          <w:b w:val="false"/>
          <w:i w:val="false"/>
          <w:color w:val="000000"/>
          <w:sz w:val="28"/>
        </w:rPr>
        <w:t>
      Для определения типа конструкций между смежными помещениями эти помещения в зависимости от их пожарной опасности подразделяются на следующие категории:</w:t>
      </w:r>
    </w:p>
    <w:bookmarkEnd w:id="6902"/>
    <w:bookmarkStart w:name="z6914" w:id="6903"/>
    <w:p>
      <w:pPr>
        <w:spacing w:after="0"/>
        <w:ind w:left="0"/>
        <w:jc w:val="both"/>
      </w:pPr>
      <w:r>
        <w:rPr>
          <w:rFonts w:ascii="Times New Roman"/>
          <w:b w:val="false"/>
          <w:i w:val="false"/>
          <w:color w:val="000000"/>
          <w:sz w:val="28"/>
        </w:rPr>
        <w:t>
      1) посты управления:</w:t>
      </w:r>
    </w:p>
    <w:bookmarkEnd w:id="6903"/>
    <w:bookmarkStart w:name="z6915" w:id="6904"/>
    <w:p>
      <w:pPr>
        <w:spacing w:after="0"/>
        <w:ind w:left="0"/>
        <w:jc w:val="both"/>
      </w:pPr>
      <w:r>
        <w:rPr>
          <w:rFonts w:ascii="Times New Roman"/>
          <w:b w:val="false"/>
          <w:i w:val="false"/>
          <w:color w:val="000000"/>
          <w:sz w:val="28"/>
        </w:rPr>
        <w:t>
      помещения, в которых расположены аварийные источники электроэнергии и освещения;</w:t>
      </w:r>
    </w:p>
    <w:bookmarkEnd w:id="6904"/>
    <w:bookmarkStart w:name="z6916" w:id="6905"/>
    <w:p>
      <w:pPr>
        <w:spacing w:after="0"/>
        <w:ind w:left="0"/>
        <w:jc w:val="both"/>
      </w:pPr>
      <w:r>
        <w:rPr>
          <w:rFonts w:ascii="Times New Roman"/>
          <w:b w:val="false"/>
          <w:i w:val="false"/>
          <w:color w:val="000000"/>
          <w:sz w:val="28"/>
        </w:rPr>
        <w:t>
      рулевая и штурманская рубки;</w:t>
      </w:r>
    </w:p>
    <w:bookmarkEnd w:id="6905"/>
    <w:bookmarkStart w:name="z6917" w:id="6906"/>
    <w:p>
      <w:pPr>
        <w:spacing w:after="0"/>
        <w:ind w:left="0"/>
        <w:jc w:val="both"/>
      </w:pPr>
      <w:r>
        <w:rPr>
          <w:rFonts w:ascii="Times New Roman"/>
          <w:b w:val="false"/>
          <w:i w:val="false"/>
          <w:color w:val="000000"/>
          <w:sz w:val="28"/>
        </w:rPr>
        <w:t>
      помещения, в которых расположено судовое радиооборудование;</w:t>
      </w:r>
    </w:p>
    <w:bookmarkEnd w:id="6906"/>
    <w:bookmarkStart w:name="z6918" w:id="6907"/>
    <w:p>
      <w:pPr>
        <w:spacing w:after="0"/>
        <w:ind w:left="0"/>
        <w:jc w:val="both"/>
      </w:pPr>
      <w:r>
        <w:rPr>
          <w:rFonts w:ascii="Times New Roman"/>
          <w:b w:val="false"/>
          <w:i w:val="false"/>
          <w:color w:val="000000"/>
          <w:sz w:val="28"/>
        </w:rPr>
        <w:t>
      пожарные посты;</w:t>
      </w:r>
    </w:p>
    <w:bookmarkEnd w:id="6907"/>
    <w:bookmarkStart w:name="z6919" w:id="6908"/>
    <w:p>
      <w:pPr>
        <w:spacing w:after="0"/>
        <w:ind w:left="0"/>
        <w:jc w:val="both"/>
      </w:pPr>
      <w:r>
        <w:rPr>
          <w:rFonts w:ascii="Times New Roman"/>
          <w:b w:val="false"/>
          <w:i w:val="false"/>
          <w:color w:val="000000"/>
          <w:sz w:val="28"/>
        </w:rPr>
        <w:t>
      центральный пост управления главными механизмами, если он находится вне машинного помещения;</w:t>
      </w:r>
    </w:p>
    <w:bookmarkEnd w:id="6908"/>
    <w:bookmarkStart w:name="z6920" w:id="6909"/>
    <w:p>
      <w:pPr>
        <w:spacing w:after="0"/>
        <w:ind w:left="0"/>
        <w:jc w:val="both"/>
      </w:pPr>
      <w:r>
        <w:rPr>
          <w:rFonts w:ascii="Times New Roman"/>
          <w:b w:val="false"/>
          <w:i w:val="false"/>
          <w:color w:val="000000"/>
          <w:sz w:val="28"/>
        </w:rPr>
        <w:t>
      помещения, в которых расположена централизованная система оповещения о пожаре;</w:t>
      </w:r>
    </w:p>
    <w:bookmarkEnd w:id="6909"/>
    <w:bookmarkStart w:name="z6921" w:id="6910"/>
    <w:p>
      <w:pPr>
        <w:spacing w:after="0"/>
        <w:ind w:left="0"/>
        <w:jc w:val="both"/>
      </w:pPr>
      <w:r>
        <w:rPr>
          <w:rFonts w:ascii="Times New Roman"/>
          <w:b w:val="false"/>
          <w:i w:val="false"/>
          <w:color w:val="000000"/>
          <w:sz w:val="28"/>
        </w:rPr>
        <w:t>
      2) коридоры и вестибюли;</w:t>
      </w:r>
    </w:p>
    <w:bookmarkEnd w:id="6910"/>
    <w:bookmarkStart w:name="z6922" w:id="6911"/>
    <w:p>
      <w:pPr>
        <w:spacing w:after="0"/>
        <w:ind w:left="0"/>
        <w:jc w:val="both"/>
      </w:pPr>
      <w:r>
        <w:rPr>
          <w:rFonts w:ascii="Times New Roman"/>
          <w:b w:val="false"/>
          <w:i w:val="false"/>
          <w:color w:val="000000"/>
          <w:sz w:val="28"/>
        </w:rPr>
        <w:t>
      3) жилые помещения в соответствии с пунктом 2135 настоящих Правил, за исключением коридоров;</w:t>
      </w:r>
    </w:p>
    <w:bookmarkEnd w:id="6911"/>
    <w:bookmarkStart w:name="z6923" w:id="6912"/>
    <w:p>
      <w:pPr>
        <w:spacing w:after="0"/>
        <w:ind w:left="0"/>
        <w:jc w:val="both"/>
      </w:pPr>
      <w:r>
        <w:rPr>
          <w:rFonts w:ascii="Times New Roman"/>
          <w:b w:val="false"/>
          <w:i w:val="false"/>
          <w:color w:val="000000"/>
          <w:sz w:val="28"/>
        </w:rPr>
        <w:t>
      4) междупалубные сообщения:</w:t>
      </w:r>
    </w:p>
    <w:bookmarkEnd w:id="6912"/>
    <w:bookmarkStart w:name="z6924" w:id="6913"/>
    <w:p>
      <w:pPr>
        <w:spacing w:after="0"/>
        <w:ind w:left="0"/>
        <w:jc w:val="both"/>
      </w:pPr>
      <w:r>
        <w:rPr>
          <w:rFonts w:ascii="Times New Roman"/>
          <w:b w:val="false"/>
          <w:i w:val="false"/>
          <w:color w:val="000000"/>
          <w:sz w:val="28"/>
        </w:rPr>
        <w:t>
      внутренние трапы и лифты, полностью выгороженные шахты аварийного выхода наружу и эскалаторы (за исключением тех, которые полностью находятся в машинных помещениях) и их выгородки.</w:t>
      </w:r>
    </w:p>
    <w:bookmarkEnd w:id="6913"/>
    <w:bookmarkStart w:name="z6925" w:id="6914"/>
    <w:p>
      <w:pPr>
        <w:spacing w:after="0"/>
        <w:ind w:left="0"/>
        <w:jc w:val="both"/>
      </w:pPr>
      <w:r>
        <w:rPr>
          <w:rFonts w:ascii="Times New Roman"/>
          <w:b w:val="false"/>
          <w:i w:val="false"/>
          <w:color w:val="000000"/>
          <w:sz w:val="28"/>
        </w:rPr>
        <w:t>
      Трап, выгороженный только в одном междупалубном пространстве, рассматривается как часть помещения, от которого он не отделен противопожарной дверью;</w:t>
      </w:r>
    </w:p>
    <w:bookmarkEnd w:id="6914"/>
    <w:bookmarkStart w:name="z6926" w:id="6915"/>
    <w:p>
      <w:pPr>
        <w:spacing w:after="0"/>
        <w:ind w:left="0"/>
        <w:jc w:val="both"/>
      </w:pPr>
      <w:r>
        <w:rPr>
          <w:rFonts w:ascii="Times New Roman"/>
          <w:b w:val="false"/>
          <w:i w:val="false"/>
          <w:color w:val="000000"/>
          <w:sz w:val="28"/>
        </w:rPr>
        <w:t>
      5) служебные помещения (с низкой пожарной опасностью):</w:t>
      </w:r>
    </w:p>
    <w:bookmarkEnd w:id="6915"/>
    <w:bookmarkStart w:name="z6927" w:id="6916"/>
    <w:p>
      <w:pPr>
        <w:spacing w:after="0"/>
        <w:ind w:left="0"/>
        <w:jc w:val="both"/>
      </w:pPr>
      <w:r>
        <w:rPr>
          <w:rFonts w:ascii="Times New Roman"/>
          <w:b w:val="false"/>
          <w:i w:val="false"/>
          <w:color w:val="000000"/>
          <w:sz w:val="28"/>
        </w:rPr>
        <w:t>
      кладовые площадью менее 4 м</w:t>
      </w:r>
      <w:r>
        <w:rPr>
          <w:rFonts w:ascii="Times New Roman"/>
          <w:b w:val="false"/>
          <w:i w:val="false"/>
          <w:color w:val="000000"/>
          <w:vertAlign w:val="superscript"/>
        </w:rPr>
        <w:t>2</w:t>
      </w:r>
      <w:r>
        <w:rPr>
          <w:rFonts w:ascii="Times New Roman"/>
          <w:b w:val="false"/>
          <w:i w:val="false"/>
          <w:color w:val="000000"/>
          <w:sz w:val="28"/>
        </w:rPr>
        <w:t>, не имеющие условий для хранения воспламеняющихся жидкостей, сушильные, прачечные и охлаждаемые провизионные кладовые, изоляция в которых выполнена негорючими материалами; помещения содержащие электрические распределительные щиты, площадью менее 4 м</w:t>
      </w:r>
      <w:r>
        <w:rPr>
          <w:rFonts w:ascii="Times New Roman"/>
          <w:b w:val="false"/>
          <w:i w:val="false"/>
          <w:color w:val="000000"/>
          <w:vertAlign w:val="superscript"/>
        </w:rPr>
        <w:t>2</w:t>
      </w:r>
      <w:r>
        <w:rPr>
          <w:rFonts w:ascii="Times New Roman"/>
          <w:b w:val="false"/>
          <w:i w:val="false"/>
          <w:color w:val="000000"/>
          <w:sz w:val="28"/>
        </w:rPr>
        <w:t>;</w:t>
      </w:r>
    </w:p>
    <w:bookmarkEnd w:id="6916"/>
    <w:bookmarkStart w:name="z6928" w:id="6917"/>
    <w:p>
      <w:pPr>
        <w:spacing w:after="0"/>
        <w:ind w:left="0"/>
        <w:jc w:val="both"/>
      </w:pPr>
      <w:r>
        <w:rPr>
          <w:rFonts w:ascii="Times New Roman"/>
          <w:b w:val="false"/>
          <w:i w:val="false"/>
          <w:color w:val="000000"/>
          <w:sz w:val="28"/>
        </w:rPr>
        <w:t>
      6) машинные помещения категории А:</w:t>
      </w:r>
    </w:p>
    <w:bookmarkEnd w:id="6917"/>
    <w:bookmarkStart w:name="z6929" w:id="6918"/>
    <w:p>
      <w:pPr>
        <w:spacing w:after="0"/>
        <w:ind w:left="0"/>
        <w:jc w:val="both"/>
      </w:pPr>
      <w:r>
        <w:rPr>
          <w:rFonts w:ascii="Times New Roman"/>
          <w:b w:val="false"/>
          <w:i w:val="false"/>
          <w:color w:val="000000"/>
          <w:sz w:val="28"/>
        </w:rPr>
        <w:t>
      помещения, определение которых дано в пункте 6 настоящих Правил;</w:t>
      </w:r>
    </w:p>
    <w:bookmarkEnd w:id="6918"/>
    <w:bookmarkStart w:name="z6930" w:id="6919"/>
    <w:p>
      <w:pPr>
        <w:spacing w:after="0"/>
        <w:ind w:left="0"/>
        <w:jc w:val="both"/>
      </w:pPr>
      <w:r>
        <w:rPr>
          <w:rFonts w:ascii="Times New Roman"/>
          <w:b w:val="false"/>
          <w:i w:val="false"/>
          <w:color w:val="000000"/>
          <w:sz w:val="28"/>
        </w:rPr>
        <w:t>
      7) прочие машинные помещения:</w:t>
      </w:r>
    </w:p>
    <w:bookmarkEnd w:id="6919"/>
    <w:bookmarkStart w:name="z6931" w:id="6920"/>
    <w:p>
      <w:pPr>
        <w:spacing w:after="0"/>
        <w:ind w:left="0"/>
        <w:jc w:val="both"/>
      </w:pPr>
      <w:r>
        <w:rPr>
          <w:rFonts w:ascii="Times New Roman"/>
          <w:b w:val="false"/>
          <w:i w:val="false"/>
          <w:color w:val="000000"/>
          <w:sz w:val="28"/>
        </w:rPr>
        <w:t>
      машинные помещения, кроме перечисленных в подпункте 6) настоящего пункта, и отделения электрооборудования(автоматические телефонные станции, помещения каналов кондиционирования воздуха);</w:t>
      </w:r>
    </w:p>
    <w:bookmarkEnd w:id="6920"/>
    <w:bookmarkStart w:name="z6932" w:id="6921"/>
    <w:p>
      <w:pPr>
        <w:spacing w:after="0"/>
        <w:ind w:left="0"/>
        <w:jc w:val="both"/>
      </w:pPr>
      <w:r>
        <w:rPr>
          <w:rFonts w:ascii="Times New Roman"/>
          <w:b w:val="false"/>
          <w:i w:val="false"/>
          <w:color w:val="000000"/>
          <w:sz w:val="28"/>
        </w:rPr>
        <w:t>
      8) грузовые помещения:</w:t>
      </w:r>
    </w:p>
    <w:bookmarkEnd w:id="6921"/>
    <w:bookmarkStart w:name="z6933" w:id="6922"/>
    <w:p>
      <w:pPr>
        <w:spacing w:after="0"/>
        <w:ind w:left="0"/>
        <w:jc w:val="both"/>
      </w:pPr>
      <w:r>
        <w:rPr>
          <w:rFonts w:ascii="Times New Roman"/>
          <w:b w:val="false"/>
          <w:i w:val="false"/>
          <w:color w:val="000000"/>
          <w:sz w:val="28"/>
        </w:rPr>
        <w:t>
      все помещения, используемые для перевозки груза, (включая грузовые танки для нефтепродуктов), а также шахты и люки, обслуживающие такие помещения;</w:t>
      </w:r>
    </w:p>
    <w:bookmarkEnd w:id="6922"/>
    <w:bookmarkStart w:name="z6934" w:id="6923"/>
    <w:p>
      <w:pPr>
        <w:spacing w:after="0"/>
        <w:ind w:left="0"/>
        <w:jc w:val="both"/>
      </w:pPr>
      <w:r>
        <w:rPr>
          <w:rFonts w:ascii="Times New Roman"/>
          <w:b w:val="false"/>
          <w:i w:val="false"/>
          <w:color w:val="000000"/>
          <w:sz w:val="28"/>
        </w:rPr>
        <w:t>
      9) служебные помещения (высокая пожарная опасность): камбузы и буфетные, содержащие оборудование для приготовления горячей пищи, сауны, малярные шкафы и кладовые площадью 4 м</w:t>
      </w:r>
      <w:r>
        <w:rPr>
          <w:rFonts w:ascii="Times New Roman"/>
          <w:b w:val="false"/>
          <w:i w:val="false"/>
          <w:color w:val="000000"/>
          <w:vertAlign w:val="superscript"/>
        </w:rPr>
        <w:t>2</w:t>
      </w:r>
      <w:r>
        <w:rPr>
          <w:rFonts w:ascii="Times New Roman"/>
          <w:b w:val="false"/>
          <w:i w:val="false"/>
          <w:color w:val="000000"/>
          <w:sz w:val="28"/>
        </w:rPr>
        <w:t xml:space="preserve"> или более, помещения для хранения воспламеняющихся жидкостей и мастерские или подобные им помещения, не являющиеся частью машинных помещений; охлаждаемые провизионные кладовые, изоляция в которых выполнена горючими материалами;</w:t>
      </w:r>
    </w:p>
    <w:bookmarkEnd w:id="6923"/>
    <w:bookmarkStart w:name="z6935" w:id="6924"/>
    <w:p>
      <w:pPr>
        <w:spacing w:after="0"/>
        <w:ind w:left="0"/>
        <w:jc w:val="both"/>
      </w:pPr>
      <w:r>
        <w:rPr>
          <w:rFonts w:ascii="Times New Roman"/>
          <w:b w:val="false"/>
          <w:i w:val="false"/>
          <w:color w:val="000000"/>
          <w:sz w:val="28"/>
        </w:rPr>
        <w:t>
      10) открытые палубы:</w:t>
      </w:r>
    </w:p>
    <w:bookmarkEnd w:id="6924"/>
    <w:bookmarkStart w:name="z6936" w:id="6925"/>
    <w:p>
      <w:pPr>
        <w:spacing w:after="0"/>
        <w:ind w:left="0"/>
        <w:jc w:val="both"/>
      </w:pPr>
      <w:r>
        <w:rPr>
          <w:rFonts w:ascii="Times New Roman"/>
          <w:b w:val="false"/>
          <w:i w:val="false"/>
          <w:color w:val="000000"/>
          <w:sz w:val="28"/>
        </w:rPr>
        <w:t>
      открытые участки палуб и выгороженные прогулочные палубы, не представляющие пожарной опасности. Это означает, что их отделка ограничивается палубной мебелью. Кроме того, такие места имеют естественную вентиляцию посредством постоянных отверстий;</w:t>
      </w:r>
    </w:p>
    <w:bookmarkEnd w:id="6925"/>
    <w:bookmarkStart w:name="z6937" w:id="6926"/>
    <w:p>
      <w:pPr>
        <w:spacing w:after="0"/>
        <w:ind w:left="0"/>
        <w:jc w:val="both"/>
      </w:pPr>
      <w:r>
        <w:rPr>
          <w:rFonts w:ascii="Times New Roman"/>
          <w:b w:val="false"/>
          <w:i w:val="false"/>
          <w:color w:val="000000"/>
          <w:sz w:val="28"/>
        </w:rPr>
        <w:t>
      открытые пространства (помещения вне переборок и рубок);</w:t>
      </w:r>
    </w:p>
    <w:bookmarkEnd w:id="6926"/>
    <w:bookmarkStart w:name="z6938" w:id="6927"/>
    <w:p>
      <w:pPr>
        <w:spacing w:after="0"/>
        <w:ind w:left="0"/>
        <w:jc w:val="both"/>
      </w:pPr>
      <w:r>
        <w:rPr>
          <w:rFonts w:ascii="Times New Roman"/>
          <w:b w:val="false"/>
          <w:i w:val="false"/>
          <w:color w:val="000000"/>
          <w:sz w:val="28"/>
        </w:rPr>
        <w:t>
      11) грузовые помещения с горизонтальным способом погрузки и выгрузки и помещения транспортных средств в соответствии с подпунктами 3) и 4) пункта 2137 настоящих Правил.</w:t>
      </w:r>
    </w:p>
    <w:bookmarkEnd w:id="6927"/>
    <w:bookmarkStart w:name="z6939" w:id="6928"/>
    <w:p>
      <w:pPr>
        <w:spacing w:after="0"/>
        <w:ind w:left="0"/>
        <w:jc w:val="both"/>
      </w:pPr>
      <w:r>
        <w:rPr>
          <w:rFonts w:ascii="Times New Roman"/>
          <w:b w:val="false"/>
          <w:i w:val="false"/>
          <w:color w:val="000000"/>
          <w:sz w:val="28"/>
        </w:rPr>
        <w:t>
      2227. Подволоки, зашивки, предотвращающие тягу заделки и относящийся к ним обрешетник, выполняют из негорючих материалов:</w:t>
      </w:r>
    </w:p>
    <w:bookmarkEnd w:id="6928"/>
    <w:bookmarkStart w:name="z6940" w:id="6929"/>
    <w:p>
      <w:pPr>
        <w:spacing w:after="0"/>
        <w:ind w:left="0"/>
        <w:jc w:val="both"/>
      </w:pPr>
      <w:r>
        <w:rPr>
          <w:rFonts w:ascii="Times New Roman"/>
          <w:b w:val="false"/>
          <w:i w:val="false"/>
          <w:color w:val="000000"/>
          <w:sz w:val="28"/>
        </w:rPr>
        <w:t>
      при защите по способу IС — в жилых, служебных помещениях и постах управления;</w:t>
      </w:r>
    </w:p>
    <w:bookmarkEnd w:id="6929"/>
    <w:bookmarkStart w:name="z6941" w:id="6930"/>
    <w:p>
      <w:pPr>
        <w:spacing w:after="0"/>
        <w:ind w:left="0"/>
        <w:jc w:val="both"/>
      </w:pPr>
      <w:r>
        <w:rPr>
          <w:rFonts w:ascii="Times New Roman"/>
          <w:b w:val="false"/>
          <w:i w:val="false"/>
          <w:color w:val="000000"/>
          <w:sz w:val="28"/>
        </w:rPr>
        <w:t>
      при защите по способу IIС и IIIС — в коридорах и выгородках трапов, обслуживающих жилые, служебные помещения и посты управления.</w:t>
      </w:r>
    </w:p>
    <w:bookmarkEnd w:id="6930"/>
    <w:bookmarkStart w:name="z6942" w:id="6931"/>
    <w:p>
      <w:pPr>
        <w:spacing w:after="0"/>
        <w:ind w:left="0"/>
        <w:jc w:val="both"/>
      </w:pPr>
      <w:r>
        <w:rPr>
          <w:rFonts w:ascii="Times New Roman"/>
          <w:b w:val="false"/>
          <w:i w:val="false"/>
          <w:color w:val="000000"/>
          <w:sz w:val="28"/>
        </w:rPr>
        <w:t>
      2228. В пределах жилых помещений переборки, которые не требуется как конструкции типа А или В, отвечают следующим требованиям:</w:t>
      </w:r>
    </w:p>
    <w:bookmarkEnd w:id="6931"/>
    <w:bookmarkStart w:name="z6943" w:id="6932"/>
    <w:p>
      <w:pPr>
        <w:spacing w:after="0"/>
        <w:ind w:left="0"/>
        <w:jc w:val="both"/>
      </w:pPr>
      <w:r>
        <w:rPr>
          <w:rFonts w:ascii="Times New Roman"/>
          <w:b w:val="false"/>
          <w:i w:val="false"/>
          <w:color w:val="000000"/>
          <w:sz w:val="28"/>
        </w:rPr>
        <w:t>
      1) при применении способа защиты IС — по крайней мере, выполнены как конструкции типа С;</w:t>
      </w:r>
    </w:p>
    <w:bookmarkEnd w:id="6932"/>
    <w:bookmarkStart w:name="z6944" w:id="6933"/>
    <w:p>
      <w:pPr>
        <w:spacing w:after="0"/>
        <w:ind w:left="0"/>
        <w:jc w:val="both"/>
      </w:pPr>
      <w:r>
        <w:rPr>
          <w:rFonts w:ascii="Times New Roman"/>
          <w:b w:val="false"/>
          <w:i w:val="false"/>
          <w:color w:val="000000"/>
          <w:sz w:val="28"/>
        </w:rPr>
        <w:t>
      2) при применении способа защиты IIС — не являются предметом ограничений, за исключением случаев, когда в соответствии с приложением 261 настоящих Правил требуются переборки типа С;</w:t>
      </w:r>
    </w:p>
    <w:bookmarkEnd w:id="6933"/>
    <w:bookmarkStart w:name="z6945" w:id="6934"/>
    <w:p>
      <w:pPr>
        <w:spacing w:after="0"/>
        <w:ind w:left="0"/>
        <w:jc w:val="both"/>
      </w:pPr>
      <w:r>
        <w:rPr>
          <w:rFonts w:ascii="Times New Roman"/>
          <w:b w:val="false"/>
          <w:i w:val="false"/>
          <w:color w:val="000000"/>
          <w:sz w:val="28"/>
        </w:rPr>
        <w:t>
      3) при применении способа защиты IIIС — не являются предметом ограничений, за исключением того, что площадь любого жилого помещения или помещений, ограниченных перекрытиями типа А или В, не должна превышать 50 м</w:t>
      </w:r>
      <w:r>
        <w:rPr>
          <w:rFonts w:ascii="Times New Roman"/>
          <w:b w:val="false"/>
          <w:i w:val="false"/>
          <w:color w:val="000000"/>
          <w:vertAlign w:val="superscript"/>
        </w:rPr>
        <w:t>2</w:t>
      </w:r>
      <w:r>
        <w:rPr>
          <w:rFonts w:ascii="Times New Roman"/>
          <w:b w:val="false"/>
          <w:i w:val="false"/>
          <w:color w:val="000000"/>
          <w:sz w:val="28"/>
        </w:rPr>
        <w:t xml:space="preserve"> (кроме отдельных случаев, когда в соответствии с приложением 261 настоящих Правил требуются переборки типа С).</w:t>
      </w:r>
    </w:p>
    <w:bookmarkEnd w:id="6934"/>
    <w:bookmarkStart w:name="z6946" w:id="6935"/>
    <w:p>
      <w:pPr>
        <w:spacing w:after="0"/>
        <w:ind w:left="0"/>
        <w:jc w:val="both"/>
      </w:pPr>
      <w:r>
        <w:rPr>
          <w:rFonts w:ascii="Times New Roman"/>
          <w:b w:val="false"/>
          <w:i w:val="false"/>
          <w:color w:val="000000"/>
          <w:sz w:val="28"/>
        </w:rPr>
        <w:t>
      Для общественных помещений эта площадь по согласованию с Регистром судоходства возможно увеличить.</w:t>
      </w:r>
    </w:p>
    <w:bookmarkEnd w:id="6935"/>
    <w:bookmarkStart w:name="z6947" w:id="6936"/>
    <w:p>
      <w:pPr>
        <w:spacing w:after="0"/>
        <w:ind w:left="0"/>
        <w:jc w:val="both"/>
      </w:pPr>
      <w:r>
        <w:rPr>
          <w:rFonts w:ascii="Times New Roman"/>
          <w:b w:val="false"/>
          <w:i w:val="false"/>
          <w:color w:val="000000"/>
          <w:sz w:val="28"/>
        </w:rPr>
        <w:t>
      На судах, построенных по способу защиты IС, возможно разрешить использование горючих материалов для изготовления дверей, отделяющих каюты от внутренних санитарных помещений, таких как душевые.</w:t>
      </w:r>
    </w:p>
    <w:bookmarkEnd w:id="6936"/>
    <w:bookmarkStart w:name="z6948" w:id="6937"/>
    <w:p>
      <w:pPr>
        <w:spacing w:after="0"/>
        <w:ind w:left="0"/>
        <w:jc w:val="both"/>
      </w:pPr>
      <w:r>
        <w:rPr>
          <w:rFonts w:ascii="Times New Roman"/>
          <w:b w:val="false"/>
          <w:i w:val="false"/>
          <w:color w:val="000000"/>
          <w:sz w:val="28"/>
        </w:rPr>
        <w:t>
      2229. Двери, устанавливаемые в переборках, ограничивающих машинные помещения категории А, самозакрывающеся и в достаточной степени газонепроницаемы.</w:t>
      </w:r>
    </w:p>
    <w:bookmarkEnd w:id="6937"/>
    <w:bookmarkStart w:name="z6949" w:id="6938"/>
    <w:p>
      <w:pPr>
        <w:spacing w:after="0"/>
        <w:ind w:left="0"/>
        <w:jc w:val="both"/>
      </w:pPr>
      <w:r>
        <w:rPr>
          <w:rFonts w:ascii="Times New Roman"/>
          <w:b w:val="false"/>
          <w:i w:val="false"/>
          <w:color w:val="000000"/>
          <w:sz w:val="28"/>
        </w:rPr>
        <w:t>
      2230. Двери, в отношении которых требуется, чтобы они были самозакрывающимися, не имеют удерживающих устройств. Однако, применяются удерживающие устройства, снабженные дистанционно управляемым освобождающим механизмом безотказного типа.</w:t>
      </w:r>
    </w:p>
    <w:bookmarkEnd w:id="6938"/>
    <w:bookmarkStart w:name="z6950" w:id="6939"/>
    <w:p>
      <w:pPr>
        <w:spacing w:after="0"/>
        <w:ind w:left="0"/>
        <w:jc w:val="both"/>
      </w:pPr>
      <w:r>
        <w:rPr>
          <w:rFonts w:ascii="Times New Roman"/>
          <w:b w:val="false"/>
          <w:i w:val="false"/>
          <w:color w:val="000000"/>
          <w:sz w:val="28"/>
        </w:rPr>
        <w:t>
      2231. В переборках коридоров допускаются вентиляционные отверстия в дверях и под дверями кают и общественных помещений. Вентиляционные отверстия также допускаются в дверях типа В, ведущих в санитарные узлы, кабинеты, буфетные, шкафы и кладовые. За исключением разрешенного ниже, отверстия предусматриваются только в нижней половине двери. Если такое отверстие расположено в двери или под ней, общая полезная площадь такого отверстия или отверстий не превышает 0,05 м</w:t>
      </w:r>
      <w:r>
        <w:rPr>
          <w:rFonts w:ascii="Times New Roman"/>
          <w:b w:val="false"/>
          <w:i w:val="false"/>
          <w:color w:val="000000"/>
          <w:vertAlign w:val="superscript"/>
        </w:rPr>
        <w:t>2</w:t>
      </w:r>
      <w:r>
        <w:rPr>
          <w:rFonts w:ascii="Times New Roman"/>
          <w:b w:val="false"/>
          <w:i w:val="false"/>
          <w:color w:val="000000"/>
          <w:sz w:val="28"/>
        </w:rPr>
        <w:t>. Альтернативно, между каютой и коридором допускается выравнивающий давление воздуха вентиляционный канал из негорючих материалов, расположенный под санитарным узлом, если площадь его поперечного сечения не превышает 0,05 м</w:t>
      </w:r>
      <w:r>
        <w:rPr>
          <w:rFonts w:ascii="Times New Roman"/>
          <w:b w:val="false"/>
          <w:i w:val="false"/>
          <w:color w:val="000000"/>
          <w:vertAlign w:val="superscript"/>
        </w:rPr>
        <w:t>2</w:t>
      </w:r>
      <w:r>
        <w:rPr>
          <w:rFonts w:ascii="Times New Roman"/>
          <w:b w:val="false"/>
          <w:i w:val="false"/>
          <w:color w:val="000000"/>
          <w:sz w:val="28"/>
        </w:rPr>
        <w:t>. Вентиляционные отверстия, за исключением находящихся под дверью, снабжают решетками из негорючего материала.</w:t>
      </w:r>
    </w:p>
    <w:bookmarkEnd w:id="6939"/>
    <w:bookmarkStart w:name="z6951" w:id="6940"/>
    <w:p>
      <w:pPr>
        <w:spacing w:after="0"/>
        <w:ind w:left="0"/>
        <w:jc w:val="both"/>
      </w:pPr>
      <w:r>
        <w:rPr>
          <w:rFonts w:ascii="Times New Roman"/>
          <w:b w:val="false"/>
          <w:i w:val="false"/>
          <w:color w:val="000000"/>
          <w:sz w:val="28"/>
        </w:rPr>
        <w:t>
      2232. В пределах жилых помещений переборки, в отношении которых требуется, чтобы они были конструкциями типа В, простираются от палубы до палубы и до обшивки корпуса или иных ограничивающих конструкции. Однако если по обеим сторонам переборки устанавливаются непрерывные подволоки или зашивки типа В, переборка заканчивается у такого непрерывного подволока или зашивки.</w:t>
      </w:r>
    </w:p>
    <w:bookmarkEnd w:id="6940"/>
    <w:bookmarkStart w:name="z6952" w:id="6941"/>
    <w:p>
      <w:pPr>
        <w:spacing w:after="0"/>
        <w:ind w:left="0"/>
        <w:jc w:val="both"/>
      </w:pPr>
      <w:r>
        <w:rPr>
          <w:rFonts w:ascii="Times New Roman"/>
          <w:b w:val="false"/>
          <w:i w:val="false"/>
          <w:color w:val="000000"/>
          <w:sz w:val="28"/>
        </w:rPr>
        <w:t>
      2233. Для целей применения требований пунктов 2161, 2160 и 2164 настоящих Правил следует руководствоваться приложениями 267,268 и 269 настоящих Правил. Приложение 268 настоящих Правил применяется при способе защиты IС, приложение 269 настоящих Правил применяется при способах защиты IIС и IIIС.</w:t>
      </w:r>
    </w:p>
    <w:bookmarkEnd w:id="6941"/>
    <w:bookmarkStart w:name="z6953" w:id="6942"/>
    <w:p>
      <w:pPr>
        <w:spacing w:after="0"/>
        <w:ind w:left="0"/>
        <w:jc w:val="left"/>
      </w:pPr>
      <w:r>
        <w:rPr>
          <w:rFonts w:ascii="Times New Roman"/>
          <w:b/>
          <w:i w:val="false"/>
          <w:color w:val="000000"/>
        </w:rPr>
        <w:t xml:space="preserve"> Глава 147. Нефтеналивные суда</w:t>
      </w:r>
    </w:p>
    <w:bookmarkEnd w:id="6942"/>
    <w:p>
      <w:pPr>
        <w:spacing w:after="0"/>
        <w:ind w:left="0"/>
        <w:jc w:val="both"/>
      </w:pPr>
      <w:r>
        <w:rPr>
          <w:rFonts w:ascii="Times New Roman"/>
          <w:b w:val="false"/>
          <w:i w:val="false"/>
          <w:color w:val="ff0000"/>
          <w:sz w:val="28"/>
        </w:rPr>
        <w:t xml:space="preserve">
      Сноска. Заголовок главы 147 -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54" w:id="6943"/>
    <w:p>
      <w:pPr>
        <w:spacing w:after="0"/>
        <w:ind w:left="0"/>
        <w:jc w:val="both"/>
      </w:pPr>
      <w:r>
        <w:rPr>
          <w:rFonts w:ascii="Times New Roman"/>
          <w:b w:val="false"/>
          <w:i w:val="false"/>
          <w:color w:val="000000"/>
          <w:sz w:val="28"/>
        </w:rPr>
        <w:t>
      2234. Требования настоящей главы дополняют требования глав 144 и 146 настоящих Правил (за исключением пункта 2226 настоящих Правил) при использовании только способа 1С и распространяются на нефтеналивные и комбинированные суда валовой вместимостью 500 и более.</w:t>
      </w:r>
    </w:p>
    <w:bookmarkEnd w:id="6943"/>
    <w:bookmarkStart w:name="z6955" w:id="6944"/>
    <w:p>
      <w:pPr>
        <w:spacing w:after="0"/>
        <w:ind w:left="0"/>
        <w:jc w:val="both"/>
      </w:pPr>
      <w:r>
        <w:rPr>
          <w:rFonts w:ascii="Times New Roman"/>
          <w:b w:val="false"/>
          <w:i w:val="false"/>
          <w:color w:val="000000"/>
          <w:sz w:val="28"/>
        </w:rPr>
        <w:t>
      2235. Минимальная огнестойкость переборок и палуб, разделяющих смежные помещения, отвечают требованиям приложений 270 и 271 настоящих Правил с учетом того, что для определения типа конструкций между смежными помещениями эти помещения подразделяются в зависимости от их пожарной опасности на следующие категории:</w:t>
      </w:r>
    </w:p>
    <w:bookmarkEnd w:id="6944"/>
    <w:bookmarkStart w:name="z6956" w:id="6945"/>
    <w:p>
      <w:pPr>
        <w:spacing w:after="0"/>
        <w:ind w:left="0"/>
        <w:jc w:val="both"/>
      </w:pPr>
      <w:r>
        <w:rPr>
          <w:rFonts w:ascii="Times New Roman"/>
          <w:b w:val="false"/>
          <w:i w:val="false"/>
          <w:color w:val="000000"/>
          <w:sz w:val="28"/>
        </w:rPr>
        <w:t>
      1) посты управления: помещения, в которых расположены аварийные источники электроэнергии и освещения;</w:t>
      </w:r>
    </w:p>
    <w:bookmarkEnd w:id="6945"/>
    <w:bookmarkStart w:name="z6957" w:id="6946"/>
    <w:p>
      <w:pPr>
        <w:spacing w:after="0"/>
        <w:ind w:left="0"/>
        <w:jc w:val="both"/>
      </w:pPr>
      <w:r>
        <w:rPr>
          <w:rFonts w:ascii="Times New Roman"/>
          <w:b w:val="false"/>
          <w:i w:val="false"/>
          <w:color w:val="000000"/>
          <w:sz w:val="28"/>
        </w:rPr>
        <w:t>
      рулевая и штурманская рубки;</w:t>
      </w:r>
    </w:p>
    <w:bookmarkEnd w:id="6946"/>
    <w:bookmarkStart w:name="z6958" w:id="6947"/>
    <w:p>
      <w:pPr>
        <w:spacing w:after="0"/>
        <w:ind w:left="0"/>
        <w:jc w:val="both"/>
      </w:pPr>
      <w:r>
        <w:rPr>
          <w:rFonts w:ascii="Times New Roman"/>
          <w:b w:val="false"/>
          <w:i w:val="false"/>
          <w:color w:val="000000"/>
          <w:sz w:val="28"/>
        </w:rPr>
        <w:t>
      помещения, в которых расположено судовое радиооборудование;</w:t>
      </w:r>
    </w:p>
    <w:bookmarkEnd w:id="6947"/>
    <w:bookmarkStart w:name="z6959" w:id="6948"/>
    <w:p>
      <w:pPr>
        <w:spacing w:after="0"/>
        <w:ind w:left="0"/>
        <w:jc w:val="both"/>
      </w:pPr>
      <w:r>
        <w:rPr>
          <w:rFonts w:ascii="Times New Roman"/>
          <w:b w:val="false"/>
          <w:i w:val="false"/>
          <w:color w:val="000000"/>
          <w:sz w:val="28"/>
        </w:rPr>
        <w:t>
      пожарные посты; центральный пост управления главными механизмами, если он находится вне машинного помещения;</w:t>
      </w:r>
    </w:p>
    <w:bookmarkEnd w:id="6948"/>
    <w:bookmarkStart w:name="z6960" w:id="6949"/>
    <w:p>
      <w:pPr>
        <w:spacing w:after="0"/>
        <w:ind w:left="0"/>
        <w:jc w:val="both"/>
      </w:pPr>
      <w:r>
        <w:rPr>
          <w:rFonts w:ascii="Times New Roman"/>
          <w:b w:val="false"/>
          <w:i w:val="false"/>
          <w:color w:val="000000"/>
          <w:sz w:val="28"/>
        </w:rPr>
        <w:t>
      помещения, в которых расположена централизованная система оповещения о пожаре;</w:t>
      </w:r>
    </w:p>
    <w:bookmarkEnd w:id="6949"/>
    <w:bookmarkStart w:name="z6961" w:id="6950"/>
    <w:p>
      <w:pPr>
        <w:spacing w:after="0"/>
        <w:ind w:left="0"/>
        <w:jc w:val="both"/>
      </w:pPr>
      <w:r>
        <w:rPr>
          <w:rFonts w:ascii="Times New Roman"/>
          <w:b w:val="false"/>
          <w:i w:val="false"/>
          <w:color w:val="000000"/>
          <w:sz w:val="28"/>
        </w:rPr>
        <w:t>
      2) коридоры и вестибюли;</w:t>
      </w:r>
    </w:p>
    <w:bookmarkEnd w:id="6950"/>
    <w:bookmarkStart w:name="z6962" w:id="6951"/>
    <w:p>
      <w:pPr>
        <w:spacing w:after="0"/>
        <w:ind w:left="0"/>
        <w:jc w:val="both"/>
      </w:pPr>
      <w:r>
        <w:rPr>
          <w:rFonts w:ascii="Times New Roman"/>
          <w:b w:val="false"/>
          <w:i w:val="false"/>
          <w:color w:val="000000"/>
          <w:sz w:val="28"/>
        </w:rPr>
        <w:t>
      3) жилые помещения в соответствии с пунктом 2135 настоящих Правил, за исключением коридоров;</w:t>
      </w:r>
    </w:p>
    <w:bookmarkEnd w:id="6951"/>
    <w:bookmarkStart w:name="z6963" w:id="6952"/>
    <w:p>
      <w:pPr>
        <w:spacing w:after="0"/>
        <w:ind w:left="0"/>
        <w:jc w:val="both"/>
      </w:pPr>
      <w:r>
        <w:rPr>
          <w:rFonts w:ascii="Times New Roman"/>
          <w:b w:val="false"/>
          <w:i w:val="false"/>
          <w:color w:val="000000"/>
          <w:sz w:val="28"/>
        </w:rPr>
        <w:t>
      4) междупалубные сообщения:</w:t>
      </w:r>
    </w:p>
    <w:bookmarkEnd w:id="6952"/>
    <w:bookmarkStart w:name="z6964" w:id="6953"/>
    <w:p>
      <w:pPr>
        <w:spacing w:after="0"/>
        <w:ind w:left="0"/>
        <w:jc w:val="both"/>
      </w:pPr>
      <w:r>
        <w:rPr>
          <w:rFonts w:ascii="Times New Roman"/>
          <w:b w:val="false"/>
          <w:i w:val="false"/>
          <w:color w:val="000000"/>
          <w:sz w:val="28"/>
        </w:rPr>
        <w:t>
      внутренние трапы, лифты, полностью выгороженные шахты аварийного выхода наружу и эскалаторы (за исключением тех, которые полностью находятся в машинных помещениях) и их выгородки.</w:t>
      </w:r>
    </w:p>
    <w:bookmarkEnd w:id="6953"/>
    <w:bookmarkStart w:name="z6965" w:id="6954"/>
    <w:p>
      <w:pPr>
        <w:spacing w:after="0"/>
        <w:ind w:left="0"/>
        <w:jc w:val="both"/>
      </w:pPr>
      <w:r>
        <w:rPr>
          <w:rFonts w:ascii="Times New Roman"/>
          <w:b w:val="false"/>
          <w:i w:val="false"/>
          <w:color w:val="000000"/>
          <w:sz w:val="28"/>
        </w:rPr>
        <w:t>
      Трап, выгороженный только в одном междупалубном пространстве, рассматривается как часть помещения, от которого он не отделен противопожарной дверью;</w:t>
      </w:r>
    </w:p>
    <w:bookmarkEnd w:id="6954"/>
    <w:bookmarkStart w:name="z6966" w:id="6955"/>
    <w:p>
      <w:pPr>
        <w:spacing w:after="0"/>
        <w:ind w:left="0"/>
        <w:jc w:val="both"/>
      </w:pPr>
      <w:r>
        <w:rPr>
          <w:rFonts w:ascii="Times New Roman"/>
          <w:b w:val="false"/>
          <w:i w:val="false"/>
          <w:color w:val="000000"/>
          <w:sz w:val="28"/>
        </w:rPr>
        <w:t>
      5) служебные помещения (с низкой пожарной опасностью):</w:t>
      </w:r>
    </w:p>
    <w:bookmarkEnd w:id="6955"/>
    <w:bookmarkStart w:name="z6967" w:id="6956"/>
    <w:p>
      <w:pPr>
        <w:spacing w:after="0"/>
        <w:ind w:left="0"/>
        <w:jc w:val="both"/>
      </w:pPr>
      <w:r>
        <w:rPr>
          <w:rFonts w:ascii="Times New Roman"/>
          <w:b w:val="false"/>
          <w:i w:val="false"/>
          <w:color w:val="000000"/>
          <w:sz w:val="28"/>
        </w:rPr>
        <w:t>
      кладовые площадью менее 4 м</w:t>
      </w:r>
      <w:r>
        <w:rPr>
          <w:rFonts w:ascii="Times New Roman"/>
          <w:b w:val="false"/>
          <w:i w:val="false"/>
          <w:color w:val="000000"/>
          <w:vertAlign w:val="superscript"/>
        </w:rPr>
        <w:t>2</w:t>
      </w:r>
      <w:r>
        <w:rPr>
          <w:rFonts w:ascii="Times New Roman"/>
          <w:b w:val="false"/>
          <w:i w:val="false"/>
          <w:color w:val="000000"/>
          <w:sz w:val="28"/>
        </w:rPr>
        <w:t>, не имеющие условий для хранения воспламеняющихся жидкостей, сушильные и прачечные охлаждаемые провизионные кладовые, изоляция в которых выполнена негорючими материалами, помещения, содержащие электрические распределительные щиты, площадью менее 4 м</w:t>
      </w:r>
      <w:r>
        <w:rPr>
          <w:rFonts w:ascii="Times New Roman"/>
          <w:b w:val="false"/>
          <w:i w:val="false"/>
          <w:color w:val="000000"/>
          <w:vertAlign w:val="superscript"/>
        </w:rPr>
        <w:t>2</w:t>
      </w:r>
      <w:r>
        <w:rPr>
          <w:rFonts w:ascii="Times New Roman"/>
          <w:b w:val="false"/>
          <w:i w:val="false"/>
          <w:color w:val="000000"/>
          <w:sz w:val="28"/>
        </w:rPr>
        <w:t>;</w:t>
      </w:r>
    </w:p>
    <w:bookmarkEnd w:id="6956"/>
    <w:bookmarkStart w:name="z6968" w:id="6957"/>
    <w:p>
      <w:pPr>
        <w:spacing w:after="0"/>
        <w:ind w:left="0"/>
        <w:jc w:val="both"/>
      </w:pPr>
      <w:r>
        <w:rPr>
          <w:rFonts w:ascii="Times New Roman"/>
          <w:b w:val="false"/>
          <w:i w:val="false"/>
          <w:color w:val="000000"/>
          <w:sz w:val="28"/>
        </w:rPr>
        <w:t>
      6) машинные помещения категории А: помещения, определение которых дано в пункте 6 настоящих Правил;</w:t>
      </w:r>
    </w:p>
    <w:bookmarkEnd w:id="6957"/>
    <w:bookmarkStart w:name="z6969" w:id="6958"/>
    <w:p>
      <w:pPr>
        <w:spacing w:after="0"/>
        <w:ind w:left="0"/>
        <w:jc w:val="both"/>
      </w:pPr>
      <w:r>
        <w:rPr>
          <w:rFonts w:ascii="Times New Roman"/>
          <w:b w:val="false"/>
          <w:i w:val="false"/>
          <w:color w:val="000000"/>
          <w:sz w:val="28"/>
        </w:rPr>
        <w:t>
      7) прочие машинные помещения:</w:t>
      </w:r>
    </w:p>
    <w:bookmarkEnd w:id="6958"/>
    <w:bookmarkStart w:name="z6970" w:id="6959"/>
    <w:p>
      <w:pPr>
        <w:spacing w:after="0"/>
        <w:ind w:left="0"/>
        <w:jc w:val="both"/>
      </w:pPr>
      <w:r>
        <w:rPr>
          <w:rFonts w:ascii="Times New Roman"/>
          <w:b w:val="false"/>
          <w:i w:val="false"/>
          <w:color w:val="000000"/>
          <w:sz w:val="28"/>
        </w:rPr>
        <w:t>
      машинные помещения, кроме перечисленных в подпункте 6) настоящей главы, и отделения электрооборудования (автоматические телефонные станции,помещения каналов кондиционирования воздуха);</w:t>
      </w:r>
    </w:p>
    <w:bookmarkEnd w:id="6959"/>
    <w:bookmarkStart w:name="z6971" w:id="6960"/>
    <w:p>
      <w:pPr>
        <w:spacing w:after="0"/>
        <w:ind w:left="0"/>
        <w:jc w:val="both"/>
      </w:pPr>
      <w:r>
        <w:rPr>
          <w:rFonts w:ascii="Times New Roman"/>
          <w:b w:val="false"/>
          <w:i w:val="false"/>
          <w:color w:val="000000"/>
          <w:sz w:val="28"/>
        </w:rPr>
        <w:t>
      8) насосные помещения в соответствии с подпунктом 1) пункта 2241 настоящих Правил;</w:t>
      </w:r>
    </w:p>
    <w:bookmarkEnd w:id="6960"/>
    <w:bookmarkStart w:name="z6972" w:id="6961"/>
    <w:p>
      <w:pPr>
        <w:spacing w:after="0"/>
        <w:ind w:left="0"/>
        <w:jc w:val="both"/>
      </w:pPr>
      <w:r>
        <w:rPr>
          <w:rFonts w:ascii="Times New Roman"/>
          <w:b w:val="false"/>
          <w:i w:val="false"/>
          <w:color w:val="000000"/>
          <w:sz w:val="28"/>
        </w:rPr>
        <w:t>
      9) служебные помещения (высокая пожарная опасностью): камбузы и буфетные, содержащие оборудование для приготовления горячей пищи, сауны, малярные шкафы и кладовые площадью 4 м</w:t>
      </w:r>
      <w:r>
        <w:rPr>
          <w:rFonts w:ascii="Times New Roman"/>
          <w:b w:val="false"/>
          <w:i w:val="false"/>
          <w:color w:val="000000"/>
          <w:vertAlign w:val="superscript"/>
        </w:rPr>
        <w:t>2</w:t>
      </w:r>
      <w:r>
        <w:rPr>
          <w:rFonts w:ascii="Times New Roman"/>
          <w:b w:val="false"/>
          <w:i w:val="false"/>
          <w:color w:val="000000"/>
          <w:sz w:val="28"/>
        </w:rPr>
        <w:t xml:space="preserve"> или более, помещения для хранения воспламеняющихся жидкостей и мастерские или подобные помещения, не являющиеся частью машинных помещений; охлаждаемые провизионные кладовые, изоляция в которых выполнена горючими материалами;</w:t>
      </w:r>
    </w:p>
    <w:bookmarkEnd w:id="6961"/>
    <w:bookmarkStart w:name="z6973" w:id="6962"/>
    <w:p>
      <w:pPr>
        <w:spacing w:after="0"/>
        <w:ind w:left="0"/>
        <w:jc w:val="both"/>
      </w:pPr>
      <w:r>
        <w:rPr>
          <w:rFonts w:ascii="Times New Roman"/>
          <w:b w:val="false"/>
          <w:i w:val="false"/>
          <w:color w:val="000000"/>
          <w:sz w:val="28"/>
        </w:rPr>
        <w:t>
      10) открытые палубы:</w:t>
      </w:r>
    </w:p>
    <w:bookmarkEnd w:id="6962"/>
    <w:bookmarkStart w:name="z6974" w:id="6963"/>
    <w:p>
      <w:pPr>
        <w:spacing w:after="0"/>
        <w:ind w:left="0"/>
        <w:jc w:val="both"/>
      </w:pPr>
      <w:r>
        <w:rPr>
          <w:rFonts w:ascii="Times New Roman"/>
          <w:b w:val="false"/>
          <w:i w:val="false"/>
          <w:color w:val="000000"/>
          <w:sz w:val="28"/>
        </w:rPr>
        <w:t>
      открытые участки палуб и выгороженные прогулочные палубы, не представляющие пожарной опасности. Это означает, что их меблировка ограничивается палубной мебелью. Кроме того, такие места имеют естественную вентиляцию посредством постоянных отверстий;</w:t>
      </w:r>
    </w:p>
    <w:bookmarkEnd w:id="6963"/>
    <w:bookmarkStart w:name="z6975" w:id="6964"/>
    <w:p>
      <w:pPr>
        <w:spacing w:after="0"/>
        <w:ind w:left="0"/>
        <w:jc w:val="both"/>
      </w:pPr>
      <w:r>
        <w:rPr>
          <w:rFonts w:ascii="Times New Roman"/>
          <w:b w:val="false"/>
          <w:i w:val="false"/>
          <w:color w:val="000000"/>
          <w:sz w:val="28"/>
        </w:rPr>
        <w:t>
      открытые пространства (помещения вне переборок и рубок).</w:t>
      </w:r>
    </w:p>
    <w:bookmarkEnd w:id="6964"/>
    <w:bookmarkStart w:name="z6976" w:id="6965"/>
    <w:p>
      <w:pPr>
        <w:spacing w:after="0"/>
        <w:ind w:left="0"/>
        <w:jc w:val="both"/>
      </w:pPr>
      <w:r>
        <w:rPr>
          <w:rFonts w:ascii="Times New Roman"/>
          <w:b w:val="false"/>
          <w:i w:val="false"/>
          <w:color w:val="000000"/>
          <w:sz w:val="28"/>
        </w:rPr>
        <w:t>
      2236. Наружные ограничивающие конструкции надстроек и рубок, выгораживающие жилые помещения и включающие любые навесные палубы, на которых находятся такие помещения, изготавливают из стали и быть типа А-60 на всех участках, обращенных в сторону грузовой зоны, а также на наружных бортах на расстоянии 3 м от ограничивающей конструкции, обращенной в сторону грузовой зоны.</w:t>
      </w:r>
    </w:p>
    <w:bookmarkEnd w:id="6965"/>
    <w:bookmarkStart w:name="z6977" w:id="6966"/>
    <w:p>
      <w:pPr>
        <w:spacing w:after="0"/>
        <w:ind w:left="0"/>
        <w:jc w:val="both"/>
      </w:pPr>
      <w:r>
        <w:rPr>
          <w:rFonts w:ascii="Times New Roman"/>
          <w:b w:val="false"/>
          <w:i w:val="false"/>
          <w:color w:val="000000"/>
          <w:sz w:val="28"/>
        </w:rPr>
        <w:t>
      Эти 3 м измеряются в горизонтальной плоскости параллельно диаметральной плоскости судна от ограничивающей поверхности, обращенной к грузовой зоне на уровне каждой палубы.</w:t>
      </w:r>
    </w:p>
    <w:bookmarkEnd w:id="6966"/>
    <w:bookmarkStart w:name="z6978" w:id="6967"/>
    <w:p>
      <w:pPr>
        <w:spacing w:after="0"/>
        <w:ind w:left="0"/>
        <w:jc w:val="both"/>
      </w:pPr>
      <w:r>
        <w:rPr>
          <w:rFonts w:ascii="Times New Roman"/>
          <w:b w:val="false"/>
          <w:i w:val="false"/>
          <w:color w:val="000000"/>
          <w:sz w:val="28"/>
        </w:rPr>
        <w:t>
      Указанная выше изоляция достигает палубы ходового мостика. Нижняя часть палубы ходового мостика, обращенная в сторону грузовой зоны, должна быть типа А-60</w:t>
      </w:r>
    </w:p>
    <w:bookmarkEnd w:id="6967"/>
    <w:bookmarkStart w:name="z6979" w:id="6968"/>
    <w:p>
      <w:pPr>
        <w:spacing w:after="0"/>
        <w:ind w:left="0"/>
        <w:jc w:val="both"/>
      </w:pPr>
      <w:r>
        <w:rPr>
          <w:rFonts w:ascii="Times New Roman"/>
          <w:b w:val="false"/>
          <w:i w:val="false"/>
          <w:color w:val="000000"/>
          <w:sz w:val="28"/>
        </w:rPr>
        <w:t>
      2237. Устройство отверстий отвечает требованиям подпунктов 2238 – 2240 настоящих Правил.</w:t>
      </w:r>
    </w:p>
    <w:bookmarkEnd w:id="6968"/>
    <w:bookmarkStart w:name="z6980" w:id="6969"/>
    <w:p>
      <w:pPr>
        <w:spacing w:after="0"/>
        <w:ind w:left="0"/>
        <w:jc w:val="both"/>
      </w:pPr>
      <w:r>
        <w:rPr>
          <w:rFonts w:ascii="Times New Roman"/>
          <w:b w:val="false"/>
          <w:i w:val="false"/>
          <w:color w:val="000000"/>
          <w:sz w:val="28"/>
        </w:rPr>
        <w:t>
      2238. Кроме случаев, разрешенных в пункте 2239 настоящих Правил, входные двери, воздухозаборники и отверстия, ведущие в жилые и служебные помещения, посты управления и машинные помещения, не обращают в сторону грузовой зоны. Они располагаются на поперечной переборке, не обращенной в сторону грузовой зоны, или на бортовой стороне надстройки или рубки на расстоянии, равном по меньшей мере 4 % длины судна, но не менее 3 м от конца надстройки или рубки, обращенного в сторону грузовой зоны. Нет необходимости, однако, чтобы это расстояние превышало 5 м.</w:t>
      </w:r>
    </w:p>
    <w:bookmarkEnd w:id="6969"/>
    <w:bookmarkStart w:name="z6981" w:id="6970"/>
    <w:p>
      <w:pPr>
        <w:spacing w:after="0"/>
        <w:ind w:left="0"/>
        <w:jc w:val="both"/>
      </w:pPr>
      <w:r>
        <w:rPr>
          <w:rFonts w:ascii="Times New Roman"/>
          <w:b w:val="false"/>
          <w:i w:val="false"/>
          <w:color w:val="000000"/>
          <w:sz w:val="28"/>
        </w:rPr>
        <w:t>
      Доступ в расположенные на баке помещения, содержащие источники возгорания, разрешают через двери, обращенные в сторону грузовой зоны, при условии, что эти двери расположены вне взрывоопасных зон (глава 536 настоящих Правил).</w:t>
      </w:r>
    </w:p>
    <w:bookmarkEnd w:id="6970"/>
    <w:bookmarkStart w:name="z6982" w:id="6971"/>
    <w:p>
      <w:pPr>
        <w:spacing w:after="0"/>
        <w:ind w:left="0"/>
        <w:jc w:val="both"/>
      </w:pPr>
      <w:r>
        <w:rPr>
          <w:rFonts w:ascii="Times New Roman"/>
          <w:b w:val="false"/>
          <w:i w:val="false"/>
          <w:color w:val="000000"/>
          <w:sz w:val="28"/>
        </w:rPr>
        <w:t>
      2239. Регистр судоходства разрешает в надстройках или рубках входные двери в поперечной переборке, обращенной в сторону грузовой зоны, или в бортовых переборках в пределах 5 м (расстояния, указанного в пункте 2238 настоящих Правил), в посты управления грузовыми операциями и в такие служебные помещения, как продовольственные кладовые, шкафы и кладовые грузового инвентаря, при условии, что они не имеют прямого или непрямого доступа в любое другое помещение, являющееся жилым или предназначенное для жилья, посты управления или такие служебные помещения, как камбузы, буфетные или мастерские или подобные им помещения, содержащие источники воспламенения паров. Ограничивающие конструкции такого помещения должны быть типа А-60, за исключением конструкции, обращенной в сторону грузовой зоны. В пределах расстояний, указанных в пункте 2238 настоящих Правил, допускается установка на болтах съемных листов для выемки механизмов. Двери и окна рулевой рубки располагаются в пределах расстояний, указанных в пункте 2238 настоящих Правил, если они устроены таким образом, чтобы можно было быстро и эффективно обеспечить непроницаемость рулевой рубки для газов и паров.</w:t>
      </w:r>
    </w:p>
    <w:bookmarkEnd w:id="6971"/>
    <w:bookmarkStart w:name="z6983" w:id="6972"/>
    <w:p>
      <w:pPr>
        <w:spacing w:after="0"/>
        <w:ind w:left="0"/>
        <w:jc w:val="both"/>
      </w:pPr>
      <w:r>
        <w:rPr>
          <w:rFonts w:ascii="Times New Roman"/>
          <w:b w:val="false"/>
          <w:i w:val="false"/>
          <w:color w:val="000000"/>
          <w:sz w:val="28"/>
        </w:rPr>
        <w:t>
      2240. Регистр судоходства разрешает вход в помещение станции палубной системы пенотушения, которой расположены цистерны с пенообразователем и средства управления системой, в пределах расстояний, указанных в пункте 2338 настоящих Правил, при условии выполнения требований пункта 2339 настоящих Правил и установки двери заподлицо с переборкой.</w:t>
      </w:r>
    </w:p>
    <w:bookmarkEnd w:id="6972"/>
    <w:bookmarkStart w:name="z6984" w:id="6973"/>
    <w:p>
      <w:pPr>
        <w:spacing w:after="0"/>
        <w:ind w:left="0"/>
        <w:jc w:val="both"/>
      </w:pPr>
      <w:r>
        <w:rPr>
          <w:rFonts w:ascii="Times New Roman"/>
          <w:b w:val="false"/>
          <w:i w:val="false"/>
          <w:color w:val="000000"/>
          <w:sz w:val="28"/>
        </w:rPr>
        <w:t>
      2241. Окна и иллюминаторы, обращенные в сторону грузовой зоны и расположенные на бортовых сторонах надстроек и рубок в пределах расстояний, указанных в пункте 2338 настоящих Правил, глухого (неоткрывающегося) типа. Такие окна и иллюминаторы, за исключением окон ходового мостика, должны быть типа А-60.</w:t>
      </w:r>
    </w:p>
    <w:bookmarkEnd w:id="6973"/>
    <w:bookmarkStart w:name="z6985" w:id="6974"/>
    <w:p>
      <w:pPr>
        <w:spacing w:after="0"/>
        <w:ind w:left="0"/>
        <w:jc w:val="both"/>
      </w:pPr>
      <w:r>
        <w:rPr>
          <w:rFonts w:ascii="Times New Roman"/>
          <w:b w:val="false"/>
          <w:i w:val="false"/>
          <w:color w:val="000000"/>
          <w:sz w:val="28"/>
        </w:rPr>
        <w:t>
      2242. Регистр судоходства допускает размещение над грузовой зоной навигационного поста, используемого только для навигационных целей. Навигационный пост отделяют от палубы грузовых танков открытым пространством высотой не менее 2 м. Противопожарная защита такого поста отвечает требованиям к постам управления, изложенным в пункте 2335 настоящих Правил, а также другим применимым требованиям настоящего раздела.</w:t>
      </w:r>
    </w:p>
    <w:bookmarkEnd w:id="6974"/>
    <w:bookmarkStart w:name="z6986" w:id="6975"/>
    <w:p>
      <w:pPr>
        <w:spacing w:after="0"/>
        <w:ind w:left="0"/>
        <w:jc w:val="both"/>
      </w:pPr>
      <w:r>
        <w:rPr>
          <w:rFonts w:ascii="Times New Roman"/>
          <w:b w:val="false"/>
          <w:i w:val="false"/>
          <w:color w:val="000000"/>
          <w:sz w:val="28"/>
        </w:rPr>
        <w:t>
      Если пост управления судном расположен на палубе бака или в носовой части судна, имеющего носовое грузовое устройство, принимают меры по оборудованию этого поста аварийным выходом, обеспечивающим безопасную эвакуацию при пожаре.</w:t>
      </w:r>
    </w:p>
    <w:bookmarkEnd w:id="6975"/>
    <w:bookmarkStart w:name="z6987" w:id="6976"/>
    <w:p>
      <w:pPr>
        <w:spacing w:after="0"/>
        <w:ind w:left="0"/>
        <w:jc w:val="both"/>
      </w:pPr>
      <w:r>
        <w:rPr>
          <w:rFonts w:ascii="Times New Roman"/>
          <w:b w:val="false"/>
          <w:i w:val="false"/>
          <w:color w:val="000000"/>
          <w:sz w:val="28"/>
        </w:rPr>
        <w:t>
      2243. Машинные помещения располагают в корму от грузовых танков, сливных цистерн, от насосных помещений и коффердамов, но не обязательно в корму от топливных цистерн. Любое машинное помещение отделяют от грузовых танков и сливных цистерн коффердамами, насосными помещениями, топливными цистернами или балластными танками.</w:t>
      </w:r>
    </w:p>
    <w:bookmarkEnd w:id="6976"/>
    <w:bookmarkStart w:name="z6988" w:id="6977"/>
    <w:p>
      <w:pPr>
        <w:spacing w:after="0"/>
        <w:ind w:left="0"/>
        <w:jc w:val="both"/>
      </w:pPr>
      <w:r>
        <w:rPr>
          <w:rFonts w:ascii="Times New Roman"/>
          <w:b w:val="false"/>
          <w:i w:val="false"/>
          <w:color w:val="000000"/>
          <w:sz w:val="28"/>
        </w:rPr>
        <w:t>
      Насосные отделения, в которых находятся насосы и относящееся к ним оборудование для балластировки отсеков, примыкающих к грузовым танкам и сливным цистернам, а также насосы для перекачки топлива, применяются для отделения машинных помещений от грузовых танков и сливных цистерн, если они имеют такой же уровень безопасности, что и грузовые насосные отделения. Переборка насосного помещения в нижней части имеет уступ в машинные помещения категории А, образующий нишу для размещения насосов. Верх уступа располагается над килем на уровне не выше 1/3 теоретической высоты борта. На суда дедвейтом не более 25000 т, исходя из необходимости обеспечения рационального размещения трубопроводов и доступности, по согласованию с Регистром судоходства, верх уступа располагается на уровне до 1/2 теоретической высоты борта.</w:t>
      </w:r>
    </w:p>
    <w:bookmarkEnd w:id="6977"/>
    <w:bookmarkStart w:name="z6989" w:id="6978"/>
    <w:p>
      <w:pPr>
        <w:spacing w:after="0"/>
        <w:ind w:left="0"/>
        <w:jc w:val="both"/>
      </w:pPr>
      <w:r>
        <w:rPr>
          <w:rFonts w:ascii="Times New Roman"/>
          <w:b w:val="false"/>
          <w:i w:val="false"/>
          <w:color w:val="000000"/>
          <w:sz w:val="28"/>
        </w:rPr>
        <w:t>
      Грузовой танк или сливная цистерна, примыкающие к машинным помещениям углом, отделяют от них угловым коффердамом.</w:t>
      </w:r>
    </w:p>
    <w:bookmarkEnd w:id="6978"/>
    <w:bookmarkStart w:name="z6990" w:id="6979"/>
    <w:p>
      <w:pPr>
        <w:spacing w:after="0"/>
        <w:ind w:left="0"/>
        <w:jc w:val="both"/>
      </w:pPr>
      <w:r>
        <w:rPr>
          <w:rFonts w:ascii="Times New Roman"/>
          <w:b w:val="false"/>
          <w:i w:val="false"/>
          <w:color w:val="000000"/>
          <w:sz w:val="28"/>
        </w:rPr>
        <w:t>
      Конструкция и размеры коффердамов отвечают требованиям пункта 459 настоящих Правил.</w:t>
      </w:r>
    </w:p>
    <w:bookmarkEnd w:id="6979"/>
    <w:bookmarkStart w:name="z6991" w:id="6980"/>
    <w:p>
      <w:pPr>
        <w:spacing w:after="0"/>
        <w:ind w:left="0"/>
        <w:jc w:val="both"/>
      </w:pPr>
      <w:r>
        <w:rPr>
          <w:rFonts w:ascii="Times New Roman"/>
          <w:b w:val="false"/>
          <w:i w:val="false"/>
          <w:color w:val="000000"/>
          <w:sz w:val="28"/>
        </w:rPr>
        <w:t>
      Недоступные для осмотра угловые коффердамы заполняют подходящим для этих целей составом.</w:t>
      </w:r>
    </w:p>
    <w:bookmarkEnd w:id="6980"/>
    <w:bookmarkStart w:name="z6992" w:id="6981"/>
    <w:p>
      <w:pPr>
        <w:spacing w:after="0"/>
        <w:ind w:left="0"/>
        <w:jc w:val="both"/>
      </w:pPr>
      <w:r>
        <w:rPr>
          <w:rFonts w:ascii="Times New Roman"/>
          <w:b w:val="false"/>
          <w:i w:val="false"/>
          <w:color w:val="000000"/>
          <w:sz w:val="28"/>
        </w:rPr>
        <w:t>
      Никакие грузы или отходы не хранятся в коффердамах.</w:t>
      </w:r>
    </w:p>
    <w:bookmarkEnd w:id="6981"/>
    <w:bookmarkStart w:name="z6993" w:id="6982"/>
    <w:p>
      <w:pPr>
        <w:spacing w:after="0"/>
        <w:ind w:left="0"/>
        <w:jc w:val="both"/>
      </w:pPr>
      <w:r>
        <w:rPr>
          <w:rFonts w:ascii="Times New Roman"/>
          <w:b w:val="false"/>
          <w:i w:val="false"/>
          <w:color w:val="000000"/>
          <w:sz w:val="28"/>
        </w:rPr>
        <w:t>
      Пустые пространства и цистерны водяного балласта, ограждающие топливную цистерну, как показано в приложении 272 настоящих Правил, не рассматриваются как грузовая зона даже если они крестообразно соприкасаются с грузовым танком или сливной цистерной. Пустые пространства, ограждающие топливную цистерну, не рассматриваются как коффердам, требуемые выше. Пустые пространства располагаются как показано в приложении 272 настоящих Правил даже если они крестообразно соприкасаются со сливным танком.</w:t>
      </w:r>
    </w:p>
    <w:bookmarkEnd w:id="6982"/>
    <w:bookmarkStart w:name="z6994" w:id="6983"/>
    <w:p>
      <w:pPr>
        <w:spacing w:after="0"/>
        <w:ind w:left="0"/>
        <w:jc w:val="both"/>
      </w:pPr>
      <w:r>
        <w:rPr>
          <w:rFonts w:ascii="Times New Roman"/>
          <w:b w:val="false"/>
          <w:i w:val="false"/>
          <w:color w:val="000000"/>
          <w:sz w:val="28"/>
        </w:rPr>
        <w:t>
      2244. Насосные отделения выгораживают газонепроницаемыми переборками.</w:t>
      </w:r>
    </w:p>
    <w:bookmarkEnd w:id="6983"/>
    <w:bookmarkStart w:name="z6995" w:id="6984"/>
    <w:p>
      <w:pPr>
        <w:spacing w:after="0"/>
        <w:ind w:left="0"/>
        <w:jc w:val="both"/>
      </w:pPr>
      <w:r>
        <w:rPr>
          <w:rFonts w:ascii="Times New Roman"/>
          <w:b w:val="false"/>
          <w:i w:val="false"/>
          <w:color w:val="000000"/>
          <w:sz w:val="28"/>
        </w:rPr>
        <w:t>
      В переборках и палубах, отделяющих грузовые насосные отделения от других помещений, допускается установка постоянных газонепроницаемых световых выгородок одобренного типа, предназначенных для освещения грузовых насосных отделений, при условии, что эти выгородки имеют достаточную прочность и что огнестойкость и газонепроницаемость переборки или палубы будет сохранена.</w:t>
      </w:r>
    </w:p>
    <w:bookmarkEnd w:id="6984"/>
    <w:bookmarkStart w:name="z6996" w:id="6985"/>
    <w:p>
      <w:pPr>
        <w:spacing w:after="0"/>
        <w:ind w:left="0"/>
        <w:jc w:val="both"/>
      </w:pPr>
      <w:r>
        <w:rPr>
          <w:rFonts w:ascii="Times New Roman"/>
          <w:b w:val="false"/>
          <w:i w:val="false"/>
          <w:color w:val="000000"/>
          <w:sz w:val="28"/>
        </w:rPr>
        <w:t>
      2245. Посты управления, в том числе грузовыми операциями, жилые и служебные помещения (за исключением изолированных кладовых грузового инвентаря) располагают в корму от всех грузовых танков, сливных цистерн и помещений, отделяющих грузовые танки или сливные цистерны от машинных помещений, но не обязательно в корму от топливных цистерн и балластных танков, и оборудуют таким образом, чтобы любое повреждение палубы или переборки не приводило к поступлению газов или паров из грузовых танков в эти помещения. Предусмотренная в соответствии с пунктом 2343 настоящих Правил ниша не принимается во внимание при определении расположения указанных помещений.</w:t>
      </w:r>
    </w:p>
    <w:bookmarkEnd w:id="6985"/>
    <w:bookmarkStart w:name="z6997" w:id="6986"/>
    <w:p>
      <w:pPr>
        <w:spacing w:after="0"/>
        <w:ind w:left="0"/>
        <w:jc w:val="both"/>
      </w:pPr>
      <w:r>
        <w:rPr>
          <w:rFonts w:ascii="Times New Roman"/>
          <w:b w:val="false"/>
          <w:i w:val="false"/>
          <w:color w:val="000000"/>
          <w:sz w:val="28"/>
        </w:rPr>
        <w:t>
      В районе жилых помещений предусматрвают закрытые помещения для курения (курительные). Эти помещения образованы конструкциями типа В-15, а отделка изготовлена из материалов, медленно распространяющих пламя.</w:t>
      </w:r>
    </w:p>
    <w:bookmarkEnd w:id="6986"/>
    <w:bookmarkStart w:name="z6998" w:id="6987"/>
    <w:p>
      <w:pPr>
        <w:spacing w:after="0"/>
        <w:ind w:left="0"/>
        <w:jc w:val="both"/>
      </w:pPr>
      <w:r>
        <w:rPr>
          <w:rFonts w:ascii="Times New Roman"/>
          <w:b w:val="false"/>
          <w:i w:val="false"/>
          <w:color w:val="000000"/>
          <w:sz w:val="28"/>
        </w:rPr>
        <w:t>
      2246. По согласованию с Регистром судоходства, при необходимости, допускают расположение постов управления, постов управления грузовыми операциями, жилых и служебных помещений в нос от грузовых танков, сливных цистерн и помещений, отделяющих грузовые танки и сливные цистерны от машинных помещений, но не обязательно в нос от топливных цистерн и балластных танков. Машинные помещения, не являющиеся машинными помещениями категории А, допускается размещать в нос от грузовых танков и сливных цистерн при условии, что они отделены от грузовых танков и сливных цистерн коффердамами, насосными помещениями, топливными цистернами или балластными танками.</w:t>
      </w:r>
    </w:p>
    <w:bookmarkEnd w:id="6987"/>
    <w:bookmarkStart w:name="z6999" w:id="6988"/>
    <w:p>
      <w:pPr>
        <w:spacing w:after="0"/>
        <w:ind w:left="0"/>
        <w:jc w:val="both"/>
      </w:pPr>
      <w:r>
        <w:rPr>
          <w:rFonts w:ascii="Times New Roman"/>
          <w:b w:val="false"/>
          <w:i w:val="false"/>
          <w:color w:val="000000"/>
          <w:sz w:val="28"/>
        </w:rPr>
        <w:t>
      Во всех вышеупомянутых помещениях обеспечивается равноценный уровень безопасности, и должны быть в наличии надлежащие средства пожаротушения. Посты управления, посты управления грузовыми операциями, жилые и служебные помещения оборудуются таким образом, чтобы любое повреждение палубы или переборки не приводило к поступлению газов или паров из грузовых танков в эти помещения. Кроме того, если это необходимо для обеспечения безопасности плавания судна, допускается расположение машинных помещений с двигателями внутреннего сгорания мощностью более 375 кВт, не являющимися главными механизмами, в нос от грузовой зоны.</w:t>
      </w:r>
    </w:p>
    <w:bookmarkEnd w:id="6988"/>
    <w:bookmarkStart w:name="z7000" w:id="6989"/>
    <w:p>
      <w:pPr>
        <w:spacing w:after="0"/>
        <w:ind w:left="0"/>
        <w:jc w:val="both"/>
      </w:pPr>
      <w:r>
        <w:rPr>
          <w:rFonts w:ascii="Times New Roman"/>
          <w:b w:val="false"/>
          <w:i w:val="false"/>
          <w:color w:val="000000"/>
          <w:sz w:val="28"/>
        </w:rPr>
        <w:t>
      2247. В грузовых танках и машинном помещении не располагаются горловины для доступа в топливные цистерны, расположенные в двойном дне под грузовыми танками.</w:t>
      </w:r>
    </w:p>
    <w:bookmarkEnd w:id="6989"/>
    <w:bookmarkStart w:name="z7001" w:id="6990"/>
    <w:p>
      <w:pPr>
        <w:spacing w:after="0"/>
        <w:ind w:left="0"/>
        <w:jc w:val="both"/>
      </w:pPr>
      <w:r>
        <w:rPr>
          <w:rFonts w:ascii="Times New Roman"/>
          <w:b w:val="false"/>
          <w:i w:val="false"/>
          <w:color w:val="000000"/>
          <w:sz w:val="28"/>
        </w:rPr>
        <w:t>
      2248. Предусматриваются устройства для предотвращения попадания пролитого на палубу груза в районы жилых и служебных помещений. Это достигается установкой стационарного непрерывного комингса высотой не менее 300 мм, простирающегося от борта до борта. Подобные меры и устройства предусматриваются также при погрузке с кормы.</w:t>
      </w:r>
    </w:p>
    <w:bookmarkEnd w:id="6990"/>
    <w:bookmarkStart w:name="z7002" w:id="6991"/>
    <w:p>
      <w:pPr>
        <w:spacing w:after="0"/>
        <w:ind w:left="0"/>
        <w:jc w:val="both"/>
      </w:pPr>
      <w:r>
        <w:rPr>
          <w:rFonts w:ascii="Times New Roman"/>
          <w:b w:val="false"/>
          <w:i w:val="false"/>
          <w:color w:val="000000"/>
          <w:sz w:val="28"/>
        </w:rPr>
        <w:t>
      2249. Смотровые лючки, отверстия для очистки грузовых танков и другие отверстия не располагаются в закрытых или полузакрытых пространствах.</w:t>
      </w:r>
    </w:p>
    <w:bookmarkEnd w:id="6991"/>
    <w:bookmarkStart w:name="z7003" w:id="6992"/>
    <w:p>
      <w:pPr>
        <w:spacing w:after="0"/>
        <w:ind w:left="0"/>
        <w:jc w:val="both"/>
      </w:pPr>
      <w:r>
        <w:rPr>
          <w:rFonts w:ascii="Times New Roman"/>
          <w:b w:val="false"/>
          <w:i w:val="false"/>
          <w:color w:val="000000"/>
          <w:sz w:val="28"/>
        </w:rPr>
        <w:t>
      2250. Палубные отверстия для тросов, поддерживающих ремонтные подвесные площадки, должны отвечать следующим требованиям:</w:t>
      </w:r>
    </w:p>
    <w:bookmarkEnd w:id="6992"/>
    <w:bookmarkStart w:name="z7004" w:id="6993"/>
    <w:p>
      <w:pPr>
        <w:spacing w:after="0"/>
        <w:ind w:left="0"/>
        <w:jc w:val="both"/>
      </w:pPr>
      <w:r>
        <w:rPr>
          <w:rFonts w:ascii="Times New Roman"/>
          <w:b w:val="false"/>
          <w:i w:val="false"/>
          <w:color w:val="000000"/>
          <w:sz w:val="28"/>
        </w:rPr>
        <w:t>
      1) сливные цистерны отделяются коффердамами, за исключением случаев, когда ограничивающими конструкциями сливных цистерн является корпус, главная грузовая палуба, переборка грузового насосного помещения или топливная цистерна. Эти коффердамы не должны быть открыты в сторону двойного дна, туннеля для трубопроводов, насосного помещения или другого закрытого помещения, а также не используются для перевозки груза или балласта и не соединяются с грузовыми или балластными системами.</w:t>
      </w:r>
    </w:p>
    <w:bookmarkEnd w:id="6993"/>
    <w:bookmarkStart w:name="z7005" w:id="6994"/>
    <w:p>
      <w:pPr>
        <w:spacing w:after="0"/>
        <w:ind w:left="0"/>
        <w:jc w:val="both"/>
      </w:pPr>
      <w:r>
        <w:rPr>
          <w:rFonts w:ascii="Times New Roman"/>
          <w:b w:val="false"/>
          <w:i w:val="false"/>
          <w:color w:val="000000"/>
          <w:sz w:val="28"/>
        </w:rPr>
        <w:t>
      Предусматриваются средства для заполнения коффердамов и их осушения.</w:t>
      </w:r>
    </w:p>
    <w:bookmarkEnd w:id="6994"/>
    <w:bookmarkStart w:name="z7006" w:id="6995"/>
    <w:p>
      <w:pPr>
        <w:spacing w:after="0"/>
        <w:ind w:left="0"/>
        <w:jc w:val="both"/>
      </w:pPr>
      <w:r>
        <w:rPr>
          <w:rFonts w:ascii="Times New Roman"/>
          <w:b w:val="false"/>
          <w:i w:val="false"/>
          <w:color w:val="000000"/>
          <w:sz w:val="28"/>
        </w:rPr>
        <w:t>
      Если ограничивающей конструкцией сливной цистерны является переборка грузового насосного помещения, насосное помещение не должно быть открыто в сторону двойного дна, туннеля для трубопроводов или другого закрытого помещения. Однако допускаются отверстия, снабженные газонепроницаемыми крышками, крепящимися болтами;</w:t>
      </w:r>
    </w:p>
    <w:bookmarkEnd w:id="6995"/>
    <w:bookmarkStart w:name="z7007" w:id="6996"/>
    <w:p>
      <w:pPr>
        <w:spacing w:after="0"/>
        <w:ind w:left="0"/>
        <w:jc w:val="both"/>
      </w:pPr>
      <w:r>
        <w:rPr>
          <w:rFonts w:ascii="Times New Roman"/>
          <w:b w:val="false"/>
          <w:i w:val="false"/>
          <w:color w:val="000000"/>
          <w:sz w:val="28"/>
        </w:rPr>
        <w:t>
      2) люки и отверстия для очистки сливных цистерн допускается предусматривать только на открытой палубе. Они снабжаются закрывающими устройствами, за исключением случаев, когда они выполнены в виде листов, которые крепятся болтами, расположенными друг от друга на расстоянии, обеспечивающем водонепроницаемость. Закрывающие устройства снабжаются запорными устройствами, находящимися под контролем ответственного лица командного состава судна;</w:t>
      </w:r>
    </w:p>
    <w:bookmarkEnd w:id="6996"/>
    <w:bookmarkStart w:name="z7008" w:id="6997"/>
    <w:p>
      <w:pPr>
        <w:spacing w:after="0"/>
        <w:ind w:left="0"/>
        <w:jc w:val="both"/>
      </w:pPr>
      <w:r>
        <w:rPr>
          <w:rFonts w:ascii="Times New Roman"/>
          <w:b w:val="false"/>
          <w:i w:val="false"/>
          <w:color w:val="000000"/>
          <w:sz w:val="28"/>
        </w:rPr>
        <w:t>
      3) устройство отверстии для грузовых операций в палубах и переборках, отделяющих помещения для перевозки нефти и нефтепродуктов от помещений, не рассчитанных и не оборудованных для их перевозки, допускается только при условии обеспечения равноценной непроницаемости для нефтепродуктов и их паров;</w:t>
      </w:r>
    </w:p>
    <w:bookmarkEnd w:id="6997"/>
    <w:bookmarkStart w:name="z7009" w:id="6998"/>
    <w:p>
      <w:pPr>
        <w:spacing w:after="0"/>
        <w:ind w:left="0"/>
        <w:jc w:val="both"/>
      </w:pPr>
      <w:r>
        <w:rPr>
          <w:rFonts w:ascii="Times New Roman"/>
          <w:b w:val="false"/>
          <w:i w:val="false"/>
          <w:color w:val="000000"/>
          <w:sz w:val="28"/>
        </w:rPr>
        <w:t>
      4) вывешиваются инструкции по мерам предосторожности при погрузке или разгрузке судна, а также при перевозке сухих грузов одновременно с остатками нефтепродуктов в сливных цистернах.</w:t>
      </w:r>
    </w:p>
    <w:bookmarkEnd w:id="6998"/>
    <w:bookmarkStart w:name="z7010" w:id="6999"/>
    <w:p>
      <w:pPr>
        <w:spacing w:after="0"/>
        <w:ind w:left="0"/>
        <w:jc w:val="both"/>
      </w:pPr>
      <w:r>
        <w:rPr>
          <w:rFonts w:ascii="Times New Roman"/>
          <w:b w:val="false"/>
          <w:i w:val="false"/>
          <w:color w:val="000000"/>
          <w:sz w:val="28"/>
        </w:rPr>
        <w:t>
      2251. Необходимо чтобы при установке на судах электрохимической защиты она отвечала следующим требованиям:</w:t>
      </w:r>
    </w:p>
    <w:bookmarkEnd w:id="6999"/>
    <w:bookmarkStart w:name="z7011" w:id="7000"/>
    <w:p>
      <w:pPr>
        <w:spacing w:after="0"/>
        <w:ind w:left="0"/>
        <w:jc w:val="both"/>
      </w:pPr>
      <w:r>
        <w:rPr>
          <w:rFonts w:ascii="Times New Roman"/>
          <w:b w:val="false"/>
          <w:i w:val="false"/>
          <w:color w:val="000000"/>
          <w:sz w:val="28"/>
        </w:rPr>
        <w:t>
      1) если применяется электрохимическая защита конструкций и их элементов, аноды могут быть изготовлены из цинковых, магниевых или алюминиевых сплавов, а также из стали;</w:t>
      </w:r>
    </w:p>
    <w:bookmarkEnd w:id="7000"/>
    <w:bookmarkStart w:name="z7012" w:id="7001"/>
    <w:p>
      <w:pPr>
        <w:spacing w:after="0"/>
        <w:ind w:left="0"/>
        <w:jc w:val="both"/>
      </w:pPr>
      <w:r>
        <w:rPr>
          <w:rFonts w:ascii="Times New Roman"/>
          <w:b w:val="false"/>
          <w:i w:val="false"/>
          <w:color w:val="000000"/>
          <w:sz w:val="28"/>
        </w:rPr>
        <w:t>
      2) аноды из магниевых сплавов, применяемые для защиты неокрашенных элементов конструкций из легких металлов, экранируются блендами, не проводящими электрический ток.</w:t>
      </w:r>
    </w:p>
    <w:bookmarkEnd w:id="7001"/>
    <w:bookmarkStart w:name="z7013" w:id="7002"/>
    <w:p>
      <w:pPr>
        <w:spacing w:after="0"/>
        <w:ind w:left="0"/>
        <w:jc w:val="both"/>
      </w:pPr>
      <w:r>
        <w:rPr>
          <w:rFonts w:ascii="Times New Roman"/>
          <w:b w:val="false"/>
          <w:i w:val="false"/>
          <w:color w:val="000000"/>
          <w:sz w:val="28"/>
        </w:rPr>
        <w:t>
      При использовании анодов из магниевых сплавов на законсервированных элементах конструкций из стали или алюминия следует предусматривать усиление слоев окраски;</w:t>
      </w:r>
    </w:p>
    <w:bookmarkEnd w:id="7002"/>
    <w:bookmarkStart w:name="z7014" w:id="7003"/>
    <w:p>
      <w:pPr>
        <w:spacing w:after="0"/>
        <w:ind w:left="0"/>
        <w:jc w:val="both"/>
      </w:pPr>
      <w:r>
        <w:rPr>
          <w:rFonts w:ascii="Times New Roman"/>
          <w:b w:val="false"/>
          <w:i w:val="false"/>
          <w:color w:val="000000"/>
          <w:sz w:val="28"/>
        </w:rPr>
        <w:t>
      3) на судах, перевозящих нефтепродукты, не разрешается применение систем электрохимической защиты с наложенным током и установка в грузовых танках и смежных с ними танках анодов из магниевых сплавов.</w:t>
      </w:r>
    </w:p>
    <w:bookmarkEnd w:id="7003"/>
    <w:bookmarkStart w:name="z7015" w:id="7004"/>
    <w:p>
      <w:pPr>
        <w:spacing w:after="0"/>
        <w:ind w:left="0"/>
        <w:jc w:val="both"/>
      </w:pPr>
      <w:r>
        <w:rPr>
          <w:rFonts w:ascii="Times New Roman"/>
          <w:b w:val="false"/>
          <w:i w:val="false"/>
          <w:color w:val="000000"/>
          <w:sz w:val="28"/>
        </w:rPr>
        <w:t>
      Использование анодов из магниевых сплавов в других местах возможного скопления взрывоопасных смесей возможно только по согласованию с Регистром судоходства;</w:t>
      </w:r>
    </w:p>
    <w:bookmarkEnd w:id="7004"/>
    <w:bookmarkStart w:name="z7016" w:id="7005"/>
    <w:p>
      <w:pPr>
        <w:spacing w:after="0"/>
        <w:ind w:left="0"/>
        <w:jc w:val="both"/>
      </w:pPr>
      <w:r>
        <w:rPr>
          <w:rFonts w:ascii="Times New Roman"/>
          <w:b w:val="false"/>
          <w:i w:val="false"/>
          <w:color w:val="000000"/>
          <w:sz w:val="28"/>
        </w:rPr>
        <w:t>
      4) аноды из алюминиевых сплавов разрешается применять в грузовых танках и смежных с ними танках на судах, перевозящих нефтепродукты, только в тех местах, где их потенциальная энергия не превышает 275 Дж, при этом высота установки анода измеряется от дна танка до центра анода, а его масса принимается как масса анода в том виде, в каком он установлен, включая устройства крепления и вставки.</w:t>
      </w:r>
    </w:p>
    <w:bookmarkEnd w:id="7005"/>
    <w:bookmarkStart w:name="z7017" w:id="7006"/>
    <w:p>
      <w:pPr>
        <w:spacing w:after="0"/>
        <w:ind w:left="0"/>
        <w:jc w:val="both"/>
      </w:pPr>
      <w:r>
        <w:rPr>
          <w:rFonts w:ascii="Times New Roman"/>
          <w:b w:val="false"/>
          <w:i w:val="false"/>
          <w:color w:val="000000"/>
          <w:sz w:val="28"/>
        </w:rPr>
        <w:t>
      Если аноды из алюминиевых сплавов, устанавливаются на горизонтальных поверхностях (например, на шельфах переборок, стрингерах) шириной не менее 1 м, которые снабжены вертикальным фланцем или плоским буртиком, выступающими над горизонтальной поверхностью не менее чем на 75 мм, высота установки анода допускается измерять от этих поверхностей.</w:t>
      </w:r>
    </w:p>
    <w:bookmarkEnd w:id="7006"/>
    <w:bookmarkStart w:name="z7018" w:id="7007"/>
    <w:p>
      <w:pPr>
        <w:spacing w:after="0"/>
        <w:ind w:left="0"/>
        <w:jc w:val="both"/>
      </w:pPr>
      <w:r>
        <w:rPr>
          <w:rFonts w:ascii="Times New Roman"/>
          <w:b w:val="false"/>
          <w:i w:val="false"/>
          <w:color w:val="000000"/>
          <w:sz w:val="28"/>
        </w:rPr>
        <w:t>
      Аноды из алюминиевых сплавов не располагаются под люками и отверстиями, если они не защищены от возможного падения на них металлических предметов;</w:t>
      </w:r>
    </w:p>
    <w:bookmarkEnd w:id="7007"/>
    <w:bookmarkStart w:name="z7019" w:id="7008"/>
    <w:p>
      <w:pPr>
        <w:spacing w:after="0"/>
        <w:ind w:left="0"/>
        <w:jc w:val="both"/>
      </w:pPr>
      <w:r>
        <w:rPr>
          <w:rFonts w:ascii="Times New Roman"/>
          <w:b w:val="false"/>
          <w:i w:val="false"/>
          <w:color w:val="000000"/>
          <w:sz w:val="28"/>
        </w:rPr>
        <w:t>
      5) конструкция крепления анодов для защиты грузовых танков была надежной и обеспечивала сохранность анода и арматуры с креплением, даже когда он израсходован. Аноды по бокам и снизу снабжаются ограничителями из материала, при соприкосновении которого с анодом исключается искрообразование. Стальная арматура крепится к конструкции непрерывным сварным швом достаточного сечения, а если она крепится к отдельным опорам болтами, их должно быть, как минимум, два с контргайками.</w:t>
      </w:r>
    </w:p>
    <w:bookmarkEnd w:id="7008"/>
    <w:bookmarkStart w:name="z7020" w:id="7009"/>
    <w:p>
      <w:pPr>
        <w:spacing w:after="0"/>
        <w:ind w:left="0"/>
        <w:jc w:val="both"/>
      </w:pPr>
      <w:r>
        <w:rPr>
          <w:rFonts w:ascii="Times New Roman"/>
          <w:b w:val="false"/>
          <w:i w:val="false"/>
          <w:color w:val="000000"/>
          <w:sz w:val="28"/>
        </w:rPr>
        <w:t>
      Любые другие способы крепления подлежат специальному рассмотрению Регистром судоходства.</w:t>
      </w:r>
    </w:p>
    <w:bookmarkEnd w:id="7009"/>
    <w:bookmarkStart w:name="z7021" w:id="7010"/>
    <w:p>
      <w:pPr>
        <w:spacing w:after="0"/>
        <w:ind w:left="0"/>
        <w:jc w:val="both"/>
      </w:pPr>
      <w:r>
        <w:rPr>
          <w:rFonts w:ascii="Times New Roman"/>
          <w:b w:val="false"/>
          <w:i w:val="false"/>
          <w:color w:val="000000"/>
          <w:sz w:val="28"/>
        </w:rPr>
        <w:t>
      Конце анодов не прикрепляются к частям конструкции, имеющей возможность самостоятельного перемещения.</w:t>
      </w:r>
    </w:p>
    <w:bookmarkEnd w:id="7010"/>
    <w:bookmarkStart w:name="z7022" w:id="7011"/>
    <w:p>
      <w:pPr>
        <w:spacing w:after="0"/>
        <w:ind w:left="0"/>
        <w:jc w:val="left"/>
      </w:pPr>
      <w:r>
        <w:rPr>
          <w:rFonts w:ascii="Times New Roman"/>
          <w:b/>
          <w:i w:val="false"/>
          <w:color w:val="000000"/>
        </w:rPr>
        <w:t xml:space="preserve"> Подраздел 3. Противопожарное оборудование и системы</w:t>
      </w:r>
      <w:r>
        <w:br/>
      </w:r>
      <w:r>
        <w:rPr>
          <w:rFonts w:ascii="Times New Roman"/>
          <w:b/>
          <w:i w:val="false"/>
          <w:color w:val="000000"/>
        </w:rPr>
        <w:t>Глава 148.Общие требования</w:t>
      </w:r>
    </w:p>
    <w:bookmarkEnd w:id="7011"/>
    <w:p>
      <w:pPr>
        <w:spacing w:after="0"/>
        <w:ind w:left="0"/>
        <w:jc w:val="both"/>
      </w:pPr>
      <w:r>
        <w:rPr>
          <w:rFonts w:ascii="Times New Roman"/>
          <w:b w:val="false"/>
          <w:i w:val="false"/>
          <w:color w:val="ff0000"/>
          <w:sz w:val="28"/>
        </w:rPr>
        <w:t xml:space="preserve">
      Сноска. Заголовок главы 148 -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24" w:id="7012"/>
    <w:p>
      <w:pPr>
        <w:spacing w:after="0"/>
        <w:ind w:left="0"/>
        <w:jc w:val="left"/>
      </w:pPr>
      <w:r>
        <w:rPr>
          <w:rFonts w:ascii="Times New Roman"/>
          <w:b/>
          <w:i w:val="false"/>
          <w:color w:val="000000"/>
        </w:rPr>
        <w:t xml:space="preserve"> Параграф 1. Общие указания</w:t>
      </w:r>
    </w:p>
    <w:bookmarkEnd w:id="7012"/>
    <w:bookmarkStart w:name="z7025" w:id="7013"/>
    <w:p>
      <w:pPr>
        <w:spacing w:after="0"/>
        <w:ind w:left="0"/>
        <w:jc w:val="both"/>
      </w:pPr>
      <w:r>
        <w:rPr>
          <w:rFonts w:ascii="Times New Roman"/>
          <w:b w:val="false"/>
          <w:i w:val="false"/>
          <w:color w:val="000000"/>
          <w:sz w:val="28"/>
        </w:rPr>
        <w:t>
      2252. Требования настоящего подраздела распространяются на все противопожарное оборудование и системы пожаротушения на морских судах, предназначенные для их противопожарной защиты.</w:t>
      </w:r>
    </w:p>
    <w:bookmarkEnd w:id="7013"/>
    <w:bookmarkStart w:name="z7026" w:id="7014"/>
    <w:p>
      <w:pPr>
        <w:spacing w:after="0"/>
        <w:ind w:left="0"/>
        <w:jc w:val="both"/>
      </w:pPr>
      <w:r>
        <w:rPr>
          <w:rFonts w:ascii="Times New Roman"/>
          <w:b w:val="false"/>
          <w:i w:val="false"/>
          <w:color w:val="000000"/>
          <w:sz w:val="28"/>
        </w:rPr>
        <w:t>
      Если на судне предусматриваются дополнительные системы пожаротушения сверх требуемых настоящим подразделом, они также должны отвечать изложенным требованиям в объеме, согласованном с Регистром судоходства.</w:t>
      </w:r>
    </w:p>
    <w:bookmarkEnd w:id="7014"/>
    <w:bookmarkStart w:name="z7027" w:id="7015"/>
    <w:p>
      <w:pPr>
        <w:spacing w:after="0"/>
        <w:ind w:left="0"/>
        <w:jc w:val="both"/>
      </w:pPr>
      <w:r>
        <w:rPr>
          <w:rFonts w:ascii="Times New Roman"/>
          <w:b w:val="false"/>
          <w:i w:val="false"/>
          <w:color w:val="000000"/>
          <w:sz w:val="28"/>
        </w:rPr>
        <w:t>
      При проектировании и изготовлении систем пожаротушения должны быть выполнены требования подразделов 2, 4 и 5 раздела 10 настоящих Правил.</w:t>
      </w:r>
    </w:p>
    <w:bookmarkEnd w:id="7015"/>
    <w:bookmarkStart w:name="z7028" w:id="7016"/>
    <w:p>
      <w:pPr>
        <w:spacing w:after="0"/>
        <w:ind w:left="0"/>
        <w:jc w:val="both"/>
      </w:pPr>
      <w:r>
        <w:rPr>
          <w:rFonts w:ascii="Times New Roman"/>
          <w:b w:val="false"/>
          <w:i w:val="false"/>
          <w:color w:val="000000"/>
          <w:sz w:val="28"/>
        </w:rPr>
        <w:t>
      2253. Противопожарное оборудование и системы конструктивно выполняются таким образом, чтобы во всех случаях эксплуатации (пункт 2685 настоящих Правил) была обеспечена их надежность и готовность к немедленному использованию.</w:t>
      </w:r>
    </w:p>
    <w:bookmarkEnd w:id="7016"/>
    <w:bookmarkStart w:name="z7029" w:id="7017"/>
    <w:p>
      <w:pPr>
        <w:spacing w:after="0"/>
        <w:ind w:left="0"/>
        <w:jc w:val="both"/>
      </w:pPr>
      <w:r>
        <w:rPr>
          <w:rFonts w:ascii="Times New Roman"/>
          <w:b w:val="false"/>
          <w:i w:val="false"/>
          <w:color w:val="000000"/>
          <w:sz w:val="28"/>
        </w:rPr>
        <w:t>
      2254. Баллоны и сосуды под давлением, применяемые в системах пожаротушения, должны отвечать требованиям, изложенным в главе 422 настоящих Правил.</w:t>
      </w:r>
    </w:p>
    <w:bookmarkEnd w:id="7017"/>
    <w:bookmarkStart w:name="z7030" w:id="7018"/>
    <w:p>
      <w:pPr>
        <w:spacing w:after="0"/>
        <w:ind w:left="0"/>
        <w:jc w:val="both"/>
      </w:pPr>
      <w:r>
        <w:rPr>
          <w:rFonts w:ascii="Times New Roman"/>
          <w:b w:val="false"/>
          <w:i w:val="false"/>
          <w:color w:val="000000"/>
          <w:sz w:val="28"/>
        </w:rPr>
        <w:t>
      Трубопроводы должны отвечать требованиям, изложенным в подразделе 2 раздела 10 настоящих Правил.</w:t>
      </w:r>
    </w:p>
    <w:bookmarkEnd w:id="7018"/>
    <w:bookmarkStart w:name="z7031" w:id="7019"/>
    <w:p>
      <w:pPr>
        <w:spacing w:after="0"/>
        <w:ind w:left="0"/>
        <w:jc w:val="both"/>
      </w:pPr>
      <w:r>
        <w:rPr>
          <w:rFonts w:ascii="Times New Roman"/>
          <w:b w:val="false"/>
          <w:i w:val="false"/>
          <w:color w:val="000000"/>
          <w:sz w:val="28"/>
        </w:rPr>
        <w:t>
      2255. Не допускается использование огнетушащих веществ, которые сами по себе или в предполагаемых условиях применения выделяют токсичные газы, жидкости или прочие вещества в опасном для человека количестве. Запрещается устанавливать на судах новые противопожарные установки, использующие галон 1211, галон 1301 и галон 2402, а также перфторуглероды.</w:t>
      </w:r>
    </w:p>
    <w:bookmarkEnd w:id="7019"/>
    <w:bookmarkStart w:name="z7032" w:id="7020"/>
    <w:p>
      <w:pPr>
        <w:spacing w:after="0"/>
        <w:ind w:left="0"/>
        <w:jc w:val="left"/>
      </w:pPr>
      <w:r>
        <w:rPr>
          <w:rFonts w:ascii="Times New Roman"/>
          <w:b/>
          <w:i w:val="false"/>
          <w:color w:val="000000"/>
        </w:rPr>
        <w:t xml:space="preserve"> Параграф 2. Системы пожаротушения</w:t>
      </w:r>
    </w:p>
    <w:bookmarkEnd w:id="7020"/>
    <w:bookmarkStart w:name="z7033" w:id="7021"/>
    <w:p>
      <w:pPr>
        <w:spacing w:after="0"/>
        <w:ind w:left="0"/>
        <w:jc w:val="both"/>
      </w:pPr>
      <w:r>
        <w:rPr>
          <w:rFonts w:ascii="Times New Roman"/>
          <w:b w:val="false"/>
          <w:i w:val="false"/>
          <w:color w:val="000000"/>
          <w:sz w:val="28"/>
        </w:rPr>
        <w:t>
      2256. В зависимости от назначения судовые помещения в дополнение к водопожарной системе должны быть защищены одной из стационарных систем пожаротушения в соответствии с приложением 273 настоящих Правил, если не оговорено иное.</w:t>
      </w:r>
    </w:p>
    <w:bookmarkEnd w:id="7021"/>
    <w:bookmarkStart w:name="z7034" w:id="7022"/>
    <w:p>
      <w:pPr>
        <w:spacing w:after="0"/>
        <w:ind w:left="0"/>
        <w:jc w:val="both"/>
      </w:pPr>
      <w:r>
        <w:rPr>
          <w:rFonts w:ascii="Times New Roman"/>
          <w:b w:val="false"/>
          <w:i w:val="false"/>
          <w:color w:val="000000"/>
          <w:sz w:val="28"/>
        </w:rPr>
        <w:t>
      Регистр судоходства может рассмотреть применение других эквивалентных систем, обеспечивающих равноценную защиту.</w:t>
      </w:r>
    </w:p>
    <w:bookmarkEnd w:id="7022"/>
    <w:bookmarkStart w:name="z7035" w:id="7023"/>
    <w:p>
      <w:pPr>
        <w:spacing w:after="0"/>
        <w:ind w:left="0"/>
        <w:jc w:val="both"/>
      </w:pPr>
      <w:r>
        <w:rPr>
          <w:rFonts w:ascii="Times New Roman"/>
          <w:b w:val="false"/>
          <w:i w:val="false"/>
          <w:color w:val="000000"/>
          <w:sz w:val="28"/>
        </w:rPr>
        <w:t>
      Для машинных помещений категории А и насосных помещений, указанных в подпункте 1) пункта 2141 настоящих Правил, вместо углекислотной системы тушения допускается установка эквивалентной системы пожаротушения одобренной Регистром судоходства и удовлетворяющей циркуляру ИМО MSC/Circ. 848, а вместо системы водораспыления допускается установка системы пожаротушения водяным туманом, одобренная Регистром судоходства на основе циркуляров ИМО MSC/Circ. 668, MSC/Circ. 728 и MSC/Circ. 1165.</w:t>
      </w:r>
    </w:p>
    <w:bookmarkEnd w:id="7023"/>
    <w:bookmarkStart w:name="z7036" w:id="7024"/>
    <w:p>
      <w:pPr>
        <w:spacing w:after="0"/>
        <w:ind w:left="0"/>
        <w:jc w:val="both"/>
      </w:pPr>
      <w:r>
        <w:rPr>
          <w:rFonts w:ascii="Times New Roman"/>
          <w:b w:val="false"/>
          <w:i w:val="false"/>
          <w:color w:val="000000"/>
          <w:sz w:val="28"/>
        </w:rPr>
        <w:t>
      Для защиты помещений, указанных в подпунктах 3), 4) пункта 2137 и пункта 2143 настоящих Правил, Регистр судоходства допускает применение другой стационарной системы пожаротушения, чем предписана в приложении 273 настоящих Правил, если путем проведения натурных испытаний в условиях в каком помещении будет доказано, что при борьбе с пожарами такая система не менее эффективна (циркуляр ИМО MSC/Circ. 914).</w:t>
      </w:r>
    </w:p>
    <w:bookmarkEnd w:id="7024"/>
    <w:bookmarkStart w:name="z7037" w:id="7025"/>
    <w:p>
      <w:pPr>
        <w:spacing w:after="0"/>
        <w:ind w:left="0"/>
        <w:jc w:val="both"/>
      </w:pPr>
      <w:r>
        <w:rPr>
          <w:rFonts w:ascii="Times New Roman"/>
          <w:b w:val="false"/>
          <w:i w:val="false"/>
          <w:color w:val="000000"/>
          <w:sz w:val="28"/>
        </w:rPr>
        <w:t>
      2257. Расчет необходимого количества огнетушащего вещества должен производиться для каждого защищаемого помещения. Выбранное количество хранимого огнетушащего вещества допускается устанавливать по наибольшей из полученных расчетных величин. Система пожаротушения оборудуется клапанами, обычно находящимися в закрытом состоянии, для направления огнетушащего вещества в соответствующее помещение.</w:t>
      </w:r>
    </w:p>
    <w:bookmarkEnd w:id="7025"/>
    <w:bookmarkStart w:name="z7038" w:id="7026"/>
    <w:p>
      <w:pPr>
        <w:spacing w:after="0"/>
        <w:ind w:left="0"/>
        <w:jc w:val="both"/>
      </w:pPr>
      <w:r>
        <w:rPr>
          <w:rFonts w:ascii="Times New Roman"/>
          <w:b w:val="false"/>
          <w:i w:val="false"/>
          <w:color w:val="000000"/>
          <w:sz w:val="28"/>
        </w:rPr>
        <w:t>
      Если два или несколько смежных помещений, представляющие различную пожарную опасность, не разделены между собой газо или водонепроницаемыми переборками или палубами, либо если жидкое топливо может перетекать из одного помещения в другое и возможность такого перетекания конструктивно не устранена, то выбор огнетушащего вещества и соответственно системы пожаротушения производится применительно к тому помещению, которое представляет наибольшую пожарную опасность, а расчет потребного количества огнетушащего вещества и интенсивности его подачи производится по суммарной площади или по объему (соответственно) всех сообщающихся помещений.</w:t>
      </w:r>
    </w:p>
    <w:bookmarkEnd w:id="7026"/>
    <w:bookmarkStart w:name="z7039" w:id="7027"/>
    <w:p>
      <w:pPr>
        <w:spacing w:after="0"/>
        <w:ind w:left="0"/>
        <w:jc w:val="both"/>
      </w:pPr>
      <w:r>
        <w:rPr>
          <w:rFonts w:ascii="Times New Roman"/>
          <w:b w:val="false"/>
          <w:i w:val="false"/>
          <w:color w:val="000000"/>
          <w:sz w:val="28"/>
        </w:rPr>
        <w:t>
      2258. Если используется стационарная газовая система пожаротушения, должна быть предусмотрена возможность, чтобы отверстия, через которые в зашищаемое помещение может поступать воздух или выходить газ, могли закрываться с места, расположенного вне защищаемого помещения.</w:t>
      </w:r>
    </w:p>
    <w:bookmarkEnd w:id="7027"/>
    <w:bookmarkStart w:name="z7040" w:id="7028"/>
    <w:p>
      <w:pPr>
        <w:spacing w:after="0"/>
        <w:ind w:left="0"/>
        <w:jc w:val="both"/>
      </w:pPr>
      <w:r>
        <w:rPr>
          <w:rFonts w:ascii="Times New Roman"/>
          <w:b w:val="false"/>
          <w:i w:val="false"/>
          <w:color w:val="000000"/>
          <w:sz w:val="28"/>
        </w:rPr>
        <w:t>
      Водо-и газонепроницаемые двери допускается рассматривать как закрытия в разделяющей смежные машинные помещения переборке только в том случае, если они являются самозакрывающимися или имеют дистанционный привод и у постов, из которых может быть выпущено огнетушащее вещество, имеется сигнализация о полном закрытии этих дверей. Если такая сигнализация отсутствует, расчет и подвод огнетушащего вещества производятся исходя из необходимости обеспечения средствами пожаротушения суммарного объема (площади) смежных помещений.</w:t>
      </w:r>
    </w:p>
    <w:bookmarkEnd w:id="7028"/>
    <w:bookmarkStart w:name="z7041" w:id="7029"/>
    <w:p>
      <w:pPr>
        <w:spacing w:after="0"/>
        <w:ind w:left="0"/>
        <w:jc w:val="both"/>
      </w:pPr>
      <w:r>
        <w:rPr>
          <w:rFonts w:ascii="Times New Roman"/>
          <w:b w:val="false"/>
          <w:i w:val="false"/>
          <w:color w:val="000000"/>
          <w:sz w:val="28"/>
        </w:rPr>
        <w:t>
      2259. На многопалубных судах твиндек считается отделенным от другого твиндека или трюма газонепроницаемой палубой только в том случае, если просвет грузового и других люков и отверстий на этой палубе закрыт стальными водо-или газонепроницаемыми люковыми закрытиями и крышками, а места прохода набора через палубу имеют водонепроницаемые заделки. Если такие закрытия и заделки отсутствуют, помещения считаются сообщающимися и расчет количества огнетушащего вещества должен производиться на суммарный объем помещений.</w:t>
      </w:r>
    </w:p>
    <w:bookmarkEnd w:id="7029"/>
    <w:bookmarkStart w:name="z7042" w:id="7030"/>
    <w:p>
      <w:pPr>
        <w:spacing w:after="0"/>
        <w:ind w:left="0"/>
        <w:jc w:val="both"/>
      </w:pPr>
      <w:r>
        <w:rPr>
          <w:rFonts w:ascii="Times New Roman"/>
          <w:b w:val="false"/>
          <w:i w:val="false"/>
          <w:color w:val="000000"/>
          <w:sz w:val="28"/>
        </w:rPr>
        <w:t>
      2260. Если в помещении, защищаемом системой углекислотного или аэрозольного тушения, имеются воздухохранители, количество огнетушащего вещества определяется из необходимости защиты расчетного объема защищаемого помещения и избытка свободного объема сжатого воздуха. Если обеспечен отвод воздуха от предохранительных клапанов и плавких вставок воздухохранителеи за пределы защищаемого помещения, то увеличение количества углекислого газа в системах углекислотного тушения может не предусматриваться, а в системах аэрозольного тушения при определении количества аэрозолеобразующего состава объем воздуха в воздухохранителях может не учитываться (пункт 2468 настоящих Правил).</w:t>
      </w:r>
    </w:p>
    <w:bookmarkEnd w:id="7030"/>
    <w:bookmarkStart w:name="z7043" w:id="7031"/>
    <w:p>
      <w:pPr>
        <w:spacing w:after="0"/>
        <w:ind w:left="0"/>
        <w:jc w:val="both"/>
      </w:pPr>
      <w:r>
        <w:rPr>
          <w:rFonts w:ascii="Times New Roman"/>
          <w:b w:val="false"/>
          <w:i w:val="false"/>
          <w:color w:val="000000"/>
          <w:sz w:val="28"/>
        </w:rPr>
        <w:t>
      2261. В целях предотвращения чрезмерного давления в помещениях, оборудованных системами объемного пожаротушения, в необходимых случаях должны быть установлены дыхательные клапаны или использованы имеющиеся устройства (например, воздушные трубы или вентиляционные каналы).</w:t>
      </w:r>
    </w:p>
    <w:bookmarkEnd w:id="7031"/>
    <w:bookmarkStart w:name="z7044" w:id="7032"/>
    <w:p>
      <w:pPr>
        <w:spacing w:after="0"/>
        <w:ind w:left="0"/>
        <w:jc w:val="both"/>
      </w:pPr>
      <w:r>
        <w:rPr>
          <w:rFonts w:ascii="Times New Roman"/>
          <w:b w:val="false"/>
          <w:i w:val="false"/>
          <w:color w:val="000000"/>
          <w:sz w:val="28"/>
        </w:rPr>
        <w:t>
      2262. Помещения для установок жидкого топлива (пункт 18 приложения 273 настоящих Правил), выгороженные внутри машинных отделений, либо могут иметь автономную систему пожаротушения, либо могут защищаться системой пожаротушения машинного отделения.</w:t>
      </w:r>
    </w:p>
    <w:bookmarkEnd w:id="7032"/>
    <w:bookmarkStart w:name="z7045" w:id="7033"/>
    <w:p>
      <w:pPr>
        <w:spacing w:after="0"/>
        <w:ind w:left="0"/>
        <w:jc w:val="both"/>
      </w:pPr>
      <w:r>
        <w:rPr>
          <w:rFonts w:ascii="Times New Roman"/>
          <w:b w:val="false"/>
          <w:i w:val="false"/>
          <w:color w:val="000000"/>
          <w:sz w:val="28"/>
        </w:rPr>
        <w:t>
      2263. Независимо от стационарной системы, предусмотренной приложением 273 настоящих Правил, для котельных помещений нефтеналивных судов, в которых в качестве топлива для котлов используются сырая нефть и остатки груза, должен быть предусмотрен 135-литровый пенный огнетушитель в соответствии с пунктом 2528 настоящих Правил либо эквивалентная ему установка пенотушения, оборудованные стационарно установленными пеногенераторами, обеспечивающими подачу пены к фронту котлов и на поддон под форсунками, клапанами и соединениями. Этот огнетушитель (установка) должен управляться дистанционно извне котельного помещения.</w:t>
      </w:r>
    </w:p>
    <w:bookmarkEnd w:id="7033"/>
    <w:bookmarkStart w:name="z7046" w:id="7034"/>
    <w:p>
      <w:pPr>
        <w:spacing w:after="0"/>
        <w:ind w:left="0"/>
        <w:jc w:val="both"/>
      </w:pPr>
      <w:r>
        <w:rPr>
          <w:rFonts w:ascii="Times New Roman"/>
          <w:b w:val="false"/>
          <w:i w:val="false"/>
          <w:color w:val="000000"/>
          <w:sz w:val="28"/>
        </w:rPr>
        <w:t>
      2264. Устройство систем должно обеспечивать равномерное поступление огнетушащего вещества во все пространство защищаемого помещения, включая выгороженные в нем участки (например, посты управления, мастерские в машинных помещениях).</w:t>
      </w:r>
    </w:p>
    <w:bookmarkEnd w:id="7034"/>
    <w:bookmarkStart w:name="z7047" w:id="7035"/>
    <w:p>
      <w:pPr>
        <w:spacing w:after="0"/>
        <w:ind w:left="0"/>
        <w:jc w:val="both"/>
      </w:pPr>
      <w:r>
        <w:rPr>
          <w:rFonts w:ascii="Times New Roman"/>
          <w:b w:val="false"/>
          <w:i w:val="false"/>
          <w:color w:val="000000"/>
          <w:sz w:val="28"/>
        </w:rPr>
        <w:t>
      2265. Применение пара в дополнение к требуемому огнетушащему веществу может быть допущено Регистром судоходства в каждом конкретном случае, причем паропроизводительность котла или котлов, обеспечивающих подачу пара, должна быть не менее 1,0 кг/ч на каждые 0,75 м</w:t>
      </w:r>
      <w:r>
        <w:rPr>
          <w:rFonts w:ascii="Times New Roman"/>
          <w:b w:val="false"/>
          <w:i w:val="false"/>
          <w:color w:val="000000"/>
          <w:vertAlign w:val="superscript"/>
        </w:rPr>
        <w:t>3</w:t>
      </w:r>
      <w:r>
        <w:rPr>
          <w:rFonts w:ascii="Times New Roman"/>
          <w:b w:val="false"/>
          <w:i w:val="false"/>
          <w:color w:val="000000"/>
          <w:sz w:val="28"/>
        </w:rPr>
        <w:t xml:space="preserve"> валового объема наибольшего из защищаемых паром помещений.</w:t>
      </w:r>
    </w:p>
    <w:bookmarkEnd w:id="7035"/>
    <w:bookmarkStart w:name="z7048" w:id="7036"/>
    <w:p>
      <w:pPr>
        <w:spacing w:after="0"/>
        <w:ind w:left="0"/>
        <w:jc w:val="both"/>
      </w:pPr>
      <w:r>
        <w:rPr>
          <w:rFonts w:ascii="Times New Roman"/>
          <w:b w:val="false"/>
          <w:i w:val="false"/>
          <w:color w:val="000000"/>
          <w:sz w:val="28"/>
        </w:rPr>
        <w:t>
      2266. Если в качестве огнетушащего вещества используется газ, являющийся газообразным продуктом сгорания жидкого топлива, то системы, его использующие для защиты машинных и грузовых помещений, должны соответствовать требованиям Кодекса по системам противопожарной безопасности.</w:t>
      </w:r>
    </w:p>
    <w:bookmarkEnd w:id="7036"/>
    <w:bookmarkStart w:name="z7049" w:id="7037"/>
    <w:p>
      <w:pPr>
        <w:spacing w:after="0"/>
        <w:ind w:left="0"/>
        <w:jc w:val="both"/>
      </w:pPr>
      <w:r>
        <w:rPr>
          <w:rFonts w:ascii="Times New Roman"/>
          <w:b w:val="false"/>
          <w:i w:val="false"/>
          <w:color w:val="000000"/>
          <w:sz w:val="28"/>
        </w:rPr>
        <w:t xml:space="preserve">
      2267. Жидкие грузы с температурой вспышки выше 60 </w:t>
      </w:r>
      <w:r>
        <w:rPr>
          <w:rFonts w:ascii="Times New Roman"/>
          <w:b w:val="false"/>
          <w:i w:val="false"/>
          <w:color w:val="000000"/>
          <w:vertAlign w:val="superscript"/>
        </w:rPr>
        <w:t>о</w:t>
      </w:r>
      <w:r>
        <w:rPr>
          <w:rFonts w:ascii="Times New Roman"/>
          <w:b w:val="false"/>
          <w:i w:val="false"/>
          <w:color w:val="000000"/>
          <w:sz w:val="28"/>
        </w:rPr>
        <w:t>С, иные чем нефтепродукты или жидкие грузы, подпадающие под требования Кодекса ИМО по конструкции и оборудованию судов, перевозящих опасные химические грузы наливом, считаются представляющими низкую пожароопасность и не требующими защиты стационарной системой пенотушения.</w:t>
      </w:r>
    </w:p>
    <w:bookmarkEnd w:id="7037"/>
    <w:bookmarkStart w:name="z7050" w:id="7038"/>
    <w:p>
      <w:pPr>
        <w:spacing w:after="0"/>
        <w:ind w:left="0"/>
        <w:jc w:val="both"/>
      </w:pPr>
      <w:r>
        <w:rPr>
          <w:rFonts w:ascii="Times New Roman"/>
          <w:b w:val="false"/>
          <w:i w:val="false"/>
          <w:color w:val="000000"/>
          <w:sz w:val="28"/>
        </w:rPr>
        <w:t>
      2268. Для защиты грузовых помещений контейнеровозов, имеющих люковые закрытия частично непроницаемые при воздействии моря (MSC/Circ. 1087), при расчетах систем углекислотного тушения необходимо руководствоваться требованиями раздела 2 указанного Циркуляра. Если величина зазоров между крышками люков превышает 50 мм, то в грузовых помещениях должна быть установлена стационарная система водораспыления.</w:t>
      </w:r>
    </w:p>
    <w:bookmarkEnd w:id="7038"/>
    <w:bookmarkStart w:name="z7051" w:id="7039"/>
    <w:p>
      <w:pPr>
        <w:spacing w:after="0"/>
        <w:ind w:left="0"/>
        <w:jc w:val="both"/>
      </w:pPr>
      <w:r>
        <w:rPr>
          <w:rFonts w:ascii="Times New Roman"/>
          <w:b w:val="false"/>
          <w:i w:val="false"/>
          <w:color w:val="000000"/>
          <w:sz w:val="28"/>
        </w:rPr>
        <w:t>
      2269. Жировые варочные агрегаты должны быть снабжены системой автоматического или ручного пожаротушения, испытанной по международному стандарту ИСО 15371 "Системы пожаротушения для защиты камбузных жировых варочных агрегатов". Органы управление ручным пуском такой системы пожаротушения должны иметь четкую маркировку. При приведении такой системы в действие должны быть обеспечено:</w:t>
      </w:r>
    </w:p>
    <w:bookmarkEnd w:id="7039"/>
    <w:bookmarkStart w:name="z7052" w:id="7040"/>
    <w:p>
      <w:pPr>
        <w:spacing w:after="0"/>
        <w:ind w:left="0"/>
        <w:jc w:val="both"/>
      </w:pPr>
      <w:r>
        <w:rPr>
          <w:rFonts w:ascii="Times New Roman"/>
          <w:b w:val="false"/>
          <w:i w:val="false"/>
          <w:color w:val="000000"/>
          <w:sz w:val="28"/>
        </w:rPr>
        <w:t>
      автоматическое отключение электроэнергии жировых варочных агрегатов;</w:t>
      </w:r>
    </w:p>
    <w:bookmarkEnd w:id="7040"/>
    <w:bookmarkStart w:name="z7053" w:id="7041"/>
    <w:p>
      <w:pPr>
        <w:spacing w:after="0"/>
        <w:ind w:left="0"/>
        <w:jc w:val="both"/>
      </w:pPr>
      <w:r>
        <w:rPr>
          <w:rFonts w:ascii="Times New Roman"/>
          <w:b w:val="false"/>
          <w:i w:val="false"/>
          <w:color w:val="000000"/>
          <w:sz w:val="28"/>
        </w:rPr>
        <w:t>
      аварийно – предупредительная сигнализация, указывающая на приведение такой системы в действие на камбузе, где установлен агрегат.</w:t>
      </w:r>
    </w:p>
    <w:bookmarkEnd w:id="7041"/>
    <w:bookmarkStart w:name="z7054" w:id="7042"/>
    <w:p>
      <w:pPr>
        <w:spacing w:after="0"/>
        <w:ind w:left="0"/>
        <w:jc w:val="both"/>
      </w:pPr>
      <w:r>
        <w:rPr>
          <w:rFonts w:ascii="Times New Roman"/>
          <w:b w:val="false"/>
          <w:i w:val="false"/>
          <w:color w:val="000000"/>
          <w:sz w:val="28"/>
        </w:rPr>
        <w:t>
      Жировые варочные агрегаты должны быть оснащены основным и дублирующим термостатами с аварийно – предупредительной сигнализацией об отказе любого из них.</w:t>
      </w:r>
    </w:p>
    <w:bookmarkEnd w:id="7042"/>
    <w:bookmarkStart w:name="z7055" w:id="7043"/>
    <w:p>
      <w:pPr>
        <w:spacing w:after="0"/>
        <w:ind w:left="0"/>
        <w:jc w:val="left"/>
      </w:pPr>
      <w:r>
        <w:rPr>
          <w:rFonts w:ascii="Times New Roman"/>
          <w:b/>
          <w:i w:val="false"/>
          <w:color w:val="000000"/>
        </w:rPr>
        <w:t xml:space="preserve"> Параграф 3. Размещение и оборудование станций пожаротушения</w:t>
      </w:r>
    </w:p>
    <w:bookmarkEnd w:id="7043"/>
    <w:bookmarkStart w:name="z7056" w:id="7044"/>
    <w:p>
      <w:pPr>
        <w:spacing w:after="0"/>
        <w:ind w:left="0"/>
        <w:jc w:val="both"/>
      </w:pPr>
      <w:r>
        <w:rPr>
          <w:rFonts w:ascii="Times New Roman"/>
          <w:b w:val="false"/>
          <w:i w:val="false"/>
          <w:color w:val="000000"/>
          <w:sz w:val="28"/>
        </w:rPr>
        <w:t>
      2270. Механическое оборудование (например, пеносмесители, резервуары, баллоны или сосуды с огнетушащим веществом или сжатым воздухом, генераторы инертного газа или пены высокой кратности, холодильные установки), а также пусковые устройства всех систем пожаротушения, за исключением водопожарной системы, размещаются, как правило, вне защищаемых помещений на станциях пожаротушения.</w:t>
      </w:r>
    </w:p>
    <w:bookmarkEnd w:id="7044"/>
    <w:bookmarkStart w:name="z7057" w:id="7045"/>
    <w:p>
      <w:pPr>
        <w:spacing w:after="0"/>
        <w:ind w:left="0"/>
        <w:jc w:val="both"/>
      </w:pPr>
      <w:r>
        <w:rPr>
          <w:rFonts w:ascii="Times New Roman"/>
          <w:b w:val="false"/>
          <w:i w:val="false"/>
          <w:color w:val="000000"/>
          <w:sz w:val="28"/>
        </w:rPr>
        <w:t>
      Помещения для хранения огнетушащих веществ, расположенные под верхней палубой или в которые не обеспечен доступ с открытой палубы, должны быть оборудованы системой искусственной вентиляции согласно пункту 3645 настоящих Правил.</w:t>
      </w:r>
    </w:p>
    <w:bookmarkEnd w:id="7045"/>
    <w:bookmarkStart w:name="z7058" w:id="7046"/>
    <w:p>
      <w:pPr>
        <w:spacing w:after="0"/>
        <w:ind w:left="0"/>
        <w:jc w:val="both"/>
      </w:pPr>
      <w:r>
        <w:rPr>
          <w:rFonts w:ascii="Times New Roman"/>
          <w:b w:val="false"/>
          <w:i w:val="false"/>
          <w:color w:val="000000"/>
          <w:sz w:val="28"/>
        </w:rPr>
        <w:t>
      Помещение станций для оборудования стационарных систем газового пожаротушения не должны использоваться ни для каких иных целей.</w:t>
      </w:r>
    </w:p>
    <w:bookmarkEnd w:id="7046"/>
    <w:bookmarkStart w:name="z7059" w:id="7047"/>
    <w:p>
      <w:pPr>
        <w:spacing w:after="0"/>
        <w:ind w:left="0"/>
        <w:jc w:val="both"/>
      </w:pPr>
      <w:r>
        <w:rPr>
          <w:rFonts w:ascii="Times New Roman"/>
          <w:b w:val="false"/>
          <w:i w:val="false"/>
          <w:color w:val="000000"/>
          <w:sz w:val="28"/>
        </w:rPr>
        <w:t>
      Насосы, иные, чем обслуживающие пожарную магистраль, требуемые для подачи воды в системы пожаротушения, их источники энергии и их органы управления должны устанавливаться вне помещения или помещений, защищаемых такими системами, и располагаться так, чтобы пожар в защищаемом помещениях не вывел любую такую систему из строя.</w:t>
      </w:r>
    </w:p>
    <w:bookmarkEnd w:id="7047"/>
    <w:bookmarkStart w:name="z7060" w:id="7048"/>
    <w:p>
      <w:pPr>
        <w:spacing w:after="0"/>
        <w:ind w:left="0"/>
        <w:jc w:val="both"/>
      </w:pPr>
      <w:r>
        <w:rPr>
          <w:rFonts w:ascii="Times New Roman"/>
          <w:b w:val="false"/>
          <w:i w:val="false"/>
          <w:color w:val="000000"/>
          <w:sz w:val="28"/>
        </w:rPr>
        <w:t>
      2271. Устройство станций пожаротушения должно отвечать следующим требованиям:</w:t>
      </w:r>
    </w:p>
    <w:bookmarkEnd w:id="7048"/>
    <w:bookmarkStart w:name="z7061" w:id="7049"/>
    <w:p>
      <w:pPr>
        <w:spacing w:after="0"/>
        <w:ind w:left="0"/>
        <w:jc w:val="both"/>
      </w:pPr>
      <w:r>
        <w:rPr>
          <w:rFonts w:ascii="Times New Roman"/>
          <w:b w:val="false"/>
          <w:i w:val="false"/>
          <w:color w:val="000000"/>
          <w:sz w:val="28"/>
        </w:rPr>
        <w:t>
      1) любой вход в станции должен быть, как правило, с открытой палубы и независим от защищаемого помещения. Если станция расположена под палубой, она может находиться не более чем на одну палубу ниже открытой палубы и напрямую соединяться с ней посредством выгородки трапа или трапа.</w:t>
      </w:r>
    </w:p>
    <w:bookmarkEnd w:id="7049"/>
    <w:bookmarkStart w:name="z7062" w:id="7050"/>
    <w:p>
      <w:pPr>
        <w:spacing w:after="0"/>
        <w:ind w:left="0"/>
        <w:jc w:val="both"/>
      </w:pPr>
      <w:r>
        <w:rPr>
          <w:rFonts w:ascii="Times New Roman"/>
          <w:b w:val="false"/>
          <w:i w:val="false"/>
          <w:color w:val="000000"/>
          <w:sz w:val="28"/>
        </w:rPr>
        <w:t>
      Средства управления стационарной системой пожаротушения должны быть легкодоступными и должны быть сосредоточены в возможно меньшем количестве мест, которые не будут отрезаны при пожаре в защищаемом помещении;</w:t>
      </w:r>
    </w:p>
    <w:bookmarkEnd w:id="7050"/>
    <w:bookmarkStart w:name="z7063" w:id="7051"/>
    <w:p>
      <w:pPr>
        <w:spacing w:after="0"/>
        <w:ind w:left="0"/>
        <w:jc w:val="both"/>
      </w:pPr>
      <w:r>
        <w:rPr>
          <w:rFonts w:ascii="Times New Roman"/>
          <w:b w:val="false"/>
          <w:i w:val="false"/>
          <w:color w:val="000000"/>
          <w:sz w:val="28"/>
        </w:rPr>
        <w:t>
      2) устройство станций в нос от таранной переборки не допускается;</w:t>
      </w:r>
    </w:p>
    <w:bookmarkEnd w:id="7051"/>
    <w:bookmarkStart w:name="z7064" w:id="7052"/>
    <w:p>
      <w:pPr>
        <w:spacing w:after="0"/>
        <w:ind w:left="0"/>
        <w:jc w:val="both"/>
      </w:pPr>
      <w:r>
        <w:rPr>
          <w:rFonts w:ascii="Times New Roman"/>
          <w:b w:val="false"/>
          <w:i w:val="false"/>
          <w:color w:val="000000"/>
          <w:sz w:val="28"/>
        </w:rPr>
        <w:t>
      3) переборки и палубы (включая двери и иные средства закрытия любого отверстия в них), которые образуют ограничивающие конструкции между ними и смежными выгороженными помещениями, должны быть газонепроницаемыми. Помещения для хранения огнетушащего вещества для целей применения таблиц огнестойкости рассматриваются как пожарные посты;</w:t>
      </w:r>
    </w:p>
    <w:bookmarkEnd w:id="7052"/>
    <w:bookmarkStart w:name="z7065" w:id="7053"/>
    <w:p>
      <w:pPr>
        <w:spacing w:after="0"/>
        <w:ind w:left="0"/>
        <w:jc w:val="both"/>
      </w:pPr>
      <w:r>
        <w:rPr>
          <w:rFonts w:ascii="Times New Roman"/>
          <w:b w:val="false"/>
          <w:i w:val="false"/>
          <w:color w:val="000000"/>
          <w:sz w:val="28"/>
        </w:rPr>
        <w:t>
      4) помещения станций должны иметь тепловую изоляцию и отопление, если для нормальной работы станции требуется поддержание в ней положительной температуры. Температура в станции углекислотного пожаротушения не должна превышать 45</w:t>
      </w:r>
      <w:r>
        <w:rPr>
          <w:rFonts w:ascii="Times New Roman"/>
          <w:b w:val="false"/>
          <w:i w:val="false"/>
          <w:color w:val="000000"/>
          <w:vertAlign w:val="superscript"/>
        </w:rPr>
        <w:t>о</w:t>
      </w:r>
      <w:r>
        <w:rPr>
          <w:rFonts w:ascii="Times New Roman"/>
          <w:b w:val="false"/>
          <w:i w:val="false"/>
          <w:color w:val="000000"/>
          <w:sz w:val="28"/>
        </w:rPr>
        <w:t>С. Помещения, для хранения огнетушащего вещества, для целей применения таблиц огнестойкости рассматриваются как пожарные посты;</w:t>
      </w:r>
    </w:p>
    <w:bookmarkEnd w:id="7053"/>
    <w:bookmarkStart w:name="z7066" w:id="7054"/>
    <w:p>
      <w:pPr>
        <w:spacing w:after="0"/>
        <w:ind w:left="0"/>
        <w:jc w:val="both"/>
      </w:pPr>
      <w:r>
        <w:rPr>
          <w:rFonts w:ascii="Times New Roman"/>
          <w:b w:val="false"/>
          <w:i w:val="false"/>
          <w:color w:val="000000"/>
          <w:sz w:val="28"/>
        </w:rPr>
        <w:t>
      5) для контроля за температурой воздуха в помещении станции должен быть установлен термометр, показания которого видимы изнутри и снаружи станции через иллюминатор; при дистанционном контроле предела температуры наличие иллюминатора не требуется;</w:t>
      </w:r>
    </w:p>
    <w:bookmarkEnd w:id="7054"/>
    <w:bookmarkStart w:name="z7067" w:id="7055"/>
    <w:p>
      <w:pPr>
        <w:spacing w:after="0"/>
        <w:ind w:left="0"/>
        <w:jc w:val="both"/>
      </w:pPr>
      <w:r>
        <w:rPr>
          <w:rFonts w:ascii="Times New Roman"/>
          <w:b w:val="false"/>
          <w:i w:val="false"/>
          <w:color w:val="000000"/>
          <w:sz w:val="28"/>
        </w:rPr>
        <w:t>
      6) станции пожаротушения для грузовых помещений должны иметь телефонную или иную надежную связь с ЦПП и машинным помещением, если работа станции зависит от оборудования, установленного в машинном помещении;</w:t>
      </w:r>
    </w:p>
    <w:bookmarkEnd w:id="7055"/>
    <w:bookmarkStart w:name="z7068" w:id="7056"/>
    <w:p>
      <w:pPr>
        <w:spacing w:after="0"/>
        <w:ind w:left="0"/>
        <w:jc w:val="both"/>
      </w:pPr>
      <w:r>
        <w:rPr>
          <w:rFonts w:ascii="Times New Roman"/>
          <w:b w:val="false"/>
          <w:i w:val="false"/>
          <w:color w:val="000000"/>
          <w:sz w:val="28"/>
        </w:rPr>
        <w:t>
      7) входные двери должны открываться наружу и быть постоянно закрыты на замки, один комплект ключей от которых хранится в закрытых ящиках с остекленными дверцами, расположенными вблизи замков;</w:t>
      </w:r>
    </w:p>
    <w:bookmarkEnd w:id="7056"/>
    <w:bookmarkStart w:name="z7069" w:id="7057"/>
    <w:p>
      <w:pPr>
        <w:spacing w:after="0"/>
        <w:ind w:left="0"/>
        <w:jc w:val="both"/>
      </w:pPr>
      <w:r>
        <w:rPr>
          <w:rFonts w:ascii="Times New Roman"/>
          <w:b w:val="false"/>
          <w:i w:val="false"/>
          <w:color w:val="000000"/>
          <w:sz w:val="28"/>
        </w:rPr>
        <w:t>
      8) все клапаны и иные устройства станций должны иметь таблички, четко показывающие, для защиты какого помещения данный клапан или данное устройство предназначается. Кроме того, внутри станции на видном месте помещается схема системы пожаротушения с указанием пусковых устройств, защищаемых помещений, а также краткая инструкция по вводу системы в действие и ее обслуживанию.</w:t>
      </w:r>
    </w:p>
    <w:bookmarkEnd w:id="7057"/>
    <w:bookmarkStart w:name="z7070" w:id="7058"/>
    <w:p>
      <w:pPr>
        <w:spacing w:after="0"/>
        <w:ind w:left="0"/>
        <w:jc w:val="both"/>
      </w:pPr>
      <w:r>
        <w:rPr>
          <w:rFonts w:ascii="Times New Roman"/>
          <w:b w:val="false"/>
          <w:i w:val="false"/>
          <w:color w:val="000000"/>
          <w:sz w:val="28"/>
        </w:rPr>
        <w:t>
      2272. На судах валовой вместимостью менее 150, на которых размещение станции пожаротушения вне защищаемого помещения затруднено, а также в отдельных случаях на судах валовой вместимостью менее 500, на которых объем отдельных защищаемых помещений не превышает 100 м</w:t>
      </w:r>
      <w:r>
        <w:rPr>
          <w:rFonts w:ascii="Times New Roman"/>
          <w:b w:val="false"/>
          <w:i w:val="false"/>
          <w:color w:val="000000"/>
          <w:vertAlign w:val="superscript"/>
        </w:rPr>
        <w:t>3</w:t>
      </w:r>
      <w:r>
        <w:rPr>
          <w:rFonts w:ascii="Times New Roman"/>
          <w:b w:val="false"/>
          <w:i w:val="false"/>
          <w:color w:val="000000"/>
          <w:sz w:val="28"/>
        </w:rPr>
        <w:t>, допускается установка сосудов с огнетушащим веществом внутри защищаемого помещения при условии обязательного снабжения таких станций надежным устройством для немедленного дистанционного пуска системы извне защищаемого помещения, при этом месторасположение приводов дистанционного пуска четко обозначается и освещается от общесудовой и аварийной сети.</w:t>
      </w:r>
    </w:p>
    <w:bookmarkEnd w:id="7058"/>
    <w:bookmarkStart w:name="z7071" w:id="7059"/>
    <w:p>
      <w:pPr>
        <w:spacing w:after="0"/>
        <w:ind w:left="0"/>
        <w:jc w:val="both"/>
      </w:pPr>
      <w:r>
        <w:rPr>
          <w:rFonts w:ascii="Times New Roman"/>
          <w:b w:val="false"/>
          <w:i w:val="false"/>
          <w:color w:val="000000"/>
          <w:sz w:val="28"/>
        </w:rPr>
        <w:t>
      2273. В кладовых с площадью палубы менее 4 м</w:t>
      </w:r>
      <w:r>
        <w:rPr>
          <w:rFonts w:ascii="Times New Roman"/>
          <w:b w:val="false"/>
          <w:i w:val="false"/>
          <w:color w:val="000000"/>
          <w:vertAlign w:val="superscript"/>
        </w:rPr>
        <w:t>2</w:t>
      </w:r>
      <w:r>
        <w:rPr>
          <w:rFonts w:ascii="Times New Roman"/>
          <w:b w:val="false"/>
          <w:i w:val="false"/>
          <w:color w:val="000000"/>
          <w:sz w:val="28"/>
        </w:rPr>
        <w:t>, содержащих воспламеняющиеся жидкости и не имеющих доступа в жилые помещения, вместо стационарной системы допускается переносной углекислотный огнетушитель, обеспечивающий минимальный объем свободного газа, равный 40% валового объема помещения. Входное отверстие в переборке кладовой устраивается так, чтобы осуществлять подачу огнетушащего вещества без входа в защищаемое помещение. Огнетушитель устанавливается рядом с отверстием. В качестве альтернативы допускается использовать отверстие с присоединением к нему пожарного рукава для подачи воды из пожарной магистрали.</w:t>
      </w:r>
    </w:p>
    <w:bookmarkEnd w:id="7059"/>
    <w:bookmarkStart w:name="z7072" w:id="7060"/>
    <w:p>
      <w:pPr>
        <w:spacing w:after="0"/>
        <w:ind w:left="0"/>
        <w:jc w:val="both"/>
      </w:pPr>
      <w:r>
        <w:rPr>
          <w:rFonts w:ascii="Times New Roman"/>
          <w:b w:val="false"/>
          <w:i w:val="false"/>
          <w:color w:val="000000"/>
          <w:sz w:val="28"/>
        </w:rPr>
        <w:t>
      2274. На пассажирских судах средства управления любой требуемой системой пожаротушения для машинных помещение вместе со средствами управления, указанными в пункте 2183, в подпункте 1) пункта 2184 настоящих Правил, а также в пунктах 3604 и 3669 настоящих Правил, размещаются в одном месте или быть сгруппированы в возможно меньшем количестве мест. К таким местам обеспечивается безопасный доступ с отрытой палубы.</w:t>
      </w:r>
    </w:p>
    <w:bookmarkEnd w:id="7060"/>
    <w:bookmarkStart w:name="z7073" w:id="7061"/>
    <w:p>
      <w:pPr>
        <w:spacing w:after="0"/>
        <w:ind w:left="0"/>
        <w:jc w:val="both"/>
      </w:pPr>
      <w:r>
        <w:rPr>
          <w:rFonts w:ascii="Times New Roman"/>
          <w:b w:val="false"/>
          <w:i w:val="false"/>
          <w:color w:val="000000"/>
          <w:sz w:val="28"/>
        </w:rPr>
        <w:t>
      2275. Требования к размещению баллонов с огнетушащим веществом эквивалентных стационарных газовых систем пожаротушения.</w:t>
      </w:r>
    </w:p>
    <w:bookmarkEnd w:id="7061"/>
    <w:bookmarkStart w:name="z7074" w:id="7062"/>
    <w:p>
      <w:pPr>
        <w:spacing w:after="0"/>
        <w:ind w:left="0"/>
        <w:jc w:val="both"/>
      </w:pPr>
      <w:r>
        <w:rPr>
          <w:rFonts w:ascii="Times New Roman"/>
          <w:b w:val="false"/>
          <w:i w:val="false"/>
          <w:color w:val="000000"/>
          <w:sz w:val="28"/>
        </w:rPr>
        <w:t>
      Баллоны с огнетушащим веществом, размещаемые в защищаемом помещении, распределяют по всему помещению, так чтобы баллоны или группы баллонов располагались, по крайней мере, в шести различных местах. Резервированные линии управления пуском устраивают так, чтобы обеспечивать выпуск огнетушащего вещества из всех баллонов одновременно. Линии пуска устраивают так, чтобы при повреждении любой из линий пуска, пять шестых огнетушащего газа могло, тем не менее, быть выпущено. Клапаны баллонов рассматриваются как часть линий выпуска и единичный отказ должен такие включать отказ такого клапана.</w:t>
      </w:r>
    </w:p>
    <w:bookmarkEnd w:id="7062"/>
    <w:bookmarkStart w:name="z7075" w:id="7063"/>
    <w:p>
      <w:pPr>
        <w:spacing w:after="0"/>
        <w:ind w:left="0"/>
        <w:jc w:val="both"/>
      </w:pPr>
      <w:r>
        <w:rPr>
          <w:rFonts w:ascii="Times New Roman"/>
          <w:b w:val="false"/>
          <w:i w:val="false"/>
          <w:color w:val="000000"/>
          <w:sz w:val="28"/>
        </w:rPr>
        <w:t>
      В системах с менее чем шестью баллонами (при использовании баллонов наименьшей вместимости) общее количество огнетушащего газа должно быть таким, чтобы в случае единичного отказа одной из линий выпуска, включая клапан баллона, пять шестых огнетушащего газа могло, тем не менее, быть выпущено. Однако рассчитанный уровень вредного ненаблюдаемого воздействия при самой высокой ожидаемой температуре в машинном помещении не должен быть превышен в случае, когда выпускается полное количество огнетушащего газа одновременно.</w:t>
      </w:r>
    </w:p>
    <w:bookmarkEnd w:id="7063"/>
    <w:bookmarkStart w:name="z7076" w:id="7064"/>
    <w:p>
      <w:pPr>
        <w:spacing w:after="0"/>
        <w:ind w:left="0"/>
        <w:jc w:val="both"/>
      </w:pPr>
      <w:r>
        <w:rPr>
          <w:rFonts w:ascii="Times New Roman"/>
          <w:b w:val="false"/>
          <w:i w:val="false"/>
          <w:color w:val="000000"/>
          <w:sz w:val="28"/>
        </w:rPr>
        <w:t>
      Системы, не отвечающие указанному выше, например, системы только с одним баллоном, расположенным в защищаемом помещении, не могут применяться. Такие системы проектируют так, чтобы баллон(ы) был(и) расположен(ы) вне защищаемого помещения в отдельном помещении в соответствии с пунктом 2271 настоящих Правил.</w:t>
      </w:r>
    </w:p>
    <w:bookmarkEnd w:id="7064"/>
    <w:bookmarkStart w:name="z7077" w:id="7065"/>
    <w:p>
      <w:pPr>
        <w:spacing w:after="0"/>
        <w:ind w:left="0"/>
        <w:jc w:val="both"/>
      </w:pPr>
      <w:r>
        <w:rPr>
          <w:rFonts w:ascii="Times New Roman"/>
          <w:b w:val="false"/>
          <w:i w:val="false"/>
          <w:color w:val="000000"/>
          <w:sz w:val="28"/>
        </w:rPr>
        <w:t>
      2276. Огнетушащее вещество для защиты грузовых помещений может храниться в помещении, расположенном впереди грузовых помещений, но перед таранной переборкой, при условии, что предусмотрены и местное ручное и дистанционное управление для выпуска вещества и дистанционное управление имеет надежную конструкцию или так защищено, чтобы оставаться работоспособным при пожаре в защищаемых помещениях. Дистанционное управление должно быть размещено в районе жилых помещений, чтобы обеспечивать к нему доступ экипажа. Возможность выпуска различного количества огнетушащего вещества в различные грузовые помещения предусматривается для дистанционного управления.</w:t>
      </w:r>
    </w:p>
    <w:bookmarkEnd w:id="7065"/>
    <w:bookmarkStart w:name="z7078" w:id="7066"/>
    <w:p>
      <w:pPr>
        <w:spacing w:after="0"/>
        <w:ind w:left="0"/>
        <w:jc w:val="left"/>
      </w:pPr>
      <w:r>
        <w:rPr>
          <w:rFonts w:ascii="Times New Roman"/>
          <w:b/>
          <w:i w:val="false"/>
          <w:color w:val="000000"/>
        </w:rPr>
        <w:t xml:space="preserve"> Параграф 4. Трубопроводы и арматура</w:t>
      </w:r>
    </w:p>
    <w:bookmarkEnd w:id="7066"/>
    <w:bookmarkStart w:name="z7079" w:id="7067"/>
    <w:p>
      <w:pPr>
        <w:spacing w:after="0"/>
        <w:ind w:left="0"/>
        <w:jc w:val="both"/>
      </w:pPr>
      <w:r>
        <w:rPr>
          <w:rFonts w:ascii="Times New Roman"/>
          <w:b w:val="false"/>
          <w:i w:val="false"/>
          <w:color w:val="000000"/>
          <w:sz w:val="28"/>
        </w:rPr>
        <w:t>
      2277. Прокладка трубопроводов должна отвечать следующим требованиям:</w:t>
      </w:r>
    </w:p>
    <w:bookmarkEnd w:id="7067"/>
    <w:bookmarkStart w:name="z7080" w:id="7068"/>
    <w:p>
      <w:pPr>
        <w:spacing w:after="0"/>
        <w:ind w:left="0"/>
        <w:jc w:val="both"/>
      </w:pPr>
      <w:r>
        <w:rPr>
          <w:rFonts w:ascii="Times New Roman"/>
          <w:b w:val="false"/>
          <w:i w:val="false"/>
          <w:color w:val="000000"/>
          <w:sz w:val="28"/>
        </w:rPr>
        <w:t>
      1) ввод огнетушащего вещества в каждое защищаемое помещение должен осуществляться по отдельному трубопроводу с установкой на нем запорной арматуры на станции пожаротушения.</w:t>
      </w:r>
    </w:p>
    <w:bookmarkEnd w:id="7068"/>
    <w:bookmarkStart w:name="z7081" w:id="7069"/>
    <w:p>
      <w:pPr>
        <w:spacing w:after="0"/>
        <w:ind w:left="0"/>
        <w:jc w:val="both"/>
      </w:pPr>
      <w:r>
        <w:rPr>
          <w:rFonts w:ascii="Times New Roman"/>
          <w:b w:val="false"/>
          <w:i w:val="false"/>
          <w:color w:val="000000"/>
          <w:sz w:val="28"/>
        </w:rPr>
        <w:t>
      Настоящее требование не распространяется на системы пенотушения, предназначенные для подачи пены снаружи грузовых танков посредством лафетных и переносных воздушно-пенных стволов или генераторов пены средней кратности;</w:t>
      </w:r>
    </w:p>
    <w:bookmarkEnd w:id="7069"/>
    <w:bookmarkStart w:name="z7082" w:id="7070"/>
    <w:p>
      <w:pPr>
        <w:spacing w:after="0"/>
        <w:ind w:left="0"/>
        <w:jc w:val="both"/>
      </w:pPr>
      <w:r>
        <w:rPr>
          <w:rFonts w:ascii="Times New Roman"/>
          <w:b w:val="false"/>
          <w:i w:val="false"/>
          <w:color w:val="000000"/>
          <w:sz w:val="28"/>
        </w:rPr>
        <w:t>
      2) если грузовое помещение, оборудованное трубопроводом системы объемного тушения, периодически используется для размещения в нем пассажиров и специального персонала, то на таком трубопроводе должно быть установлено дополнительное устройство его закрытия, расположенное в станции пожаротушения за клапаном пуска огнетушащего вещества в данное помещение;</w:t>
      </w:r>
    </w:p>
    <w:bookmarkEnd w:id="7070"/>
    <w:bookmarkStart w:name="z7083" w:id="7071"/>
    <w:p>
      <w:pPr>
        <w:spacing w:after="0"/>
        <w:ind w:left="0"/>
        <w:jc w:val="both"/>
      </w:pPr>
      <w:r>
        <w:rPr>
          <w:rFonts w:ascii="Times New Roman"/>
          <w:b w:val="false"/>
          <w:i w:val="false"/>
          <w:color w:val="000000"/>
          <w:sz w:val="28"/>
        </w:rPr>
        <w:t>
      3) трубопроводы систем пожаротушения не допускается прокладывать через хранилища жидкого топлива и масла.</w:t>
      </w:r>
    </w:p>
    <w:bookmarkEnd w:id="7071"/>
    <w:bookmarkStart w:name="z7084" w:id="7072"/>
    <w:p>
      <w:pPr>
        <w:spacing w:after="0"/>
        <w:ind w:left="0"/>
        <w:jc w:val="both"/>
      </w:pPr>
      <w:r>
        <w:rPr>
          <w:rFonts w:ascii="Times New Roman"/>
          <w:b w:val="false"/>
          <w:i w:val="false"/>
          <w:color w:val="000000"/>
          <w:sz w:val="28"/>
        </w:rPr>
        <w:t>
      Трубопроводы систем пожаротушения не допускается прокладывать через охлаждаемые помещения.</w:t>
      </w:r>
    </w:p>
    <w:bookmarkEnd w:id="7072"/>
    <w:bookmarkStart w:name="z7085" w:id="7073"/>
    <w:p>
      <w:pPr>
        <w:spacing w:after="0"/>
        <w:ind w:left="0"/>
        <w:jc w:val="both"/>
      </w:pPr>
      <w:r>
        <w:rPr>
          <w:rFonts w:ascii="Times New Roman"/>
          <w:b w:val="false"/>
          <w:i w:val="false"/>
          <w:color w:val="000000"/>
          <w:sz w:val="28"/>
        </w:rPr>
        <w:t>
      4) трубопроводы газовых систем пожаротушения могут проходит через жилые помещения, при условии, что они имеют достаточную толщину стенок и их герметичность после установки на судне проверена испытательным давлением не менее 5 Н/мм</w:t>
      </w:r>
      <w:r>
        <w:rPr>
          <w:rFonts w:ascii="Times New Roman"/>
          <w:b w:val="false"/>
          <w:i w:val="false"/>
          <w:color w:val="000000"/>
          <w:vertAlign w:val="superscript"/>
        </w:rPr>
        <w:t>2</w:t>
      </w:r>
      <w:r>
        <w:rPr>
          <w:rFonts w:ascii="Times New Roman"/>
          <w:b w:val="false"/>
          <w:i w:val="false"/>
          <w:color w:val="000000"/>
          <w:sz w:val="28"/>
        </w:rPr>
        <w:t>. Кроме того, трубопроводы, проходящие через районы жилых помещений, должны соединяться только при помощи сварки и не должны иметь спускных для конденсата или других отверстий в пределах такие помещений;</w:t>
      </w:r>
    </w:p>
    <w:bookmarkEnd w:id="7073"/>
    <w:bookmarkStart w:name="z7086" w:id="7074"/>
    <w:p>
      <w:pPr>
        <w:spacing w:after="0"/>
        <w:ind w:left="0"/>
        <w:jc w:val="both"/>
      </w:pPr>
      <w:r>
        <w:rPr>
          <w:rFonts w:ascii="Times New Roman"/>
          <w:b w:val="false"/>
          <w:i w:val="false"/>
          <w:color w:val="000000"/>
          <w:sz w:val="28"/>
        </w:rPr>
        <w:t>
      5) конструкция всех систем пожаротушения должна допускать возможность периодической проверки их в действии.</w:t>
      </w:r>
    </w:p>
    <w:bookmarkEnd w:id="7074"/>
    <w:bookmarkStart w:name="z7087" w:id="7075"/>
    <w:p>
      <w:pPr>
        <w:spacing w:after="0"/>
        <w:ind w:left="0"/>
        <w:jc w:val="both"/>
      </w:pPr>
      <w:r>
        <w:rPr>
          <w:rFonts w:ascii="Times New Roman"/>
          <w:b w:val="false"/>
          <w:i w:val="false"/>
          <w:color w:val="000000"/>
          <w:sz w:val="28"/>
        </w:rPr>
        <w:t>
      Системы, оборудованные трубопроводами и соплами для подачи огнетушащих веществ, должны иметь устройства для проверки их в действии пуском сжатого воздуха.</w:t>
      </w:r>
    </w:p>
    <w:bookmarkEnd w:id="7075"/>
    <w:bookmarkStart w:name="z7088" w:id="7076"/>
    <w:p>
      <w:pPr>
        <w:spacing w:after="0"/>
        <w:ind w:left="0"/>
        <w:jc w:val="both"/>
      </w:pPr>
      <w:r>
        <w:rPr>
          <w:rFonts w:ascii="Times New Roman"/>
          <w:b w:val="false"/>
          <w:i w:val="false"/>
          <w:color w:val="000000"/>
          <w:sz w:val="28"/>
        </w:rPr>
        <w:t>
      На трубопроводе, подводящем сжатый воздух к коллектору станции, должен быть установлен невозвратно-запорный клапан;</w:t>
      </w:r>
    </w:p>
    <w:bookmarkEnd w:id="7076"/>
    <w:bookmarkStart w:name="z7089" w:id="7077"/>
    <w:p>
      <w:pPr>
        <w:spacing w:after="0"/>
        <w:ind w:left="0"/>
        <w:jc w:val="both"/>
      </w:pPr>
      <w:r>
        <w:rPr>
          <w:rFonts w:ascii="Times New Roman"/>
          <w:b w:val="false"/>
          <w:i w:val="false"/>
          <w:color w:val="000000"/>
          <w:sz w:val="28"/>
        </w:rPr>
        <w:t>
      6) прокладки и гибкие соединения, в системах пожаротушения, должны быть изготовлены из материалов, стойких к воздействию огнетушащего вещества и морской среды.</w:t>
      </w:r>
    </w:p>
    <w:bookmarkEnd w:id="7077"/>
    <w:bookmarkStart w:name="z7090" w:id="7078"/>
    <w:p>
      <w:pPr>
        <w:spacing w:after="0"/>
        <w:ind w:left="0"/>
        <w:jc w:val="both"/>
      </w:pPr>
      <w:r>
        <w:rPr>
          <w:rFonts w:ascii="Times New Roman"/>
          <w:b w:val="false"/>
          <w:i w:val="false"/>
          <w:color w:val="000000"/>
          <w:sz w:val="28"/>
        </w:rPr>
        <w:t>
      2278. Для трубопроводов должны применяться стальные трубы.</w:t>
      </w:r>
    </w:p>
    <w:bookmarkEnd w:id="7078"/>
    <w:bookmarkStart w:name="z7091" w:id="7079"/>
    <w:p>
      <w:pPr>
        <w:spacing w:after="0"/>
        <w:ind w:left="0"/>
        <w:jc w:val="both"/>
      </w:pPr>
      <w:r>
        <w:rPr>
          <w:rFonts w:ascii="Times New Roman"/>
          <w:b w:val="false"/>
          <w:i w:val="false"/>
          <w:color w:val="000000"/>
          <w:sz w:val="28"/>
        </w:rPr>
        <w:t>
      Как равноценные стальным могут быть применены медные, медно-никелевые или другие биметаллические (с одним из слоев, материалом которого является сталь или медь) трубы.</w:t>
      </w:r>
    </w:p>
    <w:bookmarkEnd w:id="7079"/>
    <w:bookmarkStart w:name="z7092" w:id="7080"/>
    <w:p>
      <w:pPr>
        <w:spacing w:after="0"/>
        <w:ind w:left="0"/>
        <w:jc w:val="both"/>
      </w:pPr>
      <w:r>
        <w:rPr>
          <w:rFonts w:ascii="Times New Roman"/>
          <w:b w:val="false"/>
          <w:i w:val="false"/>
          <w:color w:val="000000"/>
          <w:sz w:val="28"/>
        </w:rPr>
        <w:t>
      Трубы из углеродистой стали должны иметь внутреннее и наружное антикоррозионное покрытие.</w:t>
      </w:r>
    </w:p>
    <w:bookmarkEnd w:id="7080"/>
    <w:bookmarkStart w:name="z7093" w:id="7081"/>
    <w:p>
      <w:pPr>
        <w:spacing w:after="0"/>
        <w:ind w:left="0"/>
        <w:jc w:val="both"/>
      </w:pPr>
      <w:r>
        <w:rPr>
          <w:rFonts w:ascii="Times New Roman"/>
          <w:b w:val="false"/>
          <w:i w:val="false"/>
          <w:color w:val="000000"/>
          <w:sz w:val="28"/>
        </w:rPr>
        <w:t>
      Арматура (в том числе спринклеры и распылители) систем пожаротушения должна быть изготовлена из материалов, стойких к воздействию огнетушащего вещества и морской среды. Распылители и спринклеры должны быть одобренного Регистром судоходства типа и испытаны в соответствии с применимыми разделами циркуляров ИМО MSC/Circ.668 и MSC/Circ.728 или резолюции ИМО А.800(19) в зависимости от случая.</w:t>
      </w:r>
    </w:p>
    <w:bookmarkEnd w:id="7081"/>
    <w:bookmarkStart w:name="z7094" w:id="7082"/>
    <w:p>
      <w:pPr>
        <w:spacing w:after="0"/>
        <w:ind w:left="0"/>
        <w:jc w:val="left"/>
      </w:pPr>
      <w:r>
        <w:rPr>
          <w:rFonts w:ascii="Times New Roman"/>
          <w:b/>
          <w:i w:val="false"/>
          <w:color w:val="000000"/>
        </w:rPr>
        <w:t xml:space="preserve"> Параграф 5. Пуск систем</w:t>
      </w:r>
    </w:p>
    <w:bookmarkEnd w:id="7082"/>
    <w:bookmarkStart w:name="z7095" w:id="7083"/>
    <w:p>
      <w:pPr>
        <w:spacing w:after="0"/>
        <w:ind w:left="0"/>
        <w:jc w:val="both"/>
      </w:pPr>
      <w:r>
        <w:rPr>
          <w:rFonts w:ascii="Times New Roman"/>
          <w:b w:val="false"/>
          <w:i w:val="false"/>
          <w:color w:val="000000"/>
          <w:sz w:val="28"/>
        </w:rPr>
        <w:t>
      2279. Система приводится в действие без дополнительных переключений на станции, быстро и надежно работает в любых условиях эксплуатации судна, в том числе при отрицательных температурах и при пожаре.</w:t>
      </w:r>
    </w:p>
    <w:bookmarkEnd w:id="7083"/>
    <w:bookmarkStart w:name="z7096" w:id="7084"/>
    <w:p>
      <w:pPr>
        <w:spacing w:after="0"/>
        <w:ind w:left="0"/>
        <w:jc w:val="both"/>
      </w:pPr>
      <w:r>
        <w:rPr>
          <w:rFonts w:ascii="Times New Roman"/>
          <w:b w:val="false"/>
          <w:i w:val="false"/>
          <w:color w:val="000000"/>
          <w:sz w:val="28"/>
        </w:rPr>
        <w:t>
      2280. Исключается возможность самопроизвольного пуска системы тушения в любых условиях эксплуатации судна, а также от действия качки, тряски и вибрации.</w:t>
      </w:r>
    </w:p>
    <w:bookmarkEnd w:id="7084"/>
    <w:bookmarkStart w:name="z7097" w:id="7085"/>
    <w:p>
      <w:pPr>
        <w:spacing w:after="0"/>
        <w:ind w:left="0"/>
        <w:jc w:val="both"/>
      </w:pPr>
      <w:r>
        <w:rPr>
          <w:rFonts w:ascii="Times New Roman"/>
          <w:b w:val="false"/>
          <w:i w:val="false"/>
          <w:color w:val="000000"/>
          <w:sz w:val="28"/>
        </w:rPr>
        <w:t>
      2281. Пусковые устройства так располагают и, в необходимых случаях, так защищают, чтобы к ним обеспечивался свободный доступ и исключалась возможность их механического повреждения.</w:t>
      </w:r>
    </w:p>
    <w:bookmarkEnd w:id="7085"/>
    <w:bookmarkStart w:name="z7098" w:id="7086"/>
    <w:p>
      <w:pPr>
        <w:spacing w:after="0"/>
        <w:ind w:left="0"/>
        <w:jc w:val="both"/>
      </w:pPr>
      <w:r>
        <w:rPr>
          <w:rFonts w:ascii="Times New Roman"/>
          <w:b w:val="false"/>
          <w:i w:val="false"/>
          <w:color w:val="000000"/>
          <w:sz w:val="28"/>
        </w:rPr>
        <w:t>
      2282. Пусковые устройства системы должны быть приспособлены для пломбирования.</w:t>
      </w:r>
    </w:p>
    <w:bookmarkEnd w:id="7086"/>
    <w:bookmarkStart w:name="z7099" w:id="7087"/>
    <w:p>
      <w:pPr>
        <w:spacing w:after="0"/>
        <w:ind w:left="0"/>
        <w:jc w:val="both"/>
      </w:pPr>
      <w:r>
        <w:rPr>
          <w:rFonts w:ascii="Times New Roman"/>
          <w:b w:val="false"/>
          <w:i w:val="false"/>
          <w:color w:val="000000"/>
          <w:sz w:val="28"/>
        </w:rPr>
        <w:t>
      2283. Независимо от наличия дистанционного пуска должен обеспечиваться пуск системы вручную непосредственно на станции пожаротушения, а насос — с места его установки.</w:t>
      </w:r>
    </w:p>
    <w:bookmarkEnd w:id="7087"/>
    <w:bookmarkStart w:name="z7100" w:id="7088"/>
    <w:p>
      <w:pPr>
        <w:spacing w:after="0"/>
        <w:ind w:left="0"/>
        <w:jc w:val="both"/>
      </w:pPr>
      <w:r>
        <w:rPr>
          <w:rFonts w:ascii="Times New Roman"/>
          <w:b w:val="false"/>
          <w:i w:val="false"/>
          <w:color w:val="000000"/>
          <w:sz w:val="28"/>
        </w:rPr>
        <w:t>
      2284. Системы дистанционного пуска (с помощью воздуха, азота, углекислого газа) должны иметь два пусковых баллона, количество газа в каждом из которых должно быть достаточным для однократного пуска системы пожаротушения.</w:t>
      </w:r>
    </w:p>
    <w:bookmarkEnd w:id="7088"/>
    <w:bookmarkStart w:name="z7101" w:id="7089"/>
    <w:p>
      <w:pPr>
        <w:spacing w:after="0"/>
        <w:ind w:left="0"/>
        <w:jc w:val="both"/>
      </w:pPr>
      <w:r>
        <w:rPr>
          <w:rFonts w:ascii="Times New Roman"/>
          <w:b w:val="false"/>
          <w:i w:val="false"/>
          <w:color w:val="000000"/>
          <w:sz w:val="28"/>
        </w:rPr>
        <w:t>
      2285. Если в системе дистанционного пуска предусматриваются механические устройства, то управление их арматурой должно осуществляться маховиками или рычагами, имеющими жесткое соединение со штоками или валиками.</w:t>
      </w:r>
    </w:p>
    <w:bookmarkEnd w:id="7089"/>
    <w:bookmarkStart w:name="z7102" w:id="7090"/>
    <w:p>
      <w:pPr>
        <w:spacing w:after="0"/>
        <w:ind w:left="0"/>
        <w:jc w:val="both"/>
      </w:pPr>
      <w:r>
        <w:rPr>
          <w:rFonts w:ascii="Times New Roman"/>
          <w:b w:val="false"/>
          <w:i w:val="false"/>
          <w:color w:val="000000"/>
          <w:sz w:val="28"/>
        </w:rPr>
        <w:t>
      2286. Автоматический пуск огнетушащего вещества, кроме случаев, оговоренных в главе 150, пунктах 2471 и 2579 настоящих Правил не допускается.</w:t>
      </w:r>
    </w:p>
    <w:bookmarkEnd w:id="7090"/>
    <w:bookmarkStart w:name="z7103" w:id="7091"/>
    <w:p>
      <w:pPr>
        <w:spacing w:after="0"/>
        <w:ind w:left="0"/>
        <w:jc w:val="left"/>
      </w:pPr>
      <w:r>
        <w:rPr>
          <w:rFonts w:ascii="Times New Roman"/>
          <w:b/>
          <w:i w:val="false"/>
          <w:color w:val="000000"/>
        </w:rPr>
        <w:t xml:space="preserve"> 149. Водопожарная система</w:t>
      </w:r>
    </w:p>
    <w:bookmarkEnd w:id="7091"/>
    <w:p>
      <w:pPr>
        <w:spacing w:after="0"/>
        <w:ind w:left="0"/>
        <w:jc w:val="both"/>
      </w:pPr>
      <w:r>
        <w:rPr>
          <w:rFonts w:ascii="Times New Roman"/>
          <w:b w:val="false"/>
          <w:i w:val="false"/>
          <w:color w:val="ff0000"/>
          <w:sz w:val="28"/>
        </w:rPr>
        <w:t xml:space="preserve">
      Сноска. Заголовок главы 149 -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04" w:id="7092"/>
    <w:p>
      <w:pPr>
        <w:spacing w:after="0"/>
        <w:ind w:left="0"/>
        <w:jc w:val="left"/>
      </w:pPr>
      <w:r>
        <w:rPr>
          <w:rFonts w:ascii="Times New Roman"/>
          <w:b/>
          <w:i w:val="false"/>
          <w:color w:val="000000"/>
        </w:rPr>
        <w:t xml:space="preserve"> Параграф 1. Число и подача пожарных насосов</w:t>
      </w:r>
    </w:p>
    <w:bookmarkEnd w:id="7092"/>
    <w:bookmarkStart w:name="z7105" w:id="7093"/>
    <w:p>
      <w:pPr>
        <w:spacing w:after="0"/>
        <w:ind w:left="0"/>
        <w:jc w:val="both"/>
      </w:pPr>
      <w:r>
        <w:rPr>
          <w:rFonts w:ascii="Times New Roman"/>
          <w:b w:val="false"/>
          <w:i w:val="false"/>
          <w:color w:val="000000"/>
          <w:sz w:val="28"/>
        </w:rPr>
        <w:t>
      2287. На каждом судне, кроме упомянутых в пункте 2292 настоящих Правил, предусматриваются пожарные насосы, магистрали, краны и рукава, отвечающие требованиям настоящей главы.</w:t>
      </w:r>
    </w:p>
    <w:bookmarkEnd w:id="7093"/>
    <w:bookmarkStart w:name="z7106" w:id="7094"/>
    <w:p>
      <w:pPr>
        <w:spacing w:after="0"/>
        <w:ind w:left="0"/>
        <w:jc w:val="both"/>
      </w:pPr>
      <w:r>
        <w:rPr>
          <w:rFonts w:ascii="Times New Roman"/>
          <w:b w:val="false"/>
          <w:i w:val="false"/>
          <w:color w:val="000000"/>
          <w:sz w:val="28"/>
        </w:rPr>
        <w:t>
      Числа стационарных пожарных насосов с независимыми приводами и минимальное давление во всех кранах при подаче через любые смежные краны двумя насосами одновременно количества воды, указанного в пункте 2316 настоящих Правил, должны быть не менее указанных в приложении 270 настоящих Правил; при этом длина рукавов должна отвечать требованиям пункта 2522 настоящих Правил, а диаметр насадок стволов – пункт 2523 настоящих Правил.</w:t>
      </w:r>
    </w:p>
    <w:bookmarkEnd w:id="7094"/>
    <w:bookmarkStart w:name="z7107" w:id="7095"/>
    <w:p>
      <w:pPr>
        <w:spacing w:after="0"/>
        <w:ind w:left="0"/>
        <w:jc w:val="both"/>
      </w:pPr>
      <w:r>
        <w:rPr>
          <w:rFonts w:ascii="Times New Roman"/>
          <w:b w:val="false"/>
          <w:i w:val="false"/>
          <w:color w:val="000000"/>
          <w:sz w:val="28"/>
        </w:rPr>
        <w:t>
      На судах ограниченных районов плавания, не совершающих международных рейсов (кроме пассажирских), валовой вместимостью менее 2000 по согласованию с Регистром судоходства допускается пересмотр числа насосов, требуемое приложением 274 настоящих Правил.</w:t>
      </w:r>
    </w:p>
    <w:bookmarkEnd w:id="7095"/>
    <w:bookmarkStart w:name="z7108" w:id="7096"/>
    <w:p>
      <w:pPr>
        <w:spacing w:after="0"/>
        <w:ind w:left="0"/>
        <w:jc w:val="both"/>
      </w:pPr>
      <w:r>
        <w:rPr>
          <w:rFonts w:ascii="Times New Roman"/>
          <w:b w:val="false"/>
          <w:i w:val="false"/>
          <w:color w:val="000000"/>
          <w:sz w:val="28"/>
        </w:rPr>
        <w:t>
      На плавкранах валовой вместимостью менее 2000 допускается установка одного пожарного насоса.</w:t>
      </w:r>
    </w:p>
    <w:bookmarkEnd w:id="7096"/>
    <w:bookmarkStart w:name="z7109" w:id="7097"/>
    <w:p>
      <w:pPr>
        <w:spacing w:after="0"/>
        <w:ind w:left="0"/>
        <w:jc w:val="both"/>
      </w:pPr>
      <w:r>
        <w:rPr>
          <w:rFonts w:ascii="Times New Roman"/>
          <w:b w:val="false"/>
          <w:i w:val="false"/>
          <w:color w:val="000000"/>
          <w:sz w:val="28"/>
        </w:rPr>
        <w:t>
      Давление, создаваемое пожарными насосами, должна быть достаточным для обеспечения работы других систем пожаротушения, потребляющих воду (например, для систем водораспыления, пенотушения), если их питание предусмотрено от этих же пожарных насосов.</w:t>
      </w:r>
    </w:p>
    <w:bookmarkEnd w:id="7097"/>
    <w:bookmarkStart w:name="z7110" w:id="7098"/>
    <w:p>
      <w:pPr>
        <w:spacing w:after="0"/>
        <w:ind w:left="0"/>
        <w:jc w:val="both"/>
      </w:pPr>
      <w:r>
        <w:rPr>
          <w:rFonts w:ascii="Times New Roman"/>
          <w:b w:val="false"/>
          <w:i w:val="false"/>
          <w:color w:val="000000"/>
          <w:sz w:val="28"/>
        </w:rPr>
        <w:t>
      2288. На пассажирских судах валовой вместимостью менее 1000 и на грузовых судах валовой вместимостью 2000 и более должен быть установлен аварийный пожарный насос подачей не менее 25 м</w:t>
      </w:r>
      <w:r>
        <w:rPr>
          <w:rFonts w:ascii="Times New Roman"/>
          <w:b w:val="false"/>
          <w:i w:val="false"/>
          <w:color w:val="000000"/>
          <w:vertAlign w:val="superscript"/>
        </w:rPr>
        <w:t>3</w:t>
      </w:r>
      <w:r>
        <w:rPr>
          <w:rFonts w:ascii="Times New Roman"/>
          <w:b w:val="false"/>
          <w:i w:val="false"/>
          <w:color w:val="000000"/>
          <w:sz w:val="28"/>
        </w:rPr>
        <w:t>/ч, а на грузовых судах валовой вместимостью менее 2000 – подачей не менее 15 м</w:t>
      </w:r>
      <w:r>
        <w:rPr>
          <w:rFonts w:ascii="Times New Roman"/>
          <w:b w:val="false"/>
          <w:i w:val="false"/>
          <w:color w:val="000000"/>
          <w:vertAlign w:val="superscript"/>
        </w:rPr>
        <w:t>3</w:t>
      </w:r>
      <w:r>
        <w:rPr>
          <w:rFonts w:ascii="Times New Roman"/>
          <w:b w:val="false"/>
          <w:i w:val="false"/>
          <w:color w:val="000000"/>
          <w:sz w:val="28"/>
        </w:rPr>
        <w:t>/ч с независимым приводом, если пожар в любом одном помещении может вывести из строя все основные пожарные насосы. Источник энергии насоса и кингстон должны находиться за пределами помещений, в которых расположены основные пожарные насосы или их источники энергии (пункт 2310 настоящих Правил).</w:t>
      </w:r>
    </w:p>
    <w:bookmarkEnd w:id="7098"/>
    <w:bookmarkStart w:name="z7111" w:id="7099"/>
    <w:p>
      <w:pPr>
        <w:spacing w:after="0"/>
        <w:ind w:left="0"/>
        <w:jc w:val="both"/>
      </w:pPr>
      <w:r>
        <w:rPr>
          <w:rFonts w:ascii="Times New Roman"/>
          <w:b w:val="false"/>
          <w:i w:val="false"/>
          <w:color w:val="000000"/>
          <w:sz w:val="28"/>
        </w:rPr>
        <w:t>
      На самоходные судах валовой вместимостью менее 500, кроме пассажирских, наличие аварийного пожарного насоса является предметом специального рассмотрения Регистром судоходства. При этом в качестве такого насоса может быть использована дизельная мотопомпа, отвечающая требованиям пункта 2535 настоящих Правил.</w:t>
      </w:r>
    </w:p>
    <w:bookmarkEnd w:id="7099"/>
    <w:bookmarkStart w:name="z7112" w:id="7100"/>
    <w:p>
      <w:pPr>
        <w:spacing w:after="0"/>
        <w:ind w:left="0"/>
        <w:jc w:val="both"/>
      </w:pPr>
      <w:r>
        <w:rPr>
          <w:rFonts w:ascii="Times New Roman"/>
          <w:b w:val="false"/>
          <w:i w:val="false"/>
          <w:color w:val="000000"/>
          <w:sz w:val="28"/>
        </w:rPr>
        <w:t>
      2289. Аварийный пожарный насос, если он устанавливается, должен отвечать требованиям параграфа 4 главы 149 настоящих Правил.</w:t>
      </w:r>
    </w:p>
    <w:bookmarkEnd w:id="7100"/>
    <w:bookmarkStart w:name="z7113" w:id="7101"/>
    <w:p>
      <w:pPr>
        <w:spacing w:after="0"/>
        <w:ind w:left="0"/>
        <w:jc w:val="both"/>
      </w:pPr>
      <w:r>
        <w:rPr>
          <w:rFonts w:ascii="Times New Roman"/>
          <w:b w:val="false"/>
          <w:i w:val="false"/>
          <w:color w:val="000000"/>
          <w:sz w:val="28"/>
        </w:rPr>
        <w:t>
      2290. В дополнение к указанному в пункте 2288 настоящих Правил на пассажирских судах валовой вместимостью менее1000 и на грузовых судах аварийный пожарный насос устанавливается также в случаях, если;</w:t>
      </w:r>
    </w:p>
    <w:bookmarkEnd w:id="7101"/>
    <w:bookmarkStart w:name="z7114" w:id="7102"/>
    <w:p>
      <w:pPr>
        <w:spacing w:after="0"/>
        <w:ind w:left="0"/>
        <w:jc w:val="both"/>
      </w:pPr>
      <w:r>
        <w:rPr>
          <w:rFonts w:ascii="Times New Roman"/>
          <w:b w:val="false"/>
          <w:i w:val="false"/>
          <w:color w:val="000000"/>
          <w:sz w:val="28"/>
        </w:rPr>
        <w:t>
      1) два основных пожарных насоса с кингстонами и источниками энергии для каждого насоса не установлены в помещениях, отделенных перекрытиями, по меньшей мере, типа А–0, таким образом, чтобы пожар в отсеке не приводил к выходу из строя обеих насосов;</w:t>
      </w:r>
    </w:p>
    <w:bookmarkEnd w:id="7102"/>
    <w:bookmarkStart w:name="z7115" w:id="7103"/>
    <w:p>
      <w:pPr>
        <w:spacing w:after="0"/>
        <w:ind w:left="0"/>
        <w:jc w:val="both"/>
      </w:pPr>
      <w:r>
        <w:rPr>
          <w:rFonts w:ascii="Times New Roman"/>
          <w:b w:val="false"/>
          <w:i w:val="false"/>
          <w:color w:val="000000"/>
          <w:sz w:val="28"/>
        </w:rPr>
        <w:t>
      2) один из основных пожарных насосов расположен в помещении, имеющем более чем одну смежную переборку или палубу с помещением, в котором расположен другой основной пожарный насос.</w:t>
      </w:r>
    </w:p>
    <w:bookmarkEnd w:id="7103"/>
    <w:bookmarkStart w:name="z7116" w:id="7104"/>
    <w:p>
      <w:pPr>
        <w:spacing w:after="0"/>
        <w:ind w:left="0"/>
        <w:jc w:val="both"/>
      </w:pPr>
      <w:r>
        <w:rPr>
          <w:rFonts w:ascii="Times New Roman"/>
          <w:b w:val="false"/>
          <w:i w:val="false"/>
          <w:color w:val="000000"/>
          <w:sz w:val="28"/>
        </w:rPr>
        <w:t>
      2291. Суммарная подача стационарных пожарных насосов, кроме аварийного (если он имеется), при давлении у любого крана, не менее указанного в приложении 274 настоящих Правил, должна обеспечивать подачу воды для борьбы с пожаром в количестве, м</w:t>
      </w:r>
      <w:r>
        <w:rPr>
          <w:rFonts w:ascii="Times New Roman"/>
          <w:b w:val="false"/>
          <w:i w:val="false"/>
          <w:color w:val="000000"/>
          <w:vertAlign w:val="superscript"/>
        </w:rPr>
        <w:t>3</w:t>
      </w:r>
      <w:r>
        <w:rPr>
          <w:rFonts w:ascii="Times New Roman"/>
          <w:b w:val="false"/>
          <w:i w:val="false"/>
          <w:color w:val="000000"/>
          <w:sz w:val="28"/>
        </w:rPr>
        <w:t>/ч, не менее определяемого по формуле:</w:t>
      </w:r>
    </w:p>
    <w:bookmarkEnd w:id="7104"/>
    <w:bookmarkStart w:name="z7117" w:id="7105"/>
    <w:p>
      <w:pPr>
        <w:spacing w:after="0"/>
        <w:ind w:left="0"/>
        <w:jc w:val="both"/>
      </w:pPr>
      <w:r>
        <w:rPr>
          <w:rFonts w:ascii="Times New Roman"/>
          <w:b w:val="false"/>
          <w:i w:val="false"/>
          <w:color w:val="000000"/>
          <w:sz w:val="28"/>
        </w:rPr>
        <w:t>
                              Q=</w:t>
      </w:r>
      <w:r>
        <w:rPr>
          <w:rFonts w:ascii="Times New Roman"/>
          <w:b w:val="false"/>
          <w:i/>
          <w:color w:val="000000"/>
          <w:sz w:val="28"/>
        </w:rPr>
        <w:t>km</w:t>
      </w:r>
      <w:r>
        <w:rPr>
          <w:rFonts w:ascii="Times New Roman"/>
          <w:b w:val="false"/>
          <w:i w:val="false"/>
          <w:color w:val="000000"/>
          <w:vertAlign w:val="superscript"/>
        </w:rPr>
        <w:t>2</w:t>
      </w:r>
      <w:r>
        <w:rPr>
          <w:rFonts w:ascii="Times New Roman"/>
          <w:b w:val="false"/>
          <w:i w:val="false"/>
          <w:color w:val="000000"/>
          <w:sz w:val="28"/>
        </w:rPr>
        <w:t>,</w:t>
      </w:r>
    </w:p>
    <w:bookmarkEnd w:id="7105"/>
    <w:p>
      <w:pPr>
        <w:spacing w:after="0"/>
        <w:ind w:left="0"/>
        <w:jc w:val="both"/>
      </w:pPr>
      <w:r>
        <w:rPr>
          <w:rFonts w:ascii="Times New Roman"/>
          <w:b w:val="false"/>
          <w:i w:val="false"/>
          <w:color w:val="000000"/>
          <w:sz w:val="28"/>
        </w:rPr>
        <w:t>
      (724)</w:t>
      </w:r>
    </w:p>
    <w:bookmarkStart w:name="z7118" w:id="7106"/>
    <w:p>
      <w:pPr>
        <w:spacing w:after="0"/>
        <w:ind w:left="0"/>
        <w:jc w:val="both"/>
      </w:pPr>
      <w:r>
        <w:rPr>
          <w:rFonts w:ascii="Times New Roman"/>
          <w:b w:val="false"/>
          <w:i w:val="false"/>
          <w:color w:val="000000"/>
          <w:sz w:val="28"/>
        </w:rPr>
        <w:t>
      Где m=</w:t>
      </w:r>
    </w:p>
    <w:bookmarkEnd w:id="7106"/>
    <w:p>
      <w:pPr>
        <w:spacing w:after="0"/>
        <w:ind w:left="0"/>
        <w:jc w:val="both"/>
      </w:pPr>
      <w:r>
        <w:drawing>
          <wp:inline distT="0" distB="0" distL="0" distR="0">
            <wp:extent cx="168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2"/>
                    <a:stretch>
                      <a:fillRect/>
                    </a:stretch>
                  </pic:blipFill>
                  <pic:spPr>
                    <a:xfrm>
                      <a:off x="0" y="0"/>
                      <a:ext cx="1689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19" w:id="7107"/>
    <w:p>
      <w:pPr>
        <w:spacing w:after="0"/>
        <w:ind w:left="0"/>
        <w:jc w:val="both"/>
      </w:pPr>
      <w:r>
        <w:rPr>
          <w:rFonts w:ascii="Times New Roman"/>
          <w:b w:val="false"/>
          <w:i w:val="false"/>
          <w:color w:val="000000"/>
          <w:sz w:val="28"/>
        </w:rPr>
        <w:t>
      L – длина судна (параграф 3 главы 8 настоящих Правил).</w:t>
      </w:r>
    </w:p>
    <w:bookmarkEnd w:id="7107"/>
    <w:bookmarkStart w:name="z7120" w:id="7108"/>
    <w:p>
      <w:pPr>
        <w:spacing w:after="0"/>
        <w:ind w:left="0"/>
        <w:jc w:val="both"/>
      </w:pPr>
      <w:r>
        <w:rPr>
          <w:rFonts w:ascii="Times New Roman"/>
          <w:b w:val="false"/>
          <w:i w:val="false"/>
          <w:color w:val="000000"/>
          <w:sz w:val="28"/>
        </w:rPr>
        <w:t>
      На грунтоотвозных судах исключается длина грунтового трюма при отсутствии в нем цистерн с запасами топлива и масла, м;</w:t>
      </w:r>
    </w:p>
    <w:bookmarkEnd w:id="7108"/>
    <w:bookmarkStart w:name="z7121" w:id="7109"/>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ширина судна наибольшая, м;</w:t>
      </w:r>
    </w:p>
    <w:bookmarkEnd w:id="7109"/>
    <w:bookmarkStart w:name="z7122" w:id="711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высота борта до палубы переборок на миделе, м;</w:t>
      </w:r>
    </w:p>
    <w:bookmarkEnd w:id="7110"/>
    <w:bookmarkStart w:name="z7123" w:id="7111"/>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коэффицент, равный:</w:t>
      </w:r>
    </w:p>
    <w:bookmarkEnd w:id="7111"/>
    <w:bookmarkStart w:name="z7124" w:id="7112"/>
    <w:p>
      <w:pPr>
        <w:spacing w:after="0"/>
        <w:ind w:left="0"/>
        <w:jc w:val="both"/>
      </w:pPr>
      <w:r>
        <w:rPr>
          <w:rFonts w:ascii="Times New Roman"/>
          <w:b w:val="false"/>
          <w:i w:val="false"/>
          <w:color w:val="000000"/>
          <w:sz w:val="28"/>
        </w:rPr>
        <w:t xml:space="preserve">
      0,016 – для пассажирских судов с индексом деления на отсеки </w:t>
      </w:r>
      <w:r>
        <w:rPr>
          <w:rFonts w:ascii="Times New Roman"/>
          <w:b w:val="false"/>
          <w:i/>
          <w:color w:val="000000"/>
          <w:sz w:val="28"/>
        </w:rPr>
        <w:t>R</w:t>
      </w:r>
      <w:r>
        <w:rPr>
          <w:rFonts w:ascii="Times New Roman"/>
          <w:b w:val="false"/>
          <w:i w:val="false"/>
          <w:color w:val="000000"/>
          <w:sz w:val="28"/>
        </w:rPr>
        <w:t>, равным 0,5 и более;</w:t>
      </w:r>
    </w:p>
    <w:bookmarkEnd w:id="7112"/>
    <w:bookmarkStart w:name="z7125" w:id="7113"/>
    <w:p>
      <w:pPr>
        <w:spacing w:after="0"/>
        <w:ind w:left="0"/>
        <w:jc w:val="both"/>
      </w:pPr>
      <w:r>
        <w:rPr>
          <w:rFonts w:ascii="Times New Roman"/>
          <w:b w:val="false"/>
          <w:i w:val="false"/>
          <w:color w:val="000000"/>
          <w:sz w:val="28"/>
        </w:rPr>
        <w:t xml:space="preserve">
      0,012 – для пассажирских судов с индексом деления на отсеки </w:t>
      </w:r>
      <w:r>
        <w:rPr>
          <w:rFonts w:ascii="Times New Roman"/>
          <w:b w:val="false"/>
          <w:i/>
          <w:color w:val="000000"/>
          <w:sz w:val="28"/>
        </w:rPr>
        <w:t>R</w:t>
      </w:r>
      <w:r>
        <w:rPr>
          <w:rFonts w:ascii="Times New Roman"/>
          <w:b w:val="false"/>
          <w:i w:val="false"/>
          <w:color w:val="000000"/>
          <w:sz w:val="28"/>
        </w:rPr>
        <w:t xml:space="preserve"> равным 0,5;</w:t>
      </w:r>
    </w:p>
    <w:bookmarkEnd w:id="7113"/>
    <w:bookmarkStart w:name="z7126" w:id="7114"/>
    <w:p>
      <w:pPr>
        <w:spacing w:after="0"/>
        <w:ind w:left="0"/>
        <w:jc w:val="both"/>
      </w:pPr>
      <w:r>
        <w:rPr>
          <w:rFonts w:ascii="Times New Roman"/>
          <w:b w:val="false"/>
          <w:i w:val="false"/>
          <w:color w:val="000000"/>
          <w:sz w:val="28"/>
        </w:rPr>
        <w:t>
      0,008 – для всех остальных судов;</w:t>
      </w:r>
    </w:p>
    <w:bookmarkEnd w:id="7114"/>
    <w:bookmarkStart w:name="z7127" w:id="711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индекс деления на отсеки, определяемый в соответствии с главой 121 части 6 настоящих Правил.</w:t>
      </w:r>
    </w:p>
    <w:bookmarkEnd w:id="7115"/>
    <w:bookmarkStart w:name="z7128" w:id="7116"/>
    <w:p>
      <w:pPr>
        <w:spacing w:after="0"/>
        <w:ind w:left="0"/>
        <w:jc w:val="both"/>
      </w:pPr>
      <w:r>
        <w:rPr>
          <w:rFonts w:ascii="Times New Roman"/>
          <w:b w:val="false"/>
          <w:i w:val="false"/>
          <w:color w:val="000000"/>
          <w:sz w:val="28"/>
        </w:rPr>
        <w:t>
      Для пассажирских судов и грузовых судов валовой вместимостью более 500 требуемые пожарные насосы должны обеспечивать подачу воды для борьбы с пожаром под указанным в приложении 274 настоящих Правил давлением в следующем в следующем количестве:</w:t>
      </w:r>
    </w:p>
    <w:bookmarkEnd w:id="7116"/>
    <w:bookmarkStart w:name="z7129" w:id="7117"/>
    <w:p>
      <w:pPr>
        <w:spacing w:after="0"/>
        <w:ind w:left="0"/>
        <w:jc w:val="both"/>
      </w:pPr>
      <w:r>
        <w:rPr>
          <w:rFonts w:ascii="Times New Roman"/>
          <w:b w:val="false"/>
          <w:i w:val="false"/>
          <w:color w:val="000000"/>
          <w:sz w:val="28"/>
        </w:rPr>
        <w:t>
      1) на пассажирских судах – не менее двух третей того количества воды, которое откачивается из трюмов осушительными насосами;</w:t>
      </w:r>
    </w:p>
    <w:bookmarkEnd w:id="7117"/>
    <w:bookmarkStart w:name="z7130" w:id="7118"/>
    <w:p>
      <w:pPr>
        <w:spacing w:after="0"/>
        <w:ind w:left="0"/>
        <w:jc w:val="both"/>
      </w:pPr>
      <w:r>
        <w:rPr>
          <w:rFonts w:ascii="Times New Roman"/>
          <w:b w:val="false"/>
          <w:i w:val="false"/>
          <w:color w:val="000000"/>
          <w:sz w:val="28"/>
        </w:rPr>
        <w:t>
      2) на грузовых судах – не менее четырех третей того количества воды, которые откачивается из трюмов пассажирского судна таких же размеров каждым независимым осушительным насосом согласно требованиям главы 254 настоящих Правил.</w:t>
      </w:r>
    </w:p>
    <w:bookmarkEnd w:id="7118"/>
    <w:bookmarkStart w:name="z7131" w:id="7119"/>
    <w:p>
      <w:pPr>
        <w:spacing w:after="0"/>
        <w:ind w:left="0"/>
        <w:jc w:val="both"/>
      </w:pPr>
      <w:r>
        <w:rPr>
          <w:rFonts w:ascii="Times New Roman"/>
          <w:b w:val="false"/>
          <w:i w:val="false"/>
          <w:color w:val="000000"/>
          <w:sz w:val="28"/>
        </w:rPr>
        <w:t>
      Для катамаранов и подобных им судов суммарная подача пожарных насосов определяется как удвоенная величина подачи для одного корпуса.</w:t>
      </w:r>
    </w:p>
    <w:bookmarkEnd w:id="7119"/>
    <w:bookmarkStart w:name="z7132" w:id="7120"/>
    <w:p>
      <w:pPr>
        <w:spacing w:after="0"/>
        <w:ind w:left="0"/>
        <w:jc w:val="both"/>
      </w:pPr>
      <w:r>
        <w:rPr>
          <w:rFonts w:ascii="Times New Roman"/>
          <w:b w:val="false"/>
          <w:i w:val="false"/>
          <w:color w:val="000000"/>
          <w:sz w:val="28"/>
        </w:rPr>
        <w:t>
      2292. Стационарная водопожарная система допускается не устанавливать на судах с экипажем менее 3 человек.</w:t>
      </w:r>
    </w:p>
    <w:bookmarkEnd w:id="7120"/>
    <w:bookmarkStart w:name="z7133" w:id="7121"/>
    <w:p>
      <w:pPr>
        <w:spacing w:after="0"/>
        <w:ind w:left="0"/>
        <w:jc w:val="both"/>
      </w:pPr>
      <w:r>
        <w:rPr>
          <w:rFonts w:ascii="Times New Roman"/>
          <w:b w:val="false"/>
          <w:i w:val="false"/>
          <w:color w:val="000000"/>
          <w:sz w:val="28"/>
        </w:rPr>
        <w:t>
      2293. На судах, иных, чем пассажирские, общая подача пожарных насосов может не превышать 180 м</w:t>
      </w:r>
      <w:r>
        <w:rPr>
          <w:rFonts w:ascii="Times New Roman"/>
          <w:b w:val="false"/>
          <w:i w:val="false"/>
          <w:color w:val="000000"/>
          <w:vertAlign w:val="superscript"/>
        </w:rPr>
        <w:t>3</w:t>
      </w:r>
      <w:r>
        <w:rPr>
          <w:rFonts w:ascii="Times New Roman"/>
          <w:b w:val="false"/>
          <w:i w:val="false"/>
          <w:color w:val="000000"/>
          <w:sz w:val="28"/>
        </w:rPr>
        <w:t>/ч, если из условия обеспечения одновременной работы других систем, потребляющих воду, не требуется большая подача.</w:t>
      </w:r>
    </w:p>
    <w:bookmarkEnd w:id="7121"/>
    <w:bookmarkStart w:name="z7134" w:id="7122"/>
    <w:p>
      <w:pPr>
        <w:spacing w:after="0"/>
        <w:ind w:left="0"/>
        <w:jc w:val="both"/>
      </w:pPr>
      <w:r>
        <w:rPr>
          <w:rFonts w:ascii="Times New Roman"/>
          <w:b w:val="false"/>
          <w:i w:val="false"/>
          <w:color w:val="000000"/>
          <w:sz w:val="28"/>
        </w:rPr>
        <w:t>
      2294. Подача, напор и число пожарных насосов для плавучих доков должны выбираться по наибольшему грузовому судну, которое принимает док, исходя из потребности в воде водопожарной системы.</w:t>
      </w:r>
    </w:p>
    <w:bookmarkEnd w:id="7122"/>
    <w:bookmarkStart w:name="z7135" w:id="7123"/>
    <w:p>
      <w:pPr>
        <w:spacing w:after="0"/>
        <w:ind w:left="0"/>
        <w:jc w:val="both"/>
      </w:pPr>
      <w:r>
        <w:rPr>
          <w:rFonts w:ascii="Times New Roman"/>
          <w:b w:val="false"/>
          <w:i w:val="false"/>
          <w:color w:val="000000"/>
          <w:sz w:val="28"/>
        </w:rPr>
        <w:t>
      На неавтономных плавучих доках, получающих воду для водопожарной системы с берега, аварийный пожарный насос допускается не устанавливать.</w:t>
      </w:r>
    </w:p>
    <w:bookmarkEnd w:id="7123"/>
    <w:bookmarkStart w:name="z7136" w:id="7124"/>
    <w:p>
      <w:pPr>
        <w:spacing w:after="0"/>
        <w:ind w:left="0"/>
        <w:jc w:val="both"/>
      </w:pPr>
      <w:r>
        <w:rPr>
          <w:rFonts w:ascii="Times New Roman"/>
          <w:b w:val="false"/>
          <w:i w:val="false"/>
          <w:color w:val="000000"/>
          <w:sz w:val="28"/>
        </w:rPr>
        <w:t>
      2295. Каждый стационарный пожарный насос, кроме аварийного, рассчитывается на подачу не менее двух строй воды, требуемых в пункте 2324 настоящих Правил.</w:t>
      </w:r>
    </w:p>
    <w:bookmarkEnd w:id="7124"/>
    <w:bookmarkStart w:name="z7137" w:id="7125"/>
    <w:p>
      <w:pPr>
        <w:spacing w:after="0"/>
        <w:ind w:left="0"/>
        <w:jc w:val="both"/>
      </w:pPr>
      <w:r>
        <w:rPr>
          <w:rFonts w:ascii="Times New Roman"/>
          <w:b w:val="false"/>
          <w:i w:val="false"/>
          <w:color w:val="000000"/>
          <w:sz w:val="28"/>
        </w:rPr>
        <w:t>
      2296. Каждый стационарный пожарный насос, кроме аварийного, должен иметь подачу не менее 80 % общей требуемой подачи, деленной на требуемое число пожарных насосов, но не менее 25 м</w:t>
      </w:r>
      <w:r>
        <w:rPr>
          <w:rFonts w:ascii="Times New Roman"/>
          <w:b w:val="false"/>
          <w:i w:val="false"/>
          <w:color w:val="000000"/>
          <w:vertAlign w:val="superscript"/>
        </w:rPr>
        <w:t>3</w:t>
      </w:r>
      <w:r>
        <w:rPr>
          <w:rFonts w:ascii="Times New Roman"/>
          <w:b w:val="false"/>
          <w:i w:val="false"/>
          <w:color w:val="000000"/>
          <w:sz w:val="28"/>
        </w:rPr>
        <w:t>/ч.</w:t>
      </w:r>
    </w:p>
    <w:bookmarkEnd w:id="7125"/>
    <w:bookmarkStart w:name="z7138" w:id="7126"/>
    <w:p>
      <w:pPr>
        <w:spacing w:after="0"/>
        <w:ind w:left="0"/>
        <w:jc w:val="both"/>
      </w:pPr>
      <w:r>
        <w:rPr>
          <w:rFonts w:ascii="Times New Roman"/>
          <w:b w:val="false"/>
          <w:i w:val="false"/>
          <w:color w:val="000000"/>
          <w:sz w:val="28"/>
        </w:rPr>
        <w:t>
      Если число установленных пожарных насосов превышает требуемое, подача дополнительных насосов должна быть не менее 24 м</w:t>
      </w:r>
      <w:r>
        <w:rPr>
          <w:rFonts w:ascii="Times New Roman"/>
          <w:b w:val="false"/>
          <w:i w:val="false"/>
          <w:color w:val="000000"/>
          <w:vertAlign w:val="superscript"/>
        </w:rPr>
        <w:t>3</w:t>
      </w:r>
      <w:r>
        <w:rPr>
          <w:rFonts w:ascii="Times New Roman"/>
          <w:b w:val="false"/>
          <w:i w:val="false"/>
          <w:color w:val="000000"/>
          <w:sz w:val="28"/>
        </w:rPr>
        <w:t>/ч и должна обеспечивать работу не менее двух стволов согласно пункту 2324 настоящих Правил.</w:t>
      </w:r>
    </w:p>
    <w:bookmarkEnd w:id="7126"/>
    <w:bookmarkStart w:name="z7139" w:id="7127"/>
    <w:p>
      <w:pPr>
        <w:spacing w:after="0"/>
        <w:ind w:left="0"/>
        <w:jc w:val="both"/>
      </w:pPr>
      <w:r>
        <w:rPr>
          <w:rFonts w:ascii="Times New Roman"/>
          <w:b w:val="false"/>
          <w:i w:val="false"/>
          <w:color w:val="000000"/>
          <w:sz w:val="28"/>
        </w:rPr>
        <w:t>
      2297. Если на судне предусматриваются другие системы пожаротушения, потребляющие воду от стационарных пожарных насосов, подача этих насосов должна быть достаточной для обеспечения работы водопожарной системы с подачей не менее 50%, определенной по формуле (724) настоящих Правил, и параллельной работы одной из других систем, потребляющих наибольшее количество воды. В данном случае количество воды для водопожарной системы должно быть достаточным для подачи не менее двух струй самыми большими насадками, применяемыми на судне, однако более шести струй, а для грузовых судов более 90 м</w:t>
      </w:r>
      <w:r>
        <w:rPr>
          <w:rFonts w:ascii="Times New Roman"/>
          <w:b w:val="false"/>
          <w:i w:val="false"/>
          <w:color w:val="000000"/>
          <w:vertAlign w:val="superscript"/>
        </w:rPr>
        <w:t>3</w:t>
      </w:r>
      <w:r>
        <w:rPr>
          <w:rFonts w:ascii="Times New Roman"/>
          <w:b w:val="false"/>
          <w:i w:val="false"/>
          <w:color w:val="000000"/>
          <w:sz w:val="28"/>
        </w:rPr>
        <w:t>/ч не требуется. При этом необходимо учесть возможное увеличение расхода воды через каждый кран, вызванное повышением давления в трубопроводах, требуемым для работы других систем пожаротушения.</w:t>
      </w:r>
    </w:p>
    <w:bookmarkEnd w:id="7127"/>
    <w:bookmarkStart w:name="z7140" w:id="7128"/>
    <w:p>
      <w:pPr>
        <w:spacing w:after="0"/>
        <w:ind w:left="0"/>
        <w:jc w:val="both"/>
      </w:pPr>
      <w:r>
        <w:rPr>
          <w:rFonts w:ascii="Times New Roman"/>
          <w:b w:val="false"/>
          <w:i w:val="false"/>
          <w:color w:val="000000"/>
          <w:sz w:val="28"/>
        </w:rPr>
        <w:t>
      Количество воды для систем пожаротушения, кроме водопожарной, должно определяться согласно требованиям пунктов 2340, 2360 и 2368 (в пределах одной главной вертикальной противопожарной зоны), 2473 и главы 153 настоящих Правил.</w:t>
      </w:r>
    </w:p>
    <w:bookmarkEnd w:id="7128"/>
    <w:bookmarkStart w:name="z7141" w:id="7129"/>
    <w:p>
      <w:pPr>
        <w:spacing w:after="0"/>
        <w:ind w:left="0"/>
        <w:jc w:val="left"/>
      </w:pPr>
      <w:r>
        <w:rPr>
          <w:rFonts w:ascii="Times New Roman"/>
          <w:b/>
          <w:i w:val="false"/>
          <w:color w:val="000000"/>
        </w:rPr>
        <w:t xml:space="preserve"> Параграф 2. Размещение пожарных насосов</w:t>
      </w:r>
    </w:p>
    <w:bookmarkEnd w:id="7129"/>
    <w:bookmarkStart w:name="z7142" w:id="7130"/>
    <w:p>
      <w:pPr>
        <w:spacing w:after="0"/>
        <w:ind w:left="0"/>
        <w:jc w:val="both"/>
      </w:pPr>
      <w:r>
        <w:rPr>
          <w:rFonts w:ascii="Times New Roman"/>
          <w:b w:val="false"/>
          <w:i w:val="false"/>
          <w:color w:val="000000"/>
          <w:sz w:val="28"/>
        </w:rPr>
        <w:t>
      2298. На пассажирских судах валовой вместимостью 1000 и более приемные кингстоны, пожарные насосы и источники энергии для их питания располагают таким образом, чтобы возникший в одном водонепроницаемом отсеке пожар не привел к одновременому выходу из строя всех пожарных насосов.</w:t>
      </w:r>
    </w:p>
    <w:bookmarkEnd w:id="7130"/>
    <w:bookmarkStart w:name="z7143" w:id="7131"/>
    <w:p>
      <w:pPr>
        <w:spacing w:after="0"/>
        <w:ind w:left="0"/>
        <w:jc w:val="both"/>
      </w:pPr>
      <w:r>
        <w:rPr>
          <w:rFonts w:ascii="Times New Roman"/>
          <w:b w:val="false"/>
          <w:i w:val="false"/>
          <w:color w:val="000000"/>
          <w:sz w:val="28"/>
        </w:rPr>
        <w:t>
      2299. На катамаранах и подобных им судах, для которых в соответствии с приложением 274 настоящих Правил требуется не менее двух насосов, в каждом корпусе рекомендуется установить по одному из них.</w:t>
      </w:r>
    </w:p>
    <w:bookmarkEnd w:id="7131"/>
    <w:bookmarkStart w:name="z7144" w:id="7132"/>
    <w:p>
      <w:pPr>
        <w:spacing w:after="0"/>
        <w:ind w:left="0"/>
        <w:jc w:val="both"/>
      </w:pPr>
      <w:r>
        <w:rPr>
          <w:rFonts w:ascii="Times New Roman"/>
          <w:b w:val="false"/>
          <w:i w:val="false"/>
          <w:color w:val="000000"/>
          <w:sz w:val="28"/>
        </w:rPr>
        <w:t>
      При этом обеспечивается подача воды каждым из насосов в водопожарную магистраль любого корпуса судна.</w:t>
      </w:r>
    </w:p>
    <w:bookmarkEnd w:id="7132"/>
    <w:bookmarkStart w:name="z7145" w:id="7133"/>
    <w:p>
      <w:pPr>
        <w:spacing w:after="0"/>
        <w:ind w:left="0"/>
        <w:jc w:val="left"/>
      </w:pPr>
      <w:r>
        <w:rPr>
          <w:rFonts w:ascii="Times New Roman"/>
          <w:b/>
          <w:i w:val="false"/>
          <w:color w:val="000000"/>
        </w:rPr>
        <w:t xml:space="preserve"> Параграф 3. Основные требования к пожарным насосам</w:t>
      </w:r>
    </w:p>
    <w:bookmarkEnd w:id="7133"/>
    <w:bookmarkStart w:name="z7146" w:id="7134"/>
    <w:p>
      <w:pPr>
        <w:spacing w:after="0"/>
        <w:ind w:left="0"/>
        <w:jc w:val="both"/>
      </w:pPr>
      <w:r>
        <w:rPr>
          <w:rFonts w:ascii="Times New Roman"/>
          <w:b w:val="false"/>
          <w:i w:val="false"/>
          <w:color w:val="000000"/>
          <w:sz w:val="28"/>
        </w:rPr>
        <w:t>
      2300. На всех самоходных судах стационарные пожарные насосы, как правило, имеют независимый механический привод.</w:t>
      </w:r>
    </w:p>
    <w:bookmarkEnd w:id="7134"/>
    <w:bookmarkStart w:name="z7147" w:id="7135"/>
    <w:p>
      <w:pPr>
        <w:spacing w:after="0"/>
        <w:ind w:left="0"/>
        <w:jc w:val="both"/>
      </w:pPr>
      <w:r>
        <w:rPr>
          <w:rFonts w:ascii="Times New Roman"/>
          <w:b w:val="false"/>
          <w:i w:val="false"/>
          <w:color w:val="000000"/>
          <w:sz w:val="28"/>
        </w:rPr>
        <w:t>
      На грузовых судах валовой вместимостью от 300 до 1000 один из насосов должен иметь независимый привод.</w:t>
      </w:r>
    </w:p>
    <w:bookmarkEnd w:id="7135"/>
    <w:bookmarkStart w:name="z7148" w:id="7136"/>
    <w:p>
      <w:pPr>
        <w:spacing w:after="0"/>
        <w:ind w:left="0"/>
        <w:jc w:val="both"/>
      </w:pPr>
      <w:r>
        <w:rPr>
          <w:rFonts w:ascii="Times New Roman"/>
          <w:b w:val="false"/>
          <w:i w:val="false"/>
          <w:color w:val="000000"/>
          <w:sz w:val="28"/>
        </w:rPr>
        <w:t>
      На грузовых судах валовой вместимостью менее 300, имеющих мощность главных двигателей менее 220 кВт, и на пассажирских судах валовой вместимостью менее 150, имеющих мощность главных двигателей менее 220 кВт, а также на судах с динамическими принципами поддержания (далее – СДПП) допускается использование пожарных насосов с приводом от главного двигателя, при условии, что конструкция комплекса "двигатель-валопровод-винт" обеспечивает действие пожарного насоса, если судно не на ходу.</w:t>
      </w:r>
    </w:p>
    <w:bookmarkEnd w:id="7136"/>
    <w:bookmarkStart w:name="z7149" w:id="7137"/>
    <w:p>
      <w:pPr>
        <w:spacing w:after="0"/>
        <w:ind w:left="0"/>
        <w:jc w:val="both"/>
      </w:pPr>
      <w:r>
        <w:rPr>
          <w:rFonts w:ascii="Times New Roman"/>
          <w:b w:val="false"/>
          <w:i w:val="false"/>
          <w:color w:val="000000"/>
          <w:sz w:val="28"/>
        </w:rPr>
        <w:t>
      По согласованию с Регистром судоходства для указанных судов допускается клиноременная передача от главного двигателя к насосу, надежно обеспечивающая передачу крутящего момента при разрыве одного из ремней.</w:t>
      </w:r>
    </w:p>
    <w:bookmarkEnd w:id="7137"/>
    <w:bookmarkStart w:name="z7150" w:id="7138"/>
    <w:p>
      <w:pPr>
        <w:spacing w:after="0"/>
        <w:ind w:left="0"/>
        <w:jc w:val="both"/>
      </w:pPr>
      <w:r>
        <w:rPr>
          <w:rFonts w:ascii="Times New Roman"/>
          <w:b w:val="false"/>
          <w:i w:val="false"/>
          <w:color w:val="000000"/>
          <w:sz w:val="28"/>
        </w:rPr>
        <w:t>
      2301. Стационарные пожарные насосы, включая аварийный, могут быть приспособлены для других судовых надобностей при условии, что на судне предусмотрено не менее двух насосов с независимым приводом, один из которых находится в постоянной готовности к немедленному вводу в действие по прямому назначению.</w:t>
      </w:r>
    </w:p>
    <w:bookmarkEnd w:id="7138"/>
    <w:bookmarkStart w:name="z7151" w:id="7139"/>
    <w:p>
      <w:pPr>
        <w:spacing w:after="0"/>
        <w:ind w:left="0"/>
        <w:jc w:val="both"/>
      </w:pPr>
      <w:r>
        <w:rPr>
          <w:rFonts w:ascii="Times New Roman"/>
          <w:b w:val="false"/>
          <w:i w:val="false"/>
          <w:color w:val="000000"/>
          <w:sz w:val="28"/>
        </w:rPr>
        <w:t>
      Если в соответствии с приложением приложением 274 настоящих Правил устанавливается один пожарный насос, допускается его использование для других надобностей, но только с кратковременным потреблением воды (например, для обмывки палуб и клюзов).</w:t>
      </w:r>
    </w:p>
    <w:bookmarkEnd w:id="7139"/>
    <w:bookmarkStart w:name="z7152" w:id="7140"/>
    <w:p>
      <w:pPr>
        <w:spacing w:after="0"/>
        <w:ind w:left="0"/>
        <w:jc w:val="both"/>
      </w:pPr>
      <w:r>
        <w:rPr>
          <w:rFonts w:ascii="Times New Roman"/>
          <w:b w:val="false"/>
          <w:i w:val="false"/>
          <w:color w:val="000000"/>
          <w:sz w:val="28"/>
        </w:rPr>
        <w:t>
      Допускается использование пожарного насоса для аварийного осушения машинных помещений.</w:t>
      </w:r>
    </w:p>
    <w:bookmarkEnd w:id="7140"/>
    <w:bookmarkStart w:name="z7153" w:id="7141"/>
    <w:p>
      <w:pPr>
        <w:spacing w:after="0"/>
        <w:ind w:left="0"/>
        <w:jc w:val="both"/>
      </w:pPr>
      <w:r>
        <w:rPr>
          <w:rFonts w:ascii="Times New Roman"/>
          <w:b w:val="false"/>
          <w:i w:val="false"/>
          <w:color w:val="000000"/>
          <w:sz w:val="28"/>
        </w:rPr>
        <w:t>
      2302. На грузовых судах, на которых другие насосы, такие как насосы общего назначения, осушительные, балластные, установлены в машинном помещении, принимаются меры по обеспечению того, чтобы, по крайней мере, один из этих насосов, имеющий подачу и напор, требуемые пунктом 2297 и приложением 274 настоящих Правил, мог подавать воду в пожарную магистраль. Однако если на судне установлено требуемое количество пожарных насосов с необходимыми подачей и напором, то достаточно только перемычки, соединяющей насос общего назначения с водопожарной системой. Такие насосы должны также отвечать требованиям пунктов 2301 и 2303 настоящих Правил.</w:t>
      </w:r>
    </w:p>
    <w:bookmarkEnd w:id="7141"/>
    <w:bookmarkStart w:name="z7154" w:id="7142"/>
    <w:p>
      <w:pPr>
        <w:spacing w:after="0"/>
        <w:ind w:left="0"/>
        <w:jc w:val="both"/>
      </w:pPr>
      <w:r>
        <w:rPr>
          <w:rFonts w:ascii="Times New Roman"/>
          <w:b w:val="false"/>
          <w:i w:val="false"/>
          <w:color w:val="000000"/>
          <w:sz w:val="28"/>
        </w:rPr>
        <w:t>
      2303. Насосы и трубопроводы, предназначенные для пожарных целей, не должны использоваться для перекачки нефтепродуктов, масла или других воспламеняющихся жидкостей, а также в качестве балластных насосов для цистерн, попеременно заполняемых топливом и балластом.</w:t>
      </w:r>
    </w:p>
    <w:bookmarkEnd w:id="7142"/>
    <w:bookmarkStart w:name="z7155" w:id="7143"/>
    <w:p>
      <w:pPr>
        <w:spacing w:after="0"/>
        <w:ind w:left="0"/>
        <w:jc w:val="both"/>
      </w:pPr>
      <w:r>
        <w:rPr>
          <w:rFonts w:ascii="Times New Roman"/>
          <w:b w:val="false"/>
          <w:i w:val="false"/>
          <w:color w:val="000000"/>
          <w:sz w:val="28"/>
        </w:rPr>
        <w:t>
      2304. Пожарные насосы на напорной части снабжаются манометром.</w:t>
      </w:r>
    </w:p>
    <w:bookmarkEnd w:id="7143"/>
    <w:bookmarkStart w:name="z7156" w:id="7144"/>
    <w:p>
      <w:pPr>
        <w:spacing w:after="0"/>
        <w:ind w:left="0"/>
        <w:jc w:val="both"/>
      </w:pPr>
      <w:r>
        <w:rPr>
          <w:rFonts w:ascii="Times New Roman"/>
          <w:b w:val="false"/>
          <w:i w:val="false"/>
          <w:color w:val="000000"/>
          <w:sz w:val="28"/>
        </w:rPr>
        <w:t>
      Насосы, которые создают в пожарной магистрали давление выше допустимого, снабжаются предохранительными клапанами, отрегулированными на давление, превышающее рабочее давление в пожарной магистрали не более чем на 10 %, и имеющими отвод воды во всасывающую магистраль. Размещение и регулировка такие клапанов предотвращают возникновение чрезмерного давления в любой части пожарной магистрали.</w:t>
      </w:r>
    </w:p>
    <w:bookmarkEnd w:id="7144"/>
    <w:bookmarkStart w:name="z7157" w:id="7145"/>
    <w:p>
      <w:pPr>
        <w:spacing w:after="0"/>
        <w:ind w:left="0"/>
        <w:jc w:val="both"/>
      </w:pPr>
      <w:r>
        <w:rPr>
          <w:rFonts w:ascii="Times New Roman"/>
          <w:b w:val="false"/>
          <w:i w:val="false"/>
          <w:color w:val="000000"/>
          <w:sz w:val="28"/>
        </w:rPr>
        <w:t>
      2305. Стационарные пожарные насосы и их кингстоны должны быть установлены ниже ватерлинии судна порожнем.</w:t>
      </w:r>
    </w:p>
    <w:bookmarkEnd w:id="7145"/>
    <w:bookmarkStart w:name="z7158" w:id="7146"/>
    <w:p>
      <w:pPr>
        <w:spacing w:after="0"/>
        <w:ind w:left="0"/>
        <w:jc w:val="both"/>
      </w:pPr>
      <w:r>
        <w:rPr>
          <w:rFonts w:ascii="Times New Roman"/>
          <w:b w:val="false"/>
          <w:i w:val="false"/>
          <w:color w:val="000000"/>
          <w:sz w:val="28"/>
        </w:rPr>
        <w:t>
      Установка стационарного аварийного насоса должна производиться в соответствии с параграфом 4 главы 149 настоящих Правил.</w:t>
      </w:r>
    </w:p>
    <w:bookmarkEnd w:id="7146"/>
    <w:bookmarkStart w:name="z7159" w:id="7147"/>
    <w:p>
      <w:pPr>
        <w:spacing w:after="0"/>
        <w:ind w:left="0"/>
        <w:jc w:val="both"/>
      </w:pPr>
      <w:r>
        <w:rPr>
          <w:rFonts w:ascii="Times New Roman"/>
          <w:b w:val="false"/>
          <w:i w:val="false"/>
          <w:color w:val="000000"/>
          <w:sz w:val="28"/>
        </w:rPr>
        <w:t>
      Пожарные насосы, расположенные вне машинных помещений категории А, должны иметь самостоятельный кингстон в каждом из отсеков, в которых они установлены.</w:t>
      </w:r>
    </w:p>
    <w:bookmarkEnd w:id="7147"/>
    <w:bookmarkStart w:name="z7160" w:id="7148"/>
    <w:p>
      <w:pPr>
        <w:spacing w:after="0"/>
        <w:ind w:left="0"/>
        <w:jc w:val="both"/>
      </w:pPr>
      <w:r>
        <w:rPr>
          <w:rFonts w:ascii="Times New Roman"/>
          <w:b w:val="false"/>
          <w:i w:val="false"/>
          <w:color w:val="000000"/>
          <w:sz w:val="28"/>
        </w:rPr>
        <w:t>
      Для судов ледового плавания по крайней мере один из насосов должен быть соединен с ледовым ящиком, которые имеет обогрев (пункт 3148 настоящих Правил).</w:t>
      </w:r>
    </w:p>
    <w:bookmarkEnd w:id="7148"/>
    <w:bookmarkStart w:name="z7161" w:id="7149"/>
    <w:p>
      <w:pPr>
        <w:spacing w:after="0"/>
        <w:ind w:left="0"/>
        <w:jc w:val="both"/>
      </w:pPr>
      <w:r>
        <w:rPr>
          <w:rFonts w:ascii="Times New Roman"/>
          <w:b w:val="false"/>
          <w:i w:val="false"/>
          <w:color w:val="000000"/>
          <w:sz w:val="28"/>
        </w:rPr>
        <w:t>
      2306. Все пожарные насосы, включая аварийный, располагаются в помещениях с положительной температурой.</w:t>
      </w:r>
    </w:p>
    <w:bookmarkEnd w:id="7149"/>
    <w:bookmarkStart w:name="z7162" w:id="7150"/>
    <w:p>
      <w:pPr>
        <w:spacing w:after="0"/>
        <w:ind w:left="0"/>
        <w:jc w:val="both"/>
      </w:pPr>
      <w:r>
        <w:rPr>
          <w:rFonts w:ascii="Times New Roman"/>
          <w:b w:val="false"/>
          <w:i w:val="false"/>
          <w:color w:val="000000"/>
          <w:sz w:val="28"/>
        </w:rPr>
        <w:t>
      2307. На пассажирских судах валовой вместимостью 1000 и более и на всех пассажирских судах с периодическим безвахтенным обслуживанием помещений, где расположены пожарные насосы, водопожарная система должна постоянно находиться под давлением, обеспечивая немедленную подачу по меньшей мере, одной эффективной струи воды от любого из кранов, и чтобы был обеспечен автоматический пуск одного из требуемых пожарных насосов при падении давления.</w:t>
      </w:r>
    </w:p>
    <w:bookmarkEnd w:id="7150"/>
    <w:bookmarkStart w:name="z7163" w:id="7151"/>
    <w:p>
      <w:pPr>
        <w:spacing w:after="0"/>
        <w:ind w:left="0"/>
        <w:jc w:val="both"/>
      </w:pPr>
      <w:r>
        <w:rPr>
          <w:rFonts w:ascii="Times New Roman"/>
          <w:b w:val="false"/>
          <w:i w:val="false"/>
          <w:color w:val="000000"/>
          <w:sz w:val="28"/>
        </w:rPr>
        <w:t>
      На пассажирских судах валовой вместимостью менее 1000 водопожарная система должна обеспечивать автоматический или дистанционный запуск с ходового мостика по меньшей мере одного пожарного насоса. Если насос запускается автоматически, или если донный кингстон не может быть открыт с места, где дистанционно запускается насос, донный кингстон должен постоянно находиться в открытом положении.</w:t>
      </w:r>
    </w:p>
    <w:bookmarkEnd w:id="7151"/>
    <w:bookmarkStart w:name="z7164" w:id="7152"/>
    <w:p>
      <w:pPr>
        <w:spacing w:after="0"/>
        <w:ind w:left="0"/>
        <w:jc w:val="both"/>
      </w:pPr>
      <w:r>
        <w:rPr>
          <w:rFonts w:ascii="Times New Roman"/>
          <w:b w:val="false"/>
          <w:i w:val="false"/>
          <w:color w:val="000000"/>
          <w:sz w:val="28"/>
        </w:rPr>
        <w:t>
      2308. На грузовых судах с периодическим безвахтенным обслуживанием помещений, где расположены пожарные насосы, или когда вахту несет только один человек, предусматривается дистанционный пуск одного из основных пожарных насосов с ходового мостика и с пожарного поста, если он имеется, и подача воды в магистраль без дополнительного открытия клапанов в помещении насосов. В месте дистанционного пуска насоса должен быть установлен указатель давления воды в магистрали.</w:t>
      </w:r>
    </w:p>
    <w:bookmarkEnd w:id="7152"/>
    <w:bookmarkStart w:name="z7165" w:id="7153"/>
    <w:p>
      <w:pPr>
        <w:spacing w:after="0"/>
        <w:ind w:left="0"/>
        <w:jc w:val="both"/>
      </w:pPr>
      <w:r>
        <w:rPr>
          <w:rFonts w:ascii="Times New Roman"/>
          <w:b w:val="false"/>
          <w:i w:val="false"/>
          <w:color w:val="000000"/>
          <w:sz w:val="28"/>
        </w:rPr>
        <w:t>
      Устройство дистанционного пуска может не предусматриваться, если водопожарная магистраль находится под давлением в соответствии с пунктом 2307 настоящих Правил.</w:t>
      </w:r>
    </w:p>
    <w:bookmarkEnd w:id="7153"/>
    <w:bookmarkStart w:name="z7166" w:id="7154"/>
    <w:p>
      <w:pPr>
        <w:spacing w:after="0"/>
        <w:ind w:left="0"/>
        <w:jc w:val="both"/>
      </w:pPr>
      <w:r>
        <w:rPr>
          <w:rFonts w:ascii="Times New Roman"/>
          <w:b w:val="false"/>
          <w:i w:val="false"/>
          <w:color w:val="000000"/>
          <w:sz w:val="28"/>
        </w:rPr>
        <w:t>
      На судах валовой вместимостью менее 1600 выполнение данного требования может не предусматриваться, если устройство запуска пожарного насоса в машинном помещении находится в легкодоступном месте.</w:t>
      </w:r>
    </w:p>
    <w:bookmarkEnd w:id="7154"/>
    <w:bookmarkStart w:name="z7167" w:id="7155"/>
    <w:p>
      <w:pPr>
        <w:spacing w:after="0"/>
        <w:ind w:left="0"/>
        <w:jc w:val="left"/>
      </w:pPr>
      <w:r>
        <w:rPr>
          <w:rFonts w:ascii="Times New Roman"/>
          <w:b/>
          <w:i w:val="false"/>
          <w:color w:val="000000"/>
        </w:rPr>
        <w:t xml:space="preserve"> Параграф 4. Стационарный аварийный пожарный насос</w:t>
      </w:r>
    </w:p>
    <w:bookmarkEnd w:id="7155"/>
    <w:bookmarkStart w:name="z7168" w:id="7156"/>
    <w:p>
      <w:pPr>
        <w:spacing w:after="0"/>
        <w:ind w:left="0"/>
        <w:jc w:val="both"/>
      </w:pPr>
      <w:r>
        <w:rPr>
          <w:rFonts w:ascii="Times New Roman"/>
          <w:b w:val="false"/>
          <w:i w:val="false"/>
          <w:color w:val="000000"/>
          <w:sz w:val="28"/>
        </w:rPr>
        <w:t>
      2309. В качестве привода аварийного насоса допускается использовать дизельный двигатель или электродвигатель, получающий питание от аварийного источника энергии.</w:t>
      </w:r>
    </w:p>
    <w:bookmarkEnd w:id="7156"/>
    <w:bookmarkStart w:name="z7169" w:id="7157"/>
    <w:p>
      <w:pPr>
        <w:spacing w:after="0"/>
        <w:ind w:left="0"/>
        <w:jc w:val="both"/>
      </w:pPr>
      <w:r>
        <w:rPr>
          <w:rFonts w:ascii="Times New Roman"/>
          <w:b w:val="false"/>
          <w:i w:val="false"/>
          <w:color w:val="000000"/>
          <w:sz w:val="28"/>
        </w:rPr>
        <w:t>
      2310. Насос, источники энергии для его привода и приемные кингстоны должны быть расположены таким образом, чтобы они не вышли из строя при возникновении пожара в помещениях, где расположены основные пожарные насосы.</w:t>
      </w:r>
    </w:p>
    <w:bookmarkEnd w:id="7157"/>
    <w:bookmarkStart w:name="z7170" w:id="7158"/>
    <w:p>
      <w:pPr>
        <w:spacing w:after="0"/>
        <w:ind w:left="0"/>
        <w:jc w:val="both"/>
      </w:pPr>
      <w:r>
        <w:rPr>
          <w:rFonts w:ascii="Times New Roman"/>
          <w:b w:val="false"/>
          <w:i w:val="false"/>
          <w:color w:val="000000"/>
          <w:sz w:val="28"/>
        </w:rPr>
        <w:t>
      Аварийный пожарный насос, его кингстон, приемный патрубок трубопровода, нагнетательный трубопровод и отсечные клапаны должны располагаться вне машинного помещения. Если такое устройство не может быть выполнено, кингстонную коробку допускается устанавливать в машинном помещении, если клапан управляется дистанционно с места, расположенного в том же отсеке, где находится аварийный пожарный насос, а приемный патрубок является коротким, насколько это практически возможно. Короткие патрубки приемного или нагнетательного трубопроводов могут проходить в машинном помещении при условии, что они выгорожены прочным стальным кожухом или изолируются по типу А-60. Они должны быть сварными, за исключением фланцевого соединения с кингстонным клапаном, и иметь толщину не менее 11 мм.</w:t>
      </w:r>
    </w:p>
    <w:bookmarkEnd w:id="7158"/>
    <w:bookmarkStart w:name="z7171" w:id="7159"/>
    <w:p>
      <w:pPr>
        <w:spacing w:after="0"/>
        <w:ind w:left="0"/>
        <w:jc w:val="both"/>
      </w:pPr>
      <w:r>
        <w:rPr>
          <w:rFonts w:ascii="Times New Roman"/>
          <w:b w:val="false"/>
          <w:i w:val="false"/>
          <w:color w:val="000000"/>
          <w:sz w:val="28"/>
        </w:rPr>
        <w:t>
      Расположение насоса и его привода должно обеспечивать свободный доступ к ним для обслуживания и ремонта.</w:t>
      </w:r>
    </w:p>
    <w:bookmarkEnd w:id="7159"/>
    <w:bookmarkStart w:name="z7172" w:id="7160"/>
    <w:p>
      <w:pPr>
        <w:spacing w:after="0"/>
        <w:ind w:left="0"/>
        <w:jc w:val="both"/>
      </w:pPr>
      <w:r>
        <w:rPr>
          <w:rFonts w:ascii="Times New Roman"/>
          <w:b w:val="false"/>
          <w:i w:val="false"/>
          <w:color w:val="000000"/>
          <w:sz w:val="28"/>
        </w:rPr>
        <w:t>
      2311. Если насос устанавливается выше наиболее низкой ватерлинии, возможной в условиях эксплуатации судна, предусматриваются надежные самовсасывающие устройства.</w:t>
      </w:r>
    </w:p>
    <w:bookmarkEnd w:id="7160"/>
    <w:bookmarkStart w:name="z7173" w:id="7161"/>
    <w:p>
      <w:pPr>
        <w:spacing w:after="0"/>
        <w:ind w:left="0"/>
        <w:jc w:val="both"/>
      </w:pPr>
      <w:r>
        <w:rPr>
          <w:rFonts w:ascii="Times New Roman"/>
          <w:b w:val="false"/>
          <w:i w:val="false"/>
          <w:color w:val="000000"/>
          <w:sz w:val="28"/>
        </w:rPr>
        <w:t>
      В условиях крена и дифферента, бортовой и килевой качки, которые могут возникнуть в процессе эксплуатации судна, общая высота всасывания и чистая положительная высота всасывания насоса должны обеспечено выполнение требований пункта 2314 настоящих Правил.</w:t>
      </w:r>
    </w:p>
    <w:bookmarkEnd w:id="7161"/>
    <w:bookmarkStart w:name="z7174" w:id="7162"/>
    <w:p>
      <w:pPr>
        <w:spacing w:after="0"/>
        <w:ind w:left="0"/>
        <w:jc w:val="both"/>
      </w:pPr>
      <w:r>
        <w:rPr>
          <w:rFonts w:ascii="Times New Roman"/>
          <w:b w:val="false"/>
          <w:i w:val="false"/>
          <w:color w:val="000000"/>
          <w:sz w:val="28"/>
        </w:rPr>
        <w:t>
      Расчетными условиями для выполнения этих положений являются:</w:t>
      </w:r>
    </w:p>
    <w:bookmarkEnd w:id="7162"/>
    <w:bookmarkStart w:name="z7175" w:id="7163"/>
    <w:p>
      <w:pPr>
        <w:spacing w:after="0"/>
        <w:ind w:left="0"/>
        <w:jc w:val="both"/>
      </w:pPr>
      <w:r>
        <w:rPr>
          <w:rFonts w:ascii="Times New Roman"/>
          <w:b w:val="false"/>
          <w:i w:val="false"/>
          <w:color w:val="000000"/>
          <w:sz w:val="28"/>
        </w:rPr>
        <w:t>
      Данные крена и деферента, указанные в приложении 289 настоящих Правил. Если длина судна превышает 100 м, дифферент может быть принят как 500/</w:t>
      </w:r>
      <w:r>
        <w:rPr>
          <w:rFonts w:ascii="Times New Roman"/>
          <w:b w:val="false"/>
          <w:i/>
          <w:color w:val="000000"/>
          <w:sz w:val="28"/>
        </w:rPr>
        <w:t>L6</w:t>
      </w: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судна (параграф 3 главы 8 настоящих Правил);</w:t>
      </w:r>
    </w:p>
    <w:bookmarkEnd w:id="7163"/>
    <w:bookmarkStart w:name="z7176" w:id="7164"/>
    <w:p>
      <w:pPr>
        <w:spacing w:after="0"/>
        <w:ind w:left="0"/>
        <w:jc w:val="both"/>
      </w:pPr>
      <w:r>
        <w:rPr>
          <w:rFonts w:ascii="Times New Roman"/>
          <w:b w:val="false"/>
          <w:i w:val="false"/>
          <w:color w:val="000000"/>
          <w:sz w:val="28"/>
        </w:rPr>
        <w:t>
      Вариант нагрузки, когда судна без груза или балласта, с 10 % запасов и остатков топлива (без учета крена и дифферента).</w:t>
      </w:r>
    </w:p>
    <w:bookmarkEnd w:id="7164"/>
    <w:bookmarkStart w:name="z7177" w:id="7165"/>
    <w:p>
      <w:pPr>
        <w:spacing w:after="0"/>
        <w:ind w:left="0"/>
        <w:jc w:val="both"/>
      </w:pPr>
      <w:r>
        <w:rPr>
          <w:rFonts w:ascii="Times New Roman"/>
          <w:b w:val="false"/>
          <w:i w:val="false"/>
          <w:color w:val="000000"/>
          <w:sz w:val="28"/>
        </w:rPr>
        <w:t>
      Судна в балласте при входе в сухой док и выходе из него может не рассматриваться как находящееся в эксплуатации.</w:t>
      </w:r>
    </w:p>
    <w:bookmarkEnd w:id="7165"/>
    <w:bookmarkStart w:name="z7178" w:id="7166"/>
    <w:p>
      <w:pPr>
        <w:spacing w:after="0"/>
        <w:ind w:left="0"/>
        <w:jc w:val="both"/>
      </w:pPr>
      <w:r>
        <w:rPr>
          <w:rFonts w:ascii="Times New Roman"/>
          <w:b w:val="false"/>
          <w:i w:val="false"/>
          <w:color w:val="000000"/>
          <w:sz w:val="28"/>
        </w:rPr>
        <w:t>
      2312. Помещение, в котором находится пожарный насос, не должно примыкать к границам машинных помещений категорий А или к тем помещениям, в которых находятся основные пожарные насосы. Там, где вышеуказанное практически невозможно, общая переборка между этими двумя помещениями должна отвечать требованиям приложения 274 настоящих Правил для постов управления.</w:t>
      </w:r>
    </w:p>
    <w:bookmarkEnd w:id="7166"/>
    <w:bookmarkStart w:name="z7179" w:id="7167"/>
    <w:p>
      <w:pPr>
        <w:spacing w:after="0"/>
        <w:ind w:left="0"/>
        <w:jc w:val="both"/>
      </w:pPr>
      <w:r>
        <w:rPr>
          <w:rFonts w:ascii="Times New Roman"/>
          <w:b w:val="false"/>
          <w:i w:val="false"/>
          <w:color w:val="000000"/>
          <w:sz w:val="28"/>
        </w:rPr>
        <w:t>
      В случае, если доступ в помещение аварийного пожарного насоса обеспечивается через какое-либо помещение, примыкающее к машинному помещению категории А или к помещению, содержащему основные пожарные насосы, конструкции, образующие границы между этим помещением и машинным помещением категории А или помещением, содержащим основные пожарные насосы, должны быть типа А-60.</w:t>
      </w:r>
    </w:p>
    <w:bookmarkEnd w:id="7167"/>
    <w:bookmarkStart w:name="z7180" w:id="7168"/>
    <w:p>
      <w:pPr>
        <w:spacing w:after="0"/>
        <w:ind w:left="0"/>
        <w:jc w:val="both"/>
      </w:pPr>
      <w:r>
        <w:rPr>
          <w:rFonts w:ascii="Times New Roman"/>
          <w:b w:val="false"/>
          <w:i w:val="false"/>
          <w:color w:val="000000"/>
          <w:sz w:val="28"/>
        </w:rPr>
        <w:t>
      Не допускается наличие доступа из машинного помещения непосредственно в помещение аварийного пожарного насоса и его источника энергии. Когда это практически невозможно, допускается такое расположение, при котором доступ осуществляется через тамбур, где дверь машинного помещения выполняется типа А-60, а вторая дверь изготавливается, по меньшей мере, из стали, обе двери которого являются самозакрывающимися, либо через водонепроницаемую дверь, управление которой возможно из помещения, удаленного от машинного помещения и помещения аварийного пожарного насоса, и которое не будет отрезано при пожаре в этих помещениях. В таких случаях предусматривается второй доступ в помещение аварийного насоса и его источника энергии.</w:t>
      </w:r>
    </w:p>
    <w:bookmarkEnd w:id="7168"/>
    <w:bookmarkStart w:name="z7181" w:id="7169"/>
    <w:p>
      <w:pPr>
        <w:spacing w:after="0"/>
        <w:ind w:left="0"/>
        <w:jc w:val="both"/>
      </w:pPr>
      <w:r>
        <w:rPr>
          <w:rFonts w:ascii="Times New Roman"/>
          <w:b w:val="false"/>
          <w:i w:val="false"/>
          <w:color w:val="000000"/>
          <w:sz w:val="28"/>
        </w:rPr>
        <w:t>
      Указанные двери не должны иметь устройств, удерживающих их в открытом положении.</w:t>
      </w:r>
    </w:p>
    <w:bookmarkEnd w:id="7169"/>
    <w:bookmarkStart w:name="z7182" w:id="7170"/>
    <w:p>
      <w:pPr>
        <w:spacing w:after="0"/>
        <w:ind w:left="0"/>
        <w:jc w:val="both"/>
      </w:pPr>
      <w:r>
        <w:rPr>
          <w:rFonts w:ascii="Times New Roman"/>
          <w:b w:val="false"/>
          <w:i w:val="false"/>
          <w:color w:val="000000"/>
          <w:sz w:val="28"/>
        </w:rPr>
        <w:t>
      2313. Любой источник энергии с дизельным приводом, питающий аварийный пожарный насос, должен быть способен легко запускаться вручную из холодного состояния при температуре вплоть до 0</w:t>
      </w:r>
      <w:r>
        <w:rPr>
          <w:rFonts w:ascii="Times New Roman"/>
          <w:b w:val="false"/>
          <w:i w:val="false"/>
          <w:color w:val="000000"/>
          <w:vertAlign w:val="superscript"/>
        </w:rPr>
        <w:t>о</w:t>
      </w:r>
      <w:r>
        <w:rPr>
          <w:rFonts w:ascii="Times New Roman"/>
          <w:b w:val="false"/>
          <w:i w:val="false"/>
          <w:color w:val="000000"/>
          <w:sz w:val="28"/>
        </w:rPr>
        <w:t>С. Если этот источник энергии установлен в необогреваемом помещении, то он обеспечивается средствами электрического подогрева охлаждающей воды или смазочного масла, обеспечивающими его быстрый пуск. Если ручной пуск этого источника энергии практически невозможен, то по согласованию с Регистром судоходства, применяются стартерные устройства или другие средства его пуска, работающие от сжатого воздуха, гидравлической энергии. Эти средства должны быть такими, чтобы источник энергии мог запускаться, по меньшей мере, шесть раз в течение 30 мин и, по меньшей мере, дважды в течение первых 10 мин.</w:t>
      </w:r>
    </w:p>
    <w:bookmarkEnd w:id="7170"/>
    <w:bookmarkStart w:name="z7183" w:id="7171"/>
    <w:p>
      <w:pPr>
        <w:spacing w:after="0"/>
        <w:ind w:left="0"/>
        <w:jc w:val="both"/>
      </w:pPr>
      <w:r>
        <w:rPr>
          <w:rFonts w:ascii="Times New Roman"/>
          <w:b w:val="false"/>
          <w:i w:val="false"/>
          <w:color w:val="000000"/>
          <w:sz w:val="28"/>
        </w:rPr>
        <w:t>
      Расходная топливная цистерна для привода насоса должна содержать топливо в количестве, достаточном для работы насоса при полной загрузке в течение не менее трех часов. Кроме того, вне машинного помещения категории А должны иметься запасы топлива, достаточные для работы насоса при полной загрузке дополнительно в течение 15 ч.</w:t>
      </w:r>
    </w:p>
    <w:bookmarkEnd w:id="7171"/>
    <w:bookmarkStart w:name="z7184" w:id="7172"/>
    <w:p>
      <w:pPr>
        <w:spacing w:after="0"/>
        <w:ind w:left="0"/>
        <w:jc w:val="both"/>
      </w:pPr>
      <w:r>
        <w:rPr>
          <w:rFonts w:ascii="Times New Roman"/>
          <w:b w:val="false"/>
          <w:i w:val="false"/>
          <w:color w:val="000000"/>
          <w:sz w:val="28"/>
        </w:rPr>
        <w:t>
      2314. Подача аварийного насоса должна быть достаточной для обеспечения одновременной работы двух ручных стволов с наибольшим диаметром насадки, принятой для данного судна, при давлении, соответствующем требованиям приложения 274 настоящих Правил, и должна быть не менее 40 % общей требуемой подачи пожарных насосов, с учетом пункта 2288 настоящих Правил.</w:t>
      </w:r>
    </w:p>
    <w:bookmarkEnd w:id="7172"/>
    <w:bookmarkStart w:name="z7185" w:id="7173"/>
    <w:p>
      <w:pPr>
        <w:spacing w:after="0"/>
        <w:ind w:left="0"/>
        <w:jc w:val="both"/>
      </w:pPr>
      <w:r>
        <w:rPr>
          <w:rFonts w:ascii="Times New Roman"/>
          <w:b w:val="false"/>
          <w:i w:val="false"/>
          <w:color w:val="000000"/>
          <w:sz w:val="28"/>
        </w:rPr>
        <w:t>
      2315. Если аварийный пожарный насос используется в качестве основного источника подачи воды в стационарную систему пожаротушения, защищающую помещение, в котором установлены основные пожарные насоса, его подача должна быть достаточной для обеспечения работы такой системы и дополнительно подачи воды согласно пункту 2414 настоящих Правил.</w:t>
      </w:r>
    </w:p>
    <w:bookmarkEnd w:id="7173"/>
    <w:bookmarkStart w:name="z7186" w:id="7174"/>
    <w:p>
      <w:pPr>
        <w:spacing w:after="0"/>
        <w:ind w:left="0"/>
        <w:jc w:val="left"/>
      </w:pPr>
      <w:r>
        <w:rPr>
          <w:rFonts w:ascii="Times New Roman"/>
          <w:b/>
          <w:i w:val="false"/>
          <w:color w:val="000000"/>
        </w:rPr>
        <w:t xml:space="preserve"> Параграф 5. Трубопроводы</w:t>
      </w:r>
    </w:p>
    <w:bookmarkEnd w:id="7174"/>
    <w:bookmarkStart w:name="z7187" w:id="7175"/>
    <w:p>
      <w:pPr>
        <w:spacing w:after="0"/>
        <w:ind w:left="0"/>
        <w:jc w:val="both"/>
      </w:pPr>
      <w:r>
        <w:rPr>
          <w:rFonts w:ascii="Times New Roman"/>
          <w:b w:val="false"/>
          <w:i w:val="false"/>
          <w:color w:val="000000"/>
          <w:sz w:val="28"/>
        </w:rPr>
        <w:t>
      2316. Диаметр пожарной магистрали и ее отростков должен быть достаточным для эффективного распределения воды при максимально требуемой подаче двух одновременно работающих пожарных насосов. На грузовых судах достаточно, чтобы их диаметр обеспечивал подачу только 140 м</w:t>
      </w:r>
      <w:r>
        <w:rPr>
          <w:rFonts w:ascii="Times New Roman"/>
          <w:b w:val="false"/>
          <w:i w:val="false"/>
          <w:color w:val="000000"/>
          <w:vertAlign w:val="superscript"/>
        </w:rPr>
        <w:t>3</w:t>
      </w:r>
      <w:r>
        <w:rPr>
          <w:rFonts w:ascii="Times New Roman"/>
          <w:b w:val="false"/>
          <w:i w:val="false"/>
          <w:color w:val="000000"/>
          <w:sz w:val="28"/>
        </w:rPr>
        <w:t>/ч.</w:t>
      </w:r>
    </w:p>
    <w:bookmarkEnd w:id="7175"/>
    <w:bookmarkStart w:name="z7188" w:id="7176"/>
    <w:p>
      <w:pPr>
        <w:spacing w:after="0"/>
        <w:ind w:left="0"/>
        <w:jc w:val="both"/>
      </w:pPr>
      <w:r>
        <w:rPr>
          <w:rFonts w:ascii="Times New Roman"/>
          <w:b w:val="false"/>
          <w:i w:val="false"/>
          <w:color w:val="000000"/>
          <w:sz w:val="28"/>
        </w:rPr>
        <w:t>
      На судах валовой вместимостью 500 и более и плавкранах (пункт 2321 настоящих Правил) трубопроводы водопожарной системы должны быть рассчитаны на рабочее давление не менее 1 МПа.</w:t>
      </w:r>
    </w:p>
    <w:bookmarkEnd w:id="7176"/>
    <w:bookmarkStart w:name="z7189" w:id="7177"/>
    <w:p>
      <w:pPr>
        <w:spacing w:after="0"/>
        <w:ind w:left="0"/>
        <w:jc w:val="both"/>
      </w:pPr>
      <w:r>
        <w:rPr>
          <w:rFonts w:ascii="Times New Roman"/>
          <w:b w:val="false"/>
          <w:i w:val="false"/>
          <w:color w:val="000000"/>
          <w:sz w:val="28"/>
        </w:rPr>
        <w:t>
      2317. Трубопроводы водопожарной системы, выходящие на открытые палубы или в неотапливаемые помещения, для предотвращения замерзания должны оборудоваться запорной арматурой, устанавливаемой в отапливаемых помещениях, и устройствами для спуска воды.</w:t>
      </w:r>
    </w:p>
    <w:bookmarkEnd w:id="7177"/>
    <w:bookmarkStart w:name="z7190" w:id="7178"/>
    <w:p>
      <w:pPr>
        <w:spacing w:after="0"/>
        <w:ind w:left="0"/>
        <w:jc w:val="both"/>
      </w:pPr>
      <w:r>
        <w:rPr>
          <w:rFonts w:ascii="Times New Roman"/>
          <w:b w:val="false"/>
          <w:i w:val="false"/>
          <w:color w:val="000000"/>
          <w:sz w:val="28"/>
        </w:rPr>
        <w:t>
      2318. У каждого пожарного насоса на приемной и напорной трубах устанавливаются запорные клапаны.</w:t>
      </w:r>
    </w:p>
    <w:bookmarkEnd w:id="7178"/>
    <w:bookmarkStart w:name="z7191" w:id="7179"/>
    <w:p>
      <w:pPr>
        <w:spacing w:after="0"/>
        <w:ind w:left="0"/>
        <w:jc w:val="both"/>
      </w:pPr>
      <w:r>
        <w:rPr>
          <w:rFonts w:ascii="Times New Roman"/>
          <w:b w:val="false"/>
          <w:i w:val="false"/>
          <w:color w:val="000000"/>
          <w:sz w:val="28"/>
        </w:rPr>
        <w:t>
      На приемных трубах допускается установка клинкетов.</w:t>
      </w:r>
    </w:p>
    <w:bookmarkEnd w:id="7179"/>
    <w:bookmarkStart w:name="z7192" w:id="7180"/>
    <w:p>
      <w:pPr>
        <w:spacing w:after="0"/>
        <w:ind w:left="0"/>
        <w:jc w:val="both"/>
      </w:pPr>
      <w:r>
        <w:rPr>
          <w:rFonts w:ascii="Times New Roman"/>
          <w:b w:val="false"/>
          <w:i w:val="false"/>
          <w:color w:val="000000"/>
          <w:sz w:val="28"/>
        </w:rPr>
        <w:t>
      На судах валовой вместимостью 500 и более клапаны на напорных трубах насосов должны быть невозвратно-запорного типа.</w:t>
      </w:r>
    </w:p>
    <w:bookmarkEnd w:id="7180"/>
    <w:bookmarkStart w:name="z7193" w:id="7181"/>
    <w:p>
      <w:pPr>
        <w:spacing w:after="0"/>
        <w:ind w:left="0"/>
        <w:jc w:val="both"/>
      </w:pPr>
      <w:r>
        <w:rPr>
          <w:rFonts w:ascii="Times New Roman"/>
          <w:b w:val="false"/>
          <w:i w:val="false"/>
          <w:color w:val="000000"/>
          <w:sz w:val="28"/>
        </w:rPr>
        <w:t>
      2319. На нефтеналивных судах водопожарная система должна отвечать следующим дополнительным требованиям:</w:t>
      </w:r>
    </w:p>
    <w:bookmarkEnd w:id="7181"/>
    <w:bookmarkStart w:name="z7194" w:id="7182"/>
    <w:p>
      <w:pPr>
        <w:spacing w:after="0"/>
        <w:ind w:left="0"/>
        <w:jc w:val="both"/>
      </w:pPr>
      <w:r>
        <w:rPr>
          <w:rFonts w:ascii="Times New Roman"/>
          <w:b w:val="false"/>
          <w:i w:val="false"/>
          <w:color w:val="000000"/>
          <w:sz w:val="28"/>
        </w:rPr>
        <w:t>
      1) на магистральном трубопроводе перед выходом из кормовой надстройки и в легкодоступных местах на палубе грузовых танков с интервалом не более 40 м должны быть установлены отсечные клапаны;</w:t>
      </w:r>
    </w:p>
    <w:bookmarkEnd w:id="7182"/>
    <w:bookmarkStart w:name="z7195" w:id="7183"/>
    <w:p>
      <w:pPr>
        <w:spacing w:after="0"/>
        <w:ind w:left="0"/>
        <w:jc w:val="both"/>
      </w:pPr>
      <w:r>
        <w:rPr>
          <w:rFonts w:ascii="Times New Roman"/>
          <w:b w:val="false"/>
          <w:i w:val="false"/>
          <w:color w:val="000000"/>
          <w:sz w:val="28"/>
        </w:rPr>
        <w:t>
      каждый клапан на открытой палубе снабжается табличкой с надписью о том, что в обычных условиях эксплуатации клапан должен быть постоянно открыт;</w:t>
      </w:r>
    </w:p>
    <w:bookmarkEnd w:id="7183"/>
    <w:bookmarkStart w:name="z7196" w:id="7184"/>
    <w:p>
      <w:pPr>
        <w:spacing w:after="0"/>
        <w:ind w:left="0"/>
        <w:jc w:val="both"/>
      </w:pPr>
      <w:r>
        <w:rPr>
          <w:rFonts w:ascii="Times New Roman"/>
          <w:b w:val="false"/>
          <w:i w:val="false"/>
          <w:color w:val="000000"/>
          <w:sz w:val="28"/>
        </w:rPr>
        <w:t>
      2) перед каждым отсечным клапаном на магистрали должны быть установлены сдвоенные пожарные краны диаметром около 70 мм с таким расчетом, чтобы расстояние между сдвоенными кранами по длине судна было равномерным и обеспечивало выполнение требования пункта 2324 настоящих Правил;</w:t>
      </w:r>
    </w:p>
    <w:bookmarkEnd w:id="7184"/>
    <w:bookmarkStart w:name="z7197" w:id="7185"/>
    <w:p>
      <w:pPr>
        <w:spacing w:after="0"/>
        <w:ind w:left="0"/>
        <w:jc w:val="both"/>
      </w:pPr>
      <w:r>
        <w:rPr>
          <w:rFonts w:ascii="Times New Roman"/>
          <w:b w:val="false"/>
          <w:i w:val="false"/>
          <w:color w:val="000000"/>
          <w:sz w:val="28"/>
        </w:rPr>
        <w:t xml:space="preserve">
      3) перед отсечным клапаном в надстройке юта должно быть сделано по одному отводу от водопожарной магистрали, выведенному на носовую часть палубы юта с каждого борта; </w:t>
      </w:r>
    </w:p>
    <w:bookmarkEnd w:id="7185"/>
    <w:bookmarkStart w:name="z7198" w:id="7186"/>
    <w:p>
      <w:pPr>
        <w:spacing w:after="0"/>
        <w:ind w:left="0"/>
        <w:jc w:val="both"/>
      </w:pPr>
      <w:r>
        <w:rPr>
          <w:rFonts w:ascii="Times New Roman"/>
          <w:b w:val="false"/>
          <w:i w:val="false"/>
          <w:color w:val="000000"/>
          <w:sz w:val="28"/>
        </w:rPr>
        <w:t>
      при этом диаметр каждого отвода должен быть достаточным для одновременной подачи воды через два рукава, подсоединяемые к двум кранам, установленным на конце каждого отвода; на судах валовой вместимостью 1000 и более каждый кран должен иметь диаметр около 70 мм, а на судах меньшей валовой вместимости — около 50 мм.</w:t>
      </w:r>
    </w:p>
    <w:bookmarkEnd w:id="7186"/>
    <w:bookmarkStart w:name="z7199" w:id="7187"/>
    <w:p>
      <w:pPr>
        <w:spacing w:after="0"/>
        <w:ind w:left="0"/>
        <w:jc w:val="both"/>
      </w:pPr>
      <w:r>
        <w:rPr>
          <w:rFonts w:ascii="Times New Roman"/>
          <w:b w:val="false"/>
          <w:i w:val="false"/>
          <w:color w:val="000000"/>
          <w:sz w:val="28"/>
        </w:rPr>
        <w:t>
      Если пожарные насосы располагаются в нос от грузовых танков, аналогичные два отвода такого же диаметра, как указано выше, должны быть сделаны от магистрали и на кормовой части палубы надстройки бака;</w:t>
      </w:r>
    </w:p>
    <w:bookmarkEnd w:id="7187"/>
    <w:bookmarkStart w:name="z7200" w:id="7188"/>
    <w:p>
      <w:pPr>
        <w:spacing w:after="0"/>
        <w:ind w:left="0"/>
        <w:jc w:val="both"/>
      </w:pPr>
      <w:r>
        <w:rPr>
          <w:rFonts w:ascii="Times New Roman"/>
          <w:b w:val="false"/>
          <w:i w:val="false"/>
          <w:color w:val="000000"/>
          <w:sz w:val="28"/>
        </w:rPr>
        <w:t>
      при этом на магистрали в пределах надстройки после отводов устанавливается отсечный клапан.</w:t>
      </w:r>
    </w:p>
    <w:bookmarkEnd w:id="7188"/>
    <w:bookmarkStart w:name="z7201" w:id="7189"/>
    <w:p>
      <w:pPr>
        <w:spacing w:after="0"/>
        <w:ind w:left="0"/>
        <w:jc w:val="both"/>
      </w:pPr>
      <w:r>
        <w:rPr>
          <w:rFonts w:ascii="Times New Roman"/>
          <w:b w:val="false"/>
          <w:i w:val="false"/>
          <w:color w:val="000000"/>
          <w:sz w:val="28"/>
        </w:rPr>
        <w:t>
      2320. На катамаранах и подобных им судах каждый корпус судна оборудуется водопожарной магистралью с кранами, рукавами и стволами.</w:t>
      </w:r>
    </w:p>
    <w:bookmarkEnd w:id="7189"/>
    <w:bookmarkStart w:name="z7202" w:id="7190"/>
    <w:p>
      <w:pPr>
        <w:spacing w:after="0"/>
        <w:ind w:left="0"/>
        <w:jc w:val="both"/>
      </w:pPr>
      <w:r>
        <w:rPr>
          <w:rFonts w:ascii="Times New Roman"/>
          <w:b w:val="false"/>
          <w:i w:val="false"/>
          <w:color w:val="000000"/>
          <w:sz w:val="28"/>
        </w:rPr>
        <w:t>
      2321. На всех судах валовой вместимостью 500 и более и плавкранах на открытой палубе с каждого борта водопожарная магистраль должна иметь средства для подключения международного берегового соединения (пункт 2536 настоящих Правил).</w:t>
      </w:r>
    </w:p>
    <w:bookmarkEnd w:id="7190"/>
    <w:bookmarkStart w:name="z7203" w:id="7191"/>
    <w:p>
      <w:pPr>
        <w:spacing w:after="0"/>
        <w:ind w:left="0"/>
        <w:jc w:val="both"/>
      </w:pPr>
      <w:r>
        <w:rPr>
          <w:rFonts w:ascii="Times New Roman"/>
          <w:b w:val="false"/>
          <w:i w:val="false"/>
          <w:color w:val="000000"/>
          <w:sz w:val="28"/>
        </w:rPr>
        <w:t>
      2322. Для отключения трубопровода, расположенного в машинном помещении категории А, в котором находятся пожарный насос (или насосы), магистрали, расположенной за его пределами, на трубопроводах, подводящих воду в машинное отделение, устанавливаются разобщительные клапаны в легкодоступных местах (вне машинного помещения).</w:t>
      </w:r>
    </w:p>
    <w:bookmarkEnd w:id="7191"/>
    <w:bookmarkStart w:name="z7204" w:id="7192"/>
    <w:p>
      <w:pPr>
        <w:spacing w:after="0"/>
        <w:ind w:left="0"/>
        <w:jc w:val="both"/>
      </w:pPr>
      <w:r>
        <w:rPr>
          <w:rFonts w:ascii="Times New Roman"/>
          <w:b w:val="false"/>
          <w:i w:val="false"/>
          <w:color w:val="000000"/>
          <w:sz w:val="28"/>
        </w:rPr>
        <w:t>
      Водопожарная магистраль прокладывается таким образом, чтобы закрытие этих клапанов не препятствовало поступлению воды от другого пожарного насоса, расположенного вне указанного машинного помещения, ко всем пожарным кранам, судна, кроме кранов, установленных на трубопроводе, отключаемом от подачи воды.</w:t>
      </w:r>
    </w:p>
    <w:bookmarkEnd w:id="7192"/>
    <w:bookmarkStart w:name="z7205" w:id="7193"/>
    <w:p>
      <w:pPr>
        <w:spacing w:after="0"/>
        <w:ind w:left="0"/>
        <w:jc w:val="both"/>
      </w:pPr>
      <w:r>
        <w:rPr>
          <w:rFonts w:ascii="Times New Roman"/>
          <w:b w:val="false"/>
          <w:i w:val="false"/>
          <w:color w:val="000000"/>
          <w:sz w:val="28"/>
        </w:rPr>
        <w:t>
      Для аварийного пожарного насоса допускается прокладка коротких участков напорного и всасывающего трубопроводов через машинные помещения, если их прокладка в обход помещения практически невозможна, и при условии, что для обеспечения целостности пожарной магистрали такие трубопроводы будут заключены в прочный стальной кожух.</w:t>
      </w:r>
    </w:p>
    <w:bookmarkEnd w:id="7193"/>
    <w:bookmarkStart w:name="z7206" w:id="7194"/>
    <w:p>
      <w:pPr>
        <w:spacing w:after="0"/>
        <w:ind w:left="0"/>
        <w:jc w:val="left"/>
      </w:pPr>
      <w:r>
        <w:rPr>
          <w:rFonts w:ascii="Times New Roman"/>
          <w:b/>
          <w:i w:val="false"/>
          <w:color w:val="000000"/>
        </w:rPr>
        <w:t xml:space="preserve"> Параграф 6. Пожарные краны</w:t>
      </w:r>
    </w:p>
    <w:bookmarkEnd w:id="7194"/>
    <w:bookmarkStart w:name="z7207" w:id="7195"/>
    <w:p>
      <w:pPr>
        <w:spacing w:after="0"/>
        <w:ind w:left="0"/>
        <w:jc w:val="both"/>
      </w:pPr>
      <w:r>
        <w:rPr>
          <w:rFonts w:ascii="Times New Roman"/>
          <w:b w:val="false"/>
          <w:i w:val="false"/>
          <w:color w:val="000000"/>
          <w:sz w:val="28"/>
        </w:rPr>
        <w:t>
      2323. Каждый пожарный кран оборудуется запорным клапаном и стандартной соединительной головкой быстросмыкающегося типа. Краны, установленные на открытых палубах, также снабжаются быстросмыкающейся головкой-заглушкой либо равноценным устройством.</w:t>
      </w:r>
    </w:p>
    <w:bookmarkEnd w:id="7195"/>
    <w:bookmarkStart w:name="z7208" w:id="7196"/>
    <w:p>
      <w:pPr>
        <w:spacing w:after="0"/>
        <w:ind w:left="0"/>
        <w:jc w:val="both"/>
      </w:pPr>
      <w:r>
        <w:rPr>
          <w:rFonts w:ascii="Times New Roman"/>
          <w:b w:val="false"/>
          <w:i w:val="false"/>
          <w:color w:val="000000"/>
          <w:sz w:val="28"/>
        </w:rPr>
        <w:t>
      2324. Число и размещение пожарных кранов должны быть такими, чтобы по меньшей мере две струи воды от разных кранов, одна из которых подается по рукаву стандартной длины, указанной в подпункте 1) пункта 2522 настоящих Правил, доставали до любой части судна, обычно доступной для пассажиров и экипажа во время плавания, и до любой части любого порожнего грузового помещения, с горизонтальным способом погрузки и выгрузки, а для помещения специальной категории – до любой его части по рукавам стандартной длины. Кроме того, такие краны располагаются у входов в защищаемые помещения. На пассажирских судах количество и расположение пожарных кранов в жилых, служебных и машинных помещениях должна быть таким, чтобы это требование выполнялось, когда все водонепроницаемые двери и двери в главных вертикальных зонах закрыты.</w:t>
      </w:r>
    </w:p>
    <w:bookmarkEnd w:id="7196"/>
    <w:bookmarkStart w:name="z7209" w:id="7197"/>
    <w:p>
      <w:pPr>
        <w:spacing w:after="0"/>
        <w:ind w:left="0"/>
        <w:jc w:val="both"/>
      </w:pPr>
      <w:r>
        <w:rPr>
          <w:rFonts w:ascii="Times New Roman"/>
          <w:b w:val="false"/>
          <w:i w:val="false"/>
          <w:color w:val="000000"/>
          <w:sz w:val="28"/>
        </w:rPr>
        <w:t>
      На открытых палубах для контейнеров подача двух струй воды должна производиться на каждую доступную вертикальную сторону контейнера рукавами стандартной длины.</w:t>
      </w:r>
    </w:p>
    <w:bookmarkEnd w:id="7197"/>
    <w:bookmarkStart w:name="z7210" w:id="7198"/>
    <w:p>
      <w:pPr>
        <w:spacing w:after="0"/>
        <w:ind w:left="0"/>
        <w:jc w:val="both"/>
      </w:pPr>
      <w:r>
        <w:rPr>
          <w:rFonts w:ascii="Times New Roman"/>
          <w:b w:val="false"/>
          <w:i w:val="false"/>
          <w:color w:val="000000"/>
          <w:sz w:val="28"/>
        </w:rPr>
        <w:t>
      2325. Пожарные краны рекомендуется располагать на расстоянии друг от друга более чем на 20 м для внутренних помещений и более чем на 30 м для открытых палуб.</w:t>
      </w:r>
    </w:p>
    <w:bookmarkEnd w:id="7198"/>
    <w:bookmarkStart w:name="z7211" w:id="7199"/>
    <w:p>
      <w:pPr>
        <w:spacing w:after="0"/>
        <w:ind w:left="0"/>
        <w:jc w:val="both"/>
      </w:pPr>
      <w:r>
        <w:rPr>
          <w:rFonts w:ascii="Times New Roman"/>
          <w:b w:val="false"/>
          <w:i w:val="false"/>
          <w:color w:val="000000"/>
          <w:sz w:val="28"/>
        </w:rPr>
        <w:t>
      2326. Не допускается размещать пожарные краны в конце тупиковых коридоров, в специальных электрических помещениях, а также в закрытых и редко посещаемых помещениях.</w:t>
      </w:r>
    </w:p>
    <w:bookmarkEnd w:id="7199"/>
    <w:bookmarkStart w:name="z7212" w:id="7200"/>
    <w:p>
      <w:pPr>
        <w:spacing w:after="0"/>
        <w:ind w:left="0"/>
        <w:jc w:val="both"/>
      </w:pPr>
      <w:r>
        <w:rPr>
          <w:rFonts w:ascii="Times New Roman"/>
          <w:b w:val="false"/>
          <w:i w:val="false"/>
          <w:color w:val="000000"/>
          <w:sz w:val="28"/>
        </w:rPr>
        <w:t>
      2327. На судах, перевозящих палубные грузы, пожарные краны размещают таким образом, чтобы они были всегда легкодоступными, а трубопроводы располагают так, чтобы избежать опасности их повреждения грузом.</w:t>
      </w:r>
    </w:p>
    <w:bookmarkEnd w:id="7200"/>
    <w:bookmarkStart w:name="z7213" w:id="7201"/>
    <w:p>
      <w:pPr>
        <w:spacing w:after="0"/>
        <w:ind w:left="0"/>
        <w:jc w:val="both"/>
      </w:pPr>
      <w:r>
        <w:rPr>
          <w:rFonts w:ascii="Times New Roman"/>
          <w:b w:val="false"/>
          <w:i w:val="false"/>
          <w:color w:val="000000"/>
          <w:sz w:val="28"/>
        </w:rPr>
        <w:t>
      2328. В машинном помещении категории А предусматривается не менее двух пожарных кранов. На судах валовой вместимостью менее 500 допускается установка одного такого крана.</w:t>
      </w:r>
    </w:p>
    <w:bookmarkEnd w:id="7201"/>
    <w:bookmarkStart w:name="z7214" w:id="7202"/>
    <w:p>
      <w:pPr>
        <w:spacing w:after="0"/>
        <w:ind w:left="0"/>
        <w:jc w:val="both"/>
      </w:pPr>
      <w:r>
        <w:rPr>
          <w:rFonts w:ascii="Times New Roman"/>
          <w:b w:val="false"/>
          <w:i w:val="false"/>
          <w:color w:val="000000"/>
          <w:sz w:val="28"/>
        </w:rPr>
        <w:t>
      2329. На всех судах устанавливается пожарный кран в носовой части туннелей гребных валов.</w:t>
      </w:r>
    </w:p>
    <w:bookmarkEnd w:id="7202"/>
    <w:bookmarkStart w:name="z7215" w:id="7203"/>
    <w:p>
      <w:pPr>
        <w:spacing w:after="0"/>
        <w:ind w:left="0"/>
        <w:jc w:val="both"/>
      </w:pPr>
      <w:r>
        <w:rPr>
          <w:rFonts w:ascii="Times New Roman"/>
          <w:b w:val="false"/>
          <w:i w:val="false"/>
          <w:color w:val="000000"/>
          <w:sz w:val="28"/>
        </w:rPr>
        <w:t>
      2330. Все пожарные краны окрашивают в красный цвет.</w:t>
      </w:r>
    </w:p>
    <w:bookmarkEnd w:id="7203"/>
    <w:bookmarkStart w:name="z7216" w:id="7204"/>
    <w:p>
      <w:pPr>
        <w:spacing w:after="0"/>
        <w:ind w:left="0"/>
        <w:jc w:val="both"/>
      </w:pPr>
      <w:r>
        <w:rPr>
          <w:rFonts w:ascii="Times New Roman"/>
          <w:b w:val="false"/>
          <w:i w:val="false"/>
          <w:color w:val="000000"/>
          <w:sz w:val="28"/>
        </w:rPr>
        <w:t>
      2331. На пассажирских судах в туннеле гребного вала, являющемся одним из путей эвакуации, вблизи машинного помещения категории А устанавливают два пожарных крана.</w:t>
      </w:r>
    </w:p>
    <w:bookmarkEnd w:id="7204"/>
    <w:bookmarkStart w:name="z7217" w:id="7205"/>
    <w:p>
      <w:pPr>
        <w:spacing w:after="0"/>
        <w:ind w:left="0"/>
        <w:jc w:val="both"/>
      </w:pPr>
      <w:r>
        <w:rPr>
          <w:rFonts w:ascii="Times New Roman"/>
          <w:b w:val="false"/>
          <w:i w:val="false"/>
          <w:color w:val="000000"/>
          <w:sz w:val="28"/>
        </w:rPr>
        <w:t>
      Если одним из путей эвакуации является другое помещение, два пожарных крана устанавливаются в нем у входа в машинное помещение категории А; при этом выполнение указаний пункта 2329 настоящих Правил не требуется.</w:t>
      </w:r>
    </w:p>
    <w:bookmarkEnd w:id="7205"/>
    <w:bookmarkStart w:name="z7218" w:id="7206"/>
    <w:p>
      <w:pPr>
        <w:spacing w:after="0"/>
        <w:ind w:left="0"/>
        <w:jc w:val="left"/>
      </w:pPr>
      <w:r>
        <w:rPr>
          <w:rFonts w:ascii="Times New Roman"/>
          <w:b/>
          <w:i w:val="false"/>
          <w:color w:val="000000"/>
        </w:rPr>
        <w:t xml:space="preserve"> 150. Спринклерная система</w:t>
      </w:r>
    </w:p>
    <w:bookmarkEnd w:id="7206"/>
    <w:p>
      <w:pPr>
        <w:spacing w:after="0"/>
        <w:ind w:left="0"/>
        <w:jc w:val="both"/>
      </w:pPr>
      <w:r>
        <w:rPr>
          <w:rFonts w:ascii="Times New Roman"/>
          <w:b w:val="false"/>
          <w:i w:val="false"/>
          <w:color w:val="ff0000"/>
          <w:sz w:val="28"/>
        </w:rPr>
        <w:t xml:space="preserve">
      Сноска. Заголовок главы 150 -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19" w:id="7207"/>
    <w:p>
      <w:pPr>
        <w:spacing w:after="0"/>
        <w:ind w:left="0"/>
        <w:jc w:val="left"/>
      </w:pPr>
      <w:r>
        <w:rPr>
          <w:rFonts w:ascii="Times New Roman"/>
          <w:b/>
          <w:i w:val="false"/>
          <w:color w:val="000000"/>
        </w:rPr>
        <w:t xml:space="preserve"> Параграф 1. Общие указания</w:t>
      </w:r>
    </w:p>
    <w:bookmarkEnd w:id="7207"/>
    <w:bookmarkStart w:name="z7220" w:id="7208"/>
    <w:p>
      <w:pPr>
        <w:spacing w:after="0"/>
        <w:ind w:left="0"/>
        <w:jc w:val="both"/>
      </w:pPr>
      <w:r>
        <w:rPr>
          <w:rFonts w:ascii="Times New Roman"/>
          <w:b w:val="false"/>
          <w:i w:val="false"/>
          <w:color w:val="000000"/>
          <w:sz w:val="28"/>
        </w:rPr>
        <w:t>
      2332. Трубы системы должны быть постоянно заполнены водой, за исключением небольших наружных секций, которые могут не заполняться, если Регистр судоходства считает это необходимой мерой предосторожности. Любые части системы, которые при эксплуатации могут подвергаться воздействию низких температур, должны быть соответствующим образом защищены от замерзания.</w:t>
      </w:r>
    </w:p>
    <w:bookmarkEnd w:id="7208"/>
    <w:bookmarkStart w:name="z7221" w:id="7209"/>
    <w:p>
      <w:pPr>
        <w:spacing w:after="0"/>
        <w:ind w:left="0"/>
        <w:jc w:val="both"/>
      </w:pPr>
      <w:r>
        <w:rPr>
          <w:rFonts w:ascii="Times New Roman"/>
          <w:b w:val="false"/>
          <w:i w:val="false"/>
          <w:color w:val="000000"/>
          <w:sz w:val="28"/>
        </w:rPr>
        <w:t>
      2333. Спринклерная система автоматически включается при повышении температуры в защищаемом помещении до значений, указынных в пункте 2249 настоящих Правил.</w:t>
      </w:r>
    </w:p>
    <w:bookmarkEnd w:id="7209"/>
    <w:bookmarkStart w:name="z7222" w:id="7210"/>
    <w:p>
      <w:pPr>
        <w:spacing w:after="0"/>
        <w:ind w:left="0"/>
        <w:jc w:val="both"/>
      </w:pPr>
      <w:r>
        <w:rPr>
          <w:rFonts w:ascii="Times New Roman"/>
          <w:b w:val="false"/>
          <w:i w:val="false"/>
          <w:color w:val="000000"/>
          <w:sz w:val="28"/>
        </w:rPr>
        <w:t>
      2334. В спринклерной системы постоянно поддерживается необходимое давление и приняты меры, обеспечивающие непрерывное снабжение системы водой в соответствии с требованиями настоящей главы.</w:t>
      </w:r>
    </w:p>
    <w:bookmarkEnd w:id="7210"/>
    <w:bookmarkStart w:name="z7223" w:id="7211"/>
    <w:p>
      <w:pPr>
        <w:spacing w:after="0"/>
        <w:ind w:left="0"/>
        <w:jc w:val="both"/>
      </w:pPr>
      <w:r>
        <w:rPr>
          <w:rFonts w:ascii="Times New Roman"/>
          <w:b w:val="false"/>
          <w:i w:val="false"/>
          <w:color w:val="000000"/>
          <w:sz w:val="28"/>
        </w:rPr>
        <w:t>
      2335. Воздушный баллон, компрессор, насос и трубопроводы спринклерной системы, за исключением трубопровода, соединяющего сприн-клерную систему с водопожарной, должны быть независимыми от других систем.</w:t>
      </w:r>
    </w:p>
    <w:bookmarkEnd w:id="7211"/>
    <w:bookmarkStart w:name="z7224" w:id="7212"/>
    <w:p>
      <w:pPr>
        <w:spacing w:after="0"/>
        <w:ind w:left="0"/>
        <w:jc w:val="both"/>
      </w:pPr>
      <w:r>
        <w:rPr>
          <w:rFonts w:ascii="Times New Roman"/>
          <w:b w:val="false"/>
          <w:i w:val="false"/>
          <w:color w:val="000000"/>
          <w:sz w:val="28"/>
        </w:rPr>
        <w:t>
      2336. Спринклерный насос и пневмогидравлическая цистерна размещаются вне защищаемых помещений на достаточном расстоянии от машинных помещений категории А. У каждого запорного клапана секции и в центральном посту должен быть предусмотрен манометр, указывающий давление и системе.</w:t>
      </w:r>
    </w:p>
    <w:bookmarkEnd w:id="7212"/>
    <w:bookmarkStart w:name="z7225" w:id="7213"/>
    <w:p>
      <w:pPr>
        <w:spacing w:after="0"/>
        <w:ind w:left="0"/>
        <w:jc w:val="both"/>
      </w:pPr>
      <w:r>
        <w:rPr>
          <w:rFonts w:ascii="Times New Roman"/>
          <w:b w:val="false"/>
          <w:i w:val="false"/>
          <w:color w:val="000000"/>
          <w:sz w:val="28"/>
        </w:rPr>
        <w:t>
      2337. Предусматриваются средства для проверки автоматического включения спринклерного насоса при падении давления в системе.</w:t>
      </w:r>
    </w:p>
    <w:bookmarkEnd w:id="7213"/>
    <w:bookmarkStart w:name="z7226" w:id="7214"/>
    <w:p>
      <w:pPr>
        <w:spacing w:after="0"/>
        <w:ind w:left="0"/>
        <w:jc w:val="both"/>
      </w:pPr>
      <w:r>
        <w:rPr>
          <w:rFonts w:ascii="Times New Roman"/>
          <w:b w:val="false"/>
          <w:i w:val="false"/>
          <w:color w:val="000000"/>
          <w:sz w:val="28"/>
        </w:rPr>
        <w:t>
      2338. При применении спринклерных систем, равноценных системам, указанным в настоящей главе, они должны быть одобрены Регистром судоходства на основе руководства, принятого ИМО резолюцией А.800(19). При одобрении таких систем уделяется особое внимание выполнению требований пунктов 2332 – 2334, 2337, 2339, 2248, 2250 и 2252 настоящих Правил.</w:t>
      </w:r>
    </w:p>
    <w:bookmarkEnd w:id="7214"/>
    <w:bookmarkStart w:name="z7227" w:id="7215"/>
    <w:p>
      <w:pPr>
        <w:spacing w:after="0"/>
        <w:ind w:left="0"/>
        <w:jc w:val="left"/>
      </w:pPr>
      <w:r>
        <w:rPr>
          <w:rFonts w:ascii="Times New Roman"/>
          <w:b/>
          <w:i w:val="false"/>
          <w:color w:val="000000"/>
        </w:rPr>
        <w:t xml:space="preserve"> Параграф 2. Насосы спринклерных систем</w:t>
      </w:r>
    </w:p>
    <w:bookmarkEnd w:id="7215"/>
    <w:bookmarkStart w:name="z7228" w:id="7216"/>
    <w:p>
      <w:pPr>
        <w:spacing w:after="0"/>
        <w:ind w:left="0"/>
        <w:jc w:val="both"/>
      </w:pPr>
      <w:r>
        <w:rPr>
          <w:rFonts w:ascii="Times New Roman"/>
          <w:b w:val="false"/>
          <w:i w:val="false"/>
          <w:color w:val="000000"/>
          <w:sz w:val="28"/>
        </w:rPr>
        <w:t>
      2339. Предусматривается независимый насос, предназначенный исключительно для обеспечения непрерывной автоматической подачи воды через спринклеры. Насос включается автоматически при падении давления в системе до того, как постоянный запас пресной воды в пневмогидравлической цистерне будет полностью израсходован.</w:t>
      </w:r>
    </w:p>
    <w:bookmarkEnd w:id="7216"/>
    <w:bookmarkStart w:name="z7229" w:id="7217"/>
    <w:p>
      <w:pPr>
        <w:spacing w:after="0"/>
        <w:ind w:left="0"/>
        <w:jc w:val="both"/>
      </w:pPr>
      <w:r>
        <w:rPr>
          <w:rFonts w:ascii="Times New Roman"/>
          <w:b w:val="false"/>
          <w:i w:val="false"/>
          <w:color w:val="000000"/>
          <w:sz w:val="28"/>
        </w:rPr>
        <w:t>
      2340. Насос и система трубопроводов обеспечивают поддержание необходимого давления на уровне наиболее высоко расположенного спринклера с таким расчетом, чтобы обеспечить непрерывный расход воды, достаточный для одновременного покрытия площади не менее 280 м</w:t>
      </w:r>
      <w:r>
        <w:rPr>
          <w:rFonts w:ascii="Times New Roman"/>
          <w:b w:val="false"/>
          <w:i w:val="false"/>
          <w:color w:val="000000"/>
          <w:vertAlign w:val="superscript"/>
        </w:rPr>
        <w:t>2</w:t>
      </w:r>
      <w:r>
        <w:rPr>
          <w:rFonts w:ascii="Times New Roman"/>
          <w:b w:val="false"/>
          <w:i w:val="false"/>
          <w:color w:val="000000"/>
          <w:sz w:val="28"/>
        </w:rPr>
        <w:t xml:space="preserve"> при норме, указанной в пункте 2248 настоящих Правил.</w:t>
      </w:r>
    </w:p>
    <w:bookmarkEnd w:id="7217"/>
    <w:bookmarkStart w:name="z7230" w:id="7218"/>
    <w:p>
      <w:pPr>
        <w:spacing w:after="0"/>
        <w:ind w:left="0"/>
        <w:jc w:val="both"/>
      </w:pPr>
      <w:r>
        <w:rPr>
          <w:rFonts w:ascii="Times New Roman"/>
          <w:b w:val="false"/>
          <w:i w:val="false"/>
          <w:color w:val="000000"/>
          <w:sz w:val="28"/>
        </w:rPr>
        <w:t>
      Применительно к судну с общей защищаемой площадью менее 280 м</w:t>
      </w:r>
      <w:r>
        <w:rPr>
          <w:rFonts w:ascii="Times New Roman"/>
          <w:b w:val="false"/>
          <w:i w:val="false"/>
          <w:color w:val="000000"/>
          <w:vertAlign w:val="superscript"/>
        </w:rPr>
        <w:t>2</w:t>
      </w:r>
      <w:r>
        <w:rPr>
          <w:rFonts w:ascii="Times New Roman"/>
          <w:b w:val="false"/>
          <w:i w:val="false"/>
          <w:color w:val="000000"/>
          <w:sz w:val="28"/>
        </w:rPr>
        <w:t xml:space="preserve"> Регистр судоходства может согласовать величину приемлемой площади для выбора характеристик насосов и компонентов системы.</w:t>
      </w:r>
    </w:p>
    <w:bookmarkEnd w:id="7218"/>
    <w:bookmarkStart w:name="z7231" w:id="7219"/>
    <w:p>
      <w:pPr>
        <w:spacing w:after="0"/>
        <w:ind w:left="0"/>
        <w:jc w:val="both"/>
      </w:pPr>
      <w:r>
        <w:rPr>
          <w:rFonts w:ascii="Times New Roman"/>
          <w:b w:val="false"/>
          <w:i w:val="false"/>
          <w:color w:val="000000"/>
          <w:sz w:val="28"/>
        </w:rPr>
        <w:t>
      2341. На напорной стороне насоса устанавливается пробный клапан с отливной трубой с открытым концом. Площадь сечения клапана и трубы должна быть достаточной для того, чтобы пропускать воду в количестве, соответствующем требуемой подаче насоса при поддержании в системе давления, указанного в пункте 2346 настоящих Правил.</w:t>
      </w:r>
    </w:p>
    <w:bookmarkEnd w:id="7219"/>
    <w:bookmarkStart w:name="z7232" w:id="7220"/>
    <w:p>
      <w:pPr>
        <w:spacing w:after="0"/>
        <w:ind w:left="0"/>
        <w:jc w:val="both"/>
      </w:pPr>
      <w:r>
        <w:rPr>
          <w:rFonts w:ascii="Times New Roman"/>
          <w:b w:val="false"/>
          <w:i w:val="false"/>
          <w:color w:val="000000"/>
          <w:sz w:val="28"/>
        </w:rPr>
        <w:t>
      2342. Кингстон для насоса, как правило, должен находиться в том же помещении, что и насос, и быть устроен так, чтобы при эксплуатации судна не было необходимости перекрывать поступление забортной воды к насосу по какой-либо причине, за исключением проверки или ремонта насоса.</w:t>
      </w:r>
    </w:p>
    <w:bookmarkEnd w:id="7220"/>
    <w:bookmarkStart w:name="z7233" w:id="7221"/>
    <w:p>
      <w:pPr>
        <w:spacing w:after="0"/>
        <w:ind w:left="0"/>
        <w:jc w:val="both"/>
      </w:pPr>
      <w:r>
        <w:rPr>
          <w:rFonts w:ascii="Times New Roman"/>
          <w:b w:val="false"/>
          <w:i w:val="false"/>
          <w:color w:val="000000"/>
          <w:sz w:val="28"/>
        </w:rPr>
        <w:t>
      2343. Предусматривается соединение главного питающего трубопровода с магистралью водопожарной системы судна. На соединительном трубопроводе устанавливается запираемый на замок невозвратно-запорный клапан.</w:t>
      </w:r>
    </w:p>
    <w:bookmarkEnd w:id="7221"/>
    <w:bookmarkStart w:name="z7234" w:id="7222"/>
    <w:p>
      <w:pPr>
        <w:spacing w:after="0"/>
        <w:ind w:left="0"/>
        <w:jc w:val="both"/>
      </w:pPr>
      <w:r>
        <w:rPr>
          <w:rFonts w:ascii="Times New Roman"/>
          <w:b w:val="false"/>
          <w:i w:val="false"/>
          <w:color w:val="000000"/>
          <w:sz w:val="28"/>
        </w:rPr>
        <w:t>
      2344. Насос приводится в действие не менее чем от двух источников питания. Если этими источниками питания является электроэнергия, то он получает питание согласно подпункту 5) пункта 4903, пунктов 5723, 5724 и 5729 настоящих Правил.</w:t>
      </w:r>
    </w:p>
    <w:bookmarkEnd w:id="7222"/>
    <w:bookmarkStart w:name="z7235" w:id="7223"/>
    <w:p>
      <w:pPr>
        <w:spacing w:after="0"/>
        <w:ind w:left="0"/>
        <w:jc w:val="both"/>
      </w:pPr>
      <w:r>
        <w:rPr>
          <w:rFonts w:ascii="Times New Roman"/>
          <w:b w:val="false"/>
          <w:i w:val="false"/>
          <w:color w:val="000000"/>
          <w:sz w:val="28"/>
        </w:rPr>
        <w:t>
      Одним из источников питания насоса может быть двигатель внутреннего сгорания, расположенный так (помимо соответствия требованиям пункта 2336 настоящих Правил), чтобы пожар в защищаемом помещении не влиял на подачу воздуха к нему.</w:t>
      </w:r>
    </w:p>
    <w:bookmarkEnd w:id="7223"/>
    <w:bookmarkStart w:name="z7236" w:id="7224"/>
    <w:p>
      <w:pPr>
        <w:spacing w:after="0"/>
        <w:ind w:left="0"/>
        <w:jc w:val="left"/>
      </w:pPr>
      <w:r>
        <w:rPr>
          <w:rFonts w:ascii="Times New Roman"/>
          <w:b/>
          <w:i w:val="false"/>
          <w:color w:val="000000"/>
        </w:rPr>
        <w:t xml:space="preserve"> Параграф 3. Пневмогидравлическая цистерна</w:t>
      </w:r>
    </w:p>
    <w:bookmarkEnd w:id="7224"/>
    <w:bookmarkStart w:name="z7237" w:id="7225"/>
    <w:p>
      <w:pPr>
        <w:spacing w:after="0"/>
        <w:ind w:left="0"/>
        <w:jc w:val="both"/>
      </w:pPr>
      <w:r>
        <w:rPr>
          <w:rFonts w:ascii="Times New Roman"/>
          <w:b w:val="false"/>
          <w:i w:val="false"/>
          <w:color w:val="000000"/>
          <w:sz w:val="28"/>
        </w:rPr>
        <w:t>
      2345. Пневмогидравлическая цистерна оборудуется следующими приборами и устройствами:</w:t>
      </w:r>
    </w:p>
    <w:bookmarkEnd w:id="7225"/>
    <w:bookmarkStart w:name="z7238" w:id="7226"/>
    <w:p>
      <w:pPr>
        <w:spacing w:after="0"/>
        <w:ind w:left="0"/>
        <w:jc w:val="both"/>
      </w:pPr>
      <w:r>
        <w:rPr>
          <w:rFonts w:ascii="Times New Roman"/>
          <w:b w:val="false"/>
          <w:i w:val="false"/>
          <w:color w:val="000000"/>
          <w:sz w:val="28"/>
        </w:rPr>
        <w:t>
      1) устройством для автоматического поддержания давления;</w:t>
      </w:r>
    </w:p>
    <w:bookmarkEnd w:id="7226"/>
    <w:bookmarkStart w:name="z7239" w:id="7227"/>
    <w:p>
      <w:pPr>
        <w:spacing w:after="0"/>
        <w:ind w:left="0"/>
        <w:jc w:val="both"/>
      </w:pPr>
      <w:r>
        <w:rPr>
          <w:rFonts w:ascii="Times New Roman"/>
          <w:b w:val="false"/>
          <w:i w:val="false"/>
          <w:color w:val="000000"/>
          <w:sz w:val="28"/>
        </w:rPr>
        <w:t>
      2) водомерным стеклом;</w:t>
      </w:r>
    </w:p>
    <w:bookmarkEnd w:id="7227"/>
    <w:bookmarkStart w:name="z7240" w:id="7228"/>
    <w:p>
      <w:pPr>
        <w:spacing w:after="0"/>
        <w:ind w:left="0"/>
        <w:jc w:val="both"/>
      </w:pPr>
      <w:r>
        <w:rPr>
          <w:rFonts w:ascii="Times New Roman"/>
          <w:b w:val="false"/>
          <w:i w:val="false"/>
          <w:color w:val="000000"/>
          <w:sz w:val="28"/>
        </w:rPr>
        <w:t>
      3) предохранительным клапаном;</w:t>
      </w:r>
    </w:p>
    <w:bookmarkEnd w:id="7228"/>
    <w:bookmarkStart w:name="z7241" w:id="7229"/>
    <w:p>
      <w:pPr>
        <w:spacing w:after="0"/>
        <w:ind w:left="0"/>
        <w:jc w:val="both"/>
      </w:pPr>
      <w:r>
        <w:rPr>
          <w:rFonts w:ascii="Times New Roman"/>
          <w:b w:val="false"/>
          <w:i w:val="false"/>
          <w:color w:val="000000"/>
          <w:sz w:val="28"/>
        </w:rPr>
        <w:t>
      4) манометром.</w:t>
      </w:r>
    </w:p>
    <w:bookmarkEnd w:id="7229"/>
    <w:bookmarkStart w:name="z7242" w:id="7230"/>
    <w:p>
      <w:pPr>
        <w:spacing w:after="0"/>
        <w:ind w:left="0"/>
        <w:jc w:val="both"/>
      </w:pPr>
      <w:r>
        <w:rPr>
          <w:rFonts w:ascii="Times New Roman"/>
          <w:b w:val="false"/>
          <w:i w:val="false"/>
          <w:color w:val="000000"/>
          <w:sz w:val="28"/>
        </w:rPr>
        <w:t>
      2346. В пневмогидравлической цистерне находится постоянный запас пресной воды, по объему равный подаче спринклерного насоса за 1 минуту.</w:t>
      </w:r>
    </w:p>
    <w:bookmarkEnd w:id="7230"/>
    <w:bookmarkStart w:name="z7243" w:id="7231"/>
    <w:p>
      <w:pPr>
        <w:spacing w:after="0"/>
        <w:ind w:left="0"/>
        <w:jc w:val="both"/>
      </w:pPr>
      <w:r>
        <w:rPr>
          <w:rFonts w:ascii="Times New Roman"/>
          <w:b w:val="false"/>
          <w:i w:val="false"/>
          <w:color w:val="000000"/>
          <w:sz w:val="28"/>
        </w:rPr>
        <w:t>
      Вместимость цистерны составляет не менее удвоенного запаса воды, указанного выше.</w:t>
      </w:r>
    </w:p>
    <w:bookmarkEnd w:id="7231"/>
    <w:bookmarkStart w:name="z7244" w:id="7232"/>
    <w:p>
      <w:pPr>
        <w:spacing w:after="0"/>
        <w:ind w:left="0"/>
        <w:jc w:val="both"/>
      </w:pPr>
      <w:r>
        <w:rPr>
          <w:rFonts w:ascii="Times New Roman"/>
          <w:b w:val="false"/>
          <w:i w:val="false"/>
          <w:color w:val="000000"/>
          <w:sz w:val="28"/>
        </w:rPr>
        <w:t>
      В цистерне поддерживается такое давление воздуха, чтобы после израсходования постоянного запаса пресной воды давление в ней было не менее рабочего давления спринклера плюс гидростатическое давление от днища цистерны до наиболее высоко расположенного спринклера.</w:t>
      </w:r>
    </w:p>
    <w:bookmarkEnd w:id="7232"/>
    <w:bookmarkStart w:name="z7245" w:id="7233"/>
    <w:p>
      <w:pPr>
        <w:spacing w:after="0"/>
        <w:ind w:left="0"/>
        <w:jc w:val="both"/>
      </w:pPr>
      <w:r>
        <w:rPr>
          <w:rFonts w:ascii="Times New Roman"/>
          <w:b w:val="false"/>
          <w:i w:val="false"/>
          <w:color w:val="000000"/>
          <w:sz w:val="28"/>
        </w:rPr>
        <w:t>
      Предусматриваются средства для пополнения запаса сжатого воздуха и пресной воды, а также устройства, предотвращающие попадание забортной воды в цистерну.</w:t>
      </w:r>
    </w:p>
    <w:bookmarkEnd w:id="7233"/>
    <w:bookmarkStart w:name="z7246" w:id="7234"/>
    <w:p>
      <w:pPr>
        <w:spacing w:after="0"/>
        <w:ind w:left="0"/>
        <w:jc w:val="both"/>
      </w:pPr>
      <w:r>
        <w:rPr>
          <w:rFonts w:ascii="Times New Roman"/>
          <w:b w:val="false"/>
          <w:i w:val="false"/>
          <w:color w:val="000000"/>
          <w:sz w:val="28"/>
        </w:rPr>
        <w:t>
      2347. Пневмогидравлические цистерны должны отвечать требованиям к сосудам под давлением, изложенным в разделе 12 настоящих Правил.</w:t>
      </w:r>
    </w:p>
    <w:bookmarkEnd w:id="7234"/>
    <w:bookmarkStart w:name="z7247" w:id="7235"/>
    <w:p>
      <w:pPr>
        <w:spacing w:after="0"/>
        <w:ind w:left="0"/>
        <w:jc w:val="left"/>
      </w:pPr>
      <w:r>
        <w:rPr>
          <w:rFonts w:ascii="Times New Roman"/>
          <w:b/>
          <w:i w:val="false"/>
          <w:color w:val="000000"/>
        </w:rPr>
        <w:t xml:space="preserve"> Параграф 4. Спринклеры</w:t>
      </w:r>
    </w:p>
    <w:bookmarkEnd w:id="7235"/>
    <w:bookmarkStart w:name="z7248" w:id="7236"/>
    <w:p>
      <w:pPr>
        <w:spacing w:after="0"/>
        <w:ind w:left="0"/>
        <w:jc w:val="both"/>
      </w:pPr>
      <w:r>
        <w:rPr>
          <w:rFonts w:ascii="Times New Roman"/>
          <w:b w:val="false"/>
          <w:i w:val="false"/>
          <w:color w:val="000000"/>
          <w:sz w:val="28"/>
        </w:rPr>
        <w:t>
      2348. Спринклеры устанавливаются в верхней части защищаемого помещения и располагаются на таком расстоянии друг от друга, при котором обеспечивается средний расход воды не менее 5 л/мин на 1 м</w:t>
      </w:r>
      <w:r>
        <w:rPr>
          <w:rFonts w:ascii="Times New Roman"/>
          <w:b w:val="false"/>
          <w:i w:val="false"/>
          <w:color w:val="000000"/>
          <w:vertAlign w:val="superscript"/>
        </w:rPr>
        <w:t>2</w:t>
      </w:r>
      <w:r>
        <w:rPr>
          <w:rFonts w:ascii="Times New Roman"/>
          <w:b w:val="false"/>
          <w:i w:val="false"/>
          <w:color w:val="000000"/>
          <w:sz w:val="28"/>
        </w:rPr>
        <w:t xml:space="preserve"> горизонтальной площади защищаемого помещения.</w:t>
      </w:r>
    </w:p>
    <w:bookmarkEnd w:id="7236"/>
    <w:bookmarkStart w:name="z7249" w:id="7237"/>
    <w:p>
      <w:pPr>
        <w:spacing w:after="0"/>
        <w:ind w:left="0"/>
        <w:jc w:val="both"/>
      </w:pPr>
      <w:r>
        <w:rPr>
          <w:rFonts w:ascii="Times New Roman"/>
          <w:b w:val="false"/>
          <w:i w:val="false"/>
          <w:color w:val="000000"/>
          <w:sz w:val="28"/>
        </w:rPr>
        <w:t>
      Указанная норма пересматривается Регистром судоходства в зависимости от конструктивных особенностей защищаемого помещения.</w:t>
      </w:r>
    </w:p>
    <w:bookmarkEnd w:id="7237"/>
    <w:bookmarkStart w:name="z7250" w:id="7238"/>
    <w:p>
      <w:pPr>
        <w:spacing w:after="0"/>
        <w:ind w:left="0"/>
        <w:jc w:val="both"/>
      </w:pPr>
      <w:r>
        <w:rPr>
          <w:rFonts w:ascii="Times New Roman"/>
          <w:b w:val="false"/>
          <w:i w:val="false"/>
          <w:color w:val="000000"/>
          <w:sz w:val="28"/>
        </w:rPr>
        <w:t>
      При защите спринклерами окон выполняются требования пункта 2220 настоящих Правил.</w:t>
      </w:r>
    </w:p>
    <w:bookmarkEnd w:id="7238"/>
    <w:bookmarkStart w:name="z7251" w:id="7239"/>
    <w:p>
      <w:pPr>
        <w:spacing w:after="0"/>
        <w:ind w:left="0"/>
        <w:jc w:val="both"/>
      </w:pPr>
      <w:r>
        <w:rPr>
          <w:rFonts w:ascii="Times New Roman"/>
          <w:b w:val="false"/>
          <w:i w:val="false"/>
          <w:color w:val="000000"/>
          <w:sz w:val="28"/>
        </w:rPr>
        <w:t>
      2349. Спринклеры должны быть стойкими к коррозии в условиях морского воздуха. Спринклеры в жилых и служебных помещениях срабатывают в интервале температур 68 — 79</w:t>
      </w:r>
      <w:r>
        <w:rPr>
          <w:rFonts w:ascii="Times New Roman"/>
          <w:b w:val="false"/>
          <w:i w:val="false"/>
          <w:color w:val="000000"/>
          <w:vertAlign w:val="superscript"/>
        </w:rPr>
        <w:t>о</w:t>
      </w:r>
      <w:r>
        <w:rPr>
          <w:rFonts w:ascii="Times New Roman"/>
          <w:b w:val="false"/>
          <w:i w:val="false"/>
          <w:color w:val="000000"/>
          <w:sz w:val="28"/>
        </w:rPr>
        <w:t>С, за исключением того, что при расположении в таких помещениях как сушильные (где можно ожидать высокую окружающую температуру) температура срабатывания спринклеров может быть увеличена не более чем на 30</w:t>
      </w:r>
      <w:r>
        <w:rPr>
          <w:rFonts w:ascii="Times New Roman"/>
          <w:b w:val="false"/>
          <w:i w:val="false"/>
          <w:color w:val="000000"/>
          <w:vertAlign w:val="superscript"/>
        </w:rPr>
        <w:t>о</w:t>
      </w:r>
      <w:r>
        <w:rPr>
          <w:rFonts w:ascii="Times New Roman"/>
          <w:b w:val="false"/>
          <w:i w:val="false"/>
          <w:color w:val="000000"/>
          <w:sz w:val="28"/>
        </w:rPr>
        <w:t>С выше максимальной температуры у подволока. В саунах предусматриваются незаполненные водой спринклерные системы с температурой срабатывания до 140</w:t>
      </w:r>
      <w:r>
        <w:rPr>
          <w:rFonts w:ascii="Times New Roman"/>
          <w:b w:val="false"/>
          <w:i w:val="false"/>
          <w:color w:val="000000"/>
          <w:vertAlign w:val="superscript"/>
        </w:rPr>
        <w:t>о</w:t>
      </w:r>
      <w:r>
        <w:rPr>
          <w:rFonts w:ascii="Times New Roman"/>
          <w:b w:val="false"/>
          <w:i w:val="false"/>
          <w:color w:val="000000"/>
          <w:sz w:val="28"/>
        </w:rPr>
        <w:t>С включительно. В охлаждаемых кладовых допускается устанавливать не заполненные водой спринклерные системы.</w:t>
      </w:r>
    </w:p>
    <w:bookmarkEnd w:id="7239"/>
    <w:bookmarkStart w:name="z7252" w:id="7240"/>
    <w:p>
      <w:pPr>
        <w:spacing w:after="0"/>
        <w:ind w:left="0"/>
        <w:jc w:val="left"/>
      </w:pPr>
      <w:r>
        <w:rPr>
          <w:rFonts w:ascii="Times New Roman"/>
          <w:b/>
          <w:i w:val="false"/>
          <w:color w:val="000000"/>
        </w:rPr>
        <w:t xml:space="preserve"> Параграф 5. Контрольно-сигнальное устройство</w:t>
      </w:r>
    </w:p>
    <w:bookmarkEnd w:id="7240"/>
    <w:bookmarkStart w:name="z7253" w:id="7241"/>
    <w:p>
      <w:pPr>
        <w:spacing w:after="0"/>
        <w:ind w:left="0"/>
        <w:jc w:val="both"/>
      </w:pPr>
      <w:r>
        <w:rPr>
          <w:rFonts w:ascii="Times New Roman"/>
          <w:b w:val="false"/>
          <w:i w:val="false"/>
          <w:color w:val="000000"/>
          <w:sz w:val="28"/>
        </w:rPr>
        <w:t>
      2350. Каждая секция спринклеров должна иметь контрольно-сигнальные устройства или другие средства для автоматической подачи светового и звукового сигналов на одной или нескольких панелях сигнализации при срабатывании любого из спринклеров. Такие системы сигнализации устраивают так, чтобы они указывали на любую неисправность в системе. Панели сигнализации указывают, в какой группе помещений, обслуживаемых системой, возник пожар. Панели сосредотачиваются на ходовом мостике или в центральном посту управления с постоянной вахтой и, кроме того, световые и звуковые сигналы от панели сигнализации должны быть выведены в другое место, иное, чем вышеупомянутые, с тем, чтобы обеспечить немедленное принятие экипажем сигнала о пожаре.</w:t>
      </w:r>
    </w:p>
    <w:bookmarkEnd w:id="7241"/>
    <w:bookmarkStart w:name="z7254" w:id="7242"/>
    <w:p>
      <w:pPr>
        <w:spacing w:after="0"/>
        <w:ind w:left="0"/>
        <w:jc w:val="both"/>
      </w:pPr>
      <w:r>
        <w:rPr>
          <w:rFonts w:ascii="Times New Roman"/>
          <w:b w:val="false"/>
          <w:i w:val="false"/>
          <w:color w:val="000000"/>
          <w:sz w:val="28"/>
        </w:rPr>
        <w:t>
      2351. На одной из панелей сигнализации, упомянутых в пункте 2350 настоящих Правил, предусматриваются переключатели, позволяющие проверить срабатывание сигнализации и индикаторов каждой секции спринклеров. У каждой панели сигнализации вывешивают перечень или схема с указанием помещений и зон, обслуживаемых каждой секцией. На судне должны иметься инструкции по проверке и техническому обслуживанию системы.</w:t>
      </w:r>
    </w:p>
    <w:bookmarkEnd w:id="7242"/>
    <w:bookmarkStart w:name="z7255" w:id="7243"/>
    <w:p>
      <w:pPr>
        <w:spacing w:after="0"/>
        <w:ind w:left="0"/>
        <w:jc w:val="both"/>
      </w:pPr>
      <w:r>
        <w:rPr>
          <w:rFonts w:ascii="Times New Roman"/>
          <w:b w:val="false"/>
          <w:i w:val="false"/>
          <w:color w:val="000000"/>
          <w:sz w:val="28"/>
        </w:rPr>
        <w:t>
      2352. Для каждой секции спринклеров имеется пробный клапан для проверки срабатывания автоматической сигнализации путем выпуска через него воды с расходом, равным расходу воды при срабатывании одного спринклера. Пробный клапан каждой секции располагается около запорного клапана или контрольно-сигнального устройства этой секции.</w:t>
      </w:r>
    </w:p>
    <w:bookmarkEnd w:id="7243"/>
    <w:bookmarkStart w:name="z7256" w:id="7244"/>
    <w:p>
      <w:pPr>
        <w:spacing w:after="0"/>
        <w:ind w:left="0"/>
        <w:jc w:val="left"/>
      </w:pPr>
      <w:r>
        <w:rPr>
          <w:rFonts w:ascii="Times New Roman"/>
          <w:b/>
          <w:i w:val="false"/>
          <w:color w:val="000000"/>
        </w:rPr>
        <w:t xml:space="preserve"> Параграф 6. Трубопроводы</w:t>
      </w:r>
    </w:p>
    <w:bookmarkEnd w:id="7244"/>
    <w:bookmarkStart w:name="z7257" w:id="7245"/>
    <w:p>
      <w:pPr>
        <w:spacing w:after="0"/>
        <w:ind w:left="0"/>
        <w:jc w:val="both"/>
      </w:pPr>
      <w:r>
        <w:rPr>
          <w:rFonts w:ascii="Times New Roman"/>
          <w:b w:val="false"/>
          <w:i w:val="false"/>
          <w:color w:val="000000"/>
          <w:sz w:val="28"/>
        </w:rPr>
        <w:t>
      2353. Спринклеры группируют в отдельные секции, в каждой из которых должна быть не более 200 спринклеров. На пассажирских судах любая секция спринклеров обслуживает не более двух палуб и размещается только в одной главной вертикальной зоне. Однако Регистр судоходства допускает, чтобы такая секция обслуживала более двух палуб или размещалась более чем в одной главной вертикальной зоне, если это не приведет к ослаблению противопожарной защиты судна.</w:t>
      </w:r>
    </w:p>
    <w:bookmarkEnd w:id="7245"/>
    <w:bookmarkStart w:name="z7258" w:id="7246"/>
    <w:p>
      <w:pPr>
        <w:spacing w:after="0"/>
        <w:ind w:left="0"/>
        <w:jc w:val="both"/>
      </w:pPr>
      <w:r>
        <w:rPr>
          <w:rFonts w:ascii="Times New Roman"/>
          <w:b w:val="false"/>
          <w:i w:val="false"/>
          <w:color w:val="000000"/>
          <w:sz w:val="28"/>
        </w:rPr>
        <w:t>
      2354. Для каждой секции предусматриваются устройства для продувки трубопроводов сжатым воздухом и промывки пресной водой.</w:t>
      </w:r>
    </w:p>
    <w:bookmarkEnd w:id="7246"/>
    <w:bookmarkStart w:name="z7259" w:id="7247"/>
    <w:p>
      <w:pPr>
        <w:spacing w:after="0"/>
        <w:ind w:left="0"/>
        <w:jc w:val="both"/>
      </w:pPr>
      <w:r>
        <w:rPr>
          <w:rFonts w:ascii="Times New Roman"/>
          <w:b w:val="false"/>
          <w:i w:val="false"/>
          <w:color w:val="000000"/>
          <w:sz w:val="28"/>
        </w:rPr>
        <w:t>
      2355. Каждая секция спринклеров отключается только одним запорным клапанов, за которым устанавливается манометр.</w:t>
      </w:r>
    </w:p>
    <w:bookmarkEnd w:id="7247"/>
    <w:bookmarkStart w:name="z7260" w:id="7248"/>
    <w:p>
      <w:pPr>
        <w:spacing w:after="0"/>
        <w:ind w:left="0"/>
        <w:jc w:val="both"/>
      </w:pPr>
      <w:r>
        <w:rPr>
          <w:rFonts w:ascii="Times New Roman"/>
          <w:b w:val="false"/>
          <w:i w:val="false"/>
          <w:color w:val="000000"/>
          <w:sz w:val="28"/>
        </w:rPr>
        <w:t>
      Запорный клапан каждой секции располагаетсяв легкодоступном месте вне относящейся к нему секции или в шкафах в пределах выгородок трапов. Местоположение клапана четко и постоянно обозначается.</w:t>
      </w:r>
    </w:p>
    <w:bookmarkEnd w:id="7248"/>
    <w:bookmarkStart w:name="z7261" w:id="7249"/>
    <w:p>
      <w:pPr>
        <w:spacing w:after="0"/>
        <w:ind w:left="0"/>
        <w:jc w:val="both"/>
      </w:pPr>
      <w:r>
        <w:rPr>
          <w:rFonts w:ascii="Times New Roman"/>
          <w:b w:val="false"/>
          <w:i w:val="false"/>
          <w:color w:val="000000"/>
          <w:sz w:val="28"/>
        </w:rPr>
        <w:t>
      Принимают меры, не позволяющие не уполномоченным лицам управлять запорными клапанами.</w:t>
      </w:r>
    </w:p>
    <w:bookmarkEnd w:id="7249"/>
    <w:bookmarkStart w:name="z7262" w:id="7250"/>
    <w:p>
      <w:pPr>
        <w:spacing w:after="0"/>
        <w:ind w:left="0"/>
        <w:jc w:val="both"/>
      </w:pPr>
      <w:r>
        <w:rPr>
          <w:rFonts w:ascii="Times New Roman"/>
          <w:b w:val="false"/>
          <w:i w:val="false"/>
          <w:color w:val="000000"/>
          <w:sz w:val="28"/>
        </w:rPr>
        <w:t>
      2356. На приемных трубах насосов, питающих спринклерную систему, устанавливают фильтры.</w:t>
      </w:r>
    </w:p>
    <w:bookmarkEnd w:id="7250"/>
    <w:bookmarkStart w:name="z7263" w:id="7251"/>
    <w:p>
      <w:pPr>
        <w:spacing w:after="0"/>
        <w:ind w:left="0"/>
        <w:jc w:val="both"/>
      </w:pPr>
      <w:r>
        <w:rPr>
          <w:rFonts w:ascii="Times New Roman"/>
          <w:b w:val="false"/>
          <w:i w:val="false"/>
          <w:color w:val="000000"/>
          <w:sz w:val="28"/>
        </w:rPr>
        <w:t>
      2357. Диаметры трубопроводов спринклерной системы обеспечивают работу спринклеров при давлении и расходе воды, указанных в пунктах 2340 и 2348 настоящих Правил.</w:t>
      </w:r>
    </w:p>
    <w:bookmarkEnd w:id="7251"/>
    <w:bookmarkStart w:name="z7264" w:id="7252"/>
    <w:p>
      <w:pPr>
        <w:spacing w:after="0"/>
        <w:ind w:left="0"/>
        <w:jc w:val="both"/>
      </w:pPr>
      <w:r>
        <w:rPr>
          <w:rFonts w:ascii="Times New Roman"/>
          <w:b w:val="false"/>
          <w:i w:val="false"/>
          <w:color w:val="000000"/>
          <w:sz w:val="28"/>
        </w:rPr>
        <w:t>
      2358. На трубопроводах спринклерной системы установливаются невозвратно-запорные клапаны, исключающие попадание забортной воды в пневмогидравлическую цистерну и утечку воды из цистерны и системы.</w:t>
      </w:r>
    </w:p>
    <w:bookmarkEnd w:id="7252"/>
    <w:bookmarkStart w:name="z7265" w:id="7253"/>
    <w:p>
      <w:pPr>
        <w:spacing w:after="0"/>
        <w:ind w:left="0"/>
        <w:jc w:val="left"/>
      </w:pPr>
      <w:r>
        <w:rPr>
          <w:rFonts w:ascii="Times New Roman"/>
          <w:b/>
          <w:i w:val="false"/>
          <w:color w:val="000000"/>
        </w:rPr>
        <w:t xml:space="preserve"> Глава 151. Система водораспыления</w:t>
      </w:r>
    </w:p>
    <w:bookmarkEnd w:id="7253"/>
    <w:p>
      <w:pPr>
        <w:spacing w:after="0"/>
        <w:ind w:left="0"/>
        <w:jc w:val="both"/>
      </w:pPr>
      <w:r>
        <w:rPr>
          <w:rFonts w:ascii="Times New Roman"/>
          <w:b w:val="false"/>
          <w:i w:val="false"/>
          <w:color w:val="ff0000"/>
          <w:sz w:val="28"/>
        </w:rPr>
        <w:t xml:space="preserve">
      Сноска. Заголовок главы 151 -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66" w:id="7254"/>
    <w:p>
      <w:pPr>
        <w:spacing w:after="0"/>
        <w:ind w:left="0"/>
        <w:jc w:val="both"/>
      </w:pPr>
      <w:r>
        <w:rPr>
          <w:rFonts w:ascii="Times New Roman"/>
          <w:b w:val="false"/>
          <w:i w:val="false"/>
          <w:color w:val="000000"/>
          <w:sz w:val="28"/>
        </w:rPr>
        <w:t>
      2359. Система водораспыления в машинных помещениях категории А, в насосных помещениях, указанных в пункте 2141 настоящих Правил, питается от независимого насоса, автоматически включающегося при падении давления в системе, и от водопожарной магистрали. На соединительном трубопроводе с водопожарной магистралью устанавливается невозвратно-запорный клапан.</w:t>
      </w:r>
    </w:p>
    <w:bookmarkEnd w:id="7254"/>
    <w:bookmarkStart w:name="z7267" w:id="7255"/>
    <w:p>
      <w:pPr>
        <w:spacing w:after="0"/>
        <w:ind w:left="0"/>
        <w:jc w:val="both"/>
      </w:pPr>
      <w:r>
        <w:rPr>
          <w:rFonts w:ascii="Times New Roman"/>
          <w:b w:val="false"/>
          <w:i w:val="false"/>
          <w:color w:val="000000"/>
          <w:sz w:val="28"/>
        </w:rPr>
        <w:t>
      В грузовых помещениях, указанных в подпунктах 3) и 4) пункта 2137 настоящих Правил, и в помещениях специальной категории (пункт 2143 настоящих Правил) система водораспыления должна отвечать требованиям резолюции ИМО A.123(V) "Рекомендация по стационарным системам пожаротушения для помещений специальной категории". Такая система защищает все участки любой палубы и площадки для транспортных средств в указанных помещениях, имеет ручное управление и манометр на каждой распределительной коробке с четкой маркировкой, указывающей на защищаемые помещения, и инструкции, по техническому обслуживанию и эксплуатации, находящиеся в отделении клапанов. Учитывая значительную потерю остойчивости, которая может возникнуть из-за скопления большого количества воды на палубах указанных помещений во время работы системы, должны быть предусмотрены меры, указанные в пункте 2272 настоящих Правил.</w:t>
      </w:r>
    </w:p>
    <w:bookmarkEnd w:id="7255"/>
    <w:bookmarkStart w:name="z7268" w:id="7256"/>
    <w:p>
      <w:pPr>
        <w:spacing w:after="0"/>
        <w:ind w:left="0"/>
        <w:jc w:val="both"/>
      </w:pPr>
      <w:r>
        <w:rPr>
          <w:rFonts w:ascii="Times New Roman"/>
          <w:b w:val="false"/>
          <w:i w:val="false"/>
          <w:color w:val="000000"/>
          <w:sz w:val="28"/>
        </w:rPr>
        <w:t>
      В помещениях где хранятся легковоспламеняющие жидкости, допускается питание системы только от водопожарной магистрали.</w:t>
      </w:r>
    </w:p>
    <w:bookmarkEnd w:id="7256"/>
    <w:bookmarkStart w:name="z7269" w:id="7257"/>
    <w:p>
      <w:pPr>
        <w:spacing w:after="0"/>
        <w:ind w:left="0"/>
        <w:jc w:val="both"/>
      </w:pPr>
      <w:r>
        <w:rPr>
          <w:rFonts w:ascii="Times New Roman"/>
          <w:b w:val="false"/>
          <w:i w:val="false"/>
          <w:color w:val="000000"/>
          <w:sz w:val="28"/>
        </w:rPr>
        <w:t>
      Если применяется система водораспыления высокого давления, необходимость резервного питания таких систем в каждом случае устанавливается по согласованию с Регистром судоходства, при этом должна обеспечиваться интенсивность подачи воды не менее указанного в подпункте 1) пункта 2360 настоящих Правил.</w:t>
      </w:r>
    </w:p>
    <w:bookmarkEnd w:id="7257"/>
    <w:bookmarkStart w:name="z7270" w:id="7258"/>
    <w:p>
      <w:pPr>
        <w:spacing w:after="0"/>
        <w:ind w:left="0"/>
        <w:jc w:val="both"/>
      </w:pPr>
      <w:r>
        <w:rPr>
          <w:rFonts w:ascii="Times New Roman"/>
          <w:b w:val="false"/>
          <w:i w:val="false"/>
          <w:color w:val="000000"/>
          <w:sz w:val="28"/>
        </w:rPr>
        <w:t>
      Система пожаротушения мелкораспыленной водой в машинных помещениях и грузовых насосных помещениях, указанных в подпункте 1) пункта 2141 настоящих Правил, представляют Регистру судоходства на одобрение в соответствии с "Пересмотренной методикой испытаний для эквивалентных систем пожаротушения на основе воды для машинных помещений категории" А и для грузовых насосных помещений (MSC/Circ/728)</w:t>
      </w:r>
      <w:r>
        <w:rPr>
          <w:rFonts w:ascii="Times New Roman"/>
          <w:b w:val="false"/>
          <w:i w:val="false"/>
          <w:color w:val="000000"/>
          <w:vertAlign w:val="superscript"/>
        </w:rPr>
        <w:t>1</w:t>
      </w:r>
      <w:r>
        <w:rPr>
          <w:rFonts w:ascii="Times New Roman"/>
          <w:b w:val="false"/>
          <w:i w:val="false"/>
          <w:color w:val="000000"/>
          <w:sz w:val="28"/>
        </w:rPr>
        <w:t>.</w:t>
      </w:r>
    </w:p>
    <w:bookmarkEnd w:id="7258"/>
    <w:bookmarkStart w:name="z7271" w:id="7259"/>
    <w:p>
      <w:pPr>
        <w:spacing w:after="0"/>
        <w:ind w:left="0"/>
        <w:jc w:val="both"/>
      </w:pPr>
      <w:r>
        <w:rPr>
          <w:rFonts w:ascii="Times New Roman"/>
          <w:b w:val="false"/>
          <w:i w:val="false"/>
          <w:color w:val="000000"/>
          <w:sz w:val="28"/>
        </w:rPr>
        <w:t>
      2360. Количество и расположение распылителей должны обеспечивать в защищаемых помещениях эффективное распределение воды с интенсивностью ее подачи в среднем не менее:</w:t>
      </w:r>
    </w:p>
    <w:bookmarkEnd w:id="7259"/>
    <w:bookmarkStart w:name="z7272" w:id="7260"/>
    <w:p>
      <w:pPr>
        <w:spacing w:after="0"/>
        <w:ind w:left="0"/>
        <w:jc w:val="both"/>
      </w:pPr>
      <w:r>
        <w:rPr>
          <w:rFonts w:ascii="Times New Roman"/>
          <w:b w:val="false"/>
          <w:i w:val="false"/>
          <w:color w:val="000000"/>
          <w:sz w:val="28"/>
        </w:rPr>
        <w:t>
      1) 5 л/мин на 1 м</w:t>
      </w:r>
      <w:r>
        <w:rPr>
          <w:rFonts w:ascii="Times New Roman"/>
          <w:b w:val="false"/>
          <w:i w:val="false"/>
          <w:color w:val="000000"/>
          <w:vertAlign w:val="superscript"/>
        </w:rPr>
        <w:t>2</w:t>
      </w:r>
      <w:r>
        <w:rPr>
          <w:rFonts w:ascii="Times New Roman"/>
          <w:b w:val="false"/>
          <w:i w:val="false"/>
          <w:color w:val="000000"/>
          <w:sz w:val="28"/>
        </w:rPr>
        <w:t xml:space="preserve"> площади, по которой может разлиться топливо, или площади грузового помещения;</w:t>
      </w:r>
    </w:p>
    <w:bookmarkEnd w:id="7260"/>
    <w:bookmarkStart w:name="z7273" w:id="7261"/>
    <w:p>
      <w:pPr>
        <w:spacing w:after="0"/>
        <w:ind w:left="0"/>
        <w:jc w:val="both"/>
      </w:pPr>
      <w:r>
        <w:rPr>
          <w:rFonts w:ascii="Times New Roman"/>
          <w:b w:val="false"/>
          <w:i w:val="false"/>
          <w:color w:val="000000"/>
          <w:sz w:val="28"/>
        </w:rPr>
        <w:t>
      2) 1,5 л/мин на 1 м</w:t>
      </w:r>
      <w:r>
        <w:rPr>
          <w:rFonts w:ascii="Times New Roman"/>
          <w:b w:val="false"/>
          <w:i w:val="false"/>
          <w:color w:val="000000"/>
          <w:vertAlign w:val="superscript"/>
        </w:rPr>
        <w:t>2</w:t>
      </w:r>
      <w:r>
        <w:rPr>
          <w:rFonts w:ascii="Times New Roman"/>
          <w:b w:val="false"/>
          <w:i w:val="false"/>
          <w:color w:val="000000"/>
          <w:sz w:val="28"/>
        </w:rPr>
        <w:t xml:space="preserve"> площади наибольшего горизонтального сечения трюма для рыбной муки.</w:t>
      </w:r>
    </w:p>
    <w:bookmarkEnd w:id="7261"/>
    <w:p>
      <w:pPr>
        <w:spacing w:after="0"/>
        <w:ind w:left="0"/>
        <w:jc w:val="both"/>
      </w:pPr>
      <w:r>
        <w:rPr>
          <w:rFonts w:ascii="Times New Roman"/>
          <w:b w:val="false"/>
          <w:i w:val="false"/>
          <w:color w:val="000000"/>
          <w:sz w:val="28"/>
        </w:rPr>
        <w:t>
      В грузовых, производственных и специальных помещениях, в которых система может быть разделена на секции, насос обеспечивает работу двух секций суммарной длиной не менее 40 м.</w:t>
      </w:r>
    </w:p>
    <w:bookmarkStart w:name="z7274" w:id="7262"/>
    <w:p>
      <w:pPr>
        <w:spacing w:after="0"/>
        <w:ind w:left="0"/>
        <w:jc w:val="both"/>
      </w:pPr>
      <w:r>
        <w:rPr>
          <w:rFonts w:ascii="Times New Roman"/>
          <w:b w:val="false"/>
          <w:i w:val="false"/>
          <w:color w:val="000000"/>
          <w:sz w:val="28"/>
        </w:rPr>
        <w:t>
      2361. В машинных помещениях категории А и насосных помещений, указанных в пункте 2141 настоящих Правил, система водораспыления должна быть постоянно заполнена водой и находиться под давлением до распределительных клапанов на трубопроводах. Насос, питающий систему водой, должен включаться автоматически, при подении давления в системе.</w:t>
      </w:r>
    </w:p>
    <w:bookmarkEnd w:id="7262"/>
    <w:bookmarkStart w:name="z7275" w:id="7263"/>
    <w:p>
      <w:pPr>
        <w:spacing w:after="0"/>
        <w:ind w:left="0"/>
        <w:jc w:val="both"/>
      </w:pPr>
      <w:r>
        <w:rPr>
          <w:rFonts w:ascii="Times New Roman"/>
          <w:b w:val="false"/>
          <w:i w:val="false"/>
          <w:color w:val="000000"/>
          <w:sz w:val="28"/>
        </w:rPr>
        <w:t>
      2362. На приемной трубе насоса, питающего систему, и на соединительном трубопроводе с водопожарной магистралью устанавливаются фильтры, исключающие засорение системы и распылителей.</w:t>
      </w:r>
    </w:p>
    <w:bookmarkEnd w:id="7263"/>
    <w:bookmarkStart w:name="z7276" w:id="7264"/>
    <w:p>
      <w:pPr>
        <w:spacing w:after="0"/>
        <w:ind w:left="0"/>
        <w:jc w:val="both"/>
      </w:pPr>
      <w:r>
        <w:rPr>
          <w:rFonts w:ascii="Times New Roman"/>
          <w:b w:val="false"/>
          <w:i w:val="false"/>
          <w:color w:val="000000"/>
          <w:sz w:val="28"/>
        </w:rPr>
        <w:t>
      2363. Распределительные клапаны располагаются в легкодоступных местах вне защищаемого помещения, которые не будут отрезаны при пожаре в защищаемом помещении.</w:t>
      </w:r>
    </w:p>
    <w:bookmarkEnd w:id="7264"/>
    <w:bookmarkStart w:name="z7277" w:id="7265"/>
    <w:p>
      <w:pPr>
        <w:spacing w:after="0"/>
        <w:ind w:left="0"/>
        <w:jc w:val="both"/>
      </w:pPr>
      <w:r>
        <w:rPr>
          <w:rFonts w:ascii="Times New Roman"/>
          <w:b w:val="false"/>
          <w:i w:val="false"/>
          <w:color w:val="000000"/>
          <w:sz w:val="28"/>
        </w:rPr>
        <w:t>
      В защищаемых помещениях с постоянным пребыванием людей должно быть предусмотрено дистанционное управление распределительными клапанами из этих помещений.</w:t>
      </w:r>
    </w:p>
    <w:bookmarkEnd w:id="7265"/>
    <w:bookmarkStart w:name="z7278" w:id="7266"/>
    <w:p>
      <w:pPr>
        <w:spacing w:after="0"/>
        <w:ind w:left="0"/>
        <w:jc w:val="both"/>
      </w:pPr>
      <w:r>
        <w:rPr>
          <w:rFonts w:ascii="Times New Roman"/>
          <w:b w:val="false"/>
          <w:i w:val="false"/>
          <w:color w:val="000000"/>
          <w:sz w:val="28"/>
        </w:rPr>
        <w:t>
      2364. Распылители в защищаемых помещениях размещаются в следующих местах:</w:t>
      </w:r>
    </w:p>
    <w:bookmarkEnd w:id="7266"/>
    <w:bookmarkStart w:name="z7279" w:id="7267"/>
    <w:p>
      <w:pPr>
        <w:spacing w:after="0"/>
        <w:ind w:left="0"/>
        <w:jc w:val="both"/>
      </w:pPr>
      <w:r>
        <w:rPr>
          <w:rFonts w:ascii="Times New Roman"/>
          <w:b w:val="false"/>
          <w:i w:val="false"/>
          <w:color w:val="000000"/>
          <w:sz w:val="28"/>
        </w:rPr>
        <w:t>
      1) под подволокой помещения;</w:t>
      </w:r>
    </w:p>
    <w:bookmarkEnd w:id="7267"/>
    <w:bookmarkStart w:name="z7280" w:id="7268"/>
    <w:p>
      <w:pPr>
        <w:spacing w:after="0"/>
        <w:ind w:left="0"/>
        <w:jc w:val="both"/>
      </w:pPr>
      <w:r>
        <w:rPr>
          <w:rFonts w:ascii="Times New Roman"/>
          <w:b w:val="false"/>
          <w:i w:val="false"/>
          <w:color w:val="000000"/>
          <w:sz w:val="28"/>
        </w:rPr>
        <w:t>
      2) над оборудованием и механизмами, работа которых связана с использованием жидкого топлива или других воспламеняющихся жидкостей, и другими пожароопасными объектами;</w:t>
      </w:r>
    </w:p>
    <w:bookmarkEnd w:id="7268"/>
    <w:bookmarkStart w:name="z7281" w:id="7269"/>
    <w:p>
      <w:pPr>
        <w:spacing w:after="0"/>
        <w:ind w:left="0"/>
        <w:jc w:val="both"/>
      </w:pPr>
      <w:r>
        <w:rPr>
          <w:rFonts w:ascii="Times New Roman"/>
          <w:b w:val="false"/>
          <w:i w:val="false"/>
          <w:color w:val="000000"/>
          <w:sz w:val="28"/>
        </w:rPr>
        <w:t>
      3) над льялами, настилом второго дна и другими поверхностями, по которым может растекаться жидкое топливо или воспламеняющиеся жидкости;</w:t>
      </w:r>
    </w:p>
    <w:bookmarkEnd w:id="7269"/>
    <w:bookmarkStart w:name="z7282" w:id="7270"/>
    <w:p>
      <w:pPr>
        <w:spacing w:after="0"/>
        <w:ind w:left="0"/>
        <w:jc w:val="both"/>
      </w:pPr>
      <w:r>
        <w:rPr>
          <w:rFonts w:ascii="Times New Roman"/>
          <w:b w:val="false"/>
          <w:i w:val="false"/>
          <w:color w:val="000000"/>
          <w:sz w:val="28"/>
        </w:rPr>
        <w:t>
      4) над штабелями мешков с рыбной мукой.</w:t>
      </w:r>
    </w:p>
    <w:bookmarkEnd w:id="7270"/>
    <w:bookmarkStart w:name="z7283" w:id="7271"/>
    <w:p>
      <w:pPr>
        <w:spacing w:after="0"/>
        <w:ind w:left="0"/>
        <w:jc w:val="both"/>
      </w:pPr>
      <w:r>
        <w:rPr>
          <w:rFonts w:ascii="Times New Roman"/>
          <w:b w:val="false"/>
          <w:i w:val="false"/>
          <w:color w:val="000000"/>
          <w:sz w:val="28"/>
        </w:rPr>
        <w:t>
      Распылители в защищаемом помещении располагаются таким образом, чтобы зона действия любого распылителя перекрывала зоны действия смежных распылителей.</w:t>
      </w:r>
    </w:p>
    <w:bookmarkEnd w:id="7271"/>
    <w:bookmarkStart w:name="z7284" w:id="7272"/>
    <w:p>
      <w:pPr>
        <w:spacing w:after="0"/>
        <w:ind w:left="0"/>
        <w:jc w:val="both"/>
      </w:pPr>
      <w:r>
        <w:rPr>
          <w:rFonts w:ascii="Times New Roman"/>
          <w:b w:val="false"/>
          <w:i w:val="false"/>
          <w:color w:val="000000"/>
          <w:sz w:val="28"/>
        </w:rPr>
        <w:t>
      2365. Насос системы, обеспечивающей защиту машинных помещений категории А и насосных помещений, обеспечивает подачу воды под необходимым давлением одновременно во все секции системы в любом из защищаемых системой помещений, причем насос и средство его управления должны быть расположены вне указанных помещений.</w:t>
      </w:r>
    </w:p>
    <w:bookmarkEnd w:id="7272"/>
    <w:bookmarkStart w:name="z7285" w:id="7273"/>
    <w:p>
      <w:pPr>
        <w:spacing w:after="0"/>
        <w:ind w:left="0"/>
        <w:jc w:val="both"/>
      </w:pPr>
      <w:r>
        <w:rPr>
          <w:rFonts w:ascii="Times New Roman"/>
          <w:b w:val="false"/>
          <w:i w:val="false"/>
          <w:color w:val="000000"/>
          <w:sz w:val="28"/>
        </w:rPr>
        <w:t>
      Насос может иметь привод от независимого двигателя внутреннего сгорания, расположенного так, чтобы пожар в защищаемом помещении не влиял на подачу воздуха к нему. Если насос имеет электрический привод с питанием от аварийного генератора, то необходимо чтобы такой генератор соответствовал требованиям подраздела 9 раздела 13 настоящих Правил.</w:t>
      </w:r>
    </w:p>
    <w:bookmarkEnd w:id="7273"/>
    <w:bookmarkStart w:name="z7286" w:id="7274"/>
    <w:p>
      <w:pPr>
        <w:spacing w:after="0"/>
        <w:ind w:left="0"/>
        <w:jc w:val="both"/>
      </w:pPr>
      <w:r>
        <w:rPr>
          <w:rFonts w:ascii="Times New Roman"/>
          <w:b w:val="false"/>
          <w:i w:val="false"/>
          <w:color w:val="000000"/>
          <w:sz w:val="28"/>
        </w:rPr>
        <w:t>
      2366. Средняя интенсивность подачи воды, указанная в пункте 2360 настоящих Правил, увеличивается для следующим мест:</w:t>
      </w:r>
    </w:p>
    <w:bookmarkEnd w:id="7274"/>
    <w:bookmarkStart w:name="z7287" w:id="7275"/>
    <w:p>
      <w:pPr>
        <w:spacing w:after="0"/>
        <w:ind w:left="0"/>
        <w:jc w:val="both"/>
      </w:pPr>
      <w:r>
        <w:rPr>
          <w:rFonts w:ascii="Times New Roman"/>
          <w:b w:val="false"/>
          <w:i w:val="false"/>
          <w:color w:val="000000"/>
          <w:sz w:val="28"/>
        </w:rPr>
        <w:t>
      1) 20 л/мин на 1 м</w:t>
      </w:r>
      <w:r>
        <w:rPr>
          <w:rFonts w:ascii="Times New Roman"/>
          <w:b w:val="false"/>
          <w:i w:val="false"/>
          <w:color w:val="000000"/>
          <w:vertAlign w:val="superscript"/>
        </w:rPr>
        <w:t>2</w:t>
      </w:r>
      <w:r>
        <w:rPr>
          <w:rFonts w:ascii="Times New Roman"/>
          <w:b w:val="false"/>
          <w:i w:val="false"/>
          <w:color w:val="000000"/>
          <w:sz w:val="28"/>
        </w:rPr>
        <w:t xml:space="preserve"> для фронтальных частей и поверхностей котлов, установок жидкого топлива, сепараторов центробежного типа (но не сепараторов льяльных вод) и очистителей топлива;</w:t>
      </w:r>
    </w:p>
    <w:bookmarkEnd w:id="7275"/>
    <w:bookmarkStart w:name="z7288" w:id="7276"/>
    <w:p>
      <w:pPr>
        <w:spacing w:after="0"/>
        <w:ind w:left="0"/>
        <w:jc w:val="both"/>
      </w:pPr>
      <w:r>
        <w:rPr>
          <w:rFonts w:ascii="Times New Roman"/>
          <w:b w:val="false"/>
          <w:i w:val="false"/>
          <w:color w:val="000000"/>
          <w:sz w:val="28"/>
        </w:rPr>
        <w:t>
      2) 10 л/мин на 1 м</w:t>
      </w:r>
      <w:r>
        <w:rPr>
          <w:rFonts w:ascii="Times New Roman"/>
          <w:b w:val="false"/>
          <w:i w:val="false"/>
          <w:color w:val="000000"/>
          <w:vertAlign w:val="superscript"/>
        </w:rPr>
        <w:t>2</w:t>
      </w:r>
      <w:r>
        <w:rPr>
          <w:rFonts w:ascii="Times New Roman"/>
          <w:b w:val="false"/>
          <w:i w:val="false"/>
          <w:color w:val="000000"/>
          <w:sz w:val="28"/>
        </w:rPr>
        <w:t xml:space="preserve"> для трубопроводов подогретого топлива, расположенные около выхлопных труб или подбных нагретых поверхностей главных и вспомогательных дизельных двигателей.</w:t>
      </w:r>
    </w:p>
    <w:bookmarkEnd w:id="7276"/>
    <w:bookmarkStart w:name="z7289" w:id="7277"/>
    <w:p>
      <w:pPr>
        <w:spacing w:after="0"/>
        <w:ind w:left="0"/>
        <w:jc w:val="left"/>
      </w:pPr>
      <w:r>
        <w:rPr>
          <w:rFonts w:ascii="Times New Roman"/>
          <w:b/>
          <w:i w:val="false"/>
          <w:color w:val="000000"/>
        </w:rPr>
        <w:t xml:space="preserve"> Глава 152. Системы водяных завес и водяного орошения</w:t>
      </w:r>
    </w:p>
    <w:bookmarkEnd w:id="7277"/>
    <w:p>
      <w:pPr>
        <w:spacing w:after="0"/>
        <w:ind w:left="0"/>
        <w:jc w:val="both"/>
      </w:pPr>
      <w:r>
        <w:rPr>
          <w:rFonts w:ascii="Times New Roman"/>
          <w:b w:val="false"/>
          <w:i w:val="false"/>
          <w:color w:val="ff0000"/>
          <w:sz w:val="28"/>
        </w:rPr>
        <w:t xml:space="preserve">
      Сноска. Заголовок главы 152 -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90" w:id="7278"/>
    <w:p>
      <w:pPr>
        <w:spacing w:after="0"/>
        <w:ind w:left="0"/>
        <w:jc w:val="both"/>
      </w:pPr>
      <w:r>
        <w:rPr>
          <w:rFonts w:ascii="Times New Roman"/>
          <w:b w:val="false"/>
          <w:i w:val="false"/>
          <w:color w:val="000000"/>
          <w:sz w:val="28"/>
        </w:rPr>
        <w:t>
      2367. Система водяных завес в настоящих Правилах предусматривается:</w:t>
      </w:r>
    </w:p>
    <w:bookmarkEnd w:id="7278"/>
    <w:bookmarkStart w:name="z7291" w:id="7279"/>
    <w:p>
      <w:pPr>
        <w:spacing w:after="0"/>
        <w:ind w:left="0"/>
        <w:jc w:val="both"/>
      </w:pPr>
      <w:r>
        <w:rPr>
          <w:rFonts w:ascii="Times New Roman"/>
          <w:b w:val="false"/>
          <w:i w:val="false"/>
          <w:color w:val="000000"/>
          <w:sz w:val="28"/>
        </w:rPr>
        <w:t>
      1) на судах, которые предназначены для специальных целей и на которых по особому согласованию с Регистром судоходства в соответствии с пунктом 2398 настоящих Правил вместо конструкций типа А допускаются водяные завесы;</w:t>
      </w:r>
    </w:p>
    <w:bookmarkEnd w:id="7279"/>
    <w:bookmarkStart w:name="z7292" w:id="7280"/>
    <w:p>
      <w:pPr>
        <w:spacing w:after="0"/>
        <w:ind w:left="0"/>
        <w:jc w:val="both"/>
      </w:pPr>
      <w:r>
        <w:rPr>
          <w:rFonts w:ascii="Times New Roman"/>
          <w:b w:val="false"/>
          <w:i w:val="false"/>
          <w:color w:val="000000"/>
          <w:sz w:val="28"/>
        </w:rPr>
        <w:t>
      2) для защиты дверных проемов в соответствии с параграфом 2 главы 169 настоящих Правил.</w:t>
      </w:r>
    </w:p>
    <w:bookmarkEnd w:id="7280"/>
    <w:bookmarkStart w:name="z7293" w:id="7281"/>
    <w:p>
      <w:pPr>
        <w:spacing w:after="0"/>
        <w:ind w:left="0"/>
        <w:jc w:val="both"/>
      </w:pPr>
      <w:r>
        <w:rPr>
          <w:rFonts w:ascii="Times New Roman"/>
          <w:b w:val="false"/>
          <w:i w:val="false"/>
          <w:color w:val="000000"/>
          <w:sz w:val="28"/>
        </w:rPr>
        <w:t>
      2368. Питание водой системы водяных завес должно осуществляться от водопожарной магистрали. Расчетная подача насосов, обслуживающих систему водяных завес, принимается из расчета не менее 70 л/мин на 1 м длины завесы.</w:t>
      </w:r>
    </w:p>
    <w:bookmarkEnd w:id="7281"/>
    <w:bookmarkStart w:name="z7294" w:id="7282"/>
    <w:p>
      <w:pPr>
        <w:spacing w:after="0"/>
        <w:ind w:left="0"/>
        <w:jc w:val="both"/>
      </w:pPr>
      <w:r>
        <w:rPr>
          <w:rFonts w:ascii="Times New Roman"/>
          <w:b w:val="false"/>
          <w:i w:val="false"/>
          <w:color w:val="000000"/>
          <w:sz w:val="28"/>
        </w:rPr>
        <w:t>
      2369. Система водяного орошения в настоящих Правилах предусматривается для орошения стеллажей крюйт-камер (приложение 273 настоящих Правил).</w:t>
      </w:r>
    </w:p>
    <w:bookmarkEnd w:id="7282"/>
    <w:bookmarkStart w:name="z7295" w:id="7283"/>
    <w:p>
      <w:pPr>
        <w:spacing w:after="0"/>
        <w:ind w:left="0"/>
        <w:jc w:val="both"/>
      </w:pPr>
      <w:r>
        <w:rPr>
          <w:rFonts w:ascii="Times New Roman"/>
          <w:b w:val="false"/>
          <w:i w:val="false"/>
          <w:color w:val="000000"/>
          <w:sz w:val="28"/>
        </w:rPr>
        <w:t>
      2370. Питание водой системы водяного орошения производится от водопожарной магистрали. Насосы и источники энергии для их работы располагаются вне защищаемого помещения.</w:t>
      </w:r>
    </w:p>
    <w:bookmarkEnd w:id="7283"/>
    <w:bookmarkStart w:name="z7296" w:id="7284"/>
    <w:p>
      <w:pPr>
        <w:spacing w:after="0"/>
        <w:ind w:left="0"/>
        <w:jc w:val="both"/>
      </w:pPr>
      <w:r>
        <w:rPr>
          <w:rFonts w:ascii="Times New Roman"/>
          <w:b w:val="false"/>
          <w:i w:val="false"/>
          <w:color w:val="000000"/>
          <w:sz w:val="28"/>
        </w:rPr>
        <w:t>
      2371. Пуск системы производится извне защищаемого помещения.</w:t>
      </w:r>
    </w:p>
    <w:bookmarkEnd w:id="7284"/>
    <w:bookmarkStart w:name="z7297" w:id="7285"/>
    <w:p>
      <w:pPr>
        <w:spacing w:after="0"/>
        <w:ind w:left="0"/>
        <w:jc w:val="both"/>
      </w:pPr>
      <w:r>
        <w:rPr>
          <w:rFonts w:ascii="Times New Roman"/>
          <w:b w:val="false"/>
          <w:i w:val="false"/>
          <w:color w:val="000000"/>
          <w:sz w:val="28"/>
        </w:rPr>
        <w:t>
      Рекомендуется установка систем автоматического действия, включающихся в работу при недопустимом повышении температуры в помещении.</w:t>
      </w:r>
    </w:p>
    <w:bookmarkEnd w:id="7285"/>
    <w:bookmarkStart w:name="z7298" w:id="7286"/>
    <w:p>
      <w:pPr>
        <w:spacing w:after="0"/>
        <w:ind w:left="0"/>
        <w:jc w:val="both"/>
      </w:pPr>
      <w:r>
        <w:rPr>
          <w:rFonts w:ascii="Times New Roman"/>
          <w:b w:val="false"/>
          <w:i w:val="false"/>
          <w:color w:val="000000"/>
          <w:sz w:val="28"/>
        </w:rPr>
        <w:t>
      2372. Системы орошения крюйт-камер и водораспыления грузовых помещений, приспособленных для перевозки взрывчатых веществ, могут использоваться для их затопления в экстренных случаях.</w:t>
      </w:r>
    </w:p>
    <w:bookmarkEnd w:id="7286"/>
    <w:bookmarkStart w:name="z7299" w:id="7287"/>
    <w:p>
      <w:pPr>
        <w:spacing w:after="0"/>
        <w:ind w:left="0"/>
        <w:jc w:val="both"/>
      </w:pPr>
      <w:r>
        <w:rPr>
          <w:rFonts w:ascii="Times New Roman"/>
          <w:b w:val="false"/>
          <w:i w:val="false"/>
          <w:color w:val="000000"/>
          <w:sz w:val="28"/>
        </w:rPr>
        <w:t>
      2373. Подача насосов, обслуживающих систему, должна быть достаточной для орошения стеллажей крюйт-камер — 24 л/мин на 1 м</w:t>
      </w:r>
      <w:r>
        <w:rPr>
          <w:rFonts w:ascii="Times New Roman"/>
          <w:b w:val="false"/>
          <w:i w:val="false"/>
          <w:color w:val="000000"/>
          <w:vertAlign w:val="superscript"/>
        </w:rPr>
        <w:t>2</w:t>
      </w:r>
      <w:r>
        <w:rPr>
          <w:rFonts w:ascii="Times New Roman"/>
          <w:b w:val="false"/>
          <w:i w:val="false"/>
          <w:color w:val="000000"/>
          <w:sz w:val="28"/>
        </w:rPr>
        <w:t xml:space="preserve"> полной площади пола крюйт-камеры.</w:t>
      </w:r>
    </w:p>
    <w:bookmarkEnd w:id="7287"/>
    <w:bookmarkStart w:name="z7300" w:id="7288"/>
    <w:p>
      <w:pPr>
        <w:spacing w:after="0"/>
        <w:ind w:left="0"/>
        <w:jc w:val="left"/>
      </w:pPr>
      <w:r>
        <w:rPr>
          <w:rFonts w:ascii="Times New Roman"/>
          <w:b/>
          <w:i w:val="false"/>
          <w:color w:val="000000"/>
        </w:rPr>
        <w:t xml:space="preserve"> Глава 153. Система пенотушения</w:t>
      </w:r>
    </w:p>
    <w:bookmarkEnd w:id="7288"/>
    <w:p>
      <w:pPr>
        <w:spacing w:after="0"/>
        <w:ind w:left="0"/>
        <w:jc w:val="both"/>
      </w:pPr>
      <w:r>
        <w:rPr>
          <w:rFonts w:ascii="Times New Roman"/>
          <w:b w:val="false"/>
          <w:i w:val="false"/>
          <w:color w:val="ff0000"/>
          <w:sz w:val="28"/>
        </w:rPr>
        <w:t xml:space="preserve">
      Сноска. Заголовок главы 153 -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01" w:id="7289"/>
    <w:p>
      <w:pPr>
        <w:spacing w:after="0"/>
        <w:ind w:left="0"/>
        <w:jc w:val="left"/>
      </w:pPr>
      <w:r>
        <w:rPr>
          <w:rFonts w:ascii="Times New Roman"/>
          <w:b/>
          <w:i w:val="false"/>
          <w:color w:val="000000"/>
        </w:rPr>
        <w:t xml:space="preserve"> Параграф 1. Общие указания</w:t>
      </w:r>
    </w:p>
    <w:bookmarkEnd w:id="7289"/>
    <w:bookmarkStart w:name="z7302" w:id="7290"/>
    <w:p>
      <w:pPr>
        <w:spacing w:after="0"/>
        <w:ind w:left="0"/>
        <w:jc w:val="both"/>
      </w:pPr>
      <w:r>
        <w:rPr>
          <w:rFonts w:ascii="Times New Roman"/>
          <w:b w:val="false"/>
          <w:i w:val="false"/>
          <w:color w:val="000000"/>
          <w:sz w:val="28"/>
        </w:rPr>
        <w:t>
      2374. Системы пенотушения могут вырабатывать в качестве огнетушащего вещества воздушно-механическую пену следующих видов в зависимости от кратности пенообразования:</w:t>
      </w:r>
    </w:p>
    <w:bookmarkEnd w:id="7290"/>
    <w:bookmarkStart w:name="z7303" w:id="7291"/>
    <w:p>
      <w:pPr>
        <w:spacing w:after="0"/>
        <w:ind w:left="0"/>
        <w:jc w:val="both"/>
      </w:pPr>
      <w:r>
        <w:rPr>
          <w:rFonts w:ascii="Times New Roman"/>
          <w:b w:val="false"/>
          <w:i w:val="false"/>
          <w:color w:val="000000"/>
          <w:sz w:val="28"/>
        </w:rPr>
        <w:t xml:space="preserve">
      низкой кратности — около 10:1, </w:t>
      </w:r>
    </w:p>
    <w:bookmarkEnd w:id="7291"/>
    <w:bookmarkStart w:name="z7304" w:id="7292"/>
    <w:p>
      <w:pPr>
        <w:spacing w:after="0"/>
        <w:ind w:left="0"/>
        <w:jc w:val="both"/>
      </w:pPr>
      <w:r>
        <w:rPr>
          <w:rFonts w:ascii="Times New Roman"/>
          <w:b w:val="false"/>
          <w:i w:val="false"/>
          <w:color w:val="000000"/>
          <w:sz w:val="28"/>
        </w:rPr>
        <w:t>
      средней кратности — между 50:1 и 150:1,</w:t>
      </w:r>
    </w:p>
    <w:bookmarkEnd w:id="7292"/>
    <w:bookmarkStart w:name="z7305" w:id="7293"/>
    <w:p>
      <w:pPr>
        <w:spacing w:after="0"/>
        <w:ind w:left="0"/>
        <w:jc w:val="both"/>
      </w:pPr>
      <w:r>
        <w:rPr>
          <w:rFonts w:ascii="Times New Roman"/>
          <w:b w:val="false"/>
          <w:i w:val="false"/>
          <w:color w:val="000000"/>
          <w:sz w:val="28"/>
        </w:rPr>
        <w:t>
      высокой кратности — около 1000:1.</w:t>
      </w:r>
    </w:p>
    <w:bookmarkEnd w:id="7293"/>
    <w:bookmarkStart w:name="z7306" w:id="7294"/>
    <w:p>
      <w:pPr>
        <w:spacing w:after="0"/>
        <w:ind w:left="0"/>
        <w:jc w:val="both"/>
      </w:pPr>
      <w:r>
        <w:rPr>
          <w:rFonts w:ascii="Times New Roman"/>
          <w:b w:val="false"/>
          <w:i w:val="false"/>
          <w:color w:val="000000"/>
          <w:sz w:val="28"/>
        </w:rPr>
        <w:t>
      В системах пенотушения могут применяться установки, вырабатывающие раздельно, но подающие одновременно пену низкой и средней кратности (комбинированную пену).</w:t>
      </w:r>
    </w:p>
    <w:bookmarkEnd w:id="7294"/>
    <w:bookmarkStart w:name="z7307" w:id="7295"/>
    <w:p>
      <w:pPr>
        <w:spacing w:after="0"/>
        <w:ind w:left="0"/>
        <w:jc w:val="both"/>
      </w:pPr>
      <w:r>
        <w:rPr>
          <w:rFonts w:ascii="Times New Roman"/>
          <w:b w:val="false"/>
          <w:i w:val="false"/>
          <w:color w:val="000000"/>
          <w:sz w:val="28"/>
        </w:rPr>
        <w:t>
      2375. Применяются пенообразователи одобренного Регистром судоходства типа.</w:t>
      </w:r>
    </w:p>
    <w:bookmarkEnd w:id="7295"/>
    <w:bookmarkStart w:name="z7308" w:id="7296"/>
    <w:p>
      <w:pPr>
        <w:spacing w:after="0"/>
        <w:ind w:left="0"/>
        <w:jc w:val="both"/>
      </w:pPr>
      <w:r>
        <w:rPr>
          <w:rFonts w:ascii="Times New Roman"/>
          <w:b w:val="false"/>
          <w:i w:val="false"/>
          <w:color w:val="000000"/>
          <w:sz w:val="28"/>
        </w:rPr>
        <w:t>
      Пенообразователь для получения пены низкой и средней кратности работает на пресной и морской воде.</w:t>
      </w:r>
    </w:p>
    <w:bookmarkEnd w:id="7296"/>
    <w:bookmarkStart w:name="z7309" w:id="7297"/>
    <w:p>
      <w:pPr>
        <w:spacing w:after="0"/>
        <w:ind w:left="0"/>
        <w:jc w:val="both"/>
      </w:pPr>
      <w:r>
        <w:rPr>
          <w:rFonts w:ascii="Times New Roman"/>
          <w:b w:val="false"/>
          <w:i w:val="false"/>
          <w:color w:val="000000"/>
          <w:sz w:val="28"/>
        </w:rPr>
        <w:t>
      2376. Производительность системы пенотушения и количество пенообразователя рассчитываются в зависимости от кратности пенообразования, интенсивности подачи раствора и продолжительности работы системы, указанных в приложении 275 и пункте 2481 настоящих Правил.</w:t>
      </w:r>
    </w:p>
    <w:bookmarkEnd w:id="7297"/>
    <w:bookmarkStart w:name="z7310" w:id="7298"/>
    <w:p>
      <w:pPr>
        <w:spacing w:after="0"/>
        <w:ind w:left="0"/>
        <w:jc w:val="both"/>
      </w:pPr>
      <w:r>
        <w:rPr>
          <w:rFonts w:ascii="Times New Roman"/>
          <w:b w:val="false"/>
          <w:i w:val="false"/>
          <w:color w:val="000000"/>
          <w:sz w:val="28"/>
        </w:rPr>
        <w:t>
      2377. Цистерны для хранения пенообразующей жидкости (пенообразователя) оборудуются устройствами для наполнения и спуска жидкости, устройством для контроля за уровнем жидкости и горловиной для очистки и осмотра. Вместимость цистерн рассчитывается на хранение всего запаса пенообразователя.</w:t>
      </w:r>
    </w:p>
    <w:bookmarkEnd w:id="7298"/>
    <w:bookmarkStart w:name="z7311" w:id="7299"/>
    <w:p>
      <w:pPr>
        <w:spacing w:after="0"/>
        <w:ind w:left="0"/>
        <w:jc w:val="both"/>
      </w:pPr>
      <w:r>
        <w:rPr>
          <w:rFonts w:ascii="Times New Roman"/>
          <w:b w:val="false"/>
          <w:i w:val="false"/>
          <w:color w:val="000000"/>
          <w:sz w:val="28"/>
        </w:rPr>
        <w:t>
      Если при работе системы в цистернах не должно создаваться избыточное давление, между такими цистернами и магистральным трубопроводом следует предусмотреть невозвратные клапаны.</w:t>
      </w:r>
    </w:p>
    <w:bookmarkEnd w:id="7299"/>
    <w:bookmarkStart w:name="z7312" w:id="7300"/>
    <w:p>
      <w:pPr>
        <w:spacing w:after="0"/>
        <w:ind w:left="0"/>
        <w:jc w:val="both"/>
      </w:pPr>
      <w:r>
        <w:rPr>
          <w:rFonts w:ascii="Times New Roman"/>
          <w:b w:val="false"/>
          <w:i w:val="false"/>
          <w:color w:val="000000"/>
          <w:sz w:val="28"/>
        </w:rPr>
        <w:t>
      Если в системе тушения высокократной пеной применен пенообразователь, работающий на пресной воде, ее запас не менее чем для однократного заполнения защищаемого помещения должен находиться в цистерне на станции. Остальная вода может подаваться из судовых запасов. Устройства (например, насосы, арматура), обеспечивающие подпитку цистерны пресной воды, должны находиться вне защищаемого помещения, питаться от аварийного дизель-генератора и иметь подачу, достаточную для непрерывной работы системы согласно требованиям приложения 275 настоящих Правил.</w:t>
      </w:r>
    </w:p>
    <w:bookmarkEnd w:id="7300"/>
    <w:bookmarkStart w:name="z7313" w:id="7301"/>
    <w:p>
      <w:pPr>
        <w:spacing w:after="0"/>
        <w:ind w:left="0"/>
        <w:jc w:val="both"/>
      </w:pPr>
      <w:r>
        <w:rPr>
          <w:rFonts w:ascii="Times New Roman"/>
          <w:b w:val="false"/>
          <w:i w:val="false"/>
          <w:color w:val="000000"/>
          <w:sz w:val="28"/>
        </w:rPr>
        <w:t>
      2378. Смесители для получения водного раствора пенообразователя требуемой концентрации применяют одобренного типа. Смесители обеспечивают одновременно работающие лафетные стволы и/или пеногенераторы.</w:t>
      </w:r>
    </w:p>
    <w:bookmarkEnd w:id="7301"/>
    <w:bookmarkStart w:name="z7314" w:id="7302"/>
    <w:p>
      <w:pPr>
        <w:spacing w:after="0"/>
        <w:ind w:left="0"/>
        <w:jc w:val="both"/>
      </w:pPr>
      <w:r>
        <w:rPr>
          <w:rFonts w:ascii="Times New Roman"/>
          <w:b w:val="false"/>
          <w:i w:val="false"/>
          <w:color w:val="000000"/>
          <w:sz w:val="28"/>
        </w:rPr>
        <w:t>
      2379. Главный пост управления стационарной палубной системой должен находиться в станции пожаротушения, расположенной вне грузовой зоны, вблизи жилых помещений, быть легкодоступным и обеспечивать управление системой. В станции пожаротушения на магистральном трубопроводе на максимальном удалении от смесителей предусматривается устройство отбора проб для определения процентного содержания пенообразователя в растворе, на трубопроводе питания системы водой устанавливается манометр.</w:t>
      </w:r>
    </w:p>
    <w:bookmarkEnd w:id="7302"/>
    <w:bookmarkStart w:name="z7315" w:id="7303"/>
    <w:p>
      <w:pPr>
        <w:spacing w:after="0"/>
        <w:ind w:left="0"/>
        <w:jc w:val="both"/>
      </w:pPr>
      <w:r>
        <w:rPr>
          <w:rFonts w:ascii="Times New Roman"/>
          <w:b w:val="false"/>
          <w:i w:val="false"/>
          <w:color w:val="000000"/>
          <w:sz w:val="28"/>
        </w:rPr>
        <w:t>
      Основное оборудование палубной системы (например, цистерны с пенообразователем, насосы, смесители) может располагаться в машинном отделении.</w:t>
      </w:r>
    </w:p>
    <w:bookmarkEnd w:id="7303"/>
    <w:bookmarkStart w:name="z7316" w:id="7304"/>
    <w:p>
      <w:pPr>
        <w:spacing w:after="0"/>
        <w:ind w:left="0"/>
        <w:jc w:val="both"/>
      </w:pPr>
      <w:r>
        <w:rPr>
          <w:rFonts w:ascii="Times New Roman"/>
          <w:b w:val="false"/>
          <w:i w:val="false"/>
          <w:color w:val="000000"/>
          <w:sz w:val="28"/>
        </w:rPr>
        <w:t>
      2380. По согласованию с Регистром судоходства допускается применение на судне общей палубной магистрали для систем пенотушения и водопожарной, если будет продемонстрировано, что пенным стволом может эффективно управлять один человек, когда подача пены осуществляется под давлением, требуемым для лафетных стволов. Предусматривается дополнительное количество пенообразователя для обеспечения работы двух стволов в течение периода времени, требуемого согласно приложению 275 настоящих Правил.</w:t>
      </w:r>
    </w:p>
    <w:bookmarkEnd w:id="7304"/>
    <w:bookmarkStart w:name="z7317" w:id="7305"/>
    <w:p>
      <w:pPr>
        <w:spacing w:after="0"/>
        <w:ind w:left="0"/>
        <w:jc w:val="left"/>
      </w:pPr>
      <w:r>
        <w:rPr>
          <w:rFonts w:ascii="Times New Roman"/>
          <w:b/>
          <w:i w:val="false"/>
          <w:color w:val="000000"/>
        </w:rPr>
        <w:t xml:space="preserve"> Параграф 2. Стационарная палубная система</w:t>
      </w:r>
    </w:p>
    <w:bookmarkEnd w:id="7305"/>
    <w:bookmarkStart w:name="z7318" w:id="7306"/>
    <w:p>
      <w:pPr>
        <w:spacing w:after="0"/>
        <w:ind w:left="0"/>
        <w:jc w:val="both"/>
      </w:pPr>
      <w:r>
        <w:rPr>
          <w:rFonts w:ascii="Times New Roman"/>
          <w:b w:val="false"/>
          <w:i w:val="false"/>
          <w:color w:val="000000"/>
          <w:sz w:val="28"/>
        </w:rPr>
        <w:t>
      2381. Кратность вырабатываемой системой пены, как правило, должна быть не больше 12:1. Если система фактически производит пену низкой кратности, несколько большей чем 12:1, количество пенообразователя рассчитывается как для системы с кратностью 12:1. Если система производит пену кратностью несколько меньшей чем 12:1, количество пенообразователя должно быть пропорционально увеличено.</w:t>
      </w:r>
    </w:p>
    <w:bookmarkEnd w:id="7306"/>
    <w:bookmarkStart w:name="z7319" w:id="7307"/>
    <w:p>
      <w:pPr>
        <w:spacing w:after="0"/>
        <w:ind w:left="0"/>
        <w:jc w:val="both"/>
      </w:pPr>
      <w:r>
        <w:rPr>
          <w:rFonts w:ascii="Times New Roman"/>
          <w:b w:val="false"/>
          <w:i w:val="false"/>
          <w:color w:val="000000"/>
          <w:sz w:val="28"/>
        </w:rPr>
        <w:t>
      При применении пены средней кратности количество пенообразователя должно быть не менее расчетного и достаточным для работы в течение 10 мин расчетного числа пеногенераторов и одного установленного лафетного ствола.</w:t>
      </w:r>
    </w:p>
    <w:bookmarkEnd w:id="7307"/>
    <w:bookmarkStart w:name="z7320" w:id="7308"/>
    <w:p>
      <w:pPr>
        <w:spacing w:after="0"/>
        <w:ind w:left="0"/>
        <w:jc w:val="both"/>
      </w:pPr>
      <w:r>
        <w:rPr>
          <w:rFonts w:ascii="Times New Roman"/>
          <w:b w:val="false"/>
          <w:i w:val="false"/>
          <w:color w:val="000000"/>
          <w:sz w:val="28"/>
        </w:rPr>
        <w:t>
      2382. Пена подается с помощью лафетных стволов и переносных пеногенераторов или ручных воздушно-пенных стволов (пункты 2524 и настоящих Правил) на всю площадь палубы грузовых танков, а также в любой грузовой танк, палуба которого была вскрыта.</w:t>
      </w:r>
    </w:p>
    <w:bookmarkEnd w:id="7308"/>
    <w:bookmarkStart w:name="z7321" w:id="7309"/>
    <w:p>
      <w:pPr>
        <w:spacing w:after="0"/>
        <w:ind w:left="0"/>
        <w:jc w:val="both"/>
      </w:pPr>
      <w:r>
        <w:rPr>
          <w:rFonts w:ascii="Times New Roman"/>
          <w:b w:val="false"/>
          <w:i w:val="false"/>
          <w:color w:val="000000"/>
          <w:sz w:val="28"/>
        </w:rPr>
        <w:t>
      2383. Каждый лафетный ствол обеспечивает подачу раствора пенообразователя с интенсивностью не менее 50 % указанной в сносках подпунктов 1) и 2) пункта 2 приложения 275 настоящих Правил.</w:t>
      </w:r>
    </w:p>
    <w:bookmarkEnd w:id="7309"/>
    <w:bookmarkStart w:name="z7322" w:id="7310"/>
    <w:p>
      <w:pPr>
        <w:spacing w:after="0"/>
        <w:ind w:left="0"/>
        <w:jc w:val="both"/>
      </w:pPr>
      <w:r>
        <w:rPr>
          <w:rFonts w:ascii="Times New Roman"/>
          <w:b w:val="false"/>
          <w:i w:val="false"/>
          <w:color w:val="000000"/>
          <w:sz w:val="28"/>
        </w:rPr>
        <w:t>
      На судах дедвейтом менее 4000 т допускается устанавливать лишь переносные пеногенераторы или ручные воздушно-пенные стволы. Однако в этом случае производительность каждого пеногенератора по пункту 2537 настоящих Правил или ручного ствола по подпункту 1) пункта 2524 настоящих Правил обеспечивает подачу раствора пенообразователя с интенсивностью не менее 25 % указанной в сносках подпунктов 1) и 2) пункта 2 приложения 275 настоящих Правил.</w:t>
      </w:r>
    </w:p>
    <w:bookmarkEnd w:id="7310"/>
    <w:bookmarkStart w:name="z7323" w:id="7311"/>
    <w:p>
      <w:pPr>
        <w:spacing w:after="0"/>
        <w:ind w:left="0"/>
        <w:jc w:val="both"/>
      </w:pPr>
      <w:r>
        <w:rPr>
          <w:rFonts w:ascii="Times New Roman"/>
          <w:b w:val="false"/>
          <w:i w:val="false"/>
          <w:color w:val="000000"/>
          <w:sz w:val="28"/>
        </w:rPr>
        <w:t>
      2384. Число и расположение лафетных стволов должны обеспечивать выполнение требований пунктов 2382, 2386 и 2388 настоящих Правил. Подача любого лафетного ствола по раствору должна быть не менее указанной в сноске подпункта 3) пункта 2 приложения 275 настоящих Правил.</w:t>
      </w:r>
    </w:p>
    <w:bookmarkEnd w:id="7311"/>
    <w:bookmarkStart w:name="z7324" w:id="7312"/>
    <w:p>
      <w:pPr>
        <w:spacing w:after="0"/>
        <w:ind w:left="0"/>
        <w:jc w:val="both"/>
      </w:pPr>
      <w:r>
        <w:rPr>
          <w:rFonts w:ascii="Times New Roman"/>
          <w:b w:val="false"/>
          <w:i w:val="false"/>
          <w:color w:val="000000"/>
          <w:sz w:val="28"/>
        </w:rPr>
        <w:t>
      2385. Лафетный ствол рекомендуется снабдить переключающим устройством для обеспечения попеременной подачи воды и пены. К этому устройству подводятся отростки от водопожарной магистрали и магистрали пенного раствора. Вместо переключающего устройства допускается устанавливать запорные клапаны, если предусматривается их взаимная блокировка.</w:t>
      </w:r>
    </w:p>
    <w:bookmarkEnd w:id="7312"/>
    <w:bookmarkStart w:name="z7325" w:id="7313"/>
    <w:p>
      <w:pPr>
        <w:spacing w:after="0"/>
        <w:ind w:left="0"/>
        <w:jc w:val="both"/>
      </w:pPr>
      <w:r>
        <w:rPr>
          <w:rFonts w:ascii="Times New Roman"/>
          <w:b w:val="false"/>
          <w:i w:val="false"/>
          <w:color w:val="000000"/>
          <w:sz w:val="28"/>
        </w:rPr>
        <w:t>
      2386. Расстояние от лафетного ствола до самой отдаленной границы защищаемой площади, расположенной в нос от него, должно быть не более 75 % длины струи лафетного ствола при безветрии.</w:t>
      </w:r>
    </w:p>
    <w:bookmarkEnd w:id="7313"/>
    <w:bookmarkStart w:name="z7326" w:id="7314"/>
    <w:p>
      <w:pPr>
        <w:spacing w:after="0"/>
        <w:ind w:left="0"/>
        <w:jc w:val="both"/>
      </w:pPr>
      <w:r>
        <w:rPr>
          <w:rFonts w:ascii="Times New Roman"/>
          <w:b w:val="false"/>
          <w:i w:val="false"/>
          <w:color w:val="000000"/>
          <w:sz w:val="28"/>
        </w:rPr>
        <w:t>
      2387. В легкодоступных местах на палубе грузовых танков на магистральном трубопроводе пенотушения приблизительно через каждые 30 м устанавливаются отсечные клинкеты или клапаны. Каждый клапан снабжается табличкой с надписью, что в обычных условиях эксплуатации клапан должен быть постоянно открыт.</w:t>
      </w:r>
    </w:p>
    <w:bookmarkEnd w:id="7314"/>
    <w:bookmarkStart w:name="z7327" w:id="7315"/>
    <w:p>
      <w:pPr>
        <w:spacing w:after="0"/>
        <w:ind w:left="0"/>
        <w:jc w:val="both"/>
      </w:pPr>
      <w:r>
        <w:rPr>
          <w:rFonts w:ascii="Times New Roman"/>
          <w:b w:val="false"/>
          <w:i w:val="false"/>
          <w:color w:val="000000"/>
          <w:sz w:val="28"/>
        </w:rPr>
        <w:t>
      Перед каждым отсечным клапаном на магистрали устанавливаются сдвоенные пожарные краны диаметром около 70 мм для подсоединения рукавов с воздушно-пенными стволами на расстоянии, обеспечивающем выполнение требования пункта 2324 настоящих Правил.</w:t>
      </w:r>
    </w:p>
    <w:bookmarkEnd w:id="7315"/>
    <w:bookmarkStart w:name="z7328" w:id="7316"/>
    <w:p>
      <w:pPr>
        <w:spacing w:after="0"/>
        <w:ind w:left="0"/>
        <w:jc w:val="both"/>
      </w:pPr>
      <w:r>
        <w:rPr>
          <w:rFonts w:ascii="Times New Roman"/>
          <w:b w:val="false"/>
          <w:i w:val="false"/>
          <w:color w:val="000000"/>
          <w:sz w:val="28"/>
        </w:rPr>
        <w:t>
      Отростки к лафетным стволам от магистральных трубопроводов систем водопожарной и пенотушения также предусматриваются до отсечных клапанов.</w:t>
      </w:r>
    </w:p>
    <w:bookmarkEnd w:id="7316"/>
    <w:bookmarkStart w:name="z7329" w:id="7317"/>
    <w:p>
      <w:pPr>
        <w:spacing w:after="0"/>
        <w:ind w:left="0"/>
        <w:jc w:val="both"/>
      </w:pPr>
      <w:r>
        <w:rPr>
          <w:rFonts w:ascii="Times New Roman"/>
          <w:b w:val="false"/>
          <w:i w:val="false"/>
          <w:color w:val="000000"/>
          <w:sz w:val="28"/>
        </w:rPr>
        <w:t>
      Если применяется пена средней кратности, вместо сдвоенных пожарных кранов устанавливаются клапанные коробки с числом пожарных кранов, равным 50 % расчетного числа пеногенераторов.</w:t>
      </w:r>
    </w:p>
    <w:bookmarkEnd w:id="7317"/>
    <w:bookmarkStart w:name="z7330" w:id="7318"/>
    <w:p>
      <w:pPr>
        <w:spacing w:after="0"/>
        <w:ind w:left="0"/>
        <w:jc w:val="both"/>
      </w:pPr>
      <w:r>
        <w:rPr>
          <w:rFonts w:ascii="Times New Roman"/>
          <w:b w:val="false"/>
          <w:i w:val="false"/>
          <w:color w:val="000000"/>
          <w:sz w:val="28"/>
        </w:rPr>
        <w:t>
      2388. На нефтеналивных судах на станции пенотушения перед выходом магистрального трубопровода за ее пределы устанавливается запорное устройство.</w:t>
      </w:r>
    </w:p>
    <w:bookmarkEnd w:id="7318"/>
    <w:bookmarkStart w:name="z7331" w:id="7319"/>
    <w:p>
      <w:pPr>
        <w:spacing w:after="0"/>
        <w:ind w:left="0"/>
        <w:jc w:val="both"/>
      </w:pPr>
      <w:r>
        <w:rPr>
          <w:rFonts w:ascii="Times New Roman"/>
          <w:b w:val="false"/>
          <w:i w:val="false"/>
          <w:color w:val="000000"/>
          <w:sz w:val="28"/>
        </w:rPr>
        <w:t>
      Перед запорным устройством предусматриваются отростки трубопровода к лафетным стволам, которые устанавливаются по левому и правому борту у носовой переборки юта или жилых помещений, обращенных в сторону грузовой палубы, и к сдвоенному пожарному крану диаметром около 70 мм для подсоединения пожарных рукавов с воздушно-пенными стволами.</w:t>
      </w:r>
    </w:p>
    <w:bookmarkEnd w:id="7319"/>
    <w:bookmarkStart w:name="z7332" w:id="7320"/>
    <w:p>
      <w:pPr>
        <w:spacing w:after="0"/>
        <w:ind w:left="0"/>
        <w:jc w:val="both"/>
      </w:pPr>
      <w:r>
        <w:rPr>
          <w:rFonts w:ascii="Times New Roman"/>
          <w:b w:val="false"/>
          <w:i w:val="false"/>
          <w:color w:val="000000"/>
          <w:sz w:val="28"/>
        </w:rPr>
        <w:t>
      При использовании пены средней кратности вместо сдвоенных пожарных кранов устанавливаются клапанные коробки с числом пожарных кранов, равным 50 % расчетного числа пеногенераторов.</w:t>
      </w:r>
    </w:p>
    <w:bookmarkEnd w:id="7320"/>
    <w:bookmarkStart w:name="z7333" w:id="7321"/>
    <w:p>
      <w:pPr>
        <w:spacing w:after="0"/>
        <w:ind w:left="0"/>
        <w:jc w:val="both"/>
      </w:pPr>
      <w:r>
        <w:rPr>
          <w:rFonts w:ascii="Times New Roman"/>
          <w:b w:val="false"/>
          <w:i w:val="false"/>
          <w:color w:val="000000"/>
          <w:sz w:val="28"/>
        </w:rPr>
        <w:t>
      2389. Система пенотушения помещений для сухих грузов должна отвечать следующим требованиям:</w:t>
      </w:r>
    </w:p>
    <w:bookmarkEnd w:id="7321"/>
    <w:bookmarkStart w:name="z7334" w:id="7322"/>
    <w:p>
      <w:pPr>
        <w:spacing w:after="0"/>
        <w:ind w:left="0"/>
        <w:jc w:val="both"/>
      </w:pPr>
      <w:r>
        <w:rPr>
          <w:rFonts w:ascii="Times New Roman"/>
          <w:b w:val="false"/>
          <w:i w:val="false"/>
          <w:color w:val="000000"/>
          <w:sz w:val="28"/>
        </w:rPr>
        <w:t>
      1) перед выходом магистрального трубопровода на открытую палубу должен быть предусмотрен запорный клапан;</w:t>
      </w:r>
    </w:p>
    <w:bookmarkEnd w:id="7322"/>
    <w:bookmarkStart w:name="z7335" w:id="7323"/>
    <w:p>
      <w:pPr>
        <w:spacing w:after="0"/>
        <w:ind w:left="0"/>
        <w:jc w:val="both"/>
      </w:pPr>
      <w:r>
        <w:rPr>
          <w:rFonts w:ascii="Times New Roman"/>
          <w:b w:val="false"/>
          <w:i w:val="false"/>
          <w:color w:val="000000"/>
          <w:sz w:val="28"/>
        </w:rPr>
        <w:t>
      2) на магистральном трубопроводе с каждого борта должны быть предусмотрены клапанные коробки с пожарными кранами. Расстояние между коробками каждого борта должно быть не более 40 м. Число пожарных кранов в каждой клапанной коробке должно быть равным 50 % расчетного числа пеногенераторов.</w:t>
      </w:r>
    </w:p>
    <w:bookmarkEnd w:id="7323"/>
    <w:bookmarkStart w:name="z7336" w:id="7324"/>
    <w:p>
      <w:pPr>
        <w:spacing w:after="0"/>
        <w:ind w:left="0"/>
        <w:jc w:val="both"/>
      </w:pPr>
      <w:r>
        <w:rPr>
          <w:rFonts w:ascii="Times New Roman"/>
          <w:b w:val="false"/>
          <w:i w:val="false"/>
          <w:color w:val="000000"/>
          <w:sz w:val="28"/>
        </w:rPr>
        <w:t>
      2390. Если судно оборудовано системой тушения пеной низкой и/или средней кратности предусматриваются отростки от трубопровода раствора к месту входов в машинные помещения с верхней палубы, а также к району приема жидкого топлива на судно. На этих отростках устанавливается по два крана для подсоединения к ним пожарных рукавов с воздушно-пенными стволами или пеногенераторами.</w:t>
      </w:r>
    </w:p>
    <w:bookmarkEnd w:id="7324"/>
    <w:bookmarkStart w:name="z7337" w:id="7325"/>
    <w:p>
      <w:pPr>
        <w:spacing w:after="0"/>
        <w:ind w:left="0"/>
        <w:jc w:val="both"/>
      </w:pPr>
      <w:r>
        <w:rPr>
          <w:rFonts w:ascii="Times New Roman"/>
          <w:b w:val="false"/>
          <w:i w:val="false"/>
          <w:color w:val="000000"/>
          <w:sz w:val="28"/>
        </w:rPr>
        <w:t>
      2391. На судах, на которых применяется воздушно-механическая пена средней кратности, рекомендуется предусмотреть соединение трубопровода раствора с водопожарной магистралью для применения указанной пены при тушении пожаров в жилых и служебных помещениях от водопожарной магистрали. Для этой цели у кранов в жилых и служебных помещениях необходимо предусмотреть соответствующее число переносных пеногенераторов.</w:t>
      </w:r>
    </w:p>
    <w:bookmarkEnd w:id="7325"/>
    <w:bookmarkStart w:name="z7338" w:id="7326"/>
    <w:p>
      <w:pPr>
        <w:spacing w:after="0"/>
        <w:ind w:left="0"/>
        <w:jc w:val="both"/>
      </w:pPr>
      <w:r>
        <w:rPr>
          <w:rFonts w:ascii="Times New Roman"/>
          <w:b w:val="false"/>
          <w:i w:val="false"/>
          <w:color w:val="000000"/>
          <w:sz w:val="28"/>
        </w:rPr>
        <w:t>
      На вертолетную палубу, площадь которой лимитируется длиной обслуживаемых вертолетов, пена подается лафетными стволами или пеногенераторами, способными подавать пену в любую часть палубы при погодных условиях, пригодных для работы вертолетов. Система подает пену в течение не менее 5 мин с интенсивностью подачи раствора, указанной в приложении 276 настоящих Правил.</w:t>
      </w:r>
    </w:p>
    <w:bookmarkEnd w:id="7326"/>
    <w:bookmarkStart w:name="z7339" w:id="7327"/>
    <w:p>
      <w:pPr>
        <w:spacing w:after="0"/>
        <w:ind w:left="0"/>
        <w:jc w:val="both"/>
      </w:pPr>
      <w:r>
        <w:rPr>
          <w:rFonts w:ascii="Times New Roman"/>
          <w:b w:val="false"/>
          <w:i w:val="false"/>
          <w:color w:val="000000"/>
          <w:sz w:val="28"/>
        </w:rPr>
        <w:t>
      2392. Вместо лафетных стволов и пеногенераторов допускается применять соответственно стационарные и переносные установки комбинированной пены.</w:t>
      </w:r>
    </w:p>
    <w:bookmarkEnd w:id="7327"/>
    <w:bookmarkStart w:name="z7340" w:id="7328"/>
    <w:p>
      <w:pPr>
        <w:spacing w:after="0"/>
        <w:ind w:left="0"/>
        <w:jc w:val="left"/>
      </w:pPr>
      <w:r>
        <w:rPr>
          <w:rFonts w:ascii="Times New Roman"/>
          <w:b/>
          <w:i w:val="false"/>
          <w:color w:val="000000"/>
        </w:rPr>
        <w:t xml:space="preserve"> Параграф 3. Система тушения пеной высокой кратности</w:t>
      </w:r>
    </w:p>
    <w:bookmarkEnd w:id="7328"/>
    <w:bookmarkStart w:name="z7341" w:id="7329"/>
    <w:p>
      <w:pPr>
        <w:spacing w:after="0"/>
        <w:ind w:left="0"/>
        <w:jc w:val="both"/>
      </w:pPr>
      <w:r>
        <w:rPr>
          <w:rFonts w:ascii="Times New Roman"/>
          <w:b w:val="false"/>
          <w:i w:val="false"/>
          <w:color w:val="000000"/>
          <w:sz w:val="28"/>
        </w:rPr>
        <w:t>
      2393. Помещения, защищаемые системой тушения пеной высокой кратности, должны иметь в верхней части, противоположной вводу пены, отверстия для выхода воздуха. Как правило, эти отверстия должны располагаться за пределами районов 1 и 2 согласно пункту 1179 настоящих Правил. При ином расположении эти отверстия должны отвечать требованиям указанной части настоящих Правил.</w:t>
      </w:r>
    </w:p>
    <w:bookmarkEnd w:id="7329"/>
    <w:bookmarkStart w:name="z7342" w:id="7330"/>
    <w:p>
      <w:pPr>
        <w:spacing w:after="0"/>
        <w:ind w:left="0"/>
        <w:jc w:val="both"/>
      </w:pPr>
      <w:r>
        <w:rPr>
          <w:rFonts w:ascii="Times New Roman"/>
          <w:b w:val="false"/>
          <w:i w:val="false"/>
          <w:color w:val="000000"/>
          <w:sz w:val="28"/>
        </w:rPr>
        <w:t>
      2394. Площадь сечения пеноводов должна быть не менее площади выходных отверстий пеногенераторов. Пеноводы прокладывают так, чтобы потери напора в них были минимальными, а расположение выходных отверстий не должно препятствовать свободному поступлению пены в защищаемое помещение.</w:t>
      </w:r>
    </w:p>
    <w:bookmarkEnd w:id="7330"/>
    <w:bookmarkStart w:name="z7343" w:id="7331"/>
    <w:p>
      <w:pPr>
        <w:spacing w:after="0"/>
        <w:ind w:left="0"/>
        <w:jc w:val="both"/>
      </w:pPr>
      <w:r>
        <w:rPr>
          <w:rFonts w:ascii="Times New Roman"/>
          <w:b w:val="false"/>
          <w:i w:val="false"/>
          <w:color w:val="000000"/>
          <w:sz w:val="28"/>
        </w:rPr>
        <w:t>
      2395. Пеногенератор применяют одобренной Регистром судоходства конструкции, обеспечивающей получение высокократной воздушно-механической пены из водного раствора пенообразователя одобренного типа.</w:t>
      </w:r>
    </w:p>
    <w:bookmarkEnd w:id="7331"/>
    <w:bookmarkStart w:name="z7344" w:id="7332"/>
    <w:p>
      <w:pPr>
        <w:spacing w:after="0"/>
        <w:ind w:left="0"/>
        <w:jc w:val="both"/>
      </w:pPr>
      <w:r>
        <w:rPr>
          <w:rFonts w:ascii="Times New Roman"/>
          <w:b w:val="false"/>
          <w:i w:val="false"/>
          <w:color w:val="000000"/>
          <w:sz w:val="28"/>
        </w:rPr>
        <w:t>
      2396. Выходное отверстие пеногенератора или пеновод в месте выхода его за пределы станции оборудуется закрывающим устройством. Это устройство открывается автоматически одновременно с пуском пены.</w:t>
      </w:r>
    </w:p>
    <w:bookmarkEnd w:id="7332"/>
    <w:bookmarkStart w:name="z7345" w:id="7333"/>
    <w:p>
      <w:pPr>
        <w:spacing w:after="0"/>
        <w:ind w:left="0"/>
        <w:jc w:val="both"/>
      </w:pPr>
      <w:r>
        <w:rPr>
          <w:rFonts w:ascii="Times New Roman"/>
          <w:b w:val="false"/>
          <w:i w:val="false"/>
          <w:color w:val="000000"/>
          <w:sz w:val="28"/>
        </w:rPr>
        <w:t>
      Предусматривается ручное управление устройством и указатели положений "открыто" и "закрыто".</w:t>
      </w:r>
    </w:p>
    <w:bookmarkEnd w:id="7333"/>
    <w:bookmarkStart w:name="z7346" w:id="7334"/>
    <w:p>
      <w:pPr>
        <w:spacing w:after="0"/>
        <w:ind w:left="0"/>
        <w:jc w:val="both"/>
      </w:pPr>
      <w:r>
        <w:rPr>
          <w:rFonts w:ascii="Times New Roman"/>
          <w:b w:val="false"/>
          <w:i w:val="false"/>
          <w:color w:val="000000"/>
          <w:sz w:val="28"/>
        </w:rPr>
        <w:t>
      2497. Предусматривается переключающее устройство для выпуска пены на открытую палубу вместо защищаемого помещения при испытаниях пеногенератора. Устройство постоянно находится в положении, обеспечивающем поступление пены в защищаемое помещение, и имеет приспособление для пломбирования в таком положении.</w:t>
      </w:r>
    </w:p>
    <w:bookmarkEnd w:id="7334"/>
    <w:bookmarkStart w:name="z7347" w:id="7335"/>
    <w:p>
      <w:pPr>
        <w:spacing w:after="0"/>
        <w:ind w:left="0"/>
        <w:jc w:val="both"/>
      </w:pPr>
      <w:r>
        <w:rPr>
          <w:rFonts w:ascii="Times New Roman"/>
          <w:b w:val="false"/>
          <w:i w:val="false"/>
          <w:color w:val="000000"/>
          <w:sz w:val="28"/>
        </w:rPr>
        <w:t>
      2398. При площади защищаемого помещения более 400 м</w:t>
      </w:r>
      <w:r>
        <w:rPr>
          <w:rFonts w:ascii="Times New Roman"/>
          <w:b w:val="false"/>
          <w:i w:val="false"/>
          <w:color w:val="000000"/>
          <w:vertAlign w:val="superscript"/>
        </w:rPr>
        <w:t>2</w:t>
      </w:r>
      <w:r>
        <w:rPr>
          <w:rFonts w:ascii="Times New Roman"/>
          <w:b w:val="false"/>
          <w:i w:val="false"/>
          <w:color w:val="000000"/>
          <w:sz w:val="28"/>
        </w:rPr>
        <w:t xml:space="preserve"> должно быть предусмотрено не менее двух пеногенераторов, обеспечивающих подачу пены в максимально удаленные друг от друга зоны защищаемого помещения.</w:t>
      </w:r>
    </w:p>
    <w:bookmarkEnd w:id="7335"/>
    <w:bookmarkStart w:name="z7348" w:id="7336"/>
    <w:p>
      <w:pPr>
        <w:spacing w:after="0"/>
        <w:ind w:left="0"/>
        <w:jc w:val="both"/>
      </w:pPr>
      <w:r>
        <w:rPr>
          <w:rFonts w:ascii="Times New Roman"/>
          <w:b w:val="false"/>
          <w:i w:val="false"/>
          <w:color w:val="000000"/>
          <w:sz w:val="28"/>
        </w:rPr>
        <w:t>
      2399. Оборудование, обеспечивающее работу пеногенераторов, получает питание от основного и аварийного источников электроэнергии в соответствии с требованиями пункта 4903, главы 480 и параграфа 2 главы 531 настоящих Правил.</w:t>
      </w:r>
    </w:p>
    <w:bookmarkEnd w:id="7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49" w:id="7337"/>
    <w:p>
      <w:pPr>
        <w:spacing w:after="0"/>
        <w:ind w:left="0"/>
        <w:jc w:val="left"/>
      </w:pPr>
      <w:r>
        <w:rPr>
          <w:rFonts w:ascii="Times New Roman"/>
          <w:b/>
          <w:i w:val="false"/>
          <w:color w:val="000000"/>
        </w:rPr>
        <w:t xml:space="preserve"> Глава 154. Система углекислотного тушения</w:t>
      </w:r>
    </w:p>
    <w:bookmarkEnd w:id="7337"/>
    <w:p>
      <w:pPr>
        <w:spacing w:after="0"/>
        <w:ind w:left="0"/>
        <w:jc w:val="both"/>
      </w:pPr>
      <w:r>
        <w:rPr>
          <w:rFonts w:ascii="Times New Roman"/>
          <w:b w:val="false"/>
          <w:i w:val="false"/>
          <w:color w:val="ff0000"/>
          <w:sz w:val="28"/>
        </w:rPr>
        <w:t xml:space="preserve">
      Сноска. Заголовок главы 154 -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50" w:id="7338"/>
    <w:p>
      <w:pPr>
        <w:spacing w:after="0"/>
        <w:ind w:left="0"/>
        <w:jc w:val="left"/>
      </w:pPr>
      <w:r>
        <w:rPr>
          <w:rFonts w:ascii="Times New Roman"/>
          <w:b/>
          <w:i w:val="false"/>
          <w:color w:val="000000"/>
        </w:rPr>
        <w:t xml:space="preserve"> Параграф 1. Общие указания</w:t>
      </w:r>
    </w:p>
    <w:bookmarkEnd w:id="7338"/>
    <w:bookmarkStart w:name="z7351" w:id="7339"/>
    <w:p>
      <w:pPr>
        <w:spacing w:after="0"/>
        <w:ind w:left="0"/>
        <w:jc w:val="both"/>
      </w:pPr>
      <w:r>
        <w:rPr>
          <w:rFonts w:ascii="Times New Roman"/>
          <w:b w:val="false"/>
          <w:i w:val="false"/>
          <w:color w:val="000000"/>
          <w:sz w:val="28"/>
        </w:rPr>
        <w:t>
      2400. Количество углекислого газа, кг, определяется по формуле:</w:t>
      </w:r>
    </w:p>
    <w:bookmarkEnd w:id="7339"/>
    <w:bookmarkStart w:name="z7352" w:id="7340"/>
    <w:p>
      <w:pPr>
        <w:spacing w:after="0"/>
        <w:ind w:left="0"/>
        <w:jc w:val="both"/>
      </w:pPr>
      <w:r>
        <w:rPr>
          <w:rFonts w:ascii="Times New Roman"/>
          <w:b w:val="false"/>
          <w:i w:val="false"/>
          <w:color w:val="000000"/>
          <w:sz w:val="28"/>
        </w:rPr>
        <w:t>
      G= 1,79 V</w:t>
      </w:r>
    </w:p>
    <w:bookmarkEnd w:id="7340"/>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3"/>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(725)</w:t>
      </w:r>
      <w:r>
        <w:br/>
      </w:r>
      <w:r>
        <w:rPr>
          <w:rFonts w:ascii="Times New Roman"/>
          <w:b w:val="false"/>
          <w:i w:val="false"/>
          <w:color w:val="000000"/>
          <w:sz w:val="28"/>
        </w:rPr>
        <w:t>
</w:t>
      </w:r>
    </w:p>
    <w:bookmarkStart w:name="z7353" w:id="7341"/>
    <w:p>
      <w:pPr>
        <w:spacing w:after="0"/>
        <w:ind w:left="0"/>
        <w:jc w:val="both"/>
      </w:pPr>
      <w:r>
        <w:rPr>
          <w:rFonts w:ascii="Times New Roman"/>
          <w:b w:val="false"/>
          <w:i w:val="false"/>
          <w:color w:val="000000"/>
          <w:sz w:val="28"/>
        </w:rPr>
        <w:t>
      где V — расчетный объем защищаемого помещения, м</w:t>
      </w:r>
      <w:r>
        <w:rPr>
          <w:rFonts w:ascii="Times New Roman"/>
          <w:b w:val="false"/>
          <w:i w:val="false"/>
          <w:color w:val="000000"/>
          <w:vertAlign w:val="superscript"/>
        </w:rPr>
        <w:t>3</w:t>
      </w:r>
      <w:r>
        <w:rPr>
          <w:rFonts w:ascii="Times New Roman"/>
          <w:b w:val="false"/>
          <w:i w:val="false"/>
          <w:color w:val="000000"/>
          <w:sz w:val="28"/>
        </w:rPr>
        <w:t>;</w:t>
      </w:r>
    </w:p>
    <w:bookmarkEnd w:id="7341"/>
    <w:bookmarkStart w:name="z7354" w:id="7342"/>
    <w:p>
      <w:pPr>
        <w:spacing w:after="0"/>
        <w:ind w:left="0"/>
        <w:jc w:val="both"/>
      </w:pPr>
      <w:r>
        <w:rPr>
          <w:rFonts w:ascii="Times New Roman"/>
          <w:b w:val="false"/>
          <w:i w:val="false"/>
          <w:color w:val="000000"/>
          <w:sz w:val="28"/>
        </w:rPr>
        <w:t xml:space="preserve">
      </w:t>
      </w:r>
    </w:p>
    <w:bookmarkEnd w:id="7342"/>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4"/>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равный:</w:t>
      </w:r>
      <w:r>
        <w:br/>
      </w:r>
      <w:r>
        <w:rPr>
          <w:rFonts w:ascii="Times New Roman"/>
          <w:b w:val="false"/>
          <w:i w:val="false"/>
          <w:color w:val="000000"/>
          <w:sz w:val="28"/>
        </w:rPr>
        <w:t>
</w:t>
      </w:r>
    </w:p>
    <w:bookmarkStart w:name="z7355" w:id="7343"/>
    <w:p>
      <w:pPr>
        <w:spacing w:after="0"/>
        <w:ind w:left="0"/>
        <w:jc w:val="both"/>
      </w:pPr>
      <w:r>
        <w:rPr>
          <w:rFonts w:ascii="Times New Roman"/>
          <w:b w:val="false"/>
          <w:i w:val="false"/>
          <w:color w:val="000000"/>
          <w:sz w:val="28"/>
        </w:rPr>
        <w:t xml:space="preserve">
      0,3 — для сухогрузных трюмов и прочих помещений, за исключением указанных ниже; </w:t>
      </w:r>
    </w:p>
    <w:bookmarkEnd w:id="7343"/>
    <w:bookmarkStart w:name="z7356" w:id="7344"/>
    <w:p>
      <w:pPr>
        <w:spacing w:after="0"/>
        <w:ind w:left="0"/>
        <w:jc w:val="both"/>
      </w:pPr>
      <w:r>
        <w:rPr>
          <w:rFonts w:ascii="Times New Roman"/>
          <w:b w:val="false"/>
          <w:i w:val="false"/>
          <w:color w:val="000000"/>
          <w:sz w:val="28"/>
        </w:rPr>
        <w:t>
      0,35 — для машинных помещений, расчетный объем которых определен с учетом полного объема шахт;</w:t>
      </w:r>
    </w:p>
    <w:bookmarkEnd w:id="7344"/>
    <w:bookmarkStart w:name="z7357" w:id="7345"/>
    <w:p>
      <w:pPr>
        <w:spacing w:after="0"/>
        <w:ind w:left="0"/>
        <w:jc w:val="both"/>
      </w:pPr>
      <w:r>
        <w:rPr>
          <w:rFonts w:ascii="Times New Roman"/>
          <w:b w:val="false"/>
          <w:i w:val="false"/>
          <w:color w:val="000000"/>
          <w:sz w:val="28"/>
        </w:rPr>
        <w:t>
      0,4 — для машинных помещений, расчетный объем которых определен без учета объема шахт с уровня, на котором площадь горизонтального сечения шахт равна 40 % площади машинного помещения или меньше ее и кладовых указанных в пункте 2136 настоящих Правил (примечание 3 к приложению 273 настоящих Правил);</w:t>
      </w:r>
    </w:p>
    <w:bookmarkEnd w:id="7345"/>
    <w:bookmarkStart w:name="z7358" w:id="7346"/>
    <w:p>
      <w:pPr>
        <w:spacing w:after="0"/>
        <w:ind w:left="0"/>
        <w:jc w:val="both"/>
      </w:pPr>
      <w:r>
        <w:rPr>
          <w:rFonts w:ascii="Times New Roman"/>
          <w:b w:val="false"/>
          <w:i w:val="false"/>
          <w:color w:val="000000"/>
          <w:sz w:val="28"/>
        </w:rPr>
        <w:t>
      0,45 — для помещений, в которых перевозятся автомобили с топливом в баках, и для закрытых помещений с горизонтальным способом погрузки и выгрузки.</w:t>
      </w:r>
    </w:p>
    <w:bookmarkEnd w:id="7346"/>
    <w:bookmarkStart w:name="z7359" w:id="7347"/>
    <w:p>
      <w:pPr>
        <w:spacing w:after="0"/>
        <w:ind w:left="0"/>
        <w:jc w:val="both"/>
      </w:pPr>
      <w:r>
        <w:rPr>
          <w:rFonts w:ascii="Times New Roman"/>
          <w:b w:val="false"/>
          <w:i w:val="false"/>
          <w:color w:val="000000"/>
          <w:sz w:val="28"/>
        </w:rPr>
        <w:t xml:space="preserve">
      Для машинных помещений берется тот коэффициент </w:t>
      </w:r>
    </w:p>
    <w:bookmarkEnd w:id="7347"/>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5"/>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при котором получается большее значение G. На судах валовой вместимостью менее 2000, за исключением пассажирских, коэффициент 0,35 и 0,4 можно уменьшить до 0,3 и 0,35 соответственно, если два или более машинных помещения, которые полностью не отделены друг от друга, рассматриваются как образующее одно помещение.</w:t>
      </w:r>
      <w:r>
        <w:br/>
      </w:r>
      <w:r>
        <w:rPr>
          <w:rFonts w:ascii="Times New Roman"/>
          <w:b w:val="false"/>
          <w:i w:val="false"/>
          <w:color w:val="000000"/>
          <w:sz w:val="28"/>
        </w:rPr>
        <w:t>
</w:t>
      </w:r>
    </w:p>
    <w:bookmarkStart w:name="z7360" w:id="7348"/>
    <w:p>
      <w:pPr>
        <w:spacing w:after="0"/>
        <w:ind w:left="0"/>
        <w:jc w:val="both"/>
      </w:pPr>
      <w:r>
        <w:rPr>
          <w:rFonts w:ascii="Times New Roman"/>
          <w:b w:val="false"/>
          <w:i w:val="false"/>
          <w:color w:val="000000"/>
          <w:sz w:val="28"/>
        </w:rPr>
        <w:t>
      2401. Если трубопровод системы углекислотного тушения используется в качестве трубопровода дымосигнальной системы, допускается установка распределительного коллектора углекислотой системы совместно с пусковыми устройствами подачи углекислого газа в каждое из защищаемых дымосигнальной системой помещений вблизи ее приемных устройств. Однако рекомендуется, чтобы установка такого коллектора не исключала возможности выпуска углекислого газа в любое из защищаемых помещений непосредственно со станции пожаротушения.</w:t>
      </w:r>
    </w:p>
    <w:bookmarkEnd w:id="7348"/>
    <w:bookmarkStart w:name="z7361" w:id="7349"/>
    <w:p>
      <w:pPr>
        <w:spacing w:after="0"/>
        <w:ind w:left="0"/>
        <w:jc w:val="both"/>
      </w:pPr>
      <w:r>
        <w:rPr>
          <w:rFonts w:ascii="Times New Roman"/>
          <w:b w:val="false"/>
          <w:i w:val="false"/>
          <w:color w:val="000000"/>
          <w:sz w:val="28"/>
        </w:rPr>
        <w:t>
      2402. Суммарная площадь проходных сечений коллекторов, а также площадь проходного сечения распределительного коллектора должны быть не более суммы площадей проходных сечений клапанов баллонов, одновременно открываемых для наибольшего по объему защищаемого помещения (для системы высокого давления), или не более площади сечения выпускного клапана резервуара (для системы низкого давления).</w:t>
      </w:r>
    </w:p>
    <w:bookmarkEnd w:id="7349"/>
    <w:bookmarkStart w:name="z7362" w:id="7350"/>
    <w:p>
      <w:pPr>
        <w:spacing w:after="0"/>
        <w:ind w:left="0"/>
        <w:jc w:val="both"/>
      </w:pPr>
      <w:r>
        <w:rPr>
          <w:rFonts w:ascii="Times New Roman"/>
          <w:b w:val="false"/>
          <w:i w:val="false"/>
          <w:color w:val="000000"/>
          <w:sz w:val="28"/>
        </w:rPr>
        <w:t>
      2403. Площади проходных сечений распределительных трубопроводов для отдельных защищаемых помещений должны быть не более суммы площадей проходных сечений клапанов баллонов, одновременно открываемых для данного помещения (для системы высокого давления), или не более площади сечения выпускного клапана резервуара (для системы низкого давления). При этом сумма площадей проходных сечений отводящих трубопроводов должна быть не больше площади проходного сечения подводящего трубопровода, за исключением случаев, когда расчетом доказано, что падение давления в любом сечении трубопровода не будет меньше 1 МПа.</w:t>
      </w:r>
    </w:p>
    <w:bookmarkEnd w:id="7350"/>
    <w:bookmarkStart w:name="z7363" w:id="7351"/>
    <w:p>
      <w:pPr>
        <w:spacing w:after="0"/>
        <w:ind w:left="0"/>
        <w:jc w:val="both"/>
      </w:pPr>
      <w:r>
        <w:rPr>
          <w:rFonts w:ascii="Times New Roman"/>
          <w:b w:val="false"/>
          <w:i w:val="false"/>
          <w:color w:val="000000"/>
          <w:sz w:val="28"/>
        </w:rPr>
        <w:t>
      2404. Для машинных помещений, должна быть обеспечена подача 85 % расчетного количества углекислого газа в течение не более 2 мин.</w:t>
      </w:r>
    </w:p>
    <w:bookmarkEnd w:id="7351"/>
    <w:p>
      <w:pPr>
        <w:spacing w:after="0"/>
        <w:ind w:left="0"/>
        <w:jc w:val="both"/>
      </w:pPr>
      <w:r>
        <w:rPr>
          <w:rFonts w:ascii="Times New Roman"/>
          <w:b w:val="false"/>
          <w:i w:val="false"/>
          <w:color w:val="000000"/>
          <w:sz w:val="28"/>
        </w:rPr>
        <w:t>
      Для помещений, указанных в подпункте 1) пунктов 2138 и 2139 настоящих Правил, обеспечивается подача 2/3 расчетного количества углекислого газа в течение не более 10 мин.</w:t>
      </w:r>
    </w:p>
    <w:bookmarkStart w:name="z7364" w:id="7352"/>
    <w:p>
      <w:pPr>
        <w:spacing w:after="0"/>
        <w:ind w:left="0"/>
        <w:jc w:val="both"/>
      </w:pPr>
      <w:r>
        <w:rPr>
          <w:rFonts w:ascii="Times New Roman"/>
          <w:b w:val="false"/>
          <w:i w:val="false"/>
          <w:color w:val="000000"/>
          <w:sz w:val="28"/>
        </w:rPr>
        <w:t>
      2405. Толщина стенок трубопроводов определяется расчетом согласно главы 250 настоящих Правил (при этом расчетное давление р принимается равным расчетному давлению баллонов или резервуаров согласно 2414 или 2421 настоящих Правил) и должна быть не менее указанной в приложении 339 настоящих Правил.</w:t>
      </w:r>
    </w:p>
    <w:bookmarkEnd w:id="7352"/>
    <w:bookmarkStart w:name="z7365" w:id="7353"/>
    <w:p>
      <w:pPr>
        <w:spacing w:after="0"/>
        <w:ind w:left="0"/>
        <w:jc w:val="both"/>
      </w:pPr>
      <w:r>
        <w:rPr>
          <w:rFonts w:ascii="Times New Roman"/>
          <w:b w:val="false"/>
          <w:i w:val="false"/>
          <w:color w:val="000000"/>
          <w:sz w:val="28"/>
        </w:rPr>
        <w:t>
      2406. Углекислый газ должен поступать в защищаемые помещения через сопла, расположенные в верхней части этих помещений. Расположение распределительного трубопровода и размещение выпускных сопел должно быть таким, чтобы обеспечивалось равномерное распределение окружающего вещества. Если настил машинных помещений категории А расположен на высоте более 1 м над двойным дном, часть сопел (около 15 %) располагается в верхней части пространства под настилом.</w:t>
      </w:r>
    </w:p>
    <w:bookmarkEnd w:id="7353"/>
    <w:bookmarkStart w:name="z7366" w:id="7354"/>
    <w:p>
      <w:pPr>
        <w:spacing w:after="0"/>
        <w:ind w:left="0"/>
        <w:jc w:val="both"/>
      </w:pPr>
      <w:r>
        <w:rPr>
          <w:rFonts w:ascii="Times New Roman"/>
          <w:b w:val="false"/>
          <w:i w:val="false"/>
          <w:color w:val="000000"/>
          <w:sz w:val="28"/>
        </w:rPr>
        <w:t>
      2407. Сумма площадей выпускных отверстий сопел данного помещения следует принимать не более 85 % суммарной площади проходного сечения распределительного трубопровода.</w:t>
      </w:r>
    </w:p>
    <w:bookmarkEnd w:id="7354"/>
    <w:bookmarkStart w:name="z7367" w:id="7355"/>
    <w:p>
      <w:pPr>
        <w:spacing w:after="0"/>
        <w:ind w:left="0"/>
        <w:jc w:val="both"/>
      </w:pPr>
      <w:r>
        <w:rPr>
          <w:rFonts w:ascii="Times New Roman"/>
          <w:b w:val="false"/>
          <w:i w:val="false"/>
          <w:color w:val="000000"/>
          <w:sz w:val="28"/>
        </w:rPr>
        <w:t>
      2408. В глушителях, утилизационных котлах и дымоходах вместо сопел допускаются перфорированные трубы. Сумма площадей перфораций трубы должна быть на 10 % меньше площади ее сечения.</w:t>
      </w:r>
    </w:p>
    <w:bookmarkEnd w:id="7355"/>
    <w:bookmarkStart w:name="z7368" w:id="7356"/>
    <w:p>
      <w:pPr>
        <w:spacing w:after="0"/>
        <w:ind w:left="0"/>
        <w:jc w:val="both"/>
      </w:pPr>
      <w:r>
        <w:rPr>
          <w:rFonts w:ascii="Times New Roman"/>
          <w:b w:val="false"/>
          <w:i w:val="false"/>
          <w:color w:val="000000"/>
          <w:sz w:val="28"/>
        </w:rPr>
        <w:t>
      2409. На трубопроводах, проложенных в помещениях, указанных в пункте 2514 настоящих Правил в дополнение к сигналам, требуемым пунктом 2517 настоящих Правил устанавливают сигнальные свистки, работающие под действием давления выходящего углекислого газа.</w:t>
      </w:r>
    </w:p>
    <w:bookmarkEnd w:id="7356"/>
    <w:bookmarkStart w:name="z7369" w:id="7357"/>
    <w:p>
      <w:pPr>
        <w:spacing w:after="0"/>
        <w:ind w:left="0"/>
        <w:jc w:val="both"/>
      </w:pPr>
      <w:r>
        <w:rPr>
          <w:rFonts w:ascii="Times New Roman"/>
          <w:b w:val="false"/>
          <w:i w:val="false"/>
          <w:color w:val="000000"/>
          <w:sz w:val="28"/>
        </w:rPr>
        <w:t>
      2410. Материалы, применяемые для уплотнений арматуры и гибких рукавов, сохраняют работоспособность при низких температурах до — 60</w:t>
      </w:r>
      <w:r>
        <w:rPr>
          <w:rFonts w:ascii="Times New Roman"/>
          <w:b w:val="false"/>
          <w:i w:val="false"/>
          <w:color w:val="000000"/>
          <w:vertAlign w:val="superscript"/>
        </w:rPr>
        <w:t>о</w:t>
      </w:r>
      <w:r>
        <w:rPr>
          <w:rFonts w:ascii="Times New Roman"/>
          <w:b w:val="false"/>
          <w:i w:val="false"/>
          <w:color w:val="000000"/>
          <w:sz w:val="28"/>
        </w:rPr>
        <w:t>С.</w:t>
      </w:r>
    </w:p>
    <w:bookmarkEnd w:id="7357"/>
    <w:bookmarkStart w:name="z7370" w:id="7358"/>
    <w:p>
      <w:pPr>
        <w:spacing w:after="0"/>
        <w:ind w:left="0"/>
        <w:jc w:val="both"/>
      </w:pPr>
      <w:r>
        <w:rPr>
          <w:rFonts w:ascii="Times New Roman"/>
          <w:b w:val="false"/>
          <w:i w:val="false"/>
          <w:color w:val="000000"/>
          <w:sz w:val="28"/>
        </w:rPr>
        <w:t>
      2411. В тех трубопроводах, где за счет установки клапанов образуются замкнутые участки, устанавливаются клапаны сброса давления, отводная труба от которых выводится на открытую палубу.</w:t>
      </w:r>
    </w:p>
    <w:bookmarkEnd w:id="7358"/>
    <w:bookmarkStart w:name="z7371" w:id="7359"/>
    <w:p>
      <w:pPr>
        <w:spacing w:after="0"/>
        <w:ind w:left="0"/>
        <w:jc w:val="both"/>
      </w:pPr>
      <w:r>
        <w:rPr>
          <w:rFonts w:ascii="Times New Roman"/>
          <w:b w:val="false"/>
          <w:i w:val="false"/>
          <w:color w:val="000000"/>
          <w:sz w:val="28"/>
        </w:rPr>
        <w:t xml:space="preserve">
      2412. Все выпускные трубопроводы, арматура и сопла в защищаемых помещениях изготавливаются из материалов с температурой плавления, превышающей 925 </w:t>
      </w:r>
      <w:r>
        <w:rPr>
          <w:rFonts w:ascii="Times New Roman"/>
          <w:b w:val="false"/>
          <w:i w:val="false"/>
          <w:color w:val="000000"/>
          <w:vertAlign w:val="superscript"/>
        </w:rPr>
        <w:t>о</w:t>
      </w:r>
      <w:r>
        <w:rPr>
          <w:rFonts w:ascii="Times New Roman"/>
          <w:b w:val="false"/>
          <w:i w:val="false"/>
          <w:color w:val="000000"/>
          <w:sz w:val="28"/>
        </w:rPr>
        <w:t>С. Трубопроводы и связанное с ними оборудование надежно закрепляются.</w:t>
      </w:r>
    </w:p>
    <w:bookmarkEnd w:id="7359"/>
    <w:bookmarkStart w:name="z7372" w:id="7360"/>
    <w:p>
      <w:pPr>
        <w:spacing w:after="0"/>
        <w:ind w:left="0"/>
        <w:jc w:val="both"/>
      </w:pPr>
      <w:r>
        <w:rPr>
          <w:rFonts w:ascii="Times New Roman"/>
          <w:b w:val="false"/>
          <w:i w:val="false"/>
          <w:color w:val="000000"/>
          <w:sz w:val="28"/>
        </w:rPr>
        <w:t>
      2413. В распределительном трубопроводе должен иметься штуцер для проведения испытаний трубопроводов воздухом.</w:t>
      </w:r>
    </w:p>
    <w:bookmarkEnd w:id="7360"/>
    <w:bookmarkStart w:name="z7373" w:id="7361"/>
    <w:p>
      <w:pPr>
        <w:spacing w:after="0"/>
        <w:ind w:left="0"/>
        <w:jc w:val="left"/>
      </w:pPr>
      <w:r>
        <w:rPr>
          <w:rFonts w:ascii="Times New Roman"/>
          <w:b/>
          <w:i w:val="false"/>
          <w:color w:val="000000"/>
        </w:rPr>
        <w:t xml:space="preserve"> Параграф 2. Система высокого давления</w:t>
      </w:r>
    </w:p>
    <w:bookmarkEnd w:id="7361"/>
    <w:bookmarkStart w:name="z7374" w:id="7362"/>
    <w:p>
      <w:pPr>
        <w:spacing w:after="0"/>
        <w:ind w:left="0"/>
        <w:jc w:val="both"/>
      </w:pPr>
      <w:r>
        <w:rPr>
          <w:rFonts w:ascii="Times New Roman"/>
          <w:b w:val="false"/>
          <w:i w:val="false"/>
          <w:color w:val="000000"/>
          <w:sz w:val="28"/>
        </w:rPr>
        <w:t>
      2414. Число баллонов для хранения сжиженного углекислого газа определяется в зависимости от степени наполнения (количества углекислого газа на 1 л вместимости), которая должна быть не более 0,675 кг/л при расчетном давлении баллона 12,5 МПа и более или не более 0,75 кг/л при расчетном давлении баллона 15 МПа и более.</w:t>
      </w:r>
    </w:p>
    <w:bookmarkEnd w:id="7362"/>
    <w:bookmarkStart w:name="z7375" w:id="7363"/>
    <w:p>
      <w:pPr>
        <w:spacing w:after="0"/>
        <w:ind w:left="0"/>
        <w:jc w:val="both"/>
      </w:pPr>
      <w:r>
        <w:rPr>
          <w:rFonts w:ascii="Times New Roman"/>
          <w:b w:val="false"/>
          <w:i w:val="false"/>
          <w:color w:val="000000"/>
          <w:sz w:val="28"/>
        </w:rPr>
        <w:t>
      При заполнении баллонов допускается отклонение не более чем на + 0,5 кг от расчетного количества газа на баллон.</w:t>
      </w:r>
    </w:p>
    <w:bookmarkEnd w:id="7363"/>
    <w:bookmarkStart w:name="z7376" w:id="7364"/>
    <w:p>
      <w:pPr>
        <w:spacing w:after="0"/>
        <w:ind w:left="0"/>
        <w:jc w:val="both"/>
      </w:pPr>
      <w:r>
        <w:rPr>
          <w:rFonts w:ascii="Times New Roman"/>
          <w:b w:val="false"/>
          <w:i w:val="false"/>
          <w:color w:val="000000"/>
          <w:sz w:val="28"/>
        </w:rPr>
        <w:t>
      В случаях, предусмотренных в пункте 2272 и параграфе 5 главы 154 настоящих Правил, степень наполнения следует уменьшить на 0,075 кг/л от указанных пределов.</w:t>
      </w:r>
    </w:p>
    <w:bookmarkEnd w:id="7364"/>
    <w:bookmarkStart w:name="z7377" w:id="7365"/>
    <w:p>
      <w:pPr>
        <w:spacing w:after="0"/>
        <w:ind w:left="0"/>
        <w:jc w:val="both"/>
      </w:pPr>
      <w:r>
        <w:rPr>
          <w:rFonts w:ascii="Times New Roman"/>
          <w:b w:val="false"/>
          <w:i w:val="false"/>
          <w:color w:val="000000"/>
          <w:sz w:val="28"/>
        </w:rPr>
        <w:t>
      2415. Баллоны устанавливаются рядами в вертикальном положении на прокладки, которые могут быть деревянными, и должны быть доступными для осмотра и определения количества углекислого газа. Каждый баллон помечают порядковым номером.</w:t>
      </w:r>
    </w:p>
    <w:bookmarkEnd w:id="7365"/>
    <w:bookmarkStart w:name="z7378" w:id="7366"/>
    <w:p>
      <w:pPr>
        <w:spacing w:after="0"/>
        <w:ind w:left="0"/>
        <w:jc w:val="both"/>
      </w:pPr>
      <w:r>
        <w:rPr>
          <w:rFonts w:ascii="Times New Roman"/>
          <w:b w:val="false"/>
          <w:i w:val="false"/>
          <w:color w:val="000000"/>
          <w:sz w:val="28"/>
        </w:rPr>
        <w:t>
      Пусковые баллоны располагаются на станции пожаротушения и имеют особую окраску.</w:t>
      </w:r>
    </w:p>
    <w:bookmarkEnd w:id="7366"/>
    <w:bookmarkStart w:name="z7379" w:id="7367"/>
    <w:p>
      <w:pPr>
        <w:spacing w:after="0"/>
        <w:ind w:left="0"/>
        <w:jc w:val="both"/>
      </w:pPr>
      <w:r>
        <w:rPr>
          <w:rFonts w:ascii="Times New Roman"/>
          <w:b w:val="false"/>
          <w:i w:val="false"/>
          <w:color w:val="000000"/>
          <w:sz w:val="28"/>
        </w:rPr>
        <w:t>
      2416. Труба, соединяющая баллон с коллектором, должна быть, как правило, цельнотянутой красно-медной. Однако допускается применение специальных гибких шлангов из одобренных материалов.</w:t>
      </w:r>
    </w:p>
    <w:bookmarkEnd w:id="7367"/>
    <w:bookmarkStart w:name="z7380" w:id="7368"/>
    <w:p>
      <w:pPr>
        <w:spacing w:after="0"/>
        <w:ind w:left="0"/>
        <w:jc w:val="both"/>
      </w:pPr>
      <w:r>
        <w:rPr>
          <w:rFonts w:ascii="Times New Roman"/>
          <w:b w:val="false"/>
          <w:i w:val="false"/>
          <w:color w:val="000000"/>
          <w:sz w:val="28"/>
        </w:rPr>
        <w:t>
      На соединении между баллоном и коллектором устанавливается невозвратный клапан.</w:t>
      </w:r>
    </w:p>
    <w:bookmarkEnd w:id="7368"/>
    <w:bookmarkStart w:name="z7381" w:id="7369"/>
    <w:p>
      <w:pPr>
        <w:spacing w:after="0"/>
        <w:ind w:left="0"/>
        <w:jc w:val="both"/>
      </w:pPr>
      <w:r>
        <w:rPr>
          <w:rFonts w:ascii="Times New Roman"/>
          <w:b w:val="false"/>
          <w:i w:val="false"/>
          <w:color w:val="000000"/>
          <w:sz w:val="28"/>
        </w:rPr>
        <w:t>
      Устройство коллекторов обеспечивает их полное осушение.</w:t>
      </w:r>
    </w:p>
    <w:bookmarkEnd w:id="7369"/>
    <w:bookmarkStart w:name="z7382" w:id="7370"/>
    <w:p>
      <w:pPr>
        <w:spacing w:after="0"/>
        <w:ind w:left="0"/>
        <w:jc w:val="both"/>
      </w:pPr>
      <w:r>
        <w:rPr>
          <w:rFonts w:ascii="Times New Roman"/>
          <w:b w:val="false"/>
          <w:i w:val="false"/>
          <w:color w:val="000000"/>
          <w:sz w:val="28"/>
        </w:rPr>
        <w:t>
      2417. На коллекторе станции углекислотного тушения устанавливается манометр со шкалой, превышающей давление гидравлического испытания баллонов не менее чем на 1 МПа. Цена деления манометра должна быть не более 0,5 МПа.</w:t>
      </w:r>
    </w:p>
    <w:bookmarkEnd w:id="7370"/>
    <w:bookmarkStart w:name="z7383" w:id="7371"/>
    <w:p>
      <w:pPr>
        <w:spacing w:after="0"/>
        <w:ind w:left="0"/>
        <w:jc w:val="both"/>
      </w:pPr>
      <w:r>
        <w:rPr>
          <w:rFonts w:ascii="Times New Roman"/>
          <w:b w:val="false"/>
          <w:i w:val="false"/>
          <w:color w:val="000000"/>
          <w:sz w:val="28"/>
        </w:rPr>
        <w:t>
      2418. На станции углекислотного тушения должно быть устройство для взвешивания баллонов или измерения уровня жидкости в них.</w:t>
      </w:r>
    </w:p>
    <w:bookmarkEnd w:id="7371"/>
    <w:bookmarkStart w:name="z7384" w:id="7372"/>
    <w:p>
      <w:pPr>
        <w:spacing w:after="0"/>
        <w:ind w:left="0"/>
        <w:jc w:val="both"/>
      </w:pPr>
      <w:r>
        <w:rPr>
          <w:rFonts w:ascii="Times New Roman"/>
          <w:b w:val="false"/>
          <w:i w:val="false"/>
          <w:color w:val="000000"/>
          <w:sz w:val="28"/>
        </w:rPr>
        <w:t>
      2419. Клапаны баллонов соответствуют следующим требованиям:</w:t>
      </w:r>
    </w:p>
    <w:bookmarkEnd w:id="7372"/>
    <w:bookmarkStart w:name="z7385" w:id="7373"/>
    <w:p>
      <w:pPr>
        <w:spacing w:after="0"/>
        <w:ind w:left="0"/>
        <w:jc w:val="both"/>
      </w:pPr>
      <w:r>
        <w:rPr>
          <w:rFonts w:ascii="Times New Roman"/>
          <w:b w:val="false"/>
          <w:i w:val="false"/>
          <w:color w:val="000000"/>
          <w:sz w:val="28"/>
        </w:rPr>
        <w:t>
      1) клапаны имеют предохранительные устройства, отвечающие следующим требованиям:</w:t>
      </w:r>
    </w:p>
    <w:bookmarkEnd w:id="7373"/>
    <w:bookmarkStart w:name="z7386" w:id="7374"/>
    <w:p>
      <w:pPr>
        <w:spacing w:after="0"/>
        <w:ind w:left="0"/>
        <w:jc w:val="both"/>
      </w:pPr>
      <w:r>
        <w:rPr>
          <w:rFonts w:ascii="Times New Roman"/>
          <w:b w:val="false"/>
          <w:i w:val="false"/>
          <w:color w:val="000000"/>
          <w:sz w:val="28"/>
        </w:rPr>
        <w:t>
      разрыв предохранительных мембран происходит при повышении давления в баллоне до (1,3 + 0,1)/р, МПа (р — расчетное давление баллона). Для клапанов с прорезными мембранами, оборудованными дополнительно предохранительными мембранами, давление разрыва прорезных мембран должно быть больше верхнего предела разрыва предохранительных мембран не менее чем на 1 МПа;</w:t>
      </w:r>
    </w:p>
    <w:bookmarkEnd w:id="7374"/>
    <w:bookmarkStart w:name="z7387" w:id="7375"/>
    <w:p>
      <w:pPr>
        <w:spacing w:after="0"/>
        <w:ind w:left="0"/>
        <w:jc w:val="both"/>
      </w:pPr>
      <w:r>
        <w:rPr>
          <w:rFonts w:ascii="Times New Roman"/>
          <w:b w:val="false"/>
          <w:i w:val="false"/>
          <w:color w:val="000000"/>
          <w:sz w:val="28"/>
        </w:rPr>
        <w:t>
      предусматривается контрольное приспособление, указывающее на срабатывание предохранительного устройства;</w:t>
      </w:r>
    </w:p>
    <w:bookmarkEnd w:id="7375"/>
    <w:bookmarkStart w:name="z7388" w:id="7376"/>
    <w:p>
      <w:pPr>
        <w:spacing w:after="0"/>
        <w:ind w:left="0"/>
        <w:jc w:val="both"/>
      </w:pPr>
      <w:r>
        <w:rPr>
          <w:rFonts w:ascii="Times New Roman"/>
          <w:b w:val="false"/>
          <w:i w:val="false"/>
          <w:color w:val="000000"/>
          <w:sz w:val="28"/>
        </w:rPr>
        <w:t>
      2) устройство для открывания клапана должно быть рычажного типа и обеспечивать полное открывание клапана поворотом рычага на угол не более 90</w:t>
      </w:r>
      <w:r>
        <w:rPr>
          <w:rFonts w:ascii="Times New Roman"/>
          <w:b w:val="false"/>
          <w:i w:val="false"/>
          <w:color w:val="000000"/>
          <w:vertAlign w:val="superscript"/>
        </w:rPr>
        <w:t>о</w:t>
      </w:r>
      <w:r>
        <w:rPr>
          <w:rFonts w:ascii="Times New Roman"/>
          <w:b w:val="false"/>
          <w:i w:val="false"/>
          <w:color w:val="000000"/>
          <w:sz w:val="28"/>
        </w:rPr>
        <w:t>. Устройство допускает возможность индивидуального или группового открывания клапанов;</w:t>
      </w:r>
    </w:p>
    <w:bookmarkEnd w:id="7376"/>
    <w:bookmarkStart w:name="z7389" w:id="7377"/>
    <w:p>
      <w:pPr>
        <w:spacing w:after="0"/>
        <w:ind w:left="0"/>
        <w:jc w:val="both"/>
      </w:pPr>
      <w:r>
        <w:rPr>
          <w:rFonts w:ascii="Times New Roman"/>
          <w:b w:val="false"/>
          <w:i w:val="false"/>
          <w:color w:val="000000"/>
          <w:sz w:val="28"/>
        </w:rPr>
        <w:t>
      3) клапаны баллонов имеют трубки с косым срезом, не доходящие до днища баллона на 5 — 15 мм. Диаметр прохода указанных трубок клапанов, а также трубок, соединяющих клапаны баллонов с коллектором, должен быть не менее 10 мм;</w:t>
      </w:r>
    </w:p>
    <w:bookmarkEnd w:id="7377"/>
    <w:bookmarkStart w:name="z7390" w:id="7378"/>
    <w:p>
      <w:pPr>
        <w:spacing w:after="0"/>
        <w:ind w:left="0"/>
        <w:jc w:val="both"/>
      </w:pPr>
      <w:r>
        <w:rPr>
          <w:rFonts w:ascii="Times New Roman"/>
          <w:b w:val="false"/>
          <w:i w:val="false"/>
          <w:color w:val="000000"/>
          <w:sz w:val="28"/>
        </w:rPr>
        <w:t>
      4) если клапаны пусковых баллонов по конструкции отличаются от клапанов остальных баллонов, они обозначаются краской другого цвета и иметь на корпусе маркировку "пусковой".</w:t>
      </w:r>
    </w:p>
    <w:bookmarkEnd w:id="7378"/>
    <w:bookmarkStart w:name="z7391" w:id="7379"/>
    <w:p>
      <w:pPr>
        <w:spacing w:after="0"/>
        <w:ind w:left="0"/>
        <w:jc w:val="both"/>
      </w:pPr>
      <w:r>
        <w:rPr>
          <w:rFonts w:ascii="Times New Roman"/>
          <w:b w:val="false"/>
          <w:i w:val="false"/>
          <w:color w:val="000000"/>
          <w:sz w:val="28"/>
        </w:rPr>
        <w:t>
      2420. Отвод газа от предохранительных устройств клапанов производится:</w:t>
      </w:r>
    </w:p>
    <w:bookmarkEnd w:id="7379"/>
    <w:bookmarkStart w:name="z7392" w:id="7380"/>
    <w:p>
      <w:pPr>
        <w:spacing w:after="0"/>
        <w:ind w:left="0"/>
        <w:jc w:val="both"/>
      </w:pPr>
      <w:r>
        <w:rPr>
          <w:rFonts w:ascii="Times New Roman"/>
          <w:b w:val="false"/>
          <w:i w:val="false"/>
          <w:color w:val="000000"/>
          <w:sz w:val="28"/>
        </w:rPr>
        <w:t>
      1) за пределы станции в атмосферу по отдельному трубопроводу, имеющему на выходном отростке звуковое сигнальное устройство; или</w:t>
      </w:r>
    </w:p>
    <w:bookmarkEnd w:id="7380"/>
    <w:bookmarkStart w:name="z7393" w:id="7381"/>
    <w:p>
      <w:pPr>
        <w:spacing w:after="0"/>
        <w:ind w:left="0"/>
        <w:jc w:val="both"/>
      </w:pPr>
      <w:r>
        <w:rPr>
          <w:rFonts w:ascii="Times New Roman"/>
          <w:b w:val="false"/>
          <w:i w:val="false"/>
          <w:color w:val="000000"/>
          <w:sz w:val="28"/>
        </w:rPr>
        <w:t>
      2) в распределительный коллектор, на котором предусматриваются:</w:t>
      </w:r>
    </w:p>
    <w:bookmarkEnd w:id="7381"/>
    <w:bookmarkStart w:name="z7394" w:id="7382"/>
    <w:p>
      <w:pPr>
        <w:spacing w:after="0"/>
        <w:ind w:left="0"/>
        <w:jc w:val="both"/>
      </w:pPr>
      <w:r>
        <w:rPr>
          <w:rFonts w:ascii="Times New Roman"/>
          <w:b w:val="false"/>
          <w:i w:val="false"/>
          <w:color w:val="000000"/>
          <w:sz w:val="28"/>
        </w:rPr>
        <w:t>
      два трубопровода, один из которых с запорным клапаном и открытым концом, а другой — с предохранительной мембраной;</w:t>
      </w:r>
    </w:p>
    <w:bookmarkEnd w:id="7382"/>
    <w:bookmarkStart w:name="z7395" w:id="7383"/>
    <w:p>
      <w:pPr>
        <w:spacing w:after="0"/>
        <w:ind w:left="0"/>
        <w:jc w:val="both"/>
      </w:pPr>
      <w:r>
        <w:rPr>
          <w:rFonts w:ascii="Times New Roman"/>
          <w:b w:val="false"/>
          <w:i w:val="false"/>
          <w:color w:val="000000"/>
          <w:sz w:val="28"/>
        </w:rPr>
        <w:t>
      сигнальное устройство о наличии давления в коллекторе, выведенное в помещение с постоянной вахтой.</w:t>
      </w:r>
    </w:p>
    <w:bookmarkEnd w:id="7383"/>
    <w:bookmarkStart w:name="z7396" w:id="7384"/>
    <w:p>
      <w:pPr>
        <w:spacing w:after="0"/>
        <w:ind w:left="0"/>
        <w:jc w:val="both"/>
      </w:pPr>
      <w:r>
        <w:rPr>
          <w:rFonts w:ascii="Times New Roman"/>
          <w:b w:val="false"/>
          <w:i w:val="false"/>
          <w:color w:val="000000"/>
          <w:sz w:val="28"/>
        </w:rPr>
        <w:t>
      В этом случае контрольное приспособление, указывающее на срабатывание предохранительного устройства, для клапанов не требуется.</w:t>
      </w:r>
    </w:p>
    <w:bookmarkEnd w:id="7384"/>
    <w:bookmarkStart w:name="z7397" w:id="7385"/>
    <w:p>
      <w:pPr>
        <w:spacing w:after="0"/>
        <w:ind w:left="0"/>
        <w:jc w:val="left"/>
      </w:pPr>
      <w:r>
        <w:rPr>
          <w:rFonts w:ascii="Times New Roman"/>
          <w:b/>
          <w:i w:val="false"/>
          <w:color w:val="000000"/>
        </w:rPr>
        <w:t xml:space="preserve"> Параграф 3. Система низкого давления</w:t>
      </w:r>
    </w:p>
    <w:bookmarkEnd w:id="7385"/>
    <w:bookmarkStart w:name="z7398" w:id="7386"/>
    <w:p>
      <w:pPr>
        <w:spacing w:after="0"/>
        <w:ind w:left="0"/>
        <w:jc w:val="both"/>
      </w:pPr>
      <w:r>
        <w:rPr>
          <w:rFonts w:ascii="Times New Roman"/>
          <w:b w:val="false"/>
          <w:i w:val="false"/>
          <w:color w:val="000000"/>
          <w:sz w:val="28"/>
        </w:rPr>
        <w:t xml:space="preserve">
      2421. Расчетное количество сжиженного углекислого газа хранится в резервуаре (резервуарах) при рабочем давлении 1,8 — 2,2 МПа, что обеспечивается поддержанием температуры около — 18 </w:t>
      </w:r>
      <w:r>
        <w:rPr>
          <w:rFonts w:ascii="Times New Roman"/>
          <w:b w:val="false"/>
          <w:i w:val="false"/>
          <w:color w:val="000000"/>
          <w:vertAlign w:val="superscript"/>
        </w:rPr>
        <w:t>о</w:t>
      </w:r>
      <w:r>
        <w:rPr>
          <w:rFonts w:ascii="Times New Roman"/>
          <w:b w:val="false"/>
          <w:i w:val="false"/>
          <w:color w:val="000000"/>
          <w:sz w:val="28"/>
        </w:rPr>
        <w:t>С.</w:t>
      </w:r>
    </w:p>
    <w:bookmarkEnd w:id="7386"/>
    <w:bookmarkStart w:name="z7399" w:id="7387"/>
    <w:p>
      <w:pPr>
        <w:spacing w:after="0"/>
        <w:ind w:left="0"/>
        <w:jc w:val="both"/>
      </w:pPr>
      <w:r>
        <w:rPr>
          <w:rFonts w:ascii="Times New Roman"/>
          <w:b w:val="false"/>
          <w:i w:val="false"/>
          <w:color w:val="000000"/>
          <w:sz w:val="28"/>
        </w:rPr>
        <w:t>
      Заполнение резервуара сжиженным газом должно быть ограничено, чтобы обеспечить достаточное пространство для паров при увеличении объема жидкости при максимальной температуре хранения, соответствующей установке предохранительных клапанов, но не должно превышать 95 % от объемной вместимости резервуара.</w:t>
      </w:r>
    </w:p>
    <w:bookmarkEnd w:id="7387"/>
    <w:bookmarkStart w:name="z7400" w:id="7388"/>
    <w:p>
      <w:pPr>
        <w:spacing w:after="0"/>
        <w:ind w:left="0"/>
        <w:jc w:val="both"/>
      </w:pPr>
      <w:r>
        <w:rPr>
          <w:rFonts w:ascii="Times New Roman"/>
          <w:b w:val="false"/>
          <w:i w:val="false"/>
          <w:color w:val="000000"/>
          <w:sz w:val="28"/>
        </w:rPr>
        <w:t>
      2422. Резервуар обслуживается двумя автономными автоматизированными холодильными установками, каждая из которых состоит из компрессора, конденсатора и охлаждающей батареи.</w:t>
      </w:r>
    </w:p>
    <w:bookmarkEnd w:id="7388"/>
    <w:bookmarkStart w:name="z7401" w:id="7389"/>
    <w:p>
      <w:pPr>
        <w:spacing w:after="0"/>
        <w:ind w:left="0"/>
        <w:jc w:val="both"/>
      </w:pPr>
      <w:r>
        <w:rPr>
          <w:rFonts w:ascii="Times New Roman"/>
          <w:b w:val="false"/>
          <w:i w:val="false"/>
          <w:color w:val="000000"/>
          <w:sz w:val="28"/>
        </w:rPr>
        <w:t xml:space="preserve">
      Холодопроизводительность и автоматическое управление каждой установки должны быть такими, чтобы поддерживать требуемую температуру в условиях непрерывной работы в течение 24 ч при температуре забортной воды 32 </w:t>
      </w:r>
      <w:r>
        <w:rPr>
          <w:rFonts w:ascii="Times New Roman"/>
          <w:b w:val="false"/>
          <w:i w:val="false"/>
          <w:color w:val="000000"/>
          <w:vertAlign w:val="superscript"/>
        </w:rPr>
        <w:t>о</w:t>
      </w:r>
      <w:r>
        <w:rPr>
          <w:rFonts w:ascii="Times New Roman"/>
          <w:b w:val="false"/>
          <w:i w:val="false"/>
          <w:color w:val="000000"/>
          <w:sz w:val="28"/>
        </w:rPr>
        <w:t xml:space="preserve">С и температуре окружающей среды 45 </w:t>
      </w:r>
      <w:r>
        <w:rPr>
          <w:rFonts w:ascii="Times New Roman"/>
          <w:b w:val="false"/>
          <w:i w:val="false"/>
          <w:color w:val="000000"/>
          <w:vertAlign w:val="superscript"/>
        </w:rPr>
        <w:t>о</w:t>
      </w:r>
      <w:r>
        <w:rPr>
          <w:rFonts w:ascii="Times New Roman"/>
          <w:b w:val="false"/>
          <w:i w:val="false"/>
          <w:color w:val="000000"/>
          <w:sz w:val="28"/>
        </w:rPr>
        <w:t>С.</w:t>
      </w:r>
    </w:p>
    <w:bookmarkEnd w:id="7389"/>
    <w:bookmarkStart w:name="z7402" w:id="7390"/>
    <w:p>
      <w:pPr>
        <w:spacing w:after="0"/>
        <w:ind w:left="0"/>
        <w:jc w:val="both"/>
      </w:pPr>
      <w:r>
        <w:rPr>
          <w:rFonts w:ascii="Times New Roman"/>
          <w:b w:val="false"/>
          <w:i w:val="false"/>
          <w:color w:val="000000"/>
          <w:sz w:val="28"/>
        </w:rPr>
        <w:t>
      При выходе из строя работающей установки автоматически включается другая.</w:t>
      </w:r>
    </w:p>
    <w:bookmarkEnd w:id="7390"/>
    <w:bookmarkStart w:name="z7403" w:id="7391"/>
    <w:p>
      <w:pPr>
        <w:spacing w:after="0"/>
        <w:ind w:left="0"/>
        <w:jc w:val="both"/>
      </w:pPr>
      <w:r>
        <w:rPr>
          <w:rFonts w:ascii="Times New Roman"/>
          <w:b w:val="false"/>
          <w:i w:val="false"/>
          <w:color w:val="000000"/>
          <w:sz w:val="28"/>
        </w:rPr>
        <w:t>
      Охлаждающие батареи должны быть отдельными для каждой установки или общими, но состоять не менее чем из двух отключаемых секций каждая с поверхностью, рассчитанной на полную мощность.</w:t>
      </w:r>
    </w:p>
    <w:bookmarkEnd w:id="7391"/>
    <w:bookmarkStart w:name="z7404" w:id="7392"/>
    <w:p>
      <w:pPr>
        <w:spacing w:after="0"/>
        <w:ind w:left="0"/>
        <w:jc w:val="both"/>
      </w:pPr>
      <w:r>
        <w:rPr>
          <w:rFonts w:ascii="Times New Roman"/>
          <w:b w:val="false"/>
          <w:i w:val="false"/>
          <w:color w:val="000000"/>
          <w:sz w:val="28"/>
        </w:rPr>
        <w:t>
      В остальном холодильная установка должна отвечать требованиям части 13 настоящих Правил, предъявляемым к неклассифицируемым установкам (за исключением глав 556, 557, 558, пункта 6025 настоящих Правил), а также требованиям пунктов 5946, 5963, 5964 и 6031 настоящих Правил, предъявляемым к классифицируемым установкам.</w:t>
      </w:r>
    </w:p>
    <w:bookmarkEnd w:id="7392"/>
    <w:bookmarkStart w:name="z7405" w:id="7393"/>
    <w:p>
      <w:pPr>
        <w:spacing w:after="0"/>
        <w:ind w:left="0"/>
        <w:jc w:val="both"/>
      </w:pPr>
      <w:r>
        <w:rPr>
          <w:rFonts w:ascii="Times New Roman"/>
          <w:b w:val="false"/>
          <w:i w:val="false"/>
          <w:color w:val="000000"/>
          <w:sz w:val="28"/>
        </w:rPr>
        <w:t>
      Органы управления системой и холодильные установки должны располагаться в том же помещении, в котором установлены резервуары.</w:t>
      </w:r>
    </w:p>
    <w:bookmarkEnd w:id="7393"/>
    <w:bookmarkStart w:name="z7406" w:id="7394"/>
    <w:p>
      <w:pPr>
        <w:spacing w:after="0"/>
        <w:ind w:left="0"/>
        <w:jc w:val="both"/>
      </w:pPr>
      <w:r>
        <w:rPr>
          <w:rFonts w:ascii="Times New Roman"/>
          <w:b w:val="false"/>
          <w:i w:val="false"/>
          <w:color w:val="000000"/>
          <w:sz w:val="28"/>
        </w:rPr>
        <w:t>
      2423. Необходимо чтобы резервуар был оборудован:</w:t>
      </w:r>
    </w:p>
    <w:bookmarkEnd w:id="7394"/>
    <w:bookmarkStart w:name="z7407" w:id="7395"/>
    <w:p>
      <w:pPr>
        <w:spacing w:after="0"/>
        <w:ind w:left="0"/>
        <w:jc w:val="both"/>
      </w:pPr>
      <w:r>
        <w:rPr>
          <w:rFonts w:ascii="Times New Roman"/>
          <w:b w:val="false"/>
          <w:i w:val="false"/>
          <w:color w:val="000000"/>
          <w:sz w:val="28"/>
        </w:rPr>
        <w:t>
      патрубками с запорными клапанами для заполнения резервуара;</w:t>
      </w:r>
    </w:p>
    <w:bookmarkEnd w:id="7395"/>
    <w:bookmarkStart w:name="z7408" w:id="7396"/>
    <w:p>
      <w:pPr>
        <w:spacing w:after="0"/>
        <w:ind w:left="0"/>
        <w:jc w:val="both"/>
      </w:pPr>
      <w:r>
        <w:rPr>
          <w:rFonts w:ascii="Times New Roman"/>
          <w:b w:val="false"/>
          <w:i w:val="false"/>
          <w:color w:val="000000"/>
          <w:sz w:val="28"/>
        </w:rPr>
        <w:t>
      расходной трубой;</w:t>
      </w:r>
    </w:p>
    <w:bookmarkEnd w:id="7396"/>
    <w:bookmarkStart w:name="z7409" w:id="7397"/>
    <w:p>
      <w:pPr>
        <w:spacing w:after="0"/>
        <w:ind w:left="0"/>
        <w:jc w:val="both"/>
      </w:pPr>
      <w:r>
        <w:rPr>
          <w:rFonts w:ascii="Times New Roman"/>
          <w:b w:val="false"/>
          <w:i w:val="false"/>
          <w:color w:val="000000"/>
          <w:sz w:val="28"/>
        </w:rPr>
        <w:t>
      устройством для непосредственного контроля уровня жидкой углекислоты, установленном на резервуаре;</w:t>
      </w:r>
    </w:p>
    <w:bookmarkEnd w:id="7397"/>
    <w:bookmarkStart w:name="z7410" w:id="7398"/>
    <w:p>
      <w:pPr>
        <w:spacing w:after="0"/>
        <w:ind w:left="0"/>
        <w:jc w:val="both"/>
      </w:pPr>
      <w:r>
        <w:rPr>
          <w:rFonts w:ascii="Times New Roman"/>
          <w:b w:val="false"/>
          <w:i w:val="false"/>
          <w:color w:val="000000"/>
          <w:sz w:val="28"/>
        </w:rPr>
        <w:t>
      двумя предохранительными клапанами, выведенными в атмосферу, на устройстве, обеспечивающем постоянное соединение резервуара с одним из предохранительных клапанов;</w:t>
      </w:r>
    </w:p>
    <w:bookmarkEnd w:id="7398"/>
    <w:bookmarkStart w:name="z7411" w:id="7399"/>
    <w:p>
      <w:pPr>
        <w:spacing w:after="0"/>
        <w:ind w:left="0"/>
        <w:jc w:val="both"/>
      </w:pPr>
      <w:r>
        <w:rPr>
          <w:rFonts w:ascii="Times New Roman"/>
          <w:b w:val="false"/>
          <w:i w:val="false"/>
          <w:color w:val="000000"/>
          <w:sz w:val="28"/>
        </w:rPr>
        <w:t>
      манометром;</w:t>
      </w:r>
    </w:p>
    <w:bookmarkEnd w:id="7399"/>
    <w:bookmarkStart w:name="z7412" w:id="7400"/>
    <w:p>
      <w:pPr>
        <w:spacing w:after="0"/>
        <w:ind w:left="0"/>
        <w:jc w:val="both"/>
      </w:pPr>
      <w:r>
        <w:rPr>
          <w:rFonts w:ascii="Times New Roman"/>
          <w:b w:val="false"/>
          <w:i w:val="false"/>
          <w:color w:val="000000"/>
          <w:sz w:val="28"/>
        </w:rPr>
        <w:t>
      устройствами сигнализации высокого и низкого давления;</w:t>
      </w:r>
    </w:p>
    <w:bookmarkEnd w:id="7400"/>
    <w:bookmarkStart w:name="z7413" w:id="7401"/>
    <w:p>
      <w:pPr>
        <w:spacing w:after="0"/>
        <w:ind w:left="0"/>
        <w:jc w:val="both"/>
      </w:pPr>
      <w:r>
        <w:rPr>
          <w:rFonts w:ascii="Times New Roman"/>
          <w:b w:val="false"/>
          <w:i w:val="false"/>
          <w:color w:val="000000"/>
          <w:sz w:val="28"/>
        </w:rPr>
        <w:t>
      устройством сигнализации минимального допустимого уровня.</w:t>
      </w:r>
    </w:p>
    <w:bookmarkEnd w:id="7401"/>
    <w:bookmarkStart w:name="z7414" w:id="7402"/>
    <w:p>
      <w:pPr>
        <w:spacing w:after="0"/>
        <w:ind w:left="0"/>
        <w:jc w:val="both"/>
      </w:pPr>
      <w:r>
        <w:rPr>
          <w:rFonts w:ascii="Times New Roman"/>
          <w:b w:val="false"/>
          <w:i w:val="false"/>
          <w:color w:val="000000"/>
          <w:sz w:val="28"/>
        </w:rPr>
        <w:t>
      Срабатывание предохранительного клапана должно начинаться при давлении 1,1 — 1,2р, а площадь его сечения должна быть такой, чтобы давление в резервуаре при полном открытии предохранительного клапана не могло превысить 1,35р (здесь р — рабочее давление в резервуаре, МПа).</w:t>
      </w:r>
    </w:p>
    <w:bookmarkEnd w:id="7402"/>
    <w:bookmarkStart w:name="z7415" w:id="7403"/>
    <w:p>
      <w:pPr>
        <w:spacing w:after="0"/>
        <w:ind w:left="0"/>
        <w:jc w:val="both"/>
      </w:pPr>
      <w:r>
        <w:rPr>
          <w:rFonts w:ascii="Times New Roman"/>
          <w:b w:val="false"/>
          <w:i w:val="false"/>
          <w:color w:val="000000"/>
          <w:sz w:val="28"/>
        </w:rPr>
        <w:t>
      Расчетное давление в резервуаре принимается равным наибольшему давлению открытия предохранительного клапана.</w:t>
      </w:r>
    </w:p>
    <w:bookmarkEnd w:id="7403"/>
    <w:bookmarkStart w:name="z7416" w:id="7404"/>
    <w:p>
      <w:pPr>
        <w:spacing w:after="0"/>
        <w:ind w:left="0"/>
        <w:jc w:val="both"/>
      </w:pPr>
      <w:r>
        <w:rPr>
          <w:rFonts w:ascii="Times New Roman"/>
          <w:b w:val="false"/>
          <w:i w:val="false"/>
          <w:color w:val="000000"/>
          <w:sz w:val="28"/>
        </w:rPr>
        <w:t>
      2424. Труба датчика прибора дистанционного измерения уровня жидкости, если она расположена снаружи резервуара, должна быть отсечена двумя клапанами (постоянно открытыми в период эксплуатации) и снабжена дополнительно только одним контрольным краном номинального наполнения (100 %). Эта труба вместе с контрольным краном имеет тепловую изоляцию.</w:t>
      </w:r>
    </w:p>
    <w:bookmarkEnd w:id="7404"/>
    <w:bookmarkStart w:name="z7417" w:id="7405"/>
    <w:p>
      <w:pPr>
        <w:spacing w:after="0"/>
        <w:ind w:left="0"/>
        <w:jc w:val="both"/>
      </w:pPr>
      <w:r>
        <w:rPr>
          <w:rFonts w:ascii="Times New Roman"/>
          <w:b w:val="false"/>
          <w:i w:val="false"/>
          <w:color w:val="000000"/>
          <w:sz w:val="28"/>
        </w:rPr>
        <w:t>
      2425. Если системой защищается более одного помещения, должны быть предусмотрены средства управления подачей углекислого газа, например автоматический таймер или калиброванный измеритель уровня, расположенный в месте управления системой. При этом также имеется возможность ручной регулировки подачи газа.</w:t>
      </w:r>
    </w:p>
    <w:bookmarkEnd w:id="7405"/>
    <w:bookmarkStart w:name="z7418" w:id="7406"/>
    <w:p>
      <w:pPr>
        <w:spacing w:after="0"/>
        <w:ind w:left="0"/>
        <w:jc w:val="both"/>
      </w:pPr>
      <w:r>
        <w:rPr>
          <w:rFonts w:ascii="Times New Roman"/>
          <w:b w:val="false"/>
          <w:i w:val="false"/>
          <w:color w:val="000000"/>
          <w:sz w:val="28"/>
        </w:rPr>
        <w:t>
      2426. Резервуар и отходящие от него трубопроводы, постоянно заполненные углекислым газом, имеют тепловую изоляцию, предотвращающую срабатывание предохранительного клапана в течение 24 ч после обесточивания установки, при окружающей температуре 45</w:t>
      </w:r>
      <w:r>
        <w:rPr>
          <w:rFonts w:ascii="Times New Roman"/>
          <w:b w:val="false"/>
          <w:i w:val="false"/>
          <w:color w:val="000000"/>
          <w:vertAlign w:val="superscript"/>
        </w:rPr>
        <w:t>о</w:t>
      </w:r>
      <w:r>
        <w:rPr>
          <w:rFonts w:ascii="Times New Roman"/>
          <w:b w:val="false"/>
          <w:i w:val="false"/>
          <w:color w:val="000000"/>
          <w:sz w:val="28"/>
        </w:rPr>
        <w:t>С и первоначальном давлении, равном давлению пуска холодильной установки.</w:t>
      </w:r>
    </w:p>
    <w:bookmarkEnd w:id="7406"/>
    <w:bookmarkStart w:name="z7419" w:id="7407"/>
    <w:p>
      <w:pPr>
        <w:spacing w:after="0"/>
        <w:ind w:left="0"/>
        <w:jc w:val="both"/>
      </w:pPr>
      <w:r>
        <w:rPr>
          <w:rFonts w:ascii="Times New Roman"/>
          <w:b w:val="false"/>
          <w:i w:val="false"/>
          <w:color w:val="000000"/>
          <w:sz w:val="28"/>
        </w:rPr>
        <w:t>
      2427. Материал резервуара отвечает требованиям главы 583 настоящих Правил. Сварные швы проверяются в объеме требований к классу II приложения 643 настоящих Правил.</w:t>
      </w:r>
    </w:p>
    <w:bookmarkEnd w:id="7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20" w:id="7408"/>
    <w:p>
      <w:pPr>
        <w:spacing w:after="0"/>
        <w:ind w:left="0"/>
        <w:jc w:val="both"/>
      </w:pPr>
      <w:r>
        <w:rPr>
          <w:rFonts w:ascii="Times New Roman"/>
          <w:b w:val="false"/>
          <w:i w:val="false"/>
          <w:color w:val="000000"/>
          <w:sz w:val="28"/>
        </w:rPr>
        <w:t>
      2428. В каждом участке трубопровода, который может быть отключен запорными клапанами и в котором давление может подняться выше допустимого для любого компонента, устанавливаются предохранительные клапаны с устройствами их принудительного подрыва.</w:t>
      </w:r>
    </w:p>
    <w:bookmarkEnd w:id="7408"/>
    <w:bookmarkStart w:name="z7421" w:id="7409"/>
    <w:p>
      <w:pPr>
        <w:spacing w:after="0"/>
        <w:ind w:left="0"/>
        <w:jc w:val="both"/>
      </w:pPr>
      <w:r>
        <w:rPr>
          <w:rFonts w:ascii="Times New Roman"/>
          <w:b w:val="false"/>
          <w:i w:val="false"/>
          <w:color w:val="000000"/>
          <w:sz w:val="28"/>
        </w:rPr>
        <w:t>
      2429. Система аварийно-предупредительной сигнализации подает световой и звуковой сигналы в следующих случаях:</w:t>
      </w:r>
    </w:p>
    <w:bookmarkEnd w:id="7409"/>
    <w:bookmarkStart w:name="z7422" w:id="7410"/>
    <w:p>
      <w:pPr>
        <w:spacing w:after="0"/>
        <w:ind w:left="0"/>
        <w:jc w:val="both"/>
      </w:pPr>
      <w:r>
        <w:rPr>
          <w:rFonts w:ascii="Times New Roman"/>
          <w:b w:val="false"/>
          <w:i w:val="false"/>
          <w:color w:val="000000"/>
          <w:sz w:val="28"/>
        </w:rPr>
        <w:t>
      при достижении в резервуаре максимального (не более установки предохранительного клапана) и минимального (не менее 18 бар) давления;</w:t>
      </w:r>
    </w:p>
    <w:bookmarkEnd w:id="7410"/>
    <w:bookmarkStart w:name="z7423" w:id="7411"/>
    <w:p>
      <w:pPr>
        <w:spacing w:after="0"/>
        <w:ind w:left="0"/>
        <w:jc w:val="both"/>
      </w:pPr>
      <w:r>
        <w:rPr>
          <w:rFonts w:ascii="Times New Roman"/>
          <w:b w:val="false"/>
          <w:i w:val="false"/>
          <w:color w:val="000000"/>
          <w:sz w:val="28"/>
        </w:rPr>
        <w:t>
      при снижении уровня углекислоты в резервуаре до минимально допустимого;</w:t>
      </w:r>
    </w:p>
    <w:bookmarkEnd w:id="7411"/>
    <w:bookmarkStart w:name="z7424" w:id="7412"/>
    <w:p>
      <w:pPr>
        <w:spacing w:after="0"/>
        <w:ind w:left="0"/>
        <w:jc w:val="both"/>
      </w:pPr>
      <w:r>
        <w:rPr>
          <w:rFonts w:ascii="Times New Roman"/>
          <w:b w:val="false"/>
          <w:i w:val="false"/>
          <w:color w:val="000000"/>
          <w:sz w:val="28"/>
        </w:rPr>
        <w:t>
      при выходе из строя холодильной установки;</w:t>
      </w:r>
    </w:p>
    <w:bookmarkEnd w:id="7412"/>
    <w:bookmarkStart w:name="z7425" w:id="7413"/>
    <w:p>
      <w:pPr>
        <w:spacing w:after="0"/>
        <w:ind w:left="0"/>
        <w:jc w:val="both"/>
      </w:pPr>
      <w:r>
        <w:rPr>
          <w:rFonts w:ascii="Times New Roman"/>
          <w:b w:val="false"/>
          <w:i w:val="false"/>
          <w:color w:val="000000"/>
          <w:sz w:val="28"/>
        </w:rPr>
        <w:t>
      при пуске углекислого газа.</w:t>
      </w:r>
    </w:p>
    <w:bookmarkEnd w:id="7413"/>
    <w:bookmarkStart w:name="z7426" w:id="7414"/>
    <w:p>
      <w:pPr>
        <w:spacing w:after="0"/>
        <w:ind w:left="0"/>
        <w:jc w:val="both"/>
      </w:pPr>
      <w:r>
        <w:rPr>
          <w:rFonts w:ascii="Times New Roman"/>
          <w:b w:val="false"/>
          <w:i w:val="false"/>
          <w:color w:val="000000"/>
          <w:sz w:val="28"/>
        </w:rPr>
        <w:t>
      Сигналы подаются в ЦПП и каютах механиков.</w:t>
      </w:r>
    </w:p>
    <w:bookmarkEnd w:id="7414"/>
    <w:bookmarkStart w:name="z7427" w:id="7415"/>
    <w:p>
      <w:pPr>
        <w:spacing w:after="0"/>
        <w:ind w:left="0"/>
        <w:jc w:val="left"/>
      </w:pPr>
      <w:r>
        <w:rPr>
          <w:rFonts w:ascii="Times New Roman"/>
          <w:b/>
          <w:i w:val="false"/>
          <w:color w:val="000000"/>
        </w:rPr>
        <w:t xml:space="preserve"> Параграф 4. Управление пуском.</w:t>
      </w:r>
      <w:r>
        <w:br/>
      </w:r>
      <w:r>
        <w:rPr>
          <w:rFonts w:ascii="Times New Roman"/>
          <w:b/>
          <w:i w:val="false"/>
          <w:color w:val="000000"/>
        </w:rPr>
        <w:t>Местные станции углекислотного пожаротушения</w:t>
      </w:r>
    </w:p>
    <w:bookmarkEnd w:id="7415"/>
    <w:bookmarkStart w:name="z7428" w:id="7416"/>
    <w:p>
      <w:pPr>
        <w:spacing w:after="0"/>
        <w:ind w:left="0"/>
        <w:jc w:val="both"/>
      </w:pPr>
      <w:r>
        <w:rPr>
          <w:rFonts w:ascii="Times New Roman"/>
          <w:b w:val="false"/>
          <w:i w:val="false"/>
          <w:color w:val="000000"/>
          <w:sz w:val="28"/>
        </w:rPr>
        <w:t>
      2430. Органы управления систем, предназначенных для защиты помещений, в которых обычно работает или в которые имеет доступ персонал, должны отвечать требованиям пункта 2431 настоящих Правил.</w:t>
      </w:r>
    </w:p>
    <w:bookmarkEnd w:id="7416"/>
    <w:bookmarkStart w:name="z7429" w:id="7417"/>
    <w:p>
      <w:pPr>
        <w:spacing w:after="0"/>
        <w:ind w:left="0"/>
        <w:jc w:val="both"/>
      </w:pPr>
      <w:r>
        <w:rPr>
          <w:rFonts w:ascii="Times New Roman"/>
          <w:b w:val="false"/>
          <w:i w:val="false"/>
          <w:color w:val="000000"/>
          <w:sz w:val="28"/>
        </w:rPr>
        <w:t>
      2431. Место, с которого производится дистанционный пуск системы, должно оборудоваться сигнализацией о выпуске газа из баллонов (резервуаров) и о подаче газа в защищаемое помещение (наличие давления газа до и после пускового запорного клапана).</w:t>
      </w:r>
    </w:p>
    <w:bookmarkEnd w:id="7417"/>
    <w:bookmarkStart w:name="z7430" w:id="7418"/>
    <w:p>
      <w:pPr>
        <w:spacing w:after="0"/>
        <w:ind w:left="0"/>
        <w:jc w:val="both"/>
      </w:pPr>
      <w:r>
        <w:rPr>
          <w:rFonts w:ascii="Times New Roman"/>
          <w:b w:val="false"/>
          <w:i w:val="false"/>
          <w:color w:val="000000"/>
          <w:sz w:val="28"/>
        </w:rPr>
        <w:t>
      Предусматривается два отдельных средства управления подачей газа в защищаемое помещение и обеспечения срабатывания сигнализации о выпуске газа. Одно используется для выпуска газа из баллонов (резервуаров). Другое используется для открывания пускового запорного клапана защищаемого помещения.</w:t>
      </w:r>
    </w:p>
    <w:bookmarkEnd w:id="7418"/>
    <w:bookmarkStart w:name="z7431" w:id="7419"/>
    <w:p>
      <w:pPr>
        <w:spacing w:after="0"/>
        <w:ind w:left="0"/>
        <w:jc w:val="both"/>
      </w:pPr>
      <w:r>
        <w:rPr>
          <w:rFonts w:ascii="Times New Roman"/>
          <w:b w:val="false"/>
          <w:i w:val="false"/>
          <w:color w:val="000000"/>
          <w:sz w:val="28"/>
        </w:rPr>
        <w:t>
      Эти средства управления находятся внутри шкафа и легко определяются для конкретного защищаемого помещения. Если шкаф закрывается на замок, ключ от него находится в футляре с разбивающейся крышкой, расположенном на видном месте рядом со шкафом.</w:t>
      </w:r>
    </w:p>
    <w:bookmarkEnd w:id="7419"/>
    <w:bookmarkStart w:name="z7432" w:id="7420"/>
    <w:p>
      <w:pPr>
        <w:spacing w:after="0"/>
        <w:ind w:left="0"/>
        <w:jc w:val="both"/>
      </w:pPr>
      <w:r>
        <w:rPr>
          <w:rFonts w:ascii="Times New Roman"/>
          <w:b w:val="false"/>
          <w:i w:val="false"/>
          <w:color w:val="000000"/>
          <w:sz w:val="28"/>
        </w:rPr>
        <w:t>
      2432. На трубопроводах, подающих углекислый газ от пусковых баллонов в сервомоторы, предусматриваются запорные клапаны, сблокированные с устройством открывания пусковых баллонов.</w:t>
      </w:r>
    </w:p>
    <w:bookmarkEnd w:id="7420"/>
    <w:bookmarkStart w:name="z7433" w:id="7421"/>
    <w:p>
      <w:pPr>
        <w:spacing w:after="0"/>
        <w:ind w:left="0"/>
        <w:jc w:val="both"/>
      </w:pPr>
      <w:r>
        <w:rPr>
          <w:rFonts w:ascii="Times New Roman"/>
          <w:b w:val="false"/>
          <w:i w:val="false"/>
          <w:color w:val="000000"/>
          <w:sz w:val="28"/>
        </w:rPr>
        <w:t>
      2433. В системах низкого давления пуск углекислотного газа осуществляется вручную. Если предусматривается устройство автоматического регулирования подачи расчетного количества углекислого газа в защищаемые помещения, также предусматривается возможность ручного регулирования подачи газа.</w:t>
      </w:r>
    </w:p>
    <w:bookmarkEnd w:id="7421"/>
    <w:bookmarkStart w:name="z7434" w:id="7422"/>
    <w:p>
      <w:pPr>
        <w:spacing w:after="0"/>
        <w:ind w:left="0"/>
        <w:jc w:val="both"/>
      </w:pPr>
      <w:r>
        <w:rPr>
          <w:rFonts w:ascii="Times New Roman"/>
          <w:b w:val="false"/>
          <w:i w:val="false"/>
          <w:color w:val="000000"/>
          <w:sz w:val="28"/>
        </w:rPr>
        <w:t>
      При обслуживании системой более одного помещения предусматриваются средства для контроля за количеством подаваемой углекислоты, такие как автоматический расходомер или точный указатель уровня, расположенный на посту (постах) управления.</w:t>
      </w:r>
    </w:p>
    <w:bookmarkEnd w:id="7422"/>
    <w:bookmarkStart w:name="z7435" w:id="7423"/>
    <w:p>
      <w:pPr>
        <w:spacing w:after="0"/>
        <w:ind w:left="0"/>
        <w:jc w:val="both"/>
      </w:pPr>
      <w:r>
        <w:rPr>
          <w:rFonts w:ascii="Times New Roman"/>
          <w:b w:val="false"/>
          <w:i w:val="false"/>
          <w:color w:val="000000"/>
          <w:sz w:val="28"/>
        </w:rPr>
        <w:t>
      2434. В обоснованных случаях для отдельных защищаемых помещений может быть допущено устройство местных станций с числом баллонов не более пяти (не более 125 кг углекислого газа).</w:t>
      </w:r>
    </w:p>
    <w:bookmarkEnd w:id="7423"/>
    <w:bookmarkStart w:name="z7436" w:id="7424"/>
    <w:p>
      <w:pPr>
        <w:spacing w:after="0"/>
        <w:ind w:left="0"/>
        <w:jc w:val="both"/>
      </w:pPr>
      <w:r>
        <w:rPr>
          <w:rFonts w:ascii="Times New Roman"/>
          <w:b w:val="false"/>
          <w:i w:val="false"/>
          <w:color w:val="000000"/>
          <w:sz w:val="28"/>
        </w:rPr>
        <w:t>
      Внутри машинного помещения допускается устанавливать баллоны для защиты картеров, глушителей двигателей внутреннего сгорания, дымоходов и других замкнутых объемов.</w:t>
      </w:r>
    </w:p>
    <w:bookmarkEnd w:id="7424"/>
    <w:bookmarkStart w:name="z7437" w:id="7425"/>
    <w:p>
      <w:pPr>
        <w:spacing w:after="0"/>
        <w:ind w:left="0"/>
        <w:jc w:val="left"/>
      </w:pPr>
      <w:r>
        <w:rPr>
          <w:rFonts w:ascii="Times New Roman"/>
          <w:b/>
          <w:i w:val="false"/>
          <w:color w:val="000000"/>
        </w:rPr>
        <w:t xml:space="preserve"> Глава 155. Система тушения инертными газами</w:t>
      </w:r>
    </w:p>
    <w:bookmarkEnd w:id="7425"/>
    <w:p>
      <w:pPr>
        <w:spacing w:after="0"/>
        <w:ind w:left="0"/>
        <w:jc w:val="both"/>
      </w:pPr>
      <w:r>
        <w:rPr>
          <w:rFonts w:ascii="Times New Roman"/>
          <w:b w:val="false"/>
          <w:i w:val="false"/>
          <w:color w:val="ff0000"/>
          <w:sz w:val="28"/>
        </w:rPr>
        <w:t xml:space="preserve">
      Сноска. Заголовок главы 155 -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38" w:id="7426"/>
    <w:p>
      <w:pPr>
        <w:spacing w:after="0"/>
        <w:ind w:left="0"/>
        <w:jc w:val="both"/>
      </w:pPr>
      <w:r>
        <w:rPr>
          <w:rFonts w:ascii="Times New Roman"/>
          <w:b w:val="false"/>
          <w:i w:val="false"/>
          <w:color w:val="000000"/>
          <w:sz w:val="28"/>
        </w:rPr>
        <w:t>
      2435. Газ, используемый в качестве огнетушащего вещества, должен быть газообразным продуктом сгорания топлива, в котором содержание кислорода, окиси углерода, коррозионных веществ и каких-либо твердых горючих частиц должно быть сведено к допустимому минимуму.</w:t>
      </w:r>
    </w:p>
    <w:bookmarkEnd w:id="7426"/>
    <w:bookmarkStart w:name="z7439" w:id="7427"/>
    <w:p>
      <w:pPr>
        <w:spacing w:after="0"/>
        <w:ind w:left="0"/>
        <w:jc w:val="both"/>
      </w:pPr>
      <w:r>
        <w:rPr>
          <w:rFonts w:ascii="Times New Roman"/>
          <w:b w:val="false"/>
          <w:i w:val="false"/>
          <w:color w:val="000000"/>
          <w:sz w:val="28"/>
        </w:rPr>
        <w:t>
      2436. Производительность системы должна быть следующей:</w:t>
      </w:r>
    </w:p>
    <w:bookmarkEnd w:id="7427"/>
    <w:bookmarkStart w:name="z7440" w:id="7428"/>
    <w:p>
      <w:pPr>
        <w:spacing w:after="0"/>
        <w:ind w:left="0"/>
        <w:jc w:val="both"/>
      </w:pPr>
      <w:r>
        <w:rPr>
          <w:rFonts w:ascii="Times New Roman"/>
          <w:b w:val="false"/>
          <w:i w:val="false"/>
          <w:color w:val="000000"/>
          <w:sz w:val="28"/>
        </w:rPr>
        <w:t>
      1) для защиты машинных помещений - должна обеспечиваться защита, равноценная той, которая обеспечивается системой углекислотного тушения;</w:t>
      </w:r>
    </w:p>
    <w:bookmarkEnd w:id="7428"/>
    <w:bookmarkStart w:name="z7441" w:id="7429"/>
    <w:p>
      <w:pPr>
        <w:spacing w:after="0"/>
        <w:ind w:left="0"/>
        <w:jc w:val="both"/>
      </w:pPr>
      <w:r>
        <w:rPr>
          <w:rFonts w:ascii="Times New Roman"/>
          <w:b w:val="false"/>
          <w:i w:val="false"/>
          <w:color w:val="000000"/>
          <w:sz w:val="28"/>
        </w:rPr>
        <w:t>
      2) для грузовых помещений - количество газа должно быть достаточным для получения ежечасно в течение 72 ч объема свободного газа, равного, по меньшей мере, 25 % валового объема наибольшего защищаемого помещения.</w:t>
      </w:r>
    </w:p>
    <w:bookmarkEnd w:id="7429"/>
    <w:bookmarkStart w:name="z7442" w:id="7430"/>
    <w:p>
      <w:pPr>
        <w:spacing w:after="0"/>
        <w:ind w:left="0"/>
        <w:jc w:val="both"/>
      </w:pPr>
      <w:r>
        <w:rPr>
          <w:rFonts w:ascii="Times New Roman"/>
          <w:b w:val="false"/>
          <w:i w:val="false"/>
          <w:color w:val="000000"/>
          <w:sz w:val="28"/>
        </w:rPr>
        <w:t>
      2437. Устройство распределительного трубопровода и расположение выпускных сопел должно быть таким, чтобы обеспечивалось равномерное распределение огнетушащего газа.</w:t>
      </w:r>
    </w:p>
    <w:bookmarkEnd w:id="7430"/>
    <w:bookmarkStart w:name="z7443" w:id="7431"/>
    <w:p>
      <w:pPr>
        <w:spacing w:after="0"/>
        <w:ind w:left="0"/>
        <w:jc w:val="left"/>
      </w:pPr>
      <w:r>
        <w:rPr>
          <w:rFonts w:ascii="Times New Roman"/>
          <w:b/>
          <w:i w:val="false"/>
          <w:color w:val="000000"/>
        </w:rPr>
        <w:t xml:space="preserve"> Глава 156. Система порошкового тушения</w:t>
      </w:r>
    </w:p>
    <w:bookmarkEnd w:id="7431"/>
    <w:p>
      <w:pPr>
        <w:spacing w:after="0"/>
        <w:ind w:left="0"/>
        <w:jc w:val="both"/>
      </w:pPr>
      <w:r>
        <w:rPr>
          <w:rFonts w:ascii="Times New Roman"/>
          <w:b w:val="false"/>
          <w:i w:val="false"/>
          <w:color w:val="ff0000"/>
          <w:sz w:val="28"/>
        </w:rPr>
        <w:t xml:space="preserve">
      Сноска. Заголовок главы 156 -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44" w:id="7432"/>
    <w:p>
      <w:pPr>
        <w:spacing w:after="0"/>
        <w:ind w:left="0"/>
        <w:jc w:val="left"/>
      </w:pPr>
      <w:r>
        <w:rPr>
          <w:rFonts w:ascii="Times New Roman"/>
          <w:b/>
          <w:i w:val="false"/>
          <w:color w:val="000000"/>
        </w:rPr>
        <w:t xml:space="preserve"> Параграф 1. Общие требования</w:t>
      </w:r>
    </w:p>
    <w:bookmarkEnd w:id="7432"/>
    <w:bookmarkStart w:name="z7445" w:id="7433"/>
    <w:p>
      <w:pPr>
        <w:spacing w:after="0"/>
        <w:ind w:left="0"/>
        <w:jc w:val="both"/>
      </w:pPr>
      <w:r>
        <w:rPr>
          <w:rFonts w:ascii="Times New Roman"/>
          <w:b w:val="false"/>
          <w:i w:val="false"/>
          <w:color w:val="000000"/>
          <w:sz w:val="28"/>
        </w:rPr>
        <w:t>
      2438. В системе порошкового тушения применяется огнетушащий порошок одобренного Регистром судоходства типа.</w:t>
      </w:r>
    </w:p>
    <w:bookmarkEnd w:id="7433"/>
    <w:bookmarkStart w:name="z7446" w:id="7434"/>
    <w:p>
      <w:pPr>
        <w:spacing w:after="0"/>
        <w:ind w:left="0"/>
        <w:jc w:val="both"/>
      </w:pPr>
      <w:r>
        <w:rPr>
          <w:rFonts w:ascii="Times New Roman"/>
          <w:b w:val="false"/>
          <w:i w:val="false"/>
          <w:color w:val="000000"/>
          <w:sz w:val="28"/>
        </w:rPr>
        <w:t>
      2439. В качестве газа — носителя порошка используется азот или другой инертный газ, одобренный Регистром судоходства для этой цели.</w:t>
      </w:r>
    </w:p>
    <w:bookmarkEnd w:id="7434"/>
    <w:bookmarkStart w:name="z7447" w:id="7435"/>
    <w:p>
      <w:pPr>
        <w:spacing w:after="0"/>
        <w:ind w:left="0"/>
        <w:jc w:val="both"/>
      </w:pPr>
      <w:r>
        <w:rPr>
          <w:rFonts w:ascii="Times New Roman"/>
          <w:b w:val="false"/>
          <w:i w:val="false"/>
          <w:color w:val="000000"/>
          <w:sz w:val="28"/>
        </w:rPr>
        <w:t>
      2440. В систему входит:</w:t>
      </w:r>
    </w:p>
    <w:bookmarkEnd w:id="7435"/>
    <w:bookmarkStart w:name="z7448" w:id="7436"/>
    <w:p>
      <w:pPr>
        <w:spacing w:after="0"/>
        <w:ind w:left="0"/>
        <w:jc w:val="both"/>
      </w:pPr>
      <w:r>
        <w:rPr>
          <w:rFonts w:ascii="Times New Roman"/>
          <w:b w:val="false"/>
          <w:i w:val="false"/>
          <w:color w:val="000000"/>
          <w:sz w:val="28"/>
        </w:rPr>
        <w:t>
      станции, предназначенные для размещения резервуаров с порошком, баллонов с газом-носителем и распределительного коллектора;</w:t>
      </w:r>
    </w:p>
    <w:bookmarkEnd w:id="7436"/>
    <w:bookmarkStart w:name="z7449" w:id="7437"/>
    <w:p>
      <w:pPr>
        <w:spacing w:after="0"/>
        <w:ind w:left="0"/>
        <w:jc w:val="both"/>
      </w:pPr>
      <w:r>
        <w:rPr>
          <w:rFonts w:ascii="Times New Roman"/>
          <w:b w:val="false"/>
          <w:i w:val="false"/>
          <w:color w:val="000000"/>
          <w:sz w:val="28"/>
        </w:rPr>
        <w:t>
      посты тушения;</w:t>
      </w:r>
    </w:p>
    <w:bookmarkEnd w:id="7437"/>
    <w:bookmarkStart w:name="z7450" w:id="7438"/>
    <w:p>
      <w:pPr>
        <w:spacing w:after="0"/>
        <w:ind w:left="0"/>
        <w:jc w:val="both"/>
      </w:pPr>
      <w:r>
        <w:rPr>
          <w:rFonts w:ascii="Times New Roman"/>
          <w:b w:val="false"/>
          <w:i w:val="false"/>
          <w:color w:val="000000"/>
          <w:sz w:val="28"/>
        </w:rPr>
        <w:t>
      трубопроводы и арматура для пуска системы и подачи порошка к постам.</w:t>
      </w:r>
    </w:p>
    <w:bookmarkEnd w:id="7438"/>
    <w:bookmarkStart w:name="z7451" w:id="7439"/>
    <w:p>
      <w:pPr>
        <w:spacing w:after="0"/>
        <w:ind w:left="0"/>
        <w:jc w:val="both"/>
      </w:pPr>
      <w:r>
        <w:rPr>
          <w:rFonts w:ascii="Times New Roman"/>
          <w:b w:val="false"/>
          <w:i w:val="false"/>
          <w:color w:val="000000"/>
          <w:sz w:val="28"/>
        </w:rPr>
        <w:t>
      2441. Обеспечивается дистанционный пуск системы с любого поста тушения.</w:t>
      </w:r>
    </w:p>
    <w:bookmarkEnd w:id="7439"/>
    <w:bookmarkStart w:name="z7452" w:id="7440"/>
    <w:p>
      <w:pPr>
        <w:spacing w:after="0"/>
        <w:ind w:left="0"/>
        <w:jc w:val="both"/>
      </w:pPr>
      <w:r>
        <w:rPr>
          <w:rFonts w:ascii="Times New Roman"/>
          <w:b w:val="false"/>
          <w:i w:val="false"/>
          <w:color w:val="000000"/>
          <w:sz w:val="28"/>
        </w:rPr>
        <w:t>
      Система приводится в действие не более чем за 30 с после открытия пускового баллона у наиболее удаленного поста тушения, работающего от данной станции.</w:t>
      </w:r>
    </w:p>
    <w:bookmarkEnd w:id="7440"/>
    <w:bookmarkStart w:name="z7453" w:id="7441"/>
    <w:p>
      <w:pPr>
        <w:spacing w:after="0"/>
        <w:ind w:left="0"/>
        <w:jc w:val="left"/>
      </w:pPr>
      <w:r>
        <w:rPr>
          <w:rFonts w:ascii="Times New Roman"/>
          <w:b/>
          <w:i w:val="false"/>
          <w:color w:val="000000"/>
        </w:rPr>
        <w:t xml:space="preserve"> Параграф 2. Количество порошка и газа-носителя.</w:t>
      </w:r>
      <w:r>
        <w:br/>
      </w:r>
      <w:r>
        <w:rPr>
          <w:rFonts w:ascii="Times New Roman"/>
          <w:b/>
          <w:i w:val="false"/>
          <w:color w:val="000000"/>
        </w:rPr>
        <w:t>Подача и число стволов</w:t>
      </w:r>
    </w:p>
    <w:bookmarkEnd w:id="7441"/>
    <w:bookmarkStart w:name="z7454" w:id="7442"/>
    <w:p>
      <w:pPr>
        <w:spacing w:after="0"/>
        <w:ind w:left="0"/>
        <w:jc w:val="both"/>
      </w:pPr>
      <w:r>
        <w:rPr>
          <w:rFonts w:ascii="Times New Roman"/>
          <w:b w:val="false"/>
          <w:i w:val="false"/>
          <w:color w:val="000000"/>
          <w:sz w:val="28"/>
        </w:rPr>
        <w:t>
      2442. В каждом резервуаре, размещенном на станции, должно находиться расчетное количество порошка, определяемое из условия обеспечения непрерывного действия с номинальным расходом в течение не менее 45 с, всех ручных и лафетных стволов, работающих от данной станции.</w:t>
      </w:r>
    </w:p>
    <w:bookmarkEnd w:id="7442"/>
    <w:bookmarkStart w:name="z7455" w:id="7443"/>
    <w:p>
      <w:pPr>
        <w:spacing w:after="0"/>
        <w:ind w:left="0"/>
        <w:jc w:val="both"/>
      </w:pPr>
      <w:r>
        <w:rPr>
          <w:rFonts w:ascii="Times New Roman"/>
          <w:b w:val="false"/>
          <w:i w:val="false"/>
          <w:color w:val="000000"/>
          <w:sz w:val="28"/>
        </w:rPr>
        <w:t>
      2443. Расход порошка на каждый ручной ствол должен быть не менее 3,5 кг/с, а длина струи порошка — не менее 8 м. Для определения максимальной зоны действия каждого ручного ствола следует учитывать длину его рукава.</w:t>
      </w:r>
    </w:p>
    <w:bookmarkEnd w:id="7443"/>
    <w:bookmarkStart w:name="z7456" w:id="7444"/>
    <w:p>
      <w:pPr>
        <w:spacing w:after="0"/>
        <w:ind w:left="0"/>
        <w:jc w:val="both"/>
      </w:pPr>
      <w:r>
        <w:rPr>
          <w:rFonts w:ascii="Times New Roman"/>
          <w:b w:val="false"/>
          <w:i w:val="false"/>
          <w:color w:val="000000"/>
          <w:sz w:val="28"/>
        </w:rPr>
        <w:t>
      Расход порошка через каждый лафетный ствол должен быть не менее 10 кг/с;</w:t>
      </w:r>
    </w:p>
    <w:bookmarkEnd w:id="7444"/>
    <w:bookmarkStart w:name="z7457" w:id="7445"/>
    <w:p>
      <w:pPr>
        <w:spacing w:after="0"/>
        <w:ind w:left="0"/>
        <w:jc w:val="both"/>
      </w:pPr>
      <w:r>
        <w:rPr>
          <w:rFonts w:ascii="Times New Roman"/>
          <w:b w:val="false"/>
          <w:i w:val="false"/>
          <w:color w:val="000000"/>
          <w:sz w:val="28"/>
        </w:rPr>
        <w:t>
      максимальная зона действия лафетных стволов с подачей 10, 25 и 45 кг/с принимается 10, 30 и 40 м соответственно.</w:t>
      </w:r>
    </w:p>
    <w:bookmarkEnd w:id="7445"/>
    <w:bookmarkStart w:name="z7458" w:id="7446"/>
    <w:p>
      <w:pPr>
        <w:spacing w:after="0"/>
        <w:ind w:left="0"/>
        <w:jc w:val="both"/>
      </w:pPr>
      <w:r>
        <w:rPr>
          <w:rFonts w:ascii="Times New Roman"/>
          <w:b w:val="false"/>
          <w:i w:val="false"/>
          <w:color w:val="000000"/>
          <w:sz w:val="28"/>
        </w:rPr>
        <w:t>
      2444. Число ручных и лафетных стволов обеспечивает подачу порошка на любую часть палубы грузовых отсеков и грузового трубопровода от двух ручных стволов или от лафетного и ручного стволов.</w:t>
      </w:r>
    </w:p>
    <w:bookmarkEnd w:id="7446"/>
    <w:bookmarkStart w:name="z7459" w:id="7447"/>
    <w:p>
      <w:pPr>
        <w:spacing w:after="0"/>
        <w:ind w:left="0"/>
        <w:jc w:val="both"/>
      </w:pPr>
      <w:r>
        <w:rPr>
          <w:rFonts w:ascii="Times New Roman"/>
          <w:b w:val="false"/>
          <w:i w:val="false"/>
          <w:color w:val="000000"/>
          <w:sz w:val="28"/>
        </w:rPr>
        <w:t>
      По крайней мере, один ручной или лафетный ствол располагается в кормовой части палубы грузовых отсеков.</w:t>
      </w:r>
    </w:p>
    <w:bookmarkEnd w:id="7447"/>
    <w:bookmarkStart w:name="z7460" w:id="7448"/>
    <w:p>
      <w:pPr>
        <w:spacing w:after="0"/>
        <w:ind w:left="0"/>
        <w:jc w:val="both"/>
      </w:pPr>
      <w:r>
        <w:rPr>
          <w:rFonts w:ascii="Times New Roman"/>
          <w:b w:val="false"/>
          <w:i w:val="false"/>
          <w:color w:val="000000"/>
          <w:sz w:val="28"/>
        </w:rPr>
        <w:t>
      2445. На газовозах в грузовой зоне предусматривается один лафетный ствол для защиты грузового коллектора, а его оборудование обеспечивает подачу порошка с места и дистанционно.</w:t>
      </w:r>
    </w:p>
    <w:bookmarkEnd w:id="7448"/>
    <w:bookmarkStart w:name="z7461" w:id="7449"/>
    <w:p>
      <w:pPr>
        <w:spacing w:after="0"/>
        <w:ind w:left="0"/>
        <w:jc w:val="both"/>
      </w:pPr>
      <w:r>
        <w:rPr>
          <w:rFonts w:ascii="Times New Roman"/>
          <w:b w:val="false"/>
          <w:i w:val="false"/>
          <w:color w:val="000000"/>
          <w:sz w:val="28"/>
        </w:rPr>
        <w:t>
      2446. Система порошкового тушения для защиты помещений, указанных в подпункте 2) пункта 2236 настоящих Правил, обеспечивает подачу не менее 0,5 кг порошка/м</w:t>
      </w:r>
      <w:r>
        <w:rPr>
          <w:rFonts w:ascii="Times New Roman"/>
          <w:b w:val="false"/>
          <w:i w:val="false"/>
          <w:color w:val="000000"/>
          <w:vertAlign w:val="superscript"/>
        </w:rPr>
        <w:t>3</w:t>
      </w:r>
      <w:r>
        <w:rPr>
          <w:rFonts w:ascii="Times New Roman"/>
          <w:b w:val="false"/>
          <w:i w:val="false"/>
          <w:color w:val="000000"/>
          <w:sz w:val="28"/>
        </w:rPr>
        <w:t xml:space="preserve"> за время не более 10 с.</w:t>
      </w:r>
    </w:p>
    <w:bookmarkEnd w:id="7449"/>
    <w:bookmarkStart w:name="z7462" w:id="7450"/>
    <w:p>
      <w:pPr>
        <w:spacing w:after="0"/>
        <w:ind w:left="0"/>
        <w:jc w:val="both"/>
      </w:pPr>
      <w:r>
        <w:rPr>
          <w:rFonts w:ascii="Times New Roman"/>
          <w:b w:val="false"/>
          <w:i w:val="false"/>
          <w:color w:val="000000"/>
          <w:sz w:val="28"/>
        </w:rPr>
        <w:t>
      2447. Количество газа-носителя обеспечивает однократный выпуск всего порошка из резервуара.</w:t>
      </w:r>
    </w:p>
    <w:bookmarkEnd w:id="7450"/>
    <w:bookmarkStart w:name="z7463" w:id="7451"/>
    <w:p>
      <w:pPr>
        <w:spacing w:after="0"/>
        <w:ind w:left="0"/>
        <w:jc w:val="left"/>
      </w:pPr>
      <w:r>
        <w:rPr>
          <w:rFonts w:ascii="Times New Roman"/>
          <w:b/>
          <w:i w:val="false"/>
          <w:color w:val="000000"/>
        </w:rPr>
        <w:t xml:space="preserve"> Параграф 3. Станции порошкового тушения, пост порошкового</w:t>
      </w:r>
      <w:r>
        <w:br/>
      </w:r>
      <w:r>
        <w:rPr>
          <w:rFonts w:ascii="Times New Roman"/>
          <w:b/>
          <w:i w:val="false"/>
          <w:color w:val="000000"/>
        </w:rPr>
        <w:t>тушения</w:t>
      </w:r>
    </w:p>
    <w:bookmarkEnd w:id="7451"/>
    <w:bookmarkStart w:name="z7464" w:id="7452"/>
    <w:p>
      <w:pPr>
        <w:spacing w:after="0"/>
        <w:ind w:left="0"/>
        <w:jc w:val="both"/>
      </w:pPr>
      <w:r>
        <w:rPr>
          <w:rFonts w:ascii="Times New Roman"/>
          <w:b w:val="false"/>
          <w:i w:val="false"/>
          <w:color w:val="000000"/>
          <w:sz w:val="28"/>
        </w:rPr>
        <w:t>
      2448. Станции размещаются за палубой грузовых отсеков.</w:t>
      </w:r>
    </w:p>
    <w:bookmarkEnd w:id="7452"/>
    <w:bookmarkStart w:name="z7465" w:id="7453"/>
    <w:p>
      <w:pPr>
        <w:spacing w:after="0"/>
        <w:ind w:left="0"/>
        <w:jc w:val="both"/>
      </w:pPr>
      <w:r>
        <w:rPr>
          <w:rFonts w:ascii="Times New Roman"/>
          <w:b w:val="false"/>
          <w:i w:val="false"/>
          <w:color w:val="000000"/>
          <w:sz w:val="28"/>
        </w:rPr>
        <w:t>
      При длине палубы грузовых отсеков более 150 м одну из станций допускается размещать на ней.</w:t>
      </w:r>
    </w:p>
    <w:bookmarkEnd w:id="7453"/>
    <w:bookmarkStart w:name="z7466" w:id="7454"/>
    <w:p>
      <w:pPr>
        <w:spacing w:after="0"/>
        <w:ind w:left="0"/>
        <w:jc w:val="both"/>
      </w:pPr>
      <w:r>
        <w:rPr>
          <w:rFonts w:ascii="Times New Roman"/>
          <w:b w:val="false"/>
          <w:i w:val="false"/>
          <w:color w:val="000000"/>
          <w:sz w:val="28"/>
        </w:rPr>
        <w:t>
      2449. Система порошкового тушения имеет не менее двух независимых станций, а на газовозах с вместимостью грузовых отсеков менее 1000 м</w:t>
      </w:r>
      <w:r>
        <w:rPr>
          <w:rFonts w:ascii="Times New Roman"/>
          <w:b w:val="false"/>
          <w:i w:val="false"/>
          <w:color w:val="000000"/>
          <w:vertAlign w:val="superscript"/>
        </w:rPr>
        <w:t>3</w:t>
      </w:r>
      <w:r>
        <w:rPr>
          <w:rFonts w:ascii="Times New Roman"/>
          <w:b w:val="false"/>
          <w:i w:val="false"/>
          <w:color w:val="000000"/>
          <w:sz w:val="28"/>
        </w:rPr>
        <w:t xml:space="preserve"> допускается иметь одну станцию.</w:t>
      </w:r>
    </w:p>
    <w:bookmarkEnd w:id="7454"/>
    <w:bookmarkStart w:name="z7467" w:id="7455"/>
    <w:p>
      <w:pPr>
        <w:spacing w:after="0"/>
        <w:ind w:left="0"/>
        <w:jc w:val="both"/>
      </w:pPr>
      <w:r>
        <w:rPr>
          <w:rFonts w:ascii="Times New Roman"/>
          <w:b w:val="false"/>
          <w:i w:val="false"/>
          <w:color w:val="000000"/>
          <w:sz w:val="28"/>
        </w:rPr>
        <w:t>
      2450. Суда, имеющие носовой или кормовой грузовой колектор, должны иметь для его защиты дополнительную станцию порошкового тушения, по крайней мере, с одним лафетным и одним ручным стволами.</w:t>
      </w:r>
    </w:p>
    <w:bookmarkEnd w:id="7455"/>
    <w:bookmarkStart w:name="z7468" w:id="7456"/>
    <w:p>
      <w:pPr>
        <w:spacing w:after="0"/>
        <w:ind w:left="0"/>
        <w:jc w:val="both"/>
      </w:pPr>
      <w:r>
        <w:rPr>
          <w:rFonts w:ascii="Times New Roman"/>
          <w:b w:val="false"/>
          <w:i w:val="false"/>
          <w:color w:val="000000"/>
          <w:sz w:val="28"/>
        </w:rPr>
        <w:t>
      2451. Если к станции подключены два поста тушения и более, подвод порошка к каждому из них производится от коллектора станции по самостоятельному трубопроводу с пусковым клапаном.</w:t>
      </w:r>
    </w:p>
    <w:bookmarkEnd w:id="7456"/>
    <w:bookmarkStart w:name="z7469" w:id="7457"/>
    <w:p>
      <w:pPr>
        <w:spacing w:after="0"/>
        <w:ind w:left="0"/>
        <w:jc w:val="both"/>
      </w:pPr>
      <w:r>
        <w:rPr>
          <w:rFonts w:ascii="Times New Roman"/>
          <w:b w:val="false"/>
          <w:i w:val="false"/>
          <w:color w:val="000000"/>
          <w:sz w:val="28"/>
        </w:rPr>
        <w:t>
      Станция обеспечивает раздельную и одновременную работу всех постов.</w:t>
      </w:r>
    </w:p>
    <w:bookmarkEnd w:id="7457"/>
    <w:bookmarkStart w:name="z7470" w:id="7458"/>
    <w:p>
      <w:pPr>
        <w:spacing w:after="0"/>
        <w:ind w:left="0"/>
        <w:jc w:val="both"/>
      </w:pPr>
      <w:r>
        <w:rPr>
          <w:rFonts w:ascii="Times New Roman"/>
          <w:b w:val="false"/>
          <w:i w:val="false"/>
          <w:color w:val="000000"/>
          <w:sz w:val="28"/>
        </w:rPr>
        <w:t>
      2452. Каждый пост порошкового тушения состоит из баллонов для дистанционного пуска системы и либо из ручного ствола с жестким нераскручивающимся рукавом длиной не более 33 м, либо из лафетного ствола.</w:t>
      </w:r>
    </w:p>
    <w:bookmarkEnd w:id="7458"/>
    <w:bookmarkStart w:name="z7471" w:id="7459"/>
    <w:p>
      <w:pPr>
        <w:spacing w:after="0"/>
        <w:ind w:left="0"/>
        <w:jc w:val="both"/>
      </w:pPr>
      <w:r>
        <w:rPr>
          <w:rFonts w:ascii="Times New Roman"/>
          <w:b w:val="false"/>
          <w:i w:val="false"/>
          <w:color w:val="000000"/>
          <w:sz w:val="28"/>
        </w:rPr>
        <w:t>
      2453. Все оборудование поста, кроме лафетного ствола, хранится в водонепроницаемом ящике или шкафу.</w:t>
      </w:r>
    </w:p>
    <w:bookmarkEnd w:id="7459"/>
    <w:bookmarkStart w:name="z7472" w:id="7460"/>
    <w:p>
      <w:pPr>
        <w:spacing w:after="0"/>
        <w:ind w:left="0"/>
        <w:jc w:val="both"/>
      </w:pPr>
      <w:r>
        <w:rPr>
          <w:rFonts w:ascii="Times New Roman"/>
          <w:b w:val="false"/>
          <w:i w:val="false"/>
          <w:color w:val="000000"/>
          <w:sz w:val="28"/>
        </w:rPr>
        <w:t>
      2454. Ручной ствол оборудуется устройством включения/выключения подачи порошка.</w:t>
      </w:r>
    </w:p>
    <w:bookmarkEnd w:id="7460"/>
    <w:bookmarkStart w:name="z7473" w:id="7461"/>
    <w:p>
      <w:pPr>
        <w:spacing w:after="0"/>
        <w:ind w:left="0"/>
        <w:jc w:val="both"/>
      </w:pPr>
      <w:r>
        <w:rPr>
          <w:rFonts w:ascii="Times New Roman"/>
          <w:b w:val="false"/>
          <w:i w:val="false"/>
          <w:color w:val="000000"/>
          <w:sz w:val="28"/>
        </w:rPr>
        <w:t>
      2455. Площадь проходного сечения ствола должна быть равна площади проходного сечения рукава или меньше ее не более чем на 50 %.</w:t>
      </w:r>
    </w:p>
    <w:bookmarkEnd w:id="7461"/>
    <w:bookmarkStart w:name="z7474" w:id="7462"/>
    <w:p>
      <w:pPr>
        <w:spacing w:after="0"/>
        <w:ind w:left="0"/>
        <w:jc w:val="both"/>
      </w:pPr>
      <w:r>
        <w:rPr>
          <w:rFonts w:ascii="Times New Roman"/>
          <w:b w:val="false"/>
          <w:i w:val="false"/>
          <w:color w:val="000000"/>
          <w:sz w:val="28"/>
        </w:rPr>
        <w:t>
      2456. Пусковые баллоны имеют манометры.</w:t>
      </w:r>
    </w:p>
    <w:bookmarkEnd w:id="7462"/>
    <w:bookmarkStart w:name="z7475" w:id="7463"/>
    <w:p>
      <w:pPr>
        <w:spacing w:after="0"/>
        <w:ind w:left="0"/>
        <w:jc w:val="both"/>
      </w:pPr>
      <w:r>
        <w:rPr>
          <w:rFonts w:ascii="Times New Roman"/>
          <w:b w:val="false"/>
          <w:i w:val="false"/>
          <w:color w:val="000000"/>
          <w:sz w:val="28"/>
        </w:rPr>
        <w:t>
      2457. Пост имеет инструкцию по вводу системы в действие.</w:t>
      </w:r>
    </w:p>
    <w:bookmarkEnd w:id="7463"/>
    <w:bookmarkStart w:name="z7476" w:id="7464"/>
    <w:p>
      <w:pPr>
        <w:spacing w:after="0"/>
        <w:ind w:left="0"/>
        <w:jc w:val="left"/>
      </w:pPr>
      <w:r>
        <w:rPr>
          <w:rFonts w:ascii="Times New Roman"/>
          <w:b/>
          <w:i w:val="false"/>
          <w:color w:val="000000"/>
        </w:rPr>
        <w:t xml:space="preserve"> Параграф 4. Резервуары, трубопроводы и арматура</w:t>
      </w:r>
    </w:p>
    <w:bookmarkEnd w:id="7464"/>
    <w:bookmarkStart w:name="z7477" w:id="7465"/>
    <w:p>
      <w:pPr>
        <w:spacing w:after="0"/>
        <w:ind w:left="0"/>
        <w:jc w:val="both"/>
      </w:pPr>
      <w:r>
        <w:rPr>
          <w:rFonts w:ascii="Times New Roman"/>
          <w:b w:val="false"/>
          <w:i w:val="false"/>
          <w:color w:val="000000"/>
          <w:sz w:val="28"/>
        </w:rPr>
        <w:t>
      2458. В резервуаре предусматривается расходная труба, не доходящая до днища приблизительно на 100 мм.</w:t>
      </w:r>
    </w:p>
    <w:bookmarkEnd w:id="7465"/>
    <w:bookmarkStart w:name="z7478" w:id="7466"/>
    <w:p>
      <w:pPr>
        <w:spacing w:after="0"/>
        <w:ind w:left="0"/>
        <w:jc w:val="both"/>
      </w:pPr>
      <w:r>
        <w:rPr>
          <w:rFonts w:ascii="Times New Roman"/>
          <w:b w:val="false"/>
          <w:i w:val="false"/>
          <w:color w:val="000000"/>
          <w:sz w:val="28"/>
        </w:rPr>
        <w:t>
      2459. В нижней части резервуара устанавливается устройство для прохода газа в резервуар, препятствующее проникновению порошка в газовую магистраль.</w:t>
      </w:r>
    </w:p>
    <w:bookmarkEnd w:id="7466"/>
    <w:bookmarkStart w:name="z7479" w:id="7467"/>
    <w:p>
      <w:pPr>
        <w:spacing w:after="0"/>
        <w:ind w:left="0"/>
        <w:jc w:val="both"/>
      </w:pPr>
      <w:r>
        <w:rPr>
          <w:rFonts w:ascii="Times New Roman"/>
          <w:b w:val="false"/>
          <w:i w:val="false"/>
          <w:color w:val="000000"/>
          <w:sz w:val="28"/>
        </w:rPr>
        <w:t>
      2460. Степень заполнения резервуара порошком следует принимать равной не более 0,95.</w:t>
      </w:r>
    </w:p>
    <w:bookmarkEnd w:id="7467"/>
    <w:bookmarkStart w:name="z7480" w:id="7468"/>
    <w:p>
      <w:pPr>
        <w:spacing w:after="0"/>
        <w:ind w:left="0"/>
        <w:jc w:val="both"/>
      </w:pPr>
      <w:r>
        <w:rPr>
          <w:rFonts w:ascii="Times New Roman"/>
          <w:b w:val="false"/>
          <w:i w:val="false"/>
          <w:color w:val="000000"/>
          <w:sz w:val="28"/>
        </w:rPr>
        <w:t>
      2461. Трубопроводы и арматура системы не имеют сужений и резких расширений проходного сечения.</w:t>
      </w:r>
    </w:p>
    <w:bookmarkEnd w:id="7468"/>
    <w:bookmarkStart w:name="z7481" w:id="7469"/>
    <w:p>
      <w:pPr>
        <w:spacing w:after="0"/>
        <w:ind w:left="0"/>
        <w:jc w:val="both"/>
      </w:pPr>
      <w:r>
        <w:rPr>
          <w:rFonts w:ascii="Times New Roman"/>
          <w:b w:val="false"/>
          <w:i w:val="false"/>
          <w:color w:val="000000"/>
          <w:sz w:val="28"/>
        </w:rPr>
        <w:t>
      2462. Площадь проходного сечения коллектора в станции должна быть не менее суммарной площади сечений трубопроводов, подключаемых к нему для одновременной подачи порошка, или превышать ее не более чем вдвое.</w:t>
      </w:r>
    </w:p>
    <w:bookmarkEnd w:id="7469"/>
    <w:bookmarkStart w:name="z7482" w:id="7470"/>
    <w:p>
      <w:pPr>
        <w:spacing w:after="0"/>
        <w:ind w:left="0"/>
        <w:jc w:val="both"/>
      </w:pPr>
      <w:r>
        <w:rPr>
          <w:rFonts w:ascii="Times New Roman"/>
          <w:b w:val="false"/>
          <w:i w:val="false"/>
          <w:color w:val="000000"/>
          <w:sz w:val="28"/>
        </w:rPr>
        <w:t>
      2463. На распределительном коллекторе станции предусматривается устройство для продувки трубопроводов после выключения системы.</w:t>
      </w:r>
    </w:p>
    <w:bookmarkEnd w:id="7470"/>
    <w:bookmarkStart w:name="z7483" w:id="7471"/>
    <w:p>
      <w:pPr>
        <w:spacing w:after="0"/>
        <w:ind w:left="0"/>
        <w:jc w:val="both"/>
      </w:pPr>
      <w:r>
        <w:rPr>
          <w:rFonts w:ascii="Times New Roman"/>
          <w:b w:val="false"/>
          <w:i w:val="false"/>
          <w:color w:val="000000"/>
          <w:sz w:val="28"/>
        </w:rPr>
        <w:t>
      2464. Радиус изгиба порошкового трубопровода должен быть не менее 10 диаметров трубопровода.</w:t>
      </w:r>
    </w:p>
    <w:bookmarkEnd w:id="7471"/>
    <w:bookmarkStart w:name="z7484" w:id="7472"/>
    <w:p>
      <w:pPr>
        <w:spacing w:after="0"/>
        <w:ind w:left="0"/>
        <w:jc w:val="both"/>
      </w:pPr>
      <w:r>
        <w:rPr>
          <w:rFonts w:ascii="Times New Roman"/>
          <w:b w:val="false"/>
          <w:i w:val="false"/>
          <w:color w:val="000000"/>
          <w:sz w:val="28"/>
        </w:rPr>
        <w:t>
      2465. Подача порошка в помещения, указанные в подпункте 2) пункта 2136 настоящих Правил, производится через распылители. Их конструкция, расположение и число обеспечивают равномерное распыление порошка во всем объеме помещения. Давление у наиболее удаленного распылителя принимается, по крайней мере, равным минимально необходимому, обеспечивающему эффективное распыление порошка.</w:t>
      </w:r>
    </w:p>
    <w:bookmarkEnd w:id="7472"/>
    <w:bookmarkStart w:name="z7485" w:id="7473"/>
    <w:p>
      <w:pPr>
        <w:spacing w:after="0"/>
        <w:ind w:left="0"/>
        <w:jc w:val="left"/>
      </w:pPr>
      <w:r>
        <w:rPr>
          <w:rFonts w:ascii="Times New Roman"/>
          <w:b/>
          <w:i w:val="false"/>
          <w:color w:val="000000"/>
        </w:rPr>
        <w:t xml:space="preserve"> 157. Аэрозольная система пожаротушения</w:t>
      </w:r>
    </w:p>
    <w:bookmarkEnd w:id="7473"/>
    <w:p>
      <w:pPr>
        <w:spacing w:after="0"/>
        <w:ind w:left="0"/>
        <w:jc w:val="both"/>
      </w:pPr>
      <w:r>
        <w:rPr>
          <w:rFonts w:ascii="Times New Roman"/>
          <w:b w:val="false"/>
          <w:i w:val="false"/>
          <w:color w:val="ff0000"/>
          <w:sz w:val="28"/>
        </w:rPr>
        <w:t xml:space="preserve">
      Сноска. Заголовок главы 157 -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86" w:id="7474"/>
    <w:p>
      <w:pPr>
        <w:spacing w:after="0"/>
        <w:ind w:left="0"/>
        <w:jc w:val="left"/>
      </w:pPr>
      <w:r>
        <w:rPr>
          <w:rFonts w:ascii="Times New Roman"/>
          <w:b/>
          <w:i w:val="false"/>
          <w:color w:val="000000"/>
        </w:rPr>
        <w:t xml:space="preserve"> Параграф 1. Общие требования</w:t>
      </w:r>
    </w:p>
    <w:bookmarkEnd w:id="7474"/>
    <w:bookmarkStart w:name="z7487" w:id="7475"/>
    <w:p>
      <w:pPr>
        <w:spacing w:after="0"/>
        <w:ind w:left="0"/>
        <w:jc w:val="both"/>
      </w:pPr>
      <w:r>
        <w:rPr>
          <w:rFonts w:ascii="Times New Roman"/>
          <w:b w:val="false"/>
          <w:i w:val="false"/>
          <w:color w:val="000000"/>
          <w:sz w:val="28"/>
        </w:rPr>
        <w:t>
      2466. В системе аэрозольного пожаротушения применяются генераторы огнетушащего аэрозоля (который образуется при горении твердотопливных аэрозолеобразующих составов) одобренного Регистром судоходства типа.</w:t>
      </w:r>
    </w:p>
    <w:bookmarkEnd w:id="7475"/>
    <w:bookmarkStart w:name="z7488" w:id="7476"/>
    <w:p>
      <w:pPr>
        <w:spacing w:after="0"/>
        <w:ind w:left="0"/>
        <w:jc w:val="both"/>
      </w:pPr>
      <w:r>
        <w:rPr>
          <w:rFonts w:ascii="Times New Roman"/>
          <w:b w:val="false"/>
          <w:i w:val="false"/>
          <w:color w:val="000000"/>
          <w:sz w:val="28"/>
        </w:rPr>
        <w:t>
      2467. Система аэрозольного пожаротушения включает в себя:</w:t>
      </w:r>
    </w:p>
    <w:bookmarkEnd w:id="7476"/>
    <w:bookmarkStart w:name="z7489" w:id="7477"/>
    <w:p>
      <w:pPr>
        <w:spacing w:after="0"/>
        <w:ind w:left="0"/>
        <w:jc w:val="both"/>
      </w:pPr>
      <w:r>
        <w:rPr>
          <w:rFonts w:ascii="Times New Roman"/>
          <w:b w:val="false"/>
          <w:i w:val="false"/>
          <w:color w:val="000000"/>
          <w:sz w:val="28"/>
        </w:rPr>
        <w:t>
      генераторы огнетушащего аэрозоля; блок управления системой (далее - БУС);</w:t>
      </w:r>
    </w:p>
    <w:bookmarkEnd w:id="7477"/>
    <w:bookmarkStart w:name="z7490" w:id="7478"/>
    <w:p>
      <w:pPr>
        <w:spacing w:after="0"/>
        <w:ind w:left="0"/>
        <w:jc w:val="both"/>
      </w:pPr>
      <w:r>
        <w:rPr>
          <w:rFonts w:ascii="Times New Roman"/>
          <w:b w:val="false"/>
          <w:i w:val="false"/>
          <w:color w:val="000000"/>
          <w:sz w:val="28"/>
        </w:rPr>
        <w:t>
      устройства оповещения о запуске системы аэрозольного пожаротушения; кабельные трассы.</w:t>
      </w:r>
    </w:p>
    <w:bookmarkEnd w:id="7478"/>
    <w:bookmarkStart w:name="z7491" w:id="7479"/>
    <w:p>
      <w:pPr>
        <w:spacing w:after="0"/>
        <w:ind w:left="0"/>
        <w:jc w:val="both"/>
      </w:pPr>
      <w:r>
        <w:rPr>
          <w:rFonts w:ascii="Times New Roman"/>
          <w:b w:val="false"/>
          <w:i w:val="false"/>
          <w:color w:val="000000"/>
          <w:sz w:val="28"/>
        </w:rPr>
        <w:t>
      Также необходимо руководствоваться Циркуляром ИМО MSC/Circ 1007 "Руководство по одобрению стационарных систем аэрозольного тушения".</w:t>
      </w:r>
    </w:p>
    <w:bookmarkEnd w:id="7479"/>
    <w:bookmarkStart w:name="z7492" w:id="7480"/>
    <w:p>
      <w:pPr>
        <w:spacing w:after="0"/>
        <w:ind w:left="0"/>
        <w:jc w:val="both"/>
      </w:pPr>
      <w:r>
        <w:rPr>
          <w:rFonts w:ascii="Times New Roman"/>
          <w:b w:val="false"/>
          <w:i w:val="false"/>
          <w:color w:val="000000"/>
          <w:sz w:val="28"/>
        </w:rPr>
        <w:t>
      2468. Расчетная масса аэрозолеобразующего состава, кг, определяется по формуле:</w:t>
      </w:r>
    </w:p>
    <w:bookmarkEnd w:id="7480"/>
    <w:bookmarkStart w:name="z7493" w:id="7481"/>
    <w:p>
      <w:pPr>
        <w:spacing w:after="0"/>
        <w:ind w:left="0"/>
        <w:jc w:val="both"/>
      </w:pPr>
      <w:r>
        <w:rPr>
          <w:rFonts w:ascii="Times New Roman"/>
          <w:b w:val="false"/>
          <w:i w:val="false"/>
          <w:color w:val="000000"/>
          <w:sz w:val="28"/>
        </w:rPr>
        <w:t xml:space="preserve">
      G = </w:t>
      </w:r>
    </w:p>
    <w:bookmarkEnd w:id="7481"/>
    <w:p>
      <w:pPr>
        <w:spacing w:after="0"/>
        <w:ind w:left="0"/>
        <w:jc w:val="both"/>
      </w:pPr>
      <w:r>
        <w:drawing>
          <wp:inline distT="0" distB="0" distL="0" distR="0">
            <wp:extent cx="201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6"/>
                    <a:stretch>
                      <a:fillRect/>
                    </a:stretch>
                  </pic:blipFill>
                  <pic:spPr>
                    <a:xfrm>
                      <a:off x="0" y="0"/>
                      <a:ext cx="2019300" cy="546100"/>
                    </a:xfrm>
                    <a:prstGeom prst="rect">
                      <a:avLst/>
                    </a:prstGeom>
                  </pic:spPr>
                </pic:pic>
              </a:graphicData>
            </a:graphic>
          </wp:inline>
        </w:drawing>
      </w:r>
    </w:p>
    <w:p>
      <w:pPr>
        <w:spacing w:after="0"/>
        <w:ind w:left="0"/>
        <w:jc w:val="left"/>
      </w:pPr>
      <w:r>
        <w:rPr>
          <w:rFonts w:ascii="Times New Roman"/>
          <w:b w:val="false"/>
          <w:i w:val="false"/>
          <w:color w:val="000000"/>
          <w:sz w:val="28"/>
        </w:rPr>
        <w:t>(726)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V — расчетный объем защищаемого помещения, м</w:t>
      </w:r>
      <w:r>
        <w:rPr>
          <w:rFonts w:ascii="Times New Roman"/>
          <w:b w:val="false"/>
          <w:i w:val="false"/>
          <w:color w:val="000000"/>
          <w:vertAlign w:val="superscript"/>
        </w:rPr>
        <w:t>3</w:t>
      </w:r>
      <w:r>
        <w:rPr>
          <w:rFonts w:ascii="Times New Roman"/>
          <w:b w:val="false"/>
          <w:i w:val="false"/>
          <w:color w:val="000000"/>
          <w:sz w:val="28"/>
        </w:rPr>
        <w:t>;</w:t>
      </w:r>
    </w:p>
    <w:bookmarkStart w:name="z7494" w:id="7482"/>
    <w:p>
      <w:pPr>
        <w:spacing w:after="0"/>
        <w:ind w:left="0"/>
        <w:jc w:val="both"/>
      </w:pPr>
      <w:r>
        <w:rPr>
          <w:rFonts w:ascii="Times New Roman"/>
          <w:b w:val="false"/>
          <w:i w:val="false"/>
          <w:color w:val="000000"/>
          <w:sz w:val="28"/>
        </w:rPr>
        <w:t>
      V</w:t>
      </w:r>
      <w:r>
        <w:rPr>
          <w:rFonts w:ascii="Times New Roman"/>
          <w:b w:val="false"/>
          <w:i w:val="false"/>
          <w:color w:val="000000"/>
          <w:vertAlign w:val="subscript"/>
        </w:rPr>
        <w:t>bxj</w:t>
      </w:r>
      <w:r>
        <w:rPr>
          <w:rFonts w:ascii="Times New Roman"/>
          <w:b w:val="false"/>
          <w:i w:val="false"/>
          <w:color w:val="000000"/>
          <w:sz w:val="28"/>
        </w:rPr>
        <w:t xml:space="preserve"> — объем j-го воздухохранителя, м</w:t>
      </w:r>
      <w:r>
        <w:rPr>
          <w:rFonts w:ascii="Times New Roman"/>
          <w:b w:val="false"/>
          <w:i w:val="false"/>
          <w:color w:val="000000"/>
          <w:vertAlign w:val="superscript"/>
        </w:rPr>
        <w:t>3</w:t>
      </w:r>
      <w:r>
        <w:rPr>
          <w:rFonts w:ascii="Times New Roman"/>
          <w:b w:val="false"/>
          <w:i w:val="false"/>
          <w:color w:val="000000"/>
          <w:sz w:val="28"/>
        </w:rPr>
        <w:t xml:space="preserve"> — (пункт 2260 настоящих Правил);</w:t>
      </w:r>
    </w:p>
    <w:bookmarkEnd w:id="7482"/>
    <w:bookmarkStart w:name="z7495" w:id="7483"/>
    <w:p>
      <w:pPr>
        <w:spacing w:after="0"/>
        <w:ind w:left="0"/>
        <w:jc w:val="both"/>
      </w:pPr>
      <w:r>
        <w:rPr>
          <w:rFonts w:ascii="Times New Roman"/>
          <w:b w:val="false"/>
          <w:i w:val="false"/>
          <w:color w:val="000000"/>
          <w:sz w:val="28"/>
        </w:rPr>
        <w:t>
      n — число воздухохранителей в защищаемом помещении;</w:t>
      </w:r>
    </w:p>
    <w:bookmarkEnd w:id="7483"/>
    <w:bookmarkStart w:name="z7496" w:id="7484"/>
    <w:p>
      <w:pPr>
        <w:spacing w:after="0"/>
        <w:ind w:left="0"/>
        <w:jc w:val="both"/>
      </w:pPr>
      <w:r>
        <w:rPr>
          <w:rFonts w:ascii="Times New Roman"/>
          <w:b w:val="false"/>
          <w:i w:val="false"/>
          <w:color w:val="000000"/>
          <w:sz w:val="28"/>
        </w:rPr>
        <w:t>
      j — порядковый номер воздухохранителя;</w:t>
      </w:r>
    </w:p>
    <w:bookmarkEnd w:id="7484"/>
    <w:bookmarkStart w:name="z7497" w:id="7485"/>
    <w:p>
      <w:pPr>
        <w:spacing w:after="0"/>
        <w:ind w:left="0"/>
        <w:jc w:val="both"/>
      </w:pPr>
      <w:r>
        <w:rPr>
          <w:rFonts w:ascii="Times New Roman"/>
          <w:b w:val="false"/>
          <w:i w:val="false"/>
          <w:color w:val="000000"/>
          <w:sz w:val="28"/>
        </w:rPr>
        <w:t>
      P</w:t>
      </w:r>
      <w:r>
        <w:rPr>
          <w:rFonts w:ascii="Times New Roman"/>
          <w:b w:val="false"/>
          <w:i w:val="false"/>
          <w:color w:val="000000"/>
          <w:vertAlign w:val="subscript"/>
        </w:rPr>
        <w:t>bxj</w:t>
      </w:r>
      <w:r>
        <w:rPr>
          <w:rFonts w:ascii="Times New Roman"/>
          <w:b w:val="false"/>
          <w:i w:val="false"/>
          <w:color w:val="000000"/>
          <w:sz w:val="28"/>
        </w:rPr>
        <w:t xml:space="preserve"> — рабочее давление в j -oм воздухохранителе, МПа;</w:t>
      </w:r>
    </w:p>
    <w:bookmarkEnd w:id="7485"/>
    <w:bookmarkStart w:name="z7498" w:id="748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w:t>
      </w:r>
      <w:r>
        <w:rPr>
          <w:rFonts w:ascii="Times New Roman"/>
          <w:b w:val="false"/>
          <w:i w:val="false"/>
          <w:color w:val="000000"/>
          <w:sz w:val="28"/>
        </w:rPr>
        <w:t xml:space="preserve"> — атмосферное давление, МПа;</w:t>
      </w:r>
    </w:p>
    <w:bookmarkEnd w:id="7486"/>
    <w:bookmarkStart w:name="z7499" w:id="7487"/>
    <w:p>
      <w:pPr>
        <w:spacing w:after="0"/>
        <w:ind w:left="0"/>
        <w:jc w:val="both"/>
      </w:pPr>
      <w:r>
        <w:rPr>
          <w:rFonts w:ascii="Times New Roman"/>
          <w:b w:val="false"/>
          <w:i w:val="false"/>
          <w:color w:val="000000"/>
          <w:sz w:val="28"/>
        </w:rPr>
        <w:t>
      q — нормативная огнетушащая способность аэрозоля, кг/м</w:t>
      </w:r>
      <w:r>
        <w:rPr>
          <w:rFonts w:ascii="Times New Roman"/>
          <w:b w:val="false"/>
          <w:i w:val="false"/>
          <w:color w:val="000000"/>
          <w:vertAlign w:val="superscript"/>
        </w:rPr>
        <w:t>3</w:t>
      </w:r>
      <w:r>
        <w:rPr>
          <w:rFonts w:ascii="Times New Roman"/>
          <w:b w:val="false"/>
          <w:i w:val="false"/>
          <w:color w:val="000000"/>
          <w:sz w:val="28"/>
        </w:rPr>
        <w:t>;</w:t>
      </w:r>
    </w:p>
    <w:bookmarkEnd w:id="7487"/>
    <w:bookmarkStart w:name="z7500" w:id="7488"/>
    <w:p>
      <w:pPr>
        <w:spacing w:after="0"/>
        <w:ind w:left="0"/>
        <w:jc w:val="both"/>
      </w:pPr>
      <w:r>
        <w:rPr>
          <w:rFonts w:ascii="Times New Roman"/>
          <w:b w:val="false"/>
          <w:i w:val="false"/>
          <w:color w:val="000000"/>
          <w:sz w:val="28"/>
        </w:rPr>
        <w:t>
      k — коэффициент запаса, равный 1,5.</w:t>
      </w:r>
    </w:p>
    <w:bookmarkEnd w:id="7488"/>
    <w:bookmarkStart w:name="z7501" w:id="7489"/>
    <w:p>
      <w:pPr>
        <w:spacing w:after="0"/>
        <w:ind w:left="0"/>
        <w:jc w:val="both"/>
      </w:pPr>
      <w:r>
        <w:rPr>
          <w:rFonts w:ascii="Times New Roman"/>
          <w:b w:val="false"/>
          <w:i w:val="false"/>
          <w:color w:val="000000"/>
          <w:sz w:val="28"/>
        </w:rPr>
        <w:t>
      2469. Нормативная огнетушащая концентрация аэрозоля зависит от типа генератора и, как правило, не должна превышать 0,2 кг/м</w:t>
      </w:r>
      <w:r>
        <w:rPr>
          <w:rFonts w:ascii="Times New Roman"/>
          <w:b w:val="false"/>
          <w:i w:val="false"/>
          <w:color w:val="000000"/>
          <w:vertAlign w:val="superscript"/>
        </w:rPr>
        <w:t>3</w:t>
      </w:r>
      <w:r>
        <w:rPr>
          <w:rFonts w:ascii="Times New Roman"/>
          <w:b w:val="false"/>
          <w:i w:val="false"/>
          <w:color w:val="000000"/>
          <w:sz w:val="28"/>
        </w:rPr>
        <w:t>.</w:t>
      </w:r>
    </w:p>
    <w:bookmarkEnd w:id="7489"/>
    <w:bookmarkStart w:name="z7502" w:id="7490"/>
    <w:p>
      <w:pPr>
        <w:spacing w:after="0"/>
        <w:ind w:left="0"/>
        <w:jc w:val="both"/>
      </w:pPr>
      <w:r>
        <w:rPr>
          <w:rFonts w:ascii="Times New Roman"/>
          <w:b w:val="false"/>
          <w:i w:val="false"/>
          <w:color w:val="000000"/>
          <w:sz w:val="28"/>
        </w:rPr>
        <w:t>
      2470. При пуске системы обеспечивается:</w:t>
      </w:r>
    </w:p>
    <w:bookmarkEnd w:id="7490"/>
    <w:bookmarkStart w:name="z7503" w:id="7491"/>
    <w:p>
      <w:pPr>
        <w:spacing w:after="0"/>
        <w:ind w:left="0"/>
        <w:jc w:val="both"/>
      </w:pPr>
      <w:r>
        <w:rPr>
          <w:rFonts w:ascii="Times New Roman"/>
          <w:b w:val="false"/>
          <w:i w:val="false"/>
          <w:color w:val="000000"/>
          <w:sz w:val="28"/>
        </w:rPr>
        <w:t>
      автоматическое включение сигнализации предупреждения в защищаемом помещении в соответствии с требованиями главы 175 настоящих Правил;</w:t>
      </w:r>
    </w:p>
    <w:bookmarkEnd w:id="7491"/>
    <w:bookmarkStart w:name="z7504" w:id="7492"/>
    <w:p>
      <w:pPr>
        <w:spacing w:after="0"/>
        <w:ind w:left="0"/>
        <w:jc w:val="both"/>
      </w:pPr>
      <w:r>
        <w:rPr>
          <w:rFonts w:ascii="Times New Roman"/>
          <w:b w:val="false"/>
          <w:i w:val="false"/>
          <w:color w:val="000000"/>
          <w:sz w:val="28"/>
        </w:rPr>
        <w:t>
      автоматическое отключение электроприводов топочных устройств котлов и инсинераторов, если они расположены в защищаемом помещении.</w:t>
      </w:r>
    </w:p>
    <w:bookmarkEnd w:id="7492"/>
    <w:bookmarkStart w:name="z7505" w:id="7493"/>
    <w:p>
      <w:pPr>
        <w:spacing w:after="0"/>
        <w:ind w:left="0"/>
        <w:jc w:val="both"/>
      </w:pPr>
      <w:r>
        <w:rPr>
          <w:rFonts w:ascii="Times New Roman"/>
          <w:b w:val="false"/>
          <w:i w:val="false"/>
          <w:color w:val="000000"/>
          <w:sz w:val="28"/>
        </w:rPr>
        <w:t>
      2471. Для машинных помещений, помещений аварийных дизель-генераторов и других помещений, где применяются жидкое топливо или воспламеняющиеся жидкости, время рабочего режима генератора (подачи расчетного количества аэрозоля) обеспечивается в течение не более 2 мин.</w:t>
      </w:r>
    </w:p>
    <w:bookmarkEnd w:id="7493"/>
    <w:bookmarkStart w:name="z7506" w:id="7494"/>
    <w:p>
      <w:pPr>
        <w:spacing w:after="0"/>
        <w:ind w:left="0"/>
        <w:jc w:val="both"/>
      </w:pPr>
      <w:r>
        <w:rPr>
          <w:rFonts w:ascii="Times New Roman"/>
          <w:b w:val="false"/>
          <w:i w:val="false"/>
          <w:color w:val="000000"/>
          <w:sz w:val="28"/>
        </w:rPr>
        <w:t>
      2472. Расположение генераторов в защищаемом помещении обеспечивает равномерное распределение огнетушащего аэрозоля. При наличии в помещении застойных зон, образованных оборудованием и ограждающими конструкциями, предусматривается подача огнетушащего аэрозоля непосредственно в застойные зоны.</w:t>
      </w:r>
    </w:p>
    <w:bookmarkEnd w:id="7494"/>
    <w:bookmarkStart w:name="z7507" w:id="7495"/>
    <w:p>
      <w:pPr>
        <w:spacing w:after="0"/>
        <w:ind w:left="0"/>
        <w:jc w:val="both"/>
      </w:pPr>
      <w:r>
        <w:rPr>
          <w:rFonts w:ascii="Times New Roman"/>
          <w:b w:val="false"/>
          <w:i w:val="false"/>
          <w:color w:val="000000"/>
          <w:sz w:val="28"/>
        </w:rPr>
        <w:t>
      2473. Генераторы при установке должны быть так ориентированы (с учетом требований пункта 2474 настоящих Правил), чтобы при их работе струи огнетушащего аэрозоля не оказывали теплового воздействия на пути эвакуации, судовое оборудование, кабельные трассы, аварийное освещение, предупредительную сигнализацию, топливные и масляные цистерны и трубопроводы.</w:t>
      </w:r>
    </w:p>
    <w:bookmarkEnd w:id="7495"/>
    <w:bookmarkStart w:name="z7508" w:id="7496"/>
    <w:p>
      <w:pPr>
        <w:spacing w:after="0"/>
        <w:ind w:left="0"/>
        <w:jc w:val="left"/>
      </w:pPr>
      <w:r>
        <w:rPr>
          <w:rFonts w:ascii="Times New Roman"/>
          <w:b/>
          <w:i w:val="false"/>
          <w:color w:val="000000"/>
        </w:rPr>
        <w:t xml:space="preserve"> Параграф 2. Генераторы огнетушащего аэрозоля</w:t>
      </w:r>
    </w:p>
    <w:bookmarkEnd w:id="7496"/>
    <w:bookmarkStart w:name="z7509" w:id="7497"/>
    <w:p>
      <w:pPr>
        <w:spacing w:after="0"/>
        <w:ind w:left="0"/>
        <w:jc w:val="both"/>
      </w:pPr>
      <w:r>
        <w:rPr>
          <w:rFonts w:ascii="Times New Roman"/>
          <w:b w:val="false"/>
          <w:i w:val="false"/>
          <w:color w:val="000000"/>
          <w:sz w:val="28"/>
        </w:rPr>
        <w:t>
      2474. Генератор огнетушащего аэрозоля должен состоять из корпуса, в котором размещается заряд аэрозолеобразующего состава, узла запуска, электрического разъема, устройства крепления к судовым конструкциям. Корпус генератора имеет устройство (сопло) для выпуска аэрозоля.</w:t>
      </w:r>
    </w:p>
    <w:bookmarkEnd w:id="7497"/>
    <w:bookmarkStart w:name="z7510" w:id="7498"/>
    <w:p>
      <w:pPr>
        <w:spacing w:after="0"/>
        <w:ind w:left="0"/>
        <w:jc w:val="both"/>
      </w:pPr>
      <w:r>
        <w:rPr>
          <w:rFonts w:ascii="Times New Roman"/>
          <w:b w:val="false"/>
          <w:i w:val="false"/>
          <w:color w:val="000000"/>
          <w:sz w:val="28"/>
        </w:rPr>
        <w:t xml:space="preserve">
      2475. Каждый тип генератора имеет данные о величине расстояния (по оси аэрозольной струи) от места ее выхода из генератора до границы тепловой зоны с температурой + 70 </w:t>
      </w:r>
      <w:r>
        <w:rPr>
          <w:rFonts w:ascii="Times New Roman"/>
          <w:b w:val="false"/>
          <w:i w:val="false"/>
          <w:color w:val="000000"/>
          <w:vertAlign w:val="superscript"/>
        </w:rPr>
        <w:t>о</w:t>
      </w:r>
      <w:r>
        <w:rPr>
          <w:rFonts w:ascii="Times New Roman"/>
          <w:b w:val="false"/>
          <w:i w:val="false"/>
          <w:color w:val="000000"/>
          <w:sz w:val="28"/>
        </w:rPr>
        <w:t>С.</w:t>
      </w:r>
    </w:p>
    <w:bookmarkEnd w:id="7498"/>
    <w:bookmarkStart w:name="z7511" w:id="7499"/>
    <w:p>
      <w:pPr>
        <w:spacing w:after="0"/>
        <w:ind w:left="0"/>
        <w:jc w:val="both"/>
      </w:pPr>
      <w:r>
        <w:rPr>
          <w:rFonts w:ascii="Times New Roman"/>
          <w:b w:val="false"/>
          <w:i w:val="false"/>
          <w:color w:val="000000"/>
          <w:sz w:val="28"/>
        </w:rPr>
        <w:t>
      2476. Время выхода генератора на рабочий режим с момента пуска (пункт 2471 настоящих Правил) не должно превышать 10 с.</w:t>
      </w:r>
    </w:p>
    <w:bookmarkEnd w:id="7499"/>
    <w:bookmarkStart w:name="z7512" w:id="7500"/>
    <w:p>
      <w:pPr>
        <w:spacing w:after="0"/>
        <w:ind w:left="0"/>
        <w:jc w:val="both"/>
      </w:pPr>
      <w:r>
        <w:rPr>
          <w:rFonts w:ascii="Times New Roman"/>
          <w:b w:val="false"/>
          <w:i w:val="false"/>
          <w:color w:val="000000"/>
          <w:sz w:val="28"/>
        </w:rPr>
        <w:t>
      2477. Время рабочего режима генератора не должно быть менее 20 с (пункт 2471 настоящих Правил).</w:t>
      </w:r>
    </w:p>
    <w:bookmarkEnd w:id="7500"/>
    <w:bookmarkStart w:name="z7513" w:id="7501"/>
    <w:p>
      <w:pPr>
        <w:spacing w:after="0"/>
        <w:ind w:left="0"/>
        <w:jc w:val="both"/>
      </w:pPr>
      <w:r>
        <w:rPr>
          <w:rFonts w:ascii="Times New Roman"/>
          <w:b w:val="false"/>
          <w:i w:val="false"/>
          <w:color w:val="000000"/>
          <w:sz w:val="28"/>
        </w:rPr>
        <w:t>
      2478. Расчетное число генераторов, шт., определяется по формуле:</w:t>
      </w:r>
    </w:p>
    <w:bookmarkEnd w:id="7501"/>
    <w:bookmarkStart w:name="z7514" w:id="7502"/>
    <w:p>
      <w:pPr>
        <w:spacing w:after="0"/>
        <w:ind w:left="0"/>
        <w:jc w:val="both"/>
      </w:pPr>
      <w:r>
        <w:rPr>
          <w:rFonts w:ascii="Times New Roman"/>
          <w:b w:val="false"/>
          <w:i w:val="false"/>
          <w:color w:val="000000"/>
          <w:sz w:val="28"/>
        </w:rPr>
        <w:t>
                                    N=G/m,                            (727)</w:t>
      </w:r>
    </w:p>
    <w:bookmarkEnd w:id="7502"/>
    <w:bookmarkStart w:name="z7515" w:id="7503"/>
    <w:p>
      <w:pPr>
        <w:spacing w:after="0"/>
        <w:ind w:left="0"/>
        <w:jc w:val="both"/>
      </w:pPr>
      <w:r>
        <w:rPr>
          <w:rFonts w:ascii="Times New Roman"/>
          <w:b w:val="false"/>
          <w:i w:val="false"/>
          <w:color w:val="000000"/>
          <w:sz w:val="28"/>
        </w:rPr>
        <w:t>
      где G — расчетная масса аэрозолеобразующего состава, кг;</w:t>
      </w:r>
    </w:p>
    <w:bookmarkEnd w:id="7503"/>
    <w:bookmarkStart w:name="z7516" w:id="7504"/>
    <w:p>
      <w:pPr>
        <w:spacing w:after="0"/>
        <w:ind w:left="0"/>
        <w:jc w:val="both"/>
      </w:pPr>
      <w:r>
        <w:rPr>
          <w:rFonts w:ascii="Times New Roman"/>
          <w:b w:val="false"/>
          <w:i w:val="false"/>
          <w:color w:val="000000"/>
          <w:sz w:val="28"/>
        </w:rPr>
        <w:t>
      т — масса заряда в одном генераторе, кг.</w:t>
      </w:r>
    </w:p>
    <w:bookmarkEnd w:id="7504"/>
    <w:bookmarkStart w:name="z7517" w:id="7505"/>
    <w:p>
      <w:pPr>
        <w:spacing w:after="0"/>
        <w:ind w:left="0"/>
        <w:jc w:val="both"/>
      </w:pPr>
      <w:r>
        <w:rPr>
          <w:rFonts w:ascii="Times New Roman"/>
          <w:b w:val="false"/>
          <w:i w:val="false"/>
          <w:color w:val="000000"/>
          <w:sz w:val="28"/>
        </w:rPr>
        <w:t>
      2479. Корпус генератора, его основание и детали крепления к нему генератора должны быть из негорючих материалов.</w:t>
      </w:r>
    </w:p>
    <w:bookmarkEnd w:id="7505"/>
    <w:bookmarkStart w:name="z7518" w:id="7506"/>
    <w:p>
      <w:pPr>
        <w:spacing w:after="0"/>
        <w:ind w:left="0"/>
        <w:jc w:val="both"/>
      </w:pPr>
      <w:r>
        <w:rPr>
          <w:rFonts w:ascii="Times New Roman"/>
          <w:b w:val="false"/>
          <w:i w:val="false"/>
          <w:color w:val="000000"/>
          <w:sz w:val="28"/>
        </w:rPr>
        <w:t xml:space="preserve">
      2480. Генераторы имеют устройство для обеспечения автоматического (самопроизвольного) запуска при повышении температуры окружающего воздуха свыше 250 </w:t>
      </w:r>
      <w:r>
        <w:rPr>
          <w:rFonts w:ascii="Times New Roman"/>
          <w:b w:val="false"/>
          <w:i w:val="false"/>
          <w:color w:val="000000"/>
          <w:vertAlign w:val="superscript"/>
        </w:rPr>
        <w:t>о</w:t>
      </w:r>
      <w:r>
        <w:rPr>
          <w:rFonts w:ascii="Times New Roman"/>
          <w:b w:val="false"/>
          <w:i w:val="false"/>
          <w:color w:val="000000"/>
          <w:sz w:val="28"/>
        </w:rPr>
        <w:t>С.</w:t>
      </w:r>
    </w:p>
    <w:bookmarkEnd w:id="7506"/>
    <w:bookmarkStart w:name="z7519" w:id="7507"/>
    <w:p>
      <w:pPr>
        <w:spacing w:after="0"/>
        <w:ind w:left="0"/>
        <w:jc w:val="left"/>
      </w:pPr>
      <w:r>
        <w:rPr>
          <w:rFonts w:ascii="Times New Roman"/>
          <w:b/>
          <w:i w:val="false"/>
          <w:color w:val="000000"/>
        </w:rPr>
        <w:t xml:space="preserve"> Параграф 3. Блок управления системой аэрозольного пожаротушения</w:t>
      </w:r>
    </w:p>
    <w:bookmarkEnd w:id="7507"/>
    <w:bookmarkStart w:name="z7520" w:id="7508"/>
    <w:p>
      <w:pPr>
        <w:spacing w:after="0"/>
        <w:ind w:left="0"/>
        <w:jc w:val="both"/>
      </w:pPr>
      <w:r>
        <w:rPr>
          <w:rFonts w:ascii="Times New Roman"/>
          <w:b w:val="false"/>
          <w:i w:val="false"/>
          <w:color w:val="000000"/>
          <w:sz w:val="28"/>
        </w:rPr>
        <w:t>
      2481. Необходимо чтобы БУС отвечал требованиям подраздела 2 раздела 13 настоящих Правил.</w:t>
      </w:r>
    </w:p>
    <w:bookmarkEnd w:id="7508"/>
    <w:bookmarkStart w:name="z7521" w:id="7509"/>
    <w:p>
      <w:pPr>
        <w:spacing w:after="0"/>
        <w:ind w:left="0"/>
        <w:jc w:val="both"/>
      </w:pPr>
      <w:r>
        <w:rPr>
          <w:rFonts w:ascii="Times New Roman"/>
          <w:b w:val="false"/>
          <w:i w:val="false"/>
          <w:color w:val="000000"/>
          <w:sz w:val="28"/>
        </w:rPr>
        <w:t>
      2482. БУС обеспечивает дистанционный запуск всех генераторов, защищающих помещение. В зависимости от числа генераторов допускается их запуск по группам при обеспечении выполнения требований пунктов 2471 и 2476 настоящих Правил.</w:t>
      </w:r>
    </w:p>
    <w:bookmarkEnd w:id="7509"/>
    <w:bookmarkStart w:name="z7522" w:id="7510"/>
    <w:p>
      <w:pPr>
        <w:spacing w:after="0"/>
        <w:ind w:left="0"/>
        <w:jc w:val="both"/>
      </w:pPr>
      <w:r>
        <w:rPr>
          <w:rFonts w:ascii="Times New Roman"/>
          <w:b w:val="false"/>
          <w:i w:val="false"/>
          <w:color w:val="000000"/>
          <w:sz w:val="28"/>
        </w:rPr>
        <w:t>
      2483. При защите системой нескольких помещений БУС обеспечивают раздельный запуск генераторов в каждом помещении.</w:t>
      </w:r>
    </w:p>
    <w:bookmarkEnd w:id="7510"/>
    <w:bookmarkStart w:name="z7523" w:id="7511"/>
    <w:p>
      <w:pPr>
        <w:spacing w:after="0"/>
        <w:ind w:left="0"/>
        <w:jc w:val="both"/>
      </w:pPr>
      <w:r>
        <w:rPr>
          <w:rFonts w:ascii="Times New Roman"/>
          <w:b w:val="false"/>
          <w:i w:val="false"/>
          <w:color w:val="000000"/>
          <w:sz w:val="28"/>
        </w:rPr>
        <w:t>
      2484. Питание БУС осуществляется от двух независимых источников питания — основного и аварийного.</w:t>
      </w:r>
    </w:p>
    <w:bookmarkEnd w:id="7511"/>
    <w:bookmarkStart w:name="z7524" w:id="7512"/>
    <w:p>
      <w:pPr>
        <w:spacing w:after="0"/>
        <w:ind w:left="0"/>
        <w:jc w:val="both"/>
      </w:pPr>
      <w:r>
        <w:rPr>
          <w:rFonts w:ascii="Times New Roman"/>
          <w:b w:val="false"/>
          <w:i w:val="false"/>
          <w:color w:val="000000"/>
          <w:sz w:val="28"/>
        </w:rPr>
        <w:t>
      2485. БУС обеспечивает автоматический контроль исправности пусковых электрических цепей (например, обрыв, замыкание на корпус) с сигнализацией неисправности на лицевой панели.</w:t>
      </w:r>
    </w:p>
    <w:bookmarkEnd w:id="7512"/>
    <w:bookmarkStart w:name="z7525" w:id="7513"/>
    <w:p>
      <w:pPr>
        <w:spacing w:after="0"/>
        <w:ind w:left="0"/>
        <w:jc w:val="left"/>
      </w:pPr>
      <w:r>
        <w:rPr>
          <w:rFonts w:ascii="Times New Roman"/>
          <w:b/>
          <w:i w:val="false"/>
          <w:color w:val="000000"/>
        </w:rPr>
        <w:t xml:space="preserve"> Параграф 4. Местные станции аэрозольного тушения,</w:t>
      </w:r>
      <w:r>
        <w:br/>
      </w:r>
      <w:r>
        <w:rPr>
          <w:rFonts w:ascii="Times New Roman"/>
          <w:b/>
          <w:i w:val="false"/>
          <w:color w:val="000000"/>
        </w:rPr>
        <w:t>кабельные трассы</w:t>
      </w:r>
    </w:p>
    <w:bookmarkEnd w:id="7513"/>
    <w:bookmarkStart w:name="z7526" w:id="7514"/>
    <w:p>
      <w:pPr>
        <w:spacing w:after="0"/>
        <w:ind w:left="0"/>
        <w:jc w:val="both"/>
      </w:pPr>
      <w:r>
        <w:rPr>
          <w:rFonts w:ascii="Times New Roman"/>
          <w:b w:val="false"/>
          <w:i w:val="false"/>
          <w:color w:val="000000"/>
          <w:sz w:val="28"/>
        </w:rPr>
        <w:t>
      2486. В обоснованных случаях для отдельных защищаемых помещений может быть допущено устройство местных станций с одним или двумя генераторами и установкой пускового устройства в районе входа в помещение (без оборудования БУС).</w:t>
      </w:r>
    </w:p>
    <w:bookmarkEnd w:id="7514"/>
    <w:bookmarkStart w:name="z7527" w:id="7515"/>
    <w:p>
      <w:pPr>
        <w:spacing w:after="0"/>
        <w:ind w:left="0"/>
        <w:jc w:val="both"/>
      </w:pPr>
      <w:r>
        <w:rPr>
          <w:rFonts w:ascii="Times New Roman"/>
          <w:b w:val="false"/>
          <w:i w:val="false"/>
          <w:color w:val="000000"/>
          <w:sz w:val="28"/>
        </w:rPr>
        <w:t>
      2487. Кабельные трассы должны отвечать требованиям подраздела 16 раздела 13 настоящих Правил.</w:t>
      </w:r>
    </w:p>
    <w:bookmarkEnd w:id="7515"/>
    <w:bookmarkStart w:name="z7528" w:id="7516"/>
    <w:p>
      <w:pPr>
        <w:spacing w:after="0"/>
        <w:ind w:left="0"/>
        <w:jc w:val="both"/>
      </w:pPr>
      <w:r>
        <w:rPr>
          <w:rFonts w:ascii="Times New Roman"/>
          <w:b w:val="false"/>
          <w:i w:val="false"/>
          <w:color w:val="000000"/>
          <w:sz w:val="28"/>
        </w:rPr>
        <w:t>
      2488. Пусковые кабельные трассы выполняются из экранированных кабелей с заземлением экранов.</w:t>
      </w:r>
    </w:p>
    <w:bookmarkEnd w:id="7516"/>
    <w:bookmarkStart w:name="z7529" w:id="7517"/>
    <w:p>
      <w:pPr>
        <w:spacing w:after="0"/>
        <w:ind w:left="0"/>
        <w:jc w:val="left"/>
      </w:pPr>
      <w:r>
        <w:rPr>
          <w:rFonts w:ascii="Times New Roman"/>
          <w:b/>
          <w:i w:val="false"/>
          <w:color w:val="000000"/>
        </w:rPr>
        <w:t xml:space="preserve"> Глава 158. Стационарные системы пожаротушения местного применения внутри машинных помещений</w:t>
      </w:r>
    </w:p>
    <w:bookmarkEnd w:id="7517"/>
    <w:p>
      <w:pPr>
        <w:spacing w:after="0"/>
        <w:ind w:left="0"/>
        <w:jc w:val="both"/>
      </w:pPr>
      <w:r>
        <w:rPr>
          <w:rFonts w:ascii="Times New Roman"/>
          <w:b w:val="false"/>
          <w:i w:val="false"/>
          <w:color w:val="ff0000"/>
          <w:sz w:val="28"/>
        </w:rPr>
        <w:t xml:space="preserve">
      Сноска. Заголовок главы 158 -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30" w:id="7518"/>
    <w:p>
      <w:pPr>
        <w:spacing w:after="0"/>
        <w:ind w:left="0"/>
        <w:jc w:val="both"/>
      </w:pPr>
      <w:r>
        <w:rPr>
          <w:rFonts w:ascii="Times New Roman"/>
          <w:b w:val="false"/>
          <w:i w:val="false"/>
          <w:color w:val="000000"/>
          <w:sz w:val="28"/>
        </w:rPr>
        <w:t>
      2489. Стационарные системы пожаротушения местного применения должны устанавливаться на пассажирских судах валовой вместимостью 500 и более и грузовых судах валовой вместимостью 2000 и более.</w:t>
      </w:r>
    </w:p>
    <w:bookmarkEnd w:id="7518"/>
    <w:bookmarkStart w:name="z7531" w:id="7519"/>
    <w:p>
      <w:pPr>
        <w:spacing w:after="0"/>
        <w:ind w:left="0"/>
        <w:jc w:val="both"/>
      </w:pPr>
      <w:r>
        <w:rPr>
          <w:rFonts w:ascii="Times New Roman"/>
          <w:b w:val="false"/>
          <w:i w:val="false"/>
          <w:color w:val="000000"/>
          <w:sz w:val="28"/>
        </w:rPr>
        <w:t>
      2490. Машинные помещения категории А объемом более 500 м</w:t>
      </w:r>
      <w:r>
        <w:rPr>
          <w:rFonts w:ascii="Times New Roman"/>
          <w:b w:val="false"/>
          <w:i w:val="false"/>
          <w:color w:val="000000"/>
          <w:vertAlign w:val="superscript"/>
        </w:rPr>
        <w:t>3</w:t>
      </w:r>
      <w:r>
        <w:rPr>
          <w:rFonts w:ascii="Times New Roman"/>
          <w:b w:val="false"/>
          <w:i w:val="false"/>
          <w:color w:val="000000"/>
          <w:sz w:val="28"/>
        </w:rPr>
        <w:t xml:space="preserve"> в дополнение к стационарной системе пожаротушения, требуемой приложением 268 настоящих Правил, оборудуются стационарной системой пожаротушения одобренного типа с использованием воды или равноценной ей системой пожаротушения местного применения. В машинных помещениях с периодически безвахтенным обслуживанием система пожаротушения имеет возможность как автоматического, так и ручного пуска. В машинных помещениях с постоянной вахтой от системы пожаротушения требуется только наличие ручного пуска.</w:t>
      </w:r>
    </w:p>
    <w:bookmarkEnd w:id="7519"/>
    <w:bookmarkStart w:name="z7532" w:id="7520"/>
    <w:p>
      <w:pPr>
        <w:spacing w:after="0"/>
        <w:ind w:left="0"/>
        <w:jc w:val="both"/>
      </w:pPr>
      <w:r>
        <w:rPr>
          <w:rFonts w:ascii="Times New Roman"/>
          <w:b w:val="false"/>
          <w:i w:val="false"/>
          <w:color w:val="000000"/>
          <w:sz w:val="28"/>
        </w:rPr>
        <w:t>
      Если предусматривается автоматический пуск, обязательно наличие и ручного пуска.</w:t>
      </w:r>
    </w:p>
    <w:bookmarkEnd w:id="7520"/>
    <w:bookmarkStart w:name="z7533" w:id="7521"/>
    <w:p>
      <w:pPr>
        <w:spacing w:after="0"/>
        <w:ind w:left="0"/>
        <w:jc w:val="both"/>
      </w:pPr>
      <w:r>
        <w:rPr>
          <w:rFonts w:ascii="Times New Roman"/>
          <w:b w:val="false"/>
          <w:i w:val="false"/>
          <w:color w:val="000000"/>
          <w:sz w:val="28"/>
        </w:rPr>
        <w:t>
      Ручной пуск осуществляется из поста управления машинной установкой или с другого соответствующего места.</w:t>
      </w:r>
    </w:p>
    <w:bookmarkEnd w:id="7521"/>
    <w:bookmarkStart w:name="z7534" w:id="7522"/>
    <w:p>
      <w:pPr>
        <w:spacing w:after="0"/>
        <w:ind w:left="0"/>
        <w:jc w:val="both"/>
      </w:pPr>
      <w:r>
        <w:rPr>
          <w:rFonts w:ascii="Times New Roman"/>
          <w:b w:val="false"/>
          <w:i w:val="false"/>
          <w:color w:val="000000"/>
          <w:sz w:val="28"/>
        </w:rPr>
        <w:t>
      Автоматический пуск системы осуществляется от системы обнаружения пожара, указывающей на пожароопасные зоны. При этом предпринимают конструктивные меры, предотвращающие непреднамеренный пуск системы местного тушения.</w:t>
      </w:r>
    </w:p>
    <w:bookmarkEnd w:id="7522"/>
    <w:bookmarkStart w:name="z7535" w:id="7523"/>
    <w:p>
      <w:pPr>
        <w:spacing w:after="0"/>
        <w:ind w:left="0"/>
        <w:jc w:val="both"/>
      </w:pPr>
      <w:r>
        <w:rPr>
          <w:rFonts w:ascii="Times New Roman"/>
          <w:b w:val="false"/>
          <w:i w:val="false"/>
          <w:color w:val="000000"/>
          <w:sz w:val="28"/>
        </w:rPr>
        <w:t>
      2491. Стационарные системы пожаротушения местного применения предназначаются для защиты пожароопасных частей (зон) следующих механизмов и оборудования (без необходимости остановки двигателя, эвакуации персонала или герметизации помещений):</w:t>
      </w:r>
    </w:p>
    <w:bookmarkEnd w:id="7523"/>
    <w:bookmarkStart w:name="z7536" w:id="7524"/>
    <w:p>
      <w:pPr>
        <w:spacing w:after="0"/>
        <w:ind w:left="0"/>
        <w:jc w:val="both"/>
      </w:pPr>
      <w:r>
        <w:rPr>
          <w:rFonts w:ascii="Times New Roman"/>
          <w:b w:val="false"/>
          <w:i w:val="false"/>
          <w:color w:val="000000"/>
          <w:sz w:val="28"/>
        </w:rPr>
        <w:t>
      1) главных двигателей внутреннего сгорания и дизель-генераторов;</w:t>
      </w:r>
    </w:p>
    <w:bookmarkEnd w:id="7524"/>
    <w:bookmarkStart w:name="z7537" w:id="7525"/>
    <w:p>
      <w:pPr>
        <w:spacing w:after="0"/>
        <w:ind w:left="0"/>
        <w:jc w:val="both"/>
      </w:pPr>
      <w:r>
        <w:rPr>
          <w:rFonts w:ascii="Times New Roman"/>
          <w:b w:val="false"/>
          <w:i w:val="false"/>
          <w:color w:val="000000"/>
          <w:sz w:val="28"/>
        </w:rPr>
        <w:t>
      2) инсинераторов;</w:t>
      </w:r>
    </w:p>
    <w:bookmarkEnd w:id="7525"/>
    <w:bookmarkStart w:name="z7538" w:id="7526"/>
    <w:p>
      <w:pPr>
        <w:spacing w:after="0"/>
        <w:ind w:left="0"/>
        <w:jc w:val="both"/>
      </w:pPr>
      <w:r>
        <w:rPr>
          <w:rFonts w:ascii="Times New Roman"/>
          <w:b w:val="false"/>
          <w:i w:val="false"/>
          <w:color w:val="000000"/>
          <w:sz w:val="28"/>
        </w:rPr>
        <w:t>
      3) сепараторов подогретого жидкого топлива;</w:t>
      </w:r>
    </w:p>
    <w:bookmarkEnd w:id="7526"/>
    <w:bookmarkStart w:name="z7539" w:id="7527"/>
    <w:p>
      <w:pPr>
        <w:spacing w:after="0"/>
        <w:ind w:left="0"/>
        <w:jc w:val="both"/>
      </w:pPr>
      <w:r>
        <w:rPr>
          <w:rFonts w:ascii="Times New Roman"/>
          <w:b w:val="false"/>
          <w:i w:val="false"/>
          <w:color w:val="000000"/>
          <w:sz w:val="28"/>
        </w:rPr>
        <w:t>
      4) топочных фронтов котлов (в местах установки форсунок);</w:t>
      </w:r>
    </w:p>
    <w:bookmarkEnd w:id="7527"/>
    <w:bookmarkStart w:name="z7540" w:id="7528"/>
    <w:p>
      <w:pPr>
        <w:spacing w:after="0"/>
        <w:ind w:left="0"/>
        <w:jc w:val="both"/>
      </w:pPr>
      <w:r>
        <w:rPr>
          <w:rFonts w:ascii="Times New Roman"/>
          <w:b w:val="false"/>
          <w:i w:val="false"/>
          <w:color w:val="000000"/>
          <w:sz w:val="28"/>
        </w:rPr>
        <w:t>
      5) генераторов инертного газа;</w:t>
      </w:r>
    </w:p>
    <w:bookmarkEnd w:id="7528"/>
    <w:bookmarkStart w:name="z7541" w:id="7529"/>
    <w:p>
      <w:pPr>
        <w:spacing w:after="0"/>
        <w:ind w:left="0"/>
        <w:jc w:val="both"/>
      </w:pPr>
      <w:r>
        <w:rPr>
          <w:rFonts w:ascii="Times New Roman"/>
          <w:b w:val="false"/>
          <w:i w:val="false"/>
          <w:color w:val="000000"/>
          <w:sz w:val="28"/>
        </w:rPr>
        <w:t>
      6) подогревателей топлива.</w:t>
      </w:r>
    </w:p>
    <w:bookmarkEnd w:id="7529"/>
    <w:bookmarkStart w:name="z7542" w:id="7530"/>
    <w:p>
      <w:pPr>
        <w:spacing w:after="0"/>
        <w:ind w:left="0"/>
        <w:jc w:val="both"/>
      </w:pPr>
      <w:r>
        <w:rPr>
          <w:rFonts w:ascii="Times New Roman"/>
          <w:b w:val="false"/>
          <w:i w:val="false"/>
          <w:color w:val="000000"/>
          <w:sz w:val="28"/>
        </w:rPr>
        <w:t>
      Для установок с двумя и более двигателями должны быть предусмотрены, по меньшей мере, две секции системы.</w:t>
      </w:r>
    </w:p>
    <w:bookmarkEnd w:id="7530"/>
    <w:bookmarkStart w:name="z7543" w:id="7531"/>
    <w:p>
      <w:pPr>
        <w:spacing w:after="0"/>
        <w:ind w:left="0"/>
        <w:jc w:val="both"/>
      </w:pPr>
      <w:r>
        <w:rPr>
          <w:rFonts w:ascii="Times New Roman"/>
          <w:b w:val="false"/>
          <w:i w:val="false"/>
          <w:color w:val="000000"/>
          <w:sz w:val="28"/>
        </w:rPr>
        <w:t>
      2492. Пуск любой системы пожаротушения местного применения вызывает подачу визуального и отличающегося от других звукового сигнала аварийно-предупредительной сигнализации в защищаемом помещении, в посту управления механизмами и в рулевой рубке Сигнал, который может быть однотонным, указывает на конкретную систему, приведенную в действие. Требования к системе аварийно-предупредительной сигнализации, описанной в настоящем пункте, являются дополнительными, а не заменяющими систему сигнализации обнаружения пожара, требуемую каким-либо пунктом настоящей части.</w:t>
      </w:r>
    </w:p>
    <w:bookmarkEnd w:id="7531"/>
    <w:bookmarkStart w:name="z7544" w:id="7532"/>
    <w:p>
      <w:pPr>
        <w:spacing w:after="0"/>
        <w:ind w:left="0"/>
        <w:jc w:val="both"/>
      </w:pPr>
      <w:r>
        <w:rPr>
          <w:rFonts w:ascii="Times New Roman"/>
          <w:b w:val="false"/>
          <w:i w:val="false"/>
          <w:color w:val="000000"/>
          <w:sz w:val="28"/>
        </w:rPr>
        <w:t>
      2493. Электрическое оборудование системы и сигнализация о ее пуске должны отвечать требованиям главы 469 настоящих Правил.</w:t>
      </w:r>
    </w:p>
    <w:bookmarkEnd w:id="7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2493 -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5" w:id="7533"/>
    <w:p>
      <w:pPr>
        <w:spacing w:after="0"/>
        <w:ind w:left="0"/>
        <w:jc w:val="both"/>
      </w:pPr>
      <w:r>
        <w:rPr>
          <w:rFonts w:ascii="Times New Roman"/>
          <w:b w:val="false"/>
          <w:i w:val="false"/>
          <w:color w:val="000000"/>
          <w:sz w:val="28"/>
        </w:rPr>
        <w:t>
      2494. Расположение распылителей на борту судна соответствует тому, как они были расположены при испытаниях, проведенных согласно Руководству ИМО (MSC/Circ.913). Другое расположение распылителей допускается Регистром судоходства только при условии проведения дополнительных испытаний в соответствии с Руководством ИМО.</w:t>
      </w:r>
    </w:p>
    <w:bookmarkEnd w:id="7533"/>
    <w:bookmarkStart w:name="z7546" w:id="7534"/>
    <w:p>
      <w:pPr>
        <w:spacing w:after="0"/>
        <w:ind w:left="0"/>
        <w:jc w:val="left"/>
      </w:pPr>
      <w:r>
        <w:rPr>
          <w:rFonts w:ascii="Times New Roman"/>
          <w:b/>
          <w:i w:val="false"/>
          <w:color w:val="000000"/>
        </w:rPr>
        <w:t xml:space="preserve"> Глава 159. Испытание систем пожаротушения</w:t>
      </w:r>
    </w:p>
    <w:bookmarkEnd w:id="7534"/>
    <w:p>
      <w:pPr>
        <w:spacing w:after="0"/>
        <w:ind w:left="0"/>
        <w:jc w:val="both"/>
      </w:pPr>
      <w:r>
        <w:rPr>
          <w:rFonts w:ascii="Times New Roman"/>
          <w:b w:val="false"/>
          <w:i w:val="false"/>
          <w:color w:val="ff0000"/>
          <w:sz w:val="28"/>
        </w:rPr>
        <w:t xml:space="preserve">
      Сноска. Заголовок главы 159 -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47" w:id="7535"/>
    <w:p>
      <w:pPr>
        <w:spacing w:after="0"/>
        <w:ind w:left="0"/>
        <w:jc w:val="both"/>
      </w:pPr>
      <w:r>
        <w:rPr>
          <w:rFonts w:ascii="Times New Roman"/>
          <w:b w:val="false"/>
          <w:i w:val="false"/>
          <w:color w:val="000000"/>
          <w:sz w:val="28"/>
        </w:rPr>
        <w:t>
      2495. Системы пожаротушения испытываются пробным давлением в соответствии с приложением 277 настоящих Правил.</w:t>
      </w:r>
    </w:p>
    <w:bookmarkEnd w:id="7535"/>
    <w:bookmarkStart w:name="z7548" w:id="7536"/>
    <w:p>
      <w:pPr>
        <w:spacing w:after="0"/>
        <w:ind w:left="0"/>
        <w:jc w:val="both"/>
      </w:pPr>
      <w:r>
        <w:rPr>
          <w:rFonts w:ascii="Times New Roman"/>
          <w:b w:val="false"/>
          <w:i w:val="false"/>
          <w:color w:val="000000"/>
          <w:sz w:val="28"/>
        </w:rPr>
        <w:t>
      2496. Испытание систем в действии производится по одобренным Регистром судоходства программам с целью проверки их работоспособности, действия пусковых устройств, а на головных судах — подтверждения регламентируемого времени выпуска огнетушащего вещества в защищаемое помещение.</w:t>
      </w:r>
    </w:p>
    <w:bookmarkEnd w:id="7536"/>
    <w:bookmarkStart w:name="z7549" w:id="7537"/>
    <w:p>
      <w:pPr>
        <w:spacing w:after="0"/>
        <w:ind w:left="0"/>
        <w:jc w:val="both"/>
      </w:pPr>
      <w:r>
        <w:rPr>
          <w:rFonts w:ascii="Times New Roman"/>
          <w:b w:val="false"/>
          <w:i w:val="false"/>
          <w:color w:val="000000"/>
          <w:sz w:val="28"/>
        </w:rPr>
        <w:t>
      При этом на головных судах для системы углекислотного тушения высокого давления требуется пробный пуск расчетного количества углекислого газа в одно из защищаемых помещений.</w:t>
      </w:r>
    </w:p>
    <w:bookmarkEnd w:id="7537"/>
    <w:bookmarkStart w:name="z7550" w:id="7538"/>
    <w:p>
      <w:pPr>
        <w:spacing w:after="0"/>
        <w:ind w:left="0"/>
        <w:jc w:val="both"/>
      </w:pPr>
      <w:r>
        <w:rPr>
          <w:rFonts w:ascii="Times New Roman"/>
          <w:b w:val="false"/>
          <w:i w:val="false"/>
          <w:color w:val="000000"/>
          <w:sz w:val="28"/>
        </w:rPr>
        <w:t>
      Пробный пуск допускается не производить, если Регистру судоходства будут представлены достаточные обоснования.</w:t>
      </w:r>
    </w:p>
    <w:bookmarkEnd w:id="7538"/>
    <w:bookmarkStart w:name="z7551" w:id="7539"/>
    <w:p>
      <w:pPr>
        <w:spacing w:after="0"/>
        <w:ind w:left="0"/>
        <w:jc w:val="left"/>
      </w:pPr>
      <w:r>
        <w:rPr>
          <w:rFonts w:ascii="Times New Roman"/>
          <w:b/>
          <w:i w:val="false"/>
          <w:color w:val="000000"/>
        </w:rPr>
        <w:t xml:space="preserve"> Подраздел 4. Системы пожарной сигнализации</w:t>
      </w:r>
      <w:r>
        <w:br/>
      </w:r>
      <w:r>
        <w:rPr>
          <w:rFonts w:ascii="Times New Roman"/>
          <w:b/>
          <w:i w:val="false"/>
          <w:color w:val="000000"/>
        </w:rPr>
        <w:t>Глава 160. Общие требования</w:t>
      </w:r>
    </w:p>
    <w:bookmarkEnd w:id="7539"/>
    <w:p>
      <w:pPr>
        <w:spacing w:after="0"/>
        <w:ind w:left="0"/>
        <w:jc w:val="both"/>
      </w:pPr>
      <w:r>
        <w:rPr>
          <w:rFonts w:ascii="Times New Roman"/>
          <w:b w:val="false"/>
          <w:i w:val="false"/>
          <w:color w:val="ff0000"/>
          <w:sz w:val="28"/>
        </w:rPr>
        <w:t xml:space="preserve">
      Сноска. Заголовок главы 160 -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53" w:id="7540"/>
    <w:p>
      <w:pPr>
        <w:spacing w:after="0"/>
        <w:ind w:left="0"/>
        <w:jc w:val="both"/>
      </w:pPr>
      <w:r>
        <w:rPr>
          <w:rFonts w:ascii="Times New Roman"/>
          <w:b w:val="false"/>
          <w:i w:val="false"/>
          <w:color w:val="000000"/>
          <w:sz w:val="28"/>
        </w:rPr>
        <w:t>
      2497. Необходимо чтобы все электрическое оборудование, приборы, фидеры и электрическая сеть систем пожарной сигнализации отвечали требованиям глав 466 и 467 настоящих Правил и Кодекса по системам противопожарной безопасности.</w:t>
      </w:r>
    </w:p>
    <w:bookmarkEnd w:id="7540"/>
    <w:bookmarkStart w:name="z7554" w:id="7541"/>
    <w:p>
      <w:pPr>
        <w:spacing w:after="0"/>
        <w:ind w:left="0"/>
        <w:jc w:val="both"/>
      </w:pPr>
      <w:r>
        <w:rPr>
          <w:rFonts w:ascii="Times New Roman"/>
          <w:b w:val="false"/>
          <w:i w:val="false"/>
          <w:color w:val="000000"/>
          <w:sz w:val="28"/>
        </w:rPr>
        <w:t>
      2498. Пассажирские суда, перевозящие более 36 пассажиров, имеют сигнализацию для систем, требуемых пунктом 2501 настоящих Правил, сосредоточенную на центральном посту управления с постоянным несением вахты. Дополнительно в том же месте сосредотачивают дистанционное управление закрытием противопожарных дверей и выключением вентиляторов. Члены экипажа в постах управления, где постоянно несется вахта, имеют возможность вновь включать вентиляторы. Панели управления на центральном посту управления имеют индикацию открытого или закрытого состояния противопожарных дверей, индикацию отключенного состояния или вывода из действия детекторов, устройств подачи сигналов тревоги и вентиляторов.</w:t>
      </w:r>
    </w:p>
    <w:bookmarkEnd w:id="7541"/>
    <w:bookmarkStart w:name="z7555" w:id="7542"/>
    <w:p>
      <w:pPr>
        <w:spacing w:after="0"/>
        <w:ind w:left="0"/>
        <w:jc w:val="both"/>
      </w:pPr>
      <w:r>
        <w:rPr>
          <w:rFonts w:ascii="Times New Roman"/>
          <w:b w:val="false"/>
          <w:i w:val="false"/>
          <w:color w:val="000000"/>
          <w:sz w:val="28"/>
        </w:rPr>
        <w:t>
      2499. Система сигнализации обнаружения пожара не используется для какой-либо другой цели, за исключением закрытия с панели управления противопожарных дверей и выполнения других подобных функций (параграфа 2 главы 158 настоящих Правил). Если противопожарные двери являются также водонепроницаемыми (глава 77 настоящих Правил), они не имеют автоматического закрытия при срабатывании пожарных извещателей.</w:t>
      </w:r>
    </w:p>
    <w:bookmarkEnd w:id="7542"/>
    <w:bookmarkStart w:name="z7556" w:id="7543"/>
    <w:p>
      <w:pPr>
        <w:spacing w:after="0"/>
        <w:ind w:left="0"/>
        <w:jc w:val="left"/>
      </w:pPr>
      <w:r>
        <w:rPr>
          <w:rFonts w:ascii="Times New Roman"/>
          <w:b/>
          <w:i w:val="false"/>
          <w:color w:val="000000"/>
        </w:rPr>
        <w:t xml:space="preserve"> Глава 161. Сигнализация обнаружения пожара</w:t>
      </w:r>
    </w:p>
    <w:bookmarkEnd w:id="7543"/>
    <w:p>
      <w:pPr>
        <w:spacing w:after="0"/>
        <w:ind w:left="0"/>
        <w:jc w:val="both"/>
      </w:pPr>
      <w:r>
        <w:rPr>
          <w:rFonts w:ascii="Times New Roman"/>
          <w:b w:val="false"/>
          <w:i w:val="false"/>
          <w:color w:val="ff0000"/>
          <w:sz w:val="28"/>
        </w:rPr>
        <w:t xml:space="preserve">
      Сноска. Заголовок главы 161 -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57" w:id="7544"/>
    <w:p>
      <w:pPr>
        <w:spacing w:after="0"/>
        <w:ind w:left="0"/>
        <w:jc w:val="left"/>
      </w:pPr>
      <w:r>
        <w:rPr>
          <w:rFonts w:ascii="Times New Roman"/>
          <w:b/>
          <w:i w:val="false"/>
          <w:color w:val="000000"/>
        </w:rPr>
        <w:t xml:space="preserve"> Параграф 1. Стационарные системы сигнализации</w:t>
      </w:r>
      <w:r>
        <w:br/>
      </w:r>
      <w:r>
        <w:rPr>
          <w:rFonts w:ascii="Times New Roman"/>
          <w:b/>
          <w:i w:val="false"/>
          <w:color w:val="000000"/>
        </w:rPr>
        <w:t>обнаружения пожара</w:t>
      </w:r>
    </w:p>
    <w:bookmarkEnd w:id="7544"/>
    <w:bookmarkStart w:name="z7558" w:id="7545"/>
    <w:p>
      <w:pPr>
        <w:spacing w:after="0"/>
        <w:ind w:left="0"/>
        <w:jc w:val="both"/>
      </w:pPr>
      <w:r>
        <w:rPr>
          <w:rFonts w:ascii="Times New Roman"/>
          <w:b w:val="false"/>
          <w:i w:val="false"/>
          <w:color w:val="000000"/>
          <w:sz w:val="28"/>
        </w:rPr>
        <w:t>
      2500. Стационарная система сигнализации обнаружения пожара устанавливается для защиты:</w:t>
      </w:r>
    </w:p>
    <w:bookmarkEnd w:id="7545"/>
    <w:bookmarkStart w:name="z7559" w:id="7546"/>
    <w:p>
      <w:pPr>
        <w:spacing w:after="0"/>
        <w:ind w:left="0"/>
        <w:jc w:val="both"/>
      </w:pPr>
      <w:r>
        <w:rPr>
          <w:rFonts w:ascii="Times New Roman"/>
          <w:b w:val="false"/>
          <w:i w:val="false"/>
          <w:color w:val="000000"/>
          <w:sz w:val="28"/>
        </w:rPr>
        <w:t>
      1) жилых и служебных помещений и постов управления (пункт 2501 настоящих Правил);</w:t>
      </w:r>
    </w:p>
    <w:bookmarkEnd w:id="7546"/>
    <w:bookmarkStart w:name="z7560" w:id="7547"/>
    <w:p>
      <w:pPr>
        <w:spacing w:after="0"/>
        <w:ind w:left="0"/>
        <w:jc w:val="both"/>
      </w:pPr>
      <w:r>
        <w:rPr>
          <w:rFonts w:ascii="Times New Roman"/>
          <w:b w:val="false"/>
          <w:i w:val="false"/>
          <w:color w:val="000000"/>
          <w:sz w:val="28"/>
        </w:rPr>
        <w:t>
      2) машинных помещений категории А с периодически безвахтенным обслуживанием и машинных помещений категории А, в которых установка систем и оборудования автоматического и дистанционного управления одобрена Регистром судоходства вместо постоянного вахтенного обслуживания помещения и главная двигательная установка и связанные с ней механизмы, включая основные источники электроэнергии, снабжены в различной степени автоматическим или дистанционным управлением и постоянно находятся под наблюдением вахтенного персонала в посту управления;</w:t>
      </w:r>
    </w:p>
    <w:bookmarkEnd w:id="7547"/>
    <w:bookmarkStart w:name="z7561" w:id="7548"/>
    <w:p>
      <w:pPr>
        <w:spacing w:after="0"/>
        <w:ind w:left="0"/>
        <w:jc w:val="both"/>
      </w:pPr>
      <w:r>
        <w:rPr>
          <w:rFonts w:ascii="Times New Roman"/>
          <w:b w:val="false"/>
          <w:i w:val="false"/>
          <w:color w:val="000000"/>
          <w:sz w:val="28"/>
        </w:rPr>
        <w:t>
      3) грузовых помещений, в которых перевозятся опасные грузы в упаковке (пункт 2631 настоящих Правил), а также грузовых помещений, которые являются недоступными, на пассажирских судах, кроме случаев, когда судно совершает настолько непродолжительные рейсы, что применение этого требования будет нецелесообразным;</w:t>
      </w:r>
    </w:p>
    <w:bookmarkEnd w:id="7548"/>
    <w:bookmarkStart w:name="z7562" w:id="7549"/>
    <w:p>
      <w:pPr>
        <w:spacing w:after="0"/>
        <w:ind w:left="0"/>
        <w:jc w:val="both"/>
      </w:pPr>
      <w:r>
        <w:rPr>
          <w:rFonts w:ascii="Times New Roman"/>
          <w:b w:val="false"/>
          <w:i w:val="false"/>
          <w:color w:val="000000"/>
          <w:sz w:val="28"/>
        </w:rPr>
        <w:t>
      4) помещений для перевозки транспортных средств, помещений специальной категории и помещений с горизонтальным способом погрузки и выгрузки (пункт 2502 настоящих Правил). Система сигнализации обнаружения пожара не устанавливается на открытых палубах, используемых для перевозки транспортных средств с топливом в баках;</w:t>
      </w:r>
    </w:p>
    <w:bookmarkEnd w:id="7549"/>
    <w:bookmarkStart w:name="z7563" w:id="7550"/>
    <w:p>
      <w:pPr>
        <w:spacing w:after="0"/>
        <w:ind w:left="0"/>
        <w:jc w:val="both"/>
      </w:pPr>
      <w:r>
        <w:rPr>
          <w:rFonts w:ascii="Times New Roman"/>
          <w:b w:val="false"/>
          <w:i w:val="false"/>
          <w:color w:val="000000"/>
          <w:sz w:val="28"/>
        </w:rPr>
        <w:t>
      5) балконов кают пассажирских судов. Одобрение стационарных систем обнаружения пожара и сигнализации о пожаре для балконов кают производится в соответствии с MSC.l/Circ.1242.</w:t>
      </w:r>
    </w:p>
    <w:bookmarkEnd w:id="7550"/>
    <w:bookmarkStart w:name="z7564" w:id="7551"/>
    <w:p>
      <w:pPr>
        <w:spacing w:after="0"/>
        <w:ind w:left="0"/>
        <w:jc w:val="both"/>
      </w:pPr>
      <w:r>
        <w:rPr>
          <w:rFonts w:ascii="Times New Roman"/>
          <w:b w:val="false"/>
          <w:i w:val="false"/>
          <w:color w:val="000000"/>
          <w:sz w:val="28"/>
        </w:rPr>
        <w:t>
      По согласованию с Регистром судоходства грузовые суда валовой вместимостью менее 500 допускется не оборудовать стационарной системой сигнализации обнаружения пожара.</w:t>
      </w:r>
    </w:p>
    <w:bookmarkEnd w:id="7551"/>
    <w:bookmarkStart w:name="z7565" w:id="7552"/>
    <w:p>
      <w:pPr>
        <w:spacing w:after="0"/>
        <w:ind w:left="0"/>
        <w:jc w:val="both"/>
      </w:pPr>
      <w:r>
        <w:rPr>
          <w:rFonts w:ascii="Times New Roman"/>
          <w:b w:val="false"/>
          <w:i w:val="false"/>
          <w:color w:val="000000"/>
          <w:sz w:val="28"/>
        </w:rPr>
        <w:t>
      2501. Необходимо чтобы при защите жилых и служебных помещений и постов управления было выполнено следующее:</w:t>
      </w:r>
    </w:p>
    <w:bookmarkEnd w:id="7552"/>
    <w:bookmarkStart w:name="z7566" w:id="7553"/>
    <w:p>
      <w:pPr>
        <w:spacing w:after="0"/>
        <w:ind w:left="0"/>
        <w:jc w:val="both"/>
      </w:pPr>
      <w:r>
        <w:rPr>
          <w:rFonts w:ascii="Times New Roman"/>
          <w:b w:val="false"/>
          <w:i w:val="false"/>
          <w:color w:val="000000"/>
          <w:sz w:val="28"/>
        </w:rPr>
        <w:t>
      1) дымовые извещатели установлены на всех трапах, во всех коридорах и на всех путях эвакуации в пределах жилых помещений, как предусмотрено в подпунктах 2) – 4) пункта 2501 настоящих Правил. Рассмотрен вопрос об установке специальных дымовых извещателей в вентиляционных каналах;</w:t>
      </w:r>
    </w:p>
    <w:bookmarkEnd w:id="7553"/>
    <w:bookmarkStart w:name="z7567" w:id="7554"/>
    <w:p>
      <w:pPr>
        <w:spacing w:after="0"/>
        <w:ind w:left="0"/>
        <w:jc w:val="both"/>
      </w:pPr>
      <w:r>
        <w:rPr>
          <w:rFonts w:ascii="Times New Roman"/>
          <w:b w:val="false"/>
          <w:i w:val="false"/>
          <w:color w:val="000000"/>
          <w:sz w:val="28"/>
        </w:rPr>
        <w:t>
      2) на пассажирских судах, перевозящих более 36 пассажиров, стационарная система сигнализации обнаружения пожара устанавливается и располагается так, чтобы обеспечивать обнаружение дыма в служебных помещениях, постах управления и жилых помещениях, включая коридоры, трапы и пути эвакуации в пределах жилых помещений. Нет необходимости устанавливать дымовые извещатели в индивидуальных ванных комнатах и камбузах. Нет необходимости в установке стационарной системы сигнализации обнаружения пожара в помещениях малой пожарной опасности или не пожароопасных, таких как пустые пространства, общественные туалеты, кладовые углекислого газа и подобных помещениях. Для охлаждаемых кладовых и других помещений, в которых возможно образование пара, таких, как сауны и прачечные, устанавливаются тепловые извещатели. Кроме того, устанавливаются автоматическая спринклерная система пожаротушения (приложение 273 настоящих Правил);</w:t>
      </w:r>
    </w:p>
    <w:bookmarkEnd w:id="7554"/>
    <w:bookmarkStart w:name="z7568" w:id="7555"/>
    <w:p>
      <w:pPr>
        <w:spacing w:after="0"/>
        <w:ind w:left="0"/>
        <w:jc w:val="both"/>
      </w:pPr>
      <w:r>
        <w:rPr>
          <w:rFonts w:ascii="Times New Roman"/>
          <w:b w:val="false"/>
          <w:i w:val="false"/>
          <w:color w:val="000000"/>
          <w:sz w:val="28"/>
        </w:rPr>
        <w:t>
      3) на пассажирских судах, перевозящих не более 36 пассажиров, в каждой отдельной вертикальной или горизонтальной зоне, во всех жилых и служебных помещениях и, если Регистр судоходства считает это необходимым, в постах управления, за исключением помещений, которые не представляют существенной пожарной опасности, таких, как пустые помещения, санитарные помещения, устанавливается либо:</w:t>
      </w:r>
    </w:p>
    <w:bookmarkEnd w:id="7555"/>
    <w:bookmarkStart w:name="z7569" w:id="7556"/>
    <w:p>
      <w:pPr>
        <w:spacing w:after="0"/>
        <w:ind w:left="0"/>
        <w:jc w:val="both"/>
      </w:pPr>
      <w:r>
        <w:rPr>
          <w:rFonts w:ascii="Times New Roman"/>
          <w:b w:val="false"/>
          <w:i w:val="false"/>
          <w:color w:val="000000"/>
          <w:sz w:val="28"/>
        </w:rPr>
        <w:t>
      стационарная система сигнализации обнаружения пожара, установленная и устроенная так, чтобы обнаруживать пожар в таких помещениях, а также обеспечивать обнаружение дыма в коридорах, трапах и путях эвакуации в пределах жилых помещений; или</w:t>
      </w:r>
    </w:p>
    <w:bookmarkEnd w:id="7556"/>
    <w:bookmarkStart w:name="z7570" w:id="7557"/>
    <w:p>
      <w:pPr>
        <w:spacing w:after="0"/>
        <w:ind w:left="0"/>
        <w:jc w:val="both"/>
      </w:pPr>
      <w:r>
        <w:rPr>
          <w:rFonts w:ascii="Times New Roman"/>
          <w:b w:val="false"/>
          <w:i w:val="false"/>
          <w:color w:val="000000"/>
          <w:sz w:val="28"/>
        </w:rPr>
        <w:t>
      стационарная система сигнализации обнаружения пожара, установленная и устроенная так, чтобы обнаруживать дым в коридорах, трапах и путях эвакуации в пределах жилых помещений, если установлена автоматическая спринклерная система, устроенная так, чтобы защищать такие помещения (приложение 273 настоящих Правил);</w:t>
      </w:r>
    </w:p>
    <w:bookmarkEnd w:id="7557"/>
    <w:bookmarkStart w:name="z7571" w:id="7558"/>
    <w:p>
      <w:pPr>
        <w:spacing w:after="0"/>
        <w:ind w:left="0"/>
        <w:jc w:val="both"/>
      </w:pPr>
      <w:r>
        <w:rPr>
          <w:rFonts w:ascii="Times New Roman"/>
          <w:b w:val="false"/>
          <w:i w:val="false"/>
          <w:color w:val="000000"/>
          <w:sz w:val="28"/>
        </w:rPr>
        <w:t>
      стационарная система сигнализации обнаружения пожара, соответствующая положениям Международного кодекса по системам пожарной безопасности, установлена на балконах кают судов, к которым применяется требование пункта 2212 настоящих Правил, в случае если мебель и отделка на таких балконах не такие, как определено в пункте 2211 настоящих Правил;</w:t>
      </w:r>
    </w:p>
    <w:bookmarkEnd w:id="7558"/>
    <w:bookmarkStart w:name="z7572" w:id="7559"/>
    <w:p>
      <w:pPr>
        <w:spacing w:after="0"/>
        <w:ind w:left="0"/>
        <w:jc w:val="both"/>
      </w:pPr>
      <w:r>
        <w:rPr>
          <w:rFonts w:ascii="Times New Roman"/>
          <w:b w:val="false"/>
          <w:i w:val="false"/>
          <w:color w:val="000000"/>
          <w:sz w:val="28"/>
        </w:rPr>
        <w:t>
      стационарная система сигнализации обнаружения пожара в состоянии дистанционно и индивидуально определять каждый автоматический и ручной извещатель.</w:t>
      </w:r>
    </w:p>
    <w:bookmarkEnd w:id="7559"/>
    <w:bookmarkStart w:name="z7573" w:id="7560"/>
    <w:p>
      <w:pPr>
        <w:spacing w:after="0"/>
        <w:ind w:left="0"/>
        <w:jc w:val="both"/>
      </w:pPr>
      <w:r>
        <w:rPr>
          <w:rFonts w:ascii="Times New Roman"/>
          <w:b w:val="false"/>
          <w:i w:val="false"/>
          <w:color w:val="000000"/>
          <w:sz w:val="28"/>
        </w:rPr>
        <w:t>
      Один луч автоматических и ручных извещателей не располагается более чем в одной главной вертикальной зоне;</w:t>
      </w:r>
    </w:p>
    <w:bookmarkEnd w:id="7560"/>
    <w:bookmarkStart w:name="z7574" w:id="7561"/>
    <w:p>
      <w:pPr>
        <w:spacing w:after="0"/>
        <w:ind w:left="0"/>
        <w:jc w:val="both"/>
      </w:pPr>
      <w:r>
        <w:rPr>
          <w:rFonts w:ascii="Times New Roman"/>
          <w:b w:val="false"/>
          <w:i w:val="false"/>
          <w:color w:val="000000"/>
          <w:sz w:val="28"/>
        </w:rPr>
        <w:t>
      4) вся главная вертикальная зона, содержащая атриум (то есть общественные помещения, охватывающие три и более открытые палубы), защищена на всей площади системой обнаружения дыма;</w:t>
      </w:r>
    </w:p>
    <w:bookmarkEnd w:id="7561"/>
    <w:bookmarkStart w:name="z7575" w:id="7562"/>
    <w:p>
      <w:pPr>
        <w:spacing w:after="0"/>
        <w:ind w:left="0"/>
        <w:jc w:val="both"/>
      </w:pPr>
      <w:r>
        <w:rPr>
          <w:rFonts w:ascii="Times New Roman"/>
          <w:b w:val="false"/>
          <w:i w:val="false"/>
          <w:color w:val="000000"/>
          <w:sz w:val="28"/>
        </w:rPr>
        <w:t>
      5) на грузовых судах жилые и служебные помещения и посты управления защищаются стационарной системой сигнализации обнаружения пожара и/или автоматической спринклерной системой пожаротушения и сигнализации обнаружения пожара в зависимости от способа защиты следующим образом:</w:t>
      </w:r>
    </w:p>
    <w:bookmarkEnd w:id="7562"/>
    <w:bookmarkStart w:name="z7576" w:id="7563"/>
    <w:p>
      <w:pPr>
        <w:spacing w:after="0"/>
        <w:ind w:left="0"/>
        <w:jc w:val="both"/>
      </w:pPr>
      <w:r>
        <w:rPr>
          <w:rFonts w:ascii="Times New Roman"/>
          <w:b w:val="false"/>
          <w:i w:val="false"/>
          <w:color w:val="000000"/>
          <w:sz w:val="28"/>
        </w:rPr>
        <w:t>
      при способе защиты IС: стационарная система сигнализации обнаружения пожара, установлена и устроена так, чтобы обеспечить обнаружение дыма во всех коридорах, трапах и путях эвакуации в пределах жилых помещений;</w:t>
      </w:r>
    </w:p>
    <w:bookmarkEnd w:id="7563"/>
    <w:bookmarkStart w:name="z7577" w:id="7564"/>
    <w:p>
      <w:pPr>
        <w:spacing w:after="0"/>
        <w:ind w:left="0"/>
        <w:jc w:val="both"/>
      </w:pPr>
      <w:r>
        <w:rPr>
          <w:rFonts w:ascii="Times New Roman"/>
          <w:b w:val="false"/>
          <w:i w:val="false"/>
          <w:color w:val="000000"/>
          <w:sz w:val="28"/>
        </w:rPr>
        <w:t>
      при способе защиты IIС: установлена стационарная система сигнализации обнаружения пожара, устроенная так, чтобы обеспечить обнаружение дыма во всех коридорах, трапах и путях эвакуации в пределах жилых помещений. Кроме того, установлена автоматическая спринклерная система, устроенная так, чтобы защищать жилые помещения, камбузы и другие служебные помещения (приложение 273 настоящих Правил);</w:t>
      </w:r>
    </w:p>
    <w:bookmarkEnd w:id="7564"/>
    <w:bookmarkStart w:name="z7578" w:id="7565"/>
    <w:p>
      <w:pPr>
        <w:spacing w:after="0"/>
        <w:ind w:left="0"/>
        <w:jc w:val="both"/>
      </w:pPr>
      <w:r>
        <w:rPr>
          <w:rFonts w:ascii="Times New Roman"/>
          <w:b w:val="false"/>
          <w:i w:val="false"/>
          <w:color w:val="000000"/>
          <w:sz w:val="28"/>
        </w:rPr>
        <w:t>
      при способе защиты IIIС: стационарная система сигнализации обнаружения пожара установлена и устроена так, чтобы обнаружить пожар во всех жилых помещениях и служебных помещениях, обеспечивая обнаружение дыма в коридорах, трапах и путях эвакуации в пределах жилых помещений, за исключением помещений, которые не представляют значительной пожарной опасности, таких, как пустые помещения, санитарные помещения. Кроме того, установлена стационарная система сигнализации обнаружения пожара, устроенная так, чтобы обеспечить обнаружение дыма во всех коридорах, на всех трапах и путях эвакуации в пределах жилых помещений. Однако нет необходимости оборудовать стационарной системой сигнализации пожара служебные помещения, расположенные вдали от блока жилых помещений;</w:t>
      </w:r>
    </w:p>
    <w:bookmarkEnd w:id="7565"/>
    <w:bookmarkStart w:name="z7579" w:id="7566"/>
    <w:p>
      <w:pPr>
        <w:spacing w:after="0"/>
        <w:ind w:left="0"/>
        <w:jc w:val="both"/>
      </w:pPr>
      <w:r>
        <w:rPr>
          <w:rFonts w:ascii="Times New Roman"/>
          <w:b w:val="false"/>
          <w:i w:val="false"/>
          <w:color w:val="000000"/>
          <w:sz w:val="28"/>
        </w:rPr>
        <w:t>
      6) если стационарная система сигнализации обнаружения пожара требуется для защиты помещений, иных, чем указанные в подпункте 1) пункта 2501 настоящих Правил, в каждом таком помещении устанавливается, по меньшей мере, один извещатель, отвечающий требованиям Кодекса по системам противопожарной безопасности.</w:t>
      </w:r>
    </w:p>
    <w:bookmarkEnd w:id="7566"/>
    <w:bookmarkStart w:name="z7580" w:id="7567"/>
    <w:p>
      <w:pPr>
        <w:spacing w:after="0"/>
        <w:ind w:left="0"/>
        <w:jc w:val="both"/>
      </w:pPr>
      <w:r>
        <w:rPr>
          <w:rFonts w:ascii="Times New Roman"/>
          <w:b w:val="false"/>
          <w:i w:val="false"/>
          <w:color w:val="000000"/>
          <w:sz w:val="28"/>
        </w:rPr>
        <w:t>
      2502. Система сигнализации обнаружения пожара, устанавливаемая в помещениях для перевозки транспортных средств, помещениях специальной категории и помещениях с горизонтальным способом погрузки и выгрузки, обеспечивает быстрое обнаружение пожара на начальной стадии. Типы автоматических извещателей и их расположение определяется с учетом влияния вентиляции и других соответствующих факторов. После установки систему испытывают при обычных условиях вентиляции для определения среднего времени ее реагирования. Систему сигнализации обнаружения пожара в помещениях специальной категории допускается не устанавливать, если в помещениях несется эффективная дозорная служба в виде постоянной пожарной вахты на протяжении всего рейса.</w:t>
      </w:r>
    </w:p>
    <w:bookmarkEnd w:id="7567"/>
    <w:bookmarkStart w:name="z7581" w:id="7568"/>
    <w:p>
      <w:pPr>
        <w:spacing w:after="0"/>
        <w:ind w:left="0"/>
        <w:jc w:val="both"/>
      </w:pPr>
      <w:r>
        <w:rPr>
          <w:rFonts w:ascii="Times New Roman"/>
          <w:b w:val="false"/>
          <w:i w:val="false"/>
          <w:color w:val="000000"/>
          <w:sz w:val="28"/>
        </w:rPr>
        <w:t>
      2503. Автоматические извещатели размещаются таким образом, чтобы обеспечивалась их оптимальная эффективность. Необходимо избегать мест, расположенных вблизи бимсов и вентиляционных каналов, или других мест, характер воздушных потоков в которых может отрицательно повлиять на работу автоматических извещателей, а также мест, в которых они могут подвергаться ударам или быть повреждены.</w:t>
      </w:r>
    </w:p>
    <w:bookmarkEnd w:id="7568"/>
    <w:bookmarkStart w:name="z7582" w:id="7569"/>
    <w:p>
      <w:pPr>
        <w:spacing w:after="0"/>
        <w:ind w:left="0"/>
        <w:jc w:val="both"/>
      </w:pPr>
      <w:r>
        <w:rPr>
          <w:rFonts w:ascii="Times New Roman"/>
          <w:b w:val="false"/>
          <w:i w:val="false"/>
          <w:color w:val="000000"/>
          <w:sz w:val="28"/>
        </w:rPr>
        <w:t>
      Необходимо чтобы извещатели, установленные на подволоке, отстояли от переборок не менее чем на 0,5 м, за исключением коридоров, кладовых и трапов. Максимальные площади и расстояния для установки автоматических извещателей соответствовуют приложению 278 настоящих Правил.</w:t>
      </w:r>
    </w:p>
    <w:bookmarkEnd w:id="7569"/>
    <w:bookmarkStart w:name="z7583" w:id="7570"/>
    <w:p>
      <w:pPr>
        <w:spacing w:after="0"/>
        <w:ind w:left="0"/>
        <w:jc w:val="both"/>
      </w:pPr>
      <w:r>
        <w:rPr>
          <w:rFonts w:ascii="Times New Roman"/>
          <w:b w:val="false"/>
          <w:i w:val="false"/>
          <w:color w:val="000000"/>
          <w:sz w:val="28"/>
        </w:rPr>
        <w:t>
      На основе характеристик, полученных при испытаниях и согласованных с Регистром судоходства, возможны допуски отступления от требований приложению 278 настоящих Правил.</w:t>
      </w:r>
    </w:p>
    <w:bookmarkEnd w:id="7570"/>
    <w:bookmarkStart w:name="z7584" w:id="7571"/>
    <w:p>
      <w:pPr>
        <w:spacing w:after="0"/>
        <w:ind w:left="0"/>
        <w:jc w:val="both"/>
      </w:pPr>
      <w:r>
        <w:rPr>
          <w:rFonts w:ascii="Times New Roman"/>
          <w:b w:val="false"/>
          <w:i w:val="false"/>
          <w:color w:val="000000"/>
          <w:sz w:val="28"/>
        </w:rPr>
        <w:t>
      При защите машинных помещений тепло-импульсными извещателями максимальная площадь палубы, обслуживаемая извещателем, составляет 50 м</w:t>
      </w:r>
      <w:r>
        <w:rPr>
          <w:rFonts w:ascii="Times New Roman"/>
          <w:b w:val="false"/>
          <w:i w:val="false"/>
          <w:color w:val="000000"/>
          <w:vertAlign w:val="superscript"/>
        </w:rPr>
        <w:t>2</w:t>
      </w:r>
      <w:r>
        <w:rPr>
          <w:rFonts w:ascii="Times New Roman"/>
          <w:b w:val="false"/>
          <w:i w:val="false"/>
          <w:color w:val="000000"/>
          <w:sz w:val="28"/>
        </w:rPr>
        <w:t>, а расстояние между центрами — не более 6 м.</w:t>
      </w:r>
    </w:p>
    <w:bookmarkEnd w:id="7571"/>
    <w:bookmarkStart w:name="z7585" w:id="7572"/>
    <w:p>
      <w:pPr>
        <w:spacing w:after="0"/>
        <w:ind w:left="0"/>
        <w:jc w:val="both"/>
      </w:pPr>
      <w:r>
        <w:rPr>
          <w:rFonts w:ascii="Times New Roman"/>
          <w:b w:val="false"/>
          <w:i w:val="false"/>
          <w:color w:val="000000"/>
          <w:sz w:val="28"/>
        </w:rPr>
        <w:t>
      2504. В грузовых помещениях, указанных в подпунктах 3) и 4) пункта 2500 настоящих Правил, за исключением помещений, указанных в подпунктах 3), 4) пункта 2138 и пункта 2139 настоящих Правил, может быть установлена система обнаружения дыма путем забора проб воздуха, одобренного Регистром судоходства типа и отвечающая требованиям пункта 2143 настоящих Правил.</w:t>
      </w:r>
    </w:p>
    <w:bookmarkEnd w:id="7572"/>
    <w:bookmarkStart w:name="z7586" w:id="7573"/>
    <w:p>
      <w:pPr>
        <w:spacing w:after="0"/>
        <w:ind w:left="0"/>
        <w:jc w:val="both"/>
      </w:pPr>
      <w:r>
        <w:rPr>
          <w:rFonts w:ascii="Times New Roman"/>
          <w:b w:val="false"/>
          <w:i w:val="false"/>
          <w:color w:val="000000"/>
          <w:sz w:val="28"/>
        </w:rPr>
        <w:t>
      2505. Необходимо чтобы система обнаружения дыма путем забора проб воздуха из помещений, отвечала следующим дополнительным требованиям:</w:t>
      </w:r>
    </w:p>
    <w:bookmarkEnd w:id="7573"/>
    <w:bookmarkStart w:name="z7587" w:id="7574"/>
    <w:p>
      <w:pPr>
        <w:spacing w:after="0"/>
        <w:ind w:left="0"/>
        <w:jc w:val="both"/>
      </w:pPr>
      <w:r>
        <w:rPr>
          <w:rFonts w:ascii="Times New Roman"/>
          <w:b w:val="false"/>
          <w:i w:val="false"/>
          <w:color w:val="000000"/>
          <w:sz w:val="28"/>
        </w:rPr>
        <w:t>
      1) обеспечивает непрерывную работу. По согласованию с Регистром судоходства допускаются системы, работающие по принципу последовательного сканирования, при условии что интервал (7) между двумя сканированиями одного и того же помещения не превышает 120 с и обеспечивает время (Т), указанное в подпункте 10) пункта 2505 настоящих Правил. С допуском 20 % интервал (7) определяется по формуле:</w:t>
      </w:r>
    </w:p>
    <w:bookmarkEnd w:id="7574"/>
    <w:bookmarkStart w:name="z7588" w:id="75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I = 1,2xTxN,</w:t>
      </w:r>
    </w:p>
    <w:bookmarkEnd w:id="7575"/>
    <w:bookmarkStart w:name="z7589" w:id="7576"/>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количество точек сканирования;</w:t>
      </w:r>
    </w:p>
    <w:bookmarkEnd w:id="7576"/>
    <w:bookmarkStart w:name="z7590" w:id="7577"/>
    <w:p>
      <w:pPr>
        <w:spacing w:after="0"/>
        <w:ind w:left="0"/>
        <w:jc w:val="both"/>
      </w:pPr>
      <w:r>
        <w:rPr>
          <w:rFonts w:ascii="Times New Roman"/>
          <w:b w:val="false"/>
          <w:i w:val="false"/>
          <w:color w:val="000000"/>
          <w:sz w:val="28"/>
        </w:rPr>
        <w:t>
            2) расположение труб для забора проб воздуха должно быть таким, чтобы была возможность легко установить место возникновения пожара;</w:t>
      </w:r>
    </w:p>
    <w:bookmarkEnd w:id="7577"/>
    <w:bookmarkStart w:name="z7591" w:id="7578"/>
    <w:p>
      <w:pPr>
        <w:spacing w:after="0"/>
        <w:ind w:left="0"/>
        <w:jc w:val="both"/>
      </w:pPr>
      <w:r>
        <w:rPr>
          <w:rFonts w:ascii="Times New Roman"/>
          <w:b w:val="false"/>
          <w:i w:val="false"/>
          <w:color w:val="000000"/>
          <w:sz w:val="28"/>
        </w:rPr>
        <w:t>
           3) изготовлена и установлена таким образом, чтобы предотвращалась утечка токсичных, легковоспламеняющихся или огнетушащих веществ в любое жилое или служебное помещение, пост управления или машинное помещение, а также исключать возможность воспламенения легковоспламеняющейся смеси газа и воздуха;</w:t>
      </w:r>
    </w:p>
    <w:bookmarkEnd w:id="7578"/>
    <w:bookmarkStart w:name="z7592" w:id="7579"/>
    <w:p>
      <w:pPr>
        <w:spacing w:after="0"/>
        <w:ind w:left="0"/>
        <w:jc w:val="both"/>
      </w:pPr>
      <w:r>
        <w:rPr>
          <w:rFonts w:ascii="Times New Roman"/>
          <w:b w:val="false"/>
          <w:i w:val="false"/>
          <w:color w:val="000000"/>
          <w:sz w:val="28"/>
        </w:rPr>
        <w:t>
           4) предусмотрено не менее одного дымозаборника для каждого выгороженного помещения, в котором требуется обеспечить обнаружение дыма. Если помещение предназначено для перевозки нефти или рефрижераторных грузов, а также других грузов, для которых требуется система дымообнаружения, по согласованию с Регистром судоходства допускается предусмотреть средства для изоляции дымозаборников в этом помещении;</w:t>
      </w:r>
    </w:p>
    <w:bookmarkEnd w:id="7579"/>
    <w:bookmarkStart w:name="z7593" w:id="7580"/>
    <w:p>
      <w:pPr>
        <w:spacing w:after="0"/>
        <w:ind w:left="0"/>
        <w:jc w:val="both"/>
      </w:pPr>
      <w:r>
        <w:rPr>
          <w:rFonts w:ascii="Times New Roman"/>
          <w:b w:val="false"/>
          <w:i w:val="false"/>
          <w:color w:val="000000"/>
          <w:sz w:val="28"/>
        </w:rPr>
        <w:t>
           5) расположение дымозаборников обеспечивает их оптимальную эффективность, при этом расстояние от дымозаборника до любого участка расположенной над ним палубы, измеренное по горизонтали, не должно превышать 12 м.</w:t>
      </w:r>
    </w:p>
    <w:bookmarkEnd w:id="7580"/>
    <w:bookmarkStart w:name="z7594" w:id="7581"/>
    <w:p>
      <w:pPr>
        <w:spacing w:after="0"/>
        <w:ind w:left="0"/>
        <w:jc w:val="both"/>
      </w:pPr>
      <w:r>
        <w:rPr>
          <w:rFonts w:ascii="Times New Roman"/>
          <w:b w:val="false"/>
          <w:i w:val="false"/>
          <w:color w:val="000000"/>
          <w:sz w:val="28"/>
        </w:rPr>
        <w:t>
      Расположение дымозаборников в помещениях с принудительной вентиляцией определяется с учетом влияния вентиляции.</w:t>
      </w:r>
    </w:p>
    <w:bookmarkEnd w:id="7581"/>
    <w:bookmarkStart w:name="z7595" w:id="7582"/>
    <w:p>
      <w:pPr>
        <w:spacing w:after="0"/>
        <w:ind w:left="0"/>
        <w:jc w:val="both"/>
      </w:pPr>
      <w:r>
        <w:rPr>
          <w:rFonts w:ascii="Times New Roman"/>
          <w:b w:val="false"/>
          <w:i w:val="false"/>
          <w:color w:val="000000"/>
          <w:sz w:val="28"/>
        </w:rPr>
        <w:t>
      Дымозаборники не допускается размещать в местах, где они могут быть повреждены в результате ударов и других воздействий;</w:t>
      </w:r>
    </w:p>
    <w:bookmarkEnd w:id="7582"/>
    <w:bookmarkStart w:name="z7596" w:id="7583"/>
    <w:p>
      <w:pPr>
        <w:spacing w:after="0"/>
        <w:ind w:left="0"/>
        <w:jc w:val="both"/>
      </w:pPr>
      <w:r>
        <w:rPr>
          <w:rFonts w:ascii="Times New Roman"/>
          <w:b w:val="false"/>
          <w:i w:val="false"/>
          <w:color w:val="000000"/>
          <w:sz w:val="28"/>
        </w:rPr>
        <w:t>
      6) к каждой точке для забора проб воздуха не допускается подсоединять более четырех дымозаборников;</w:t>
      </w:r>
    </w:p>
    <w:bookmarkEnd w:id="7583"/>
    <w:bookmarkStart w:name="z7597" w:id="7584"/>
    <w:p>
      <w:pPr>
        <w:spacing w:after="0"/>
        <w:ind w:left="0"/>
        <w:jc w:val="both"/>
      </w:pPr>
      <w:r>
        <w:rPr>
          <w:rFonts w:ascii="Times New Roman"/>
          <w:b w:val="false"/>
          <w:i w:val="false"/>
          <w:color w:val="000000"/>
          <w:sz w:val="28"/>
        </w:rPr>
        <w:t>
      7) к одной и той же точке для забора проб воздуха допускается подсоединять дымозаборники только одного выгороженного помещения;</w:t>
      </w:r>
    </w:p>
    <w:bookmarkEnd w:id="7584"/>
    <w:bookmarkStart w:name="z7598" w:id="7585"/>
    <w:p>
      <w:pPr>
        <w:spacing w:after="0"/>
        <w:ind w:left="0"/>
        <w:jc w:val="both"/>
      </w:pPr>
      <w:r>
        <w:rPr>
          <w:rFonts w:ascii="Times New Roman"/>
          <w:b w:val="false"/>
          <w:i w:val="false"/>
          <w:color w:val="000000"/>
          <w:sz w:val="28"/>
        </w:rPr>
        <w:t>
      8) трубы для забора проб воздуха самоосушающиеся и защищены от повреждений в результате ударов или других воздействий при грузовых операциях;</w:t>
      </w:r>
    </w:p>
    <w:bookmarkEnd w:id="7585"/>
    <w:bookmarkStart w:name="z7599" w:id="7586"/>
    <w:p>
      <w:pPr>
        <w:spacing w:after="0"/>
        <w:ind w:left="0"/>
        <w:jc w:val="both"/>
      </w:pPr>
      <w:r>
        <w:rPr>
          <w:rFonts w:ascii="Times New Roman"/>
          <w:b w:val="false"/>
          <w:i w:val="false"/>
          <w:color w:val="000000"/>
          <w:sz w:val="28"/>
        </w:rPr>
        <w:t>
      9) чувствительный элемент системы срабатывает до того, как плотность дыма внутри измерителной камеры достигнет величины, при которой ослабление света превысит 6,65 % на метр;</w:t>
      </w:r>
    </w:p>
    <w:bookmarkEnd w:id="7586"/>
    <w:bookmarkStart w:name="z7600" w:id="7587"/>
    <w:p>
      <w:pPr>
        <w:spacing w:after="0"/>
        <w:ind w:left="0"/>
        <w:jc w:val="both"/>
      </w:pPr>
      <w:r>
        <w:rPr>
          <w:rFonts w:ascii="Times New Roman"/>
          <w:b w:val="false"/>
          <w:i w:val="false"/>
          <w:color w:val="000000"/>
          <w:sz w:val="28"/>
        </w:rPr>
        <w:t>
      10) предусмотрено не менее двух, дублирующих друг друга, вентиляторов для забора проб воздуха.</w:t>
      </w:r>
    </w:p>
    <w:bookmarkEnd w:id="7587"/>
    <w:bookmarkStart w:name="z7601" w:id="7588"/>
    <w:p>
      <w:pPr>
        <w:spacing w:after="0"/>
        <w:ind w:left="0"/>
        <w:jc w:val="both"/>
      </w:pPr>
      <w:r>
        <w:rPr>
          <w:rFonts w:ascii="Times New Roman"/>
          <w:b w:val="false"/>
          <w:i w:val="false"/>
          <w:color w:val="000000"/>
          <w:sz w:val="28"/>
        </w:rPr>
        <w:t>
      Необходимо чтобы подача вентилятора была достаточной для обеспечения функционирования системы при нормальном режиме работы вентиляции в защищаемом районе. Вентиляторы в зависимости от мощности и длины трубопроводов обеспечивают время (</w:t>
      </w:r>
      <w:r>
        <w:rPr>
          <w:rFonts w:ascii="Times New Roman"/>
          <w:b w:val="false"/>
          <w:i/>
          <w:color w:val="000000"/>
          <w:sz w:val="28"/>
        </w:rPr>
        <w:t>Т</w:t>
      </w:r>
      <w:r>
        <w:rPr>
          <w:rFonts w:ascii="Times New Roman"/>
          <w:b w:val="false"/>
          <w:i w:val="false"/>
          <w:color w:val="000000"/>
          <w:sz w:val="28"/>
        </w:rPr>
        <w:t>) общей задержки срабатывания системы не более 15 с;</w:t>
      </w:r>
    </w:p>
    <w:bookmarkEnd w:id="7588"/>
    <w:bookmarkStart w:name="z7602" w:id="7589"/>
    <w:p>
      <w:pPr>
        <w:spacing w:after="0"/>
        <w:ind w:left="0"/>
        <w:jc w:val="both"/>
      </w:pPr>
      <w:r>
        <w:rPr>
          <w:rFonts w:ascii="Times New Roman"/>
          <w:b w:val="false"/>
          <w:i w:val="false"/>
          <w:color w:val="000000"/>
          <w:sz w:val="28"/>
        </w:rPr>
        <w:t>
      11) на панели управления обеспечивается возможность наблюдать дым в отдельных трубах для забора проб воздуха;</w:t>
      </w:r>
    </w:p>
    <w:bookmarkEnd w:id="7589"/>
    <w:bookmarkStart w:name="z7603" w:id="7590"/>
    <w:p>
      <w:pPr>
        <w:spacing w:after="0"/>
        <w:ind w:left="0"/>
        <w:jc w:val="both"/>
      </w:pPr>
      <w:r>
        <w:rPr>
          <w:rFonts w:ascii="Times New Roman"/>
          <w:b w:val="false"/>
          <w:i w:val="false"/>
          <w:color w:val="000000"/>
          <w:sz w:val="28"/>
        </w:rPr>
        <w:t>
      12) предусмотрены устройства для контроля воздушного потока во всасывающих трубах, обеспечивающие забор одинаковых объемов воздуха от каждого подключенного дымозаборника;</w:t>
      </w:r>
    </w:p>
    <w:bookmarkEnd w:id="7590"/>
    <w:bookmarkStart w:name="z7604" w:id="7591"/>
    <w:p>
      <w:pPr>
        <w:spacing w:after="0"/>
        <w:ind w:left="0"/>
        <w:jc w:val="both"/>
      </w:pPr>
      <w:r>
        <w:rPr>
          <w:rFonts w:ascii="Times New Roman"/>
          <w:b w:val="false"/>
          <w:i w:val="false"/>
          <w:color w:val="000000"/>
          <w:sz w:val="28"/>
        </w:rPr>
        <w:t>
      13) внутренний диаметр труб для забора проб воздуха следует принимать не менее 12 мм. При использовании труб одновременно и в стационарной газовой системе пожаротушения минимальный размер их должен быть достаточным для подвода требующегося для тушения количества огнетушащего вещества в защищаемое помещение в течение соответствующего времени;</w:t>
      </w:r>
    </w:p>
    <w:bookmarkEnd w:id="7591"/>
    <w:bookmarkStart w:name="z7605" w:id="7592"/>
    <w:p>
      <w:pPr>
        <w:spacing w:after="0"/>
        <w:ind w:left="0"/>
        <w:jc w:val="both"/>
      </w:pPr>
      <w:r>
        <w:rPr>
          <w:rFonts w:ascii="Times New Roman"/>
          <w:b w:val="false"/>
          <w:i w:val="false"/>
          <w:color w:val="000000"/>
          <w:sz w:val="28"/>
        </w:rPr>
        <w:t>
      14) предусмотрены устройства для периодической продувки труб для забора проб воздуха сжатым воздухом.</w:t>
      </w:r>
    </w:p>
    <w:bookmarkEnd w:id="7592"/>
    <w:bookmarkStart w:name="z7606" w:id="7593"/>
    <w:p>
      <w:pPr>
        <w:spacing w:after="0"/>
        <w:ind w:left="0"/>
        <w:jc w:val="both"/>
      </w:pPr>
      <w:r>
        <w:rPr>
          <w:rFonts w:ascii="Times New Roman"/>
          <w:b w:val="false"/>
          <w:i w:val="false"/>
          <w:color w:val="000000"/>
          <w:sz w:val="28"/>
        </w:rPr>
        <w:t>
      15) панель управления располагается на ходовом мостике или ЦПП. На панели управления или вблизи нее имеется четкая информация об обслуживаемых помещениях.</w:t>
      </w:r>
    </w:p>
    <w:bookmarkEnd w:id="7593"/>
    <w:bookmarkStart w:name="z7607" w:id="7594"/>
    <w:p>
      <w:pPr>
        <w:spacing w:after="0"/>
        <w:ind w:left="0"/>
        <w:jc w:val="both"/>
      </w:pPr>
      <w:r>
        <w:rPr>
          <w:rFonts w:ascii="Times New Roman"/>
          <w:b w:val="false"/>
          <w:i w:val="false"/>
          <w:color w:val="000000"/>
          <w:sz w:val="28"/>
        </w:rPr>
        <w:t>
      16) предусмотрена возможность испытания системы на правильное срабатывание с возвращением в режим нормальной работы без замены каких-либо элементов;</w:t>
      </w:r>
    </w:p>
    <w:bookmarkEnd w:id="7594"/>
    <w:bookmarkStart w:name="z7608" w:id="7595"/>
    <w:p>
      <w:pPr>
        <w:spacing w:after="0"/>
        <w:ind w:left="0"/>
        <w:jc w:val="both"/>
      </w:pPr>
      <w:r>
        <w:rPr>
          <w:rFonts w:ascii="Times New Roman"/>
          <w:b w:val="false"/>
          <w:i w:val="false"/>
          <w:color w:val="000000"/>
          <w:sz w:val="28"/>
        </w:rPr>
        <w:t>
      17) обнаружение дыма или других продуктов горения вызывает включение светового и звукового сигналов на панели управления и на ходовом мостике или в посту управления с постоянной вахтой;</w:t>
      </w:r>
    </w:p>
    <w:bookmarkEnd w:id="7595"/>
    <w:bookmarkStart w:name="z7609" w:id="7596"/>
    <w:p>
      <w:pPr>
        <w:spacing w:after="0"/>
        <w:ind w:left="0"/>
        <w:jc w:val="both"/>
      </w:pPr>
      <w:r>
        <w:rPr>
          <w:rFonts w:ascii="Times New Roman"/>
          <w:b w:val="false"/>
          <w:i w:val="false"/>
          <w:color w:val="000000"/>
          <w:sz w:val="28"/>
        </w:rPr>
        <w:t>
      18) осуществляется контроль за источниками питания, необходимыми для работы системы, с целью обнаружения потери питания. Потеря питания вызывает включение на панели управления и на ходовом мостике светового и звукового сигналов, которые отличаются от сигнала об обнаружении дыма (пункт 5124 настоящих Правил);</w:t>
      </w:r>
    </w:p>
    <w:bookmarkEnd w:id="7596"/>
    <w:bookmarkStart w:name="z7610" w:id="7597"/>
    <w:p>
      <w:pPr>
        <w:spacing w:after="0"/>
        <w:ind w:left="0"/>
        <w:jc w:val="both"/>
      </w:pPr>
      <w:r>
        <w:rPr>
          <w:rFonts w:ascii="Times New Roman"/>
          <w:b w:val="false"/>
          <w:i w:val="false"/>
          <w:color w:val="000000"/>
          <w:sz w:val="28"/>
        </w:rPr>
        <w:t>
      19) предусмотрены соответствующие инструкции и запасные части, необходимые для проведения испытаний и обслуживания системы.</w:t>
      </w:r>
    </w:p>
    <w:bookmarkEnd w:id="7597"/>
    <w:bookmarkStart w:name="z7611" w:id="7598"/>
    <w:p>
      <w:pPr>
        <w:spacing w:after="0"/>
        <w:ind w:left="0"/>
        <w:jc w:val="both"/>
      </w:pPr>
      <w:r>
        <w:rPr>
          <w:rFonts w:ascii="Times New Roman"/>
          <w:b w:val="false"/>
          <w:i w:val="false"/>
          <w:color w:val="000000"/>
          <w:sz w:val="28"/>
        </w:rPr>
        <w:t>
      2506. Предусматривается возможность проверки исправной работы извещателей с помощью устройств для получения горячего воздуха соответствующей температуры либо дыма или аэрозоля, имеющих соответствующий диапазон плотности или размера частиц, либо других элементов, связанных с возникновением пожара, на которые реагирует автоматический извещатель.</w:t>
      </w:r>
    </w:p>
    <w:bookmarkEnd w:id="7598"/>
    <w:bookmarkStart w:name="z7612" w:id="7599"/>
    <w:p>
      <w:pPr>
        <w:spacing w:after="0"/>
        <w:ind w:left="0"/>
        <w:jc w:val="left"/>
      </w:pPr>
      <w:r>
        <w:rPr>
          <w:rFonts w:ascii="Times New Roman"/>
          <w:b/>
          <w:i w:val="false"/>
          <w:color w:val="000000"/>
        </w:rPr>
        <w:t xml:space="preserve"> Параграф 2. Ручная сигнализация,</w:t>
      </w:r>
      <w:r>
        <w:br/>
      </w:r>
      <w:r>
        <w:rPr>
          <w:rFonts w:ascii="Times New Roman"/>
          <w:b/>
          <w:i w:val="false"/>
          <w:color w:val="000000"/>
        </w:rPr>
        <w:t>защита машинных помещений без постоянной вахты</w:t>
      </w:r>
    </w:p>
    <w:bookmarkEnd w:id="7599"/>
    <w:bookmarkStart w:name="z7613" w:id="7600"/>
    <w:p>
      <w:pPr>
        <w:spacing w:after="0"/>
        <w:ind w:left="0"/>
        <w:jc w:val="both"/>
      </w:pPr>
      <w:r>
        <w:rPr>
          <w:rFonts w:ascii="Times New Roman"/>
          <w:b w:val="false"/>
          <w:i w:val="false"/>
          <w:color w:val="000000"/>
          <w:sz w:val="28"/>
        </w:rPr>
        <w:t>
      2507. Извещатели ручной пожарной сигнализации предусматриваются на судах, которые в соответствии с пунктом 2500 настоящих Правил оборудованы автоматической сигнализацией обнаружения пожара.</w:t>
      </w:r>
    </w:p>
    <w:bookmarkEnd w:id="7600"/>
    <w:bookmarkStart w:name="z7614" w:id="7601"/>
    <w:p>
      <w:pPr>
        <w:spacing w:after="0"/>
        <w:ind w:left="0"/>
        <w:jc w:val="both"/>
      </w:pPr>
      <w:r>
        <w:rPr>
          <w:rFonts w:ascii="Times New Roman"/>
          <w:b w:val="false"/>
          <w:i w:val="false"/>
          <w:color w:val="000000"/>
          <w:sz w:val="28"/>
        </w:rPr>
        <w:t>
      2508. Ручные извещатели устанавливаются во всех жилых помещениях, служебных помещениях и постах управления, с учетом требований второго абзаца подпункта 3) пункта 2501 настоящих Правил. У каждого выхода располагается один ручной извещатель.</w:t>
      </w:r>
    </w:p>
    <w:bookmarkEnd w:id="7601"/>
    <w:bookmarkStart w:name="z7615" w:id="7602"/>
    <w:p>
      <w:pPr>
        <w:spacing w:after="0"/>
        <w:ind w:left="0"/>
        <w:jc w:val="both"/>
      </w:pPr>
      <w:r>
        <w:rPr>
          <w:rFonts w:ascii="Times New Roman"/>
          <w:b w:val="false"/>
          <w:i w:val="false"/>
          <w:color w:val="000000"/>
          <w:sz w:val="28"/>
        </w:rPr>
        <w:t>
      2509. Необходимо чтобы извещатели были легко доступны в коридорах каждой палубы и располагались так, чтобы любая часть коридора находилась не более, чем в 20 м от извещателя.</w:t>
      </w:r>
    </w:p>
    <w:bookmarkEnd w:id="7602"/>
    <w:bookmarkStart w:name="z7616" w:id="7603"/>
    <w:p>
      <w:pPr>
        <w:spacing w:after="0"/>
        <w:ind w:left="0"/>
        <w:jc w:val="both"/>
      </w:pPr>
      <w:r>
        <w:rPr>
          <w:rFonts w:ascii="Times New Roman"/>
          <w:b w:val="false"/>
          <w:i w:val="false"/>
          <w:color w:val="000000"/>
          <w:sz w:val="28"/>
        </w:rPr>
        <w:t>
      2510. В помещениях специальной категории ручные извещатели устанавливаются так, чтобы никакая часть помещения не находилась на расстоянии более 20 м от извещателя, а по одному из них размещаются у каждого выхода из таких помещений.</w:t>
      </w:r>
    </w:p>
    <w:bookmarkEnd w:id="7603"/>
    <w:bookmarkStart w:name="z7617" w:id="7604"/>
    <w:p>
      <w:pPr>
        <w:spacing w:after="0"/>
        <w:ind w:left="0"/>
        <w:jc w:val="both"/>
      </w:pPr>
      <w:r>
        <w:rPr>
          <w:rFonts w:ascii="Times New Roman"/>
          <w:b w:val="false"/>
          <w:i w:val="false"/>
          <w:color w:val="000000"/>
          <w:sz w:val="28"/>
        </w:rPr>
        <w:t>
      2511. Все извещатели ручной пожарной сигнализации окрашивают в красный цвет и достаточно освещают в нормальных и в аварийных условиях. Кнопка извещателя находится под стеклом.</w:t>
      </w:r>
    </w:p>
    <w:bookmarkEnd w:id="7604"/>
    <w:bookmarkStart w:name="z7618" w:id="7605"/>
    <w:p>
      <w:pPr>
        <w:spacing w:after="0"/>
        <w:ind w:left="0"/>
        <w:jc w:val="both"/>
      </w:pPr>
      <w:r>
        <w:rPr>
          <w:rFonts w:ascii="Times New Roman"/>
          <w:b w:val="false"/>
          <w:i w:val="false"/>
          <w:color w:val="000000"/>
          <w:sz w:val="28"/>
        </w:rPr>
        <w:t>
      2512. Необходимо чтобы любая требуемая стационарная система сигнализации обнаружения пожара с ручными извещателями была в постоянной готовности к немедленному срабатыванию.</w:t>
      </w:r>
    </w:p>
    <w:bookmarkEnd w:id="7605"/>
    <w:bookmarkStart w:name="z7619" w:id="7606"/>
    <w:p>
      <w:pPr>
        <w:spacing w:after="0"/>
        <w:ind w:left="0"/>
        <w:jc w:val="both"/>
      </w:pPr>
      <w:r>
        <w:rPr>
          <w:rFonts w:ascii="Times New Roman"/>
          <w:b w:val="false"/>
          <w:i w:val="false"/>
          <w:color w:val="000000"/>
          <w:sz w:val="28"/>
        </w:rPr>
        <w:t>
      2513. Машинные помещения категории А без постоянной вахты, а также воздуховоды подогреваемого воздуха и дымоходы главных котлов, вспомогательных котлов ответственного назначения паропроизводительностью более 3 т/ч и котлов с органическими теплоносителями (в том числе утилизационных) в таких отделениях были оборудованы автоматической сигнализацией обнаружения пожара (пункт 3973 настоящих Правил).</w:t>
      </w:r>
    </w:p>
    <w:bookmarkEnd w:id="7606"/>
    <w:bookmarkStart w:name="z7620" w:id="7607"/>
    <w:p>
      <w:pPr>
        <w:spacing w:after="0"/>
        <w:ind w:left="0"/>
        <w:jc w:val="left"/>
      </w:pPr>
      <w:r>
        <w:rPr>
          <w:rFonts w:ascii="Times New Roman"/>
          <w:b/>
          <w:i w:val="false"/>
          <w:color w:val="000000"/>
        </w:rPr>
        <w:t xml:space="preserve"> Глава 162. Сигнализация предупреждения</w:t>
      </w:r>
    </w:p>
    <w:bookmarkEnd w:id="7607"/>
    <w:p>
      <w:pPr>
        <w:spacing w:after="0"/>
        <w:ind w:left="0"/>
        <w:jc w:val="both"/>
      </w:pPr>
      <w:r>
        <w:rPr>
          <w:rFonts w:ascii="Times New Roman"/>
          <w:b w:val="false"/>
          <w:i w:val="false"/>
          <w:color w:val="ff0000"/>
          <w:sz w:val="28"/>
        </w:rPr>
        <w:t xml:space="preserve">
      Сноска. Заголовок главы 162 -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21" w:id="7608"/>
    <w:p>
      <w:pPr>
        <w:spacing w:after="0"/>
        <w:ind w:left="0"/>
        <w:jc w:val="both"/>
      </w:pPr>
      <w:r>
        <w:rPr>
          <w:rFonts w:ascii="Times New Roman"/>
          <w:b w:val="false"/>
          <w:i w:val="false"/>
          <w:color w:val="000000"/>
          <w:sz w:val="28"/>
        </w:rPr>
        <w:t>
      2514. Автоматической сигнализацией предупреждения о пуске огнетушащего вещества снабжают помещения, в которых при нормальных условиях эксплуатации члены экипажа работают, либо в которые они имеют доступ, оборудованные для этой цели дверями или входными люками, в том числе закрытые грузовые помещения с горизонтальным способом погрузки и выгрузки и трюма контейнеровозов, перевозящих охлаждаемые контейнеры. В прочих грузовых помещениях, а также в небольших помещениях (компрессорных, малярных, фонарных), наличие предупредительной сигнализации не требуется.</w:t>
      </w:r>
    </w:p>
    <w:bookmarkEnd w:id="7608"/>
    <w:bookmarkStart w:name="z7622" w:id="7609"/>
    <w:p>
      <w:pPr>
        <w:spacing w:after="0"/>
        <w:ind w:left="0"/>
        <w:jc w:val="both"/>
      </w:pPr>
      <w:r>
        <w:rPr>
          <w:rFonts w:ascii="Times New Roman"/>
          <w:b w:val="false"/>
          <w:i w:val="false"/>
          <w:color w:val="000000"/>
          <w:sz w:val="28"/>
        </w:rPr>
        <w:t>
      2515. Сигнал предупреждения о пуске системы пожаротушения подается только в пределах того помещения, куда вводится огнетушащее вещество.</w:t>
      </w:r>
    </w:p>
    <w:bookmarkEnd w:id="7609"/>
    <w:bookmarkStart w:name="z7623" w:id="7610"/>
    <w:p>
      <w:pPr>
        <w:spacing w:after="0"/>
        <w:ind w:left="0"/>
        <w:jc w:val="both"/>
      </w:pPr>
      <w:r>
        <w:rPr>
          <w:rFonts w:ascii="Times New Roman"/>
          <w:b w:val="false"/>
          <w:i w:val="false"/>
          <w:color w:val="000000"/>
          <w:sz w:val="28"/>
        </w:rPr>
        <w:t>
      Средства подачи звукового сигнала располагаются так, чтобы сигнал был слышимым по всему защищаемому помещению при всех работающих механизмах и был отличным от других звуковых сигналов путем регулировки звукового давления или характера звука.</w:t>
      </w:r>
    </w:p>
    <w:bookmarkEnd w:id="7610"/>
    <w:bookmarkStart w:name="z7624" w:id="7611"/>
    <w:p>
      <w:pPr>
        <w:spacing w:after="0"/>
        <w:ind w:left="0"/>
        <w:jc w:val="both"/>
      </w:pPr>
      <w:r>
        <w:rPr>
          <w:rFonts w:ascii="Times New Roman"/>
          <w:b w:val="false"/>
          <w:i w:val="false"/>
          <w:color w:val="000000"/>
          <w:sz w:val="28"/>
        </w:rPr>
        <w:t>
      2516. Необходимо чтобы включение сигнализации предупреждения было сблокировано с местным и дистанционными постами пуска системы пожаротушения таким образом, чтобы автоматически обеспечивалось ее включение при открывании дверцы любого шкафа с пусковыми устройствами.</w:t>
      </w:r>
    </w:p>
    <w:bookmarkEnd w:id="7611"/>
    <w:bookmarkStart w:name="z7625" w:id="7612"/>
    <w:p>
      <w:pPr>
        <w:spacing w:after="0"/>
        <w:ind w:left="0"/>
        <w:jc w:val="both"/>
      </w:pPr>
      <w:r>
        <w:rPr>
          <w:rFonts w:ascii="Times New Roman"/>
          <w:b w:val="false"/>
          <w:i w:val="false"/>
          <w:color w:val="000000"/>
          <w:sz w:val="28"/>
        </w:rPr>
        <w:t>
      При этом необходимо чтобы обеспечивалась автоматическая задержка (не менее чем в 20 с) поступления огнетушащего вещества в защищаемое помещение на период времени от начала работы сигнализации, чтобы люди могли покинуть помещение до момента начала ввода огнетушащего вещества.</w:t>
      </w:r>
    </w:p>
    <w:bookmarkEnd w:id="7612"/>
    <w:bookmarkStart w:name="z7626" w:id="7613"/>
    <w:p>
      <w:pPr>
        <w:spacing w:after="0"/>
        <w:ind w:left="0"/>
        <w:jc w:val="both"/>
      </w:pPr>
      <w:r>
        <w:rPr>
          <w:rFonts w:ascii="Times New Roman"/>
          <w:b w:val="false"/>
          <w:i w:val="false"/>
          <w:color w:val="000000"/>
          <w:sz w:val="28"/>
        </w:rPr>
        <w:t>
      2517. Сигнал должен быть четким, ясным, хорошо слышимым среди шума в помещении и по тону отличаться от других сигналов. В дополнение к звуковому сигналу устанавливают световой сигнал "Газ! Уходи!", а для помещений, защищаемых системой аэрозольного тушения — "Аэрозоль! Уходи!".</w:t>
      </w:r>
    </w:p>
    <w:bookmarkEnd w:id="7613"/>
    <w:bookmarkStart w:name="z7627" w:id="7614"/>
    <w:p>
      <w:pPr>
        <w:spacing w:after="0"/>
        <w:ind w:left="0"/>
        <w:jc w:val="both"/>
      </w:pPr>
      <w:r>
        <w:rPr>
          <w:rFonts w:ascii="Times New Roman"/>
          <w:b w:val="false"/>
          <w:i w:val="false"/>
          <w:color w:val="000000"/>
          <w:sz w:val="28"/>
        </w:rPr>
        <w:t>
      2518. Необходимо чтобы звуковое сигнальное устройство в насосном помещении нефтеналивных судов было: пневматическим, приводимым в действие сухим чистым воздухом, или электрическим искробезопасного типа, или электрическим с приводным механизмом, расположенным вне насосного помещения.</w:t>
      </w:r>
    </w:p>
    <w:bookmarkEnd w:id="7614"/>
    <w:bookmarkStart w:name="z7628" w:id="7615"/>
    <w:p>
      <w:pPr>
        <w:spacing w:after="0"/>
        <w:ind w:left="0"/>
        <w:jc w:val="left"/>
      </w:pPr>
      <w:r>
        <w:rPr>
          <w:rFonts w:ascii="Times New Roman"/>
          <w:b/>
          <w:i w:val="false"/>
          <w:color w:val="000000"/>
        </w:rPr>
        <w:t xml:space="preserve"> Подраздел 5. Противопожарное снабжение,</w:t>
      </w:r>
      <w:r>
        <w:br/>
      </w:r>
      <w:r>
        <w:rPr>
          <w:rFonts w:ascii="Times New Roman"/>
          <w:b/>
          <w:i w:val="false"/>
          <w:color w:val="000000"/>
        </w:rPr>
        <w:t>запасные части и инструмент</w:t>
      </w:r>
      <w:r>
        <w:br/>
      </w:r>
      <w:r>
        <w:rPr>
          <w:rFonts w:ascii="Times New Roman"/>
          <w:b/>
          <w:i w:val="false"/>
          <w:color w:val="000000"/>
        </w:rPr>
        <w:t>Глава163. Противопожарное снабжение</w:t>
      </w:r>
    </w:p>
    <w:bookmarkEnd w:id="7615"/>
    <w:p>
      <w:pPr>
        <w:spacing w:after="0"/>
        <w:ind w:left="0"/>
        <w:jc w:val="both"/>
      </w:pPr>
      <w:r>
        <w:rPr>
          <w:rFonts w:ascii="Times New Roman"/>
          <w:b w:val="false"/>
          <w:i w:val="false"/>
          <w:color w:val="ff0000"/>
          <w:sz w:val="28"/>
        </w:rPr>
        <w:t xml:space="preserve">
      Сноска. Заголовок главы 163 -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30" w:id="7616"/>
    <w:p>
      <w:pPr>
        <w:spacing w:after="0"/>
        <w:ind w:left="0"/>
        <w:jc w:val="both"/>
      </w:pPr>
      <w:r>
        <w:rPr>
          <w:rFonts w:ascii="Times New Roman"/>
          <w:b w:val="false"/>
          <w:i w:val="false"/>
          <w:color w:val="000000"/>
          <w:sz w:val="28"/>
        </w:rPr>
        <w:t>
      2519. Предметы противопожарного снабжения должны быть одобренного типа и в любое время быть готовы к использованию.</w:t>
      </w:r>
    </w:p>
    <w:bookmarkEnd w:id="7616"/>
    <w:bookmarkStart w:name="z7631" w:id="7617"/>
    <w:p>
      <w:pPr>
        <w:spacing w:after="0"/>
        <w:ind w:left="0"/>
        <w:jc w:val="both"/>
      </w:pPr>
      <w:r>
        <w:rPr>
          <w:rFonts w:ascii="Times New Roman"/>
          <w:b w:val="false"/>
          <w:i w:val="false"/>
          <w:color w:val="000000"/>
          <w:sz w:val="28"/>
        </w:rPr>
        <w:t>
      Обеспечивается удобство размещения и доступа к предметам противопожарного снабжения.</w:t>
      </w:r>
    </w:p>
    <w:bookmarkEnd w:id="7617"/>
    <w:bookmarkStart w:name="z7632" w:id="7618"/>
    <w:p>
      <w:pPr>
        <w:spacing w:after="0"/>
        <w:ind w:left="0"/>
        <w:jc w:val="both"/>
      </w:pPr>
      <w:r>
        <w:rPr>
          <w:rFonts w:ascii="Times New Roman"/>
          <w:b w:val="false"/>
          <w:i w:val="false"/>
          <w:color w:val="000000"/>
          <w:sz w:val="28"/>
        </w:rPr>
        <w:t>
      На пассажирских судах места расположения противопожарного оборудования обозначают указателями из фотолюминесцентного материала или при помощи освещения. Необходимо чтобы такие фотолюминесцентные указатели или освещение отвечали требованиям пунктов 1434 – 1441 настоящих Правил.</w:t>
      </w:r>
    </w:p>
    <w:bookmarkEnd w:id="7618"/>
    <w:bookmarkStart w:name="z7633" w:id="7619"/>
    <w:p>
      <w:pPr>
        <w:spacing w:after="0"/>
        <w:ind w:left="0"/>
        <w:jc w:val="both"/>
      </w:pPr>
      <w:r>
        <w:rPr>
          <w:rFonts w:ascii="Times New Roman"/>
          <w:b w:val="false"/>
          <w:i w:val="false"/>
          <w:color w:val="000000"/>
          <w:sz w:val="28"/>
        </w:rPr>
        <w:t>
      2520. В зависимости от размеров и назначения судна нормы обеспечения переносными средствами противопожарной техники, аппаратами, инвентарем и расходными материалами принимают согласно приложению 279 настоящих Приложений. Предметами снабжения в дополнение к указанным в приложении 279 снабжаются суда, перевозящие опасные грузы, нефтесборные суда.</w:t>
      </w:r>
    </w:p>
    <w:bookmarkEnd w:id="7619"/>
    <w:bookmarkStart w:name="z7634" w:id="7620"/>
    <w:p>
      <w:pPr>
        <w:spacing w:after="0"/>
        <w:ind w:left="0"/>
        <w:jc w:val="both"/>
      </w:pPr>
      <w:r>
        <w:rPr>
          <w:rFonts w:ascii="Times New Roman"/>
          <w:b w:val="false"/>
          <w:i w:val="false"/>
          <w:color w:val="000000"/>
          <w:sz w:val="28"/>
        </w:rPr>
        <w:t>
      2521. Съемные предметы снабжения (рукава, ручные стволы, переносные пеногенераторы) имеют присоединительную арматуру быстросмыкающегося стандартного типа и размера, принятого для данного судна. Необходимо чтобы материал предметов снабжения и присоединительной арматуры был стойким к воздействию морской среды.</w:t>
      </w:r>
    </w:p>
    <w:bookmarkEnd w:id="7620"/>
    <w:bookmarkStart w:name="z7635" w:id="7621"/>
    <w:p>
      <w:pPr>
        <w:spacing w:after="0"/>
        <w:ind w:left="0"/>
        <w:jc w:val="both"/>
      </w:pPr>
      <w:r>
        <w:rPr>
          <w:rFonts w:ascii="Times New Roman"/>
          <w:b w:val="false"/>
          <w:i w:val="false"/>
          <w:color w:val="000000"/>
          <w:sz w:val="28"/>
        </w:rPr>
        <w:t>
      Во взрывоопасных зонах, помещениях и пространствах, а также на открытых палубах нефтеналивных и нефтесборных судов, газовозов и химовозов устанавливаются предметы снабжения, исключающие возможность искрообразования.</w:t>
      </w:r>
    </w:p>
    <w:bookmarkEnd w:id="7621"/>
    <w:bookmarkStart w:name="z7636" w:id="7622"/>
    <w:p>
      <w:pPr>
        <w:spacing w:after="0"/>
        <w:ind w:left="0"/>
        <w:jc w:val="both"/>
      </w:pPr>
      <w:r>
        <w:rPr>
          <w:rFonts w:ascii="Times New Roman"/>
          <w:b w:val="false"/>
          <w:i w:val="false"/>
          <w:color w:val="000000"/>
          <w:sz w:val="28"/>
        </w:rPr>
        <w:t>
      2522. Необходимо чтобы пожарные рукава отвечали следующим требованиям:</w:t>
      </w:r>
    </w:p>
    <w:bookmarkEnd w:id="7622"/>
    <w:bookmarkStart w:name="z7637" w:id="7623"/>
    <w:p>
      <w:pPr>
        <w:spacing w:after="0"/>
        <w:ind w:left="0"/>
        <w:jc w:val="both"/>
      </w:pPr>
      <w:r>
        <w:rPr>
          <w:rFonts w:ascii="Times New Roman"/>
          <w:b w:val="false"/>
          <w:i w:val="false"/>
          <w:color w:val="000000"/>
          <w:sz w:val="28"/>
        </w:rPr>
        <w:t>
      1) имеют длину не менее 10 м, но не более:</w:t>
      </w:r>
    </w:p>
    <w:bookmarkEnd w:id="7623"/>
    <w:bookmarkStart w:name="z7638" w:id="7624"/>
    <w:p>
      <w:pPr>
        <w:spacing w:after="0"/>
        <w:ind w:left="0"/>
        <w:jc w:val="both"/>
      </w:pPr>
      <w:r>
        <w:rPr>
          <w:rFonts w:ascii="Times New Roman"/>
          <w:b w:val="false"/>
          <w:i w:val="false"/>
          <w:color w:val="000000"/>
          <w:sz w:val="28"/>
        </w:rPr>
        <w:t>
      15 м — в машинных помещениях;</w:t>
      </w:r>
    </w:p>
    <w:bookmarkEnd w:id="7624"/>
    <w:bookmarkStart w:name="z7639" w:id="7625"/>
    <w:p>
      <w:pPr>
        <w:spacing w:after="0"/>
        <w:ind w:left="0"/>
        <w:jc w:val="both"/>
      </w:pPr>
      <w:r>
        <w:rPr>
          <w:rFonts w:ascii="Times New Roman"/>
          <w:b w:val="false"/>
          <w:i w:val="false"/>
          <w:color w:val="000000"/>
          <w:sz w:val="28"/>
        </w:rPr>
        <w:t>
      20 м — в других помещениях (кроме машинных помещений) и на открытых палубах;</w:t>
      </w:r>
    </w:p>
    <w:bookmarkEnd w:id="7625"/>
    <w:bookmarkStart w:name="z7640" w:id="7626"/>
    <w:p>
      <w:pPr>
        <w:spacing w:after="0"/>
        <w:ind w:left="0"/>
        <w:jc w:val="both"/>
      </w:pPr>
      <w:r>
        <w:rPr>
          <w:rFonts w:ascii="Times New Roman"/>
          <w:b w:val="false"/>
          <w:i w:val="false"/>
          <w:color w:val="000000"/>
          <w:sz w:val="28"/>
        </w:rPr>
        <w:t>
      25 м — на открытых палубах судов с максимальной шириной более 30 м.</w:t>
      </w:r>
    </w:p>
    <w:bookmarkEnd w:id="7626"/>
    <w:bookmarkStart w:name="z7641" w:id="7627"/>
    <w:p>
      <w:pPr>
        <w:spacing w:after="0"/>
        <w:ind w:left="0"/>
        <w:jc w:val="both"/>
      </w:pPr>
      <w:r>
        <w:rPr>
          <w:rFonts w:ascii="Times New Roman"/>
          <w:b w:val="false"/>
          <w:i w:val="false"/>
          <w:color w:val="000000"/>
          <w:sz w:val="28"/>
        </w:rPr>
        <w:t>
      Необходимо чтобы длина рукавов в любом случае была достаточной для подачи струи воды в любое из помещений, в которых потребуется их применение;</w:t>
      </w:r>
    </w:p>
    <w:bookmarkEnd w:id="7627"/>
    <w:bookmarkStart w:name="z7642" w:id="7628"/>
    <w:p>
      <w:pPr>
        <w:spacing w:after="0"/>
        <w:ind w:left="0"/>
        <w:jc w:val="both"/>
      </w:pPr>
      <w:r>
        <w:rPr>
          <w:rFonts w:ascii="Times New Roman"/>
          <w:b w:val="false"/>
          <w:i w:val="false"/>
          <w:color w:val="000000"/>
          <w:sz w:val="28"/>
        </w:rPr>
        <w:t>
      2) изготовлены из одобренных износостойких материалов, в том числе неподдающихся разрушению микроорганизмами (гниению);</w:t>
      </w:r>
    </w:p>
    <w:bookmarkEnd w:id="7628"/>
    <w:bookmarkStart w:name="z7643" w:id="7629"/>
    <w:p>
      <w:pPr>
        <w:spacing w:after="0"/>
        <w:ind w:left="0"/>
        <w:jc w:val="both"/>
      </w:pPr>
      <w:r>
        <w:rPr>
          <w:rFonts w:ascii="Times New Roman"/>
          <w:b w:val="false"/>
          <w:i w:val="false"/>
          <w:color w:val="000000"/>
          <w:sz w:val="28"/>
        </w:rPr>
        <w:t>
      3) рукава в сборе со стволами размещаются у пожарных кранов или на видных местах на рукавных катушках или в кассетах. На открытых палубах судов они размещаются в вентилируемых шкафах или выгородках, защищающих от брызг. На шкафах и выгородках имеется надпись "ПК", выполненная красной краской;</w:t>
      </w:r>
    </w:p>
    <w:bookmarkEnd w:id="7629"/>
    <w:bookmarkStart w:name="z7644" w:id="7630"/>
    <w:p>
      <w:pPr>
        <w:spacing w:after="0"/>
        <w:ind w:left="0"/>
        <w:jc w:val="both"/>
      </w:pPr>
      <w:r>
        <w:rPr>
          <w:rFonts w:ascii="Times New Roman"/>
          <w:b w:val="false"/>
          <w:i w:val="false"/>
          <w:color w:val="000000"/>
          <w:sz w:val="28"/>
        </w:rPr>
        <w:t>
      4) на пассажирских судах, перевозящих более 36 пассажиров, в помещениях пожарные рукава постоянно присоединены к пожарным кранам.</w:t>
      </w:r>
    </w:p>
    <w:bookmarkEnd w:id="7630"/>
    <w:bookmarkStart w:name="z7645" w:id="7631"/>
    <w:p>
      <w:pPr>
        <w:spacing w:after="0"/>
        <w:ind w:left="0"/>
        <w:jc w:val="both"/>
      </w:pPr>
      <w:r>
        <w:rPr>
          <w:rFonts w:ascii="Times New Roman"/>
          <w:b w:val="false"/>
          <w:i w:val="false"/>
          <w:color w:val="000000"/>
          <w:sz w:val="28"/>
        </w:rPr>
        <w:t>
      5) на грузовых судах:</w:t>
      </w:r>
    </w:p>
    <w:bookmarkEnd w:id="7631"/>
    <w:bookmarkStart w:name="z7646" w:id="7632"/>
    <w:p>
      <w:pPr>
        <w:spacing w:after="0"/>
        <w:ind w:left="0"/>
        <w:jc w:val="both"/>
      </w:pPr>
      <w:r>
        <w:rPr>
          <w:rFonts w:ascii="Times New Roman"/>
          <w:b w:val="false"/>
          <w:i w:val="false"/>
          <w:color w:val="000000"/>
          <w:sz w:val="28"/>
        </w:rPr>
        <w:t>
      валовой вместимостью 1000 и более число пожарных рукавов определяется из расчета одного на каждые 30 м длины судна и один запасной рукав, но не менее пяти рукавов на судно. В это число не входят любые рукава, требуемые для любого машинного или котельного отделений. Регистр судоходства требует увеличения числа рукавов, чтобы обеспечить достаточное их число и доступность в любое время с учетом типа судна и характера рейсов, совершаемых судном. Судно, перевозящее опасные грузы, кроме требуемых выше рукавов и стволов, обеспечивается дополнительно тремя рукавами и стволами;</w:t>
      </w:r>
    </w:p>
    <w:bookmarkEnd w:id="7632"/>
    <w:bookmarkStart w:name="z7647" w:id="7633"/>
    <w:p>
      <w:pPr>
        <w:spacing w:after="0"/>
        <w:ind w:left="0"/>
        <w:jc w:val="both"/>
      </w:pPr>
      <w:r>
        <w:rPr>
          <w:rFonts w:ascii="Times New Roman"/>
          <w:b w:val="false"/>
          <w:i w:val="false"/>
          <w:color w:val="000000"/>
          <w:sz w:val="28"/>
        </w:rPr>
        <w:t>
      валовой вместимостью менее 1000 число пожарных рукавов рассчитывается в соответствии с положениями абзаца второго настоящего подпункта. Однако, число рукавов ни в коем случае не допускается менее трех.</w:t>
      </w:r>
    </w:p>
    <w:bookmarkEnd w:id="7633"/>
    <w:bookmarkStart w:name="z7648" w:id="7634"/>
    <w:p>
      <w:pPr>
        <w:spacing w:after="0"/>
        <w:ind w:left="0"/>
        <w:jc w:val="both"/>
      </w:pPr>
      <w:r>
        <w:rPr>
          <w:rFonts w:ascii="Times New Roman"/>
          <w:b w:val="false"/>
          <w:i w:val="false"/>
          <w:color w:val="000000"/>
          <w:sz w:val="28"/>
        </w:rPr>
        <w:t>
      2523. Ручные пожарные стволы имеют насадки с отверстиями диаметром 12, 16 и 19 мм или близкими к этим размерам.</w:t>
      </w:r>
    </w:p>
    <w:bookmarkEnd w:id="7634"/>
    <w:bookmarkStart w:name="z7649" w:id="7635"/>
    <w:p>
      <w:pPr>
        <w:spacing w:after="0"/>
        <w:ind w:left="0"/>
        <w:jc w:val="both"/>
      </w:pPr>
      <w:r>
        <w:rPr>
          <w:rFonts w:ascii="Times New Roman"/>
          <w:b w:val="false"/>
          <w:i w:val="false"/>
          <w:color w:val="000000"/>
          <w:sz w:val="28"/>
        </w:rPr>
        <w:t>
      В жилых и служебных помещениях нет необходимости применять насадки диаметром более 12 мм. На судах валовой вместимостью менее 150 допускается применение насадок с отверстием диаметром 10 мм. В машинных помещениях и на открытых палубах насадки обеспечивается максимальный расход воды через две струи от стационарного насоса наименьшей подачи при давлении у каждого крана не менее указаного в приложении 270 настоящих Правил, однако нет необходимости применять насадки с отверстием диаметром более 19 мм.</w:t>
      </w:r>
    </w:p>
    <w:bookmarkEnd w:id="7635"/>
    <w:bookmarkStart w:name="z7650" w:id="7636"/>
    <w:p>
      <w:pPr>
        <w:spacing w:after="0"/>
        <w:ind w:left="0"/>
        <w:jc w:val="both"/>
      </w:pPr>
      <w:r>
        <w:rPr>
          <w:rFonts w:ascii="Times New Roman"/>
          <w:b w:val="false"/>
          <w:i w:val="false"/>
          <w:color w:val="000000"/>
          <w:sz w:val="28"/>
        </w:rPr>
        <w:t>
      Необходимо чтобы стволы были одобренного типа, комбинированными с запорным устройством. Допускается применение стволов из пластиков, таких, как поликарбонат, при условии, что документально подтверждены их производительность и эксплуатационная надежность и стволы признаны пригодными для эксплуатации в морской среде.</w:t>
      </w:r>
    </w:p>
    <w:bookmarkEnd w:id="7636"/>
    <w:bookmarkStart w:name="z7651" w:id="7637"/>
    <w:p>
      <w:pPr>
        <w:spacing w:after="0"/>
        <w:ind w:left="0"/>
        <w:jc w:val="both"/>
      </w:pPr>
      <w:r>
        <w:rPr>
          <w:rFonts w:ascii="Times New Roman"/>
          <w:b w:val="false"/>
          <w:i w:val="false"/>
          <w:color w:val="000000"/>
          <w:sz w:val="28"/>
        </w:rPr>
        <w:t>
      2524. Необходимо чтобы воздушно-пенные стволы для подачи пены низкой кратности (глава 167 настоящих Правил) от стационарных систем пенотушения отвечали следующим требованиям:</w:t>
      </w:r>
    </w:p>
    <w:bookmarkEnd w:id="7637"/>
    <w:bookmarkStart w:name="z7652" w:id="7638"/>
    <w:p>
      <w:pPr>
        <w:spacing w:after="0"/>
        <w:ind w:left="0"/>
        <w:jc w:val="both"/>
      </w:pPr>
      <w:r>
        <w:rPr>
          <w:rFonts w:ascii="Times New Roman"/>
          <w:b w:val="false"/>
          <w:i w:val="false"/>
          <w:color w:val="000000"/>
          <w:sz w:val="28"/>
        </w:rPr>
        <w:t>
      1) на грузовых палубах нефтеналивных судов каждый ствол обеспечивает подачу пены не менее 4 м</w:t>
      </w:r>
      <w:r>
        <w:rPr>
          <w:rFonts w:ascii="Times New Roman"/>
          <w:b w:val="false"/>
          <w:i w:val="false"/>
          <w:color w:val="000000"/>
          <w:vertAlign w:val="superscript"/>
        </w:rPr>
        <w:t>3</w:t>
      </w:r>
      <w:r>
        <w:rPr>
          <w:rFonts w:ascii="Times New Roman"/>
          <w:b w:val="false"/>
          <w:i w:val="false"/>
          <w:color w:val="000000"/>
          <w:sz w:val="28"/>
        </w:rPr>
        <w:t>/мин на расстояние не менее 15 м (пункт 2383 настоящих Правил);</w:t>
      </w:r>
    </w:p>
    <w:bookmarkEnd w:id="7638"/>
    <w:bookmarkStart w:name="z7653" w:id="7639"/>
    <w:p>
      <w:pPr>
        <w:spacing w:after="0"/>
        <w:ind w:left="0"/>
        <w:jc w:val="both"/>
      </w:pPr>
      <w:r>
        <w:rPr>
          <w:rFonts w:ascii="Times New Roman"/>
          <w:b w:val="false"/>
          <w:i w:val="false"/>
          <w:color w:val="000000"/>
          <w:sz w:val="28"/>
        </w:rPr>
        <w:t>
      2) в судовых помещениях каждый ствол обеспечивает подачу пены не менее 2 м</w:t>
      </w:r>
      <w:r>
        <w:rPr>
          <w:rFonts w:ascii="Times New Roman"/>
          <w:b w:val="false"/>
          <w:i w:val="false"/>
          <w:color w:val="000000"/>
          <w:vertAlign w:val="superscript"/>
        </w:rPr>
        <w:t>3</w:t>
      </w:r>
      <w:r>
        <w:rPr>
          <w:rFonts w:ascii="Times New Roman"/>
          <w:b w:val="false"/>
          <w:i w:val="false"/>
          <w:color w:val="000000"/>
          <w:sz w:val="28"/>
        </w:rPr>
        <w:t>/мин.</w:t>
      </w:r>
    </w:p>
    <w:bookmarkEnd w:id="7639"/>
    <w:bookmarkStart w:name="z7654" w:id="7640"/>
    <w:p>
      <w:pPr>
        <w:spacing w:after="0"/>
        <w:ind w:left="0"/>
        <w:jc w:val="both"/>
      </w:pPr>
      <w:r>
        <w:rPr>
          <w:rFonts w:ascii="Times New Roman"/>
          <w:b w:val="false"/>
          <w:i w:val="false"/>
          <w:color w:val="000000"/>
          <w:sz w:val="28"/>
        </w:rPr>
        <w:t>
      2525. Пенослив-удлинитель с крюкообразным раструбом на одном конце (для пены низкой кратности) и труба-удлинитель с легкой опорой посредине (для пены средней кратности) должны быть длиной около 4 м.</w:t>
      </w:r>
    </w:p>
    <w:bookmarkEnd w:id="7640"/>
    <w:bookmarkStart w:name="z7655" w:id="7641"/>
    <w:p>
      <w:pPr>
        <w:spacing w:after="0"/>
        <w:ind w:left="0"/>
        <w:jc w:val="both"/>
      </w:pPr>
      <w:r>
        <w:rPr>
          <w:rFonts w:ascii="Times New Roman"/>
          <w:b w:val="false"/>
          <w:i w:val="false"/>
          <w:color w:val="000000"/>
          <w:sz w:val="28"/>
        </w:rPr>
        <w:t>
      Вместо пенослива-удлинителя в дополнение к обычному воздушно-пенному стволу допускается применять удлиненный воздушно-пенный ствол с крюкообразным раструбом.</w:t>
      </w:r>
    </w:p>
    <w:bookmarkEnd w:id="7641"/>
    <w:bookmarkStart w:name="z7656" w:id="7642"/>
    <w:p>
      <w:pPr>
        <w:spacing w:after="0"/>
        <w:ind w:left="0"/>
        <w:jc w:val="both"/>
      </w:pPr>
      <w:r>
        <w:rPr>
          <w:rFonts w:ascii="Times New Roman"/>
          <w:b w:val="false"/>
          <w:i w:val="false"/>
          <w:color w:val="000000"/>
          <w:sz w:val="28"/>
        </w:rPr>
        <w:t>
      2526. В переносный пенный комплект с питанием от водопожарной системы входит:</w:t>
      </w:r>
    </w:p>
    <w:bookmarkEnd w:id="7642"/>
    <w:bookmarkStart w:name="z7657" w:id="7643"/>
    <w:p>
      <w:pPr>
        <w:spacing w:after="0"/>
        <w:ind w:left="0"/>
        <w:jc w:val="both"/>
      </w:pPr>
      <w:r>
        <w:rPr>
          <w:rFonts w:ascii="Times New Roman"/>
          <w:b w:val="false"/>
          <w:i w:val="false"/>
          <w:color w:val="000000"/>
          <w:sz w:val="28"/>
        </w:rPr>
        <w:t>
      1) воздушно-пенный ствол или пеногенератор производительностью по пене не менее 1,5 м</w:t>
      </w:r>
      <w:r>
        <w:rPr>
          <w:rFonts w:ascii="Times New Roman"/>
          <w:b w:val="false"/>
          <w:i w:val="false"/>
          <w:color w:val="000000"/>
          <w:vertAlign w:val="superscript"/>
        </w:rPr>
        <w:t>3</w:t>
      </w:r>
      <w:r>
        <w:rPr>
          <w:rFonts w:ascii="Times New Roman"/>
          <w:b w:val="false"/>
          <w:i w:val="false"/>
          <w:color w:val="000000"/>
          <w:sz w:val="28"/>
        </w:rPr>
        <w:t>/мин;</w:t>
      </w:r>
    </w:p>
    <w:bookmarkEnd w:id="7643"/>
    <w:bookmarkStart w:name="z7658" w:id="7644"/>
    <w:p>
      <w:pPr>
        <w:spacing w:after="0"/>
        <w:ind w:left="0"/>
        <w:jc w:val="both"/>
      </w:pPr>
      <w:r>
        <w:rPr>
          <w:rFonts w:ascii="Times New Roman"/>
          <w:b w:val="false"/>
          <w:i w:val="false"/>
          <w:color w:val="000000"/>
          <w:sz w:val="28"/>
        </w:rPr>
        <w:t>
      2) два переносных сосуда с пенообразователем вместимостью не менее 20 л каждый;</w:t>
      </w:r>
    </w:p>
    <w:bookmarkEnd w:id="7644"/>
    <w:bookmarkStart w:name="z7659" w:id="7645"/>
    <w:p>
      <w:pPr>
        <w:spacing w:after="0"/>
        <w:ind w:left="0"/>
        <w:jc w:val="both"/>
      </w:pPr>
      <w:r>
        <w:rPr>
          <w:rFonts w:ascii="Times New Roman"/>
          <w:b w:val="false"/>
          <w:i w:val="false"/>
          <w:color w:val="000000"/>
          <w:sz w:val="28"/>
        </w:rPr>
        <w:t>
      3) пеносмеситель (если ствол или пеногенератор без эжектирующего устройства);</w:t>
      </w:r>
    </w:p>
    <w:bookmarkEnd w:id="7645"/>
    <w:bookmarkStart w:name="z7660" w:id="7646"/>
    <w:p>
      <w:pPr>
        <w:spacing w:after="0"/>
        <w:ind w:left="0"/>
        <w:jc w:val="both"/>
      </w:pPr>
      <w:r>
        <w:rPr>
          <w:rFonts w:ascii="Times New Roman"/>
          <w:b w:val="false"/>
          <w:i w:val="false"/>
          <w:color w:val="000000"/>
          <w:sz w:val="28"/>
        </w:rPr>
        <w:t>
      4) шланг для присоединения сосуда к стволу, пеногенератору или смесителю.</w:t>
      </w:r>
    </w:p>
    <w:bookmarkEnd w:id="7646"/>
    <w:bookmarkStart w:name="z7661" w:id="7647"/>
    <w:p>
      <w:pPr>
        <w:spacing w:after="0"/>
        <w:ind w:left="0"/>
        <w:jc w:val="both"/>
      </w:pPr>
      <w:r>
        <w:rPr>
          <w:rFonts w:ascii="Times New Roman"/>
          <w:b w:val="false"/>
          <w:i w:val="false"/>
          <w:color w:val="000000"/>
          <w:sz w:val="28"/>
        </w:rPr>
        <w:t>
      Комплекты размещаются у пожарных кранов.</w:t>
      </w:r>
    </w:p>
    <w:bookmarkEnd w:id="7647"/>
    <w:bookmarkStart w:name="z7662" w:id="7648"/>
    <w:p>
      <w:pPr>
        <w:spacing w:after="0"/>
        <w:ind w:left="0"/>
        <w:jc w:val="both"/>
      </w:pPr>
      <w:r>
        <w:rPr>
          <w:rFonts w:ascii="Times New Roman"/>
          <w:b w:val="false"/>
          <w:i w:val="false"/>
          <w:color w:val="000000"/>
          <w:sz w:val="28"/>
        </w:rPr>
        <w:t>
      2527. Необходимо чтобы переносные огнетушители соответствовали следующим требованиям:</w:t>
      </w:r>
    </w:p>
    <w:bookmarkEnd w:id="7648"/>
    <w:bookmarkStart w:name="z7663" w:id="7649"/>
    <w:p>
      <w:pPr>
        <w:spacing w:after="0"/>
        <w:ind w:left="0"/>
        <w:jc w:val="both"/>
      </w:pPr>
      <w:r>
        <w:rPr>
          <w:rFonts w:ascii="Times New Roman"/>
          <w:b w:val="false"/>
          <w:i w:val="false"/>
          <w:color w:val="000000"/>
          <w:sz w:val="28"/>
        </w:rPr>
        <w:t>
      1) в огнетушителях не применяется огнетушащий состав, который сам по себе или в предполагаемых условиях применения выделяет токсичные газы в опасном для человека количестве;</w:t>
      </w:r>
    </w:p>
    <w:bookmarkEnd w:id="7649"/>
    <w:bookmarkStart w:name="z7664" w:id="7650"/>
    <w:p>
      <w:pPr>
        <w:spacing w:after="0"/>
        <w:ind w:left="0"/>
        <w:jc w:val="both"/>
      </w:pPr>
      <w:r>
        <w:rPr>
          <w:rFonts w:ascii="Times New Roman"/>
          <w:b w:val="false"/>
          <w:i w:val="false"/>
          <w:color w:val="000000"/>
          <w:sz w:val="28"/>
        </w:rPr>
        <w:t>
      2) огнетушители имеют предохранительные устройства, предотвращающие недопустимое повышение давления в них;</w:t>
      </w:r>
    </w:p>
    <w:bookmarkEnd w:id="7650"/>
    <w:bookmarkStart w:name="z7665" w:id="7651"/>
    <w:p>
      <w:pPr>
        <w:spacing w:after="0"/>
        <w:ind w:left="0"/>
        <w:jc w:val="both"/>
      </w:pPr>
      <w:r>
        <w:rPr>
          <w:rFonts w:ascii="Times New Roman"/>
          <w:b w:val="false"/>
          <w:i w:val="false"/>
          <w:color w:val="000000"/>
          <w:sz w:val="28"/>
        </w:rPr>
        <w:t>
      3) запасными зарядами обеспечиваются 100 % первых десяти огнетушителей и 50 % оставшихся огнетушителей, способных к перезарядке на судне. Не требуется иметь более 60 % запасных зарядов от общего числа огнетушителей. На судне имеются инструкции по перезарядке;</w:t>
      </w:r>
    </w:p>
    <w:bookmarkEnd w:id="7651"/>
    <w:bookmarkStart w:name="z7666" w:id="7652"/>
    <w:p>
      <w:pPr>
        <w:spacing w:after="0"/>
        <w:ind w:left="0"/>
        <w:jc w:val="both"/>
      </w:pPr>
      <w:r>
        <w:rPr>
          <w:rFonts w:ascii="Times New Roman"/>
          <w:b w:val="false"/>
          <w:i w:val="false"/>
          <w:color w:val="000000"/>
          <w:sz w:val="28"/>
        </w:rPr>
        <w:t>
      4) при наличии на судне неперезаряжаемых огнетушителей вместо запасных зарядов необходимы дополнительные переносные огнетушители той же самой вместимости, типа, объема огнетушащего вещества и в том же количестве, как определено в подпункте 3) пункта 2527 настоящих Правил;</w:t>
      </w:r>
    </w:p>
    <w:bookmarkEnd w:id="7652"/>
    <w:bookmarkStart w:name="z7667" w:id="7653"/>
    <w:p>
      <w:pPr>
        <w:spacing w:after="0"/>
        <w:ind w:left="0"/>
        <w:jc w:val="both"/>
      </w:pPr>
      <w:r>
        <w:rPr>
          <w:rFonts w:ascii="Times New Roman"/>
          <w:b w:val="false"/>
          <w:i w:val="false"/>
          <w:color w:val="000000"/>
          <w:sz w:val="28"/>
        </w:rPr>
        <w:t>
      5) огнетушители устанавливаются в специальных держателях-кронштейнах быстроразъемного типа в легко обозримых местах таким образом, чтобы их работоспособность не ухудшалась из-за погодных условий, вибрации и иных внешних факторов.</w:t>
      </w:r>
    </w:p>
    <w:bookmarkEnd w:id="7653"/>
    <w:bookmarkStart w:name="z7668" w:id="7654"/>
    <w:p>
      <w:pPr>
        <w:spacing w:after="0"/>
        <w:ind w:left="0"/>
        <w:jc w:val="both"/>
      </w:pPr>
      <w:r>
        <w:rPr>
          <w:rFonts w:ascii="Times New Roman"/>
          <w:b w:val="false"/>
          <w:i w:val="false"/>
          <w:color w:val="000000"/>
          <w:sz w:val="28"/>
        </w:rPr>
        <w:t>
      Они размещаются на высоте не более 1,5 м от палубы и не ближе 1,5 м от источников тепла;</w:t>
      </w:r>
    </w:p>
    <w:bookmarkEnd w:id="7654"/>
    <w:bookmarkStart w:name="z7669" w:id="7655"/>
    <w:p>
      <w:pPr>
        <w:spacing w:after="0"/>
        <w:ind w:left="0"/>
        <w:jc w:val="both"/>
      </w:pPr>
      <w:r>
        <w:rPr>
          <w:rFonts w:ascii="Times New Roman"/>
          <w:b w:val="false"/>
          <w:i w:val="false"/>
          <w:color w:val="000000"/>
          <w:sz w:val="28"/>
        </w:rPr>
        <w:t>
      6) один из переносных огнетушителей, предназначенный для использования в каком-либо помещении, устанавливают у входа в это помещение;</w:t>
      </w:r>
    </w:p>
    <w:bookmarkEnd w:id="7655"/>
    <w:bookmarkStart w:name="z7670" w:id="7656"/>
    <w:p>
      <w:pPr>
        <w:spacing w:after="0"/>
        <w:ind w:left="0"/>
        <w:jc w:val="both"/>
      </w:pPr>
      <w:r>
        <w:rPr>
          <w:rFonts w:ascii="Times New Roman"/>
          <w:b w:val="false"/>
          <w:i w:val="false"/>
          <w:color w:val="000000"/>
          <w:sz w:val="28"/>
        </w:rPr>
        <w:t>
      7) каждый порошковый или углекислотный огнетушитель имеет вместимость не менее 5 кг, а каждый пенный огнетушитель — не менее 9 л.</w:t>
      </w:r>
    </w:p>
    <w:bookmarkEnd w:id="7656"/>
    <w:bookmarkStart w:name="z7671" w:id="7657"/>
    <w:p>
      <w:pPr>
        <w:spacing w:after="0"/>
        <w:ind w:left="0"/>
        <w:jc w:val="both"/>
      </w:pPr>
      <w:r>
        <w:rPr>
          <w:rFonts w:ascii="Times New Roman"/>
          <w:b w:val="false"/>
          <w:i w:val="false"/>
          <w:color w:val="000000"/>
          <w:sz w:val="28"/>
        </w:rPr>
        <w:t>
      Масса любого переносного огнетушителя не превышает 23 кг. Необходимо чтобы переносные огнетушители обладали эффективностью, которая, в соответствии с признанным международным или национальным стандартом, является, по меньшей мере, равноценной эффективности жидкостного огнетушителя вместимостью 9 л, что определяется при тушении модельного очага пожара класса А рангом 2А;</w:t>
      </w:r>
    </w:p>
    <w:bookmarkEnd w:id="7657"/>
    <w:bookmarkStart w:name="z7672" w:id="7658"/>
    <w:p>
      <w:pPr>
        <w:spacing w:after="0"/>
        <w:ind w:left="0"/>
        <w:jc w:val="both"/>
      </w:pPr>
      <w:r>
        <w:rPr>
          <w:rFonts w:ascii="Times New Roman"/>
          <w:b w:val="false"/>
          <w:i w:val="false"/>
          <w:color w:val="000000"/>
          <w:sz w:val="28"/>
        </w:rPr>
        <w:t>
      8) выбор порошковых огнетушителей производится с учетом назначения огнетушащего порошкового состава;</w:t>
      </w:r>
    </w:p>
    <w:bookmarkEnd w:id="7658"/>
    <w:bookmarkStart w:name="z7673" w:id="7659"/>
    <w:p>
      <w:pPr>
        <w:spacing w:after="0"/>
        <w:ind w:left="0"/>
        <w:jc w:val="both"/>
      </w:pPr>
      <w:r>
        <w:rPr>
          <w:rFonts w:ascii="Times New Roman"/>
          <w:b w:val="false"/>
          <w:i w:val="false"/>
          <w:color w:val="000000"/>
          <w:sz w:val="28"/>
        </w:rPr>
        <w:t>
      9) в машинных помещениях расположение огнетушителей должно быть таким, чтобы от любой точки помещения до ближайшего огнетушителя расстояние не превышало 10 м;</w:t>
      </w:r>
    </w:p>
    <w:bookmarkEnd w:id="7659"/>
    <w:bookmarkStart w:name="z7674" w:id="7660"/>
    <w:p>
      <w:pPr>
        <w:spacing w:after="0"/>
        <w:ind w:left="0"/>
        <w:jc w:val="both"/>
      </w:pPr>
      <w:r>
        <w:rPr>
          <w:rFonts w:ascii="Times New Roman"/>
          <w:b w:val="false"/>
          <w:i w:val="false"/>
          <w:color w:val="000000"/>
          <w:sz w:val="28"/>
        </w:rPr>
        <w:t>
      10) углекислотные огнетушители не размещаются в жилых помещениях. В постах управления и в иных помещениях, содержащих электрическое или электронное оборудование или средства, необходимые для безопасности судна, устанавливают огнетушители, заряженные огнетушащим веществом, которое не является электропроводным и не наносит вреда оборудованию и средствам;</w:t>
      </w:r>
    </w:p>
    <w:bookmarkEnd w:id="7660"/>
    <w:bookmarkStart w:name="z7675" w:id="7661"/>
    <w:p>
      <w:pPr>
        <w:spacing w:after="0"/>
        <w:ind w:left="0"/>
        <w:jc w:val="both"/>
      </w:pPr>
      <w:r>
        <w:rPr>
          <w:rFonts w:ascii="Times New Roman"/>
          <w:b w:val="false"/>
          <w:i w:val="false"/>
          <w:color w:val="000000"/>
          <w:sz w:val="28"/>
        </w:rPr>
        <w:t>
      11) переносные огнетушители обеспечиваются устройством, указывающим на то, что они уже были использованы;</w:t>
      </w:r>
    </w:p>
    <w:bookmarkEnd w:id="7661"/>
    <w:bookmarkStart w:name="z7676" w:id="7662"/>
    <w:p>
      <w:pPr>
        <w:spacing w:after="0"/>
        <w:ind w:left="0"/>
        <w:jc w:val="both"/>
      </w:pPr>
      <w:r>
        <w:rPr>
          <w:rFonts w:ascii="Times New Roman"/>
          <w:b w:val="false"/>
          <w:i w:val="false"/>
          <w:color w:val="000000"/>
          <w:sz w:val="28"/>
        </w:rPr>
        <w:t>
      12) корпус и другие детали огнетушителей, подверженные внутреннему давлению, испытывают гидравлическим давлением:</w:t>
      </w:r>
    </w:p>
    <w:bookmarkEnd w:id="7662"/>
    <w:bookmarkStart w:name="z7677" w:id="7663"/>
    <w:p>
      <w:pPr>
        <w:spacing w:after="0"/>
        <w:ind w:left="0"/>
        <w:jc w:val="both"/>
      </w:pPr>
      <w:r>
        <w:rPr>
          <w:rFonts w:ascii="Times New Roman"/>
          <w:b w:val="false"/>
          <w:i w:val="false"/>
          <w:color w:val="000000"/>
          <w:sz w:val="28"/>
        </w:rPr>
        <w:t xml:space="preserve">
      в 2,7 раза, превышающим максимальное рабочее давление, но не менее 5,5 МПа, - для огнетушителей низкого давления (с рабочим давлением не более 2,5 МПа при температуре окружающей среды 20 </w:t>
      </w:r>
      <w:r>
        <w:rPr>
          <w:rFonts w:ascii="Times New Roman"/>
          <w:b w:val="false"/>
          <w:i w:val="false"/>
          <w:color w:val="000000"/>
          <w:vertAlign w:val="superscript"/>
        </w:rPr>
        <w:t>o</w:t>
      </w:r>
      <w:r>
        <w:rPr>
          <w:rFonts w:ascii="Times New Roman"/>
          <w:b w:val="false"/>
          <w:i w:val="false"/>
          <w:color w:val="000000"/>
          <w:sz w:val="28"/>
        </w:rPr>
        <w:t>С);</w:t>
      </w:r>
    </w:p>
    <w:bookmarkEnd w:id="7663"/>
    <w:bookmarkStart w:name="z7678" w:id="7664"/>
    <w:p>
      <w:pPr>
        <w:spacing w:after="0"/>
        <w:ind w:left="0"/>
        <w:jc w:val="both"/>
      </w:pPr>
      <w:r>
        <w:rPr>
          <w:rFonts w:ascii="Times New Roman"/>
          <w:b w:val="false"/>
          <w:i w:val="false"/>
          <w:color w:val="000000"/>
          <w:sz w:val="28"/>
        </w:rPr>
        <w:t xml:space="preserve">
      определенным в соответствии с признанным национальным стандартом по безопасности сосудов, работающих под давлением, - для огнетушителей высокого давления (с рабочим давлением более 2,5 МПа при температуре окружающей среды 20 </w:t>
      </w:r>
      <w:r>
        <w:rPr>
          <w:rFonts w:ascii="Times New Roman"/>
          <w:b w:val="false"/>
          <w:i w:val="false"/>
          <w:color w:val="000000"/>
          <w:vertAlign w:val="superscript"/>
        </w:rPr>
        <w:t>o</w:t>
      </w:r>
      <w:r>
        <w:rPr>
          <w:rFonts w:ascii="Times New Roman"/>
          <w:b w:val="false"/>
          <w:i w:val="false"/>
          <w:color w:val="000000"/>
          <w:sz w:val="28"/>
        </w:rPr>
        <w:t>С);</w:t>
      </w:r>
    </w:p>
    <w:bookmarkEnd w:id="7664"/>
    <w:bookmarkStart w:name="z7679" w:id="7665"/>
    <w:p>
      <w:pPr>
        <w:spacing w:after="0"/>
        <w:ind w:left="0"/>
        <w:jc w:val="both"/>
      </w:pPr>
      <w:r>
        <w:rPr>
          <w:rFonts w:ascii="Times New Roman"/>
          <w:b w:val="false"/>
          <w:i w:val="false"/>
          <w:color w:val="000000"/>
          <w:sz w:val="28"/>
        </w:rPr>
        <w:t>
      13) огнетушители должны быть пригодны для эксплуатации при воздействии температур окружающего воздуха согласно приложению 290 настоящих Правил, с учетом используемых материалов и максимальной степени наполнения, установленных изготовителем. Степень наполнения углекислотных огнетушителей не превышает 0,75 кг/л;</w:t>
      </w:r>
    </w:p>
    <w:bookmarkEnd w:id="7665"/>
    <w:bookmarkStart w:name="z7680" w:id="7666"/>
    <w:p>
      <w:pPr>
        <w:spacing w:after="0"/>
        <w:ind w:left="0"/>
        <w:jc w:val="both"/>
      </w:pPr>
      <w:r>
        <w:rPr>
          <w:rFonts w:ascii="Times New Roman"/>
          <w:b w:val="false"/>
          <w:i w:val="false"/>
          <w:color w:val="000000"/>
          <w:sz w:val="28"/>
        </w:rPr>
        <w:t>
      14) используемые для изготовления огнетушителей материалы, которые при эксплуатации могут подвергаться воздействию морской среды, подбирают с учетом их совместимости;</w:t>
      </w:r>
    </w:p>
    <w:bookmarkEnd w:id="7666"/>
    <w:bookmarkStart w:name="z7681" w:id="7667"/>
    <w:p>
      <w:pPr>
        <w:spacing w:after="0"/>
        <w:ind w:left="0"/>
        <w:jc w:val="both"/>
      </w:pPr>
      <w:r>
        <w:rPr>
          <w:rFonts w:ascii="Times New Roman"/>
          <w:b w:val="false"/>
          <w:i w:val="false"/>
          <w:color w:val="000000"/>
          <w:sz w:val="28"/>
        </w:rPr>
        <w:t>
      15) на каждом огнетушителе должна быть четкая маркировка, содержащая, по меньшей мере, следующую информацию:</w:t>
      </w:r>
    </w:p>
    <w:bookmarkEnd w:id="7667"/>
    <w:bookmarkStart w:name="z7682" w:id="7668"/>
    <w:p>
      <w:pPr>
        <w:spacing w:after="0"/>
        <w:ind w:left="0"/>
        <w:jc w:val="both"/>
      </w:pPr>
      <w:r>
        <w:rPr>
          <w:rFonts w:ascii="Times New Roman"/>
          <w:b w:val="false"/>
          <w:i w:val="false"/>
          <w:color w:val="000000"/>
          <w:sz w:val="28"/>
        </w:rPr>
        <w:t>
      название фирмы изготовителя;</w:t>
      </w:r>
    </w:p>
    <w:bookmarkEnd w:id="7668"/>
    <w:bookmarkStart w:name="z7683" w:id="7669"/>
    <w:p>
      <w:pPr>
        <w:spacing w:after="0"/>
        <w:ind w:left="0"/>
        <w:jc w:val="both"/>
      </w:pPr>
      <w:r>
        <w:rPr>
          <w:rFonts w:ascii="Times New Roman"/>
          <w:b w:val="false"/>
          <w:i w:val="false"/>
          <w:color w:val="000000"/>
          <w:sz w:val="28"/>
        </w:rPr>
        <w:t>
      типы пожара, для которых огнетушитель пригоден, и его огнетушащая способность (то есть способность тушения модельного очага пожара при определенных условиях);</w:t>
      </w:r>
    </w:p>
    <w:bookmarkEnd w:id="7669"/>
    <w:bookmarkStart w:name="z7684" w:id="7670"/>
    <w:p>
      <w:pPr>
        <w:spacing w:after="0"/>
        <w:ind w:left="0"/>
        <w:jc w:val="both"/>
      </w:pPr>
      <w:r>
        <w:rPr>
          <w:rFonts w:ascii="Times New Roman"/>
          <w:b w:val="false"/>
          <w:i w:val="false"/>
          <w:color w:val="000000"/>
          <w:sz w:val="28"/>
        </w:rPr>
        <w:t>
      тип и номинальное количество огнетушащего вещества, заряженного в огнетушитель;</w:t>
      </w:r>
    </w:p>
    <w:bookmarkEnd w:id="7670"/>
    <w:bookmarkStart w:name="z7685" w:id="7671"/>
    <w:p>
      <w:pPr>
        <w:spacing w:after="0"/>
        <w:ind w:left="0"/>
        <w:jc w:val="both"/>
      </w:pPr>
      <w:r>
        <w:rPr>
          <w:rFonts w:ascii="Times New Roman"/>
          <w:b w:val="false"/>
          <w:i w:val="false"/>
          <w:color w:val="000000"/>
          <w:sz w:val="28"/>
        </w:rPr>
        <w:t>
      сведения об одобрении Регистром судоходства;</w:t>
      </w:r>
    </w:p>
    <w:bookmarkEnd w:id="7671"/>
    <w:bookmarkStart w:name="z7686" w:id="7672"/>
    <w:p>
      <w:pPr>
        <w:spacing w:after="0"/>
        <w:ind w:left="0"/>
        <w:jc w:val="both"/>
      </w:pPr>
      <w:r>
        <w:rPr>
          <w:rFonts w:ascii="Times New Roman"/>
          <w:b w:val="false"/>
          <w:i w:val="false"/>
          <w:color w:val="000000"/>
          <w:sz w:val="28"/>
        </w:rPr>
        <w:t>
      инструкцию по приведению огнетушителя в действие в виде нескольких пиктограмм с пояснительным текстом на языке, понятном вероятному пользователю, в общем случае — на русском и государственном языках;</w:t>
      </w:r>
    </w:p>
    <w:bookmarkEnd w:id="7672"/>
    <w:bookmarkStart w:name="z7687" w:id="7673"/>
    <w:p>
      <w:pPr>
        <w:spacing w:after="0"/>
        <w:ind w:left="0"/>
        <w:jc w:val="both"/>
      </w:pPr>
      <w:r>
        <w:rPr>
          <w:rFonts w:ascii="Times New Roman"/>
          <w:b w:val="false"/>
          <w:i w:val="false"/>
          <w:color w:val="000000"/>
          <w:sz w:val="28"/>
        </w:rPr>
        <w:t>
      год изготовления;</w:t>
      </w:r>
    </w:p>
    <w:bookmarkEnd w:id="7673"/>
    <w:bookmarkStart w:name="z7688" w:id="7674"/>
    <w:p>
      <w:pPr>
        <w:spacing w:after="0"/>
        <w:ind w:left="0"/>
        <w:jc w:val="both"/>
      </w:pPr>
      <w:r>
        <w:rPr>
          <w:rFonts w:ascii="Times New Roman"/>
          <w:b w:val="false"/>
          <w:i w:val="false"/>
          <w:color w:val="000000"/>
          <w:sz w:val="28"/>
        </w:rPr>
        <w:t>
      диапазон температур, в пределах которых огнетушитель работоспособен;</w:t>
      </w:r>
    </w:p>
    <w:bookmarkEnd w:id="7674"/>
    <w:bookmarkStart w:name="z7689" w:id="7675"/>
    <w:p>
      <w:pPr>
        <w:spacing w:after="0"/>
        <w:ind w:left="0"/>
        <w:jc w:val="both"/>
      </w:pPr>
      <w:r>
        <w:rPr>
          <w:rFonts w:ascii="Times New Roman"/>
          <w:b w:val="false"/>
          <w:i w:val="false"/>
          <w:color w:val="000000"/>
          <w:sz w:val="28"/>
        </w:rPr>
        <w:t>
      испытательное давление.</w:t>
      </w:r>
    </w:p>
    <w:bookmarkEnd w:id="7675"/>
    <w:bookmarkStart w:name="z7690" w:id="7676"/>
    <w:p>
      <w:pPr>
        <w:spacing w:after="0"/>
        <w:ind w:left="0"/>
        <w:jc w:val="both"/>
      </w:pPr>
      <w:r>
        <w:rPr>
          <w:rFonts w:ascii="Times New Roman"/>
          <w:b w:val="false"/>
          <w:i w:val="false"/>
          <w:color w:val="000000"/>
          <w:sz w:val="28"/>
        </w:rPr>
        <w:t>
      2528. Необходимо чтобы пенные огнетушители вместимостью не менее 45 и 135 л отвечали следующим требованиям:</w:t>
      </w:r>
    </w:p>
    <w:bookmarkEnd w:id="7676"/>
    <w:bookmarkStart w:name="z7691" w:id="7677"/>
    <w:p>
      <w:pPr>
        <w:spacing w:after="0"/>
        <w:ind w:left="0"/>
        <w:jc w:val="both"/>
      </w:pPr>
      <w:r>
        <w:rPr>
          <w:rFonts w:ascii="Times New Roman"/>
          <w:b w:val="false"/>
          <w:i w:val="false"/>
          <w:color w:val="000000"/>
          <w:sz w:val="28"/>
        </w:rPr>
        <w:t>
      1) огнетушители размещаются внутри защищаемого помещения на штатных местах вблизи от выходов.</w:t>
      </w:r>
    </w:p>
    <w:bookmarkEnd w:id="7677"/>
    <w:bookmarkStart w:name="z7692" w:id="7678"/>
    <w:p>
      <w:pPr>
        <w:spacing w:after="0"/>
        <w:ind w:left="0"/>
        <w:jc w:val="both"/>
      </w:pPr>
      <w:r>
        <w:rPr>
          <w:rFonts w:ascii="Times New Roman"/>
          <w:b w:val="false"/>
          <w:i w:val="false"/>
          <w:color w:val="000000"/>
          <w:sz w:val="28"/>
        </w:rPr>
        <w:t>
      Необходимо чтобы вода, применяемая для зарядки огнетушителей, была пресной;</w:t>
      </w:r>
    </w:p>
    <w:bookmarkEnd w:id="7678"/>
    <w:bookmarkStart w:name="z7693" w:id="7679"/>
    <w:p>
      <w:pPr>
        <w:spacing w:after="0"/>
        <w:ind w:left="0"/>
        <w:jc w:val="both"/>
      </w:pPr>
      <w:r>
        <w:rPr>
          <w:rFonts w:ascii="Times New Roman"/>
          <w:b w:val="false"/>
          <w:i w:val="false"/>
          <w:color w:val="000000"/>
          <w:sz w:val="28"/>
        </w:rPr>
        <w:t>
      2) воздух для воздушно-пенных огнетушителей находится в баллоне, предназначенном исключительно для этого огнетушителя. Запас воздуха в баллоне превышает расчетное количество не менее чем на 25 %. Воздушный баллон снабжают манометром;</w:t>
      </w:r>
    </w:p>
    <w:bookmarkEnd w:id="7679"/>
    <w:bookmarkStart w:name="z7694" w:id="7680"/>
    <w:p>
      <w:pPr>
        <w:spacing w:after="0"/>
        <w:ind w:left="0"/>
        <w:jc w:val="both"/>
      </w:pPr>
      <w:r>
        <w:rPr>
          <w:rFonts w:ascii="Times New Roman"/>
          <w:b w:val="false"/>
          <w:i w:val="false"/>
          <w:color w:val="000000"/>
          <w:sz w:val="28"/>
        </w:rPr>
        <w:t>
      3) огнетушители вместимостью не менее 135 л снабжают рукавами, намотанными на вьюшки и позволяющими достать до любого места котельного отделения;</w:t>
      </w:r>
    </w:p>
    <w:bookmarkEnd w:id="7680"/>
    <w:bookmarkStart w:name="z7695" w:id="7681"/>
    <w:p>
      <w:pPr>
        <w:spacing w:after="0"/>
        <w:ind w:left="0"/>
        <w:jc w:val="both"/>
      </w:pPr>
      <w:r>
        <w:rPr>
          <w:rFonts w:ascii="Times New Roman"/>
          <w:b w:val="false"/>
          <w:i w:val="false"/>
          <w:color w:val="000000"/>
          <w:sz w:val="28"/>
        </w:rPr>
        <w:t>
      4) расположение огнетушителей вместимостью 45 л (или равноценных им) в машинных помещениях, указанных в подпунктах 1), 2) и 6) пункта 5 приложения 279 настоящих Правил, обеспечивает возможность подачи огнетушащего вещества на любую часть топливной системы, системы смазки под давлением, на приводы, кожухи, закрывающие смазываемые под давлением части турбин, двигатели и связанные с ними приводы и другие пожароопасные объекты. На грузовых судах огнетушитель вместимостью 45 л (или равноценный ему) допускается размещать снаружи помещения, для которого он предназначен.</w:t>
      </w:r>
    </w:p>
    <w:bookmarkEnd w:id="7681"/>
    <w:bookmarkStart w:name="z7696" w:id="7682"/>
    <w:p>
      <w:pPr>
        <w:spacing w:after="0"/>
        <w:ind w:left="0"/>
        <w:jc w:val="both"/>
      </w:pPr>
      <w:r>
        <w:rPr>
          <w:rFonts w:ascii="Times New Roman"/>
          <w:b w:val="false"/>
          <w:i w:val="false"/>
          <w:color w:val="000000"/>
          <w:sz w:val="28"/>
        </w:rPr>
        <w:t>
      2529. Необходимо чтобы углекислотные и порошковые огнетушители с массой заряда не менее 16 и 45 кг отвечали следующим требованиям:</w:t>
      </w:r>
    </w:p>
    <w:bookmarkEnd w:id="7682"/>
    <w:bookmarkStart w:name="z7697" w:id="7683"/>
    <w:p>
      <w:pPr>
        <w:spacing w:after="0"/>
        <w:ind w:left="0"/>
        <w:jc w:val="both"/>
      </w:pPr>
      <w:r>
        <w:rPr>
          <w:rFonts w:ascii="Times New Roman"/>
          <w:b w:val="false"/>
          <w:i w:val="false"/>
          <w:color w:val="000000"/>
          <w:sz w:val="28"/>
        </w:rPr>
        <w:t>
      1) углекислотные огнетушители не применяются в помещении такого объема, в котором при выпуске всего заряда создается концентрация углекислого газа более 5 %;</w:t>
      </w:r>
    </w:p>
    <w:bookmarkEnd w:id="7683"/>
    <w:bookmarkStart w:name="z7698" w:id="7684"/>
    <w:p>
      <w:pPr>
        <w:spacing w:after="0"/>
        <w:ind w:left="0"/>
        <w:jc w:val="both"/>
      </w:pPr>
      <w:r>
        <w:rPr>
          <w:rFonts w:ascii="Times New Roman"/>
          <w:b w:val="false"/>
          <w:i w:val="false"/>
          <w:color w:val="000000"/>
          <w:sz w:val="28"/>
        </w:rPr>
        <w:t>
      2) подача огнетушащего вещества производится в любую часть защищаемого помещения по рукавам длиной 10 — 15 м и, если необходимо, по трубопроводам;</w:t>
      </w:r>
    </w:p>
    <w:bookmarkEnd w:id="7684"/>
    <w:bookmarkStart w:name="z7699" w:id="7685"/>
    <w:p>
      <w:pPr>
        <w:spacing w:after="0"/>
        <w:ind w:left="0"/>
        <w:jc w:val="both"/>
      </w:pPr>
      <w:r>
        <w:rPr>
          <w:rFonts w:ascii="Times New Roman"/>
          <w:b w:val="false"/>
          <w:i w:val="false"/>
          <w:color w:val="000000"/>
          <w:sz w:val="28"/>
        </w:rPr>
        <w:t>
      3) огнетушители размещаются в помещениях вблизи от выходов и защищены от механических повреждений.</w:t>
      </w:r>
    </w:p>
    <w:bookmarkEnd w:id="7685"/>
    <w:bookmarkStart w:name="z7700" w:id="7686"/>
    <w:p>
      <w:pPr>
        <w:spacing w:after="0"/>
        <w:ind w:left="0"/>
        <w:jc w:val="both"/>
      </w:pPr>
      <w:r>
        <w:rPr>
          <w:rFonts w:ascii="Times New Roman"/>
          <w:b w:val="false"/>
          <w:i w:val="false"/>
          <w:color w:val="000000"/>
          <w:sz w:val="28"/>
        </w:rPr>
        <w:t>
      2530. Металлические ящики с песком или с пропитанными содой сухими древесными опилками отвечают следующим требованиям:</w:t>
      </w:r>
    </w:p>
    <w:bookmarkEnd w:id="7686"/>
    <w:bookmarkStart w:name="z7701" w:id="7687"/>
    <w:p>
      <w:pPr>
        <w:spacing w:after="0"/>
        <w:ind w:left="0"/>
        <w:jc w:val="both"/>
      </w:pPr>
      <w:r>
        <w:rPr>
          <w:rFonts w:ascii="Times New Roman"/>
          <w:b w:val="false"/>
          <w:i w:val="false"/>
          <w:color w:val="000000"/>
          <w:sz w:val="28"/>
        </w:rPr>
        <w:t>
      1) вместимость ящиков допускается не менее 0,1м</w:t>
      </w:r>
      <w:r>
        <w:rPr>
          <w:rFonts w:ascii="Times New Roman"/>
          <w:b w:val="false"/>
          <w:i w:val="false"/>
          <w:color w:val="000000"/>
          <w:vertAlign w:val="superscript"/>
        </w:rPr>
        <w:t>3</w:t>
      </w:r>
      <w:r>
        <w:rPr>
          <w:rFonts w:ascii="Times New Roman"/>
          <w:b w:val="false"/>
          <w:i w:val="false"/>
          <w:color w:val="000000"/>
          <w:sz w:val="28"/>
        </w:rPr>
        <w:t>;</w:t>
      </w:r>
    </w:p>
    <w:bookmarkEnd w:id="7687"/>
    <w:bookmarkStart w:name="z7702" w:id="7688"/>
    <w:p>
      <w:pPr>
        <w:spacing w:after="0"/>
        <w:ind w:left="0"/>
        <w:jc w:val="both"/>
      </w:pPr>
      <w:r>
        <w:rPr>
          <w:rFonts w:ascii="Times New Roman"/>
          <w:b w:val="false"/>
          <w:i w:val="false"/>
          <w:color w:val="000000"/>
          <w:sz w:val="28"/>
        </w:rPr>
        <w:t>
      2) каждый ящик имеет легкооткрывающуюся водонепроницаемую крышку и совок, а также устройство для удержания крышки в открытом положении.</w:t>
      </w:r>
    </w:p>
    <w:bookmarkEnd w:id="7688"/>
    <w:bookmarkStart w:name="z7703" w:id="7689"/>
    <w:p>
      <w:pPr>
        <w:spacing w:after="0"/>
        <w:ind w:left="0"/>
        <w:jc w:val="both"/>
      </w:pPr>
      <w:r>
        <w:rPr>
          <w:rFonts w:ascii="Times New Roman"/>
          <w:b w:val="false"/>
          <w:i w:val="false"/>
          <w:color w:val="000000"/>
          <w:sz w:val="28"/>
        </w:rPr>
        <w:t>
      2531. Покрывала для тушения пламени отвечают следующим требованиям:</w:t>
      </w:r>
    </w:p>
    <w:bookmarkEnd w:id="7689"/>
    <w:bookmarkStart w:name="z7704" w:id="7690"/>
    <w:p>
      <w:pPr>
        <w:spacing w:after="0"/>
        <w:ind w:left="0"/>
        <w:jc w:val="both"/>
      </w:pPr>
      <w:r>
        <w:rPr>
          <w:rFonts w:ascii="Times New Roman"/>
          <w:b w:val="false"/>
          <w:i w:val="false"/>
          <w:color w:val="000000"/>
          <w:sz w:val="28"/>
        </w:rPr>
        <w:t>
      1) должны быть достаточно плотными и прочными;</w:t>
      </w:r>
    </w:p>
    <w:bookmarkEnd w:id="7690"/>
    <w:bookmarkStart w:name="z7705" w:id="7691"/>
    <w:p>
      <w:pPr>
        <w:spacing w:after="0"/>
        <w:ind w:left="0"/>
        <w:jc w:val="both"/>
      </w:pPr>
      <w:r>
        <w:rPr>
          <w:rFonts w:ascii="Times New Roman"/>
          <w:b w:val="false"/>
          <w:i w:val="false"/>
          <w:color w:val="000000"/>
          <w:sz w:val="28"/>
        </w:rPr>
        <w:t>
      2) изготавливаются, как правило, из негорючего материала; допускается применять чистый плотный войлок без начеса;</w:t>
      </w:r>
    </w:p>
    <w:bookmarkEnd w:id="7691"/>
    <w:bookmarkStart w:name="z7706" w:id="7692"/>
    <w:p>
      <w:pPr>
        <w:spacing w:after="0"/>
        <w:ind w:left="0"/>
        <w:jc w:val="both"/>
      </w:pPr>
      <w:r>
        <w:rPr>
          <w:rFonts w:ascii="Times New Roman"/>
          <w:b w:val="false"/>
          <w:i w:val="false"/>
          <w:color w:val="000000"/>
          <w:sz w:val="28"/>
        </w:rPr>
        <w:t>
      3) покрывала хранятся в специальных легкооткрывающихся футлярах или шкафчиках;</w:t>
      </w:r>
    </w:p>
    <w:bookmarkEnd w:id="7692"/>
    <w:bookmarkStart w:name="z7707" w:id="7693"/>
    <w:p>
      <w:pPr>
        <w:spacing w:after="0"/>
        <w:ind w:left="0"/>
        <w:jc w:val="both"/>
      </w:pPr>
      <w:r>
        <w:rPr>
          <w:rFonts w:ascii="Times New Roman"/>
          <w:b w:val="false"/>
          <w:i w:val="false"/>
          <w:color w:val="000000"/>
          <w:sz w:val="28"/>
        </w:rPr>
        <w:t>
      4) имеет площадь не менее 3 м</w:t>
      </w:r>
      <w:r>
        <w:rPr>
          <w:rFonts w:ascii="Times New Roman"/>
          <w:b w:val="false"/>
          <w:i w:val="false"/>
          <w:color w:val="000000"/>
          <w:vertAlign w:val="superscript"/>
        </w:rPr>
        <w:t>2</w:t>
      </w:r>
      <w:r>
        <w:rPr>
          <w:rFonts w:ascii="Times New Roman"/>
          <w:b w:val="false"/>
          <w:i w:val="false"/>
          <w:color w:val="000000"/>
          <w:sz w:val="28"/>
        </w:rPr>
        <w:t xml:space="preserve"> и форму, близкую к квадрату или кругу.</w:t>
      </w:r>
    </w:p>
    <w:bookmarkEnd w:id="7693"/>
    <w:bookmarkStart w:name="z7708" w:id="7694"/>
    <w:p>
      <w:pPr>
        <w:spacing w:after="0"/>
        <w:ind w:left="0"/>
        <w:jc w:val="both"/>
      </w:pPr>
      <w:r>
        <w:rPr>
          <w:rFonts w:ascii="Times New Roman"/>
          <w:b w:val="false"/>
          <w:i w:val="false"/>
          <w:color w:val="000000"/>
          <w:sz w:val="28"/>
        </w:rPr>
        <w:t>
      2532. Комплекты пожарного инструмента отвечают следующим требованиям:</w:t>
      </w:r>
    </w:p>
    <w:bookmarkEnd w:id="7694"/>
    <w:bookmarkStart w:name="z7709" w:id="7695"/>
    <w:p>
      <w:pPr>
        <w:spacing w:after="0"/>
        <w:ind w:left="0"/>
        <w:jc w:val="both"/>
      </w:pPr>
      <w:r>
        <w:rPr>
          <w:rFonts w:ascii="Times New Roman"/>
          <w:b w:val="false"/>
          <w:i w:val="false"/>
          <w:color w:val="000000"/>
          <w:sz w:val="28"/>
        </w:rPr>
        <w:t>
      1) в один комплект входит один топор пожарный и один лом пожарный легкий;</w:t>
      </w:r>
    </w:p>
    <w:bookmarkEnd w:id="7695"/>
    <w:bookmarkStart w:name="z7710" w:id="7696"/>
    <w:p>
      <w:pPr>
        <w:spacing w:after="0"/>
        <w:ind w:left="0"/>
        <w:jc w:val="both"/>
      </w:pPr>
      <w:r>
        <w:rPr>
          <w:rFonts w:ascii="Times New Roman"/>
          <w:b w:val="false"/>
          <w:i w:val="false"/>
          <w:color w:val="000000"/>
          <w:sz w:val="28"/>
        </w:rPr>
        <w:t>
      2) комплекты размещаются на штатных щитах. Устройство креплений допускает быстрый съем инструмента;</w:t>
      </w:r>
    </w:p>
    <w:bookmarkEnd w:id="7696"/>
    <w:bookmarkStart w:name="z7711" w:id="7697"/>
    <w:p>
      <w:pPr>
        <w:spacing w:after="0"/>
        <w:ind w:left="0"/>
        <w:jc w:val="both"/>
      </w:pPr>
      <w:r>
        <w:rPr>
          <w:rFonts w:ascii="Times New Roman"/>
          <w:b w:val="false"/>
          <w:i w:val="false"/>
          <w:color w:val="000000"/>
          <w:sz w:val="28"/>
        </w:rPr>
        <w:t>
      3) на судах для перевозки автотранспорта с топливом (кроме дизельного) в баках по 1 комплекту размещают у выходов из жилых и машинных помещений в грузовые помещения.</w:t>
      </w:r>
    </w:p>
    <w:bookmarkEnd w:id="7697"/>
    <w:bookmarkStart w:name="z7712" w:id="7698"/>
    <w:p>
      <w:pPr>
        <w:spacing w:after="0"/>
        <w:ind w:left="0"/>
        <w:jc w:val="both"/>
      </w:pPr>
      <w:r>
        <w:rPr>
          <w:rFonts w:ascii="Times New Roman"/>
          <w:b w:val="false"/>
          <w:i w:val="false"/>
          <w:color w:val="000000"/>
          <w:sz w:val="28"/>
        </w:rPr>
        <w:t>
      2533. Комплект снаряжения для пожарных состоит из следующих предметов:</w:t>
      </w:r>
    </w:p>
    <w:bookmarkEnd w:id="7698"/>
    <w:bookmarkStart w:name="z7713" w:id="7699"/>
    <w:p>
      <w:pPr>
        <w:spacing w:after="0"/>
        <w:ind w:left="0"/>
        <w:jc w:val="both"/>
      </w:pPr>
      <w:r>
        <w:rPr>
          <w:rFonts w:ascii="Times New Roman"/>
          <w:b w:val="false"/>
          <w:i w:val="false"/>
          <w:color w:val="000000"/>
          <w:sz w:val="28"/>
        </w:rPr>
        <w:t>
      1) личного снаряжения, в которое входят:</w:t>
      </w:r>
    </w:p>
    <w:bookmarkEnd w:id="7699"/>
    <w:bookmarkStart w:name="z7714" w:id="7700"/>
    <w:p>
      <w:pPr>
        <w:spacing w:after="0"/>
        <w:ind w:left="0"/>
        <w:jc w:val="both"/>
      </w:pPr>
      <w:r>
        <w:rPr>
          <w:rFonts w:ascii="Times New Roman"/>
          <w:b w:val="false"/>
          <w:i w:val="false"/>
          <w:color w:val="000000"/>
          <w:sz w:val="28"/>
        </w:rPr>
        <w:t>
      защитная одежда из материала, способного защитить кожу от тепла, излучаемого при пожаре, ожогов и ошпаривания; наружная поверхность была водостойкой; брезентовые и поливинилхлоридные ткани в качестве наружного материала костюмов не допускаются. Необходимо чтобы материал верха был типа, одобренного компетентными органами;</w:t>
      </w:r>
    </w:p>
    <w:bookmarkEnd w:id="7700"/>
    <w:bookmarkStart w:name="z7715" w:id="7701"/>
    <w:p>
      <w:pPr>
        <w:spacing w:after="0"/>
        <w:ind w:left="0"/>
        <w:jc w:val="both"/>
      </w:pPr>
      <w:r>
        <w:rPr>
          <w:rFonts w:ascii="Times New Roman"/>
          <w:b w:val="false"/>
          <w:i w:val="false"/>
          <w:color w:val="000000"/>
          <w:sz w:val="28"/>
        </w:rPr>
        <w:t>
      ботинки из резины или другого неэлектропроводного материала;</w:t>
      </w:r>
    </w:p>
    <w:bookmarkEnd w:id="7701"/>
    <w:bookmarkStart w:name="z7716" w:id="7702"/>
    <w:p>
      <w:pPr>
        <w:spacing w:after="0"/>
        <w:ind w:left="0"/>
        <w:jc w:val="both"/>
      </w:pPr>
      <w:r>
        <w:rPr>
          <w:rFonts w:ascii="Times New Roman"/>
          <w:b w:val="false"/>
          <w:i w:val="false"/>
          <w:color w:val="000000"/>
          <w:sz w:val="28"/>
        </w:rPr>
        <w:t>
      жесткий шлем, обеспечивающий эффективную защиту от удара;</w:t>
      </w:r>
    </w:p>
    <w:bookmarkEnd w:id="7702"/>
    <w:bookmarkStart w:name="z7717" w:id="7703"/>
    <w:p>
      <w:pPr>
        <w:spacing w:after="0"/>
        <w:ind w:left="0"/>
        <w:jc w:val="both"/>
      </w:pPr>
      <w:r>
        <w:rPr>
          <w:rFonts w:ascii="Times New Roman"/>
          <w:b w:val="false"/>
          <w:i w:val="false"/>
          <w:color w:val="000000"/>
          <w:sz w:val="28"/>
        </w:rPr>
        <w:t>
      переносный безопасный ручной фонарь с минимальным временем горения 3 ч.</w:t>
      </w:r>
    </w:p>
    <w:bookmarkEnd w:id="7703"/>
    <w:bookmarkStart w:name="z7718" w:id="7704"/>
    <w:p>
      <w:pPr>
        <w:spacing w:after="0"/>
        <w:ind w:left="0"/>
        <w:jc w:val="both"/>
      </w:pPr>
      <w:r>
        <w:rPr>
          <w:rFonts w:ascii="Times New Roman"/>
          <w:b w:val="false"/>
          <w:i w:val="false"/>
          <w:color w:val="000000"/>
          <w:sz w:val="28"/>
        </w:rPr>
        <w:t>
      На судах, перевозящих опасные грузы, на нефтеналивных и прочих судах, где имеются грузовые помещения и пространства, в которых присутствует или образовывается взрывоопасная смесь с воздухом горючих газов, паров или пыли, предусматривают взрывозащищенные фонари с уровнем и видом взрывозащиты lExd или 1Ехр. Группа и температурный класс соответствоуют категории перевозимого груза. Например, для нефти, керосина и ряда бензинов — lExd ПАТЗ и 1Ехр ПТЗ;</w:t>
      </w:r>
    </w:p>
    <w:bookmarkEnd w:id="7704"/>
    <w:bookmarkStart w:name="z7719" w:id="7705"/>
    <w:p>
      <w:pPr>
        <w:spacing w:after="0"/>
        <w:ind w:left="0"/>
        <w:jc w:val="both"/>
      </w:pPr>
      <w:r>
        <w:rPr>
          <w:rFonts w:ascii="Times New Roman"/>
          <w:b w:val="false"/>
          <w:i w:val="false"/>
          <w:color w:val="000000"/>
          <w:sz w:val="28"/>
        </w:rPr>
        <w:t>
      пожарный топор с ручкой из дерева твердых пород, если для ручки применен другой материал, он покрыт изоляцией, не проводящей электричество;</w:t>
      </w:r>
    </w:p>
    <w:bookmarkEnd w:id="7705"/>
    <w:bookmarkStart w:name="z7720" w:id="7706"/>
    <w:p>
      <w:pPr>
        <w:spacing w:after="0"/>
        <w:ind w:left="0"/>
        <w:jc w:val="both"/>
      </w:pPr>
      <w:r>
        <w:rPr>
          <w:rFonts w:ascii="Times New Roman"/>
          <w:b w:val="false"/>
          <w:i w:val="false"/>
          <w:color w:val="000000"/>
          <w:sz w:val="28"/>
        </w:rPr>
        <w:t>
      2) автономного дыхательного аппарата, работающего на сжатом воздухе, баллоны которого содержат не менее 1200 л воздуха, или другого автономного дыхательного аппарата, способного действовать не менее 30 мин.</w:t>
      </w:r>
    </w:p>
    <w:bookmarkEnd w:id="7706"/>
    <w:bookmarkStart w:name="z7721" w:id="7707"/>
    <w:p>
      <w:pPr>
        <w:spacing w:after="0"/>
        <w:ind w:left="0"/>
        <w:jc w:val="both"/>
      </w:pPr>
      <w:r>
        <w:rPr>
          <w:rFonts w:ascii="Times New Roman"/>
          <w:b w:val="false"/>
          <w:i w:val="false"/>
          <w:color w:val="000000"/>
          <w:sz w:val="28"/>
        </w:rPr>
        <w:t>
      Для каждого дыхательного аппарата предусматривается гибкий огнестойкий предохранительный трос длиной не менее 30 м. Необходимо чтобы трос был испытан статической нагрузкой 3,5 кН в течение 5 мин и выдержал эту нагрузку без повреждения. Трос прикрепляется к лямкам аппарата или специальному поясу крючком-защелкой так, чтобы предотвратить отсоединение аппарата при работе с предохранительным тросом.</w:t>
      </w:r>
    </w:p>
    <w:bookmarkEnd w:id="7707"/>
    <w:bookmarkStart w:name="z7722" w:id="7708"/>
    <w:p>
      <w:pPr>
        <w:spacing w:after="0"/>
        <w:ind w:left="0"/>
        <w:jc w:val="both"/>
      </w:pPr>
      <w:r>
        <w:rPr>
          <w:rFonts w:ascii="Times New Roman"/>
          <w:b w:val="false"/>
          <w:i w:val="false"/>
          <w:color w:val="000000"/>
          <w:sz w:val="28"/>
        </w:rPr>
        <w:t>
      Для каждого требуемого автономного дыхательного аппарата предусматривают два запасных баллона или запасных дыхательных аппарата. Необходимо чтобы все воздушные баллоны для аппаратов были взаимозаменяемыми.</w:t>
      </w:r>
    </w:p>
    <w:bookmarkEnd w:id="7708"/>
    <w:bookmarkStart w:name="z7723" w:id="7709"/>
    <w:p>
      <w:pPr>
        <w:spacing w:after="0"/>
        <w:ind w:left="0"/>
        <w:jc w:val="both"/>
      </w:pPr>
      <w:r>
        <w:rPr>
          <w:rFonts w:ascii="Times New Roman"/>
          <w:b w:val="false"/>
          <w:i w:val="false"/>
          <w:color w:val="000000"/>
          <w:sz w:val="28"/>
        </w:rPr>
        <w:t>
      Пассажирские суда, перевозящие не более 36 пассажиров, и грузовые суда, оборудованные подходящим образом расположенным средством полной перезарядки воздушных баллонов очищенным воздухом, имеют только один запасной баллон или один запасной дыхательный аппарат по числу требуемых автономных.</w:t>
      </w:r>
    </w:p>
    <w:bookmarkEnd w:id="7709"/>
    <w:bookmarkStart w:name="z7724" w:id="7710"/>
    <w:p>
      <w:pPr>
        <w:spacing w:after="0"/>
        <w:ind w:left="0"/>
        <w:jc w:val="both"/>
      </w:pPr>
      <w:r>
        <w:rPr>
          <w:rFonts w:ascii="Times New Roman"/>
          <w:b w:val="false"/>
          <w:i w:val="false"/>
          <w:color w:val="000000"/>
          <w:sz w:val="28"/>
        </w:rPr>
        <w:t>
      Пассажирские суда, перевозящие более 36 пассажиров, имеют два запасных баллона или два запасных дыхательных аппарата по числу требуемых автономных;</w:t>
      </w:r>
    </w:p>
    <w:bookmarkEnd w:id="7710"/>
    <w:bookmarkStart w:name="z7725" w:id="7711"/>
    <w:p>
      <w:pPr>
        <w:spacing w:after="0"/>
        <w:ind w:left="0"/>
        <w:jc w:val="both"/>
      </w:pPr>
      <w:r>
        <w:rPr>
          <w:rFonts w:ascii="Times New Roman"/>
          <w:b w:val="false"/>
          <w:i w:val="false"/>
          <w:color w:val="000000"/>
          <w:sz w:val="28"/>
        </w:rPr>
        <w:t>
      3) необходимо чтобы комплекты снаряжения для пожарных и комплекты личного снаряжения были готовыми к использованию и хранятся в легкодоступных местах, которые отмечены постоянной и четкой маркировкой и, если на судне имеется более одного комплекта снаряжения для пожарных или более одного комплекта личного снаряжения, они хранятся в удаленных друг от друга местах.</w:t>
      </w:r>
    </w:p>
    <w:bookmarkEnd w:id="7711"/>
    <w:bookmarkStart w:name="z7726" w:id="7712"/>
    <w:p>
      <w:pPr>
        <w:spacing w:after="0"/>
        <w:ind w:left="0"/>
        <w:jc w:val="both"/>
      </w:pPr>
      <w:r>
        <w:rPr>
          <w:rFonts w:ascii="Times New Roman"/>
          <w:b w:val="false"/>
          <w:i w:val="false"/>
          <w:color w:val="000000"/>
          <w:sz w:val="28"/>
        </w:rPr>
        <w:t>
      На пассажирских судах по меньшей мере два комплекта снаряжения пожарного и, кроме того, один комплект личного снаряжения имеется в любом таком месте. По меньшей мере два комплекта снаряжения пожарного хранятся в каждой главной вертикальной зоне.</w:t>
      </w:r>
    </w:p>
    <w:bookmarkEnd w:id="7712"/>
    <w:bookmarkStart w:name="z7727" w:id="7713"/>
    <w:p>
      <w:pPr>
        <w:spacing w:after="0"/>
        <w:ind w:left="0"/>
        <w:jc w:val="both"/>
      </w:pPr>
      <w:r>
        <w:rPr>
          <w:rFonts w:ascii="Times New Roman"/>
          <w:b w:val="false"/>
          <w:i w:val="false"/>
          <w:color w:val="000000"/>
          <w:sz w:val="28"/>
        </w:rPr>
        <w:t>
      2534. Переносные электрические дрели имеют электрический кабель достаточной длины. Вместо электрических допускаются пневматические дрели. Электрические или пневматические дрели, указанные в пункте 11 приложения 279 настоящих Правил, допускается засчитывать в число предметов, установка которых предписывается нормами других видов судового снабжения.</w:t>
      </w:r>
    </w:p>
    <w:bookmarkEnd w:id="7713"/>
    <w:bookmarkStart w:name="z7728" w:id="7714"/>
    <w:p>
      <w:pPr>
        <w:spacing w:after="0"/>
        <w:ind w:left="0"/>
        <w:jc w:val="both"/>
      </w:pPr>
      <w:r>
        <w:rPr>
          <w:rFonts w:ascii="Times New Roman"/>
          <w:b w:val="false"/>
          <w:i w:val="false"/>
          <w:color w:val="000000"/>
          <w:sz w:val="28"/>
        </w:rPr>
        <w:t>
      2535. Переносные дизельные пожарные мотопомпы соответствуют следующим требованиям:</w:t>
      </w:r>
    </w:p>
    <w:bookmarkEnd w:id="7714"/>
    <w:bookmarkStart w:name="z7729" w:id="7715"/>
    <w:p>
      <w:pPr>
        <w:spacing w:after="0"/>
        <w:ind w:left="0"/>
        <w:jc w:val="both"/>
      </w:pPr>
      <w:r>
        <w:rPr>
          <w:rFonts w:ascii="Times New Roman"/>
          <w:b w:val="false"/>
          <w:i w:val="false"/>
          <w:color w:val="000000"/>
          <w:sz w:val="28"/>
        </w:rPr>
        <w:t>
      1) насос обеспечивает одновременную работу не менее двух ручных пожарных стволов с диаметром насадки не менее 12 мм при давлении на выходе из насоса не менее 0,2 МПа и разрежении во всасывающем трубопроводе не менее 0,05 МПа; центробежные насосы имеют самовсасывающие устройства;</w:t>
      </w:r>
    </w:p>
    <w:bookmarkEnd w:id="7715"/>
    <w:bookmarkStart w:name="z7730" w:id="7716"/>
    <w:p>
      <w:pPr>
        <w:spacing w:after="0"/>
        <w:ind w:left="0"/>
        <w:jc w:val="both"/>
      </w:pPr>
      <w:r>
        <w:rPr>
          <w:rFonts w:ascii="Times New Roman"/>
          <w:b w:val="false"/>
          <w:i w:val="false"/>
          <w:color w:val="000000"/>
          <w:sz w:val="28"/>
        </w:rPr>
        <w:t>
      2) двигатель насоса легко и быстро запускается вручную или с помощью специальных пусковых устройств при положительных и отрицательных температурах окружающего воздуха. Двигатель имеет топливо в количестве, обеспечивающем работу насоса в течение 1,5 ч без заправки; на судне имеется дополнительный запас топлива для пополнения;</w:t>
      </w:r>
    </w:p>
    <w:bookmarkEnd w:id="7716"/>
    <w:bookmarkStart w:name="z7731" w:id="7717"/>
    <w:p>
      <w:pPr>
        <w:spacing w:after="0"/>
        <w:ind w:left="0"/>
        <w:jc w:val="both"/>
      </w:pPr>
      <w:r>
        <w:rPr>
          <w:rFonts w:ascii="Times New Roman"/>
          <w:b w:val="false"/>
          <w:i w:val="false"/>
          <w:color w:val="000000"/>
          <w:sz w:val="28"/>
        </w:rPr>
        <w:t>
      3) каждая мотопомпа поставляется в комплекте с приемными рукавами общей длиной 8 м, снабженными приемной сеткой с невозвратным клапаном, двумя выкидными рукавами длиной порядка 10 м каждый, двумя ручными стволами комбинированного типа с насадкой диаметром не менее 12 мм и разветвительной гайкой для присоединения двух рукавов;</w:t>
      </w:r>
    </w:p>
    <w:bookmarkEnd w:id="7717"/>
    <w:bookmarkStart w:name="z7732" w:id="7718"/>
    <w:p>
      <w:pPr>
        <w:spacing w:after="0"/>
        <w:ind w:left="0"/>
        <w:jc w:val="both"/>
      </w:pPr>
      <w:r>
        <w:rPr>
          <w:rFonts w:ascii="Times New Roman"/>
          <w:b w:val="false"/>
          <w:i w:val="false"/>
          <w:color w:val="000000"/>
          <w:sz w:val="28"/>
        </w:rPr>
        <w:t>
      4) размеры и тип соединительной арматуры выкидных рукавов и стволов одинаковые с принятыми на судне для стационарных систем водотушения;</w:t>
      </w:r>
    </w:p>
    <w:bookmarkEnd w:id="7718"/>
    <w:bookmarkStart w:name="z7733" w:id="7719"/>
    <w:p>
      <w:pPr>
        <w:spacing w:after="0"/>
        <w:ind w:left="0"/>
        <w:jc w:val="both"/>
      </w:pPr>
      <w:r>
        <w:rPr>
          <w:rFonts w:ascii="Times New Roman"/>
          <w:b w:val="false"/>
          <w:i w:val="false"/>
          <w:color w:val="000000"/>
          <w:sz w:val="28"/>
        </w:rPr>
        <w:t>
      5) мотопомпы снабжены приспособлениями и инструментом согласно спецификации завода-изготовителя;</w:t>
      </w:r>
    </w:p>
    <w:bookmarkEnd w:id="7719"/>
    <w:bookmarkStart w:name="z7734" w:id="7720"/>
    <w:p>
      <w:pPr>
        <w:spacing w:after="0"/>
        <w:ind w:left="0"/>
        <w:jc w:val="both"/>
      </w:pPr>
      <w:r>
        <w:rPr>
          <w:rFonts w:ascii="Times New Roman"/>
          <w:b w:val="false"/>
          <w:i w:val="false"/>
          <w:color w:val="000000"/>
          <w:sz w:val="28"/>
        </w:rPr>
        <w:t>
      6) мотопомпы, установленные на судах, плавающих в северных широтах, следует располагать в отапливаемых помещениях в комплекте с приемными и выкидными рукавами и стволами.</w:t>
      </w:r>
    </w:p>
    <w:bookmarkEnd w:id="7720"/>
    <w:bookmarkStart w:name="z7735" w:id="7721"/>
    <w:p>
      <w:pPr>
        <w:spacing w:after="0"/>
        <w:ind w:left="0"/>
        <w:jc w:val="both"/>
      </w:pPr>
      <w:r>
        <w:rPr>
          <w:rFonts w:ascii="Times New Roman"/>
          <w:b w:val="false"/>
          <w:i w:val="false"/>
          <w:color w:val="000000"/>
          <w:sz w:val="28"/>
        </w:rPr>
        <w:t>
      2536. Необходимо чтобы международное береговое соединение (приложение 280 настоящих Правил) для приема воды с берега отвечали следующим техническим требованиям:</w:t>
      </w:r>
    </w:p>
    <w:bookmarkEnd w:id="7721"/>
    <w:bookmarkStart w:name="z7736" w:id="7722"/>
    <w:p>
      <w:pPr>
        <w:spacing w:after="0"/>
        <w:ind w:left="0"/>
        <w:jc w:val="both"/>
      </w:pPr>
      <w:r>
        <w:rPr>
          <w:rFonts w:ascii="Times New Roman"/>
          <w:b w:val="false"/>
          <w:i w:val="false"/>
          <w:color w:val="000000"/>
          <w:sz w:val="28"/>
        </w:rPr>
        <w:t>
      Соединение с одной стороны имеет фланец с гладкой поверхностью и размерами, как указано выше, а с другой стороны — присоединительную гайку быстросмыкающегося типа, по размерам и конструкции соответствующую арматуре судовых пожарных кранов и рукавов.</w:t>
      </w:r>
    </w:p>
    <w:bookmarkEnd w:id="7722"/>
    <w:bookmarkStart w:name="z7737" w:id="7723"/>
    <w:p>
      <w:pPr>
        <w:spacing w:after="0"/>
        <w:ind w:left="0"/>
        <w:jc w:val="both"/>
      </w:pPr>
      <w:r>
        <w:rPr>
          <w:rFonts w:ascii="Times New Roman"/>
          <w:b w:val="false"/>
          <w:i w:val="false"/>
          <w:color w:val="000000"/>
          <w:sz w:val="28"/>
        </w:rPr>
        <w:t>
      Соединение, прокладка, болты и гайки изготовлены из материалов, выдерживающих давление 1 МПа.</w:t>
      </w:r>
    </w:p>
    <w:bookmarkEnd w:id="7723"/>
    <w:bookmarkStart w:name="z7738" w:id="7724"/>
    <w:p>
      <w:pPr>
        <w:spacing w:after="0"/>
        <w:ind w:left="0"/>
        <w:jc w:val="both"/>
      </w:pPr>
      <w:r>
        <w:rPr>
          <w:rFonts w:ascii="Times New Roman"/>
          <w:b w:val="false"/>
          <w:i w:val="false"/>
          <w:color w:val="000000"/>
          <w:sz w:val="28"/>
        </w:rPr>
        <w:t>
      Соединение в комплекте с прокладкой, 4 болтами, 4 гайками и 8 шайбами хранятся вместе с другим противопожарным снабжением в легкодоступном месте.</w:t>
      </w:r>
    </w:p>
    <w:bookmarkEnd w:id="7724"/>
    <w:bookmarkStart w:name="z7739" w:id="7725"/>
    <w:p>
      <w:pPr>
        <w:spacing w:after="0"/>
        <w:ind w:left="0"/>
        <w:jc w:val="both"/>
      </w:pPr>
      <w:r>
        <w:rPr>
          <w:rFonts w:ascii="Times New Roman"/>
          <w:b w:val="false"/>
          <w:i w:val="false"/>
          <w:color w:val="000000"/>
          <w:sz w:val="28"/>
        </w:rPr>
        <w:t>
      2537. Переносные генераторы воздушно-механической пены средней кратности и переносные установки комбинированной пены отвечают следующим требованиям:</w:t>
      </w:r>
    </w:p>
    <w:bookmarkEnd w:id="7725"/>
    <w:bookmarkStart w:name="z7740" w:id="7726"/>
    <w:p>
      <w:pPr>
        <w:spacing w:after="0"/>
        <w:ind w:left="0"/>
        <w:jc w:val="both"/>
      </w:pPr>
      <w:r>
        <w:rPr>
          <w:rFonts w:ascii="Times New Roman"/>
          <w:b w:val="false"/>
          <w:i w:val="false"/>
          <w:color w:val="000000"/>
          <w:sz w:val="28"/>
        </w:rPr>
        <w:t>
      1) производительность по раствору пенообразователя при давлении перед пеногенератором или установкой комбинированной пены около 0,6 МПа — не менее 360 л/мин (пункт 2382 настоящих Правил);</w:t>
      </w:r>
    </w:p>
    <w:bookmarkEnd w:id="7726"/>
    <w:bookmarkStart w:name="z7741" w:id="7727"/>
    <w:p>
      <w:pPr>
        <w:spacing w:after="0"/>
        <w:ind w:left="0"/>
        <w:jc w:val="both"/>
      </w:pPr>
      <w:r>
        <w:rPr>
          <w:rFonts w:ascii="Times New Roman"/>
          <w:b w:val="false"/>
          <w:i w:val="false"/>
          <w:color w:val="000000"/>
          <w:sz w:val="28"/>
        </w:rPr>
        <w:t>
      2) дальность полета пенной струи — не менее 8 м;</w:t>
      </w:r>
    </w:p>
    <w:bookmarkEnd w:id="7727"/>
    <w:bookmarkStart w:name="z7742" w:id="7728"/>
    <w:p>
      <w:pPr>
        <w:spacing w:after="0"/>
        <w:ind w:left="0"/>
        <w:jc w:val="both"/>
      </w:pPr>
      <w:r>
        <w:rPr>
          <w:rFonts w:ascii="Times New Roman"/>
          <w:b w:val="false"/>
          <w:i w:val="false"/>
          <w:color w:val="000000"/>
          <w:sz w:val="28"/>
        </w:rPr>
        <w:t>
      3) расчетное число пеногенераторов или установок комбинированной пены определяется по формуле:</w:t>
      </w:r>
    </w:p>
    <w:bookmarkEnd w:id="7728"/>
    <w:bookmarkStart w:name="z7743" w:id="7729"/>
    <w:p>
      <w:pPr>
        <w:spacing w:after="0"/>
        <w:ind w:left="0"/>
        <w:jc w:val="both"/>
      </w:pPr>
      <w:r>
        <w:rPr>
          <w:rFonts w:ascii="Times New Roman"/>
          <w:b w:val="false"/>
          <w:i w:val="false"/>
          <w:color w:val="000000"/>
          <w:sz w:val="28"/>
        </w:rPr>
        <w:t>
                              N=Q/q, (728)</w:t>
      </w:r>
    </w:p>
    <w:bookmarkEnd w:id="7729"/>
    <w:bookmarkStart w:name="z7744" w:id="7730"/>
    <w:p>
      <w:pPr>
        <w:spacing w:after="0"/>
        <w:ind w:left="0"/>
        <w:jc w:val="both"/>
      </w:pPr>
      <w:r>
        <w:rPr>
          <w:rFonts w:ascii="Times New Roman"/>
          <w:b w:val="false"/>
          <w:i w:val="false"/>
          <w:color w:val="000000"/>
          <w:sz w:val="28"/>
        </w:rPr>
        <w:t>
           где Q — производительность системы по раствору, л/мин;</w:t>
      </w:r>
    </w:p>
    <w:bookmarkEnd w:id="7730"/>
    <w:bookmarkStart w:name="z7745" w:id="7731"/>
    <w:p>
      <w:pPr>
        <w:spacing w:after="0"/>
        <w:ind w:left="0"/>
        <w:jc w:val="both"/>
      </w:pPr>
      <w:r>
        <w:rPr>
          <w:rFonts w:ascii="Times New Roman"/>
          <w:b w:val="false"/>
          <w:i w:val="false"/>
          <w:color w:val="000000"/>
          <w:sz w:val="28"/>
        </w:rPr>
        <w:t>
           q — производительность пеногенератора или установки комбинированной пены по раствору, л/мин.</w:t>
      </w:r>
    </w:p>
    <w:bookmarkEnd w:id="7731"/>
    <w:bookmarkStart w:name="z7746" w:id="7732"/>
    <w:p>
      <w:pPr>
        <w:spacing w:after="0"/>
        <w:ind w:left="0"/>
        <w:jc w:val="both"/>
      </w:pPr>
      <w:r>
        <w:rPr>
          <w:rFonts w:ascii="Times New Roman"/>
          <w:b w:val="false"/>
          <w:i w:val="false"/>
          <w:color w:val="000000"/>
          <w:sz w:val="28"/>
        </w:rPr>
        <w:t>
           50 % числа пеногенераторов или установок комбинированной пены и труб-удлинителей, предусмотренных подпунктами 4) и 5) пункта 2 приложения 279 настоящих Правил, размещаются в районе юта, остальные — в районе бака или средней надстройки, если она имеется.</w:t>
      </w:r>
    </w:p>
    <w:bookmarkEnd w:id="7732"/>
    <w:bookmarkStart w:name="z7747" w:id="7733"/>
    <w:p>
      <w:pPr>
        <w:spacing w:after="0"/>
        <w:ind w:left="0"/>
        <w:jc w:val="both"/>
      </w:pPr>
      <w:r>
        <w:rPr>
          <w:rFonts w:ascii="Times New Roman"/>
          <w:b w:val="false"/>
          <w:i w:val="false"/>
          <w:color w:val="000000"/>
          <w:sz w:val="28"/>
        </w:rPr>
        <w:t>
      2538. Водораспыляющая приставка состоит из L-образной трубы с длинной стороной около 2 м, приспособленной для подсоединения к пожарным рукавам, и короткой (около 0,25 м), оборудованной стационарной насадкой для образования водяного тумана или приспособленной для присоединения водораспыляющего ствола (насадки).</w:t>
      </w:r>
    </w:p>
    <w:bookmarkEnd w:id="7733"/>
    <w:bookmarkStart w:name="z7748" w:id="7734"/>
    <w:p>
      <w:pPr>
        <w:spacing w:after="0"/>
        <w:ind w:left="0"/>
        <w:jc w:val="both"/>
      </w:pPr>
      <w:r>
        <w:rPr>
          <w:rFonts w:ascii="Times New Roman"/>
          <w:b w:val="false"/>
          <w:i w:val="false"/>
          <w:color w:val="000000"/>
          <w:sz w:val="28"/>
        </w:rPr>
        <w:t>
      Приставки хранятся рядом с кранами, а требуемые для дыхательных изолирующих аппаратов — рядом с ними.</w:t>
      </w:r>
    </w:p>
    <w:bookmarkEnd w:id="7734"/>
    <w:bookmarkStart w:name="z7749" w:id="7735"/>
    <w:p>
      <w:pPr>
        <w:spacing w:after="0"/>
        <w:ind w:left="0"/>
        <w:jc w:val="both"/>
      </w:pPr>
      <w:r>
        <w:rPr>
          <w:rFonts w:ascii="Times New Roman"/>
          <w:b w:val="false"/>
          <w:i w:val="false"/>
          <w:color w:val="000000"/>
          <w:sz w:val="28"/>
        </w:rPr>
        <w:t>
      2539. Пожарные ведра снабжены пеньковым концом достаточной длины и хранятся на открытых палубах в легкодоступных местах. Ведра окрашены в красный цвет и имеют надпись "пожарное".</w:t>
      </w:r>
    </w:p>
    <w:bookmarkEnd w:id="7735"/>
    <w:bookmarkStart w:name="z7750" w:id="7736"/>
    <w:p>
      <w:pPr>
        <w:spacing w:after="0"/>
        <w:ind w:left="0"/>
        <w:jc w:val="both"/>
      </w:pPr>
      <w:r>
        <w:rPr>
          <w:rFonts w:ascii="Times New Roman"/>
          <w:b w:val="false"/>
          <w:i w:val="false"/>
          <w:color w:val="000000"/>
          <w:sz w:val="28"/>
        </w:rPr>
        <w:t>
      2540. На танкерах и комбинированных судах предусматривается возможность использования газоанализаторов с трубопроводами для забора проб газа, предусмотренными согласно пункту 3431 настоящих Правил.</w:t>
      </w:r>
    </w:p>
    <w:bookmarkEnd w:id="7736"/>
    <w:bookmarkStart w:name="z7751" w:id="7737"/>
    <w:p>
      <w:pPr>
        <w:spacing w:after="0"/>
        <w:ind w:left="0"/>
        <w:jc w:val="both"/>
      </w:pPr>
      <w:r>
        <w:rPr>
          <w:rFonts w:ascii="Times New Roman"/>
          <w:b w:val="false"/>
          <w:i w:val="false"/>
          <w:color w:val="000000"/>
          <w:sz w:val="28"/>
        </w:rPr>
        <w:t>
      2541. На всех пассажирских судах и грузовых судах валовой вместимостью 500 и более предусматривают аварийные дыхательные устройства (далее - АДУ) одобренного Регистром судоходства типа, которые используются только для аварийной эвакуации из отсека с опасной атмосферой. АДУ не используются членами экипажа при борьбе с пожаром и для входа в пустые помещения или танки с недостаточным содержанием кислорода, в таких случаях используются автономные дыхательные аппараты, указанные в подпункте 2) пункта 2533 настоящих Правил.</w:t>
      </w:r>
    </w:p>
    <w:bookmarkEnd w:id="7737"/>
    <w:bookmarkStart w:name="z7752" w:id="7738"/>
    <w:p>
      <w:pPr>
        <w:spacing w:after="0"/>
        <w:ind w:left="0"/>
        <w:jc w:val="both"/>
      </w:pPr>
      <w:r>
        <w:rPr>
          <w:rFonts w:ascii="Times New Roman"/>
          <w:b w:val="false"/>
          <w:i w:val="false"/>
          <w:color w:val="000000"/>
          <w:sz w:val="28"/>
        </w:rPr>
        <w:t>
      Необходимо чтобы АДУ отвечали следующим требованиям:</w:t>
      </w:r>
    </w:p>
    <w:bookmarkEnd w:id="7738"/>
    <w:bookmarkStart w:name="z7753" w:id="7739"/>
    <w:p>
      <w:pPr>
        <w:spacing w:after="0"/>
        <w:ind w:left="0"/>
        <w:jc w:val="both"/>
      </w:pPr>
      <w:r>
        <w:rPr>
          <w:rFonts w:ascii="Times New Roman"/>
          <w:b w:val="false"/>
          <w:i w:val="false"/>
          <w:color w:val="000000"/>
          <w:sz w:val="28"/>
        </w:rPr>
        <w:t>
      1) обеспечивает продолжительность работы не менее 10 мин;</w:t>
      </w:r>
    </w:p>
    <w:bookmarkEnd w:id="7739"/>
    <w:bookmarkStart w:name="z7754" w:id="7740"/>
    <w:p>
      <w:pPr>
        <w:spacing w:after="0"/>
        <w:ind w:left="0"/>
        <w:jc w:val="both"/>
      </w:pPr>
      <w:r>
        <w:rPr>
          <w:rFonts w:ascii="Times New Roman"/>
          <w:b w:val="false"/>
          <w:i w:val="false"/>
          <w:color w:val="000000"/>
          <w:sz w:val="28"/>
        </w:rPr>
        <w:t>
      2) защищает глаза, нос и рот во время эвакуации и состоит из капюшона, который полностью закрывает голову, шею и может закрывать часть плеч, или маски, полностью закрывающей лицо так, чтобы охватывать области вокруг глаз, носа и рта и удерживается на месте с помощью соответствующих приспособлений. Капюшоны и маски изготовлены из огнестойких материалов и включать прозрачное окно для обзора;</w:t>
      </w:r>
    </w:p>
    <w:bookmarkEnd w:id="7740"/>
    <w:bookmarkStart w:name="z7755" w:id="7741"/>
    <w:p>
      <w:pPr>
        <w:spacing w:after="0"/>
        <w:ind w:left="0"/>
        <w:jc w:val="both"/>
      </w:pPr>
      <w:r>
        <w:rPr>
          <w:rFonts w:ascii="Times New Roman"/>
          <w:b w:val="false"/>
          <w:i w:val="false"/>
          <w:color w:val="000000"/>
          <w:sz w:val="28"/>
        </w:rPr>
        <w:t>
      3) исключает применение рук при переносе не включенного АДУ;</w:t>
      </w:r>
    </w:p>
    <w:bookmarkEnd w:id="7741"/>
    <w:bookmarkStart w:name="z7756" w:id="7742"/>
    <w:p>
      <w:pPr>
        <w:spacing w:after="0"/>
        <w:ind w:left="0"/>
        <w:jc w:val="both"/>
      </w:pPr>
      <w:r>
        <w:rPr>
          <w:rFonts w:ascii="Times New Roman"/>
          <w:b w:val="false"/>
          <w:i w:val="false"/>
          <w:color w:val="000000"/>
          <w:sz w:val="28"/>
        </w:rPr>
        <w:t>
      4) обеспечивает простое и быстрое надевание. На каждом АДУ отпечатаны краткие инструкции или схемы, четко поясняющие его использование.</w:t>
      </w:r>
    </w:p>
    <w:bookmarkEnd w:id="7742"/>
    <w:bookmarkStart w:name="z7757" w:id="7743"/>
    <w:p>
      <w:pPr>
        <w:spacing w:after="0"/>
        <w:ind w:left="0"/>
        <w:jc w:val="both"/>
      </w:pPr>
      <w:r>
        <w:rPr>
          <w:rFonts w:ascii="Times New Roman"/>
          <w:b w:val="false"/>
          <w:i w:val="false"/>
          <w:color w:val="000000"/>
          <w:sz w:val="28"/>
        </w:rPr>
        <w:t>
      Во время хранения АДУ надлежащим образом защищены от воздействия окружающей среды.</w:t>
      </w:r>
    </w:p>
    <w:bookmarkEnd w:id="7743"/>
    <w:bookmarkStart w:name="z7758" w:id="7744"/>
    <w:p>
      <w:pPr>
        <w:spacing w:after="0"/>
        <w:ind w:left="0"/>
        <w:jc w:val="both"/>
      </w:pPr>
      <w:r>
        <w:rPr>
          <w:rFonts w:ascii="Times New Roman"/>
          <w:b w:val="false"/>
          <w:i w:val="false"/>
          <w:color w:val="000000"/>
          <w:sz w:val="28"/>
        </w:rPr>
        <w:t>
      На каждом АДУ отпечатаны требования по техническому обслуживанию, торговая марка изготовителя и серийный номер, срок хранения и дата изготовления. АДУ, предназначенные для учебных целей, имеют четкую соответствующую маркировку.</w:t>
      </w:r>
    </w:p>
    <w:bookmarkEnd w:id="7744"/>
    <w:bookmarkStart w:name="z7759" w:id="7745"/>
    <w:p>
      <w:pPr>
        <w:spacing w:after="0"/>
        <w:ind w:left="0"/>
        <w:jc w:val="both"/>
      </w:pPr>
      <w:r>
        <w:rPr>
          <w:rFonts w:ascii="Times New Roman"/>
          <w:b w:val="false"/>
          <w:i w:val="false"/>
          <w:color w:val="000000"/>
          <w:sz w:val="28"/>
        </w:rPr>
        <w:t>
      Количество АДУ и места их размещения указываются на планах пожарных (глава 140 настоящих Правил).</w:t>
      </w:r>
    </w:p>
    <w:bookmarkEnd w:id="7745"/>
    <w:bookmarkStart w:name="z7760" w:id="7746"/>
    <w:p>
      <w:pPr>
        <w:spacing w:after="0"/>
        <w:ind w:left="0"/>
        <w:jc w:val="left"/>
      </w:pPr>
      <w:r>
        <w:rPr>
          <w:rFonts w:ascii="Times New Roman"/>
          <w:b/>
          <w:i w:val="false"/>
          <w:color w:val="000000"/>
        </w:rPr>
        <w:t xml:space="preserve"> Глава 164. Запасные части и инструмент</w:t>
      </w:r>
    </w:p>
    <w:bookmarkEnd w:id="7746"/>
    <w:p>
      <w:pPr>
        <w:spacing w:after="0"/>
        <w:ind w:left="0"/>
        <w:jc w:val="both"/>
      </w:pPr>
      <w:r>
        <w:rPr>
          <w:rFonts w:ascii="Times New Roman"/>
          <w:b w:val="false"/>
          <w:i w:val="false"/>
          <w:color w:val="ff0000"/>
          <w:sz w:val="28"/>
        </w:rPr>
        <w:t xml:space="preserve">
      Сноска. Заголовок главы 164 -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61" w:id="7747"/>
    <w:p>
      <w:pPr>
        <w:spacing w:after="0"/>
        <w:ind w:left="0"/>
        <w:jc w:val="both"/>
      </w:pPr>
      <w:r>
        <w:rPr>
          <w:rFonts w:ascii="Times New Roman"/>
          <w:b w:val="false"/>
          <w:i w:val="false"/>
          <w:color w:val="000000"/>
          <w:sz w:val="28"/>
        </w:rPr>
        <w:t>
      2542. На судне имеются запасные части и инструмент, не менее указанных в приложении 279 настоящих Правил.</w:t>
      </w:r>
    </w:p>
    <w:bookmarkEnd w:id="7747"/>
    <w:bookmarkStart w:name="z7762" w:id="7748"/>
    <w:p>
      <w:pPr>
        <w:spacing w:after="0"/>
        <w:ind w:left="0"/>
        <w:jc w:val="both"/>
      </w:pPr>
      <w:r>
        <w:rPr>
          <w:rFonts w:ascii="Times New Roman"/>
          <w:b w:val="false"/>
          <w:i w:val="false"/>
          <w:color w:val="000000"/>
          <w:sz w:val="28"/>
        </w:rPr>
        <w:t>
      Предусмотренные нормы распространяются только на стационарные противопожарные системы.</w:t>
      </w:r>
    </w:p>
    <w:bookmarkEnd w:id="7748"/>
    <w:bookmarkStart w:name="z7763" w:id="7749"/>
    <w:p>
      <w:pPr>
        <w:spacing w:after="0"/>
        <w:ind w:left="0"/>
        <w:jc w:val="both"/>
      </w:pPr>
      <w:r>
        <w:rPr>
          <w:rFonts w:ascii="Times New Roman"/>
          <w:b w:val="false"/>
          <w:i w:val="false"/>
          <w:color w:val="000000"/>
          <w:sz w:val="28"/>
        </w:rPr>
        <w:t>
      2543. Запасные части и инструмент для систем хранятся на станциях пожаротушения.</w:t>
      </w:r>
    </w:p>
    <w:bookmarkEnd w:id="7749"/>
    <w:bookmarkStart w:name="z7764" w:id="7750"/>
    <w:p>
      <w:pPr>
        <w:spacing w:after="0"/>
        <w:ind w:left="0"/>
        <w:jc w:val="both"/>
      </w:pPr>
      <w:r>
        <w:rPr>
          <w:rFonts w:ascii="Times New Roman"/>
          <w:b w:val="false"/>
          <w:i w:val="false"/>
          <w:color w:val="000000"/>
          <w:sz w:val="28"/>
        </w:rPr>
        <w:t>
      Запасные части маркируются.</w:t>
      </w:r>
    </w:p>
    <w:bookmarkEnd w:id="7750"/>
    <w:bookmarkStart w:name="z7765" w:id="7751"/>
    <w:p>
      <w:pPr>
        <w:spacing w:after="0"/>
        <w:ind w:left="0"/>
        <w:jc w:val="left"/>
      </w:pPr>
      <w:r>
        <w:rPr>
          <w:rFonts w:ascii="Times New Roman"/>
          <w:b/>
          <w:i w:val="false"/>
          <w:color w:val="000000"/>
        </w:rPr>
        <w:t xml:space="preserve"> Подраздел 6. Требования к противопожарной защите</w:t>
      </w:r>
      <w:r>
        <w:br/>
      </w:r>
      <w:r>
        <w:rPr>
          <w:rFonts w:ascii="Times New Roman"/>
          <w:b/>
          <w:i w:val="false"/>
          <w:color w:val="000000"/>
        </w:rPr>
        <w:t>специализированных судов и специальным устройствам на судах</w:t>
      </w:r>
      <w:r>
        <w:br/>
      </w:r>
      <w:r>
        <w:rPr>
          <w:rFonts w:ascii="Times New Roman"/>
          <w:b/>
          <w:i w:val="false"/>
          <w:color w:val="000000"/>
        </w:rPr>
        <w:t>Глава 165. Суда специального назначения</w:t>
      </w:r>
    </w:p>
    <w:bookmarkEnd w:id="7751"/>
    <w:p>
      <w:pPr>
        <w:spacing w:after="0"/>
        <w:ind w:left="0"/>
        <w:jc w:val="both"/>
      </w:pPr>
      <w:r>
        <w:rPr>
          <w:rFonts w:ascii="Times New Roman"/>
          <w:b w:val="false"/>
          <w:i w:val="false"/>
          <w:color w:val="ff0000"/>
          <w:sz w:val="28"/>
        </w:rPr>
        <w:t xml:space="preserve">
      Сноска. Заголовок главы 165 -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67" w:id="7752"/>
    <w:p>
      <w:pPr>
        <w:spacing w:after="0"/>
        <w:ind w:left="0"/>
        <w:jc w:val="left"/>
      </w:pPr>
      <w:r>
        <w:rPr>
          <w:rFonts w:ascii="Times New Roman"/>
          <w:b/>
          <w:i w:val="false"/>
          <w:color w:val="000000"/>
        </w:rPr>
        <w:t xml:space="preserve"> Параграф 1. Общие требования</w:t>
      </w:r>
    </w:p>
    <w:bookmarkEnd w:id="7752"/>
    <w:bookmarkStart w:name="z7768" w:id="7753"/>
    <w:p>
      <w:pPr>
        <w:spacing w:after="0"/>
        <w:ind w:left="0"/>
        <w:jc w:val="both"/>
      </w:pPr>
      <w:r>
        <w:rPr>
          <w:rFonts w:ascii="Times New Roman"/>
          <w:b w:val="false"/>
          <w:i w:val="false"/>
          <w:color w:val="000000"/>
          <w:sz w:val="28"/>
        </w:rPr>
        <w:t>
      2544. Противопожарная защита судов специального назначения выполняется в зависимости от имеющегося на борту специального персонала:</w:t>
      </w:r>
    </w:p>
    <w:bookmarkEnd w:id="7753"/>
    <w:bookmarkStart w:name="z7769" w:id="7754"/>
    <w:p>
      <w:pPr>
        <w:spacing w:after="0"/>
        <w:ind w:left="0"/>
        <w:jc w:val="both"/>
      </w:pPr>
      <w:r>
        <w:rPr>
          <w:rFonts w:ascii="Times New Roman"/>
          <w:b w:val="false"/>
          <w:i w:val="false"/>
          <w:color w:val="000000"/>
          <w:sz w:val="28"/>
        </w:rPr>
        <w:t>
      1) до 50 человек - как для грузовых судов валовой вместимостью более 500;</w:t>
      </w:r>
    </w:p>
    <w:bookmarkEnd w:id="7754"/>
    <w:bookmarkStart w:name="z7770" w:id="7755"/>
    <w:p>
      <w:pPr>
        <w:spacing w:after="0"/>
        <w:ind w:left="0"/>
        <w:jc w:val="both"/>
      </w:pPr>
      <w:r>
        <w:rPr>
          <w:rFonts w:ascii="Times New Roman"/>
          <w:b w:val="false"/>
          <w:i w:val="false"/>
          <w:color w:val="000000"/>
          <w:sz w:val="28"/>
        </w:rPr>
        <w:t>
      2) от 50 до 200 человек - как для пассажирских судов, перевозящих не более 36 пассажиров;</w:t>
      </w:r>
    </w:p>
    <w:bookmarkEnd w:id="7755"/>
    <w:bookmarkStart w:name="z7771" w:id="7756"/>
    <w:p>
      <w:pPr>
        <w:spacing w:after="0"/>
        <w:ind w:left="0"/>
        <w:jc w:val="both"/>
      </w:pPr>
      <w:r>
        <w:rPr>
          <w:rFonts w:ascii="Times New Roman"/>
          <w:b w:val="false"/>
          <w:i w:val="false"/>
          <w:color w:val="000000"/>
          <w:sz w:val="28"/>
        </w:rPr>
        <w:t>
      3) более 200 человек - как для пассажирских судов, перевозящих более 36 пассажиров.</w:t>
      </w:r>
    </w:p>
    <w:bookmarkEnd w:id="7756"/>
    <w:bookmarkStart w:name="z7772" w:id="7757"/>
    <w:p>
      <w:pPr>
        <w:spacing w:after="0"/>
        <w:ind w:left="0"/>
        <w:jc w:val="both"/>
      </w:pPr>
      <w:r>
        <w:rPr>
          <w:rFonts w:ascii="Times New Roman"/>
          <w:b w:val="false"/>
          <w:i w:val="false"/>
          <w:color w:val="000000"/>
          <w:sz w:val="28"/>
        </w:rPr>
        <w:t>
      2545. Противопожарная защита производственных помещений, указанных в пункте 2142 настоящих Правил, выполняется с учетом назначения производственного помещения и расположенного в нем оборудования. В общем случае противопожарная защита производственных помещений выполняются как для служебных помещений, указанных в пункте 2136 настоящих Правил.</w:t>
      </w:r>
    </w:p>
    <w:bookmarkEnd w:id="7757"/>
    <w:bookmarkStart w:name="z7773" w:id="7758"/>
    <w:p>
      <w:pPr>
        <w:spacing w:after="0"/>
        <w:ind w:left="0"/>
        <w:jc w:val="left"/>
      </w:pPr>
      <w:r>
        <w:rPr>
          <w:rFonts w:ascii="Times New Roman"/>
          <w:b/>
          <w:i w:val="false"/>
          <w:color w:val="000000"/>
        </w:rPr>
        <w:t xml:space="preserve"> Параграф 2. Кладовые взрывчатых веществ</w:t>
      </w:r>
    </w:p>
    <w:bookmarkEnd w:id="7758"/>
    <w:bookmarkStart w:name="z7774" w:id="7759"/>
    <w:p>
      <w:pPr>
        <w:spacing w:after="0"/>
        <w:ind w:left="0"/>
        <w:jc w:val="both"/>
      </w:pPr>
      <w:r>
        <w:rPr>
          <w:rFonts w:ascii="Times New Roman"/>
          <w:b w:val="false"/>
          <w:i w:val="false"/>
          <w:color w:val="000000"/>
          <w:sz w:val="28"/>
        </w:rPr>
        <w:t>
      2546. На судах специального назначения допускается устройство кладовых взрывчатых веществ (далее - крюйт-камера), которые применяют одного из следующих типов:</w:t>
      </w:r>
    </w:p>
    <w:bookmarkEnd w:id="7759"/>
    <w:bookmarkStart w:name="z7775" w:id="7760"/>
    <w:p>
      <w:pPr>
        <w:spacing w:after="0"/>
        <w:ind w:left="0"/>
        <w:jc w:val="both"/>
      </w:pPr>
      <w:r>
        <w:rPr>
          <w:rFonts w:ascii="Times New Roman"/>
          <w:b w:val="false"/>
          <w:i w:val="false"/>
          <w:color w:val="000000"/>
          <w:sz w:val="28"/>
        </w:rPr>
        <w:t>
      1) встроенные крюйт-камеры — помещения, являющиеся неотъемлемой частью судна;</w:t>
      </w:r>
    </w:p>
    <w:bookmarkEnd w:id="7760"/>
    <w:bookmarkStart w:name="z7776" w:id="7761"/>
    <w:p>
      <w:pPr>
        <w:spacing w:after="0"/>
        <w:ind w:left="0"/>
        <w:jc w:val="both"/>
      </w:pPr>
      <w:r>
        <w:rPr>
          <w:rFonts w:ascii="Times New Roman"/>
          <w:b w:val="false"/>
          <w:i w:val="false"/>
          <w:color w:val="000000"/>
          <w:sz w:val="28"/>
        </w:rPr>
        <w:t>
      2) независимые крюйт-камеры — переносные крюйт-камеры вместимостью 3 м</w:t>
      </w:r>
      <w:r>
        <w:rPr>
          <w:rFonts w:ascii="Times New Roman"/>
          <w:b w:val="false"/>
          <w:i w:val="false"/>
          <w:color w:val="000000"/>
          <w:vertAlign w:val="superscript"/>
        </w:rPr>
        <w:t>3</w:t>
      </w:r>
      <w:r>
        <w:rPr>
          <w:rFonts w:ascii="Times New Roman"/>
          <w:b w:val="false"/>
          <w:i w:val="false"/>
          <w:color w:val="000000"/>
          <w:sz w:val="28"/>
        </w:rPr>
        <w:t xml:space="preserve"> и более, не являющиеся неотъемлемой частью судна;</w:t>
      </w:r>
    </w:p>
    <w:bookmarkEnd w:id="7761"/>
    <w:bookmarkStart w:name="z7777" w:id="7762"/>
    <w:p>
      <w:pPr>
        <w:spacing w:after="0"/>
        <w:ind w:left="0"/>
        <w:jc w:val="both"/>
      </w:pPr>
      <w:r>
        <w:rPr>
          <w:rFonts w:ascii="Times New Roman"/>
          <w:b w:val="false"/>
          <w:i w:val="false"/>
          <w:color w:val="000000"/>
          <w:sz w:val="28"/>
        </w:rPr>
        <w:t>
      3) ящики для взрывчатых веществ - переносные крюйт-камеры вместимостью менее 3 м</w:t>
      </w:r>
      <w:r>
        <w:rPr>
          <w:rFonts w:ascii="Times New Roman"/>
          <w:b w:val="false"/>
          <w:i w:val="false"/>
          <w:color w:val="000000"/>
          <w:vertAlign w:val="superscript"/>
        </w:rPr>
        <w:t>3</w:t>
      </w:r>
      <w:r>
        <w:rPr>
          <w:rFonts w:ascii="Times New Roman"/>
          <w:b w:val="false"/>
          <w:i w:val="false"/>
          <w:color w:val="000000"/>
          <w:sz w:val="28"/>
        </w:rPr>
        <w:t>, не являющиеся неотъемлемой частью судна.</w:t>
      </w:r>
    </w:p>
    <w:bookmarkEnd w:id="7762"/>
    <w:bookmarkStart w:name="z7778" w:id="7763"/>
    <w:p>
      <w:pPr>
        <w:spacing w:after="0"/>
        <w:ind w:left="0"/>
        <w:jc w:val="both"/>
      </w:pPr>
      <w:r>
        <w:rPr>
          <w:rFonts w:ascii="Times New Roman"/>
          <w:b w:val="false"/>
          <w:i w:val="false"/>
          <w:color w:val="000000"/>
          <w:sz w:val="28"/>
        </w:rPr>
        <w:t>
      2547. Встроенные крюйт-камеры располагаются в носовой или кормовой части судна с удалением от гребного вала, винта и руля не менее чем на одно водонепроницаемое помещение. Они не располагаются под жилыми помещениями, постами управления и быть смежными с ними.</w:t>
      </w:r>
    </w:p>
    <w:bookmarkEnd w:id="7763"/>
    <w:bookmarkStart w:name="z7779" w:id="7764"/>
    <w:p>
      <w:pPr>
        <w:spacing w:after="0"/>
        <w:ind w:left="0"/>
        <w:jc w:val="both"/>
      </w:pPr>
      <w:r>
        <w:rPr>
          <w:rFonts w:ascii="Times New Roman"/>
          <w:b w:val="false"/>
          <w:i w:val="false"/>
          <w:color w:val="000000"/>
          <w:sz w:val="28"/>
        </w:rPr>
        <w:t>
      2548. Встроенные крюйт-камеры не примыкают к машинным помещениям категории А, камбузам и другим пожароопасным помещениям. В случае необходимости расположения крюйт-камеры вблизи от указанных помещений, предусматривают коффердам, отделяющий два помещения на расстояние не менее 0,6 м. Такой коффердам оборудуют вентиляцией и не допускается использовать для хранения чего-либо. Одна из переборок, образующих такой коффердам, должна быть типа А-15, однако в случае, если эта переборка с машинным помещением категории А, то она должна быть типа А-30.</w:t>
      </w:r>
    </w:p>
    <w:bookmarkEnd w:id="7764"/>
    <w:bookmarkStart w:name="z7780" w:id="7765"/>
    <w:p>
      <w:pPr>
        <w:spacing w:after="0"/>
        <w:ind w:left="0"/>
        <w:jc w:val="both"/>
      </w:pPr>
      <w:r>
        <w:rPr>
          <w:rFonts w:ascii="Times New Roman"/>
          <w:b w:val="false"/>
          <w:i w:val="false"/>
          <w:color w:val="000000"/>
          <w:sz w:val="28"/>
        </w:rPr>
        <w:t>
      2549. Доступ во встроенные крюйт-камеры осуществляется, как правило, с открытой палубы, но ни в коем случае не через помещения, упомянутые в пунктах 2547 и 2548 настоящих Правил.</w:t>
      </w:r>
    </w:p>
    <w:bookmarkEnd w:id="7765"/>
    <w:bookmarkStart w:name="z7781" w:id="7766"/>
    <w:p>
      <w:pPr>
        <w:spacing w:after="0"/>
        <w:ind w:left="0"/>
        <w:jc w:val="both"/>
      </w:pPr>
      <w:r>
        <w:rPr>
          <w:rFonts w:ascii="Times New Roman"/>
          <w:b w:val="false"/>
          <w:i w:val="false"/>
          <w:color w:val="000000"/>
          <w:sz w:val="28"/>
        </w:rPr>
        <w:t>
      2550. Независимые крюйт-камеры и ящики для взрывчатых веществ располагаются на открытой палубе в местах, защищенных от воздействия моря. Такие места защищают от теплого воздуха и опасных паров, которые исходят из камбузов, помещений насосов. Также рассматриваются возможные опасности, связанные с воздействием радиоизлучения на некоторые взрывчатые вещества.</w:t>
      </w:r>
    </w:p>
    <w:bookmarkEnd w:id="7766"/>
    <w:bookmarkStart w:name="z7782" w:id="7767"/>
    <w:p>
      <w:pPr>
        <w:spacing w:after="0"/>
        <w:ind w:left="0"/>
        <w:jc w:val="both"/>
      </w:pPr>
      <w:r>
        <w:rPr>
          <w:rFonts w:ascii="Times New Roman"/>
          <w:b w:val="false"/>
          <w:i w:val="false"/>
          <w:color w:val="000000"/>
          <w:sz w:val="28"/>
        </w:rPr>
        <w:t>
      2551. Ящики для взрывчатых веществ располагаются на открытой палубе на высоте не менее 0,1 м от палубы или от любой рубки в местах, откуда удобно выбрасывать их содержимое за борт.</w:t>
      </w:r>
    </w:p>
    <w:bookmarkEnd w:id="7767"/>
    <w:bookmarkStart w:name="z7783" w:id="7768"/>
    <w:p>
      <w:pPr>
        <w:spacing w:after="0"/>
        <w:ind w:left="0"/>
        <w:jc w:val="both"/>
      </w:pPr>
      <w:r>
        <w:rPr>
          <w:rFonts w:ascii="Times New Roman"/>
          <w:b w:val="false"/>
          <w:i w:val="false"/>
          <w:color w:val="000000"/>
          <w:sz w:val="28"/>
        </w:rPr>
        <w:t>
      2552. Встроенные крюйт-камеры выгораживают водонепроницаемыми конструкциями типа А-15. Если помещения, смежные с крюйт- камерой, не содержат горючих материалов, конструкции могут быть типа А-0. Крюйт-камеры изолируют негорючими материалами, предотвращающими конденсацию влаги.</w:t>
      </w:r>
    </w:p>
    <w:bookmarkEnd w:id="7768"/>
    <w:bookmarkStart w:name="z7784" w:id="7769"/>
    <w:p>
      <w:pPr>
        <w:spacing w:after="0"/>
        <w:ind w:left="0"/>
        <w:jc w:val="both"/>
      </w:pPr>
      <w:r>
        <w:rPr>
          <w:rFonts w:ascii="Times New Roman"/>
          <w:b w:val="false"/>
          <w:i w:val="false"/>
          <w:color w:val="000000"/>
          <w:sz w:val="28"/>
        </w:rPr>
        <w:t>
      2553. Через крюйт-камеры допускается чтобы проходили трубопроводы пресной или морской воды, осушительных систем, а также трубопроводы систем, установленных непосредственно в крюйт- камерах. Допускается чтобы трубопроводы других систем проходили через крюйт-камеру, если они заключены в водонепроницаемый канал (шахту).</w:t>
      </w:r>
    </w:p>
    <w:bookmarkEnd w:id="7769"/>
    <w:bookmarkStart w:name="z7785" w:id="7770"/>
    <w:p>
      <w:pPr>
        <w:spacing w:after="0"/>
        <w:ind w:left="0"/>
        <w:jc w:val="both"/>
      </w:pPr>
      <w:r>
        <w:rPr>
          <w:rFonts w:ascii="Times New Roman"/>
          <w:b w:val="false"/>
          <w:i w:val="false"/>
          <w:color w:val="000000"/>
          <w:sz w:val="28"/>
        </w:rPr>
        <w:t>
      2554. Крюйт-камеры снабжают средствами, обеспечивающими их надежное закрытие для предотвращения несанкционированного доступа.</w:t>
      </w:r>
    </w:p>
    <w:bookmarkEnd w:id="7770"/>
    <w:bookmarkStart w:name="z7786" w:id="7771"/>
    <w:p>
      <w:pPr>
        <w:spacing w:after="0"/>
        <w:ind w:left="0"/>
        <w:jc w:val="both"/>
      </w:pPr>
      <w:r>
        <w:rPr>
          <w:rFonts w:ascii="Times New Roman"/>
          <w:b w:val="false"/>
          <w:i w:val="false"/>
          <w:color w:val="000000"/>
          <w:sz w:val="28"/>
        </w:rPr>
        <w:t>
      2555. Устанавливают стеллажи, опоры и другие приспособления для безопасного размещения взрывчатых веществ в одобренных контейнерах с минимальным количеством прокладочных материалов. Такие приспособления исключают смещение или падение контейнеров со взрывчатыми веществами при качке.</w:t>
      </w:r>
    </w:p>
    <w:bookmarkEnd w:id="7771"/>
    <w:bookmarkStart w:name="z7787" w:id="7772"/>
    <w:p>
      <w:pPr>
        <w:spacing w:after="0"/>
        <w:ind w:left="0"/>
        <w:jc w:val="both"/>
      </w:pPr>
      <w:r>
        <w:rPr>
          <w:rFonts w:ascii="Times New Roman"/>
          <w:b w:val="false"/>
          <w:i w:val="false"/>
          <w:color w:val="000000"/>
          <w:sz w:val="28"/>
        </w:rPr>
        <w:t>
      Высота верхней полки стеллажей от пола не превышает 1,8 м. Полки стеллажей имеют отверстия для стока воды с верхних на нижние полки при работе систем орошения.</w:t>
      </w:r>
    </w:p>
    <w:bookmarkEnd w:id="7772"/>
    <w:bookmarkStart w:name="z7788" w:id="7773"/>
    <w:p>
      <w:pPr>
        <w:spacing w:after="0"/>
        <w:ind w:left="0"/>
        <w:jc w:val="both"/>
      </w:pPr>
      <w:r>
        <w:rPr>
          <w:rFonts w:ascii="Times New Roman"/>
          <w:b w:val="false"/>
          <w:i w:val="false"/>
          <w:color w:val="000000"/>
          <w:sz w:val="28"/>
        </w:rPr>
        <w:t>
      2556. Настилы крюйт-камер имеют постоянное нескользящее и исключающее искрообразование покрытие.</w:t>
      </w:r>
    </w:p>
    <w:bookmarkEnd w:id="7773"/>
    <w:bookmarkStart w:name="z7789" w:id="7774"/>
    <w:p>
      <w:pPr>
        <w:spacing w:after="0"/>
        <w:ind w:left="0"/>
        <w:jc w:val="both"/>
      </w:pPr>
      <w:r>
        <w:rPr>
          <w:rFonts w:ascii="Times New Roman"/>
          <w:b w:val="false"/>
          <w:i w:val="false"/>
          <w:color w:val="000000"/>
          <w:sz w:val="28"/>
        </w:rPr>
        <w:t>
      2557. Свободный объем крюйт-камер в загруженном состоянии составляет не менее 70 % полного объема крюйт-камеры. При этом на 1 м приходится не более 100 кг взрывчатых веществ или 1000 детонаторов.</w:t>
      </w:r>
    </w:p>
    <w:bookmarkEnd w:id="7774"/>
    <w:bookmarkStart w:name="z7790" w:id="7775"/>
    <w:p>
      <w:pPr>
        <w:spacing w:after="0"/>
        <w:ind w:left="0"/>
        <w:jc w:val="both"/>
      </w:pPr>
      <w:r>
        <w:rPr>
          <w:rFonts w:ascii="Times New Roman"/>
          <w:b w:val="false"/>
          <w:i w:val="false"/>
          <w:color w:val="000000"/>
          <w:sz w:val="28"/>
        </w:rPr>
        <w:t xml:space="preserve">
      2558. Встроенные крюйт-камеры оборудуют естественной или искусственной вентиляцией с пламяпрерывающей арматурой, обеспечивающей поддержание температуры в ней не выше 38 </w:t>
      </w:r>
      <w:r>
        <w:rPr>
          <w:rFonts w:ascii="Times New Roman"/>
          <w:b w:val="false"/>
          <w:i w:val="false"/>
          <w:color w:val="000000"/>
          <w:vertAlign w:val="superscript"/>
        </w:rPr>
        <w:t>o</w:t>
      </w:r>
      <w:r>
        <w:rPr>
          <w:rFonts w:ascii="Times New Roman"/>
          <w:b w:val="false"/>
          <w:i w:val="false"/>
          <w:color w:val="000000"/>
          <w:sz w:val="28"/>
        </w:rPr>
        <w:t>С.</w:t>
      </w:r>
    </w:p>
    <w:bookmarkEnd w:id="7775"/>
    <w:bookmarkStart w:name="z7791" w:id="7776"/>
    <w:p>
      <w:pPr>
        <w:spacing w:after="0"/>
        <w:ind w:left="0"/>
        <w:jc w:val="both"/>
      </w:pPr>
      <w:r>
        <w:rPr>
          <w:rFonts w:ascii="Times New Roman"/>
          <w:b w:val="false"/>
          <w:i w:val="false"/>
          <w:color w:val="000000"/>
          <w:sz w:val="28"/>
        </w:rPr>
        <w:t>
      2559. Независимые крюйт-камеры имеют водонепроницаемую металлическую конструкцию, изолированную изнутри негорючими материалами как конструкция А-15.</w:t>
      </w:r>
    </w:p>
    <w:bookmarkEnd w:id="7776"/>
    <w:bookmarkStart w:name="z7792" w:id="7777"/>
    <w:p>
      <w:pPr>
        <w:spacing w:after="0"/>
        <w:ind w:left="0"/>
        <w:jc w:val="both"/>
      </w:pPr>
      <w:r>
        <w:rPr>
          <w:rFonts w:ascii="Times New Roman"/>
          <w:b w:val="false"/>
          <w:i w:val="false"/>
          <w:color w:val="000000"/>
          <w:sz w:val="28"/>
        </w:rPr>
        <w:t>
      2560. На независимой крюйт-камере имеется табличка с указанием ее массы порожнем имаксимально допустимой массы взрывчатых веществ.</w:t>
      </w:r>
    </w:p>
    <w:bookmarkEnd w:id="7777"/>
    <w:bookmarkStart w:name="z7793" w:id="7778"/>
    <w:p>
      <w:pPr>
        <w:spacing w:after="0"/>
        <w:ind w:left="0"/>
        <w:jc w:val="both"/>
      </w:pPr>
      <w:r>
        <w:rPr>
          <w:rFonts w:ascii="Times New Roman"/>
          <w:b w:val="false"/>
          <w:i w:val="false"/>
          <w:color w:val="000000"/>
          <w:sz w:val="28"/>
        </w:rPr>
        <w:t>
      2561. Независимые крюйт-камеры оборудуют эффективной естественной вентиляцией, снабженной пламяпрерывающей арматурой.</w:t>
      </w:r>
    </w:p>
    <w:bookmarkEnd w:id="7778"/>
    <w:bookmarkStart w:name="z7794" w:id="7779"/>
    <w:p>
      <w:pPr>
        <w:spacing w:after="0"/>
        <w:ind w:left="0"/>
        <w:jc w:val="both"/>
      </w:pPr>
      <w:r>
        <w:rPr>
          <w:rFonts w:ascii="Times New Roman"/>
          <w:b w:val="false"/>
          <w:i w:val="false"/>
          <w:color w:val="000000"/>
          <w:sz w:val="28"/>
        </w:rPr>
        <w:t xml:space="preserve">
      2562. Крюйт-камеры оборудуют автоматическими тепловыми извещателями, срабатывающими при повышении температуры более 40 </w:t>
      </w:r>
      <w:r>
        <w:rPr>
          <w:rFonts w:ascii="Times New Roman"/>
          <w:b w:val="false"/>
          <w:i w:val="false"/>
          <w:color w:val="000000"/>
          <w:vertAlign w:val="superscript"/>
        </w:rPr>
        <w:t>o</w:t>
      </w:r>
      <w:r>
        <w:rPr>
          <w:rFonts w:ascii="Times New Roman"/>
          <w:b w:val="false"/>
          <w:i w:val="false"/>
          <w:color w:val="000000"/>
          <w:sz w:val="28"/>
        </w:rPr>
        <w:t>С. Соответствующая световая и звуковая сигнализация от этого извещателя находится в рулевой рубке и в каюте старшего помощника капитана.</w:t>
      </w:r>
    </w:p>
    <w:bookmarkEnd w:id="7779"/>
    <w:bookmarkStart w:name="z7795" w:id="7780"/>
    <w:p>
      <w:pPr>
        <w:spacing w:after="0"/>
        <w:ind w:left="0"/>
        <w:jc w:val="both"/>
      </w:pPr>
      <w:r>
        <w:rPr>
          <w:rFonts w:ascii="Times New Roman"/>
          <w:b w:val="false"/>
          <w:i w:val="false"/>
          <w:color w:val="000000"/>
          <w:sz w:val="28"/>
        </w:rPr>
        <w:t>
      2563. Встроенные и независимые крюйт-камеры защищают системой орошения в соответствии с главой 165 настоящих Правил. На средствах управления имеются маркировка, указывающая их назначение.</w:t>
      </w:r>
    </w:p>
    <w:bookmarkEnd w:id="7780"/>
    <w:bookmarkStart w:name="z7796" w:id="7781"/>
    <w:p>
      <w:pPr>
        <w:spacing w:after="0"/>
        <w:ind w:left="0"/>
        <w:jc w:val="both"/>
      </w:pPr>
      <w:r>
        <w:rPr>
          <w:rFonts w:ascii="Times New Roman"/>
          <w:b w:val="false"/>
          <w:i w:val="false"/>
          <w:color w:val="000000"/>
          <w:sz w:val="28"/>
        </w:rPr>
        <w:t>
      2564. Крюйт-камеры оборудуют шпигатами. На трубах, идущих от шпигатов, устанавливают клапаны, которые в условиях нормальной эксплуатации постоянно закрыты. Управление клапанами осуществляется извне крюйт- камер.</w:t>
      </w:r>
    </w:p>
    <w:bookmarkEnd w:id="7781"/>
    <w:bookmarkStart w:name="z7797" w:id="7782"/>
    <w:p>
      <w:pPr>
        <w:spacing w:after="0"/>
        <w:ind w:left="0"/>
        <w:jc w:val="both"/>
      </w:pPr>
      <w:r>
        <w:rPr>
          <w:rFonts w:ascii="Times New Roman"/>
          <w:b w:val="false"/>
          <w:i w:val="false"/>
          <w:color w:val="000000"/>
          <w:sz w:val="28"/>
        </w:rPr>
        <w:t>
      2565. Встроенные и независимые крюйт-камеры имеют четкие надписи следующего содержания:</w:t>
      </w:r>
    </w:p>
    <w:bookmarkEnd w:id="7782"/>
    <w:bookmarkStart w:name="z7798" w:id="7783"/>
    <w:p>
      <w:pPr>
        <w:spacing w:after="0"/>
        <w:ind w:left="0"/>
        <w:jc w:val="both"/>
      </w:pPr>
      <w:r>
        <w:rPr>
          <w:rFonts w:ascii="Times New Roman"/>
          <w:b w:val="false"/>
          <w:i w:val="false"/>
          <w:color w:val="000000"/>
          <w:sz w:val="28"/>
        </w:rPr>
        <w:t>
      "Крюйт-камера";</w:t>
      </w:r>
    </w:p>
    <w:bookmarkEnd w:id="7783"/>
    <w:bookmarkStart w:name="z7799" w:id="7784"/>
    <w:p>
      <w:pPr>
        <w:spacing w:after="0"/>
        <w:ind w:left="0"/>
        <w:jc w:val="both"/>
      </w:pPr>
      <w:r>
        <w:rPr>
          <w:rFonts w:ascii="Times New Roman"/>
          <w:b w:val="false"/>
          <w:i w:val="false"/>
          <w:color w:val="000000"/>
          <w:sz w:val="28"/>
        </w:rPr>
        <w:t>
      "Не допускается использование открытого огня";</w:t>
      </w:r>
    </w:p>
    <w:bookmarkEnd w:id="7784"/>
    <w:bookmarkStart w:name="z7800" w:id="7785"/>
    <w:p>
      <w:pPr>
        <w:spacing w:after="0"/>
        <w:ind w:left="0"/>
        <w:jc w:val="both"/>
      </w:pPr>
      <w:r>
        <w:rPr>
          <w:rFonts w:ascii="Times New Roman"/>
          <w:b w:val="false"/>
          <w:i w:val="false"/>
          <w:color w:val="000000"/>
          <w:sz w:val="28"/>
        </w:rPr>
        <w:t>
      "Дверь крюйт-камеры должна быть закрыта на замок";</w:t>
      </w:r>
    </w:p>
    <w:bookmarkEnd w:id="7785"/>
    <w:bookmarkStart w:name="z7801" w:id="7786"/>
    <w:p>
      <w:pPr>
        <w:spacing w:after="0"/>
        <w:ind w:left="0"/>
        <w:jc w:val="both"/>
      </w:pPr>
      <w:r>
        <w:rPr>
          <w:rFonts w:ascii="Times New Roman"/>
          <w:b w:val="false"/>
          <w:i w:val="false"/>
          <w:color w:val="000000"/>
          <w:sz w:val="28"/>
        </w:rPr>
        <w:t>
      "Вход со спичками и зажигалками запрещен";</w:t>
      </w:r>
    </w:p>
    <w:bookmarkEnd w:id="7786"/>
    <w:bookmarkStart w:name="z7802" w:id="7787"/>
    <w:p>
      <w:pPr>
        <w:spacing w:after="0"/>
        <w:ind w:left="0"/>
        <w:jc w:val="both"/>
      </w:pPr>
      <w:r>
        <w:rPr>
          <w:rFonts w:ascii="Times New Roman"/>
          <w:b w:val="false"/>
          <w:i w:val="false"/>
          <w:color w:val="000000"/>
          <w:sz w:val="28"/>
        </w:rPr>
        <w:t>
      "Не поднимать вместе с содержимым" (для независимых крюйт-камер).</w:t>
      </w:r>
    </w:p>
    <w:bookmarkEnd w:id="7787"/>
    <w:bookmarkStart w:name="z7803" w:id="7788"/>
    <w:p>
      <w:pPr>
        <w:spacing w:after="0"/>
        <w:ind w:left="0"/>
        <w:jc w:val="both"/>
      </w:pPr>
      <w:r>
        <w:rPr>
          <w:rFonts w:ascii="Times New Roman"/>
          <w:b w:val="false"/>
          <w:i w:val="false"/>
          <w:color w:val="000000"/>
          <w:sz w:val="28"/>
        </w:rPr>
        <w:t>
      2566. Ящики для хранения взрывчатых веществ имеют водонепроницаемую металлическую конструкцию при толщине стенок и крышки не менее 3 мм. Там, где на ящик могут попадать солнечные лучи, предусматриваются солнечные экраны.</w:t>
      </w:r>
    </w:p>
    <w:bookmarkEnd w:id="7788"/>
    <w:bookmarkStart w:name="z7804" w:id="7789"/>
    <w:p>
      <w:pPr>
        <w:spacing w:after="0"/>
        <w:ind w:left="0"/>
        <w:jc w:val="both"/>
      </w:pPr>
      <w:r>
        <w:rPr>
          <w:rFonts w:ascii="Times New Roman"/>
          <w:b w:val="false"/>
          <w:i w:val="false"/>
          <w:color w:val="000000"/>
          <w:sz w:val="28"/>
        </w:rPr>
        <w:t>
      2567. Необходимо чтобы на ящиках для хранения взрывчатых веществ были четкие надписи следующего содержания "Ящик для хранения взрывчатых веществ"; "Не допускается использования открытого огня"; "Ящик должен быть закрыт на замок".</w:t>
      </w:r>
    </w:p>
    <w:bookmarkEnd w:id="7789"/>
    <w:bookmarkStart w:name="z7805" w:id="7790"/>
    <w:p>
      <w:pPr>
        <w:spacing w:after="0"/>
        <w:ind w:left="0"/>
        <w:jc w:val="both"/>
      </w:pPr>
      <w:r>
        <w:rPr>
          <w:rFonts w:ascii="Times New Roman"/>
          <w:b w:val="false"/>
          <w:i w:val="false"/>
          <w:color w:val="000000"/>
          <w:sz w:val="28"/>
        </w:rPr>
        <w:t>
      2568. Электрическое оборудование в крюйт-камерах соответствует требованиям параграфа 2 главы 534 и другим применимым требованиям указанной части настоящих Правил.</w:t>
      </w:r>
    </w:p>
    <w:bookmarkEnd w:id="7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6" w:id="7791"/>
    <w:p>
      <w:pPr>
        <w:spacing w:after="0"/>
        <w:ind w:left="0"/>
        <w:jc w:val="both"/>
      </w:pPr>
      <w:r>
        <w:rPr>
          <w:rFonts w:ascii="Times New Roman"/>
          <w:b w:val="false"/>
          <w:i w:val="false"/>
          <w:color w:val="000000"/>
          <w:sz w:val="28"/>
        </w:rPr>
        <w:t>
      2569. Взрыватели хранятся отдельно от взрывчатых веществ.</w:t>
      </w:r>
    </w:p>
    <w:bookmarkEnd w:id="7791"/>
    <w:bookmarkStart w:name="z7807" w:id="7792"/>
    <w:p>
      <w:pPr>
        <w:spacing w:after="0"/>
        <w:ind w:left="0"/>
        <w:jc w:val="both"/>
      </w:pPr>
      <w:r>
        <w:rPr>
          <w:rFonts w:ascii="Times New Roman"/>
          <w:b w:val="false"/>
          <w:i w:val="false"/>
          <w:color w:val="000000"/>
          <w:sz w:val="28"/>
        </w:rPr>
        <w:t>
      2570. Для снаряжения зарядов и прочей подготовки взрывчатых веществ к использованию предусматривают специальные зарядные помещения, которые выгораживают стальными конструкциями и располагаются на открытой палубе с удалением от постов управления, жилых и служебных помещений. Переборки, палубы и оборудование зарядных помещений облицовывают материалами, исключающими искрообразование.</w:t>
      </w:r>
    </w:p>
    <w:bookmarkEnd w:id="7792"/>
    <w:bookmarkStart w:name="z7808" w:id="7793"/>
    <w:p>
      <w:pPr>
        <w:spacing w:after="0"/>
        <w:ind w:left="0"/>
        <w:jc w:val="left"/>
      </w:pPr>
      <w:r>
        <w:rPr>
          <w:rFonts w:ascii="Times New Roman"/>
          <w:b/>
          <w:i w:val="false"/>
          <w:color w:val="000000"/>
        </w:rPr>
        <w:t xml:space="preserve"> Глава 166. Нефтеналивные суда ( &gt; 60 °С)</w:t>
      </w:r>
    </w:p>
    <w:bookmarkEnd w:id="7793"/>
    <w:p>
      <w:pPr>
        <w:spacing w:after="0"/>
        <w:ind w:left="0"/>
        <w:jc w:val="both"/>
      </w:pPr>
      <w:r>
        <w:rPr>
          <w:rFonts w:ascii="Times New Roman"/>
          <w:b w:val="false"/>
          <w:i w:val="false"/>
          <w:color w:val="ff0000"/>
          <w:sz w:val="28"/>
        </w:rPr>
        <w:t xml:space="preserve">
      Сноска. Заголовок главы 166 -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09" w:id="7794"/>
    <w:p>
      <w:pPr>
        <w:spacing w:after="0"/>
        <w:ind w:left="0"/>
        <w:jc w:val="both"/>
      </w:pPr>
      <w:r>
        <w:rPr>
          <w:rFonts w:ascii="Times New Roman"/>
          <w:b w:val="false"/>
          <w:i w:val="false"/>
          <w:color w:val="000000"/>
          <w:sz w:val="28"/>
        </w:rPr>
        <w:t xml:space="preserve">
      2571. Противопожарная защита нефтеналивных судов (&gt; 60 </w:t>
      </w:r>
      <w:r>
        <w:rPr>
          <w:rFonts w:ascii="Times New Roman"/>
          <w:b w:val="false"/>
          <w:i w:val="false"/>
          <w:color w:val="000000"/>
          <w:vertAlign w:val="superscript"/>
        </w:rPr>
        <w:t>o</w:t>
      </w:r>
      <w:r>
        <w:rPr>
          <w:rFonts w:ascii="Times New Roman"/>
          <w:b w:val="false"/>
          <w:i w:val="false"/>
          <w:color w:val="000000"/>
          <w:sz w:val="28"/>
        </w:rPr>
        <w:t>С) выполняется как для грузовых судов с учетом следующего:</w:t>
      </w:r>
    </w:p>
    <w:bookmarkEnd w:id="7794"/>
    <w:bookmarkStart w:name="z7810" w:id="7795"/>
    <w:p>
      <w:pPr>
        <w:spacing w:after="0"/>
        <w:ind w:left="0"/>
        <w:jc w:val="both"/>
      </w:pPr>
      <w:r>
        <w:rPr>
          <w:rFonts w:ascii="Times New Roman"/>
          <w:b w:val="false"/>
          <w:i w:val="false"/>
          <w:color w:val="000000"/>
          <w:sz w:val="28"/>
        </w:rPr>
        <w:t>
      1) устанавливается стационарная палубная система пенотушения, удовлетворяющая требованиям главы 153 настоящих Правил;</w:t>
      </w:r>
    </w:p>
    <w:bookmarkEnd w:id="7795"/>
    <w:bookmarkStart w:name="z7811" w:id="7796"/>
    <w:p>
      <w:pPr>
        <w:spacing w:after="0"/>
        <w:ind w:left="0"/>
        <w:jc w:val="both"/>
      </w:pPr>
      <w:r>
        <w:rPr>
          <w:rFonts w:ascii="Times New Roman"/>
          <w:b w:val="false"/>
          <w:i w:val="false"/>
          <w:color w:val="000000"/>
          <w:sz w:val="28"/>
        </w:rPr>
        <w:t>
      2) водопожарная система должна дополнительно отвечала требованиям пункта 2319 настоящих Правил;</w:t>
      </w:r>
    </w:p>
    <w:bookmarkEnd w:id="7796"/>
    <w:bookmarkStart w:name="z7812" w:id="7797"/>
    <w:p>
      <w:pPr>
        <w:spacing w:after="0"/>
        <w:ind w:left="0"/>
        <w:jc w:val="both"/>
      </w:pPr>
      <w:r>
        <w:rPr>
          <w:rFonts w:ascii="Times New Roman"/>
          <w:b w:val="false"/>
          <w:i w:val="false"/>
          <w:color w:val="000000"/>
          <w:sz w:val="28"/>
        </w:rPr>
        <w:t>
      3) должно быть дополнительно предусматрено два комплекта снаряжения для пожарных согласно подпункту 2) пункта 10 приложения 279 настоящих Правил.</w:t>
      </w:r>
    </w:p>
    <w:bookmarkEnd w:id="7797"/>
    <w:bookmarkStart w:name="z7813" w:id="7798"/>
    <w:p>
      <w:pPr>
        <w:spacing w:after="0"/>
        <w:ind w:left="0"/>
        <w:jc w:val="both"/>
      </w:pPr>
      <w:r>
        <w:rPr>
          <w:rFonts w:ascii="Times New Roman"/>
          <w:b w:val="false"/>
          <w:i w:val="false"/>
          <w:color w:val="000000"/>
          <w:sz w:val="28"/>
        </w:rPr>
        <w:t>
      2572. Дополнительно к требованиям пункта 2571 настоящих Правил должно быть выполнено следующее:</w:t>
      </w:r>
    </w:p>
    <w:bookmarkEnd w:id="7798"/>
    <w:bookmarkStart w:name="z7814" w:id="7799"/>
    <w:p>
      <w:pPr>
        <w:spacing w:after="0"/>
        <w:ind w:left="0"/>
        <w:jc w:val="both"/>
      </w:pPr>
      <w:r>
        <w:rPr>
          <w:rFonts w:ascii="Times New Roman"/>
          <w:b w:val="false"/>
          <w:i w:val="false"/>
          <w:color w:val="000000"/>
          <w:sz w:val="28"/>
        </w:rPr>
        <w:t>
      1) грузовые танки не должны быть смежными с жилыми помещениями;</w:t>
      </w:r>
    </w:p>
    <w:bookmarkEnd w:id="7799"/>
    <w:bookmarkStart w:name="z7815" w:id="7800"/>
    <w:p>
      <w:pPr>
        <w:spacing w:after="0"/>
        <w:ind w:left="0"/>
        <w:jc w:val="both"/>
      </w:pPr>
      <w:r>
        <w:rPr>
          <w:rFonts w:ascii="Times New Roman"/>
          <w:b w:val="false"/>
          <w:i w:val="false"/>
          <w:color w:val="000000"/>
          <w:sz w:val="28"/>
        </w:rPr>
        <w:t>
      2) воздухозаборники и другие отверстия, ведущие в жилые помещения, не должны быть обращены в сторону грузовой зоны. Входные двери, в переборках надстроек и рубок, обращенных в сторону грузовой зоны, могут устанавливаться только в случаях, если они не ведут в жилые помещения;</w:t>
      </w:r>
    </w:p>
    <w:bookmarkEnd w:id="7800"/>
    <w:bookmarkStart w:name="z7816" w:id="7801"/>
    <w:p>
      <w:pPr>
        <w:spacing w:after="0"/>
        <w:ind w:left="0"/>
        <w:jc w:val="both"/>
      </w:pPr>
      <w:r>
        <w:rPr>
          <w:rFonts w:ascii="Times New Roman"/>
          <w:b w:val="false"/>
          <w:i w:val="false"/>
          <w:color w:val="000000"/>
          <w:sz w:val="28"/>
        </w:rPr>
        <w:t>
      3) на верхней палубе на расстоянии около 2 м от надстройки, в которой расположены жилые и служебные помещения, должен быть установлен простирающийся от борта до борта сплошной комингс высотой не менее 150 мм;</w:t>
      </w:r>
    </w:p>
    <w:bookmarkEnd w:id="7801"/>
    <w:bookmarkStart w:name="z7817" w:id="7802"/>
    <w:p>
      <w:pPr>
        <w:spacing w:after="0"/>
        <w:ind w:left="0"/>
        <w:jc w:val="both"/>
      </w:pPr>
      <w:r>
        <w:rPr>
          <w:rFonts w:ascii="Times New Roman"/>
          <w:b w:val="false"/>
          <w:i w:val="false"/>
          <w:color w:val="000000"/>
          <w:sz w:val="28"/>
        </w:rPr>
        <w:t>
      4) машинные помещения категории А должны располагаться, как правило, в кормовой части судна вне района грузовых и сливных цистерн.</w:t>
      </w:r>
    </w:p>
    <w:bookmarkEnd w:id="7802"/>
    <w:bookmarkStart w:name="z7818" w:id="7803"/>
    <w:p>
      <w:pPr>
        <w:spacing w:after="0"/>
        <w:ind w:left="0"/>
        <w:jc w:val="both"/>
      </w:pPr>
      <w:r>
        <w:rPr>
          <w:rFonts w:ascii="Times New Roman"/>
          <w:b w:val="false"/>
          <w:i w:val="false"/>
          <w:color w:val="000000"/>
          <w:sz w:val="28"/>
        </w:rPr>
        <w:t xml:space="preserve">
      2573. При наличии установок подогрева груза должны быть предусмотрены устройства, предотвращающие нагрев груза до температуры, которая не менее чем на 15 </w:t>
      </w:r>
      <w:r>
        <w:rPr>
          <w:rFonts w:ascii="Times New Roman"/>
          <w:b w:val="false"/>
          <w:i w:val="false"/>
          <w:color w:val="000000"/>
          <w:vertAlign w:val="superscript"/>
        </w:rPr>
        <w:t>о</w:t>
      </w:r>
      <w:r>
        <w:rPr>
          <w:rFonts w:ascii="Times New Roman"/>
          <w:b w:val="false"/>
          <w:i w:val="false"/>
          <w:color w:val="000000"/>
          <w:sz w:val="28"/>
        </w:rPr>
        <w:t>С ниже температуры его вспышки.</w:t>
      </w:r>
    </w:p>
    <w:bookmarkEnd w:id="7803"/>
    <w:bookmarkStart w:name="z7819" w:id="7804"/>
    <w:p>
      <w:pPr>
        <w:spacing w:after="0"/>
        <w:ind w:left="0"/>
        <w:jc w:val="left"/>
      </w:pPr>
      <w:r>
        <w:rPr>
          <w:rFonts w:ascii="Times New Roman"/>
          <w:b/>
          <w:i w:val="false"/>
          <w:color w:val="000000"/>
        </w:rPr>
        <w:t xml:space="preserve"> Глава 167. Нефтесборные суда и сборщики льяльных вод</w:t>
      </w:r>
    </w:p>
    <w:bookmarkEnd w:id="7804"/>
    <w:p>
      <w:pPr>
        <w:spacing w:after="0"/>
        <w:ind w:left="0"/>
        <w:jc w:val="both"/>
      </w:pPr>
      <w:r>
        <w:rPr>
          <w:rFonts w:ascii="Times New Roman"/>
          <w:b w:val="false"/>
          <w:i w:val="false"/>
          <w:color w:val="ff0000"/>
          <w:sz w:val="28"/>
        </w:rPr>
        <w:t xml:space="preserve">
      Сноска. Заголовок главы 167 -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20" w:id="7805"/>
    <w:p>
      <w:pPr>
        <w:spacing w:after="0"/>
        <w:ind w:left="0"/>
        <w:jc w:val="both"/>
      </w:pPr>
      <w:r>
        <w:rPr>
          <w:rFonts w:ascii="Times New Roman"/>
          <w:b w:val="false"/>
          <w:i w:val="false"/>
          <w:color w:val="000000"/>
          <w:sz w:val="28"/>
        </w:rPr>
        <w:t>
      2574. Противопожарная защита нефтесборных судов выполняется как для нефтеналивных судов и дополнительно отвечает требованиям пунктов 2577 – 2583 настоящих Правил.</w:t>
      </w:r>
    </w:p>
    <w:bookmarkEnd w:id="7805"/>
    <w:bookmarkStart w:name="z7821" w:id="7806"/>
    <w:p>
      <w:pPr>
        <w:spacing w:after="0"/>
        <w:ind w:left="0"/>
        <w:jc w:val="both"/>
      </w:pPr>
      <w:r>
        <w:rPr>
          <w:rFonts w:ascii="Times New Roman"/>
          <w:b w:val="false"/>
          <w:i w:val="false"/>
          <w:color w:val="000000"/>
          <w:sz w:val="28"/>
        </w:rPr>
        <w:t xml:space="preserve">
      2575. Противопожарная защита нефтесборных судов (&gt; 60 </w:t>
      </w:r>
      <w:r>
        <w:rPr>
          <w:rFonts w:ascii="Times New Roman"/>
          <w:b w:val="false"/>
          <w:i w:val="false"/>
          <w:color w:val="000000"/>
          <w:vertAlign w:val="superscript"/>
        </w:rPr>
        <w:t>о</w:t>
      </w:r>
      <w:r>
        <w:rPr>
          <w:rFonts w:ascii="Times New Roman"/>
          <w:b w:val="false"/>
          <w:i w:val="false"/>
          <w:color w:val="000000"/>
          <w:sz w:val="28"/>
        </w:rPr>
        <w:t xml:space="preserve">С) должна быть выполнена как для нефтеналивных судов (&gt; 60 </w:t>
      </w:r>
      <w:r>
        <w:rPr>
          <w:rFonts w:ascii="Times New Roman"/>
          <w:b w:val="false"/>
          <w:i w:val="false"/>
          <w:color w:val="000000"/>
          <w:vertAlign w:val="superscript"/>
        </w:rPr>
        <w:t>о</w:t>
      </w:r>
      <w:r>
        <w:rPr>
          <w:rFonts w:ascii="Times New Roman"/>
          <w:b w:val="false"/>
          <w:i w:val="false"/>
          <w:color w:val="000000"/>
          <w:sz w:val="28"/>
        </w:rPr>
        <w:t>С) и дополнительно отвечать требованиям пунктов 2577 и 2583 настоящих Правил.</w:t>
      </w:r>
    </w:p>
    <w:bookmarkEnd w:id="7806"/>
    <w:bookmarkStart w:name="z7822" w:id="7807"/>
    <w:p>
      <w:pPr>
        <w:spacing w:after="0"/>
        <w:ind w:left="0"/>
        <w:jc w:val="both"/>
      </w:pPr>
      <w:r>
        <w:rPr>
          <w:rFonts w:ascii="Times New Roman"/>
          <w:b w:val="false"/>
          <w:i w:val="false"/>
          <w:color w:val="000000"/>
          <w:sz w:val="28"/>
        </w:rPr>
        <w:t xml:space="preserve">
      2576. Противопожарная защита сборщиков льяльных вод выполняется как для нефтеналивных судов (&gt; 60 </w:t>
      </w:r>
      <w:r>
        <w:rPr>
          <w:rFonts w:ascii="Times New Roman"/>
          <w:b w:val="false"/>
          <w:i w:val="false"/>
          <w:color w:val="000000"/>
          <w:vertAlign w:val="superscript"/>
        </w:rPr>
        <w:t>о</w:t>
      </w:r>
      <w:r>
        <w:rPr>
          <w:rFonts w:ascii="Times New Roman"/>
          <w:b w:val="false"/>
          <w:i w:val="false"/>
          <w:color w:val="000000"/>
          <w:sz w:val="28"/>
        </w:rPr>
        <w:t>С) и дополнительно отвечает требованию пункта 2583 настоящих Правил.</w:t>
      </w:r>
    </w:p>
    <w:bookmarkEnd w:id="7807"/>
    <w:bookmarkStart w:name="z7823" w:id="7808"/>
    <w:p>
      <w:pPr>
        <w:spacing w:after="0"/>
        <w:ind w:left="0"/>
        <w:jc w:val="both"/>
      </w:pPr>
      <w:r>
        <w:rPr>
          <w:rFonts w:ascii="Times New Roman"/>
          <w:b w:val="false"/>
          <w:i w:val="false"/>
          <w:color w:val="000000"/>
          <w:sz w:val="28"/>
        </w:rPr>
        <w:t>
      2577. Корпус, надстройки, конструктивные переборки, палубы и рубки изготавливаются из стали. Применение алюминиевых сплавов для изготовления этих конструкций не допускается.</w:t>
      </w:r>
    </w:p>
    <w:bookmarkEnd w:id="7808"/>
    <w:bookmarkStart w:name="z7824" w:id="7809"/>
    <w:p>
      <w:pPr>
        <w:spacing w:after="0"/>
        <w:ind w:left="0"/>
        <w:jc w:val="both"/>
      </w:pPr>
      <w:r>
        <w:rPr>
          <w:rFonts w:ascii="Times New Roman"/>
          <w:b w:val="false"/>
          <w:i w:val="false"/>
          <w:color w:val="000000"/>
          <w:sz w:val="28"/>
        </w:rPr>
        <w:t>
      2578. Помещения для съемного оборудования, используемого для сбора нефтепродуктов, отвечаютследующим требованиям:</w:t>
      </w:r>
    </w:p>
    <w:bookmarkEnd w:id="7809"/>
    <w:bookmarkStart w:name="z7825" w:id="7810"/>
    <w:p>
      <w:pPr>
        <w:spacing w:after="0"/>
        <w:ind w:left="0"/>
        <w:jc w:val="both"/>
      </w:pPr>
      <w:r>
        <w:rPr>
          <w:rFonts w:ascii="Times New Roman"/>
          <w:b w:val="false"/>
          <w:i w:val="false"/>
          <w:color w:val="000000"/>
          <w:sz w:val="28"/>
        </w:rPr>
        <w:t>
      1) огнестойкость их конструкций отвечает требованиям пункта 2235 настоящих Правил для служебных помещений категории (9);</w:t>
      </w:r>
    </w:p>
    <w:bookmarkEnd w:id="7810"/>
    <w:bookmarkStart w:name="z7826" w:id="7811"/>
    <w:p>
      <w:pPr>
        <w:spacing w:after="0"/>
        <w:ind w:left="0"/>
        <w:jc w:val="both"/>
      </w:pPr>
      <w:r>
        <w:rPr>
          <w:rFonts w:ascii="Times New Roman"/>
          <w:b w:val="false"/>
          <w:i w:val="false"/>
          <w:color w:val="000000"/>
          <w:sz w:val="28"/>
        </w:rPr>
        <w:t>
      2) они защищаются системой пожаротушения согласно пункту 6 приложения 273 настоящих Правил;</w:t>
      </w:r>
    </w:p>
    <w:bookmarkEnd w:id="7811"/>
    <w:bookmarkStart w:name="z7827" w:id="7812"/>
    <w:p>
      <w:pPr>
        <w:spacing w:after="0"/>
        <w:ind w:left="0"/>
        <w:jc w:val="both"/>
      </w:pPr>
      <w:r>
        <w:rPr>
          <w:rFonts w:ascii="Times New Roman"/>
          <w:b w:val="false"/>
          <w:i w:val="false"/>
          <w:color w:val="000000"/>
          <w:sz w:val="28"/>
        </w:rPr>
        <w:t>
      3) допускается рассматривать как коффердамы, упомянутые в 2243 настоящих Правил.</w:t>
      </w:r>
    </w:p>
    <w:bookmarkEnd w:id="7812"/>
    <w:bookmarkStart w:name="z7828" w:id="7813"/>
    <w:p>
      <w:pPr>
        <w:spacing w:after="0"/>
        <w:ind w:left="0"/>
        <w:jc w:val="both"/>
      </w:pPr>
      <w:r>
        <w:rPr>
          <w:rFonts w:ascii="Times New Roman"/>
          <w:b w:val="false"/>
          <w:i w:val="false"/>
          <w:color w:val="000000"/>
          <w:sz w:val="28"/>
        </w:rPr>
        <w:t>
      2579. Судно оборудуют стационарной системой водяного орошения наружных поверхностей судна, обеспечивающей интенсивность подачи воды:</w:t>
      </w:r>
    </w:p>
    <w:bookmarkEnd w:id="7813"/>
    <w:bookmarkStart w:name="z7829" w:id="7814"/>
    <w:p>
      <w:pPr>
        <w:spacing w:after="0"/>
        <w:ind w:left="0"/>
        <w:jc w:val="both"/>
      </w:pPr>
      <w:r>
        <w:rPr>
          <w:rFonts w:ascii="Times New Roman"/>
          <w:b w:val="false"/>
          <w:i w:val="false"/>
          <w:color w:val="000000"/>
          <w:sz w:val="28"/>
        </w:rPr>
        <w:t>
      1) 10 л/мин на 1 м длины наружных переборок надстройки;</w:t>
      </w:r>
    </w:p>
    <w:bookmarkEnd w:id="7814"/>
    <w:bookmarkStart w:name="z7830" w:id="7815"/>
    <w:p>
      <w:pPr>
        <w:spacing w:after="0"/>
        <w:ind w:left="0"/>
        <w:jc w:val="both"/>
      </w:pPr>
      <w:r>
        <w:rPr>
          <w:rFonts w:ascii="Times New Roman"/>
          <w:b w:val="false"/>
          <w:i w:val="false"/>
          <w:color w:val="000000"/>
          <w:sz w:val="28"/>
        </w:rPr>
        <w:t>
      2) 5 л/мин на 1 м</w:t>
      </w:r>
      <w:r>
        <w:rPr>
          <w:rFonts w:ascii="Times New Roman"/>
          <w:b w:val="false"/>
          <w:i w:val="false"/>
          <w:color w:val="000000"/>
          <w:vertAlign w:val="superscript"/>
        </w:rPr>
        <w:t>2</w:t>
      </w:r>
      <w:r>
        <w:rPr>
          <w:rFonts w:ascii="Times New Roman"/>
          <w:b w:val="false"/>
          <w:i w:val="false"/>
          <w:color w:val="000000"/>
          <w:sz w:val="28"/>
        </w:rPr>
        <w:t xml:space="preserve"> горизонтальной площади грузовой зоны.</w:t>
      </w:r>
    </w:p>
    <w:bookmarkEnd w:id="7815"/>
    <w:bookmarkStart w:name="z7831" w:id="7816"/>
    <w:p>
      <w:pPr>
        <w:spacing w:after="0"/>
        <w:ind w:left="0"/>
        <w:jc w:val="both"/>
      </w:pPr>
      <w:r>
        <w:rPr>
          <w:rFonts w:ascii="Times New Roman"/>
          <w:b w:val="false"/>
          <w:i w:val="false"/>
          <w:color w:val="000000"/>
          <w:sz w:val="28"/>
        </w:rPr>
        <w:t>
      Система орошения, упомянутая в подпункте 2) пункта 2579 настоящих Правил, допускается не устанавливать, если стационарная палубная система пенотушения обеспечивает эффективное охлаждение водой всей площади грузовой зоны с помощью лафетных стволов, дистанционно-управляемых с ходового мостика.</w:t>
      </w:r>
    </w:p>
    <w:bookmarkEnd w:id="7816"/>
    <w:bookmarkStart w:name="z7832" w:id="7817"/>
    <w:p>
      <w:pPr>
        <w:spacing w:after="0"/>
        <w:ind w:left="0"/>
        <w:jc w:val="both"/>
      </w:pPr>
      <w:r>
        <w:rPr>
          <w:rFonts w:ascii="Times New Roman"/>
          <w:b w:val="false"/>
          <w:i w:val="false"/>
          <w:color w:val="000000"/>
          <w:sz w:val="28"/>
        </w:rPr>
        <w:t>
      2580. Забортная вода в водопожарную систему и системы орошения и пенотушения, упомянутые в пункте 2579 настоящих Правил, поступает только от забортных отверстий, расположенных в днище судна.</w:t>
      </w:r>
    </w:p>
    <w:bookmarkEnd w:id="7817"/>
    <w:bookmarkStart w:name="z7833" w:id="7818"/>
    <w:p>
      <w:pPr>
        <w:spacing w:after="0"/>
        <w:ind w:left="0"/>
        <w:jc w:val="both"/>
      </w:pPr>
      <w:r>
        <w:rPr>
          <w:rFonts w:ascii="Times New Roman"/>
          <w:b w:val="false"/>
          <w:i w:val="false"/>
          <w:color w:val="000000"/>
          <w:sz w:val="28"/>
        </w:rPr>
        <w:t>
      2581. С ходового мостика предусматривается дистанционный пуск пожарных насосов, стационарных систем пожаротушения для машинного помещения категории А и систем орошения, упомянутых в пункте 2579 настоящих Правил.</w:t>
      </w:r>
    </w:p>
    <w:bookmarkEnd w:id="7818"/>
    <w:bookmarkStart w:name="z7834" w:id="7819"/>
    <w:p>
      <w:pPr>
        <w:spacing w:after="0"/>
        <w:ind w:left="0"/>
        <w:jc w:val="both"/>
      </w:pPr>
      <w:r>
        <w:rPr>
          <w:rFonts w:ascii="Times New Roman"/>
          <w:b w:val="false"/>
          <w:i w:val="false"/>
          <w:color w:val="000000"/>
          <w:sz w:val="28"/>
        </w:rPr>
        <w:t>
      2582. Система тушения пеной высокой кратности не применяется для защиты машинных помещений и помещений, указанных в пункте 2578 настоящих Правил.</w:t>
      </w:r>
    </w:p>
    <w:bookmarkEnd w:id="7819"/>
    <w:bookmarkStart w:name="z7835" w:id="7820"/>
    <w:p>
      <w:pPr>
        <w:spacing w:after="0"/>
        <w:ind w:left="0"/>
        <w:jc w:val="both"/>
      </w:pPr>
      <w:r>
        <w:rPr>
          <w:rFonts w:ascii="Times New Roman"/>
          <w:b w:val="false"/>
          <w:i w:val="false"/>
          <w:color w:val="000000"/>
          <w:sz w:val="28"/>
        </w:rPr>
        <w:t>
      2583. На судне предусматривается стационарный или переносной прибор для определения температуры вспышки нефтепродуктов.</w:t>
      </w:r>
    </w:p>
    <w:bookmarkEnd w:id="7820"/>
    <w:bookmarkStart w:name="z7836" w:id="7821"/>
    <w:p>
      <w:pPr>
        <w:spacing w:after="0"/>
        <w:ind w:left="0"/>
        <w:jc w:val="both"/>
      </w:pPr>
      <w:r>
        <w:rPr>
          <w:rFonts w:ascii="Times New Roman"/>
          <w:b w:val="false"/>
          <w:i w:val="false"/>
          <w:color w:val="000000"/>
          <w:sz w:val="28"/>
        </w:rPr>
        <w:t>
      2584. Для небольших судов дедвейтом до 1000 т, выполняющих работы по сбору нефтепродуктов с поверхности моря эпизодически, допускается по согласованию с Регистром судоходства стационарную систему автоматического контроля воздушной среды заменить системой контроля переносными приборами, указанными в подпункте 1) пункта 15 приложения 279 настоящих Правил. При этом обеспечивается возможность контроля воздушной среды в течение всего времени нахождения судна в пятне в местах, указанных в пункте 3434 настоящих Правил.</w:t>
      </w:r>
    </w:p>
    <w:bookmarkEnd w:id="7821"/>
    <w:bookmarkStart w:name="z7837" w:id="7822"/>
    <w:p>
      <w:pPr>
        <w:spacing w:after="0"/>
        <w:ind w:left="0"/>
        <w:jc w:val="left"/>
      </w:pPr>
      <w:r>
        <w:rPr>
          <w:rFonts w:ascii="Times New Roman"/>
          <w:b/>
          <w:i w:val="false"/>
          <w:color w:val="000000"/>
        </w:rPr>
        <w:t xml:space="preserve"> Глава 168. Стоечные суда</w:t>
      </w:r>
    </w:p>
    <w:bookmarkEnd w:id="7822"/>
    <w:p>
      <w:pPr>
        <w:spacing w:after="0"/>
        <w:ind w:left="0"/>
        <w:jc w:val="both"/>
      </w:pPr>
      <w:r>
        <w:rPr>
          <w:rFonts w:ascii="Times New Roman"/>
          <w:b w:val="false"/>
          <w:i w:val="false"/>
          <w:color w:val="ff0000"/>
          <w:sz w:val="28"/>
        </w:rPr>
        <w:t xml:space="preserve">
      Сноска. Заголовок главы 168 -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38" w:id="7823"/>
    <w:p>
      <w:pPr>
        <w:spacing w:after="0"/>
        <w:ind w:left="0"/>
        <w:jc w:val="both"/>
      </w:pPr>
      <w:r>
        <w:rPr>
          <w:rFonts w:ascii="Times New Roman"/>
          <w:b w:val="false"/>
          <w:i w:val="false"/>
          <w:color w:val="000000"/>
          <w:sz w:val="28"/>
        </w:rPr>
        <w:t>
      2585. Противопожарная защита стоечных судов, используемых как плавучие гостиницы и общежития, выполняется в зависимости от числа проживающих на борту людей:</w:t>
      </w:r>
    </w:p>
    <w:bookmarkEnd w:id="7823"/>
    <w:bookmarkStart w:name="z7839" w:id="7824"/>
    <w:p>
      <w:pPr>
        <w:spacing w:after="0"/>
        <w:ind w:left="0"/>
        <w:jc w:val="both"/>
      </w:pPr>
      <w:r>
        <w:rPr>
          <w:rFonts w:ascii="Times New Roman"/>
          <w:b w:val="false"/>
          <w:i w:val="false"/>
          <w:color w:val="000000"/>
          <w:sz w:val="28"/>
        </w:rPr>
        <w:t>
      1) до 50 человек - как для грузовых судов валовой вместимостью более 500;</w:t>
      </w:r>
    </w:p>
    <w:bookmarkEnd w:id="7824"/>
    <w:bookmarkStart w:name="z7840" w:id="7825"/>
    <w:p>
      <w:pPr>
        <w:spacing w:after="0"/>
        <w:ind w:left="0"/>
        <w:jc w:val="both"/>
      </w:pPr>
      <w:r>
        <w:rPr>
          <w:rFonts w:ascii="Times New Roman"/>
          <w:b w:val="false"/>
          <w:i w:val="false"/>
          <w:color w:val="000000"/>
          <w:sz w:val="28"/>
        </w:rPr>
        <w:t>
      2) от 50 до 200 человек - как для пассажирских судов, перевозящих не более 36 пассажиров;</w:t>
      </w:r>
    </w:p>
    <w:bookmarkEnd w:id="7825"/>
    <w:bookmarkStart w:name="z7841" w:id="7826"/>
    <w:p>
      <w:pPr>
        <w:spacing w:after="0"/>
        <w:ind w:left="0"/>
        <w:jc w:val="both"/>
      </w:pPr>
      <w:r>
        <w:rPr>
          <w:rFonts w:ascii="Times New Roman"/>
          <w:b w:val="false"/>
          <w:i w:val="false"/>
          <w:color w:val="000000"/>
          <w:sz w:val="28"/>
        </w:rPr>
        <w:t>
      3) более 200 человек - как для пассажирских судов, перевозящих более 36 пассажиров.</w:t>
      </w:r>
    </w:p>
    <w:bookmarkEnd w:id="7826"/>
    <w:bookmarkStart w:name="z7842" w:id="7827"/>
    <w:p>
      <w:pPr>
        <w:spacing w:after="0"/>
        <w:ind w:left="0"/>
        <w:jc w:val="both"/>
      </w:pPr>
      <w:r>
        <w:rPr>
          <w:rFonts w:ascii="Times New Roman"/>
          <w:b w:val="false"/>
          <w:i w:val="false"/>
          <w:color w:val="000000"/>
          <w:sz w:val="28"/>
        </w:rPr>
        <w:t>
      2586. Противопожарная защита плавучих доков, электростанций, мастерских и судов-складов выполняют как для грузовых судов валовой вместимостью более 500. Если на борту таких судов предусматривается специальный персонал в количестве 50 человек и более, то противопожарная защита выполняется в соответствии с требованиями подпунктов 2) и 3) пункта 2585 настоящих Правил.</w:t>
      </w:r>
    </w:p>
    <w:bookmarkEnd w:id="7827"/>
    <w:bookmarkStart w:name="z7843" w:id="7828"/>
    <w:p>
      <w:pPr>
        <w:spacing w:after="0"/>
        <w:ind w:left="0"/>
        <w:jc w:val="both"/>
      </w:pPr>
      <w:r>
        <w:rPr>
          <w:rFonts w:ascii="Times New Roman"/>
          <w:b w:val="false"/>
          <w:i w:val="false"/>
          <w:color w:val="000000"/>
          <w:sz w:val="28"/>
        </w:rPr>
        <w:t>
      2587. Для стоечных судов, эксплуатирующихся только у береговой причальной стенки, Регистром судоходства допускается пересмотреть указанные в пунктах 2585 и 2586 настоящих Правил требования, принимая во внимание условия эксплуатации судна и меры по его противопожарной защите, установленные проектантом судна по согласованию с заказчиком.</w:t>
      </w:r>
    </w:p>
    <w:bookmarkEnd w:id="7828"/>
    <w:bookmarkStart w:name="z7844" w:id="7829"/>
    <w:p>
      <w:pPr>
        <w:spacing w:after="0"/>
        <w:ind w:left="0"/>
        <w:jc w:val="left"/>
      </w:pPr>
      <w:r>
        <w:rPr>
          <w:rFonts w:ascii="Times New Roman"/>
          <w:b/>
          <w:i w:val="false"/>
          <w:color w:val="000000"/>
        </w:rPr>
        <w:t xml:space="preserve"> Глава 169. Суда, имеющие в символе класса знак оснащенности средствами борьбы с пожарами на других судах</w:t>
      </w:r>
    </w:p>
    <w:bookmarkEnd w:id="7829"/>
    <w:p>
      <w:pPr>
        <w:spacing w:after="0"/>
        <w:ind w:left="0"/>
        <w:jc w:val="both"/>
      </w:pPr>
      <w:r>
        <w:rPr>
          <w:rFonts w:ascii="Times New Roman"/>
          <w:b w:val="false"/>
          <w:i w:val="false"/>
          <w:color w:val="ff0000"/>
          <w:sz w:val="28"/>
        </w:rPr>
        <w:t xml:space="preserve">
      Сноска. Заголовок главы 169 -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45" w:id="7830"/>
    <w:p>
      <w:pPr>
        <w:spacing w:after="0"/>
        <w:ind w:left="0"/>
        <w:jc w:val="left"/>
      </w:pPr>
      <w:r>
        <w:rPr>
          <w:rFonts w:ascii="Times New Roman"/>
          <w:b/>
          <w:i w:val="false"/>
          <w:color w:val="000000"/>
        </w:rPr>
        <w:t xml:space="preserve"> Параграф 1. Общие положения</w:t>
      </w:r>
    </w:p>
    <w:bookmarkEnd w:id="7830"/>
    <w:bookmarkStart w:name="z7846" w:id="7831"/>
    <w:p>
      <w:pPr>
        <w:spacing w:after="0"/>
        <w:ind w:left="0"/>
        <w:jc w:val="both"/>
      </w:pPr>
      <w:r>
        <w:rPr>
          <w:rFonts w:ascii="Times New Roman"/>
          <w:b w:val="false"/>
          <w:i w:val="false"/>
          <w:color w:val="000000"/>
          <w:sz w:val="28"/>
        </w:rPr>
        <w:t>
      2588. Противопожарная защита нефтеналивных судов, имеющих в символе класса знак оснащенности средствами борьбы с пожарами на других судах, выполняется как для грузовых судов с учетом следующего:</w:t>
      </w:r>
    </w:p>
    <w:bookmarkEnd w:id="7831"/>
    <w:bookmarkStart w:name="z7847" w:id="7832"/>
    <w:p>
      <w:pPr>
        <w:spacing w:after="0"/>
        <w:ind w:left="0"/>
        <w:jc w:val="both"/>
      </w:pPr>
      <w:r>
        <w:rPr>
          <w:rFonts w:ascii="Times New Roman"/>
          <w:b w:val="false"/>
          <w:i w:val="false"/>
          <w:color w:val="000000"/>
          <w:sz w:val="28"/>
        </w:rPr>
        <w:t>
      1) корпус, надстройки, рубки и палубы выполняют из стали;</w:t>
      </w:r>
    </w:p>
    <w:bookmarkEnd w:id="7832"/>
    <w:bookmarkStart w:name="z7848" w:id="7833"/>
    <w:p>
      <w:pPr>
        <w:spacing w:after="0"/>
        <w:ind w:left="0"/>
        <w:jc w:val="both"/>
      </w:pPr>
      <w:r>
        <w:rPr>
          <w:rFonts w:ascii="Times New Roman"/>
          <w:b w:val="false"/>
          <w:i w:val="false"/>
          <w:color w:val="000000"/>
          <w:sz w:val="28"/>
        </w:rPr>
        <w:t>
      2) конструктивная противопожарная защита выполняется по способу 1С.</w:t>
      </w:r>
    </w:p>
    <w:bookmarkEnd w:id="7833"/>
    <w:bookmarkStart w:name="z7849" w:id="7834"/>
    <w:p>
      <w:pPr>
        <w:spacing w:after="0"/>
        <w:ind w:left="0"/>
        <w:jc w:val="both"/>
      </w:pPr>
      <w:r>
        <w:rPr>
          <w:rFonts w:ascii="Times New Roman"/>
          <w:b w:val="false"/>
          <w:i w:val="false"/>
          <w:color w:val="000000"/>
          <w:sz w:val="28"/>
        </w:rPr>
        <w:t>
      2589. Суда оборудуют постом управления пожарно-спасательными операциями. Такой пост размещается так, чтобы судовые конструкции не перекрывали, по возможности, обзор окружающей судно акватории.</w:t>
      </w:r>
    </w:p>
    <w:bookmarkEnd w:id="7834"/>
    <w:bookmarkStart w:name="z7850" w:id="7835"/>
    <w:p>
      <w:pPr>
        <w:spacing w:after="0"/>
        <w:ind w:left="0"/>
        <w:jc w:val="both"/>
      </w:pPr>
      <w:r>
        <w:rPr>
          <w:rFonts w:ascii="Times New Roman"/>
          <w:b w:val="false"/>
          <w:i w:val="false"/>
          <w:color w:val="000000"/>
          <w:sz w:val="28"/>
        </w:rPr>
        <w:t>
      2590. Эти суда оснащают: специальными системами и оборудованием, минимальное число которых указано в приложениях 282 и 283 настоящих Правил;</w:t>
      </w:r>
    </w:p>
    <w:bookmarkEnd w:id="7835"/>
    <w:bookmarkStart w:name="z7851" w:id="7836"/>
    <w:p>
      <w:pPr>
        <w:spacing w:after="0"/>
        <w:ind w:left="0"/>
        <w:jc w:val="both"/>
      </w:pPr>
      <w:r>
        <w:rPr>
          <w:rFonts w:ascii="Times New Roman"/>
          <w:b w:val="false"/>
          <w:i w:val="false"/>
          <w:color w:val="000000"/>
          <w:sz w:val="28"/>
        </w:rPr>
        <w:t>
      предметами противопожарного снабжения в соответствии с пунктом 2619 настоящих Правил;</w:t>
      </w:r>
    </w:p>
    <w:bookmarkEnd w:id="7836"/>
    <w:bookmarkStart w:name="z7852" w:id="7837"/>
    <w:p>
      <w:pPr>
        <w:spacing w:after="0"/>
        <w:ind w:left="0"/>
        <w:jc w:val="both"/>
      </w:pPr>
      <w:r>
        <w:rPr>
          <w:rFonts w:ascii="Times New Roman"/>
          <w:b w:val="false"/>
          <w:i w:val="false"/>
          <w:color w:val="000000"/>
          <w:sz w:val="28"/>
        </w:rPr>
        <w:t>
      дополнительными средствами (системами) осушения в соответствии с пунктами 3235 и 3695 настоящих Правил;</w:t>
      </w:r>
    </w:p>
    <w:bookmarkEnd w:id="7837"/>
    <w:bookmarkStart w:name="z7853" w:id="7838"/>
    <w:p>
      <w:pPr>
        <w:spacing w:after="0"/>
        <w:ind w:left="0"/>
        <w:jc w:val="both"/>
      </w:pPr>
      <w:r>
        <w:rPr>
          <w:rFonts w:ascii="Times New Roman"/>
          <w:b w:val="false"/>
          <w:i w:val="false"/>
          <w:color w:val="000000"/>
          <w:sz w:val="28"/>
        </w:rPr>
        <w:t>
      дополнительной служебной внутренней связью в соответствии с пунктом 5094 настоящих Правил.</w:t>
      </w:r>
    </w:p>
    <w:bookmarkEnd w:id="7838"/>
    <w:bookmarkStart w:name="z7854" w:id="7839"/>
    <w:p>
      <w:pPr>
        <w:spacing w:after="0"/>
        <w:ind w:left="0"/>
        <w:jc w:val="both"/>
      </w:pPr>
      <w:r>
        <w:rPr>
          <w:rFonts w:ascii="Times New Roman"/>
          <w:b w:val="false"/>
          <w:i w:val="false"/>
          <w:color w:val="000000"/>
          <w:sz w:val="28"/>
        </w:rPr>
        <w:t>
      2591. Необходимо чтобы специальные системы, устанавливаемые на судах для борьбы с пожаром на других объектах и для собственной защиты (водяных завес, водяного орошения, водопожарная, пенотушения, порошковая), должны отвечать также соответствующим требованиям подраздела 3 раздела 8, подразделов 2, 4,5 раздела 10 настоящих Правил.</w:t>
      </w:r>
    </w:p>
    <w:bookmarkEnd w:id="7839"/>
    <w:bookmarkStart w:name="z7855" w:id="7840"/>
    <w:p>
      <w:pPr>
        <w:spacing w:after="0"/>
        <w:ind w:left="0"/>
        <w:jc w:val="both"/>
      </w:pPr>
      <w:r>
        <w:rPr>
          <w:rFonts w:ascii="Times New Roman"/>
          <w:b w:val="false"/>
          <w:i w:val="false"/>
          <w:color w:val="000000"/>
          <w:sz w:val="28"/>
        </w:rPr>
        <w:t>
      Если на судне устанавливаются специальные системы пожаротушения, не оговоренные в настоящем разделе, необходимо чтобы они отвечали требованиям Правил в объеме, согласованном с Регистром судоходства в каждом случае.</w:t>
      </w:r>
    </w:p>
    <w:bookmarkEnd w:id="7840"/>
    <w:bookmarkStart w:name="z7856" w:id="7841"/>
    <w:p>
      <w:pPr>
        <w:spacing w:after="0"/>
        <w:ind w:left="0"/>
        <w:jc w:val="both"/>
      </w:pPr>
      <w:r>
        <w:rPr>
          <w:rFonts w:ascii="Times New Roman"/>
          <w:b w:val="false"/>
          <w:i w:val="false"/>
          <w:color w:val="000000"/>
          <w:sz w:val="28"/>
        </w:rPr>
        <w:t>
      2592. Оборудование специальных систем (насосы, арматура, лафетные стволы) может иметь дистанционное управление из постов управления пожарно-спасательными операциями.</w:t>
      </w:r>
    </w:p>
    <w:bookmarkEnd w:id="7841"/>
    <w:p>
      <w:pPr>
        <w:spacing w:after="0"/>
        <w:ind w:left="0"/>
        <w:jc w:val="both"/>
      </w:pPr>
      <w:r>
        <w:rPr>
          <w:rFonts w:ascii="Times New Roman"/>
          <w:b w:val="false"/>
          <w:i w:val="false"/>
          <w:color w:val="000000"/>
          <w:sz w:val="28"/>
        </w:rPr>
        <w:t>
      Пневматические и гидравлические системы управления получают питание от двух независимых источников энергии.</w:t>
      </w:r>
    </w:p>
    <w:p>
      <w:pPr>
        <w:spacing w:after="0"/>
        <w:ind w:left="0"/>
        <w:jc w:val="both"/>
      </w:pPr>
      <w:r>
        <w:rPr>
          <w:rFonts w:ascii="Times New Roman"/>
          <w:b w:val="false"/>
          <w:i w:val="false"/>
          <w:color w:val="000000"/>
          <w:sz w:val="28"/>
        </w:rPr>
        <w:t>
      Необходимо чтобы устройства с электрическим приводом отвечали требованиям глав 442-444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59" w:id="7842"/>
    <w:p>
      <w:pPr>
        <w:spacing w:after="0"/>
        <w:ind w:left="0"/>
        <w:jc w:val="left"/>
      </w:pPr>
      <w:r>
        <w:rPr>
          <w:rFonts w:ascii="Times New Roman"/>
          <w:b/>
          <w:i w:val="false"/>
          <w:color w:val="000000"/>
        </w:rPr>
        <w:t xml:space="preserve"> Параграф 2. Система водяных завес</w:t>
      </w:r>
    </w:p>
    <w:bookmarkEnd w:id="7842"/>
    <w:bookmarkStart w:name="z7860" w:id="7843"/>
    <w:p>
      <w:pPr>
        <w:spacing w:after="0"/>
        <w:ind w:left="0"/>
        <w:jc w:val="both"/>
      </w:pPr>
      <w:r>
        <w:rPr>
          <w:rFonts w:ascii="Times New Roman"/>
          <w:b w:val="false"/>
          <w:i w:val="false"/>
          <w:color w:val="000000"/>
          <w:sz w:val="28"/>
        </w:rPr>
        <w:t>
      2593. На судах со знаками FF1WS, FF2WS или FF3WS в символе класса системой водяных завес защищают вертикальные наружные поверхности корпуса судна, включая надстройки и рубки.</w:t>
      </w:r>
    </w:p>
    <w:bookmarkEnd w:id="7843"/>
    <w:bookmarkStart w:name="z7861" w:id="7844"/>
    <w:p>
      <w:pPr>
        <w:spacing w:after="0"/>
        <w:ind w:left="0"/>
        <w:jc w:val="both"/>
      </w:pPr>
      <w:r>
        <w:rPr>
          <w:rFonts w:ascii="Times New Roman"/>
          <w:b w:val="false"/>
          <w:i w:val="false"/>
          <w:color w:val="000000"/>
          <w:sz w:val="28"/>
        </w:rPr>
        <w:t>
      Система водяных завес полностью закрывает судно, не создавая при этом помех видимости из ходовой рубки, постов управления пожарно-спасательными операциями и площадок лафетных стволов с ручным управлением.</w:t>
      </w:r>
    </w:p>
    <w:bookmarkEnd w:id="7844"/>
    <w:bookmarkStart w:name="z7862" w:id="7845"/>
    <w:p>
      <w:pPr>
        <w:spacing w:after="0"/>
        <w:ind w:left="0"/>
        <w:jc w:val="both"/>
      </w:pPr>
      <w:r>
        <w:rPr>
          <w:rFonts w:ascii="Times New Roman"/>
          <w:b w:val="false"/>
          <w:i w:val="false"/>
          <w:color w:val="000000"/>
          <w:sz w:val="28"/>
        </w:rPr>
        <w:t>
      2594. На судах со знаками FF1 или FF2 в символе класса, которые не оборудуются данной системой, необходимо чтобы окна и иллюминаторы соответствовали пункту 1199 настоящих Правил.</w:t>
      </w:r>
    </w:p>
    <w:bookmarkEnd w:id="7845"/>
    <w:bookmarkStart w:name="z7863" w:id="7846"/>
    <w:p>
      <w:pPr>
        <w:spacing w:after="0"/>
        <w:ind w:left="0"/>
        <w:jc w:val="both"/>
      </w:pPr>
      <w:r>
        <w:rPr>
          <w:rFonts w:ascii="Times New Roman"/>
          <w:b w:val="false"/>
          <w:i w:val="false"/>
          <w:color w:val="000000"/>
          <w:sz w:val="28"/>
        </w:rPr>
        <w:t>
      2595. Необходимо чтобы подача и напор насосов, обслуживающих систему, были достаточными, для обеспечения интенсивности подачи воды через распылители с интенсивностью, указанной в пункте 2368 настоящих Правил.</w:t>
      </w:r>
    </w:p>
    <w:bookmarkEnd w:id="7846"/>
    <w:bookmarkStart w:name="z7864" w:id="7847"/>
    <w:p>
      <w:pPr>
        <w:spacing w:after="0"/>
        <w:ind w:left="0"/>
        <w:jc w:val="both"/>
      </w:pPr>
      <w:r>
        <w:rPr>
          <w:rFonts w:ascii="Times New Roman"/>
          <w:b w:val="false"/>
          <w:i w:val="false"/>
          <w:color w:val="000000"/>
          <w:sz w:val="28"/>
        </w:rPr>
        <w:t>
      2596. В случае разделения системы на секции, ручное управление ими с места установки обеспечивается даже при наличии дистанционного управления.</w:t>
      </w:r>
    </w:p>
    <w:bookmarkEnd w:id="7847"/>
    <w:bookmarkStart w:name="z7865" w:id="7848"/>
    <w:p>
      <w:pPr>
        <w:spacing w:after="0"/>
        <w:ind w:left="0"/>
        <w:jc w:val="both"/>
      </w:pPr>
      <w:r>
        <w:rPr>
          <w:rFonts w:ascii="Times New Roman"/>
          <w:b w:val="false"/>
          <w:i w:val="false"/>
          <w:color w:val="000000"/>
          <w:sz w:val="28"/>
        </w:rPr>
        <w:t>
      2597. Системой водяных завес также защищають площадки лафетных стволов с ручным управлением, при этом водяная завеса включается непосредственно у каждого лафетного ствола.</w:t>
      </w:r>
    </w:p>
    <w:bookmarkEnd w:id="7848"/>
    <w:bookmarkStart w:name="z7866" w:id="7849"/>
    <w:p>
      <w:pPr>
        <w:spacing w:after="0"/>
        <w:ind w:left="0"/>
        <w:jc w:val="both"/>
      </w:pPr>
      <w:r>
        <w:rPr>
          <w:rFonts w:ascii="Times New Roman"/>
          <w:b w:val="false"/>
          <w:i w:val="false"/>
          <w:color w:val="000000"/>
          <w:sz w:val="28"/>
        </w:rPr>
        <w:t>
      2598. Судно оборудуют системой водяных завес совместно с системой водяного орошения или водораспыления либо одной из таких систем при условии обеспечения надежной защитой всех наружных поверхностей судна. В любом случае буквы "WS" в знаке символа класса сохраняются.</w:t>
      </w:r>
    </w:p>
    <w:bookmarkEnd w:id="7849"/>
    <w:bookmarkStart w:name="z7867" w:id="7850"/>
    <w:p>
      <w:pPr>
        <w:spacing w:after="0"/>
        <w:ind w:left="0"/>
        <w:jc w:val="left"/>
      </w:pPr>
      <w:r>
        <w:rPr>
          <w:rFonts w:ascii="Times New Roman"/>
          <w:b/>
          <w:i w:val="false"/>
          <w:color w:val="000000"/>
        </w:rPr>
        <w:t xml:space="preserve"> Параграф 3. Системы водяного орошения и водораспыления</w:t>
      </w:r>
    </w:p>
    <w:bookmarkEnd w:id="7850"/>
    <w:bookmarkStart w:name="z7868" w:id="7851"/>
    <w:p>
      <w:pPr>
        <w:spacing w:after="0"/>
        <w:ind w:left="0"/>
        <w:jc w:val="both"/>
      </w:pPr>
      <w:r>
        <w:rPr>
          <w:rFonts w:ascii="Times New Roman"/>
          <w:b w:val="false"/>
          <w:i w:val="false"/>
          <w:color w:val="000000"/>
          <w:sz w:val="28"/>
        </w:rPr>
        <w:t>
      2599. Система водяного орошения или водораспыления на судах со знаками FF1WS, FF2WS или FF3WS в символе класса защищает вертикальные наружные поверхности корпуса, надстроек, рубок, а также горизонтальные поверхности корпуса, где это целесообразно с учетом пункта 2598 настоящих Правил.</w:t>
      </w:r>
    </w:p>
    <w:bookmarkEnd w:id="7851"/>
    <w:bookmarkStart w:name="z7869" w:id="7852"/>
    <w:p>
      <w:pPr>
        <w:spacing w:after="0"/>
        <w:ind w:left="0"/>
        <w:jc w:val="both"/>
      </w:pPr>
      <w:r>
        <w:rPr>
          <w:rFonts w:ascii="Times New Roman"/>
          <w:b w:val="false"/>
          <w:i w:val="false"/>
          <w:color w:val="000000"/>
          <w:sz w:val="28"/>
        </w:rPr>
        <w:t>
      2600. Интенсивность подачи воды на защищаемую поверхность допускается не менее 10 л/мин на 1 м длины яруса при применении системы водяного орошения и 10 л/мин на 1 м</w:t>
      </w:r>
      <w:r>
        <w:rPr>
          <w:rFonts w:ascii="Times New Roman"/>
          <w:b w:val="false"/>
          <w:i w:val="false"/>
          <w:color w:val="000000"/>
          <w:vertAlign w:val="superscript"/>
        </w:rPr>
        <w:t>2</w:t>
      </w:r>
      <w:r>
        <w:rPr>
          <w:rFonts w:ascii="Times New Roman"/>
          <w:b w:val="false"/>
          <w:i w:val="false"/>
          <w:color w:val="000000"/>
          <w:sz w:val="28"/>
        </w:rPr>
        <w:t xml:space="preserve"> защищаемой площади при применении системы водораспыления. Интенсивность подачи воды допускается снизить до 5 л/мин при условии, что защищаемые поверхности имеют изоляцию типа А-60.</w:t>
      </w:r>
    </w:p>
    <w:bookmarkEnd w:id="7852"/>
    <w:bookmarkStart w:name="z7870" w:id="7853"/>
    <w:p>
      <w:pPr>
        <w:spacing w:after="0"/>
        <w:ind w:left="0"/>
        <w:jc w:val="both"/>
      </w:pPr>
      <w:r>
        <w:rPr>
          <w:rFonts w:ascii="Times New Roman"/>
          <w:b w:val="false"/>
          <w:i w:val="false"/>
          <w:color w:val="000000"/>
          <w:sz w:val="28"/>
        </w:rPr>
        <w:t>
      2601. Для защиты надстроек и рубок секции системы следует размещать на каждом ярусе, при этом расположение сопел обеспечивает равномерную подачу воды на защищаемую наружную поверхность.</w:t>
      </w:r>
    </w:p>
    <w:bookmarkEnd w:id="7853"/>
    <w:bookmarkStart w:name="z7871" w:id="7854"/>
    <w:p>
      <w:pPr>
        <w:spacing w:after="0"/>
        <w:ind w:left="0"/>
        <w:jc w:val="both"/>
      </w:pPr>
      <w:r>
        <w:rPr>
          <w:rFonts w:ascii="Times New Roman"/>
          <w:b w:val="false"/>
          <w:i w:val="false"/>
          <w:color w:val="000000"/>
          <w:sz w:val="28"/>
        </w:rPr>
        <w:t>
      При разделении системы на секции выполняется требование пункта 2596 настоящих Правил.</w:t>
      </w:r>
    </w:p>
    <w:bookmarkEnd w:id="7854"/>
    <w:bookmarkStart w:name="z7872" w:id="7855"/>
    <w:p>
      <w:pPr>
        <w:spacing w:after="0"/>
        <w:ind w:left="0"/>
        <w:jc w:val="left"/>
      </w:pPr>
      <w:r>
        <w:rPr>
          <w:rFonts w:ascii="Times New Roman"/>
          <w:b/>
          <w:i w:val="false"/>
          <w:color w:val="000000"/>
        </w:rPr>
        <w:t xml:space="preserve"> Параграф 4. Специальная водопожарная система</w:t>
      </w:r>
    </w:p>
    <w:bookmarkEnd w:id="7855"/>
    <w:bookmarkStart w:name="z7873" w:id="7856"/>
    <w:p>
      <w:pPr>
        <w:spacing w:after="0"/>
        <w:ind w:left="0"/>
        <w:jc w:val="both"/>
      </w:pPr>
      <w:r>
        <w:rPr>
          <w:rFonts w:ascii="Times New Roman"/>
          <w:b w:val="false"/>
          <w:i w:val="false"/>
          <w:color w:val="000000"/>
          <w:sz w:val="28"/>
        </w:rPr>
        <w:t>
      2602. Система предназначена, как правило, для подачи воды к водяным лафетным стволам, клапанным коробкам, а также для питания систем водяных завес, водяного орошения и водораспыления. Систему допускается применять для откачки воды из отсеков аварийного судна (пункт 3235 настоящих Правил).</w:t>
      </w:r>
    </w:p>
    <w:bookmarkEnd w:id="7856"/>
    <w:bookmarkStart w:name="z7874" w:id="7857"/>
    <w:p>
      <w:pPr>
        <w:spacing w:after="0"/>
        <w:ind w:left="0"/>
        <w:jc w:val="both"/>
      </w:pPr>
      <w:r>
        <w:rPr>
          <w:rFonts w:ascii="Times New Roman"/>
          <w:b w:val="false"/>
          <w:i w:val="false"/>
          <w:color w:val="000000"/>
          <w:sz w:val="28"/>
        </w:rPr>
        <w:t>
      Требования к установке насосов, прокладке трубопроводов, устройствам забора воды, арматуре и испытаниям должны отвечать положениям настоящего раздела и раздела 10 настоящих Правил в той мере, в какой они применимы и целесообразны с учетом приведенных ниже требований.</w:t>
      </w:r>
    </w:p>
    <w:bookmarkEnd w:id="7857"/>
    <w:bookmarkStart w:name="z7875" w:id="7858"/>
    <w:p>
      <w:pPr>
        <w:spacing w:after="0"/>
        <w:ind w:left="0"/>
        <w:jc w:val="both"/>
      </w:pPr>
      <w:r>
        <w:rPr>
          <w:rFonts w:ascii="Times New Roman"/>
          <w:b w:val="false"/>
          <w:i w:val="false"/>
          <w:color w:val="000000"/>
          <w:sz w:val="28"/>
        </w:rPr>
        <w:t>
      2603. Необходимо чтобы специальная водопожарная система на судах со знаками FF1, FF1WS, FF2 или FF2WS в символе классе была автономной.</w:t>
      </w:r>
    </w:p>
    <w:bookmarkEnd w:id="7858"/>
    <w:bookmarkStart w:name="z7876" w:id="7859"/>
    <w:p>
      <w:pPr>
        <w:spacing w:after="0"/>
        <w:ind w:left="0"/>
        <w:jc w:val="both"/>
      </w:pPr>
      <w:r>
        <w:rPr>
          <w:rFonts w:ascii="Times New Roman"/>
          <w:b w:val="false"/>
          <w:i w:val="false"/>
          <w:color w:val="000000"/>
          <w:sz w:val="28"/>
        </w:rPr>
        <w:t>
      На судах со знаком FF3WS в символе класса допускается использование общесудовой водопожарной системы в качестве составной части специальной водопожарной системы.</w:t>
      </w:r>
    </w:p>
    <w:bookmarkEnd w:id="7859"/>
    <w:bookmarkStart w:name="z7877" w:id="7860"/>
    <w:p>
      <w:pPr>
        <w:spacing w:after="0"/>
        <w:ind w:left="0"/>
        <w:jc w:val="both"/>
      </w:pPr>
      <w:r>
        <w:rPr>
          <w:rFonts w:ascii="Times New Roman"/>
          <w:b w:val="false"/>
          <w:i w:val="false"/>
          <w:color w:val="000000"/>
          <w:sz w:val="28"/>
        </w:rPr>
        <w:t>
      2604. Наличие дистанционного пуска и управления системой не исключает пуск насосов, управление лафетными стволами и арматурой с места их установки (подраздел 5 раздела 13 настоящих Правил).</w:t>
      </w:r>
    </w:p>
    <w:bookmarkEnd w:id="7860"/>
    <w:bookmarkStart w:name="z7878" w:id="7861"/>
    <w:p>
      <w:pPr>
        <w:spacing w:after="0"/>
        <w:ind w:left="0"/>
        <w:jc w:val="both"/>
      </w:pPr>
      <w:r>
        <w:rPr>
          <w:rFonts w:ascii="Times New Roman"/>
          <w:b w:val="false"/>
          <w:i w:val="false"/>
          <w:color w:val="000000"/>
          <w:sz w:val="28"/>
        </w:rPr>
        <w:t>
      Дистанционно-управляемая арматура имеет устройства ее открытия/закрытия за время, обеспечивающее исключение гидравлических ударов.</w:t>
      </w:r>
    </w:p>
    <w:bookmarkEnd w:id="7861"/>
    <w:bookmarkStart w:name="z7879" w:id="7862"/>
    <w:p>
      <w:pPr>
        <w:spacing w:after="0"/>
        <w:ind w:left="0"/>
        <w:jc w:val="both"/>
      </w:pPr>
      <w:r>
        <w:rPr>
          <w:rFonts w:ascii="Times New Roman"/>
          <w:b w:val="false"/>
          <w:i w:val="false"/>
          <w:color w:val="000000"/>
          <w:sz w:val="28"/>
        </w:rPr>
        <w:t>
      2605. Обеспечивается возможность работы насосов без перегревов при отсутствии или малых величинах подачи воды к потребителям.</w:t>
      </w:r>
    </w:p>
    <w:bookmarkEnd w:id="7862"/>
    <w:bookmarkStart w:name="z7880" w:id="7863"/>
    <w:p>
      <w:pPr>
        <w:spacing w:after="0"/>
        <w:ind w:left="0"/>
        <w:jc w:val="both"/>
      </w:pPr>
      <w:r>
        <w:rPr>
          <w:rFonts w:ascii="Times New Roman"/>
          <w:b w:val="false"/>
          <w:i w:val="false"/>
          <w:color w:val="000000"/>
          <w:sz w:val="28"/>
        </w:rPr>
        <w:t>
      2606. Количество лафетных стволов допускается не менее указанного в приложению 283 настоящих Правил, а их размещение должно:</w:t>
      </w:r>
    </w:p>
    <w:bookmarkEnd w:id="7863"/>
    <w:bookmarkStart w:name="z7881" w:id="7864"/>
    <w:p>
      <w:pPr>
        <w:spacing w:after="0"/>
        <w:ind w:left="0"/>
        <w:jc w:val="both"/>
      </w:pPr>
      <w:r>
        <w:rPr>
          <w:rFonts w:ascii="Times New Roman"/>
          <w:b w:val="false"/>
          <w:i w:val="false"/>
          <w:color w:val="000000"/>
          <w:sz w:val="28"/>
        </w:rPr>
        <w:t>
      обеспечивать подачу воды от каждого лафетного ствола на оба борта;</w:t>
      </w:r>
    </w:p>
    <w:bookmarkEnd w:id="7864"/>
    <w:bookmarkStart w:name="z7882" w:id="7865"/>
    <w:p>
      <w:pPr>
        <w:spacing w:after="0"/>
        <w:ind w:left="0"/>
        <w:jc w:val="both"/>
      </w:pPr>
      <w:r>
        <w:rPr>
          <w:rFonts w:ascii="Times New Roman"/>
          <w:b w:val="false"/>
          <w:i w:val="false"/>
          <w:color w:val="000000"/>
          <w:sz w:val="28"/>
        </w:rPr>
        <w:t>
      исключать подачу воды на палубы собственного судна и его оборудование;</w:t>
      </w:r>
    </w:p>
    <w:bookmarkEnd w:id="7865"/>
    <w:bookmarkStart w:name="z7883" w:id="7866"/>
    <w:p>
      <w:pPr>
        <w:spacing w:after="0"/>
        <w:ind w:left="0"/>
        <w:jc w:val="both"/>
      </w:pPr>
      <w:r>
        <w:rPr>
          <w:rFonts w:ascii="Times New Roman"/>
          <w:b w:val="false"/>
          <w:i w:val="false"/>
          <w:color w:val="000000"/>
          <w:sz w:val="28"/>
        </w:rPr>
        <w:t>
      обеспечивать дальность подачи водяной струи согласно приложению 283 настоящих Приложений.</w:t>
      </w:r>
    </w:p>
    <w:bookmarkEnd w:id="7866"/>
    <w:bookmarkStart w:name="z7884" w:id="7867"/>
    <w:p>
      <w:pPr>
        <w:spacing w:after="0"/>
        <w:ind w:left="0"/>
        <w:jc w:val="both"/>
      </w:pPr>
      <w:r>
        <w:rPr>
          <w:rFonts w:ascii="Times New Roman"/>
          <w:b w:val="false"/>
          <w:i w:val="false"/>
          <w:color w:val="000000"/>
          <w:sz w:val="28"/>
        </w:rPr>
        <w:t>
      2607. Каждый лафетный ствол имеет автономное подключение к магистрали системы.</w:t>
      </w:r>
    </w:p>
    <w:bookmarkEnd w:id="7867"/>
    <w:bookmarkStart w:name="z7885" w:id="7868"/>
    <w:p>
      <w:pPr>
        <w:spacing w:after="0"/>
        <w:ind w:left="0"/>
        <w:jc w:val="both"/>
      </w:pPr>
      <w:r>
        <w:rPr>
          <w:rFonts w:ascii="Times New Roman"/>
          <w:b w:val="false"/>
          <w:i w:val="false"/>
          <w:color w:val="000000"/>
          <w:sz w:val="28"/>
        </w:rPr>
        <w:t>
      2608. Клапанные коробки размещаются на открытой палубе.</w:t>
      </w:r>
    </w:p>
    <w:bookmarkEnd w:id="7868"/>
    <w:bookmarkStart w:name="z7886" w:id="7869"/>
    <w:p>
      <w:pPr>
        <w:spacing w:after="0"/>
        <w:ind w:left="0"/>
        <w:jc w:val="both"/>
      </w:pPr>
      <w:r>
        <w:rPr>
          <w:rFonts w:ascii="Times New Roman"/>
          <w:b w:val="false"/>
          <w:i w:val="false"/>
          <w:color w:val="000000"/>
          <w:sz w:val="28"/>
        </w:rPr>
        <w:t>
      Число клапанов в коробке определяется проектантом по согласованию с заказчиком.</w:t>
      </w:r>
    </w:p>
    <w:bookmarkEnd w:id="7869"/>
    <w:bookmarkStart w:name="z7887" w:id="7870"/>
    <w:p>
      <w:pPr>
        <w:spacing w:after="0"/>
        <w:ind w:left="0"/>
        <w:jc w:val="both"/>
      </w:pPr>
      <w:r>
        <w:rPr>
          <w:rFonts w:ascii="Times New Roman"/>
          <w:b w:val="false"/>
          <w:i w:val="false"/>
          <w:color w:val="000000"/>
          <w:sz w:val="28"/>
        </w:rPr>
        <w:t>
      2609. Подача насосов рассчитывается из условия обеспечения одновременной работы лафетных стволов в количестве, указанном в приложении 283 настоящих Правил в зависимости от знака в символе класса судна.</w:t>
      </w:r>
    </w:p>
    <w:bookmarkEnd w:id="7870"/>
    <w:bookmarkStart w:name="z7888" w:id="7871"/>
    <w:p>
      <w:pPr>
        <w:spacing w:after="0"/>
        <w:ind w:left="0"/>
        <w:jc w:val="left"/>
      </w:pPr>
      <w:r>
        <w:rPr>
          <w:rFonts w:ascii="Times New Roman"/>
          <w:b/>
          <w:i w:val="false"/>
          <w:color w:val="000000"/>
        </w:rPr>
        <w:t xml:space="preserve"> Параграф 5. Специальная система пенотушения</w:t>
      </w:r>
    </w:p>
    <w:bookmarkEnd w:id="7871"/>
    <w:bookmarkStart w:name="z7889" w:id="7872"/>
    <w:p>
      <w:pPr>
        <w:spacing w:after="0"/>
        <w:ind w:left="0"/>
        <w:jc w:val="both"/>
      </w:pPr>
      <w:r>
        <w:rPr>
          <w:rFonts w:ascii="Times New Roman"/>
          <w:b w:val="false"/>
          <w:i w:val="false"/>
          <w:color w:val="000000"/>
          <w:sz w:val="28"/>
        </w:rPr>
        <w:t>
      2610. Специальной системой пенотушения оборудуются все суда со знаками оснащенности судна средствами борьбы с пожарами на других судах в символе класса.</w:t>
      </w:r>
    </w:p>
    <w:bookmarkEnd w:id="7872"/>
    <w:bookmarkStart w:name="z7890" w:id="7873"/>
    <w:p>
      <w:pPr>
        <w:spacing w:after="0"/>
        <w:ind w:left="0"/>
        <w:jc w:val="both"/>
      </w:pPr>
      <w:r>
        <w:rPr>
          <w:rFonts w:ascii="Times New Roman"/>
          <w:b w:val="false"/>
          <w:i w:val="false"/>
          <w:color w:val="000000"/>
          <w:sz w:val="28"/>
        </w:rPr>
        <w:t>
      Система использует полностью или частично оборудование специальной водопожарной системы (насосы, трубопроводы, лафетные стволы). Количество и тип оборудования системы пенотушения устанавливается проектантом по согласованию с заказчиком.</w:t>
      </w:r>
    </w:p>
    <w:bookmarkEnd w:id="7873"/>
    <w:bookmarkStart w:name="z7891" w:id="7874"/>
    <w:p>
      <w:pPr>
        <w:spacing w:after="0"/>
        <w:ind w:left="0"/>
        <w:jc w:val="both"/>
      </w:pPr>
      <w:r>
        <w:rPr>
          <w:rFonts w:ascii="Times New Roman"/>
          <w:b w:val="false"/>
          <w:i w:val="false"/>
          <w:color w:val="000000"/>
          <w:sz w:val="28"/>
        </w:rPr>
        <w:t>
      2611. Судам со знаками FF2, FF2WS или FF3WS в символе класса допускается иметь систему, оборудованную переносными воздушно-пенными стволами, пеногенераторами или установками комбинированной пены, при этом пенные лафетные стволы допускается не устанавливать.</w:t>
      </w:r>
    </w:p>
    <w:bookmarkEnd w:id="7874"/>
    <w:bookmarkStart w:name="z7892" w:id="7875"/>
    <w:p>
      <w:pPr>
        <w:spacing w:after="0"/>
        <w:ind w:left="0"/>
        <w:jc w:val="both"/>
      </w:pPr>
      <w:r>
        <w:rPr>
          <w:rFonts w:ascii="Times New Roman"/>
          <w:b w:val="false"/>
          <w:i w:val="false"/>
          <w:color w:val="000000"/>
          <w:sz w:val="28"/>
        </w:rPr>
        <w:t>
      2612. Суда со знаками FF1 или FF1WS в символе класса оборудуются пенными лафетными стволами или пенными насадками для лафетных стволов специальной водопожарной системы. Количество пенных лафетных стволов принимают не менее указанного в приложении 283 настоящих Правил, требования к их установке соответствуют требованиям к лафетным стволам специальной водопожарной системы.</w:t>
      </w:r>
    </w:p>
    <w:bookmarkEnd w:id="7875"/>
    <w:bookmarkStart w:name="z7893" w:id="7876"/>
    <w:p>
      <w:pPr>
        <w:spacing w:after="0"/>
        <w:ind w:left="0"/>
        <w:jc w:val="both"/>
      </w:pPr>
      <w:r>
        <w:rPr>
          <w:rFonts w:ascii="Times New Roman"/>
          <w:b w:val="false"/>
          <w:i w:val="false"/>
          <w:color w:val="000000"/>
          <w:sz w:val="28"/>
        </w:rPr>
        <w:t>
      2613. Запас пенообразователя рассчитывается, исходя из времени работы согласованного количества пеногенераторов или одного лафетного ствола в течение не менее 30 минут.</w:t>
      </w:r>
    </w:p>
    <w:bookmarkEnd w:id="7876"/>
    <w:bookmarkStart w:name="z7894" w:id="7877"/>
    <w:p>
      <w:pPr>
        <w:spacing w:after="0"/>
        <w:ind w:left="0"/>
        <w:jc w:val="both"/>
      </w:pPr>
      <w:r>
        <w:rPr>
          <w:rFonts w:ascii="Times New Roman"/>
          <w:b w:val="false"/>
          <w:i w:val="false"/>
          <w:color w:val="000000"/>
          <w:sz w:val="28"/>
        </w:rPr>
        <w:t>
      2614. Тип пенообразователя выбирается с учетом солености воды в районе, предписанном для эксплуатации судна, и класса жидкостей, материалов или грузов, для тушения которых предназначается пенообразователь (нефть и нефтепродукты, спирты, кетоны, альдегиды).</w:t>
      </w:r>
    </w:p>
    <w:bookmarkEnd w:id="7877"/>
    <w:bookmarkStart w:name="z7895" w:id="7878"/>
    <w:p>
      <w:pPr>
        <w:spacing w:after="0"/>
        <w:ind w:left="0"/>
        <w:jc w:val="left"/>
      </w:pPr>
      <w:r>
        <w:rPr>
          <w:rFonts w:ascii="Times New Roman"/>
          <w:b/>
          <w:i w:val="false"/>
          <w:color w:val="000000"/>
        </w:rPr>
        <w:t xml:space="preserve"> Параграф 6. Специальная система порошкового тушения</w:t>
      </w:r>
    </w:p>
    <w:bookmarkEnd w:id="7878"/>
    <w:bookmarkStart w:name="z7896" w:id="7879"/>
    <w:p>
      <w:pPr>
        <w:spacing w:after="0"/>
        <w:ind w:left="0"/>
        <w:jc w:val="both"/>
      </w:pPr>
      <w:r>
        <w:rPr>
          <w:rFonts w:ascii="Times New Roman"/>
          <w:b w:val="false"/>
          <w:i w:val="false"/>
          <w:color w:val="000000"/>
          <w:sz w:val="28"/>
        </w:rPr>
        <w:t>
      2615. Системой, как правило, оборудуются суда, обслуживающие район эксплуатации газовозов и химовозов.</w:t>
      </w:r>
    </w:p>
    <w:bookmarkEnd w:id="7879"/>
    <w:bookmarkStart w:name="z7897" w:id="7880"/>
    <w:p>
      <w:pPr>
        <w:spacing w:after="0"/>
        <w:ind w:left="0"/>
        <w:jc w:val="both"/>
      </w:pPr>
      <w:r>
        <w:rPr>
          <w:rFonts w:ascii="Times New Roman"/>
          <w:b w:val="false"/>
          <w:i w:val="false"/>
          <w:color w:val="000000"/>
          <w:sz w:val="28"/>
        </w:rPr>
        <w:t>
      2616. Применимые требования главы 156 настоящих Правил распространяются и на специальную систему порошкового тушения.</w:t>
      </w:r>
    </w:p>
    <w:bookmarkEnd w:id="7880"/>
    <w:bookmarkStart w:name="z7898" w:id="7881"/>
    <w:p>
      <w:pPr>
        <w:spacing w:after="0"/>
        <w:ind w:left="0"/>
        <w:jc w:val="both"/>
      </w:pPr>
      <w:r>
        <w:rPr>
          <w:rFonts w:ascii="Times New Roman"/>
          <w:b w:val="false"/>
          <w:i w:val="false"/>
          <w:color w:val="000000"/>
          <w:sz w:val="28"/>
        </w:rPr>
        <w:t>
      2617. Расход порошка через лафетный ствол допускается не менее 40 кг/с.</w:t>
      </w:r>
    </w:p>
    <w:bookmarkEnd w:id="7881"/>
    <w:bookmarkStart w:name="z7899" w:id="7882"/>
    <w:p>
      <w:pPr>
        <w:spacing w:after="0"/>
        <w:ind w:left="0"/>
        <w:jc w:val="both"/>
      </w:pPr>
      <w:r>
        <w:rPr>
          <w:rFonts w:ascii="Times New Roman"/>
          <w:b w:val="false"/>
          <w:i w:val="false"/>
          <w:color w:val="000000"/>
          <w:sz w:val="28"/>
        </w:rPr>
        <w:t>
      Лафетный ствол располагается на специальной площадке, оборудованной устройством дистанционного пуска системы (пункт 2597 настоящих Правил).</w:t>
      </w:r>
    </w:p>
    <w:bookmarkEnd w:id="7882"/>
    <w:bookmarkStart w:name="z7900" w:id="7883"/>
    <w:p>
      <w:pPr>
        <w:spacing w:after="0"/>
        <w:ind w:left="0"/>
        <w:jc w:val="both"/>
      </w:pPr>
      <w:r>
        <w:rPr>
          <w:rFonts w:ascii="Times New Roman"/>
          <w:b w:val="false"/>
          <w:i w:val="false"/>
          <w:color w:val="000000"/>
          <w:sz w:val="28"/>
        </w:rPr>
        <w:t>
      2618. Количество огнетушащего порошка определяется проектантом по согласованию с заказчиком.</w:t>
      </w:r>
    </w:p>
    <w:bookmarkEnd w:id="7883"/>
    <w:bookmarkStart w:name="z7901" w:id="7884"/>
    <w:p>
      <w:pPr>
        <w:spacing w:after="0"/>
        <w:ind w:left="0"/>
        <w:jc w:val="left"/>
      </w:pPr>
      <w:r>
        <w:rPr>
          <w:rFonts w:ascii="Times New Roman"/>
          <w:b/>
          <w:i w:val="false"/>
          <w:color w:val="000000"/>
        </w:rPr>
        <w:t xml:space="preserve"> Параграф 7. Противопожарное снабжение</w:t>
      </w:r>
    </w:p>
    <w:bookmarkEnd w:id="7884"/>
    <w:bookmarkStart w:name="z7902" w:id="7885"/>
    <w:p>
      <w:pPr>
        <w:spacing w:after="0"/>
        <w:ind w:left="0"/>
        <w:jc w:val="both"/>
      </w:pPr>
      <w:r>
        <w:rPr>
          <w:rFonts w:ascii="Times New Roman"/>
          <w:b w:val="false"/>
          <w:i w:val="false"/>
          <w:color w:val="000000"/>
          <w:sz w:val="28"/>
        </w:rPr>
        <w:t>
      2619. Необходимо чтобы на судах было в дополнение к указанному в приложении 275 настоящих Правил следующее противопожарное снабжение:</w:t>
      </w:r>
    </w:p>
    <w:bookmarkEnd w:id="7885"/>
    <w:bookmarkStart w:name="z7903" w:id="7886"/>
    <w:p>
      <w:pPr>
        <w:spacing w:after="0"/>
        <w:ind w:left="0"/>
        <w:jc w:val="both"/>
      </w:pPr>
      <w:r>
        <w:rPr>
          <w:rFonts w:ascii="Times New Roman"/>
          <w:b w:val="false"/>
          <w:i w:val="false"/>
          <w:color w:val="000000"/>
          <w:sz w:val="28"/>
        </w:rPr>
        <w:t>
      комплекты снаряжения для пожарных;</w:t>
      </w:r>
    </w:p>
    <w:bookmarkEnd w:id="7886"/>
    <w:bookmarkStart w:name="z7904" w:id="7887"/>
    <w:p>
      <w:pPr>
        <w:spacing w:after="0"/>
        <w:ind w:left="0"/>
        <w:jc w:val="both"/>
      </w:pPr>
      <w:r>
        <w:rPr>
          <w:rFonts w:ascii="Times New Roman"/>
          <w:b w:val="false"/>
          <w:i w:val="false"/>
          <w:color w:val="000000"/>
          <w:sz w:val="28"/>
        </w:rPr>
        <w:t>
      пожарные рукава;</w:t>
      </w:r>
    </w:p>
    <w:bookmarkEnd w:id="7887"/>
    <w:bookmarkStart w:name="z7905" w:id="7888"/>
    <w:p>
      <w:pPr>
        <w:spacing w:after="0"/>
        <w:ind w:left="0"/>
        <w:jc w:val="both"/>
      </w:pPr>
      <w:r>
        <w:rPr>
          <w:rFonts w:ascii="Times New Roman"/>
          <w:b w:val="false"/>
          <w:i w:val="false"/>
          <w:color w:val="000000"/>
          <w:sz w:val="28"/>
        </w:rPr>
        <w:t>
      комбинированные ручные пожарные стволы;</w:t>
      </w:r>
    </w:p>
    <w:bookmarkEnd w:id="7888"/>
    <w:bookmarkStart w:name="z7906" w:id="7889"/>
    <w:p>
      <w:pPr>
        <w:spacing w:after="0"/>
        <w:ind w:left="0"/>
        <w:jc w:val="both"/>
      </w:pPr>
      <w:r>
        <w:rPr>
          <w:rFonts w:ascii="Times New Roman"/>
          <w:b w:val="false"/>
          <w:i w:val="false"/>
          <w:color w:val="000000"/>
          <w:sz w:val="28"/>
        </w:rPr>
        <w:t>
      переносные воздушно-пенные стволы, пеногенераторы или установки комбинированной пены;</w:t>
      </w:r>
    </w:p>
    <w:bookmarkEnd w:id="7889"/>
    <w:bookmarkStart w:name="z7907" w:id="7890"/>
    <w:p>
      <w:pPr>
        <w:spacing w:after="0"/>
        <w:ind w:left="0"/>
        <w:jc w:val="both"/>
      </w:pPr>
      <w:r>
        <w:rPr>
          <w:rFonts w:ascii="Times New Roman"/>
          <w:b w:val="false"/>
          <w:i w:val="false"/>
          <w:color w:val="000000"/>
          <w:sz w:val="28"/>
        </w:rPr>
        <w:t>
      международные береговые соединения;</w:t>
      </w:r>
    </w:p>
    <w:bookmarkEnd w:id="7890"/>
    <w:bookmarkStart w:name="z7908" w:id="7891"/>
    <w:p>
      <w:pPr>
        <w:spacing w:after="0"/>
        <w:ind w:left="0"/>
        <w:jc w:val="both"/>
      </w:pPr>
      <w:r>
        <w:rPr>
          <w:rFonts w:ascii="Times New Roman"/>
          <w:b w:val="false"/>
          <w:i w:val="false"/>
          <w:color w:val="000000"/>
          <w:sz w:val="28"/>
        </w:rPr>
        <w:t>
      комплекты пожарного инструмента;</w:t>
      </w:r>
    </w:p>
    <w:bookmarkEnd w:id="7891"/>
    <w:bookmarkStart w:name="z7909" w:id="7892"/>
    <w:p>
      <w:pPr>
        <w:spacing w:after="0"/>
        <w:ind w:left="0"/>
        <w:jc w:val="both"/>
      </w:pPr>
      <w:r>
        <w:rPr>
          <w:rFonts w:ascii="Times New Roman"/>
          <w:b w:val="false"/>
          <w:i w:val="false"/>
          <w:color w:val="000000"/>
          <w:sz w:val="28"/>
        </w:rPr>
        <w:t>
      газоанализаторы воспламеняющихся паров и газов;</w:t>
      </w:r>
    </w:p>
    <w:bookmarkEnd w:id="7892"/>
    <w:bookmarkStart w:name="z7910" w:id="7893"/>
    <w:p>
      <w:pPr>
        <w:spacing w:after="0"/>
        <w:ind w:left="0"/>
        <w:jc w:val="both"/>
      </w:pPr>
      <w:r>
        <w:rPr>
          <w:rFonts w:ascii="Times New Roman"/>
          <w:b w:val="false"/>
          <w:i w:val="false"/>
          <w:color w:val="000000"/>
          <w:sz w:val="28"/>
        </w:rPr>
        <w:t>
      дымососы.</w:t>
      </w:r>
    </w:p>
    <w:bookmarkEnd w:id="7893"/>
    <w:bookmarkStart w:name="z7911" w:id="7894"/>
    <w:p>
      <w:pPr>
        <w:spacing w:after="0"/>
        <w:ind w:left="0"/>
        <w:jc w:val="both"/>
      </w:pPr>
      <w:r>
        <w:rPr>
          <w:rFonts w:ascii="Times New Roman"/>
          <w:b w:val="false"/>
          <w:i w:val="false"/>
          <w:color w:val="000000"/>
          <w:sz w:val="28"/>
        </w:rPr>
        <w:t>
      Количество и состав дополнительного снабжения, а также запасных частей к нему, определяется проектантом по согласованию с заказчиком.</w:t>
      </w:r>
    </w:p>
    <w:bookmarkEnd w:id="7894"/>
    <w:bookmarkStart w:name="z7912" w:id="7895"/>
    <w:p>
      <w:pPr>
        <w:spacing w:after="0"/>
        <w:ind w:left="0"/>
        <w:jc w:val="both"/>
      </w:pPr>
      <w:r>
        <w:rPr>
          <w:rFonts w:ascii="Times New Roman"/>
          <w:b w:val="false"/>
          <w:i w:val="false"/>
          <w:color w:val="000000"/>
          <w:sz w:val="28"/>
        </w:rPr>
        <w:t>
      2620. Дополнительное противопожарное снабжение хранится в специальных кладовых.</w:t>
      </w:r>
    </w:p>
    <w:bookmarkEnd w:id="7895"/>
    <w:bookmarkStart w:name="z7913" w:id="7896"/>
    <w:p>
      <w:pPr>
        <w:spacing w:after="0"/>
        <w:ind w:left="0"/>
        <w:jc w:val="both"/>
      </w:pPr>
      <w:r>
        <w:rPr>
          <w:rFonts w:ascii="Times New Roman"/>
          <w:b w:val="false"/>
          <w:i w:val="false"/>
          <w:color w:val="000000"/>
          <w:sz w:val="28"/>
        </w:rPr>
        <w:t>
      Часть предметов снабжения (рукава, стволы, пеногенераторы, воздушно-пенные стволы, рукавные ключи) допускается располагать в пожарных постах у каждой клапанной коробки.</w:t>
      </w:r>
    </w:p>
    <w:bookmarkEnd w:id="7896"/>
    <w:bookmarkStart w:name="z7914" w:id="7897"/>
    <w:p>
      <w:pPr>
        <w:spacing w:after="0"/>
        <w:ind w:left="0"/>
        <w:jc w:val="both"/>
      </w:pPr>
      <w:r>
        <w:rPr>
          <w:rFonts w:ascii="Times New Roman"/>
          <w:b w:val="false"/>
          <w:i w:val="false"/>
          <w:color w:val="000000"/>
          <w:sz w:val="28"/>
        </w:rPr>
        <w:t>
      2621. Для зарядки баллонов автономных дыхательных аппаратов на судах имеются компрессоры типа, одобренного компетентными органами.</w:t>
      </w:r>
    </w:p>
    <w:bookmarkEnd w:id="7897"/>
    <w:bookmarkStart w:name="z7915" w:id="7898"/>
    <w:p>
      <w:pPr>
        <w:spacing w:after="0"/>
        <w:ind w:left="0"/>
        <w:jc w:val="both"/>
      </w:pPr>
      <w:r>
        <w:rPr>
          <w:rFonts w:ascii="Times New Roman"/>
          <w:b w:val="false"/>
          <w:i w:val="false"/>
          <w:color w:val="000000"/>
          <w:sz w:val="28"/>
        </w:rPr>
        <w:t>
      Подача компрессора и количество одновременно заряжаемых баллонов определяется заказчиком. В запасе на судне имеется не менее четырех заряженных баллонов. В зависимости от основного назначения судна и количества членов экипажа необходимость наличия на борту компрессора является предметом специального рассмотрения Регистром судоходства.</w:t>
      </w:r>
    </w:p>
    <w:bookmarkEnd w:id="7898"/>
    <w:bookmarkStart w:name="z7916" w:id="7899"/>
    <w:p>
      <w:pPr>
        <w:spacing w:after="0"/>
        <w:ind w:left="0"/>
        <w:jc w:val="both"/>
      </w:pPr>
      <w:r>
        <w:rPr>
          <w:rFonts w:ascii="Times New Roman"/>
          <w:b w:val="false"/>
          <w:i w:val="false"/>
          <w:color w:val="000000"/>
          <w:sz w:val="28"/>
        </w:rPr>
        <w:t>
      2622. На судах имеются два прожектора согласно пункту 1675 настоящих Правил.</w:t>
      </w:r>
    </w:p>
    <w:bookmarkEnd w:id="7899"/>
    <w:bookmarkStart w:name="z7917" w:id="7900"/>
    <w:p>
      <w:pPr>
        <w:spacing w:after="0"/>
        <w:ind w:left="0"/>
        <w:jc w:val="left"/>
      </w:pPr>
      <w:r>
        <w:rPr>
          <w:rFonts w:ascii="Times New Roman"/>
          <w:b/>
          <w:i w:val="false"/>
          <w:color w:val="000000"/>
        </w:rPr>
        <w:t xml:space="preserve"> Подраздел 7. Специальные требования к судам,</w:t>
      </w:r>
      <w:r>
        <w:br/>
      </w:r>
      <w:r>
        <w:rPr>
          <w:rFonts w:ascii="Times New Roman"/>
          <w:b/>
          <w:i w:val="false"/>
          <w:color w:val="000000"/>
        </w:rPr>
        <w:t>перевозящим опасные грузы в упаковке и навалом</w:t>
      </w:r>
      <w:r>
        <w:br/>
      </w:r>
      <w:r>
        <w:rPr>
          <w:rFonts w:ascii="Times New Roman"/>
          <w:b/>
          <w:i w:val="false"/>
          <w:color w:val="000000"/>
        </w:rPr>
        <w:t>Глава 170. Суда, перевозящие опасные грузы в упаковке и навалом</w:t>
      </w:r>
    </w:p>
    <w:bookmarkEnd w:id="7900"/>
    <w:p>
      <w:pPr>
        <w:spacing w:after="0"/>
        <w:ind w:left="0"/>
        <w:jc w:val="both"/>
      </w:pPr>
      <w:r>
        <w:rPr>
          <w:rFonts w:ascii="Times New Roman"/>
          <w:b w:val="false"/>
          <w:i w:val="false"/>
          <w:color w:val="ff0000"/>
          <w:sz w:val="28"/>
        </w:rPr>
        <w:t xml:space="preserve">
      Сноска. Заголовок главы 170 -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19" w:id="7901"/>
    <w:p>
      <w:pPr>
        <w:spacing w:after="0"/>
        <w:ind w:left="0"/>
        <w:jc w:val="both"/>
      </w:pPr>
      <w:r>
        <w:rPr>
          <w:rFonts w:ascii="Times New Roman"/>
          <w:b w:val="false"/>
          <w:i w:val="false"/>
          <w:color w:val="000000"/>
          <w:sz w:val="28"/>
        </w:rPr>
        <w:t>
      2623. Требования настоящего подраздела направлены на обеспечение дополнительных мер безопасности в отношении судов, перевозящих опасные грузы в упаковке и навалом.</w:t>
      </w:r>
    </w:p>
    <w:bookmarkEnd w:id="7901"/>
    <w:bookmarkStart w:name="z7920" w:id="7902"/>
    <w:p>
      <w:pPr>
        <w:spacing w:after="0"/>
        <w:ind w:left="0"/>
        <w:jc w:val="both"/>
      </w:pPr>
      <w:r>
        <w:rPr>
          <w:rFonts w:ascii="Times New Roman"/>
          <w:b w:val="false"/>
          <w:i w:val="false"/>
          <w:color w:val="000000"/>
          <w:sz w:val="28"/>
        </w:rPr>
        <w:t>
      2624. Требования настоящей главы распространяются на следующие типы судов и грузовые помещения:</w:t>
      </w:r>
    </w:p>
    <w:bookmarkEnd w:id="7902"/>
    <w:bookmarkStart w:name="z7921" w:id="7903"/>
    <w:p>
      <w:pPr>
        <w:spacing w:after="0"/>
        <w:ind w:left="0"/>
        <w:jc w:val="both"/>
      </w:pPr>
      <w:r>
        <w:rPr>
          <w:rFonts w:ascii="Times New Roman"/>
          <w:b w:val="false"/>
          <w:i w:val="false"/>
          <w:color w:val="000000"/>
          <w:sz w:val="28"/>
        </w:rPr>
        <w:t>
      1) суда и грузовые помещения, которые не являются специально сконструированными для перевозки контейнеров, но предназначены для перевозки опасных грузов в упаковке, включая грузы в контейнерах и съемных танках;</w:t>
      </w:r>
    </w:p>
    <w:bookmarkEnd w:id="7903"/>
    <w:bookmarkStart w:name="z7922" w:id="7904"/>
    <w:p>
      <w:pPr>
        <w:spacing w:after="0"/>
        <w:ind w:left="0"/>
        <w:jc w:val="both"/>
      </w:pPr>
      <w:r>
        <w:rPr>
          <w:rFonts w:ascii="Times New Roman"/>
          <w:b w:val="false"/>
          <w:i w:val="false"/>
          <w:color w:val="000000"/>
          <w:sz w:val="28"/>
        </w:rPr>
        <w:t>
      2) специально построенные контейнеровозы и грузовые помещения, предназначенные для перевозки опасных грузов в контейнерах и съемных танках (параграф 1 главы 83 настоящих Правил);</w:t>
      </w:r>
    </w:p>
    <w:bookmarkEnd w:id="7904"/>
    <w:bookmarkStart w:name="z7923" w:id="7905"/>
    <w:p>
      <w:pPr>
        <w:spacing w:after="0"/>
        <w:ind w:left="0"/>
        <w:jc w:val="both"/>
      </w:pPr>
      <w:r>
        <w:rPr>
          <w:rFonts w:ascii="Times New Roman"/>
          <w:b w:val="false"/>
          <w:i w:val="false"/>
          <w:color w:val="000000"/>
          <w:sz w:val="28"/>
        </w:rPr>
        <w:t>
      3) суда и грузовые помещения с горизонтальным способом погрузки и выгрузки, помещения транспортных средств и помещения специальной категории, предназначенные для перевозки опасных грузов. Грузовое помещение с горизонтальным способом погрузки и выгрузки полностью открытое сверху и с двух сторон может рассматриваться как открытая палуба;</w:t>
      </w:r>
    </w:p>
    <w:bookmarkEnd w:id="7905"/>
    <w:bookmarkStart w:name="z7924" w:id="7906"/>
    <w:p>
      <w:pPr>
        <w:spacing w:after="0"/>
        <w:ind w:left="0"/>
        <w:jc w:val="both"/>
      </w:pPr>
      <w:r>
        <w:rPr>
          <w:rFonts w:ascii="Times New Roman"/>
          <w:b w:val="false"/>
          <w:i w:val="false"/>
          <w:color w:val="000000"/>
          <w:sz w:val="28"/>
        </w:rPr>
        <w:t>
      4) суда и грузовые помещения, предназначенные для перевозки опасных грузов навалом;</w:t>
      </w:r>
    </w:p>
    <w:bookmarkEnd w:id="7906"/>
    <w:bookmarkStart w:name="z7925" w:id="7907"/>
    <w:p>
      <w:pPr>
        <w:spacing w:after="0"/>
        <w:ind w:left="0"/>
        <w:jc w:val="both"/>
      </w:pPr>
      <w:r>
        <w:rPr>
          <w:rFonts w:ascii="Times New Roman"/>
          <w:b w:val="false"/>
          <w:i w:val="false"/>
          <w:color w:val="000000"/>
          <w:sz w:val="28"/>
        </w:rPr>
        <w:t>
      5) суда и грузовые помещения, предназначенные для перевозки опасных грузов в судовых баржах, кроме жидкостей и газов, перевозимых наливом.</w:t>
      </w:r>
    </w:p>
    <w:bookmarkEnd w:id="7907"/>
    <w:bookmarkStart w:name="z7926" w:id="7908"/>
    <w:p>
      <w:pPr>
        <w:spacing w:after="0"/>
        <w:ind w:left="0"/>
        <w:jc w:val="both"/>
      </w:pPr>
      <w:r>
        <w:rPr>
          <w:rFonts w:ascii="Times New Roman"/>
          <w:b w:val="false"/>
          <w:i w:val="false"/>
          <w:color w:val="000000"/>
          <w:sz w:val="28"/>
        </w:rPr>
        <w:t>
      2625. Грузовые суда валовой вместимостью менее 500 отвечают требованиям настоящей главы, однако Регистром судоходства допускается снизить эти требования с указанием об этом в Свидетельстве о соответствии судна, перевозящего опасные грузы, специальным требованиям, выдаваемом Регистром судоходства.</w:t>
      </w:r>
    </w:p>
    <w:bookmarkEnd w:id="7908"/>
    <w:bookmarkStart w:name="z7927" w:id="7909"/>
    <w:p>
      <w:pPr>
        <w:spacing w:after="0"/>
        <w:ind w:left="0"/>
        <w:jc w:val="both"/>
      </w:pPr>
      <w:r>
        <w:rPr>
          <w:rFonts w:ascii="Times New Roman"/>
          <w:b w:val="false"/>
          <w:i w:val="false"/>
          <w:color w:val="000000"/>
          <w:sz w:val="28"/>
        </w:rPr>
        <w:t>
      2626. В дополнение к требованиям настоящей главы необходимо выполнение применимых положений МКМПОГ и МКМПНГ. Перевозка опасных грузов на всех судах без соблюдения положений МКМПОГ запрещается.</w:t>
      </w:r>
    </w:p>
    <w:bookmarkEnd w:id="7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2626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8" w:id="7910"/>
    <w:p>
      <w:pPr>
        <w:spacing w:after="0"/>
        <w:ind w:left="0"/>
        <w:jc w:val="both"/>
      </w:pPr>
      <w:r>
        <w:rPr>
          <w:rFonts w:ascii="Times New Roman"/>
          <w:b w:val="false"/>
          <w:i w:val="false"/>
          <w:color w:val="000000"/>
          <w:sz w:val="28"/>
        </w:rPr>
        <w:t>
      2627. Требования настоящей главы выполняются в зависимости от способа перевозки опасных на судах и в грузовых помещениях, указанных в пункте 2625 настоящих Правил, в соответствии с приложением 284 настоящих Правил, в зависимости от класса опасных грузов, перевозимых навалом, в соответствии с приложением 285 настоящих Правил и в зависимости от класса опасных грузов, иных, чем перевозимые навалом, в соответствии с приложением 286 настоящих Правил.</w:t>
      </w:r>
    </w:p>
    <w:bookmarkEnd w:id="7910"/>
    <w:bookmarkStart w:name="z7929" w:id="7911"/>
    <w:p>
      <w:pPr>
        <w:spacing w:after="0"/>
        <w:ind w:left="0"/>
        <w:jc w:val="both"/>
      </w:pPr>
      <w:r>
        <w:rPr>
          <w:rFonts w:ascii="Times New Roman"/>
          <w:b w:val="false"/>
          <w:i w:val="false"/>
          <w:color w:val="000000"/>
          <w:sz w:val="28"/>
        </w:rPr>
        <w:t>
      2628. Принимаются следующие дополнительные меры по обеспечению водой:</w:t>
      </w:r>
    </w:p>
    <w:bookmarkEnd w:id="7911"/>
    <w:bookmarkStart w:name="z7930" w:id="7912"/>
    <w:p>
      <w:pPr>
        <w:spacing w:after="0"/>
        <w:ind w:left="0"/>
        <w:jc w:val="both"/>
      </w:pPr>
      <w:r>
        <w:rPr>
          <w:rFonts w:ascii="Times New Roman"/>
          <w:b w:val="false"/>
          <w:i w:val="false"/>
          <w:color w:val="000000"/>
          <w:sz w:val="28"/>
        </w:rPr>
        <w:t>
      1) водопожарная система обеспечивает немедленную подачу воды под требуемым давлением путем постоянного поддержания давления в магистрали или с помощью дистанционного пуска пожарных насосов из мест, указанных в пункте 2308 настоящих Правил;</w:t>
      </w:r>
    </w:p>
    <w:bookmarkEnd w:id="7912"/>
    <w:bookmarkStart w:name="z7931" w:id="7913"/>
    <w:p>
      <w:pPr>
        <w:spacing w:after="0"/>
        <w:ind w:left="0"/>
        <w:jc w:val="both"/>
      </w:pPr>
      <w:r>
        <w:rPr>
          <w:rFonts w:ascii="Times New Roman"/>
          <w:b w:val="false"/>
          <w:i w:val="false"/>
          <w:color w:val="000000"/>
          <w:sz w:val="28"/>
        </w:rPr>
        <w:t>
      2) водопожарная система обеспечивает подачу воды в количестве, достаточном для питания четырех стволов с предусмотренными на судне насадками при давлении, указанном в пункте 2287 настоящих Правил, в любую часть порожнего грузового помещения. По согласованию с Регистром судоходства, это количество воды допускается подавать с помощью равноценных средств. Необходимо чтобы количество и расположение пожарных кранов было таким, чтобы по меньшей мере две из требуемых четырех струй воды могли подаваться через рукава стандартной длины в любую часть порожнего грузового помещения, и чтобы все четыре струи воды могли подаваться через рукава стандартной длины в любую часть грузового помещения с горизонтальным способом погрузки и выгрузки;</w:t>
      </w:r>
    </w:p>
    <w:bookmarkEnd w:id="7913"/>
    <w:bookmarkStart w:name="z7932" w:id="7914"/>
    <w:p>
      <w:pPr>
        <w:spacing w:after="0"/>
        <w:ind w:left="0"/>
        <w:jc w:val="both"/>
      </w:pPr>
      <w:r>
        <w:rPr>
          <w:rFonts w:ascii="Times New Roman"/>
          <w:b w:val="false"/>
          <w:i w:val="false"/>
          <w:color w:val="000000"/>
          <w:sz w:val="28"/>
        </w:rPr>
        <w:t>
      3) обеспечивается эффективное охлаждение грузового помещения системой водораспыления с интенсивностью, указанной в подпункте 1) пункта 2360 настоящих Правил, или затоплением (пункт 2372 настоящих Правил).</w:t>
      </w:r>
    </w:p>
    <w:bookmarkEnd w:id="7914"/>
    <w:bookmarkStart w:name="z7933" w:id="7915"/>
    <w:p>
      <w:pPr>
        <w:spacing w:after="0"/>
        <w:ind w:left="0"/>
        <w:jc w:val="both"/>
      </w:pPr>
      <w:r>
        <w:rPr>
          <w:rFonts w:ascii="Times New Roman"/>
          <w:b w:val="false"/>
          <w:i w:val="false"/>
          <w:color w:val="000000"/>
          <w:sz w:val="28"/>
        </w:rPr>
        <w:t>
      По согласованию с Регистром судоходства в небольших помещениях и на небольших участках больших грузовых помещений для этой цели допускается использовать пожарные рукава с обеспечением указанной интенсивности подачи воды.</w:t>
      </w:r>
    </w:p>
    <w:bookmarkEnd w:id="7915"/>
    <w:bookmarkStart w:name="z7934" w:id="7916"/>
    <w:p>
      <w:pPr>
        <w:spacing w:after="0"/>
        <w:ind w:left="0"/>
        <w:jc w:val="both"/>
      </w:pPr>
      <w:r>
        <w:rPr>
          <w:rFonts w:ascii="Times New Roman"/>
          <w:b w:val="false"/>
          <w:i w:val="false"/>
          <w:color w:val="000000"/>
          <w:sz w:val="28"/>
        </w:rPr>
        <w:t>
      Необходимо чтобы устройство средств слива и осушения предотвращало образование свободных поверхностей воды согласно пункту 3301 настоящих Правил. Если это не обеспечивается, то производят расчет, доказывающий, что судно с затопленным водой грузовым помещением отвечает требованиям подразделов 2 и 3 раздела 7 настоящих Правил;</w:t>
      </w:r>
    </w:p>
    <w:bookmarkEnd w:id="7916"/>
    <w:bookmarkStart w:name="z7935" w:id="7917"/>
    <w:p>
      <w:pPr>
        <w:spacing w:after="0"/>
        <w:ind w:left="0"/>
        <w:jc w:val="both"/>
      </w:pPr>
      <w:r>
        <w:rPr>
          <w:rFonts w:ascii="Times New Roman"/>
          <w:b w:val="false"/>
          <w:i w:val="false"/>
          <w:color w:val="000000"/>
          <w:sz w:val="28"/>
        </w:rPr>
        <w:t>
      4) вместо выполнения требований подпункта 3) настоящего пункта Правил допускается применение системы тушения пеной высокой кратности в соответствии с параграфом 3 главы 153 настоящих Правил с интенсивностью и продолжительностью работы как для машинных помещений согласно приложению 275 настоящих Правил либо другим подходящими специальными огнетушащими веществами;</w:t>
      </w:r>
    </w:p>
    <w:bookmarkEnd w:id="7917"/>
    <w:bookmarkStart w:name="z7936" w:id="7918"/>
    <w:p>
      <w:pPr>
        <w:spacing w:after="0"/>
        <w:ind w:left="0"/>
        <w:jc w:val="both"/>
      </w:pPr>
      <w:r>
        <w:rPr>
          <w:rFonts w:ascii="Times New Roman"/>
          <w:b w:val="false"/>
          <w:i w:val="false"/>
          <w:color w:val="000000"/>
          <w:sz w:val="28"/>
        </w:rPr>
        <w:t>
      5) необходимо чтобы общее требуемое количество воды удовлетворяет требованиям подпунктов 2) и 3) настоящего пункта Правил, если они применимы, совместно рассчитанное для наибольшего назначенного под перевозку грузового помещения. Требование подпункта 2) настоящего Правил выполняется из расчета общей подачи основных пожарных насосов, без учета подачи аварийного пожарного насоса, если он установлен. Если используется система орошения для удовлетворения требований подпункта 3) настоящего пункта Правил, подача ее насоса также учитывается при расчете общего количества воды;</w:t>
      </w:r>
    </w:p>
    <w:bookmarkEnd w:id="7918"/>
    <w:bookmarkStart w:name="z7937" w:id="7919"/>
    <w:p>
      <w:pPr>
        <w:spacing w:after="0"/>
        <w:ind w:left="0"/>
        <w:jc w:val="both"/>
      </w:pPr>
      <w:r>
        <w:rPr>
          <w:rFonts w:ascii="Times New Roman"/>
          <w:b w:val="false"/>
          <w:i w:val="false"/>
          <w:color w:val="000000"/>
          <w:sz w:val="28"/>
        </w:rPr>
        <w:t>
      6) система водораспыления, требуемая согласно ИМО MSC/Circ.608/Rev.l "Временное руководство по открытым контейнеровозам", также удовлетворяет требованиям для опасных грузов. При этом количество воды, требуемое для пожаротушения в наибольшем грузовом помещении, обеспечивает одновременную работу системы водораспыления и четыре струи воды из пожарных стволов.</w:t>
      </w:r>
    </w:p>
    <w:bookmarkEnd w:id="7919"/>
    <w:bookmarkStart w:name="z7938" w:id="7920"/>
    <w:p>
      <w:pPr>
        <w:spacing w:after="0"/>
        <w:ind w:left="0"/>
        <w:jc w:val="both"/>
      </w:pPr>
      <w:r>
        <w:rPr>
          <w:rFonts w:ascii="Times New Roman"/>
          <w:b w:val="false"/>
          <w:i w:val="false"/>
          <w:color w:val="000000"/>
          <w:sz w:val="28"/>
        </w:rPr>
        <w:t>
      2629. Необходимо чтобы электрическое оборудование отвечало требованиям пунктов 4840, 4841, 4847, 4848, 4850, 5434, 5456, 5479 и главы 541 настоящих Правил.</w:t>
      </w:r>
    </w:p>
    <w:bookmarkEnd w:id="7920"/>
    <w:p>
      <w:pPr>
        <w:spacing w:after="0"/>
        <w:ind w:left="0"/>
        <w:jc w:val="both"/>
      </w:pPr>
      <w:r>
        <w:rPr>
          <w:rFonts w:ascii="Times New Roman"/>
          <w:b w:val="false"/>
          <w:i w:val="false"/>
          <w:color w:val="000000"/>
          <w:sz w:val="28"/>
        </w:rPr>
        <w:t>
      Любое оборудование, которое может быть источником воспламенения легковоспламеняющихся газов и паров и взрывоопасной пыли, не допускается в грузовых помещениях.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0" w:id="7921"/>
    <w:p>
      <w:pPr>
        <w:spacing w:after="0"/>
        <w:ind w:left="0"/>
        <w:jc w:val="both"/>
      </w:pPr>
      <w:r>
        <w:rPr>
          <w:rFonts w:ascii="Times New Roman"/>
          <w:b w:val="false"/>
          <w:i w:val="false"/>
          <w:color w:val="000000"/>
          <w:sz w:val="28"/>
        </w:rPr>
        <w:t>
      2630. В грузовых помещениях с горизонтальным способом погрузки и выгрузки устанавливается стационарная система сигнализации обнаружения пожара, отвечающая требованиям параграфа 1 главы 161 настоящих Правил. В грузовых помещениях всех других типов устанавливается либо стационарная система сигнализации обнаружения пожара, отвечающая требованиям параграфа 1 главы 161 настоящих Правил, либо система дымообнаружения путем забора проб воздуха, отвечающая требованиям пункта 2505 настоящих Правил. Если установлена система дымообнаружения путем забора проб воздуха, то особое внимание должно быть уделено требованию подпункта 3) пункта 2505 настоящих Правил с целью предотвращения утечки токсичного дыма в места, где находятся люди.</w:t>
      </w:r>
    </w:p>
    <w:bookmarkEnd w:id="7921"/>
    <w:bookmarkStart w:name="z7941" w:id="7922"/>
    <w:p>
      <w:pPr>
        <w:spacing w:after="0"/>
        <w:ind w:left="0"/>
        <w:jc w:val="both"/>
      </w:pPr>
      <w:r>
        <w:rPr>
          <w:rFonts w:ascii="Times New Roman"/>
          <w:b w:val="false"/>
          <w:i w:val="false"/>
          <w:color w:val="000000"/>
          <w:sz w:val="28"/>
        </w:rPr>
        <w:t>
      2631. Вентиляция грузовых помещений должна отвечать следующим требованиям раздела 10 настоящих Правил:</w:t>
      </w:r>
    </w:p>
    <w:bookmarkEnd w:id="7922"/>
    <w:bookmarkStart w:name="z7942" w:id="7923"/>
    <w:p>
      <w:pPr>
        <w:spacing w:after="0"/>
        <w:ind w:left="0"/>
        <w:jc w:val="both"/>
      </w:pPr>
      <w:r>
        <w:rPr>
          <w:rFonts w:ascii="Times New Roman"/>
          <w:b w:val="false"/>
          <w:i w:val="false"/>
          <w:color w:val="000000"/>
          <w:sz w:val="28"/>
        </w:rPr>
        <w:t>
      1) устройство системы вентиляции требованиям – пункты 3591, 3592, 3635, 3637 и 3639 настоящих Правил. Для навалочных грузов класса 4.3 и жмыха, содержащего извлекающие масло растворители, -дополнительно требованиям пункта 3641 настоящих Правил;</w:t>
      </w:r>
    </w:p>
    <w:bookmarkEnd w:id="7923"/>
    <w:bookmarkStart w:name="z7943" w:id="7924"/>
    <w:p>
      <w:pPr>
        <w:spacing w:after="0"/>
        <w:ind w:left="0"/>
        <w:jc w:val="both"/>
      </w:pPr>
      <w:r>
        <w:rPr>
          <w:rFonts w:ascii="Times New Roman"/>
          <w:b w:val="false"/>
          <w:i w:val="false"/>
          <w:color w:val="000000"/>
          <w:sz w:val="28"/>
        </w:rPr>
        <w:t>
      2) конструкция вентиляторов - требованиям пункта 3638 настоящих Правил;</w:t>
      </w:r>
    </w:p>
    <w:bookmarkEnd w:id="7924"/>
    <w:bookmarkStart w:name="z7944" w:id="7925"/>
    <w:p>
      <w:pPr>
        <w:spacing w:after="0"/>
        <w:ind w:left="0"/>
        <w:jc w:val="both"/>
      </w:pPr>
      <w:r>
        <w:rPr>
          <w:rFonts w:ascii="Times New Roman"/>
          <w:b w:val="false"/>
          <w:i w:val="false"/>
          <w:color w:val="000000"/>
          <w:sz w:val="28"/>
        </w:rPr>
        <w:t>
      3) если в закрытых грузовых помещениях, предназначенных для перевозки опасных грузов навалом, не предусмотрена искусственная вентиляция, то предусматривается естественная вентиляция согласно пункту 3636 настоящих Правил.</w:t>
      </w:r>
    </w:p>
    <w:bookmarkEnd w:id="7925"/>
    <w:bookmarkStart w:name="z7945" w:id="7926"/>
    <w:p>
      <w:pPr>
        <w:spacing w:after="0"/>
        <w:ind w:left="0"/>
        <w:jc w:val="both"/>
      </w:pPr>
      <w:r>
        <w:rPr>
          <w:rFonts w:ascii="Times New Roman"/>
          <w:b w:val="false"/>
          <w:i w:val="false"/>
          <w:color w:val="000000"/>
          <w:sz w:val="28"/>
        </w:rPr>
        <w:t>
      2632. Система осушения грузовых помещений должна отвечать требованиям пункта 3300 настоящих Правил.</w:t>
      </w:r>
    </w:p>
    <w:bookmarkEnd w:id="7926"/>
    <w:bookmarkStart w:name="z7946" w:id="7927"/>
    <w:p>
      <w:pPr>
        <w:spacing w:after="0"/>
        <w:ind w:left="0"/>
        <w:jc w:val="both"/>
      </w:pPr>
      <w:r>
        <w:rPr>
          <w:rFonts w:ascii="Times New Roman"/>
          <w:b w:val="false"/>
          <w:i w:val="false"/>
          <w:color w:val="000000"/>
          <w:sz w:val="28"/>
        </w:rPr>
        <w:t>
      2633. Судно имеет следующее снабжение:</w:t>
      </w:r>
    </w:p>
    <w:bookmarkEnd w:id="7927"/>
    <w:bookmarkStart w:name="z7947" w:id="7928"/>
    <w:p>
      <w:pPr>
        <w:spacing w:after="0"/>
        <w:ind w:left="0"/>
        <w:jc w:val="both"/>
      </w:pPr>
      <w:r>
        <w:rPr>
          <w:rFonts w:ascii="Times New Roman"/>
          <w:b w:val="false"/>
          <w:i w:val="false"/>
          <w:color w:val="000000"/>
          <w:sz w:val="28"/>
        </w:rPr>
        <w:t>
      1) четыре полных комплекта защитной одежды, стойкой к химическому воздействию и предназначенной для использования в аварийных ситуациях. Защитная одежда закрывает весь кожный покров так, чтобы никакая часть тела не оставалась незащищенной, и, в зависимости от свойств грузов, соответствовать рекомендациям МКМПОГ или МКМПНГ;</w:t>
      </w:r>
    </w:p>
    <w:bookmarkEnd w:id="7928"/>
    <w:bookmarkStart w:name="z7949" w:id="7929"/>
    <w:p>
      <w:pPr>
        <w:spacing w:after="0"/>
        <w:ind w:left="0"/>
        <w:jc w:val="both"/>
      </w:pPr>
      <w:r>
        <w:rPr>
          <w:rFonts w:ascii="Times New Roman"/>
          <w:b w:val="false"/>
          <w:i w:val="false"/>
          <w:color w:val="000000"/>
          <w:sz w:val="28"/>
        </w:rPr>
        <w:t>
      2) не менее двух автономных дыхательных аппаратов в дополнение к требуемым согласно пункту 10 приложения 279 настоящих Правил. Для каждого аппарата предусматривают два запасных баллона, подходящих для использования с аппаратами, в дополнение к требуемым в составе снаряжения для пожарных (подпункт 2) пункта 2533 настоящих Правил).</w:t>
      </w:r>
    </w:p>
    <w:bookmarkEnd w:id="7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2633 с изменением, внесенным приказом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0" w:id="7930"/>
    <w:p>
      <w:pPr>
        <w:spacing w:after="0"/>
        <w:ind w:left="0"/>
        <w:jc w:val="both"/>
      </w:pPr>
      <w:r>
        <w:rPr>
          <w:rFonts w:ascii="Times New Roman"/>
          <w:b w:val="false"/>
          <w:i w:val="false"/>
          <w:color w:val="000000"/>
          <w:sz w:val="28"/>
        </w:rPr>
        <w:t>
      2634. Для грузовых помещений предусматриваются переносные огнетушители общей вместимостью по меньшей мере 12 кг сухого порошка или равноценные им. Эти огнетушители предусматриваются в дополнение к любым другим переносным огнетушителям, требуемым согласно настоящей части.</w:t>
      </w:r>
    </w:p>
    <w:bookmarkEnd w:id="7930"/>
    <w:bookmarkStart w:name="z7951" w:id="7931"/>
    <w:p>
      <w:pPr>
        <w:spacing w:after="0"/>
        <w:ind w:left="0"/>
        <w:jc w:val="both"/>
      </w:pPr>
      <w:r>
        <w:rPr>
          <w:rFonts w:ascii="Times New Roman"/>
          <w:b w:val="false"/>
          <w:i w:val="false"/>
          <w:color w:val="000000"/>
          <w:sz w:val="28"/>
        </w:rPr>
        <w:t>
      2635. Переборки, образующие границы между грузовыми помещениями и машинными помещениями категории А, должны быть типа А-60, кроме случаев, когда опасные грузы укладываются на расстоянии не менее 3 м по горизонтали от таких переборок. Другие ограничивающие конструкции между такими помещениями должны быть типа А-60.</w:t>
      </w:r>
    </w:p>
    <w:bookmarkEnd w:id="7931"/>
    <w:bookmarkStart w:name="z7952" w:id="7932"/>
    <w:p>
      <w:pPr>
        <w:spacing w:after="0"/>
        <w:ind w:left="0"/>
        <w:jc w:val="both"/>
      </w:pPr>
      <w:r>
        <w:rPr>
          <w:rFonts w:ascii="Times New Roman"/>
          <w:b w:val="false"/>
          <w:i w:val="false"/>
          <w:color w:val="000000"/>
          <w:sz w:val="28"/>
        </w:rPr>
        <w:t>
      Когда грузовое помещение частично расположено над машинным помещением категории А и разграничивающие их конструкции не имеют требуемой изоляции, то такое грузовое помещение не является пригодным для перевозки опасных грузов. То же относится и к участкам неизолированной открытой палубы, расположенным над машинным помещением категории А.</w:t>
      </w:r>
    </w:p>
    <w:bookmarkEnd w:id="7932"/>
    <w:bookmarkStart w:name="z7953" w:id="7933"/>
    <w:p>
      <w:pPr>
        <w:spacing w:after="0"/>
        <w:ind w:left="0"/>
        <w:jc w:val="both"/>
      </w:pPr>
      <w:r>
        <w:rPr>
          <w:rFonts w:ascii="Times New Roman"/>
          <w:b w:val="false"/>
          <w:i w:val="false"/>
          <w:color w:val="000000"/>
          <w:sz w:val="28"/>
        </w:rPr>
        <w:t>
      2636. Каждое открытое помещение с горизонтальным способом погрузки и выгрузки, над которым расположена палуба, и каждое помещение, рассматриваемое как закрытое помещение с горизонтальным способом погрузки и выгрузки, которое невозможно плотно закрыть, оборудуют одобренной стационарной системой водораспыления с ручным управлением, которая защищает все участки любой палубы и площадки для транспортных средств в таком помещении. Однако Регистр судоходства допускает применение любой другой стационарной системы пожаротушения, если натурными испытаниями было доказано, что она является не менее эффективной. Устройство средств слива и осушения предотвращает образование свободных поверхностей воды согласно пункту 3301 настоящих Правил. Если это не обеспечивается, то производят расчет, доказывающий, что судно с затопленным водой грузовым помещением отвечает требованиям подразделов 2 и 3 раздела 7 настоящих Правил.</w:t>
      </w:r>
    </w:p>
    <w:bookmarkEnd w:id="7933"/>
    <w:bookmarkStart w:name="z7954" w:id="7934"/>
    <w:p>
      <w:pPr>
        <w:spacing w:after="0"/>
        <w:ind w:left="0"/>
        <w:jc w:val="both"/>
      </w:pPr>
      <w:r>
        <w:rPr>
          <w:rFonts w:ascii="Times New Roman"/>
          <w:b w:val="false"/>
          <w:i w:val="false"/>
          <w:color w:val="000000"/>
          <w:sz w:val="28"/>
        </w:rPr>
        <w:t>
      2637. На судах с помещениями с горизонтальным способом погрузки и выгрузки должно быть обеспечено разделение между закрытым помещением с горизонтальным способом погрузки и выгрузки и примыкающим к нему открытым помещением с горизонтальным способом погрузки и выгрузки. Это разделение должно быть таким, чтобы свести к минимуму проникновение опасных паров и жидкостей из одних помещений в другие. Альтернативно, такое разделение допускается не обеспечивать, если помещение с горизонтальным способом погрузки и выгрузки рассматривается как закрытое грузовое помещение по всей его длине и полностью отвечает соответствующим специальным требованиям настоящей главы.</w:t>
      </w:r>
    </w:p>
    <w:bookmarkEnd w:id="7934"/>
    <w:bookmarkStart w:name="z7955" w:id="7935"/>
    <w:p>
      <w:pPr>
        <w:spacing w:after="0"/>
        <w:ind w:left="0"/>
        <w:jc w:val="both"/>
      </w:pPr>
      <w:r>
        <w:rPr>
          <w:rFonts w:ascii="Times New Roman"/>
          <w:b w:val="false"/>
          <w:i w:val="false"/>
          <w:color w:val="000000"/>
          <w:sz w:val="28"/>
        </w:rPr>
        <w:t>
      2638. Необходимо чтобы на судах с помещениями с горизонтальным способом погрузки и выгрузки было обеспечено разделение между закрытым помещением с горизонтальным способом погрузки и выгрузки и покрывающей помещение открытой палубой. Это разделение должно быть таким, чтобы свести к минимуму проникновение опасных паров и жидкостей между ними. Альтернативно, такое разделение допускается не обеспечивать, если устройства закрытых грузовых помещений отвечают требованиям к перевозке опасных грузов на прилегающей открытой палубе.</w:t>
      </w:r>
    </w:p>
    <w:bookmarkEnd w:id="7935"/>
    <w:bookmarkStart w:name="z7956" w:id="7936"/>
    <w:p>
      <w:pPr>
        <w:spacing w:after="0"/>
        <w:ind w:left="0"/>
        <w:jc w:val="both"/>
      </w:pPr>
      <w:r>
        <w:rPr>
          <w:rFonts w:ascii="Times New Roman"/>
          <w:b w:val="false"/>
          <w:i w:val="false"/>
          <w:color w:val="000000"/>
          <w:sz w:val="28"/>
        </w:rPr>
        <w:t>
      2639. Грузовые помещения на судах, кроме накатных судов, не должны быть смежными с жилыми и служебными помещениями, за исключением служебных помещений с низкой пожарной опасностью, кладовые и иные чем кладовые взрывчатых веществ, кладовые легковоспламеняющихся материалов и веществ – малярные, кладовые воспламеняющихся жидкостей, воспламеняющихся сжиженных и сжатых газов, станции раздачи топлива.</w:t>
      </w:r>
    </w:p>
    <w:bookmarkEnd w:id="7936"/>
    <w:bookmarkStart w:name="z7957" w:id="7937"/>
    <w:p>
      <w:pPr>
        <w:spacing w:after="0"/>
        <w:ind w:left="0"/>
        <w:jc w:val="both"/>
      </w:pPr>
      <w:r>
        <w:rPr>
          <w:rFonts w:ascii="Times New Roman"/>
          <w:b w:val="false"/>
          <w:i w:val="false"/>
          <w:color w:val="000000"/>
          <w:sz w:val="28"/>
        </w:rPr>
        <w:t>
      2640. Закрытия грузовых люков сухогрузных трюмов должны отвечать требованиям пункта 1298 настоящих Правил.</w:t>
      </w:r>
    </w:p>
    <w:bookmarkEnd w:id="7937"/>
    <w:bookmarkStart w:name="z7958" w:id="7938"/>
    <w:p>
      <w:pPr>
        <w:spacing w:after="0"/>
        <w:ind w:left="0"/>
        <w:jc w:val="left"/>
      </w:pPr>
      <w:r>
        <w:rPr>
          <w:rFonts w:ascii="Times New Roman"/>
          <w:b/>
          <w:i w:val="false"/>
          <w:color w:val="000000"/>
        </w:rPr>
        <w:t xml:space="preserve"> Глава 171. Суда, перевозящие отработавшее ядерное топливо,п лутоний и высокорадиоактивные отходы в упаковке (груз ОЯТ)</w:t>
      </w:r>
    </w:p>
    <w:bookmarkEnd w:id="7938"/>
    <w:p>
      <w:pPr>
        <w:spacing w:after="0"/>
        <w:ind w:left="0"/>
        <w:jc w:val="both"/>
      </w:pPr>
      <w:r>
        <w:rPr>
          <w:rFonts w:ascii="Times New Roman"/>
          <w:b w:val="false"/>
          <w:i w:val="false"/>
          <w:color w:val="ff0000"/>
          <w:sz w:val="28"/>
        </w:rPr>
        <w:t xml:space="preserve">
      Сноска. Заголовок главы 171 -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59" w:id="7939"/>
    <w:p>
      <w:pPr>
        <w:spacing w:after="0"/>
        <w:ind w:left="0"/>
        <w:jc w:val="both"/>
      </w:pPr>
      <w:r>
        <w:rPr>
          <w:rFonts w:ascii="Times New Roman"/>
          <w:b w:val="false"/>
          <w:i w:val="false"/>
          <w:color w:val="000000"/>
          <w:sz w:val="28"/>
        </w:rPr>
        <w:t>
      2641. Требования настоящей главы основаны на положениях Кодекса ОЯТ и применяются ко всем судам независимо от их даты постройки и размера, включая грузовые суда валовой вместимостью менее 500, осуществляющим перевозки груза ОЯТ.</w:t>
      </w:r>
    </w:p>
    <w:bookmarkEnd w:id="7939"/>
    <w:bookmarkStart w:name="z7960" w:id="7940"/>
    <w:p>
      <w:pPr>
        <w:spacing w:after="0"/>
        <w:ind w:left="0"/>
        <w:jc w:val="both"/>
      </w:pPr>
      <w:r>
        <w:rPr>
          <w:rFonts w:ascii="Times New Roman"/>
          <w:b w:val="false"/>
          <w:i w:val="false"/>
          <w:color w:val="000000"/>
          <w:sz w:val="28"/>
        </w:rPr>
        <w:t>
      2642. Для целей настоящей главы, суда в зависимости от общей активности перевозимого на борту груза ОЯТ подразделяются на следующие три класса:</w:t>
      </w:r>
    </w:p>
    <w:bookmarkEnd w:id="7940"/>
    <w:bookmarkStart w:name="z7961" w:id="7941"/>
    <w:p>
      <w:pPr>
        <w:spacing w:after="0"/>
        <w:ind w:left="0"/>
        <w:jc w:val="both"/>
      </w:pPr>
      <w:r>
        <w:rPr>
          <w:rFonts w:ascii="Times New Roman"/>
          <w:b w:val="false"/>
          <w:i w:val="false"/>
          <w:color w:val="000000"/>
          <w:sz w:val="28"/>
        </w:rPr>
        <w:t>
      Суда класса ОЯТ1 — суда, которые имеют свидетельство на перевозку груза ОЯТ с общей активностью менее 4000 ТБк;</w:t>
      </w:r>
    </w:p>
    <w:bookmarkEnd w:id="7941"/>
    <w:bookmarkStart w:name="z7962" w:id="7942"/>
    <w:p>
      <w:pPr>
        <w:spacing w:after="0"/>
        <w:ind w:left="0"/>
        <w:jc w:val="both"/>
      </w:pPr>
      <w:r>
        <w:rPr>
          <w:rFonts w:ascii="Times New Roman"/>
          <w:b w:val="false"/>
          <w:i w:val="false"/>
          <w:color w:val="000000"/>
          <w:sz w:val="28"/>
        </w:rPr>
        <w:t>
      Суда класса ОЯТ2 — суда, которые имеют свидетельство на перевозку отработавшего ядерного топлива или высокорадиоактивных отходов общей активностью менее 2 х 106 ТБк, и суда, которые имеют свидетельство на перевозку плутония с общей активностью менее 2 х 105 ТБк;</w:t>
      </w:r>
    </w:p>
    <w:bookmarkEnd w:id="7942"/>
    <w:bookmarkStart w:name="z7963" w:id="7943"/>
    <w:p>
      <w:pPr>
        <w:spacing w:after="0"/>
        <w:ind w:left="0"/>
        <w:jc w:val="both"/>
      </w:pPr>
      <w:r>
        <w:rPr>
          <w:rFonts w:ascii="Times New Roman"/>
          <w:b w:val="false"/>
          <w:i w:val="false"/>
          <w:color w:val="000000"/>
          <w:sz w:val="28"/>
        </w:rPr>
        <w:t>
      Суда класса ОЯТ3 — суда, которые имеют свидетельство на перевозку отработавшего ядерного топлива и высокорадиоактивных отходов, и суда, которые имеют свидетельство на перевозку плутония, без ограничения максимальной общей активности материалов.</w:t>
      </w:r>
    </w:p>
    <w:bookmarkEnd w:id="7943"/>
    <w:bookmarkStart w:name="z7964" w:id="7944"/>
    <w:p>
      <w:pPr>
        <w:spacing w:after="0"/>
        <w:ind w:left="0"/>
        <w:jc w:val="both"/>
      </w:pPr>
      <w:r>
        <w:rPr>
          <w:rFonts w:ascii="Times New Roman"/>
          <w:b w:val="false"/>
          <w:i w:val="false"/>
          <w:color w:val="000000"/>
          <w:sz w:val="28"/>
        </w:rPr>
        <w:t>
      Подтверждение соответствия судна требованиям настоящей главы удостоверяется соответствующим знаком в символе класса.</w:t>
      </w:r>
    </w:p>
    <w:bookmarkEnd w:id="7944"/>
    <w:bookmarkStart w:name="z7965" w:id="7945"/>
    <w:p>
      <w:pPr>
        <w:spacing w:after="0"/>
        <w:ind w:left="0"/>
        <w:jc w:val="both"/>
      </w:pPr>
      <w:r>
        <w:rPr>
          <w:rFonts w:ascii="Times New Roman"/>
          <w:b w:val="false"/>
          <w:i w:val="false"/>
          <w:color w:val="000000"/>
          <w:sz w:val="28"/>
        </w:rPr>
        <w:t>
      2643. В дополнение к требованиям настоящей главы выполняются применимые положения МКМПОГ.</w:t>
      </w:r>
    </w:p>
    <w:bookmarkEnd w:id="7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2643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66" w:id="7946"/>
    <w:p>
      <w:pPr>
        <w:spacing w:after="0"/>
        <w:ind w:left="0"/>
        <w:jc w:val="both"/>
      </w:pPr>
      <w:r>
        <w:rPr>
          <w:rFonts w:ascii="Times New Roman"/>
          <w:b w:val="false"/>
          <w:i w:val="false"/>
          <w:color w:val="000000"/>
          <w:sz w:val="28"/>
        </w:rPr>
        <w:t>
      2644. Груз ОЯТ, который требуется перевозить на судах класса ОЯТЗ, не разрешается перевозить на пассажирских судах.</w:t>
      </w:r>
    </w:p>
    <w:bookmarkEnd w:id="7946"/>
    <w:bookmarkStart w:name="z7967" w:id="7947"/>
    <w:p>
      <w:pPr>
        <w:spacing w:after="0"/>
        <w:ind w:left="0"/>
        <w:jc w:val="both"/>
      </w:pPr>
      <w:r>
        <w:rPr>
          <w:rFonts w:ascii="Times New Roman"/>
          <w:b w:val="false"/>
          <w:i w:val="false"/>
          <w:color w:val="000000"/>
          <w:sz w:val="28"/>
        </w:rPr>
        <w:t>
      2645. Аварийная посадка и остойчивость судна должна отвечать требованиям параграфа 7 главы 126 настоящих Правил.</w:t>
      </w:r>
    </w:p>
    <w:bookmarkEnd w:id="7947"/>
    <w:bookmarkStart w:name="z7968" w:id="7948"/>
    <w:p>
      <w:pPr>
        <w:spacing w:after="0"/>
        <w:ind w:left="0"/>
        <w:jc w:val="both"/>
      </w:pPr>
      <w:r>
        <w:rPr>
          <w:rFonts w:ascii="Times New Roman"/>
          <w:b w:val="false"/>
          <w:i w:val="false"/>
          <w:color w:val="000000"/>
          <w:sz w:val="28"/>
        </w:rPr>
        <w:t>
      2646. В дополнение к требованиям настоящего раздела Правил на судне устанавливается стационарная система водораспыления для грузовых помещений, обеспечивающая интенсивность подачи воды, указанной в подпункте 1) пункта 2360 настоящих Правил. На судах класса ОЯТ1 систему водораспыления допускается не устанавливать при условии выполнения требований подпунктов 1) и 2) пункта 2628 настоящих Правил.</w:t>
      </w:r>
    </w:p>
    <w:bookmarkEnd w:id="7948"/>
    <w:bookmarkStart w:name="z7969" w:id="7949"/>
    <w:p>
      <w:pPr>
        <w:spacing w:after="0"/>
        <w:ind w:left="0"/>
        <w:jc w:val="both"/>
      </w:pPr>
      <w:r>
        <w:rPr>
          <w:rFonts w:ascii="Times New Roman"/>
          <w:b w:val="false"/>
          <w:i w:val="false"/>
          <w:color w:val="000000"/>
          <w:sz w:val="28"/>
        </w:rPr>
        <w:t>
      2647. На судах класса ОЯТЗ жилые и служебные помещения, посты управления и машинные помещения категории А располагаются в нос или в корму от грузовых помещений, при этом обращают должное внимание на общую безопасность судна.</w:t>
      </w:r>
    </w:p>
    <w:bookmarkEnd w:id="7949"/>
    <w:bookmarkStart w:name="z7970" w:id="7950"/>
    <w:p>
      <w:pPr>
        <w:spacing w:after="0"/>
        <w:ind w:left="0"/>
        <w:jc w:val="both"/>
      </w:pPr>
      <w:r>
        <w:rPr>
          <w:rFonts w:ascii="Times New Roman"/>
          <w:b w:val="false"/>
          <w:i w:val="false"/>
          <w:color w:val="000000"/>
          <w:sz w:val="28"/>
        </w:rPr>
        <w:t>
      2648. Грузовые помещения судна оборудуют системами регулирования температуры согласно пункту 3642 настоящих Правил.</w:t>
      </w:r>
    </w:p>
    <w:bookmarkEnd w:id="7950"/>
    <w:bookmarkStart w:name="z7971" w:id="7951"/>
    <w:p>
      <w:pPr>
        <w:spacing w:after="0"/>
        <w:ind w:left="0"/>
        <w:jc w:val="both"/>
      </w:pPr>
      <w:r>
        <w:rPr>
          <w:rFonts w:ascii="Times New Roman"/>
          <w:b w:val="false"/>
          <w:i w:val="false"/>
          <w:color w:val="000000"/>
          <w:sz w:val="28"/>
        </w:rPr>
        <w:t>
      2649. Необходимо чтобы конструкция корпуса судна соответствовала требованиям раздела 4 настоящих Правил.</w:t>
      </w:r>
    </w:p>
    <w:bookmarkEnd w:id="7951"/>
    <w:bookmarkStart w:name="z7972" w:id="7952"/>
    <w:p>
      <w:pPr>
        <w:spacing w:after="0"/>
        <w:ind w:left="0"/>
        <w:jc w:val="both"/>
      </w:pPr>
      <w:r>
        <w:rPr>
          <w:rFonts w:ascii="Times New Roman"/>
          <w:b w:val="false"/>
          <w:i w:val="false"/>
          <w:color w:val="000000"/>
          <w:sz w:val="28"/>
        </w:rPr>
        <w:t>
      2650. Предусматриваются постоянные устройства для крепления упаковок с грузом ОЯТ внутри грузовых помещений. Необходимо чтобы устройства соответствовали требованиям Руководства по разработке наставлений по креплению грузов.</w:t>
      </w:r>
    </w:p>
    <w:bookmarkEnd w:id="7952"/>
    <w:bookmarkStart w:name="z7973" w:id="7953"/>
    <w:p>
      <w:pPr>
        <w:spacing w:after="0"/>
        <w:ind w:left="0"/>
        <w:jc w:val="both"/>
      </w:pPr>
      <w:r>
        <w:rPr>
          <w:rFonts w:ascii="Times New Roman"/>
          <w:b w:val="false"/>
          <w:i w:val="false"/>
          <w:color w:val="000000"/>
          <w:sz w:val="28"/>
        </w:rPr>
        <w:t>
      2651. Необходимо чтобы электрическое оборудование систем и устройств, указанных в пунктах 2646 и 2648 настоящих Правил, соответствовали требованиям раздела 13 настоящих Правил.</w:t>
      </w:r>
    </w:p>
    <w:bookmarkEnd w:id="7953"/>
    <w:bookmarkStart w:name="z7974" w:id="7954"/>
    <w:p>
      <w:pPr>
        <w:spacing w:after="0"/>
        <w:ind w:left="0"/>
        <w:jc w:val="both"/>
      </w:pPr>
      <w:r>
        <w:rPr>
          <w:rFonts w:ascii="Times New Roman"/>
          <w:b w:val="false"/>
          <w:i w:val="false"/>
          <w:color w:val="000000"/>
          <w:sz w:val="28"/>
        </w:rPr>
        <w:t>
      Требования к аварийному источнику электрической энергии для питания этих систем изложены в подразделе 9 раздела 13 настоящих Правил.</w:t>
      </w:r>
    </w:p>
    <w:bookmarkEnd w:id="7954"/>
    <w:bookmarkStart w:name="z7975" w:id="7955"/>
    <w:p>
      <w:pPr>
        <w:spacing w:after="0"/>
        <w:ind w:left="0"/>
        <w:jc w:val="both"/>
      </w:pPr>
      <w:r>
        <w:rPr>
          <w:rFonts w:ascii="Times New Roman"/>
          <w:b w:val="false"/>
          <w:i w:val="false"/>
          <w:color w:val="000000"/>
          <w:sz w:val="28"/>
        </w:rPr>
        <w:t>
      2652. В зависимости от характеристик перевозимого груза ОЯТ и конструкции судна, при необходимости, предусматривают дополнительные устройства и оборудование радиационной защиты, отвечающее требованиям государственных компетентных органов в области радиационной безопасности.</w:t>
      </w:r>
    </w:p>
    <w:bookmarkEnd w:id="7955"/>
    <w:bookmarkStart w:name="z7976" w:id="7956"/>
    <w:p>
      <w:pPr>
        <w:spacing w:after="0"/>
        <w:ind w:left="0"/>
        <w:jc w:val="both"/>
      </w:pPr>
      <w:r>
        <w:rPr>
          <w:rFonts w:ascii="Times New Roman"/>
          <w:b w:val="false"/>
          <w:i w:val="false"/>
          <w:color w:val="000000"/>
          <w:sz w:val="28"/>
        </w:rPr>
        <w:t>
      2653. Необходимо чтобы на борту судна был одобренный судовой план действий в аварийной ситуации, разработанный в соответствии с Руководством по разработке судовых планов в аварийной ситуации для судов, перевозящих материалы, попадающие под действие Кодекса ОЯТ, принятый ИМО резолюцией А.854(20).</w:t>
      </w:r>
    </w:p>
    <w:bookmarkEnd w:id="7956"/>
    <w:bookmarkStart w:name="z7977" w:id="7957"/>
    <w:p>
      <w:pPr>
        <w:spacing w:after="0"/>
        <w:ind w:left="0"/>
        <w:jc w:val="both"/>
      </w:pPr>
      <w:r>
        <w:rPr>
          <w:rFonts w:ascii="Times New Roman"/>
          <w:b w:val="false"/>
          <w:i w:val="false"/>
          <w:color w:val="000000"/>
          <w:sz w:val="28"/>
        </w:rPr>
        <w:t>
      2654. На борту судов необходимо оборудование (индивидуальные средства защиты персонала, приборы) для использования в аварийной ситуации. Тип и количество такого оборудования зависит от перевозимого груза ОЯТ и определяется судовым планом действий в аварийной ситуации, указанным в пункте 2884 настоящих Правил.</w:t>
      </w:r>
    </w:p>
    <w:bookmarkEnd w:id="7957"/>
    <w:bookmarkStart w:name="z7978" w:id="7958"/>
    <w:p>
      <w:pPr>
        <w:spacing w:after="0"/>
        <w:ind w:left="0"/>
        <w:jc w:val="left"/>
      </w:pPr>
      <w:r>
        <w:rPr>
          <w:rFonts w:ascii="Times New Roman"/>
          <w:b/>
          <w:i w:val="false"/>
          <w:color w:val="000000"/>
        </w:rPr>
        <w:t xml:space="preserve"> Раздел 9. Механические установки</w:t>
      </w:r>
      <w:r>
        <w:br/>
      </w:r>
      <w:r>
        <w:rPr>
          <w:rFonts w:ascii="Times New Roman"/>
          <w:b/>
          <w:i w:val="false"/>
          <w:color w:val="000000"/>
        </w:rPr>
        <w:t>Подраздел 1. Общие положения</w:t>
      </w:r>
      <w:r>
        <w:br/>
      </w:r>
      <w:r>
        <w:rPr>
          <w:rFonts w:ascii="Times New Roman"/>
          <w:b/>
          <w:i w:val="false"/>
          <w:color w:val="000000"/>
        </w:rPr>
        <w:t>Глава 172. Область распространения</w:t>
      </w:r>
    </w:p>
    <w:bookmarkEnd w:id="7958"/>
    <w:p>
      <w:pPr>
        <w:spacing w:after="0"/>
        <w:ind w:left="0"/>
        <w:jc w:val="both"/>
      </w:pPr>
      <w:r>
        <w:rPr>
          <w:rFonts w:ascii="Times New Roman"/>
          <w:b w:val="false"/>
          <w:i w:val="false"/>
          <w:color w:val="ff0000"/>
          <w:sz w:val="28"/>
        </w:rPr>
        <w:t xml:space="preserve">
      Сноска. Заголовок главы 172 -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81" w:id="7959"/>
    <w:p>
      <w:pPr>
        <w:spacing w:after="0"/>
        <w:ind w:left="0"/>
        <w:jc w:val="both"/>
      </w:pPr>
      <w:r>
        <w:rPr>
          <w:rFonts w:ascii="Times New Roman"/>
          <w:b w:val="false"/>
          <w:i w:val="false"/>
          <w:color w:val="000000"/>
          <w:sz w:val="28"/>
        </w:rPr>
        <w:t>
      2655. Настоящий раздел Правил распространяется на судовые механические установки, оборудование машинных помещений, валопроводы, движители, запасные части и средства активного управления судами, как они определены в подпункте 156) пункта 6 настоящих Правил.</w:t>
      </w:r>
    </w:p>
    <w:bookmarkEnd w:id="7959"/>
    <w:bookmarkStart w:name="z7982" w:id="7960"/>
    <w:p>
      <w:pPr>
        <w:spacing w:after="0"/>
        <w:ind w:left="0"/>
        <w:jc w:val="both"/>
      </w:pPr>
      <w:r>
        <w:rPr>
          <w:rFonts w:ascii="Times New Roman"/>
          <w:b w:val="false"/>
          <w:i w:val="false"/>
          <w:color w:val="000000"/>
          <w:sz w:val="28"/>
        </w:rPr>
        <w:t>
      2656. Необходимо чтобы механические установки и оборудование машинных помещений стоечных судов соответствовали требованиям подразделов 1 — 4 и 9 настоящего раздела Правил в той мере, насколько они применимы и достаточны.</w:t>
      </w:r>
    </w:p>
    <w:bookmarkEnd w:id="7960"/>
    <w:bookmarkStart w:name="z7983" w:id="7961"/>
    <w:p>
      <w:pPr>
        <w:spacing w:after="0"/>
        <w:ind w:left="0"/>
        <w:jc w:val="both"/>
      </w:pPr>
      <w:r>
        <w:rPr>
          <w:rFonts w:ascii="Times New Roman"/>
          <w:b w:val="false"/>
          <w:i w:val="false"/>
          <w:color w:val="000000"/>
          <w:sz w:val="28"/>
        </w:rPr>
        <w:t xml:space="preserve">
      2657. Требования настоящего раздела Правил составлены, исходя из условия, что температура вспышки топлива (подпункт 293) пункта 6 настоящих Правил), используемого на судах неограниченного района плавания, для двигателей и котлов не ниже 60 </w:t>
      </w:r>
      <w:r>
        <w:rPr>
          <w:rFonts w:ascii="Times New Roman"/>
          <w:b w:val="false"/>
          <w:i w:val="false"/>
          <w:color w:val="000000"/>
          <w:vertAlign w:val="superscript"/>
        </w:rPr>
        <w:t>о</w:t>
      </w:r>
      <w:r>
        <w:rPr>
          <w:rFonts w:ascii="Times New Roman"/>
          <w:b w:val="false"/>
          <w:i w:val="false"/>
          <w:color w:val="000000"/>
          <w:sz w:val="28"/>
        </w:rPr>
        <w:t xml:space="preserve">С, а для аварийных дизель- генераторов — не ниже 43 </w:t>
      </w:r>
      <w:r>
        <w:rPr>
          <w:rFonts w:ascii="Times New Roman"/>
          <w:b w:val="false"/>
          <w:i w:val="false"/>
          <w:color w:val="000000"/>
          <w:vertAlign w:val="superscript"/>
        </w:rPr>
        <w:t>о</w:t>
      </w:r>
      <w:r>
        <w:rPr>
          <w:rFonts w:ascii="Times New Roman"/>
          <w:b w:val="false"/>
          <w:i w:val="false"/>
          <w:color w:val="000000"/>
          <w:sz w:val="28"/>
        </w:rPr>
        <w:t>С.</w:t>
      </w:r>
    </w:p>
    <w:bookmarkEnd w:id="7961"/>
    <w:bookmarkStart w:name="z7984" w:id="7962"/>
    <w:p>
      <w:pPr>
        <w:spacing w:after="0"/>
        <w:ind w:left="0"/>
        <w:jc w:val="both"/>
      </w:pPr>
      <w:r>
        <w:rPr>
          <w:rFonts w:ascii="Times New Roman"/>
          <w:b w:val="false"/>
          <w:i w:val="false"/>
          <w:color w:val="000000"/>
          <w:sz w:val="28"/>
        </w:rPr>
        <w:t xml:space="preserve">
      2658. На судах, эксплуатация которых будет осуществляться в ограниченных районах с такими климатическими условиями, что температура в помещениях, где хранится и используется топливо, будет не менее чем на 10 </w:t>
      </w:r>
      <w:r>
        <w:rPr>
          <w:rFonts w:ascii="Times New Roman"/>
          <w:b w:val="false"/>
          <w:i w:val="false"/>
          <w:color w:val="000000"/>
          <w:vertAlign w:val="superscript"/>
        </w:rPr>
        <w:t>о</w:t>
      </w:r>
      <w:r>
        <w:rPr>
          <w:rFonts w:ascii="Times New Roman"/>
          <w:b w:val="false"/>
          <w:i w:val="false"/>
          <w:color w:val="000000"/>
          <w:sz w:val="28"/>
        </w:rPr>
        <w:t xml:space="preserve">С ниже температуры вспышки топлива, применяется топливо с температурой вспышки не ниже 43 </w:t>
      </w:r>
      <w:r>
        <w:rPr>
          <w:rFonts w:ascii="Times New Roman"/>
          <w:b w:val="false"/>
          <w:i w:val="false"/>
          <w:color w:val="000000"/>
          <w:vertAlign w:val="superscript"/>
        </w:rPr>
        <w:t>о</w:t>
      </w:r>
      <w:r>
        <w:rPr>
          <w:rFonts w:ascii="Times New Roman"/>
          <w:b w:val="false"/>
          <w:i w:val="false"/>
          <w:color w:val="000000"/>
          <w:sz w:val="28"/>
        </w:rPr>
        <w:t>С. При этом выполняются мероприятия, обеспечивающие контроль и поддержание этого температурного режима в указанных помещениях.</w:t>
      </w:r>
    </w:p>
    <w:bookmarkEnd w:id="7962"/>
    <w:bookmarkStart w:name="z7985" w:id="7963"/>
    <w:p>
      <w:pPr>
        <w:spacing w:after="0"/>
        <w:ind w:left="0"/>
        <w:jc w:val="both"/>
      </w:pPr>
      <w:r>
        <w:rPr>
          <w:rFonts w:ascii="Times New Roman"/>
          <w:b w:val="false"/>
          <w:i w:val="false"/>
          <w:color w:val="000000"/>
          <w:sz w:val="28"/>
        </w:rPr>
        <w:t>
      2659. Использование топлива с температурой вспышки ниже 43 °С допускается при условии выполнения требований пункта 3588-1 настоящих Правил и специального рассмотрения Регистром судоходства.</w:t>
      </w:r>
    </w:p>
    <w:bookmarkEnd w:id="7963"/>
    <w:p>
      <w:pPr>
        <w:spacing w:after="0"/>
        <w:ind w:left="0"/>
        <w:jc w:val="both"/>
      </w:pPr>
      <w:r>
        <w:rPr>
          <w:rFonts w:ascii="Times New Roman"/>
          <w:b w:val="false"/>
          <w:i w:val="false"/>
          <w:color w:val="000000"/>
          <w:sz w:val="28"/>
        </w:rPr>
        <w:t>
      При этом топливо не хранится в машинных помещениях.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2659 в редакции приказа Министра по инвестициям и развитию РК от 30.11.2017 </w:t>
      </w:r>
      <w:r>
        <w:rPr>
          <w:rFonts w:ascii="Times New Roman"/>
          <w:b w:val="false"/>
          <w:i w:val="false"/>
          <w:color w:val="000000"/>
          <w:sz w:val="28"/>
        </w:rPr>
        <w:t>№ 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7" w:id="7964"/>
    <w:p>
      <w:pPr>
        <w:spacing w:after="0"/>
        <w:ind w:left="0"/>
        <w:jc w:val="both"/>
      </w:pPr>
      <w:r>
        <w:rPr>
          <w:rFonts w:ascii="Times New Roman"/>
          <w:b w:val="false"/>
          <w:i w:val="false"/>
          <w:color w:val="000000"/>
          <w:sz w:val="28"/>
        </w:rPr>
        <w:t>
      2660. На нефтеналивных судах в качестве топлива для котлов допускается применять сырую нефть и остатки нефтяного груза. Условия их применения изложены в главы 308 настоящих Правил.</w:t>
      </w:r>
    </w:p>
    <w:bookmarkEnd w:id="7964"/>
    <w:bookmarkStart w:name="z7988" w:id="7965"/>
    <w:p>
      <w:pPr>
        <w:spacing w:after="0"/>
        <w:ind w:left="0"/>
        <w:jc w:val="both"/>
      </w:pPr>
      <w:r>
        <w:rPr>
          <w:rFonts w:ascii="Times New Roman"/>
          <w:b w:val="false"/>
          <w:i w:val="false"/>
          <w:color w:val="000000"/>
          <w:sz w:val="28"/>
        </w:rPr>
        <w:t>
      2661. Система мониторинга технического состояния обеспечивает определение вида технического состояния объекта и систематическое наблюдение (слежение) за его изменением на основе измерения значений контролируемых (диагностических) параметров и сравнения этих значений с установленными нормами.</w:t>
      </w:r>
    </w:p>
    <w:bookmarkEnd w:id="7965"/>
    <w:bookmarkStart w:name="z7989" w:id="7966"/>
    <w:p>
      <w:pPr>
        <w:spacing w:after="0"/>
        <w:ind w:left="0"/>
        <w:jc w:val="left"/>
      </w:pPr>
      <w:r>
        <w:rPr>
          <w:rFonts w:ascii="Times New Roman"/>
          <w:b/>
          <w:i w:val="false"/>
          <w:color w:val="000000"/>
        </w:rPr>
        <w:t xml:space="preserve"> Глава 173. Объем освидетельствований</w:t>
      </w:r>
    </w:p>
    <w:bookmarkEnd w:id="7966"/>
    <w:p>
      <w:pPr>
        <w:spacing w:after="0"/>
        <w:ind w:left="0"/>
        <w:jc w:val="both"/>
      </w:pPr>
      <w:r>
        <w:rPr>
          <w:rFonts w:ascii="Times New Roman"/>
          <w:b w:val="false"/>
          <w:i w:val="false"/>
          <w:color w:val="ff0000"/>
          <w:sz w:val="28"/>
        </w:rPr>
        <w:t xml:space="preserve">
      Сноска. Заголовок главы 173 -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90" w:id="7967"/>
    <w:p>
      <w:pPr>
        <w:spacing w:after="0"/>
        <w:ind w:left="0"/>
        <w:jc w:val="both"/>
      </w:pPr>
      <w:r>
        <w:rPr>
          <w:rFonts w:ascii="Times New Roman"/>
          <w:b w:val="false"/>
          <w:i w:val="false"/>
          <w:color w:val="000000"/>
          <w:sz w:val="28"/>
        </w:rPr>
        <w:t>
      2662. Общие положения, относящиеся к порядку классификации и к освидетельствованиям, в том числе при изготовлении, а также требования к технической документации, предъявляемой на рассмотрение Регистру судоходства, изложены в части 1 настоящих Правил.</w:t>
      </w:r>
    </w:p>
    <w:bookmarkEnd w:id="7967"/>
    <w:bookmarkStart w:name="z7991" w:id="7968"/>
    <w:p>
      <w:pPr>
        <w:spacing w:after="0"/>
        <w:ind w:left="0"/>
        <w:jc w:val="both"/>
      </w:pPr>
      <w:r>
        <w:rPr>
          <w:rFonts w:ascii="Times New Roman"/>
          <w:b w:val="false"/>
          <w:i w:val="false"/>
          <w:color w:val="000000"/>
          <w:sz w:val="28"/>
        </w:rPr>
        <w:t>
      2663. Освидетельствованию Регистром судоходства, включая техническую документацию в соответствии с пунктом 90 настоящих Правил, подлежат следующие детали и изделия:</w:t>
      </w:r>
    </w:p>
    <w:bookmarkEnd w:id="7968"/>
    <w:bookmarkStart w:name="z7992" w:id="7969"/>
    <w:p>
      <w:pPr>
        <w:spacing w:after="0"/>
        <w:ind w:left="0"/>
        <w:jc w:val="both"/>
      </w:pPr>
      <w:r>
        <w:rPr>
          <w:rFonts w:ascii="Times New Roman"/>
          <w:b w:val="false"/>
          <w:i w:val="false"/>
          <w:color w:val="000000"/>
          <w:sz w:val="28"/>
        </w:rPr>
        <w:t>
      1) валопроводы в сборе, включая гребные валы с облицовками и гидроизоляцией, подшипники опорные, упорные и дейдвудные в сборе, муфты соединительные, уплотнения дейдвудных устройств;</w:t>
      </w:r>
    </w:p>
    <w:bookmarkEnd w:id="7969"/>
    <w:bookmarkStart w:name="z7993" w:id="7970"/>
    <w:p>
      <w:pPr>
        <w:spacing w:after="0"/>
        <w:ind w:left="0"/>
        <w:jc w:val="both"/>
      </w:pPr>
      <w:r>
        <w:rPr>
          <w:rFonts w:ascii="Times New Roman"/>
          <w:b w:val="false"/>
          <w:i w:val="false"/>
          <w:color w:val="000000"/>
          <w:sz w:val="28"/>
        </w:rPr>
        <w:t>
      2) движители, в том числе крыльчатые и водометные, движительно-рулевые колонки, подруливающие устройства и движительные комплексы активных рулей, механизмы изменения шага ВРШ, буксы масловвода и системы управления движителями;</w:t>
      </w:r>
    </w:p>
    <w:bookmarkEnd w:id="7970"/>
    <w:bookmarkStart w:name="z7994" w:id="7971"/>
    <w:p>
      <w:pPr>
        <w:spacing w:after="0"/>
        <w:ind w:left="0"/>
        <w:jc w:val="both"/>
      </w:pPr>
      <w:r>
        <w:rPr>
          <w:rFonts w:ascii="Times New Roman"/>
          <w:b w:val="false"/>
          <w:i w:val="false"/>
          <w:color w:val="000000"/>
          <w:sz w:val="28"/>
        </w:rPr>
        <w:t>
      3) детали, указанные в приложении 287 настоящих Правил, а также соответствующие запасные части, приведенные в приложении 320 настоящих Правил.</w:t>
      </w:r>
    </w:p>
    <w:bookmarkEnd w:id="7971"/>
    <w:bookmarkStart w:name="z7995" w:id="7972"/>
    <w:p>
      <w:pPr>
        <w:spacing w:after="0"/>
        <w:ind w:left="0"/>
        <w:jc w:val="both"/>
      </w:pPr>
      <w:r>
        <w:rPr>
          <w:rFonts w:ascii="Times New Roman"/>
          <w:b w:val="false"/>
          <w:i w:val="false"/>
          <w:color w:val="000000"/>
          <w:sz w:val="28"/>
        </w:rPr>
        <w:t>
      2664. Освидетельствованию Регистром судоходства подлежит монтаж механического оборудования машинных помещений, а также испытания следующих составных частей механической установки:</w:t>
      </w:r>
    </w:p>
    <w:bookmarkEnd w:id="7972"/>
    <w:bookmarkStart w:name="z7996" w:id="7973"/>
    <w:p>
      <w:pPr>
        <w:spacing w:after="0"/>
        <w:ind w:left="0"/>
        <w:jc w:val="both"/>
      </w:pPr>
      <w:r>
        <w:rPr>
          <w:rFonts w:ascii="Times New Roman"/>
          <w:b w:val="false"/>
          <w:i w:val="false"/>
          <w:color w:val="000000"/>
          <w:sz w:val="28"/>
        </w:rPr>
        <w:t>
      1) главных механизмов, их редукторов и муфт;</w:t>
      </w:r>
    </w:p>
    <w:bookmarkEnd w:id="7973"/>
    <w:bookmarkStart w:name="z7997" w:id="7974"/>
    <w:p>
      <w:pPr>
        <w:spacing w:after="0"/>
        <w:ind w:left="0"/>
        <w:jc w:val="both"/>
      </w:pPr>
      <w:r>
        <w:rPr>
          <w:rFonts w:ascii="Times New Roman"/>
          <w:b w:val="false"/>
          <w:i w:val="false"/>
          <w:color w:val="000000"/>
          <w:sz w:val="28"/>
        </w:rPr>
        <w:t>
      2) котлов, теплообменных аппаратов и сосудов под давлением;</w:t>
      </w:r>
    </w:p>
    <w:bookmarkEnd w:id="7974"/>
    <w:bookmarkStart w:name="z7998" w:id="7975"/>
    <w:p>
      <w:pPr>
        <w:spacing w:after="0"/>
        <w:ind w:left="0"/>
        <w:jc w:val="both"/>
      </w:pPr>
      <w:r>
        <w:rPr>
          <w:rFonts w:ascii="Times New Roman"/>
          <w:b w:val="false"/>
          <w:i w:val="false"/>
          <w:color w:val="000000"/>
          <w:sz w:val="28"/>
        </w:rPr>
        <w:t>
      3) вспомогательных механизмов;</w:t>
      </w:r>
    </w:p>
    <w:bookmarkEnd w:id="7975"/>
    <w:bookmarkStart w:name="z7999" w:id="7976"/>
    <w:p>
      <w:pPr>
        <w:spacing w:after="0"/>
        <w:ind w:left="0"/>
        <w:jc w:val="both"/>
      </w:pPr>
      <w:r>
        <w:rPr>
          <w:rFonts w:ascii="Times New Roman"/>
          <w:b w:val="false"/>
          <w:i w:val="false"/>
          <w:color w:val="000000"/>
          <w:sz w:val="28"/>
        </w:rPr>
        <w:t>
      4) систем управления, контроля и сигнализации механической установки;</w:t>
      </w:r>
    </w:p>
    <w:bookmarkEnd w:id="7976"/>
    <w:bookmarkStart w:name="z8000" w:id="7977"/>
    <w:p>
      <w:pPr>
        <w:spacing w:after="0"/>
        <w:ind w:left="0"/>
        <w:jc w:val="both"/>
      </w:pPr>
      <w:r>
        <w:rPr>
          <w:rFonts w:ascii="Times New Roman"/>
          <w:b w:val="false"/>
          <w:i w:val="false"/>
          <w:color w:val="000000"/>
          <w:sz w:val="28"/>
        </w:rPr>
        <w:t>
      5) валопроводов и движителей;</w:t>
      </w:r>
    </w:p>
    <w:bookmarkEnd w:id="7977"/>
    <w:bookmarkStart w:name="z8001" w:id="7978"/>
    <w:p>
      <w:pPr>
        <w:spacing w:after="0"/>
        <w:ind w:left="0"/>
        <w:jc w:val="both"/>
      </w:pPr>
      <w:r>
        <w:rPr>
          <w:rFonts w:ascii="Times New Roman"/>
          <w:b w:val="false"/>
          <w:i w:val="false"/>
          <w:color w:val="000000"/>
          <w:sz w:val="28"/>
        </w:rPr>
        <w:t>
      6) средств активного управления судами.</w:t>
      </w:r>
    </w:p>
    <w:bookmarkEnd w:id="7978"/>
    <w:bookmarkStart w:name="z8002" w:id="7979"/>
    <w:p>
      <w:pPr>
        <w:spacing w:after="0"/>
        <w:ind w:left="0"/>
        <w:jc w:val="both"/>
      </w:pPr>
      <w:r>
        <w:rPr>
          <w:rFonts w:ascii="Times New Roman"/>
          <w:b w:val="false"/>
          <w:i w:val="false"/>
          <w:color w:val="000000"/>
          <w:sz w:val="28"/>
        </w:rPr>
        <w:t>
      2665. Механическая установка после монтажа на судне механизмов, оборудования, систем и трубопроводов испытывается в действии под нагрузкой по одобренной Регистром судоходства программе.</w:t>
      </w:r>
    </w:p>
    <w:bookmarkEnd w:id="7979"/>
    <w:bookmarkStart w:name="z8003" w:id="7980"/>
    <w:p>
      <w:pPr>
        <w:spacing w:after="0"/>
        <w:ind w:left="0"/>
        <w:jc w:val="left"/>
      </w:pPr>
      <w:r>
        <w:rPr>
          <w:rFonts w:ascii="Times New Roman"/>
          <w:b/>
          <w:i w:val="false"/>
          <w:color w:val="000000"/>
        </w:rPr>
        <w:t xml:space="preserve"> Подраздел 2. Общие требования</w:t>
      </w:r>
      <w:r>
        <w:br/>
      </w:r>
      <w:r>
        <w:rPr>
          <w:rFonts w:ascii="Times New Roman"/>
          <w:b/>
          <w:i w:val="false"/>
          <w:color w:val="000000"/>
        </w:rPr>
        <w:t>Глава 174. Мощность главных механизмов</w:t>
      </w:r>
    </w:p>
    <w:bookmarkEnd w:id="7980"/>
    <w:p>
      <w:pPr>
        <w:spacing w:after="0"/>
        <w:ind w:left="0"/>
        <w:jc w:val="both"/>
      </w:pPr>
      <w:r>
        <w:rPr>
          <w:rFonts w:ascii="Times New Roman"/>
          <w:b w:val="false"/>
          <w:i w:val="false"/>
          <w:color w:val="ff0000"/>
          <w:sz w:val="28"/>
        </w:rPr>
        <w:t xml:space="preserve">
      Сноска. Заголовок главы 174 -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05" w:id="7981"/>
    <w:p>
      <w:pPr>
        <w:spacing w:after="0"/>
        <w:ind w:left="0"/>
        <w:jc w:val="both"/>
      </w:pPr>
      <w:r>
        <w:rPr>
          <w:rFonts w:ascii="Times New Roman"/>
          <w:b w:val="false"/>
          <w:i w:val="false"/>
          <w:color w:val="000000"/>
          <w:sz w:val="28"/>
        </w:rPr>
        <w:t>
      2666. Мощность главных механизмов ледоколов должна соответствовать их категории согласно параграфу 1 главы 12 настоящих Правил.</w:t>
      </w:r>
    </w:p>
    <w:bookmarkEnd w:id="7981"/>
    <w:bookmarkStart w:name="z8006" w:id="7982"/>
    <w:p>
      <w:pPr>
        <w:spacing w:after="0"/>
        <w:ind w:left="0"/>
        <w:jc w:val="both"/>
      </w:pPr>
      <w:r>
        <w:rPr>
          <w:rFonts w:ascii="Times New Roman"/>
          <w:b w:val="false"/>
          <w:i w:val="false"/>
          <w:color w:val="000000"/>
          <w:sz w:val="28"/>
        </w:rPr>
        <w:t xml:space="preserve">
      2667. Мощность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кВт, на гребных валах судов ледового плавания категорий ЛУ2 — ЛУ9 следует принимать не менее определяемой по формуле:</w:t>
      </w:r>
    </w:p>
    <w:bookmarkEnd w:id="7982"/>
    <w:bookmarkStart w:name="z8007" w:id="798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w:t>
      </w:r>
    </w:p>
    <w:bookmarkEnd w:id="7983"/>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Po</w:t>
      </w:r>
      <w:r>
        <w:rPr>
          <w:rFonts w:ascii="Times New Roman"/>
          <w:b w:val="false"/>
          <w:i w:val="false"/>
          <w:color w:val="000000"/>
          <w:sz w:val="28"/>
        </w:rPr>
        <w:t>),                   (730)</w:t>
      </w:r>
      <w:r>
        <w:br/>
      </w:r>
      <w:r>
        <w:rPr>
          <w:rFonts w:ascii="Times New Roman"/>
          <w:b w:val="false"/>
          <w:i w:val="false"/>
          <w:color w:val="000000"/>
          <w:sz w:val="28"/>
        </w:rPr>
        <w:t>
</w:t>
      </w:r>
    </w:p>
    <w:bookmarkStart w:name="z8008" w:id="7984"/>
    <w:p>
      <w:pPr>
        <w:spacing w:after="0"/>
        <w:ind w:left="0"/>
        <w:jc w:val="both"/>
      </w:pPr>
      <w:r>
        <w:rPr>
          <w:rFonts w:ascii="Times New Roman"/>
          <w:b w:val="false"/>
          <w:i w:val="false"/>
          <w:color w:val="000000"/>
          <w:sz w:val="28"/>
        </w:rPr>
        <w:t xml:space="preserve">
      где </w:t>
      </w:r>
    </w:p>
    <w:bookmarkEnd w:id="798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1,0 — для винтов фиксированного шага;</w:t>
      </w:r>
      <w:r>
        <w:br/>
      </w:r>
      <w:r>
        <w:rPr>
          <w:rFonts w:ascii="Times New Roman"/>
          <w:b w:val="false"/>
          <w:i w:val="false"/>
          <w:color w:val="000000"/>
          <w:sz w:val="28"/>
        </w:rPr>
        <w:t>
</w:t>
      </w:r>
    </w:p>
    <w:bookmarkStart w:name="z8009" w:id="7985"/>
    <w:p>
      <w:pPr>
        <w:spacing w:after="0"/>
        <w:ind w:left="0"/>
        <w:jc w:val="both"/>
      </w:pPr>
      <w:r>
        <w:rPr>
          <w:rFonts w:ascii="Times New Roman"/>
          <w:b w:val="false"/>
          <w:i w:val="false"/>
          <w:color w:val="000000"/>
          <w:sz w:val="28"/>
        </w:rPr>
        <w:t xml:space="preserve">
      </w:t>
      </w:r>
    </w:p>
    <w:bookmarkEnd w:id="7985"/>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0,9 — для пропульсивных установок с ВРШ или электроприводом;</w:t>
      </w:r>
      <w:r>
        <w:br/>
      </w:r>
      <w:r>
        <w:rPr>
          <w:rFonts w:ascii="Times New Roman"/>
          <w:b w:val="false"/>
          <w:i w:val="false"/>
          <w:color w:val="000000"/>
          <w:sz w:val="28"/>
        </w:rPr>
        <w:t>
</w:t>
      </w:r>
    </w:p>
    <w:bookmarkStart w:name="z8010" w:id="7986"/>
    <w:p>
      <w:pPr>
        <w:spacing w:after="0"/>
        <w:ind w:left="0"/>
        <w:jc w:val="both"/>
      </w:pPr>
      <w:r>
        <w:rPr>
          <w:rFonts w:ascii="Times New Roman"/>
          <w:b w:val="false"/>
          <w:i w:val="false"/>
          <w:color w:val="000000"/>
          <w:sz w:val="28"/>
        </w:rPr>
        <w:t xml:space="preserve">
      </w:t>
      </w:r>
    </w:p>
    <w:bookmarkEnd w:id="7986"/>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4"/>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/200+0,675, но не более 1,1;</w:t>
      </w:r>
      <w:r>
        <w:br/>
      </w:r>
      <w:r>
        <w:rPr>
          <w:rFonts w:ascii="Times New Roman"/>
          <w:b w:val="false"/>
          <w:i w:val="false"/>
          <w:color w:val="000000"/>
          <w:sz w:val="28"/>
        </w:rPr>
        <w:t>
</w:t>
      </w:r>
    </w:p>
    <w:bookmarkStart w:name="z8011" w:id="7987"/>
    <w:p>
      <w:pPr>
        <w:spacing w:after="0"/>
        <w:ind w:left="0"/>
        <w:jc w:val="both"/>
      </w:pPr>
      <w:r>
        <w:rPr>
          <w:rFonts w:ascii="Times New Roman"/>
          <w:b w:val="false"/>
          <w:i w:val="false"/>
          <w:color w:val="000000"/>
          <w:sz w:val="28"/>
        </w:rPr>
        <w:t xml:space="preserve">
      </w:t>
      </w:r>
    </w:p>
    <w:bookmarkEnd w:id="7987"/>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5"/>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наклона форштевня (пункт 815 настоящих Правил);</w:t>
      </w:r>
      <w:r>
        <w:br/>
      </w:r>
      <w:r>
        <w:rPr>
          <w:rFonts w:ascii="Times New Roman"/>
          <w:b w:val="false"/>
          <w:i w:val="false"/>
          <w:color w:val="000000"/>
          <w:sz w:val="28"/>
        </w:rPr>
        <w:t>
</w:t>
      </w:r>
    </w:p>
    <w:bookmarkStart w:name="z8012" w:id="7988"/>
    <w:p>
      <w:pPr>
        <w:spacing w:after="0"/>
        <w:ind w:left="0"/>
        <w:jc w:val="both"/>
      </w:pPr>
      <w:r>
        <w:rPr>
          <w:rFonts w:ascii="Times New Roman"/>
          <w:b w:val="false"/>
          <w:i w:val="false"/>
          <w:color w:val="000000"/>
          <w:sz w:val="28"/>
        </w:rPr>
        <w:t xml:space="preserve">
      </w:t>
      </w:r>
    </w:p>
    <w:bookmarkEnd w:id="798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1,1 — для бульбообразной формы носовой оконечности судна; произведение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во всех случаях принимается не менее 0,85;</w:t>
      </w:r>
      <w:r>
        <w:br/>
      </w:r>
      <w:r>
        <w:rPr>
          <w:rFonts w:ascii="Times New Roman"/>
          <w:b w:val="false"/>
          <w:i w:val="false"/>
          <w:color w:val="000000"/>
          <w:sz w:val="28"/>
        </w:rPr>
        <w:t>
</w:t>
      </w:r>
    </w:p>
    <w:bookmarkStart w:name="z8013" w:id="7989"/>
    <w:p>
      <w:pPr>
        <w:spacing w:after="0"/>
        <w:ind w:left="0"/>
        <w:jc w:val="both"/>
      </w:pPr>
      <w:r>
        <w:rPr>
          <w:rFonts w:ascii="Times New Roman"/>
          <w:b w:val="false"/>
          <w:i w:val="false"/>
          <w:color w:val="000000"/>
          <w:sz w:val="28"/>
        </w:rPr>
        <w:t xml:space="preserve">
      </w:t>
      </w:r>
    </w:p>
    <w:bookmarkEnd w:id="798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1,25В/</w:t>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0"/>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но не менее чем 1,0;</w:t>
      </w:r>
      <w:r>
        <w:br/>
      </w:r>
      <w:r>
        <w:rPr>
          <w:rFonts w:ascii="Times New Roman"/>
          <w:b w:val="false"/>
          <w:i w:val="false"/>
          <w:color w:val="000000"/>
          <w:sz w:val="28"/>
        </w:rPr>
        <w:t>
</w:t>
      </w:r>
    </w:p>
    <w:bookmarkStart w:name="z8014" w:id="7990"/>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ширина судна, м;</w:t>
      </w:r>
    </w:p>
    <w:bookmarkEnd w:id="7990"/>
    <w:bookmarkStart w:name="z8015" w:id="7991"/>
    <w:p>
      <w:pPr>
        <w:spacing w:after="0"/>
        <w:ind w:left="0"/>
        <w:jc w:val="both"/>
      </w:pPr>
      <w:r>
        <w:rPr>
          <w:rFonts w:ascii="Times New Roman"/>
          <w:b w:val="false"/>
          <w:i w:val="false"/>
          <w:color w:val="000000"/>
          <w:sz w:val="28"/>
        </w:rPr>
        <w:t xml:space="preserve">
      </w:t>
      </w:r>
    </w:p>
    <w:bookmarkEnd w:id="7991"/>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водоизмещение судна по летнюю грузовую ватерлинию (пункт 878 настоящих Правил), т. При вычислении для судов ледового плавания категорий ЛУ2 и ЛУЗ величина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допускается принимать не более 80000 т;</w:t>
      </w:r>
      <w:r>
        <w:br/>
      </w:r>
      <w:r>
        <w:rPr>
          <w:rFonts w:ascii="Times New Roman"/>
          <w:b w:val="false"/>
          <w:i w:val="false"/>
          <w:color w:val="000000"/>
          <w:sz w:val="28"/>
        </w:rPr>
        <w:t>
</w:t>
      </w:r>
    </w:p>
    <w:bookmarkStart w:name="z8016" w:id="7992"/>
    <w:p>
      <w:pPr>
        <w:spacing w:after="0"/>
        <w:ind w:left="0"/>
        <w:jc w:val="both"/>
      </w:pPr>
      <w:r>
        <w:rPr>
          <w:rFonts w:ascii="Times New Roman"/>
          <w:b w:val="false"/>
          <w:i w:val="false"/>
          <w:color w:val="000000"/>
          <w:sz w:val="28"/>
        </w:rPr>
        <w:t xml:space="preserve">
      </w:t>
      </w:r>
    </w:p>
    <w:bookmarkEnd w:id="7992"/>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и </w:t>
      </w:r>
      <w:r>
        <w:rPr>
          <w:rFonts w:ascii="Times New Roman"/>
          <w:b w:val="false"/>
          <w:i/>
          <w:color w:val="000000"/>
          <w:sz w:val="28"/>
        </w:rPr>
        <w:t>Р</w:t>
      </w:r>
      <w:r>
        <w:rPr>
          <w:rFonts w:ascii="Times New Roman"/>
          <w:b w:val="false"/>
          <w:i w:val="false"/>
          <w:color w:val="000000"/>
          <w:vertAlign w:val="subscript"/>
        </w:rPr>
        <w:t>о</w:t>
      </w:r>
      <w:r>
        <w:rPr>
          <w:rFonts w:ascii="Times New Roman"/>
          <w:b w:val="false"/>
          <w:i w:val="false"/>
          <w:color w:val="000000"/>
          <w:sz w:val="28"/>
        </w:rPr>
        <w:t xml:space="preserve"> —принимаются по приложению 288 настоящих Приложений.</w:t>
      </w:r>
      <w:r>
        <w:br/>
      </w:r>
      <w:r>
        <w:rPr>
          <w:rFonts w:ascii="Times New Roman"/>
          <w:b w:val="false"/>
          <w:i w:val="false"/>
          <w:color w:val="000000"/>
          <w:sz w:val="28"/>
        </w:rPr>
        <w:t>
</w:t>
      </w:r>
    </w:p>
    <w:bookmarkStart w:name="z8017" w:id="7993"/>
    <w:p>
      <w:pPr>
        <w:spacing w:after="0"/>
        <w:ind w:left="0"/>
        <w:jc w:val="both"/>
      </w:pPr>
      <w:r>
        <w:rPr>
          <w:rFonts w:ascii="Times New Roman"/>
          <w:b w:val="false"/>
          <w:i w:val="false"/>
          <w:color w:val="000000"/>
          <w:sz w:val="28"/>
        </w:rPr>
        <w:t>
      2668. Независимо от результатов определения мощности по формуле (730) настоящих Правил минимальная мощность, кВт, принимается не менее:</w:t>
      </w:r>
    </w:p>
    <w:bookmarkEnd w:id="7993"/>
    <w:bookmarkStart w:name="z8018" w:id="7994"/>
    <w:p>
      <w:pPr>
        <w:spacing w:after="0"/>
        <w:ind w:left="0"/>
        <w:jc w:val="both"/>
      </w:pPr>
      <w:r>
        <w:rPr>
          <w:rFonts w:ascii="Times New Roman"/>
          <w:b w:val="false"/>
          <w:i w:val="false"/>
          <w:color w:val="000000"/>
          <w:sz w:val="28"/>
        </w:rPr>
        <w:t>
      2600 — для категории Arc 5;</w:t>
      </w:r>
    </w:p>
    <w:bookmarkEnd w:id="7994"/>
    <w:bookmarkStart w:name="z8019" w:id="7995"/>
    <w:p>
      <w:pPr>
        <w:spacing w:after="0"/>
        <w:ind w:left="0"/>
        <w:jc w:val="both"/>
      </w:pPr>
      <w:r>
        <w:rPr>
          <w:rFonts w:ascii="Times New Roman"/>
          <w:b w:val="false"/>
          <w:i w:val="false"/>
          <w:color w:val="000000"/>
          <w:sz w:val="28"/>
        </w:rPr>
        <w:t>
      1000 — для категории Arc 4;</w:t>
      </w:r>
    </w:p>
    <w:bookmarkEnd w:id="7995"/>
    <w:bookmarkStart w:name="z8020" w:id="7996"/>
    <w:p>
      <w:pPr>
        <w:spacing w:after="0"/>
        <w:ind w:left="0"/>
        <w:jc w:val="both"/>
      </w:pPr>
      <w:r>
        <w:rPr>
          <w:rFonts w:ascii="Times New Roman"/>
          <w:b w:val="false"/>
          <w:i w:val="false"/>
          <w:color w:val="000000"/>
          <w:sz w:val="28"/>
        </w:rPr>
        <w:t>
      740 — для категорий Ice3, Ice 2.</w:t>
      </w:r>
    </w:p>
    <w:bookmarkEnd w:id="7996"/>
    <w:bookmarkStart w:name="z8021" w:id="7997"/>
    <w:p>
      <w:pPr>
        <w:spacing w:after="0"/>
        <w:ind w:left="0"/>
        <w:jc w:val="both"/>
      </w:pPr>
      <w:r>
        <w:rPr>
          <w:rFonts w:ascii="Times New Roman"/>
          <w:b w:val="false"/>
          <w:i w:val="false"/>
          <w:color w:val="000000"/>
          <w:sz w:val="28"/>
        </w:rPr>
        <w:t>
      2669. В обоснованных случаях минимальные значения мощности допускается снижать. Эти случаи являются предметом специального рассмотрения Регистром судоходства.</w:t>
      </w:r>
    </w:p>
    <w:bookmarkEnd w:id="7997"/>
    <w:bookmarkStart w:name="z8022" w:id="7998"/>
    <w:p>
      <w:pPr>
        <w:spacing w:after="0"/>
        <w:ind w:left="0"/>
        <w:jc w:val="both"/>
      </w:pPr>
      <w:r>
        <w:rPr>
          <w:rFonts w:ascii="Times New Roman"/>
          <w:b w:val="false"/>
          <w:i w:val="false"/>
          <w:color w:val="000000"/>
          <w:sz w:val="28"/>
        </w:rPr>
        <w:t>
      2670. На ледоколах использование в качестве главных механизмов турбин и ДВС с механической передачей мощности на гребной винт возможно допустить при условии применения устройств, предохраняющих турбины, редукторы ГТЗА и дизель-редукторные агрегаты от нагрузок, превышающих расчетный крутящий момент, определяемый с учетом эксплуатации этих судов в ледовых условиях в соответствии с требованиями пункта 4148 настоящих Правил.</w:t>
      </w:r>
    </w:p>
    <w:bookmarkEnd w:id="7998"/>
    <w:bookmarkStart w:name="z8023" w:id="7999"/>
    <w:p>
      <w:pPr>
        <w:spacing w:after="0"/>
        <w:ind w:left="0"/>
        <w:jc w:val="both"/>
      </w:pPr>
      <w:r>
        <w:rPr>
          <w:rFonts w:ascii="Times New Roman"/>
          <w:b w:val="false"/>
          <w:i w:val="false"/>
          <w:color w:val="000000"/>
          <w:sz w:val="28"/>
        </w:rPr>
        <w:t>
      2671. Пропульсивная установка судна обеспечивает возможность работы на задний ход для необходимой маневренности судна при всех нормальных условиях эксплуатации.</w:t>
      </w:r>
    </w:p>
    <w:bookmarkEnd w:id="7999"/>
    <w:bookmarkStart w:name="z8024" w:id="8000"/>
    <w:p>
      <w:pPr>
        <w:spacing w:after="0"/>
        <w:ind w:left="0"/>
        <w:jc w:val="both"/>
      </w:pPr>
      <w:r>
        <w:rPr>
          <w:rFonts w:ascii="Times New Roman"/>
          <w:b w:val="false"/>
          <w:i w:val="false"/>
          <w:color w:val="000000"/>
          <w:sz w:val="28"/>
        </w:rPr>
        <w:t>
      2672. Пропульсивная установка обеспечивает при установившемся свободном заднем ходе судна не менее 70 % расчетной частоты вращения механизмов переднего хода в течение не менее 30 мин.</w:t>
      </w:r>
    </w:p>
    <w:bookmarkEnd w:id="8000"/>
    <w:bookmarkStart w:name="z8025" w:id="8001"/>
    <w:p>
      <w:pPr>
        <w:spacing w:after="0"/>
        <w:ind w:left="0"/>
        <w:jc w:val="both"/>
      </w:pPr>
      <w:r>
        <w:rPr>
          <w:rFonts w:ascii="Times New Roman"/>
          <w:b w:val="false"/>
          <w:i w:val="false"/>
          <w:color w:val="000000"/>
          <w:sz w:val="28"/>
        </w:rPr>
        <w:t>
      Необходимо чтобы мощность заднего хода была достаточной для торможения судна, идущего полным передним ходом, в пределах приемлемого расстояния, что должно быть подтверждено во время испытаний.</w:t>
      </w:r>
    </w:p>
    <w:bookmarkEnd w:id="8001"/>
    <w:bookmarkStart w:name="z8026" w:id="8002"/>
    <w:p>
      <w:pPr>
        <w:spacing w:after="0"/>
        <w:ind w:left="0"/>
        <w:jc w:val="both"/>
      </w:pPr>
      <w:r>
        <w:rPr>
          <w:rFonts w:ascii="Times New Roman"/>
          <w:b w:val="false"/>
          <w:i w:val="false"/>
          <w:color w:val="000000"/>
          <w:sz w:val="28"/>
        </w:rPr>
        <w:t>
      2673.В пропульсивных установках с реверсивными передачами или ВРШ, а также в гребных электрических установках необходимо чтобы работа на задний ход не приводила к перегрузке главных механизмов сверх допустимых значений.</w:t>
      </w:r>
    </w:p>
    <w:bookmarkEnd w:id="8002"/>
    <w:bookmarkStart w:name="z8027" w:id="8003"/>
    <w:p>
      <w:pPr>
        <w:spacing w:after="0"/>
        <w:ind w:left="0"/>
        <w:jc w:val="both"/>
      </w:pPr>
      <w:r>
        <w:rPr>
          <w:rFonts w:ascii="Times New Roman"/>
          <w:b w:val="false"/>
          <w:i w:val="false"/>
          <w:color w:val="000000"/>
          <w:sz w:val="28"/>
        </w:rPr>
        <w:t>
      2674. Предусматривают средства, обеспечивающие ввод в действие механизмов при нерабочем состоянии судна без помощи извне (пункт 3837 настоящих Правил).</w:t>
      </w:r>
    </w:p>
    <w:bookmarkEnd w:id="8003"/>
    <w:bookmarkStart w:name="z8028" w:id="8004"/>
    <w:p>
      <w:pPr>
        <w:spacing w:after="0"/>
        <w:ind w:left="0"/>
        <w:jc w:val="both"/>
      </w:pPr>
      <w:r>
        <w:rPr>
          <w:rFonts w:ascii="Times New Roman"/>
          <w:b w:val="false"/>
          <w:i w:val="false"/>
          <w:color w:val="000000"/>
          <w:sz w:val="28"/>
        </w:rPr>
        <w:t>
      2675. На судах, двигатели внутреннего сгорания которых запускаются сжатым воздухом, состав оборудования для пуска обеспечивает получение воздуха в достаточном для первоначального запуска количестве без помощи извне.</w:t>
      </w:r>
    </w:p>
    <w:bookmarkEnd w:id="8004"/>
    <w:bookmarkStart w:name="z8029" w:id="8005"/>
    <w:p>
      <w:pPr>
        <w:spacing w:after="0"/>
        <w:ind w:left="0"/>
        <w:jc w:val="both"/>
      </w:pPr>
      <w:r>
        <w:rPr>
          <w:rFonts w:ascii="Times New Roman"/>
          <w:b w:val="false"/>
          <w:i w:val="false"/>
          <w:color w:val="000000"/>
          <w:sz w:val="28"/>
        </w:rPr>
        <w:t>
      2676. Если на судне не предусмотрен аварийный генератор, или он не отвечает требованиям пункта 4036 настоящих Правил, оборудование для ввода в действие главных и вспомогательных механизмов должно быть таким, чтобы первоначальный запас пускового воздуха, электроэнергии или любого другого вида энергии для привода мог быть получен на борту судна без помощи извне. Если для этого необходимо использовать аварийный воздушный компрессор или электрогенератор, то они получают энергию от ДВС с ручным запуском или ручного компрессора.</w:t>
      </w:r>
    </w:p>
    <w:bookmarkEnd w:id="8005"/>
    <w:bookmarkStart w:name="z8030" w:id="8006"/>
    <w:p>
      <w:pPr>
        <w:spacing w:after="0"/>
        <w:ind w:left="0"/>
        <w:jc w:val="both"/>
      </w:pPr>
      <w:r>
        <w:rPr>
          <w:rFonts w:ascii="Times New Roman"/>
          <w:b w:val="false"/>
          <w:i w:val="false"/>
          <w:color w:val="000000"/>
          <w:sz w:val="28"/>
        </w:rPr>
        <w:t>
      2677. Аварийный генератор и другие необходимые средства для ввода в действие главных механизмов имеют мощность, достаточную для восстановления возможности пуска последних в течение 30 мин после наступления нерабочего состояния или обесточивания (глава 6 настоящих Правил).</w:t>
      </w:r>
    </w:p>
    <w:bookmarkEnd w:id="8006"/>
    <w:bookmarkStart w:name="z8031" w:id="8007"/>
    <w:p>
      <w:pPr>
        <w:spacing w:after="0"/>
        <w:ind w:left="0"/>
        <w:jc w:val="both"/>
      </w:pPr>
      <w:r>
        <w:rPr>
          <w:rFonts w:ascii="Times New Roman"/>
          <w:b w:val="false"/>
          <w:i w:val="false"/>
          <w:color w:val="000000"/>
          <w:sz w:val="28"/>
        </w:rPr>
        <w:t>
      Технические средства, предназначенные для пуска аварийного дизель-генератора, не должны напрямую использоваться для запуска главных механизмов, основных источников электроэнергии и/или других вспомогательных механизмов ответственного назначения (исключая аварийный дизель-генератор).</w:t>
      </w:r>
    </w:p>
    <w:bookmarkEnd w:id="8007"/>
    <w:bookmarkStart w:name="z8032" w:id="8008"/>
    <w:p>
      <w:pPr>
        <w:spacing w:after="0"/>
        <w:ind w:left="0"/>
        <w:jc w:val="both"/>
      </w:pPr>
      <w:r>
        <w:rPr>
          <w:rFonts w:ascii="Times New Roman"/>
          <w:b w:val="false"/>
          <w:i w:val="false"/>
          <w:color w:val="000000"/>
          <w:sz w:val="28"/>
        </w:rPr>
        <w:t>
      2678. Для судов с паросиловой установкой под 30-минутным периодом восстановления энергии понимается время с момента наступления нерабочего состояния или обесточивания до момента включения первого котла.</w:t>
      </w:r>
    </w:p>
    <w:bookmarkEnd w:id="8008"/>
    <w:bookmarkStart w:name="z8033" w:id="8009"/>
    <w:p>
      <w:pPr>
        <w:spacing w:after="0"/>
        <w:ind w:left="0"/>
        <w:jc w:val="both"/>
      </w:pPr>
      <w:r>
        <w:rPr>
          <w:rFonts w:ascii="Times New Roman"/>
          <w:b w:val="false"/>
          <w:i w:val="false"/>
          <w:color w:val="000000"/>
          <w:sz w:val="28"/>
        </w:rPr>
        <w:t>
      2679. Пропульсивная установка с одним главным двигателем внутреннего сгорания в случае выхода из строя одного или всех турбонагнетателей (пункт 4017 настоящих Правил) обеспечивает скорость судна, при которой сохраняется управляемость судном. При этом главный двигатель обеспечивает не менее 10 % от номинальной мощности.</w:t>
      </w:r>
    </w:p>
    <w:bookmarkEnd w:id="8009"/>
    <w:bookmarkStart w:name="z8034" w:id="8010"/>
    <w:p>
      <w:pPr>
        <w:spacing w:after="0"/>
        <w:ind w:left="0"/>
        <w:jc w:val="both"/>
      </w:pPr>
      <w:r>
        <w:rPr>
          <w:rFonts w:ascii="Times New Roman"/>
          <w:b w:val="false"/>
          <w:i w:val="false"/>
          <w:color w:val="000000"/>
          <w:sz w:val="28"/>
        </w:rPr>
        <w:t>
      2680. Мощность главных механизмов судов смешанного (река-море) плавания обеспечивает скорость судна в грузу на тихой воде не менее 10 узлов.</w:t>
      </w:r>
    </w:p>
    <w:bookmarkEnd w:id="8010"/>
    <w:bookmarkStart w:name="z8035" w:id="8011"/>
    <w:p>
      <w:pPr>
        <w:spacing w:after="0"/>
        <w:ind w:left="0"/>
        <w:jc w:val="both"/>
      </w:pPr>
      <w:r>
        <w:rPr>
          <w:rFonts w:ascii="Times New Roman"/>
          <w:b w:val="false"/>
          <w:i w:val="false"/>
          <w:color w:val="000000"/>
          <w:sz w:val="28"/>
        </w:rPr>
        <w:t>
      2681. Форсированные высокооборотные двигатели (свыше 750 об/мин), повышенная шумность которых создает затруднения в непосредственном (с местных постов) управлении и контроле за работой, возможен допуск Регистром судоходства для использования их в качестве главных двигателей на морских судах при условии обеспечения дистанционного контроля и управления, исключающих необходимость постоянного присутствия обслуживающего персонала в машинном отделении.</w:t>
      </w:r>
    </w:p>
    <w:bookmarkEnd w:id="8011"/>
    <w:bookmarkStart w:name="z8036" w:id="8012"/>
    <w:p>
      <w:pPr>
        <w:spacing w:after="0"/>
        <w:ind w:left="0"/>
        <w:jc w:val="both"/>
      </w:pPr>
      <w:r>
        <w:rPr>
          <w:rFonts w:ascii="Times New Roman"/>
          <w:b w:val="false"/>
          <w:i w:val="false"/>
          <w:color w:val="000000"/>
          <w:sz w:val="28"/>
        </w:rPr>
        <w:t>
      Необходимо чтобы применяемые при этом средства дистанционного контроля и управления отвечали требованиям раздела 17 настоящих Правил.</w:t>
      </w:r>
    </w:p>
    <w:bookmarkEnd w:id="8012"/>
    <w:bookmarkStart w:name="z8037" w:id="8013"/>
    <w:p>
      <w:pPr>
        <w:spacing w:after="0"/>
        <w:ind w:left="0"/>
        <w:jc w:val="both"/>
      </w:pPr>
      <w:r>
        <w:rPr>
          <w:rFonts w:ascii="Times New Roman"/>
          <w:b w:val="false"/>
          <w:i w:val="false"/>
          <w:color w:val="000000"/>
          <w:sz w:val="28"/>
        </w:rPr>
        <w:t xml:space="preserve">
      2682. Для судов катамаранного типа не допускается чтобы выход из строя механической установки одного из корпусов судна служил причиной выхода из строя механической установки другого корпуса. </w:t>
      </w:r>
    </w:p>
    <w:bookmarkEnd w:id="8013"/>
    <w:bookmarkStart w:name="z8038" w:id="8014"/>
    <w:p>
      <w:pPr>
        <w:spacing w:after="0"/>
        <w:ind w:left="0"/>
        <w:jc w:val="both"/>
      </w:pPr>
      <w:r>
        <w:rPr>
          <w:rFonts w:ascii="Times New Roman"/>
          <w:b w:val="false"/>
          <w:i w:val="false"/>
          <w:color w:val="000000"/>
          <w:sz w:val="28"/>
        </w:rPr>
        <w:t>
      2683. Необходимо чтобы длительная работа пропульсивной установки на всех спецификационных режимах хода судна не приводила к перегрузке главного двигателя. Обоснование необходимого запаса мощности главных двигателей является в каждом случае предметом специального рассмотрения Регистром судоходства.</w:t>
      </w:r>
    </w:p>
    <w:bookmarkEnd w:id="8014"/>
    <w:bookmarkStart w:name="z8039" w:id="8015"/>
    <w:p>
      <w:pPr>
        <w:spacing w:after="0"/>
        <w:ind w:left="0"/>
        <w:jc w:val="left"/>
      </w:pPr>
      <w:r>
        <w:rPr>
          <w:rFonts w:ascii="Times New Roman"/>
          <w:b/>
          <w:i w:val="false"/>
          <w:color w:val="000000"/>
        </w:rPr>
        <w:t xml:space="preserve"> Глава 175. Число главных котлов. Условия окружающей среды</w:t>
      </w:r>
    </w:p>
    <w:bookmarkEnd w:id="8015"/>
    <w:p>
      <w:pPr>
        <w:spacing w:after="0"/>
        <w:ind w:left="0"/>
        <w:jc w:val="both"/>
      </w:pPr>
      <w:r>
        <w:rPr>
          <w:rFonts w:ascii="Times New Roman"/>
          <w:b w:val="false"/>
          <w:i w:val="false"/>
          <w:color w:val="ff0000"/>
          <w:sz w:val="28"/>
        </w:rPr>
        <w:t xml:space="preserve">
      Сноска. Заголовок главы 175 -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40" w:id="8016"/>
    <w:p>
      <w:pPr>
        <w:spacing w:after="0"/>
        <w:ind w:left="0"/>
        <w:jc w:val="both"/>
      </w:pPr>
      <w:r>
        <w:rPr>
          <w:rFonts w:ascii="Times New Roman"/>
          <w:b w:val="false"/>
          <w:i w:val="false"/>
          <w:color w:val="000000"/>
          <w:sz w:val="28"/>
        </w:rPr>
        <w:t>
      2684. На судах неограниченного района плавания, как правило, должно быть не менее двух главных котлов. Возможность применения паросиловой установки с одним главным котлом является в каждом случае предметом специального рассмотрения Регистром судоходства.</w:t>
      </w:r>
    </w:p>
    <w:bookmarkEnd w:id="8016"/>
    <w:bookmarkStart w:name="z8041" w:id="8017"/>
    <w:p>
      <w:pPr>
        <w:spacing w:after="0"/>
        <w:ind w:left="0"/>
        <w:jc w:val="both"/>
      </w:pPr>
      <w:r>
        <w:rPr>
          <w:rFonts w:ascii="Times New Roman"/>
          <w:b w:val="false"/>
          <w:i w:val="false"/>
          <w:color w:val="000000"/>
          <w:sz w:val="28"/>
        </w:rPr>
        <w:t>
      2685. Необходимо чтобы установленные на судне механизмы, оборудование и системы сохраняли работоспособность в условиях окружающей среды, указанных в приложениях 289 и 290 настоящих Правил, если в других частях Правил не указано иное.</w:t>
      </w:r>
    </w:p>
    <w:bookmarkEnd w:id="8017"/>
    <w:bookmarkStart w:name="z8042" w:id="8018"/>
    <w:p>
      <w:pPr>
        <w:spacing w:after="0"/>
        <w:ind w:left="0"/>
        <w:jc w:val="both"/>
      </w:pPr>
      <w:r>
        <w:rPr>
          <w:rFonts w:ascii="Times New Roman"/>
          <w:b w:val="false"/>
          <w:i w:val="false"/>
          <w:color w:val="000000"/>
          <w:sz w:val="28"/>
        </w:rPr>
        <w:t xml:space="preserve">
      Температура забортной воды принимается равной 32 </w:t>
      </w:r>
      <w:r>
        <w:rPr>
          <w:rFonts w:ascii="Times New Roman"/>
          <w:b w:val="false"/>
          <w:i w:val="false"/>
          <w:color w:val="000000"/>
          <w:vertAlign w:val="superscript"/>
        </w:rPr>
        <w:t>о</w:t>
      </w:r>
      <w:r>
        <w:rPr>
          <w:rFonts w:ascii="Times New Roman"/>
          <w:b w:val="false"/>
          <w:i w:val="false"/>
          <w:color w:val="000000"/>
          <w:sz w:val="28"/>
        </w:rPr>
        <w:t>С. Для судов, предназначенных для плавания в географически ограниченных районах, по согласованию с Регистром судоходства допускается устанавливать другие значения температуры.</w:t>
      </w:r>
    </w:p>
    <w:bookmarkEnd w:id="8018"/>
    <w:bookmarkStart w:name="z8043" w:id="8019"/>
    <w:p>
      <w:pPr>
        <w:spacing w:after="0"/>
        <w:ind w:left="0"/>
        <w:jc w:val="left"/>
      </w:pPr>
      <w:r>
        <w:rPr>
          <w:rFonts w:ascii="Times New Roman"/>
          <w:b/>
          <w:i w:val="false"/>
          <w:color w:val="000000"/>
        </w:rPr>
        <w:t xml:space="preserve"> Глава 176. Материалы и сварка</w:t>
      </w:r>
    </w:p>
    <w:bookmarkEnd w:id="8019"/>
    <w:p>
      <w:pPr>
        <w:spacing w:after="0"/>
        <w:ind w:left="0"/>
        <w:jc w:val="both"/>
      </w:pPr>
      <w:r>
        <w:rPr>
          <w:rFonts w:ascii="Times New Roman"/>
          <w:b w:val="false"/>
          <w:i w:val="false"/>
          <w:color w:val="ff0000"/>
          <w:sz w:val="28"/>
        </w:rPr>
        <w:t xml:space="preserve">
      Сноска. Заголовок главы 176 -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44" w:id="8020"/>
    <w:p>
      <w:pPr>
        <w:spacing w:after="0"/>
        <w:ind w:left="0"/>
        <w:jc w:val="both"/>
      </w:pPr>
      <w:r>
        <w:rPr>
          <w:rFonts w:ascii="Times New Roman"/>
          <w:b w:val="false"/>
          <w:i w:val="false"/>
          <w:color w:val="000000"/>
          <w:sz w:val="28"/>
        </w:rPr>
        <w:t>
      2686. Необходимо чтобы материалы, предназначенные для изготовления деталей валопроводов и движителей, отвечали требованиям соответствующих глав раздела 15 настоящих Правил, указанных в колонке 4 приложения 287 настоящих Правил.</w:t>
      </w:r>
    </w:p>
    <w:bookmarkEnd w:id="8020"/>
    <w:bookmarkStart w:name="z8045" w:id="8021"/>
    <w:p>
      <w:pPr>
        <w:spacing w:after="0"/>
        <w:ind w:left="0"/>
        <w:jc w:val="both"/>
      </w:pPr>
      <w:r>
        <w:rPr>
          <w:rFonts w:ascii="Times New Roman"/>
          <w:b w:val="false"/>
          <w:i w:val="false"/>
          <w:color w:val="000000"/>
          <w:sz w:val="28"/>
        </w:rPr>
        <w:t>
      Материалы деталей валопроводов, указанных в подпункте 7) пункта 1 приложения 287 настоящих Правил, выбираются по стандартам. Материалы деталей, указанных в подпунктах 2)-6), 8) пункта 1, третьей строке подпункта 2) пункта 2 и подпункте 3) пункта 2 приложения 287 настоящих Правил, допускается также выбирать по стандартам. В этом случае применение материалов подлежит согласованию с Регистром судоходства при рассмотрении технической документации.</w:t>
      </w:r>
    </w:p>
    <w:bookmarkEnd w:id="8021"/>
    <w:bookmarkStart w:name="z8046" w:id="8022"/>
    <w:p>
      <w:pPr>
        <w:spacing w:after="0"/>
        <w:ind w:left="0"/>
        <w:jc w:val="both"/>
      </w:pPr>
      <w:r>
        <w:rPr>
          <w:rFonts w:ascii="Times New Roman"/>
          <w:b w:val="false"/>
          <w:i w:val="false"/>
          <w:color w:val="000000"/>
          <w:sz w:val="28"/>
        </w:rPr>
        <w:t>
      Материалы деталей (полуфабрикатов), указанных в подпунктах 1) пунктов 1 и 2, первой и второй строках подпункта 2) пункта 2 приложения 287 настоящих Правил, подлежат освидетельствованию Регистром судоходства при изготовлении; освидетельствование материалов для других деталей, перечисленных в указанной таблице, проводится по согласованию с Регистром судоходства.</w:t>
      </w:r>
    </w:p>
    <w:bookmarkEnd w:id="8022"/>
    <w:bookmarkStart w:name="z8047" w:id="8023"/>
    <w:p>
      <w:pPr>
        <w:spacing w:after="0"/>
        <w:ind w:left="0"/>
        <w:jc w:val="both"/>
      </w:pPr>
      <w:r>
        <w:rPr>
          <w:rFonts w:ascii="Times New Roman"/>
          <w:b w:val="false"/>
          <w:i w:val="false"/>
          <w:color w:val="000000"/>
          <w:sz w:val="28"/>
        </w:rPr>
        <w:t xml:space="preserve">
      2687. Промежуточные, упорные и гребные валы изготавливаютсяся, как правило, из стали с временным сопротивлением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400 - 800 МПа.</w:t>
      </w:r>
    </w:p>
    <w:bookmarkEnd w:id="8023"/>
    <w:bookmarkStart w:name="z8048" w:id="8024"/>
    <w:p>
      <w:pPr>
        <w:spacing w:after="0"/>
        <w:ind w:left="0"/>
        <w:jc w:val="both"/>
      </w:pPr>
      <w:r>
        <w:rPr>
          <w:rFonts w:ascii="Times New Roman"/>
          <w:b w:val="false"/>
          <w:i w:val="false"/>
          <w:color w:val="000000"/>
          <w:sz w:val="28"/>
        </w:rPr>
        <w:t>
      2688. Механическим свойствам и химическим составам материалов, применяемых для гребных винтов, необходимо отвечать требованиям глав 592 и 599 настоящих Правил. При этом сталь категорий 3 и 4 допускается для изготовления гребных винтов всех судов, сталь категории 5 допускается для винтов судов без ледовых усилений. Применение стали категорий 1 и 2 подлежит специальному рассмотрению Регистром судоходства.</w:t>
      </w:r>
    </w:p>
    <w:bookmarkEnd w:id="8024"/>
    <w:p>
      <w:pPr>
        <w:spacing w:after="0"/>
        <w:ind w:left="0"/>
        <w:jc w:val="both"/>
      </w:pPr>
      <w:r>
        <w:rPr>
          <w:rFonts w:ascii="Times New Roman"/>
          <w:b w:val="false"/>
          <w:i w:val="false"/>
          <w:color w:val="000000"/>
          <w:sz w:val="28"/>
        </w:rPr>
        <w:t>
      Медные сплавы типов 3 и 4 допускаются для гребных винтов всех судов, медные сплавы типов 1 и 2 — только для гребных винтов судов без ледовых усилений и с ледовыми усилениями категорий Ice1 — IceЗ.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50" w:id="8025"/>
    <w:p>
      <w:pPr>
        <w:spacing w:after="0"/>
        <w:ind w:left="0"/>
        <w:jc w:val="both"/>
      </w:pPr>
      <w:r>
        <w:rPr>
          <w:rFonts w:ascii="Times New Roman"/>
          <w:b w:val="false"/>
          <w:i w:val="false"/>
          <w:color w:val="000000"/>
          <w:sz w:val="28"/>
        </w:rPr>
        <w:t>
      2689. При применении для валопроводов и движителей легированной стали, в том числе коррозионно-стойкой или высокопрочной, Регистру судоходства представляют данные по химическому составу, механическим и специальным свойствам, подтверждающие возможность ее применения по назначению.</w:t>
      </w:r>
    </w:p>
    <w:bookmarkEnd w:id="8025"/>
    <w:bookmarkStart w:name="z8051" w:id="8026"/>
    <w:p>
      <w:pPr>
        <w:spacing w:after="0"/>
        <w:ind w:left="0"/>
        <w:jc w:val="both"/>
      </w:pPr>
      <w:r>
        <w:rPr>
          <w:rFonts w:ascii="Times New Roman"/>
          <w:b w:val="false"/>
          <w:i w:val="false"/>
          <w:color w:val="000000"/>
          <w:sz w:val="28"/>
        </w:rPr>
        <w:t>
      2690. Промежуточные, упорные и гребные валы, а также соединительные болты (шпильки) допускается изготавливать из катаной стали в соответствии с пунктом 6287 настоящих Правил.</w:t>
      </w:r>
    </w:p>
    <w:bookmarkEnd w:id="8026"/>
    <w:bookmarkStart w:name="z8052" w:id="8027"/>
    <w:p>
      <w:pPr>
        <w:spacing w:after="0"/>
        <w:ind w:left="0"/>
        <w:jc w:val="both"/>
      </w:pPr>
      <w:r>
        <w:rPr>
          <w:rFonts w:ascii="Times New Roman"/>
          <w:b w:val="false"/>
          <w:i w:val="false"/>
          <w:color w:val="000000"/>
          <w:sz w:val="28"/>
        </w:rPr>
        <w:t>
      2691. Детали крепления и стопорения лопастей, обтекателей, дейдвудных труб, втулок дейдвудных подшипников и уплотнений изготавливаются из коррозионно-стойких материалов.</w:t>
      </w:r>
    </w:p>
    <w:bookmarkEnd w:id="8027"/>
    <w:bookmarkStart w:name="z8053" w:id="8028"/>
    <w:p>
      <w:pPr>
        <w:spacing w:after="0"/>
        <w:ind w:left="0"/>
        <w:jc w:val="both"/>
      </w:pPr>
      <w:r>
        <w:rPr>
          <w:rFonts w:ascii="Times New Roman"/>
          <w:b w:val="false"/>
          <w:i w:val="false"/>
          <w:color w:val="000000"/>
          <w:sz w:val="28"/>
        </w:rPr>
        <w:t>
      2692. Сварка и неразрушающий контроль сварных соединений выполняются в соответствии с требованиями раздела 16 настоящих Правил.</w:t>
      </w:r>
    </w:p>
    <w:bookmarkEnd w:id="8028"/>
    <w:bookmarkStart w:name="z8054" w:id="8029"/>
    <w:p>
      <w:pPr>
        <w:spacing w:after="0"/>
        <w:ind w:left="0"/>
        <w:jc w:val="both"/>
      </w:pPr>
      <w:r>
        <w:rPr>
          <w:rFonts w:ascii="Times New Roman"/>
          <w:b w:val="false"/>
          <w:i w:val="false"/>
          <w:color w:val="000000"/>
          <w:sz w:val="28"/>
        </w:rPr>
        <w:t>
      2693. На всех судах запрещается использование материалов, содержащих асбест, в механических установках, механизмах и оборудовании, на которые распространяются требования разделов 8, 9, 10, 11, 12 и 13 настоящих Правил за исключением:</w:t>
      </w:r>
    </w:p>
    <w:bookmarkEnd w:id="8029"/>
    <w:bookmarkStart w:name="z8055" w:id="8030"/>
    <w:p>
      <w:pPr>
        <w:spacing w:after="0"/>
        <w:ind w:left="0"/>
        <w:jc w:val="both"/>
      </w:pPr>
      <w:r>
        <w:rPr>
          <w:rFonts w:ascii="Times New Roman"/>
          <w:b w:val="false"/>
          <w:i w:val="false"/>
          <w:color w:val="000000"/>
          <w:sz w:val="28"/>
        </w:rPr>
        <w:t>
      1) крыльчаток, используемых в ротационных компрессорах и ротационных вакуумных насосах;</w:t>
      </w:r>
    </w:p>
    <w:bookmarkEnd w:id="8030"/>
    <w:bookmarkStart w:name="z8056" w:id="8031"/>
    <w:p>
      <w:pPr>
        <w:spacing w:after="0"/>
        <w:ind w:left="0"/>
        <w:jc w:val="both"/>
      </w:pPr>
      <w:r>
        <w:rPr>
          <w:rFonts w:ascii="Times New Roman"/>
          <w:b w:val="false"/>
          <w:i w:val="false"/>
          <w:color w:val="000000"/>
          <w:sz w:val="28"/>
        </w:rPr>
        <w:t xml:space="preserve">
      2) водонепроницаемых соединений и зашивок, используемых в системах циркуляции жидкостей, где при температуре свыше 350 </w:t>
      </w:r>
      <w:r>
        <w:rPr>
          <w:rFonts w:ascii="Times New Roman"/>
          <w:b w:val="false"/>
          <w:i w:val="false"/>
          <w:color w:val="000000"/>
          <w:vertAlign w:val="superscript"/>
        </w:rPr>
        <w:t>о</w:t>
      </w:r>
      <w:r>
        <w:rPr>
          <w:rFonts w:ascii="Times New Roman"/>
          <w:b w:val="false"/>
          <w:i w:val="false"/>
          <w:color w:val="000000"/>
          <w:sz w:val="28"/>
        </w:rPr>
        <w:t>С или давлении свыше 7 МПа создается опасность пожара, коррозии или токсичности;</w:t>
      </w:r>
    </w:p>
    <w:bookmarkEnd w:id="8031"/>
    <w:bookmarkStart w:name="z8057" w:id="8032"/>
    <w:p>
      <w:pPr>
        <w:spacing w:after="0"/>
        <w:ind w:left="0"/>
        <w:jc w:val="both"/>
      </w:pPr>
      <w:r>
        <w:rPr>
          <w:rFonts w:ascii="Times New Roman"/>
          <w:b w:val="false"/>
          <w:i w:val="false"/>
          <w:color w:val="000000"/>
          <w:sz w:val="28"/>
        </w:rPr>
        <w:t xml:space="preserve">
      3) гибких и упругих термоизоляционных конструкций, используемых при температурах свыше 1000 </w:t>
      </w:r>
      <w:r>
        <w:rPr>
          <w:rFonts w:ascii="Times New Roman"/>
          <w:b w:val="false"/>
          <w:i w:val="false"/>
          <w:color w:val="000000"/>
          <w:vertAlign w:val="superscript"/>
        </w:rPr>
        <w:t>о</w:t>
      </w:r>
      <w:r>
        <w:rPr>
          <w:rFonts w:ascii="Times New Roman"/>
          <w:b w:val="false"/>
          <w:i w:val="false"/>
          <w:color w:val="000000"/>
          <w:sz w:val="28"/>
        </w:rPr>
        <w:t>С.</w:t>
      </w:r>
    </w:p>
    <w:bookmarkEnd w:id="8032"/>
    <w:bookmarkStart w:name="z8058" w:id="8033"/>
    <w:p>
      <w:pPr>
        <w:spacing w:after="0"/>
        <w:ind w:left="0"/>
        <w:jc w:val="left"/>
      </w:pPr>
      <w:r>
        <w:rPr>
          <w:rFonts w:ascii="Times New Roman"/>
          <w:b/>
          <w:i w:val="false"/>
          <w:color w:val="000000"/>
        </w:rPr>
        <w:t xml:space="preserve"> Глава 177. Контрольно-измерительные приборы. Применение показателей надежности механических установок</w:t>
      </w:r>
    </w:p>
    <w:bookmarkEnd w:id="8033"/>
    <w:p>
      <w:pPr>
        <w:spacing w:after="0"/>
        <w:ind w:left="0"/>
        <w:jc w:val="both"/>
      </w:pPr>
      <w:r>
        <w:rPr>
          <w:rFonts w:ascii="Times New Roman"/>
          <w:b w:val="false"/>
          <w:i w:val="false"/>
          <w:color w:val="ff0000"/>
          <w:sz w:val="28"/>
        </w:rPr>
        <w:t xml:space="preserve">
      Сноска. Заголовок главы 177 -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59" w:id="8034"/>
    <w:p>
      <w:pPr>
        <w:spacing w:after="0"/>
        <w:ind w:left="0"/>
        <w:jc w:val="both"/>
      </w:pPr>
      <w:r>
        <w:rPr>
          <w:rFonts w:ascii="Times New Roman"/>
          <w:b w:val="false"/>
          <w:i w:val="false"/>
          <w:color w:val="000000"/>
          <w:sz w:val="28"/>
        </w:rPr>
        <w:t>
      2694. Контрольно-измерительные приборы, за исключением жидкостных термометров, проверяются компетентными органами.</w:t>
      </w:r>
    </w:p>
    <w:bookmarkEnd w:id="8034"/>
    <w:p>
      <w:pPr>
        <w:spacing w:after="0"/>
        <w:ind w:left="0"/>
        <w:jc w:val="both"/>
      </w:pPr>
      <w:r>
        <w:rPr>
          <w:rFonts w:ascii="Times New Roman"/>
          <w:b w:val="false"/>
          <w:i w:val="false"/>
          <w:color w:val="000000"/>
          <w:sz w:val="28"/>
        </w:rPr>
        <w:t>
      Манометры, установленные на котлах, теплообменных аппаратах, сосудах под давлением и холодильных установках, удовлетворяют, соответственно, требованиям параграфа 5 главы 409, пункта 4705 и главы 561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2694 -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61" w:id="8035"/>
    <w:p>
      <w:pPr>
        <w:spacing w:after="0"/>
        <w:ind w:left="0"/>
        <w:jc w:val="both"/>
      </w:pPr>
      <w:r>
        <w:rPr>
          <w:rFonts w:ascii="Times New Roman"/>
          <w:b w:val="false"/>
          <w:i w:val="false"/>
          <w:color w:val="000000"/>
          <w:sz w:val="28"/>
        </w:rPr>
        <w:t>
      2695. Точность измерения тахометров должна быть не ниже ± 2,5 %. При наличии запретных зон частот вращения точность измерения должна быть не ниже 2,0 %, а запретные зоны отмечают хорошо видимой краской на шкалах тахометров или другим способом.</w:t>
      </w:r>
    </w:p>
    <w:bookmarkEnd w:id="8035"/>
    <w:bookmarkStart w:name="z8062" w:id="8036"/>
    <w:p>
      <w:pPr>
        <w:spacing w:after="0"/>
        <w:ind w:left="0"/>
        <w:jc w:val="both"/>
      </w:pPr>
      <w:r>
        <w:rPr>
          <w:rFonts w:ascii="Times New Roman"/>
          <w:b w:val="false"/>
          <w:i w:val="false"/>
          <w:color w:val="000000"/>
          <w:sz w:val="28"/>
        </w:rPr>
        <w:t>
      2696. Показатели надежности устанавливаются и нормируются при проектировании и/или заказе элементов механической установки согласованием соответствующей технической документации между заказчиком (судовладельцем) и проектантом или поставщиком. Конкретный состав нормируемых показателей надежности устанавливается для каждого вида изделий с учетом особенностей его использования, последствий отказов, принятой системы технического обслуживания и ремонта.</w:t>
      </w:r>
    </w:p>
    <w:bookmarkEnd w:id="8036"/>
    <w:bookmarkStart w:name="z8063" w:id="8037"/>
    <w:p>
      <w:pPr>
        <w:spacing w:after="0"/>
        <w:ind w:left="0"/>
        <w:jc w:val="left"/>
      </w:pPr>
      <w:r>
        <w:rPr>
          <w:rFonts w:ascii="Times New Roman"/>
          <w:b/>
          <w:i w:val="false"/>
          <w:color w:val="000000"/>
        </w:rPr>
        <w:t xml:space="preserve"> Подраздел 3. Устройства и посты управления. Средства связи</w:t>
      </w:r>
      <w:r>
        <w:br/>
      </w:r>
      <w:r>
        <w:rPr>
          <w:rFonts w:ascii="Times New Roman"/>
          <w:b/>
          <w:i w:val="false"/>
          <w:color w:val="000000"/>
        </w:rPr>
        <w:t>Глава 178. Устройства управления</w:t>
      </w:r>
    </w:p>
    <w:bookmarkEnd w:id="8037"/>
    <w:p>
      <w:pPr>
        <w:spacing w:after="0"/>
        <w:ind w:left="0"/>
        <w:jc w:val="both"/>
      </w:pPr>
      <w:r>
        <w:rPr>
          <w:rFonts w:ascii="Times New Roman"/>
          <w:b w:val="false"/>
          <w:i w:val="false"/>
          <w:color w:val="ff0000"/>
          <w:sz w:val="28"/>
        </w:rPr>
        <w:t xml:space="preserve">
      Сноска. Заголовок главы 178 -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65" w:id="8038"/>
    <w:p>
      <w:pPr>
        <w:spacing w:after="0"/>
        <w:ind w:left="0"/>
        <w:jc w:val="both"/>
      </w:pPr>
      <w:r>
        <w:rPr>
          <w:rFonts w:ascii="Times New Roman"/>
          <w:b w:val="false"/>
          <w:i w:val="false"/>
          <w:color w:val="000000"/>
          <w:sz w:val="28"/>
        </w:rPr>
        <w:t>
      2697. Главные и вспомогательные механизмы, необходимые для обеспечения движения, управления и безопасности судна, оборудуются эффективными средствами, обеспечивающими их работу и управление. Все системы управления, необходимые для обеспечения движения и управления судном, а также его безопасности, должны быть независимыми или устроены так, чтобы отказ одной системы не ухудшал работу другой.</w:t>
      </w:r>
    </w:p>
    <w:bookmarkEnd w:id="8038"/>
    <w:bookmarkStart w:name="z8066" w:id="8039"/>
    <w:p>
      <w:pPr>
        <w:spacing w:after="0"/>
        <w:ind w:left="0"/>
        <w:jc w:val="both"/>
      </w:pPr>
      <w:r>
        <w:rPr>
          <w:rFonts w:ascii="Times New Roman"/>
          <w:b w:val="false"/>
          <w:i w:val="false"/>
          <w:color w:val="000000"/>
          <w:sz w:val="28"/>
        </w:rPr>
        <w:t>
      2698. Конструкция и расположение пусковых и реверсивных устройств обеспечивают возможность пуска и реверсирования каждого механизма одним человеком.</w:t>
      </w:r>
    </w:p>
    <w:bookmarkEnd w:id="8039"/>
    <w:bookmarkStart w:name="z8067" w:id="8040"/>
    <w:p>
      <w:pPr>
        <w:spacing w:after="0"/>
        <w:ind w:left="0"/>
        <w:jc w:val="both"/>
      </w:pPr>
      <w:r>
        <w:rPr>
          <w:rFonts w:ascii="Times New Roman"/>
          <w:b w:val="false"/>
          <w:i w:val="false"/>
          <w:color w:val="000000"/>
          <w:sz w:val="28"/>
        </w:rPr>
        <w:t>
      2699. Направление перемещения рычагов и маховиков управления обозначаются стрелками и соответствующими надписями.</w:t>
      </w:r>
    </w:p>
    <w:bookmarkEnd w:id="8040"/>
    <w:bookmarkStart w:name="z8068" w:id="8041"/>
    <w:p>
      <w:pPr>
        <w:spacing w:after="0"/>
        <w:ind w:left="0"/>
        <w:jc w:val="both"/>
      </w:pPr>
      <w:r>
        <w:rPr>
          <w:rFonts w:ascii="Times New Roman"/>
          <w:b w:val="false"/>
          <w:i w:val="false"/>
          <w:color w:val="000000"/>
          <w:sz w:val="28"/>
        </w:rPr>
        <w:t>
      2700. Перемещение рычагов управления главными механизмами в направлении от себя и вправо или вращение штурвала по часовой стрелке в постах управления на ходовом мостике соответствуют движению судна в направлении переднего хода.</w:t>
      </w:r>
    </w:p>
    <w:bookmarkEnd w:id="8041"/>
    <w:bookmarkStart w:name="z8069" w:id="8042"/>
    <w:p>
      <w:pPr>
        <w:spacing w:after="0"/>
        <w:ind w:left="0"/>
        <w:jc w:val="both"/>
      </w:pPr>
      <w:r>
        <w:rPr>
          <w:rFonts w:ascii="Times New Roman"/>
          <w:b w:val="false"/>
          <w:i w:val="false"/>
          <w:color w:val="000000"/>
          <w:sz w:val="28"/>
        </w:rPr>
        <w:t>
      Указанное перемещение органов управления в постах с обзором только в корму судна соответствует движению судна в направлении заднего хода.</w:t>
      </w:r>
    </w:p>
    <w:bookmarkEnd w:id="8042"/>
    <w:bookmarkStart w:name="z8070" w:id="8043"/>
    <w:p>
      <w:pPr>
        <w:spacing w:after="0"/>
        <w:ind w:left="0"/>
        <w:jc w:val="both"/>
      </w:pPr>
      <w:r>
        <w:rPr>
          <w:rFonts w:ascii="Times New Roman"/>
          <w:b w:val="false"/>
          <w:i w:val="false"/>
          <w:color w:val="000000"/>
          <w:sz w:val="28"/>
        </w:rPr>
        <w:t>
      2701. Конструкция устройств управления исключает возможность самопроизвольного изменения заданного им положения.</w:t>
      </w:r>
    </w:p>
    <w:bookmarkEnd w:id="8043"/>
    <w:bookmarkStart w:name="z8071" w:id="8044"/>
    <w:p>
      <w:pPr>
        <w:spacing w:after="0"/>
        <w:ind w:left="0"/>
        <w:jc w:val="both"/>
      </w:pPr>
      <w:r>
        <w:rPr>
          <w:rFonts w:ascii="Times New Roman"/>
          <w:b w:val="false"/>
          <w:i w:val="false"/>
          <w:color w:val="000000"/>
          <w:sz w:val="28"/>
        </w:rPr>
        <w:t>
      2702. Устройства управления главными механизмами блокируются таким образом, чтобы исключалась возможность пуска этих механизмов при включенных валоповоротных устройствах.</w:t>
      </w:r>
    </w:p>
    <w:bookmarkEnd w:id="8044"/>
    <w:bookmarkStart w:name="z8072" w:id="8045"/>
    <w:p>
      <w:pPr>
        <w:spacing w:after="0"/>
        <w:ind w:left="0"/>
        <w:jc w:val="both"/>
      </w:pPr>
      <w:r>
        <w:rPr>
          <w:rFonts w:ascii="Times New Roman"/>
          <w:b w:val="false"/>
          <w:i w:val="false"/>
          <w:color w:val="000000"/>
          <w:sz w:val="28"/>
        </w:rPr>
        <w:t>
      2703. Рекомендуется блокировка машинного телеграфа с пусковыми и реверсивными устройствами, исключающая возможность работы механизма в направлении, отличном от заданного.</w:t>
      </w:r>
    </w:p>
    <w:bookmarkEnd w:id="8045"/>
    <w:bookmarkStart w:name="z8073" w:id="8046"/>
    <w:p>
      <w:pPr>
        <w:spacing w:after="0"/>
        <w:ind w:left="0"/>
        <w:jc w:val="both"/>
      </w:pPr>
      <w:r>
        <w:rPr>
          <w:rFonts w:ascii="Times New Roman"/>
          <w:b w:val="false"/>
          <w:i w:val="false"/>
          <w:color w:val="000000"/>
          <w:sz w:val="28"/>
        </w:rPr>
        <w:t>
      2704. Конструкция системы дистанционного управления главными механизмами при управлении с ходового мостика предусматривает подачу аварийно-предупредительного сигнала в случае выхода ее из строя. До перехода на местное управление сохраняются заданные частота вращения и направление упора гребного винта, если это возможно. В частности, необходимо чтобы потеря питания (электроэнергии, воздуха, гидроэнергии) не привела к значительному изменению мощности главных механизмов или направления вращения движителей.</w:t>
      </w:r>
    </w:p>
    <w:bookmarkEnd w:id="8046"/>
    <w:bookmarkStart w:name="z8074" w:id="8047"/>
    <w:p>
      <w:pPr>
        <w:spacing w:after="0"/>
        <w:ind w:left="0"/>
        <w:jc w:val="both"/>
      </w:pPr>
      <w:r>
        <w:rPr>
          <w:rFonts w:ascii="Times New Roman"/>
          <w:b w:val="false"/>
          <w:i w:val="false"/>
          <w:color w:val="000000"/>
          <w:sz w:val="28"/>
        </w:rPr>
        <w:t>
      2705. Дистанционная система управления главными механизмами из рулевой рубки должна быть независимой от другой передающей команды системы, однако допускается один рычаг управления для обеих систем.</w:t>
      </w:r>
    </w:p>
    <w:bookmarkEnd w:id="8047"/>
    <w:bookmarkStart w:name="z8075" w:id="8048"/>
    <w:p>
      <w:pPr>
        <w:spacing w:after="0"/>
        <w:ind w:left="0"/>
        <w:jc w:val="both"/>
      </w:pPr>
      <w:r>
        <w:rPr>
          <w:rFonts w:ascii="Times New Roman"/>
          <w:b w:val="false"/>
          <w:i w:val="false"/>
          <w:color w:val="000000"/>
          <w:sz w:val="28"/>
        </w:rPr>
        <w:t>
      2706. Управление главными механизмами с местного поста обеспечивается при выходе из строя любого узла системы дистанционного управления.</w:t>
      </w:r>
    </w:p>
    <w:bookmarkEnd w:id="8048"/>
    <w:bookmarkStart w:name="z8076" w:id="8049"/>
    <w:p>
      <w:pPr>
        <w:spacing w:after="0"/>
        <w:ind w:left="0"/>
        <w:jc w:val="both"/>
      </w:pPr>
      <w:r>
        <w:rPr>
          <w:rFonts w:ascii="Times New Roman"/>
          <w:b w:val="false"/>
          <w:i w:val="false"/>
          <w:color w:val="000000"/>
          <w:sz w:val="28"/>
        </w:rPr>
        <w:t>
      2707. Для судов смешанного (река-море) плавания продолжительность реверсирования (период от момента перекладки органа управления до начала работы движителя с противоположным по направлению упором) в зависимости от скорости судна не превышает:</w:t>
      </w:r>
    </w:p>
    <w:bookmarkEnd w:id="8049"/>
    <w:bookmarkStart w:name="z8077" w:id="8050"/>
    <w:p>
      <w:pPr>
        <w:spacing w:after="0"/>
        <w:ind w:left="0"/>
        <w:jc w:val="both"/>
      </w:pPr>
      <w:r>
        <w:rPr>
          <w:rFonts w:ascii="Times New Roman"/>
          <w:b w:val="false"/>
          <w:i w:val="false"/>
          <w:color w:val="000000"/>
          <w:sz w:val="28"/>
        </w:rPr>
        <w:t>
      25 с на полном ходу,</w:t>
      </w:r>
    </w:p>
    <w:bookmarkEnd w:id="8050"/>
    <w:bookmarkStart w:name="z8078" w:id="8051"/>
    <w:p>
      <w:pPr>
        <w:spacing w:after="0"/>
        <w:ind w:left="0"/>
        <w:jc w:val="both"/>
      </w:pPr>
      <w:r>
        <w:rPr>
          <w:rFonts w:ascii="Times New Roman"/>
          <w:b w:val="false"/>
          <w:i w:val="false"/>
          <w:color w:val="000000"/>
          <w:sz w:val="28"/>
        </w:rPr>
        <w:t>
      15 с на малом ходу.</w:t>
      </w:r>
    </w:p>
    <w:bookmarkEnd w:id="8051"/>
    <w:bookmarkStart w:name="z8079" w:id="8052"/>
    <w:p>
      <w:pPr>
        <w:spacing w:after="0"/>
        <w:ind w:left="0"/>
        <w:jc w:val="left"/>
      </w:pPr>
      <w:r>
        <w:rPr>
          <w:rFonts w:ascii="Times New Roman"/>
          <w:b/>
          <w:i w:val="false"/>
          <w:color w:val="000000"/>
        </w:rPr>
        <w:t xml:space="preserve"> Глава 179. Посты управления</w:t>
      </w:r>
    </w:p>
    <w:bookmarkEnd w:id="8052"/>
    <w:p>
      <w:pPr>
        <w:spacing w:after="0"/>
        <w:ind w:left="0"/>
        <w:jc w:val="both"/>
      </w:pPr>
      <w:r>
        <w:rPr>
          <w:rFonts w:ascii="Times New Roman"/>
          <w:b w:val="false"/>
          <w:i w:val="false"/>
          <w:color w:val="ff0000"/>
          <w:sz w:val="28"/>
        </w:rPr>
        <w:t xml:space="preserve">
      Сноска. Заголовок главы 179 -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80" w:id="8053"/>
    <w:p>
      <w:pPr>
        <w:spacing w:after="0"/>
        <w:ind w:left="0"/>
        <w:jc w:val="both"/>
      </w:pPr>
      <w:r>
        <w:rPr>
          <w:rFonts w:ascii="Times New Roman"/>
          <w:b w:val="false"/>
          <w:i w:val="false"/>
          <w:color w:val="000000"/>
          <w:sz w:val="28"/>
        </w:rPr>
        <w:t>
      2708. Посты управления главными механизмами и движителями на ходовом мостике, а также ЦПУ при любом виде дистанционного управления оборудуются:</w:t>
      </w:r>
    </w:p>
    <w:bookmarkEnd w:id="8053"/>
    <w:bookmarkStart w:name="z8081" w:id="8054"/>
    <w:p>
      <w:pPr>
        <w:spacing w:after="0"/>
        <w:ind w:left="0"/>
        <w:jc w:val="both"/>
      </w:pPr>
      <w:r>
        <w:rPr>
          <w:rFonts w:ascii="Times New Roman"/>
          <w:b w:val="false"/>
          <w:i w:val="false"/>
          <w:color w:val="000000"/>
          <w:sz w:val="28"/>
        </w:rPr>
        <w:t>
      1) устройствами для управления главными механизмами и движителями. Для установок с ВРШ, крыльчатыми и подобными им движителями в постах управления на ходовом мостике допускается предусматривать устройство для управления только движителями. В этом случае сигнализацию низкого давления пускового воздуха в соответствии с подпунктом 10) настоящего пункта, допускается не предусматривать;</w:t>
      </w:r>
    </w:p>
    <w:bookmarkEnd w:id="8054"/>
    <w:bookmarkStart w:name="z8082" w:id="8055"/>
    <w:p>
      <w:pPr>
        <w:spacing w:after="0"/>
        <w:ind w:left="0"/>
        <w:jc w:val="both"/>
      </w:pPr>
      <w:r>
        <w:rPr>
          <w:rFonts w:ascii="Times New Roman"/>
          <w:b w:val="false"/>
          <w:i w:val="false"/>
          <w:color w:val="000000"/>
          <w:sz w:val="28"/>
        </w:rPr>
        <w:t>
      2) указателями частоты и направления вращения гребного вала, если установлен винт фиксированного шага, частоты вращения гребного вала и положения лопастей, если установлен винт регулируемого шага, частоты вращения главных механизмов при наличии разобщительной муфты;</w:t>
      </w:r>
    </w:p>
    <w:bookmarkEnd w:id="8055"/>
    <w:bookmarkStart w:name="z8083" w:id="8056"/>
    <w:p>
      <w:pPr>
        <w:spacing w:after="0"/>
        <w:ind w:left="0"/>
        <w:jc w:val="both"/>
      </w:pPr>
      <w:r>
        <w:rPr>
          <w:rFonts w:ascii="Times New Roman"/>
          <w:b w:val="false"/>
          <w:i w:val="false"/>
          <w:color w:val="000000"/>
          <w:sz w:val="28"/>
        </w:rPr>
        <w:t>
      3) индикацией, указывающей на готовность к работе главных механизмов и систем дистанционного управления;</w:t>
      </w:r>
    </w:p>
    <w:bookmarkEnd w:id="8056"/>
    <w:bookmarkStart w:name="z8084" w:id="8057"/>
    <w:p>
      <w:pPr>
        <w:spacing w:after="0"/>
        <w:ind w:left="0"/>
        <w:jc w:val="both"/>
      </w:pPr>
      <w:r>
        <w:rPr>
          <w:rFonts w:ascii="Times New Roman"/>
          <w:b w:val="false"/>
          <w:i w:val="false"/>
          <w:color w:val="000000"/>
          <w:sz w:val="28"/>
        </w:rPr>
        <w:t>
      4) индикацией, указывающей, с какого поста ведется управление;</w:t>
      </w:r>
    </w:p>
    <w:bookmarkEnd w:id="8057"/>
    <w:bookmarkStart w:name="z8085" w:id="8058"/>
    <w:p>
      <w:pPr>
        <w:spacing w:after="0"/>
        <w:ind w:left="0"/>
        <w:jc w:val="both"/>
      </w:pPr>
      <w:r>
        <w:rPr>
          <w:rFonts w:ascii="Times New Roman"/>
          <w:b w:val="false"/>
          <w:i w:val="false"/>
          <w:color w:val="000000"/>
          <w:sz w:val="28"/>
        </w:rPr>
        <w:t>
      5) средствами связи в соответствии с главой 180 настоящих Правил;</w:t>
      </w:r>
    </w:p>
    <w:bookmarkEnd w:id="8058"/>
    <w:bookmarkStart w:name="z8086" w:id="8059"/>
    <w:p>
      <w:pPr>
        <w:spacing w:after="0"/>
        <w:ind w:left="0"/>
        <w:jc w:val="both"/>
      </w:pPr>
      <w:r>
        <w:rPr>
          <w:rFonts w:ascii="Times New Roman"/>
          <w:b w:val="false"/>
          <w:i w:val="false"/>
          <w:color w:val="000000"/>
          <w:sz w:val="28"/>
        </w:rPr>
        <w:t>
      6) устройством для экстренной остановки главных механизмов, независимым от системы управления.</w:t>
      </w:r>
    </w:p>
    <w:bookmarkEnd w:id="8059"/>
    <w:bookmarkStart w:name="z8087" w:id="8060"/>
    <w:p>
      <w:pPr>
        <w:spacing w:after="0"/>
        <w:ind w:left="0"/>
        <w:jc w:val="both"/>
      </w:pPr>
      <w:r>
        <w:rPr>
          <w:rFonts w:ascii="Times New Roman"/>
          <w:b w:val="false"/>
          <w:i w:val="false"/>
          <w:color w:val="000000"/>
          <w:sz w:val="28"/>
        </w:rPr>
        <w:t>
      Если для отключения главных механизмов от движителей применяются разобщительные муфты, в постах управления на ходовом мостике допускается предусматривать экстренное отключение только муфт;</w:t>
      </w:r>
    </w:p>
    <w:bookmarkEnd w:id="8060"/>
    <w:bookmarkStart w:name="z8088" w:id="8061"/>
    <w:p>
      <w:pPr>
        <w:spacing w:after="0"/>
        <w:ind w:left="0"/>
        <w:jc w:val="both"/>
      </w:pPr>
      <w:r>
        <w:rPr>
          <w:rFonts w:ascii="Times New Roman"/>
          <w:b w:val="false"/>
          <w:i w:val="false"/>
          <w:color w:val="000000"/>
          <w:sz w:val="28"/>
        </w:rPr>
        <w:t>
      7) устройством принудительного отключения автоматической защиты по всем параметрам, за исключением тех, превышение которых приводит к серьезному повреждению, полному выходу из строя или взрыву;</w:t>
      </w:r>
    </w:p>
    <w:bookmarkEnd w:id="8061"/>
    <w:bookmarkStart w:name="z8089" w:id="8062"/>
    <w:p>
      <w:pPr>
        <w:spacing w:after="0"/>
        <w:ind w:left="0"/>
        <w:jc w:val="both"/>
      </w:pPr>
      <w:r>
        <w:rPr>
          <w:rFonts w:ascii="Times New Roman"/>
          <w:b w:val="false"/>
          <w:i w:val="false"/>
          <w:color w:val="000000"/>
          <w:sz w:val="28"/>
        </w:rPr>
        <w:t>
      8) индикацией об отключении защиты, сигнализацией срабатывания защиты и сигнализацией срабатывания устройства экстренной остановки;</w:t>
      </w:r>
    </w:p>
    <w:bookmarkEnd w:id="8062"/>
    <w:bookmarkStart w:name="z8090" w:id="8063"/>
    <w:p>
      <w:pPr>
        <w:spacing w:after="0"/>
        <w:ind w:left="0"/>
        <w:jc w:val="both"/>
      </w:pPr>
      <w:r>
        <w:rPr>
          <w:rFonts w:ascii="Times New Roman"/>
          <w:b w:val="false"/>
          <w:i w:val="false"/>
          <w:color w:val="000000"/>
          <w:sz w:val="28"/>
        </w:rPr>
        <w:t>
      9) сигнализацией минимального давления в гидросистеме ВРШ, сигнализацией о перегрузке главных механизмов, работающих на ВРШ, если не выполнена рекомендация пункта 2834 настоящих Правил;</w:t>
      </w:r>
    </w:p>
    <w:bookmarkEnd w:id="8063"/>
    <w:bookmarkStart w:name="z8091" w:id="8064"/>
    <w:p>
      <w:pPr>
        <w:spacing w:after="0"/>
        <w:ind w:left="0"/>
        <w:jc w:val="both"/>
      </w:pPr>
      <w:r>
        <w:rPr>
          <w:rFonts w:ascii="Times New Roman"/>
          <w:b w:val="false"/>
          <w:i w:val="false"/>
          <w:color w:val="000000"/>
          <w:sz w:val="28"/>
        </w:rPr>
        <w:t>
      10) сигнализацией низкого давления пускового воздуха, настроенной на давление, обеспечивающее трехкратный запуск подготовленных к действию реверсивных главных двигателей;</w:t>
      </w:r>
    </w:p>
    <w:bookmarkEnd w:id="8064"/>
    <w:bookmarkStart w:name="z8092" w:id="8065"/>
    <w:p>
      <w:pPr>
        <w:spacing w:after="0"/>
        <w:ind w:left="0"/>
        <w:jc w:val="both"/>
      </w:pPr>
      <w:r>
        <w:rPr>
          <w:rFonts w:ascii="Times New Roman"/>
          <w:b w:val="false"/>
          <w:i w:val="false"/>
          <w:color w:val="000000"/>
          <w:sz w:val="28"/>
        </w:rPr>
        <w:t>
      11) устройством дистанционного отключения подачи топлива к каждому двигателю для многомашинных установок в случае, когда топливо ко всем двигателям установки подается от одного общего источника подачи (подпункт 2) пункта 3698 настоящих Правил);</w:t>
      </w:r>
    </w:p>
    <w:bookmarkEnd w:id="8065"/>
    <w:bookmarkStart w:name="z8093" w:id="8066"/>
    <w:p>
      <w:pPr>
        <w:spacing w:after="0"/>
        <w:ind w:left="0"/>
        <w:jc w:val="both"/>
      </w:pPr>
      <w:r>
        <w:rPr>
          <w:rFonts w:ascii="Times New Roman"/>
          <w:b w:val="false"/>
          <w:i w:val="false"/>
          <w:color w:val="000000"/>
          <w:sz w:val="28"/>
        </w:rPr>
        <w:t>
      12) репитером скорости.</w:t>
      </w:r>
    </w:p>
    <w:bookmarkEnd w:id="8066"/>
    <w:bookmarkStart w:name="z8094" w:id="8067"/>
    <w:p>
      <w:pPr>
        <w:spacing w:after="0"/>
        <w:ind w:left="0"/>
        <w:jc w:val="both"/>
      </w:pPr>
      <w:r>
        <w:rPr>
          <w:rFonts w:ascii="Times New Roman"/>
          <w:b w:val="false"/>
          <w:i w:val="false"/>
          <w:color w:val="000000"/>
          <w:sz w:val="28"/>
        </w:rPr>
        <w:t>
      2709. Посты управления на крыльях ходового мостика комплектуются приборами водозащитного исполнения и имеют регулируемую подсветку. Допускается чтобы посты управления на крыльях ходового мостика не отвечали требованиям подпунктов 3), 5), 7) – 10) пункта 2708 настоящих Правил.</w:t>
      </w:r>
    </w:p>
    <w:bookmarkEnd w:id="8067"/>
    <w:bookmarkStart w:name="z8095" w:id="8068"/>
    <w:p>
      <w:pPr>
        <w:spacing w:after="0"/>
        <w:ind w:left="0"/>
        <w:jc w:val="both"/>
      </w:pPr>
      <w:r>
        <w:rPr>
          <w:rFonts w:ascii="Times New Roman"/>
          <w:b w:val="false"/>
          <w:i w:val="false"/>
          <w:color w:val="000000"/>
          <w:sz w:val="28"/>
        </w:rPr>
        <w:t>
      2710. Конструкция устройств для экстренной остановки главных механизмов и принудительного отключения защиты исключает случайное их включение.</w:t>
      </w:r>
    </w:p>
    <w:bookmarkEnd w:id="8068"/>
    <w:bookmarkStart w:name="z8096" w:id="8069"/>
    <w:p>
      <w:pPr>
        <w:spacing w:after="0"/>
        <w:ind w:left="0"/>
        <w:jc w:val="both"/>
      </w:pPr>
      <w:r>
        <w:rPr>
          <w:rFonts w:ascii="Times New Roman"/>
          <w:b w:val="false"/>
          <w:i w:val="false"/>
          <w:color w:val="000000"/>
          <w:sz w:val="28"/>
        </w:rPr>
        <w:t>
      2711. В установках, состоящих из нескольких главных механизмов, работающих на один валопровод, предусматривается общий пост управления.</w:t>
      </w:r>
    </w:p>
    <w:bookmarkEnd w:id="8069"/>
    <w:bookmarkStart w:name="z8097" w:id="8070"/>
    <w:p>
      <w:pPr>
        <w:spacing w:after="0"/>
        <w:ind w:left="0"/>
        <w:jc w:val="both"/>
      </w:pPr>
      <w:r>
        <w:rPr>
          <w:rFonts w:ascii="Times New Roman"/>
          <w:b w:val="false"/>
          <w:i w:val="false"/>
          <w:color w:val="000000"/>
          <w:sz w:val="28"/>
        </w:rPr>
        <w:t>
      2712. При дистанционном управлении предусматривают местные посты управления механизмами и движителями. При дистанционном управлении с помощью механических связей по согласованию с Регистром судоходства местные посты допускается не предусматривать.</w:t>
      </w:r>
    </w:p>
    <w:bookmarkEnd w:id="8070"/>
    <w:bookmarkStart w:name="z8098" w:id="8071"/>
    <w:p>
      <w:pPr>
        <w:spacing w:after="0"/>
        <w:ind w:left="0"/>
        <w:jc w:val="both"/>
      </w:pPr>
      <w:r>
        <w:rPr>
          <w:rFonts w:ascii="Times New Roman"/>
          <w:b w:val="false"/>
          <w:i w:val="false"/>
          <w:color w:val="000000"/>
          <w:sz w:val="28"/>
        </w:rPr>
        <w:t>
      2713. Дистанционное управление главными механизмами и движителями осуществляется только с одного поста управления. Необходимо чтобы переключение управления между ходовым мостиком и машинным отделением было возможным только из машинного отделения или из ЦПУ. Устройства переключения выполняют таким образом, чтобы исключалось значительное изменение упора гребных винтов.</w:t>
      </w:r>
    </w:p>
    <w:bookmarkEnd w:id="8071"/>
    <w:bookmarkStart w:name="z8099" w:id="8072"/>
    <w:p>
      <w:pPr>
        <w:spacing w:after="0"/>
        <w:ind w:left="0"/>
        <w:jc w:val="both"/>
      </w:pPr>
      <w:r>
        <w:rPr>
          <w:rFonts w:ascii="Times New Roman"/>
          <w:b w:val="false"/>
          <w:i w:val="false"/>
          <w:color w:val="000000"/>
          <w:sz w:val="28"/>
        </w:rPr>
        <w:t>
      Необходимо чтобы при наличии постов управления на крыльях ходового мостика одновременное дистанционное управление главными механизмами было возможно только с одного поста На таких постах допускается применение взаимосвязанных устройств управления.</w:t>
      </w:r>
    </w:p>
    <w:bookmarkEnd w:id="8072"/>
    <w:bookmarkStart w:name="z8100" w:id="8073"/>
    <w:p>
      <w:pPr>
        <w:spacing w:after="0"/>
        <w:ind w:left="0"/>
        <w:jc w:val="both"/>
      </w:pPr>
      <w:r>
        <w:rPr>
          <w:rFonts w:ascii="Times New Roman"/>
          <w:b w:val="false"/>
          <w:i w:val="false"/>
          <w:color w:val="000000"/>
          <w:sz w:val="28"/>
        </w:rPr>
        <w:t>
      2714. Дистанционное управление главными механизмами из рулевой рубки осуществляется одним органом управления для каждого движителя. В установках с ВРШ допускается применять систему с двумя элементами управления.</w:t>
      </w:r>
    </w:p>
    <w:bookmarkEnd w:id="8073"/>
    <w:bookmarkStart w:name="z8101" w:id="8074"/>
    <w:p>
      <w:pPr>
        <w:spacing w:after="0"/>
        <w:ind w:left="0"/>
        <w:jc w:val="both"/>
      </w:pPr>
      <w:r>
        <w:rPr>
          <w:rFonts w:ascii="Times New Roman"/>
          <w:b w:val="false"/>
          <w:i w:val="false"/>
          <w:color w:val="000000"/>
          <w:sz w:val="28"/>
        </w:rPr>
        <w:t>
      2715. Режимы работы главных механизмов, задаваемые из рулевой рубки, включая реверсирование с полного переднего хода в случае крайней необходимости, выполняются с временными интервалами, приемлемыми для главных механизмов. При этом задаваемые режимы индицируются в ЦПУ и на местных постах управления главными механизмами.</w:t>
      </w:r>
    </w:p>
    <w:bookmarkEnd w:id="8074"/>
    <w:bookmarkStart w:name="z8102" w:id="8075"/>
    <w:p>
      <w:pPr>
        <w:spacing w:after="0"/>
        <w:ind w:left="0"/>
        <w:jc w:val="both"/>
      </w:pPr>
      <w:r>
        <w:rPr>
          <w:rFonts w:ascii="Times New Roman"/>
          <w:b w:val="false"/>
          <w:i w:val="false"/>
          <w:color w:val="000000"/>
          <w:sz w:val="28"/>
        </w:rPr>
        <w:t>
      2716. Необходимо чтобы ЦПУ плавучих доков был оборудован:</w:t>
      </w:r>
    </w:p>
    <w:bookmarkEnd w:id="8075"/>
    <w:bookmarkStart w:name="z8103" w:id="8076"/>
    <w:p>
      <w:pPr>
        <w:spacing w:after="0"/>
        <w:ind w:left="0"/>
        <w:jc w:val="both"/>
      </w:pPr>
      <w:r>
        <w:rPr>
          <w:rFonts w:ascii="Times New Roman"/>
          <w:b w:val="false"/>
          <w:i w:val="false"/>
          <w:color w:val="000000"/>
          <w:sz w:val="28"/>
        </w:rPr>
        <w:t>
      1) органами управления насосами и приемно-отливной арматурой балластной системы;</w:t>
      </w:r>
    </w:p>
    <w:bookmarkEnd w:id="8076"/>
    <w:bookmarkStart w:name="z8104" w:id="8077"/>
    <w:p>
      <w:pPr>
        <w:spacing w:after="0"/>
        <w:ind w:left="0"/>
        <w:jc w:val="both"/>
      </w:pPr>
      <w:r>
        <w:rPr>
          <w:rFonts w:ascii="Times New Roman"/>
          <w:b w:val="false"/>
          <w:i w:val="false"/>
          <w:color w:val="000000"/>
          <w:sz w:val="28"/>
        </w:rPr>
        <w:t>
      2) приборами для контроля крена, дифферента и прогиба дока;</w:t>
      </w:r>
    </w:p>
    <w:bookmarkEnd w:id="8077"/>
    <w:bookmarkStart w:name="z8105" w:id="8078"/>
    <w:p>
      <w:pPr>
        <w:spacing w:after="0"/>
        <w:ind w:left="0"/>
        <w:jc w:val="both"/>
      </w:pPr>
      <w:r>
        <w:rPr>
          <w:rFonts w:ascii="Times New Roman"/>
          <w:b w:val="false"/>
          <w:i w:val="false"/>
          <w:color w:val="000000"/>
          <w:sz w:val="28"/>
        </w:rPr>
        <w:t>
      3) сигнализацией работы насосов и положения ("открыто", "закрыто") приемно-отливной арматуры балластной системы;</w:t>
      </w:r>
    </w:p>
    <w:bookmarkEnd w:id="8078"/>
    <w:bookmarkStart w:name="z8106" w:id="8079"/>
    <w:p>
      <w:pPr>
        <w:spacing w:after="0"/>
        <w:ind w:left="0"/>
        <w:jc w:val="both"/>
      </w:pPr>
      <w:r>
        <w:rPr>
          <w:rFonts w:ascii="Times New Roman"/>
          <w:b w:val="false"/>
          <w:i w:val="false"/>
          <w:color w:val="000000"/>
          <w:sz w:val="28"/>
        </w:rPr>
        <w:t>
      4) сигнализацией предельных крена и дифферента;</w:t>
      </w:r>
    </w:p>
    <w:bookmarkEnd w:id="8079"/>
    <w:bookmarkStart w:name="z8107" w:id="8080"/>
    <w:p>
      <w:pPr>
        <w:spacing w:after="0"/>
        <w:ind w:left="0"/>
        <w:jc w:val="both"/>
      </w:pPr>
      <w:r>
        <w:rPr>
          <w:rFonts w:ascii="Times New Roman"/>
          <w:b w:val="false"/>
          <w:i w:val="false"/>
          <w:color w:val="000000"/>
          <w:sz w:val="28"/>
        </w:rPr>
        <w:t>
      5) указателями уровня воды в балластных отсеках;</w:t>
      </w:r>
    </w:p>
    <w:bookmarkEnd w:id="8080"/>
    <w:bookmarkStart w:name="z8108" w:id="8081"/>
    <w:p>
      <w:pPr>
        <w:spacing w:after="0"/>
        <w:ind w:left="0"/>
        <w:jc w:val="both"/>
      </w:pPr>
      <w:r>
        <w:rPr>
          <w:rFonts w:ascii="Times New Roman"/>
          <w:b w:val="false"/>
          <w:i w:val="false"/>
          <w:color w:val="000000"/>
          <w:sz w:val="28"/>
        </w:rPr>
        <w:t>
      6) средствами внутридоковой связи.</w:t>
      </w:r>
    </w:p>
    <w:bookmarkEnd w:id="8081"/>
    <w:bookmarkStart w:name="z8109" w:id="8082"/>
    <w:p>
      <w:pPr>
        <w:spacing w:after="0"/>
        <w:ind w:left="0"/>
        <w:jc w:val="both"/>
      </w:pPr>
      <w:r>
        <w:rPr>
          <w:rFonts w:ascii="Times New Roman"/>
          <w:b w:val="false"/>
          <w:i w:val="false"/>
          <w:color w:val="000000"/>
          <w:sz w:val="28"/>
        </w:rPr>
        <w:t>
      2717. ПУГО удаляют от машинных помещений, насколько это практически возможно. На наливных судах ПУГО располагают в соответствии с пунктом 2245 настоящих Правил.</w:t>
      </w:r>
    </w:p>
    <w:bookmarkEnd w:id="8082"/>
    <w:bookmarkStart w:name="z8110" w:id="8083"/>
    <w:p>
      <w:pPr>
        <w:spacing w:after="0"/>
        <w:ind w:left="0"/>
        <w:jc w:val="both"/>
      </w:pPr>
      <w:r>
        <w:rPr>
          <w:rFonts w:ascii="Times New Roman"/>
          <w:b w:val="false"/>
          <w:i w:val="false"/>
          <w:color w:val="000000"/>
          <w:sz w:val="28"/>
        </w:rPr>
        <w:t>
      2718. Необходимо чтобы ПУГО были оборудованы:</w:t>
      </w:r>
    </w:p>
    <w:bookmarkEnd w:id="8083"/>
    <w:bookmarkStart w:name="z8111" w:id="8084"/>
    <w:p>
      <w:pPr>
        <w:spacing w:after="0"/>
        <w:ind w:left="0"/>
        <w:jc w:val="both"/>
      </w:pPr>
      <w:r>
        <w:rPr>
          <w:rFonts w:ascii="Times New Roman"/>
          <w:b w:val="false"/>
          <w:i w:val="false"/>
          <w:color w:val="000000"/>
          <w:sz w:val="28"/>
        </w:rPr>
        <w:t>
      1) средствами связи в соответствии с пунктом 2722 настоящих Правил;</w:t>
      </w:r>
    </w:p>
    <w:bookmarkEnd w:id="8084"/>
    <w:bookmarkStart w:name="z8112" w:id="8085"/>
    <w:p>
      <w:pPr>
        <w:spacing w:after="0"/>
        <w:ind w:left="0"/>
        <w:jc w:val="both"/>
      </w:pPr>
      <w:r>
        <w:rPr>
          <w:rFonts w:ascii="Times New Roman"/>
          <w:b w:val="false"/>
          <w:i w:val="false"/>
          <w:color w:val="000000"/>
          <w:sz w:val="28"/>
        </w:rPr>
        <w:t>
      2) средствами управления:</w:t>
      </w:r>
    </w:p>
    <w:bookmarkEnd w:id="8085"/>
    <w:bookmarkStart w:name="z8113" w:id="8086"/>
    <w:p>
      <w:pPr>
        <w:spacing w:after="0"/>
        <w:ind w:left="0"/>
        <w:jc w:val="both"/>
      </w:pPr>
      <w:r>
        <w:rPr>
          <w:rFonts w:ascii="Times New Roman"/>
          <w:b w:val="false"/>
          <w:i w:val="false"/>
          <w:color w:val="000000"/>
          <w:sz w:val="28"/>
        </w:rPr>
        <w:t>
      грузовыми, зачистными и балластными насосами;</w:t>
      </w:r>
    </w:p>
    <w:bookmarkEnd w:id="8086"/>
    <w:bookmarkStart w:name="z8114" w:id="8087"/>
    <w:p>
      <w:pPr>
        <w:spacing w:after="0"/>
        <w:ind w:left="0"/>
        <w:jc w:val="both"/>
      </w:pPr>
      <w:r>
        <w:rPr>
          <w:rFonts w:ascii="Times New Roman"/>
          <w:b w:val="false"/>
          <w:i w:val="false"/>
          <w:color w:val="000000"/>
          <w:sz w:val="28"/>
        </w:rPr>
        <w:t>
      вентиляторами, которые обслуживают помещения в грузовой зоне или грузовые трюмы;</w:t>
      </w:r>
    </w:p>
    <w:bookmarkEnd w:id="8087"/>
    <w:bookmarkStart w:name="z8115" w:id="8088"/>
    <w:p>
      <w:pPr>
        <w:spacing w:after="0"/>
        <w:ind w:left="0"/>
        <w:jc w:val="both"/>
      </w:pPr>
      <w:r>
        <w:rPr>
          <w:rFonts w:ascii="Times New Roman"/>
          <w:b w:val="false"/>
          <w:i w:val="false"/>
          <w:color w:val="000000"/>
          <w:sz w:val="28"/>
        </w:rPr>
        <w:t>
      дистанционно управляемой арматурой грузовой и балластной систем;</w:t>
      </w:r>
    </w:p>
    <w:bookmarkEnd w:id="8088"/>
    <w:bookmarkStart w:name="z8116" w:id="8089"/>
    <w:p>
      <w:pPr>
        <w:spacing w:after="0"/>
        <w:ind w:left="0"/>
        <w:jc w:val="both"/>
      </w:pPr>
      <w:r>
        <w:rPr>
          <w:rFonts w:ascii="Times New Roman"/>
          <w:b w:val="false"/>
          <w:i w:val="false"/>
          <w:color w:val="000000"/>
          <w:sz w:val="28"/>
        </w:rPr>
        <w:t>
      насосами системы гидравлики (если такие предусмотрены);</w:t>
      </w:r>
    </w:p>
    <w:bookmarkEnd w:id="8089"/>
    <w:bookmarkStart w:name="z8117" w:id="8090"/>
    <w:p>
      <w:pPr>
        <w:spacing w:after="0"/>
        <w:ind w:left="0"/>
        <w:jc w:val="both"/>
      </w:pPr>
      <w:r>
        <w:rPr>
          <w:rFonts w:ascii="Times New Roman"/>
          <w:b w:val="false"/>
          <w:i w:val="false"/>
          <w:color w:val="000000"/>
          <w:sz w:val="28"/>
        </w:rPr>
        <w:t>
      системой инертных газов;</w:t>
      </w:r>
    </w:p>
    <w:bookmarkEnd w:id="8090"/>
    <w:bookmarkStart w:name="z8118" w:id="8091"/>
    <w:p>
      <w:pPr>
        <w:spacing w:after="0"/>
        <w:ind w:left="0"/>
        <w:jc w:val="both"/>
      </w:pPr>
      <w:r>
        <w:rPr>
          <w:rFonts w:ascii="Times New Roman"/>
          <w:b w:val="false"/>
          <w:i w:val="false"/>
          <w:color w:val="000000"/>
          <w:sz w:val="28"/>
        </w:rPr>
        <w:t>
      насосами и арматурой креновой системы (если, такая предусмотрена);</w:t>
      </w:r>
    </w:p>
    <w:bookmarkEnd w:id="8091"/>
    <w:bookmarkStart w:name="z8119" w:id="8092"/>
    <w:p>
      <w:pPr>
        <w:spacing w:after="0"/>
        <w:ind w:left="0"/>
        <w:jc w:val="both"/>
      </w:pPr>
      <w:r>
        <w:rPr>
          <w:rFonts w:ascii="Times New Roman"/>
          <w:b w:val="false"/>
          <w:i w:val="false"/>
          <w:color w:val="000000"/>
          <w:sz w:val="28"/>
        </w:rPr>
        <w:t>
      3) средствами контроля:</w:t>
      </w:r>
    </w:p>
    <w:bookmarkEnd w:id="8092"/>
    <w:bookmarkStart w:name="z8120" w:id="8093"/>
    <w:p>
      <w:pPr>
        <w:spacing w:after="0"/>
        <w:ind w:left="0"/>
        <w:jc w:val="both"/>
      </w:pPr>
      <w:r>
        <w:rPr>
          <w:rFonts w:ascii="Times New Roman"/>
          <w:b w:val="false"/>
          <w:i w:val="false"/>
          <w:color w:val="000000"/>
          <w:sz w:val="28"/>
        </w:rPr>
        <w:t>
      давления в грузовых манифольдах;</w:t>
      </w:r>
    </w:p>
    <w:bookmarkEnd w:id="8093"/>
    <w:bookmarkStart w:name="z8121" w:id="8094"/>
    <w:p>
      <w:pPr>
        <w:spacing w:after="0"/>
        <w:ind w:left="0"/>
        <w:jc w:val="both"/>
      </w:pPr>
      <w:r>
        <w:rPr>
          <w:rFonts w:ascii="Times New Roman"/>
          <w:b w:val="false"/>
          <w:i w:val="false"/>
          <w:color w:val="000000"/>
          <w:sz w:val="28"/>
        </w:rPr>
        <w:t>
      давления в манифольде системы сдачи паров на берег (если такая предусмотрена);</w:t>
      </w:r>
    </w:p>
    <w:bookmarkEnd w:id="8094"/>
    <w:bookmarkStart w:name="z8122" w:id="8095"/>
    <w:p>
      <w:pPr>
        <w:spacing w:after="0"/>
        <w:ind w:left="0"/>
        <w:jc w:val="both"/>
      </w:pPr>
      <w:r>
        <w:rPr>
          <w:rFonts w:ascii="Times New Roman"/>
          <w:b w:val="false"/>
          <w:i w:val="false"/>
          <w:color w:val="000000"/>
          <w:sz w:val="28"/>
        </w:rPr>
        <w:t>
      температуры в грузовых и отстойных танках;</w:t>
      </w:r>
    </w:p>
    <w:bookmarkEnd w:id="8095"/>
    <w:bookmarkStart w:name="z8123" w:id="8096"/>
    <w:p>
      <w:pPr>
        <w:spacing w:after="0"/>
        <w:ind w:left="0"/>
        <w:jc w:val="both"/>
      </w:pPr>
      <w:r>
        <w:rPr>
          <w:rFonts w:ascii="Times New Roman"/>
          <w:b w:val="false"/>
          <w:i w:val="false"/>
          <w:color w:val="000000"/>
          <w:sz w:val="28"/>
        </w:rPr>
        <w:t>
      температуры и давления греющей среды системы подогрева груза;</w:t>
      </w:r>
    </w:p>
    <w:bookmarkEnd w:id="8096"/>
    <w:bookmarkStart w:name="z8124" w:id="8097"/>
    <w:p>
      <w:pPr>
        <w:spacing w:after="0"/>
        <w:ind w:left="0"/>
        <w:jc w:val="both"/>
      </w:pPr>
      <w:r>
        <w:rPr>
          <w:rFonts w:ascii="Times New Roman"/>
          <w:b w:val="false"/>
          <w:i w:val="false"/>
          <w:color w:val="000000"/>
          <w:sz w:val="28"/>
        </w:rPr>
        <w:t>
      текущего значения крена судна и других элементов посадки судна;</w:t>
      </w:r>
    </w:p>
    <w:bookmarkEnd w:id="8097"/>
    <w:bookmarkStart w:name="z8125" w:id="8098"/>
    <w:p>
      <w:pPr>
        <w:spacing w:after="0"/>
        <w:ind w:left="0"/>
        <w:jc w:val="both"/>
      </w:pPr>
      <w:r>
        <w:rPr>
          <w:rFonts w:ascii="Times New Roman"/>
          <w:b w:val="false"/>
          <w:i w:val="false"/>
          <w:color w:val="000000"/>
          <w:sz w:val="28"/>
        </w:rPr>
        <w:t>
      текущего значения уровня в грузовых и балластных танках;</w:t>
      </w:r>
    </w:p>
    <w:bookmarkEnd w:id="8098"/>
    <w:bookmarkStart w:name="z8126" w:id="8099"/>
    <w:p>
      <w:pPr>
        <w:spacing w:after="0"/>
        <w:ind w:left="0"/>
        <w:jc w:val="both"/>
      </w:pPr>
      <w:r>
        <w:rPr>
          <w:rFonts w:ascii="Times New Roman"/>
          <w:b w:val="false"/>
          <w:i w:val="false"/>
          <w:color w:val="000000"/>
          <w:sz w:val="28"/>
        </w:rPr>
        <w:t>
      4) средствами сигнализации:</w:t>
      </w:r>
    </w:p>
    <w:bookmarkEnd w:id="8099"/>
    <w:bookmarkStart w:name="z8127" w:id="8100"/>
    <w:p>
      <w:pPr>
        <w:spacing w:after="0"/>
        <w:ind w:left="0"/>
        <w:jc w:val="both"/>
      </w:pPr>
      <w:r>
        <w:rPr>
          <w:rFonts w:ascii="Times New Roman"/>
          <w:b w:val="false"/>
          <w:i w:val="false"/>
          <w:color w:val="000000"/>
          <w:sz w:val="28"/>
        </w:rPr>
        <w:t>
      о возникновении на судне пожара;</w:t>
      </w:r>
    </w:p>
    <w:bookmarkEnd w:id="8100"/>
    <w:bookmarkStart w:name="z8128" w:id="8101"/>
    <w:p>
      <w:pPr>
        <w:spacing w:after="0"/>
        <w:ind w:left="0"/>
        <w:jc w:val="both"/>
      </w:pPr>
      <w:r>
        <w:rPr>
          <w:rFonts w:ascii="Times New Roman"/>
          <w:b w:val="false"/>
          <w:i w:val="false"/>
          <w:color w:val="000000"/>
          <w:sz w:val="28"/>
        </w:rPr>
        <w:t>
      о превышении температуры груза в грузовых танках;</w:t>
      </w:r>
    </w:p>
    <w:bookmarkEnd w:id="8101"/>
    <w:bookmarkStart w:name="z8129" w:id="8102"/>
    <w:p>
      <w:pPr>
        <w:spacing w:after="0"/>
        <w:ind w:left="0"/>
        <w:jc w:val="both"/>
      </w:pPr>
      <w:r>
        <w:rPr>
          <w:rFonts w:ascii="Times New Roman"/>
          <w:b w:val="false"/>
          <w:i w:val="false"/>
          <w:color w:val="000000"/>
          <w:sz w:val="28"/>
        </w:rPr>
        <w:t>
      по верхнему и нижнему уровням в грузовых, балластных и отстойных танках;</w:t>
      </w:r>
    </w:p>
    <w:bookmarkEnd w:id="8102"/>
    <w:bookmarkStart w:name="z8130" w:id="8103"/>
    <w:p>
      <w:pPr>
        <w:spacing w:after="0"/>
        <w:ind w:left="0"/>
        <w:jc w:val="both"/>
      </w:pPr>
      <w:r>
        <w:rPr>
          <w:rFonts w:ascii="Times New Roman"/>
          <w:b w:val="false"/>
          <w:i w:val="false"/>
          <w:color w:val="000000"/>
          <w:sz w:val="28"/>
        </w:rPr>
        <w:t>
      о предельном верхнем уровне в грузовых танках;</w:t>
      </w:r>
    </w:p>
    <w:bookmarkEnd w:id="8103"/>
    <w:bookmarkStart w:name="z8131" w:id="8104"/>
    <w:p>
      <w:pPr>
        <w:spacing w:after="0"/>
        <w:ind w:left="0"/>
        <w:jc w:val="both"/>
      </w:pPr>
      <w:r>
        <w:rPr>
          <w:rFonts w:ascii="Times New Roman"/>
          <w:b w:val="false"/>
          <w:i w:val="false"/>
          <w:color w:val="000000"/>
          <w:sz w:val="28"/>
        </w:rPr>
        <w:t>
      о превышении допустимого давления в грузовых манифольдах системы сдачи паров на берег (80 % от давления срабатывания высокоскоростных устройств);</w:t>
      </w:r>
    </w:p>
    <w:bookmarkEnd w:id="8104"/>
    <w:bookmarkStart w:name="z8132" w:id="8105"/>
    <w:p>
      <w:pPr>
        <w:spacing w:after="0"/>
        <w:ind w:left="0"/>
        <w:jc w:val="both"/>
      </w:pPr>
      <w:r>
        <w:rPr>
          <w:rFonts w:ascii="Times New Roman"/>
          <w:b w:val="false"/>
          <w:i w:val="false"/>
          <w:color w:val="000000"/>
          <w:sz w:val="28"/>
        </w:rPr>
        <w:t>
      о превышении допустимого нефтесодержания в сливаемых балластных и промывочных водах;</w:t>
      </w:r>
    </w:p>
    <w:bookmarkEnd w:id="8105"/>
    <w:bookmarkStart w:name="z8133" w:id="8106"/>
    <w:p>
      <w:pPr>
        <w:spacing w:after="0"/>
        <w:ind w:left="0"/>
        <w:jc w:val="both"/>
      </w:pPr>
      <w:r>
        <w:rPr>
          <w:rFonts w:ascii="Times New Roman"/>
          <w:b w:val="false"/>
          <w:i w:val="false"/>
          <w:color w:val="000000"/>
          <w:sz w:val="28"/>
        </w:rPr>
        <w:t>
      о повышении температуры корпусов насосов выше допустимой в соответствии с пунктом 4195 настоящих Правил;</w:t>
      </w:r>
    </w:p>
    <w:bookmarkEnd w:id="8106"/>
    <w:bookmarkStart w:name="z8134" w:id="8107"/>
    <w:p>
      <w:pPr>
        <w:spacing w:after="0"/>
        <w:ind w:left="0"/>
        <w:jc w:val="both"/>
      </w:pPr>
      <w:r>
        <w:rPr>
          <w:rFonts w:ascii="Times New Roman"/>
          <w:b w:val="false"/>
          <w:i w:val="false"/>
          <w:color w:val="000000"/>
          <w:sz w:val="28"/>
        </w:rPr>
        <w:t>
      о повышении температуры сальников и подшипников в местах прохода валов насосов через переборки в соответствии с пунктом 2733 настоящих Правил;</w:t>
      </w:r>
    </w:p>
    <w:bookmarkEnd w:id="8107"/>
    <w:bookmarkStart w:name="z8135" w:id="8108"/>
    <w:p>
      <w:pPr>
        <w:spacing w:after="0"/>
        <w:ind w:left="0"/>
        <w:jc w:val="both"/>
      </w:pPr>
      <w:r>
        <w:rPr>
          <w:rFonts w:ascii="Times New Roman"/>
          <w:b w:val="false"/>
          <w:i w:val="false"/>
          <w:color w:val="000000"/>
          <w:sz w:val="28"/>
        </w:rPr>
        <w:t>
      о наличии груза в танках изолированного балласта (для химовозов);</w:t>
      </w:r>
    </w:p>
    <w:bookmarkEnd w:id="8108"/>
    <w:bookmarkStart w:name="z8136" w:id="8109"/>
    <w:p>
      <w:pPr>
        <w:spacing w:after="0"/>
        <w:ind w:left="0"/>
        <w:jc w:val="both"/>
      </w:pPr>
      <w:r>
        <w:rPr>
          <w:rFonts w:ascii="Times New Roman"/>
          <w:b w:val="false"/>
          <w:i w:val="false"/>
          <w:color w:val="000000"/>
          <w:sz w:val="28"/>
        </w:rPr>
        <w:t>
      о повышении уровня в льялах помещений грузовых насосов;</w:t>
      </w:r>
    </w:p>
    <w:bookmarkEnd w:id="8109"/>
    <w:bookmarkStart w:name="z8137" w:id="8110"/>
    <w:p>
      <w:pPr>
        <w:spacing w:after="0"/>
        <w:ind w:left="0"/>
        <w:jc w:val="both"/>
      </w:pPr>
      <w:r>
        <w:rPr>
          <w:rFonts w:ascii="Times New Roman"/>
          <w:b w:val="false"/>
          <w:i w:val="false"/>
          <w:color w:val="000000"/>
          <w:sz w:val="28"/>
        </w:rPr>
        <w:t>
      о параметрах системы инертных газов в соответствии с пунктом 3482 настоящих Правил;</w:t>
      </w:r>
    </w:p>
    <w:bookmarkEnd w:id="8110"/>
    <w:bookmarkStart w:name="z8138" w:id="8111"/>
    <w:p>
      <w:pPr>
        <w:spacing w:after="0"/>
        <w:ind w:left="0"/>
        <w:jc w:val="both"/>
      </w:pPr>
      <w:r>
        <w:rPr>
          <w:rFonts w:ascii="Times New Roman"/>
          <w:b w:val="false"/>
          <w:i w:val="false"/>
          <w:color w:val="000000"/>
          <w:sz w:val="28"/>
        </w:rPr>
        <w:t>
      о состоянии технических средств, предусмотренных в пункте 2717 настоящих Правил;</w:t>
      </w:r>
    </w:p>
    <w:bookmarkEnd w:id="8111"/>
    <w:bookmarkStart w:name="z8139" w:id="8112"/>
    <w:p>
      <w:pPr>
        <w:spacing w:after="0"/>
        <w:ind w:left="0"/>
        <w:jc w:val="both"/>
      </w:pPr>
      <w:r>
        <w:rPr>
          <w:rFonts w:ascii="Times New Roman"/>
          <w:b w:val="false"/>
          <w:i w:val="false"/>
          <w:color w:val="000000"/>
          <w:sz w:val="28"/>
        </w:rPr>
        <w:t>
      о низком уровне воды в палубном водяном затворе.</w:t>
      </w:r>
    </w:p>
    <w:bookmarkEnd w:id="8112"/>
    <w:bookmarkStart w:name="z8140" w:id="8113"/>
    <w:p>
      <w:pPr>
        <w:spacing w:after="0"/>
        <w:ind w:left="0"/>
        <w:jc w:val="both"/>
      </w:pPr>
      <w:r>
        <w:rPr>
          <w:rFonts w:ascii="Times New Roman"/>
          <w:b w:val="false"/>
          <w:i w:val="false"/>
          <w:color w:val="000000"/>
          <w:sz w:val="28"/>
        </w:rPr>
        <w:t>
      2719. На судах, перевозящих жидкие газы наливом, в ПУГО дополнительно предусматриваются средства контроля и сигнализации.</w:t>
      </w:r>
    </w:p>
    <w:bookmarkEnd w:id="8113"/>
    <w:bookmarkStart w:name="z8141" w:id="8114"/>
    <w:p>
      <w:pPr>
        <w:spacing w:after="0"/>
        <w:ind w:left="0"/>
        <w:jc w:val="both"/>
      </w:pPr>
      <w:r>
        <w:rPr>
          <w:rFonts w:ascii="Times New Roman"/>
          <w:b w:val="false"/>
          <w:i w:val="false"/>
          <w:color w:val="000000"/>
          <w:sz w:val="28"/>
        </w:rPr>
        <w:t>
      2720. На судах, перевозящих опасные химические грузы наливом, в ПУГО дополнительно предусматривается сигнализация.</w:t>
      </w:r>
    </w:p>
    <w:bookmarkEnd w:id="8114"/>
    <w:bookmarkStart w:name="z8142" w:id="8115"/>
    <w:p>
      <w:pPr>
        <w:spacing w:after="0"/>
        <w:ind w:left="0"/>
        <w:jc w:val="left"/>
      </w:pPr>
      <w:r>
        <w:rPr>
          <w:rFonts w:ascii="Times New Roman"/>
          <w:b/>
          <w:i w:val="false"/>
          <w:color w:val="000000"/>
        </w:rPr>
        <w:t xml:space="preserve"> Глава 180. Средства связи</w:t>
      </w:r>
    </w:p>
    <w:bookmarkEnd w:id="8115"/>
    <w:p>
      <w:pPr>
        <w:spacing w:after="0"/>
        <w:ind w:left="0"/>
        <w:jc w:val="both"/>
      </w:pPr>
      <w:r>
        <w:rPr>
          <w:rFonts w:ascii="Times New Roman"/>
          <w:b w:val="false"/>
          <w:i w:val="false"/>
          <w:color w:val="ff0000"/>
          <w:sz w:val="28"/>
        </w:rPr>
        <w:t xml:space="preserve">
      Сноска. Заголовок главы 180 -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43" w:id="8116"/>
    <w:p>
      <w:pPr>
        <w:spacing w:after="0"/>
        <w:ind w:left="0"/>
        <w:jc w:val="both"/>
      </w:pPr>
      <w:r>
        <w:rPr>
          <w:rFonts w:ascii="Times New Roman"/>
          <w:b w:val="false"/>
          <w:i w:val="false"/>
          <w:color w:val="000000"/>
          <w:sz w:val="28"/>
        </w:rPr>
        <w:t>
      2721. Предусматриваются по меньшей мере два независимых средства связи для передачи команд с ходового мостика в машинное помещение или пост управления, откуда обычно осуществляется управление частотой вращения и направлением упора гребных винтов.</w:t>
      </w:r>
    </w:p>
    <w:bookmarkEnd w:id="8116"/>
    <w:bookmarkStart w:name="z8144" w:id="8117"/>
    <w:p>
      <w:pPr>
        <w:spacing w:after="0"/>
        <w:ind w:left="0"/>
        <w:jc w:val="both"/>
      </w:pPr>
      <w:r>
        <w:rPr>
          <w:rFonts w:ascii="Times New Roman"/>
          <w:b w:val="false"/>
          <w:i w:val="false"/>
          <w:color w:val="000000"/>
          <w:sz w:val="28"/>
        </w:rPr>
        <w:t>
      Одним из этих средств является машинный телеграф, обеспечивающий визуальную индикацию команд и ответов как в машинных помещениях, так и на ходовом мостике, и оборудованный звуковым сигналом, хорошо слышным в любом месте машинного помещения при работающих механизмах и по тону звука отличающимся от других сигналов в данном машинном помещении (глава 462 настоящих Правил).</w:t>
      </w:r>
    </w:p>
    <w:bookmarkEnd w:id="8117"/>
    <w:bookmarkStart w:name="z8145" w:id="8118"/>
    <w:p>
      <w:pPr>
        <w:spacing w:after="0"/>
        <w:ind w:left="0"/>
        <w:jc w:val="both"/>
      </w:pPr>
      <w:r>
        <w:rPr>
          <w:rFonts w:ascii="Times New Roman"/>
          <w:b w:val="false"/>
          <w:i w:val="false"/>
          <w:color w:val="000000"/>
          <w:sz w:val="28"/>
        </w:rPr>
        <w:t>
      Предусматриваются надлежащие средства связи с ходового мостика и из машинного помещения с любым другим местом, из которого осуществляется управление частотой вращения или направлением упора гребных винтов.</w:t>
      </w:r>
    </w:p>
    <w:bookmarkEnd w:id="8118"/>
    <w:bookmarkStart w:name="z8146" w:id="8119"/>
    <w:p>
      <w:pPr>
        <w:spacing w:after="0"/>
        <w:ind w:left="0"/>
        <w:jc w:val="both"/>
      </w:pPr>
      <w:r>
        <w:rPr>
          <w:rFonts w:ascii="Times New Roman"/>
          <w:b w:val="false"/>
          <w:i w:val="false"/>
          <w:color w:val="000000"/>
          <w:sz w:val="28"/>
        </w:rPr>
        <w:t>
      Допускается установка одного переговорного устройства на два поста управления, расположенных близко друг к другу.</w:t>
      </w:r>
    </w:p>
    <w:bookmarkEnd w:id="8119"/>
    <w:bookmarkStart w:name="z8147" w:id="8120"/>
    <w:p>
      <w:pPr>
        <w:spacing w:after="0"/>
        <w:ind w:left="0"/>
        <w:jc w:val="both"/>
      </w:pPr>
      <w:r>
        <w:rPr>
          <w:rFonts w:ascii="Times New Roman"/>
          <w:b w:val="false"/>
          <w:i w:val="false"/>
          <w:color w:val="000000"/>
          <w:sz w:val="28"/>
        </w:rPr>
        <w:t>
      2722. Предусматривается двусторонняя связь между машинным отделением, помещениями вспомогательных механизмов и котельным помещением. На судах, оборудованных ПУГО, дополнительно предусматривается двусторонняя связь между ПУГО и ходовым мостиком, между ПУГО и помещениями, в которых расположены грузовые и балластные насосы.</w:t>
      </w:r>
    </w:p>
    <w:bookmarkEnd w:id="8120"/>
    <w:bookmarkStart w:name="z8148" w:id="8121"/>
    <w:p>
      <w:pPr>
        <w:spacing w:after="0"/>
        <w:ind w:left="0"/>
        <w:jc w:val="both"/>
      </w:pPr>
      <w:r>
        <w:rPr>
          <w:rFonts w:ascii="Times New Roman"/>
          <w:b w:val="false"/>
          <w:i w:val="false"/>
          <w:color w:val="000000"/>
          <w:sz w:val="28"/>
        </w:rPr>
        <w:t>
      2723. При установке переговорных аппаратов принимают меры по обеспечению хорошей слышимости при работающих механизмах.</w:t>
      </w:r>
    </w:p>
    <w:bookmarkEnd w:id="8121"/>
    <w:bookmarkStart w:name="z8149" w:id="8122"/>
    <w:p>
      <w:pPr>
        <w:spacing w:after="0"/>
        <w:ind w:left="0"/>
        <w:jc w:val="both"/>
      </w:pPr>
      <w:r>
        <w:rPr>
          <w:rFonts w:ascii="Times New Roman"/>
          <w:b w:val="false"/>
          <w:i w:val="false"/>
          <w:color w:val="000000"/>
          <w:sz w:val="28"/>
        </w:rPr>
        <w:t>
      2724. ЦПУ плавучих доков оборудуют средствами связи в соответствии с главой 548 настоящих Правил.</w:t>
      </w:r>
    </w:p>
    <w:bookmarkEnd w:id="8122"/>
    <w:bookmarkStart w:name="z8150" w:id="8123"/>
    <w:p>
      <w:pPr>
        <w:spacing w:after="0"/>
        <w:ind w:left="0"/>
        <w:jc w:val="both"/>
      </w:pPr>
      <w:r>
        <w:rPr>
          <w:rFonts w:ascii="Times New Roman"/>
          <w:b w:val="false"/>
          <w:i w:val="false"/>
          <w:color w:val="000000"/>
          <w:sz w:val="28"/>
        </w:rPr>
        <w:t>
      2725. Для судов катамаранного типа, помимо связи местных постов управления с общим постом в рулевой рубке и ЦПУ, обеспечивается звуковая связь местных постов каждого корпуса между собой.</w:t>
      </w:r>
    </w:p>
    <w:bookmarkEnd w:id="8123"/>
    <w:bookmarkStart w:name="z8151" w:id="8124"/>
    <w:p>
      <w:pPr>
        <w:spacing w:after="0"/>
        <w:ind w:left="0"/>
        <w:jc w:val="left"/>
      </w:pPr>
      <w:r>
        <w:rPr>
          <w:rFonts w:ascii="Times New Roman"/>
          <w:b/>
          <w:i w:val="false"/>
          <w:color w:val="000000"/>
        </w:rPr>
        <w:t xml:space="preserve"> Подраздел 4. Машинные помещения,</w:t>
      </w:r>
      <w:r>
        <w:br/>
      </w:r>
      <w:r>
        <w:rPr>
          <w:rFonts w:ascii="Times New Roman"/>
          <w:b/>
          <w:i w:val="false"/>
          <w:color w:val="000000"/>
        </w:rPr>
        <w:t>расположение механизмов и оборудования</w:t>
      </w:r>
      <w:r>
        <w:br/>
      </w:r>
      <w:r>
        <w:rPr>
          <w:rFonts w:ascii="Times New Roman"/>
          <w:b/>
          <w:i w:val="false"/>
          <w:color w:val="000000"/>
        </w:rPr>
        <w:t>Глава181. Общие положения</w:t>
      </w:r>
    </w:p>
    <w:bookmarkEnd w:id="8124"/>
    <w:p>
      <w:pPr>
        <w:spacing w:after="0"/>
        <w:ind w:left="0"/>
        <w:jc w:val="both"/>
      </w:pPr>
      <w:r>
        <w:rPr>
          <w:rFonts w:ascii="Times New Roman"/>
          <w:b w:val="false"/>
          <w:i w:val="false"/>
          <w:color w:val="ff0000"/>
          <w:sz w:val="28"/>
        </w:rPr>
        <w:t xml:space="preserve">
      Сноска. Заголовок главы 181 -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53" w:id="8125"/>
    <w:p>
      <w:pPr>
        <w:spacing w:after="0"/>
        <w:ind w:left="0"/>
        <w:jc w:val="both"/>
      </w:pPr>
      <w:r>
        <w:rPr>
          <w:rFonts w:ascii="Times New Roman"/>
          <w:b w:val="false"/>
          <w:i w:val="false"/>
          <w:color w:val="000000"/>
          <w:sz w:val="28"/>
        </w:rPr>
        <w:t>
      2726. Необходимо чтобы вентиляция машинных помещений отвечала требованиям главы 292 настоящих Правил.</w:t>
      </w:r>
    </w:p>
    <w:bookmarkEnd w:id="8125"/>
    <w:bookmarkStart w:name="z8154" w:id="8126"/>
    <w:p>
      <w:pPr>
        <w:spacing w:after="0"/>
        <w:ind w:left="0"/>
        <w:jc w:val="both"/>
      </w:pPr>
      <w:r>
        <w:rPr>
          <w:rFonts w:ascii="Times New Roman"/>
          <w:b w:val="false"/>
          <w:i w:val="false"/>
          <w:color w:val="000000"/>
          <w:sz w:val="28"/>
        </w:rPr>
        <w:t>
      2727. Машинные отделения, в которых расположены двухтопливные двигатели, оборудуют датчиками концентрации газа и АПС по предельному уровню концентрации.</w:t>
      </w:r>
    </w:p>
    <w:bookmarkEnd w:id="8126"/>
    <w:bookmarkStart w:name="z8155" w:id="8127"/>
    <w:p>
      <w:pPr>
        <w:spacing w:after="0"/>
        <w:ind w:left="0"/>
        <w:jc w:val="both"/>
      </w:pPr>
      <w:r>
        <w:rPr>
          <w:rFonts w:ascii="Times New Roman"/>
          <w:b w:val="false"/>
          <w:i w:val="false"/>
          <w:color w:val="000000"/>
          <w:sz w:val="28"/>
        </w:rPr>
        <w:t>
      2728. Необходимо чтобы при всех нормальных условиях эксплуатации судна вентиляция машинных помещений была достаточной для предотвращения скопления паров нефтепродуктов.</w:t>
      </w:r>
    </w:p>
    <w:bookmarkEnd w:id="8127"/>
    <w:bookmarkStart w:name="z8156" w:id="8128"/>
    <w:p>
      <w:pPr>
        <w:spacing w:after="0"/>
        <w:ind w:left="0"/>
        <w:jc w:val="left"/>
      </w:pPr>
      <w:r>
        <w:rPr>
          <w:rFonts w:ascii="Times New Roman"/>
          <w:b/>
          <w:i w:val="false"/>
          <w:color w:val="000000"/>
        </w:rPr>
        <w:t xml:space="preserve"> Глава 182. Расположение механизмов и оборудование</w:t>
      </w:r>
    </w:p>
    <w:bookmarkEnd w:id="8128"/>
    <w:p>
      <w:pPr>
        <w:spacing w:after="0"/>
        <w:ind w:left="0"/>
        <w:jc w:val="both"/>
      </w:pPr>
      <w:r>
        <w:rPr>
          <w:rFonts w:ascii="Times New Roman"/>
          <w:b w:val="false"/>
          <w:i w:val="false"/>
          <w:color w:val="ff0000"/>
          <w:sz w:val="28"/>
        </w:rPr>
        <w:t xml:space="preserve">
      Сноска. Заголовок главы 182 -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57" w:id="8129"/>
    <w:p>
      <w:pPr>
        <w:spacing w:after="0"/>
        <w:ind w:left="0"/>
        <w:jc w:val="both"/>
      </w:pPr>
      <w:r>
        <w:rPr>
          <w:rFonts w:ascii="Times New Roman"/>
          <w:b w:val="false"/>
          <w:i w:val="false"/>
          <w:color w:val="000000"/>
          <w:sz w:val="28"/>
        </w:rPr>
        <w:t>
      2729. Необходимо чтобы расположение механизмов, котлов, оборудования, трубопроводов и арматуры обеспечивали свободный доступ к ним для обслуживания и аварийного ремонта; при этом также были выполнены требования, изложенные в пункте 2754 настоящих Правил.</w:t>
      </w:r>
    </w:p>
    <w:bookmarkEnd w:id="8129"/>
    <w:bookmarkStart w:name="z8158" w:id="8130"/>
    <w:p>
      <w:pPr>
        <w:spacing w:after="0"/>
        <w:ind w:left="0"/>
        <w:jc w:val="both"/>
      </w:pPr>
      <w:r>
        <w:rPr>
          <w:rFonts w:ascii="Times New Roman"/>
          <w:b w:val="false"/>
          <w:i w:val="false"/>
          <w:color w:val="000000"/>
          <w:sz w:val="28"/>
        </w:rPr>
        <w:t>
      2730. Котлы размещаются так, чтобы расстояние между котлами и топливными цистернами было достаточным для свободной циркуляции воздуха, необходимого для поддержания температуры вспышки, кроме случаев, указанных в пункте 3679 настоящих Правил.</w:t>
      </w:r>
    </w:p>
    <w:bookmarkEnd w:id="8130"/>
    <w:bookmarkStart w:name="z8159" w:id="8131"/>
    <w:p>
      <w:pPr>
        <w:spacing w:after="0"/>
        <w:ind w:left="0"/>
        <w:jc w:val="both"/>
      </w:pPr>
      <w:r>
        <w:rPr>
          <w:rFonts w:ascii="Times New Roman"/>
          <w:b w:val="false"/>
          <w:i w:val="false"/>
          <w:color w:val="000000"/>
          <w:sz w:val="28"/>
        </w:rPr>
        <w:t>
      2731. Вспомогательные котлы, устанавливаемые в одном помещении с ДВС, располагаются в районе топочного устройства ограждены металлической выгородкой, или принимаются другие меры для предохранения оборудования этого помещения от воздействия пламени в случае его выброса из топочного устройства.</w:t>
      </w:r>
    </w:p>
    <w:bookmarkEnd w:id="8131"/>
    <w:bookmarkStart w:name="z8160" w:id="8132"/>
    <w:p>
      <w:pPr>
        <w:spacing w:after="0"/>
        <w:ind w:left="0"/>
        <w:jc w:val="both"/>
      </w:pPr>
      <w:r>
        <w:rPr>
          <w:rFonts w:ascii="Times New Roman"/>
          <w:b w:val="false"/>
          <w:i w:val="false"/>
          <w:color w:val="000000"/>
          <w:sz w:val="28"/>
        </w:rPr>
        <w:t>
      2732. Вспомогательные котлы, работающие на жидком топливе, расположенные на платформах или промежуточных палубах не в водонепроницаемых выгородках, ограждаются нефтенепроницаемыми комингсами высотой не менее 200 мм.</w:t>
      </w:r>
    </w:p>
    <w:bookmarkEnd w:id="8132"/>
    <w:bookmarkStart w:name="z8161" w:id="8133"/>
    <w:p>
      <w:pPr>
        <w:spacing w:after="0"/>
        <w:ind w:left="0"/>
        <w:jc w:val="both"/>
      </w:pPr>
      <w:r>
        <w:rPr>
          <w:rFonts w:ascii="Times New Roman"/>
          <w:b w:val="false"/>
          <w:i w:val="false"/>
          <w:color w:val="000000"/>
          <w:sz w:val="28"/>
        </w:rPr>
        <w:t xml:space="preserve">
      2733. Двигатели, предназначенные для привода насосов и вентиляторов насосных помещений на нефтеналивных и комбинированных судах для перевозки нефтепродуктов с температурой вспышки 60 </w:t>
      </w:r>
      <w:r>
        <w:rPr>
          <w:rFonts w:ascii="Times New Roman"/>
          <w:b w:val="false"/>
          <w:i w:val="false"/>
          <w:color w:val="000000"/>
          <w:vertAlign w:val="superscript"/>
        </w:rPr>
        <w:t>о</w:t>
      </w:r>
      <w:r>
        <w:rPr>
          <w:rFonts w:ascii="Times New Roman"/>
          <w:b w:val="false"/>
          <w:i w:val="false"/>
          <w:color w:val="000000"/>
          <w:sz w:val="28"/>
        </w:rPr>
        <w:t>С и ниже, а также на нефтесборных судах, устанавливаются в оборудованных искусственной вентиляцией помещениях, не имеющих выходов в насосные помещения.</w:t>
      </w:r>
    </w:p>
    <w:bookmarkEnd w:id="8133"/>
    <w:bookmarkStart w:name="z8162" w:id="8134"/>
    <w:p>
      <w:pPr>
        <w:spacing w:after="0"/>
        <w:ind w:left="0"/>
        <w:jc w:val="both"/>
      </w:pPr>
      <w:r>
        <w:rPr>
          <w:rFonts w:ascii="Times New Roman"/>
          <w:b w:val="false"/>
          <w:i w:val="false"/>
          <w:color w:val="000000"/>
          <w:sz w:val="28"/>
        </w:rPr>
        <w:t>
      Двигатели, предназначенные для привода погружных насосов, допускается устанавливать на открытой палубе при условии, что их исполнение и размещение отвечают требованиям подпункта 4) пункта 5756 и пункта 5764 настоящих Правил.</w:t>
      </w:r>
    </w:p>
    <w:bookmarkEnd w:id="8134"/>
    <w:bookmarkStart w:name="z8163" w:id="8135"/>
    <w:p>
      <w:pPr>
        <w:spacing w:after="0"/>
        <w:ind w:left="0"/>
        <w:jc w:val="both"/>
      </w:pPr>
      <w:r>
        <w:rPr>
          <w:rFonts w:ascii="Times New Roman"/>
          <w:b w:val="false"/>
          <w:i w:val="false"/>
          <w:color w:val="000000"/>
          <w:sz w:val="28"/>
        </w:rPr>
        <w:t xml:space="preserve">
      Паровые двигатели, рабочая температура которых не превышает 220 </w:t>
      </w:r>
      <w:r>
        <w:rPr>
          <w:rFonts w:ascii="Times New Roman"/>
          <w:b w:val="false"/>
          <w:i w:val="false"/>
          <w:color w:val="000000"/>
          <w:vertAlign w:val="superscript"/>
        </w:rPr>
        <w:t>о</w:t>
      </w:r>
      <w:r>
        <w:rPr>
          <w:rFonts w:ascii="Times New Roman"/>
          <w:b w:val="false"/>
          <w:i w:val="false"/>
          <w:color w:val="000000"/>
          <w:sz w:val="28"/>
        </w:rPr>
        <w:t>С, и гидравлические двигатели допускается устанавливать в помещениях грузовых насосов.</w:t>
      </w:r>
    </w:p>
    <w:bookmarkEnd w:id="8135"/>
    <w:bookmarkStart w:name="z8164" w:id="8136"/>
    <w:p>
      <w:pPr>
        <w:spacing w:after="0"/>
        <w:ind w:left="0"/>
        <w:jc w:val="both"/>
      </w:pPr>
      <w:r>
        <w:rPr>
          <w:rFonts w:ascii="Times New Roman"/>
          <w:b w:val="false"/>
          <w:i w:val="false"/>
          <w:color w:val="000000"/>
          <w:sz w:val="28"/>
        </w:rPr>
        <w:t>
      Приводные валы насосов и вентиляторов в местах прохода через переборки или палубы снабжаются газонепроницаемыми уплотнительными сальниками, имеющими эффективную смазку, подводимую извне насосного помещения. Насколько это практически осуществимо, конструкция сальника исключает возможность его перегрева.</w:t>
      </w:r>
    </w:p>
    <w:bookmarkEnd w:id="8136"/>
    <w:bookmarkStart w:name="z8165" w:id="8137"/>
    <w:p>
      <w:pPr>
        <w:spacing w:after="0"/>
        <w:ind w:left="0"/>
        <w:jc w:val="both"/>
      </w:pPr>
      <w:r>
        <w:rPr>
          <w:rFonts w:ascii="Times New Roman"/>
          <w:b w:val="false"/>
          <w:i w:val="false"/>
          <w:color w:val="000000"/>
          <w:sz w:val="28"/>
        </w:rPr>
        <w:t>
      Детали сальника, которые могут соприкасаться в случаях расцентровки приводного вала или повреждения подшипников, изготавливаются из материалов, исключающих возможность искрообразования.</w:t>
      </w:r>
    </w:p>
    <w:bookmarkEnd w:id="8137"/>
    <w:bookmarkStart w:name="z8166" w:id="8138"/>
    <w:p>
      <w:pPr>
        <w:spacing w:after="0"/>
        <w:ind w:left="0"/>
        <w:jc w:val="both"/>
      </w:pPr>
      <w:r>
        <w:rPr>
          <w:rFonts w:ascii="Times New Roman"/>
          <w:b w:val="false"/>
          <w:i w:val="false"/>
          <w:color w:val="000000"/>
          <w:sz w:val="28"/>
        </w:rPr>
        <w:t>
      Если в сальниках применяются сильфоны, они испытываются пробным давлением.</w:t>
      </w:r>
    </w:p>
    <w:bookmarkEnd w:id="8138"/>
    <w:bookmarkStart w:name="z8167" w:id="8139"/>
    <w:p>
      <w:pPr>
        <w:spacing w:after="0"/>
        <w:ind w:left="0"/>
        <w:jc w:val="both"/>
      </w:pPr>
      <w:r>
        <w:rPr>
          <w:rFonts w:ascii="Times New Roman"/>
          <w:b w:val="false"/>
          <w:i w:val="false"/>
          <w:color w:val="000000"/>
          <w:sz w:val="28"/>
        </w:rPr>
        <w:t>
      Грузовые, балластные и зачистные насосы, установленные в грузовых насосных отделениях, а также в балластных отделениях, если в них установлено оборудование, содержащее груз, и имеющие приводной вал, проходящий через переборки насосного отделения, оборудуют датчиками температуры сальников валов, подшипников и корпусов насосов.</w:t>
      </w:r>
    </w:p>
    <w:bookmarkEnd w:id="8139"/>
    <w:bookmarkStart w:name="z8168" w:id="8140"/>
    <w:p>
      <w:pPr>
        <w:spacing w:after="0"/>
        <w:ind w:left="0"/>
        <w:jc w:val="both"/>
      </w:pPr>
      <w:r>
        <w:rPr>
          <w:rFonts w:ascii="Times New Roman"/>
          <w:b w:val="false"/>
          <w:i w:val="false"/>
          <w:color w:val="000000"/>
          <w:sz w:val="28"/>
        </w:rPr>
        <w:t>
      Сигналы аварийно-предупредительной сигнализации выводятся на пост управления грузовыми операциями или пост управления насосами.</w:t>
      </w:r>
    </w:p>
    <w:bookmarkEnd w:id="8140"/>
    <w:bookmarkStart w:name="z8169" w:id="8141"/>
    <w:p>
      <w:pPr>
        <w:spacing w:after="0"/>
        <w:ind w:left="0"/>
        <w:jc w:val="both"/>
      </w:pPr>
      <w:r>
        <w:rPr>
          <w:rFonts w:ascii="Times New Roman"/>
          <w:b w:val="false"/>
          <w:i w:val="false"/>
          <w:color w:val="000000"/>
          <w:sz w:val="28"/>
        </w:rPr>
        <w:t>
      2734. Компрессоры воздуха устанавливаются в таких местах, где всасываемый воздух минимально загрязнен парами горючих жидкостей.</w:t>
      </w:r>
    </w:p>
    <w:bookmarkEnd w:id="8141"/>
    <w:bookmarkStart w:name="z8170" w:id="8142"/>
    <w:p>
      <w:pPr>
        <w:spacing w:after="0"/>
        <w:ind w:left="0"/>
        <w:jc w:val="both"/>
      </w:pPr>
      <w:r>
        <w:rPr>
          <w:rFonts w:ascii="Times New Roman"/>
          <w:b w:val="false"/>
          <w:i w:val="false"/>
          <w:color w:val="000000"/>
          <w:sz w:val="28"/>
        </w:rPr>
        <w:t>
      2735. Установки жидкого топлива (глава 6 настоящих Правил) а также гидравлические установки, содержащие горючие жидкости с рабочим давлением больше 1,5 МПа и не являющиеся элементами главных и вспомогательных механизмов, котлов, размещают в отдельных помещениях с самозакрывающимися стальными дверьми.</w:t>
      </w:r>
    </w:p>
    <w:bookmarkEnd w:id="8142"/>
    <w:bookmarkStart w:name="z8171" w:id="8143"/>
    <w:p>
      <w:pPr>
        <w:spacing w:after="0"/>
        <w:ind w:left="0"/>
        <w:jc w:val="both"/>
      </w:pPr>
      <w:r>
        <w:rPr>
          <w:rFonts w:ascii="Times New Roman"/>
          <w:b w:val="false"/>
          <w:i w:val="false"/>
          <w:color w:val="000000"/>
          <w:sz w:val="28"/>
        </w:rPr>
        <w:t>
      Если размещение таких установок в отдельных помещениях практически невозможно, принимают меры по экранированию их основных элементов и сбору протечек.</w:t>
      </w:r>
    </w:p>
    <w:bookmarkEnd w:id="8143"/>
    <w:bookmarkStart w:name="z8172" w:id="8144"/>
    <w:p>
      <w:pPr>
        <w:spacing w:after="0"/>
        <w:ind w:left="0"/>
        <w:jc w:val="both"/>
      </w:pPr>
      <w:r>
        <w:rPr>
          <w:rFonts w:ascii="Times New Roman"/>
          <w:b w:val="false"/>
          <w:i w:val="false"/>
          <w:color w:val="000000"/>
          <w:sz w:val="28"/>
        </w:rPr>
        <w:t>
      2736. Требования по размещению аварийных дизель-генераторов изложены в главе 481 настоящих Правил.</w:t>
      </w:r>
    </w:p>
    <w:bookmarkEnd w:id="8144"/>
    <w:bookmarkStart w:name="z8173" w:id="8145"/>
    <w:p>
      <w:pPr>
        <w:spacing w:after="0"/>
        <w:ind w:left="0"/>
        <w:jc w:val="both"/>
      </w:pPr>
      <w:r>
        <w:rPr>
          <w:rFonts w:ascii="Times New Roman"/>
          <w:b w:val="false"/>
          <w:i w:val="false"/>
          <w:color w:val="000000"/>
          <w:sz w:val="28"/>
        </w:rPr>
        <w:t>
      2737. На нефтесборных судах ДВС, котлы и оборудование, в котором имеются источники воспламенения, а также воздухозаборные устройства для них, устанавливаются в безопасных помещениях или пространствах (глава 536 настоящих Правил).</w:t>
      </w:r>
    </w:p>
    <w:bookmarkEnd w:id="8145"/>
    <w:bookmarkStart w:name="z8174" w:id="8146"/>
    <w:p>
      <w:pPr>
        <w:spacing w:after="0"/>
        <w:ind w:left="0"/>
        <w:jc w:val="both"/>
      </w:pPr>
      <w:r>
        <w:rPr>
          <w:rFonts w:ascii="Times New Roman"/>
          <w:b w:val="false"/>
          <w:i w:val="false"/>
          <w:color w:val="000000"/>
          <w:sz w:val="28"/>
        </w:rPr>
        <w:t>
      2738. Над двухтопливными двигателями внутреннего сгорания (глава 387 настоящих Правил) должны устанавливаться вытяжные навесы, оборудованные датчиками обнаружения утечек газового топлива.</w:t>
      </w:r>
    </w:p>
    <w:bookmarkEnd w:id="8146"/>
    <w:bookmarkStart w:name="z8175" w:id="8147"/>
    <w:p>
      <w:pPr>
        <w:spacing w:after="0"/>
        <w:ind w:left="0"/>
        <w:jc w:val="left"/>
      </w:pPr>
      <w:r>
        <w:rPr>
          <w:rFonts w:ascii="Times New Roman"/>
          <w:b/>
          <w:i w:val="false"/>
          <w:color w:val="000000"/>
        </w:rPr>
        <w:t xml:space="preserve"> Глава 183. Расположение топливных цистерн</w:t>
      </w:r>
    </w:p>
    <w:bookmarkEnd w:id="8147"/>
    <w:p>
      <w:pPr>
        <w:spacing w:after="0"/>
        <w:ind w:left="0"/>
        <w:jc w:val="both"/>
      </w:pPr>
      <w:r>
        <w:rPr>
          <w:rFonts w:ascii="Times New Roman"/>
          <w:b w:val="false"/>
          <w:i w:val="false"/>
          <w:color w:val="ff0000"/>
          <w:sz w:val="28"/>
        </w:rPr>
        <w:t xml:space="preserve">
      Сноска. Заголовок главы 183 -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76" w:id="8148"/>
    <w:p>
      <w:pPr>
        <w:spacing w:after="0"/>
        <w:ind w:left="0"/>
        <w:jc w:val="both"/>
      </w:pPr>
      <w:r>
        <w:rPr>
          <w:rFonts w:ascii="Times New Roman"/>
          <w:b w:val="false"/>
          <w:i w:val="false"/>
          <w:color w:val="000000"/>
          <w:sz w:val="28"/>
        </w:rPr>
        <w:t xml:space="preserve">
      2739. Топливные цистерны оставляют часть корпусных конструкций судна и располагаются за пределами машинных помещений категории А. Если топливные цистерны, за исключением цистерн двойного дна, в силу необходимости размещаются рядом или внутри машинных помещений категории А, их поверхности в машинных помещениях должны быть минимальными и предпочтительно чтобы имели общую границу с цистернами двойного дна. Если цистерны располагаются внутри машинных помещений категории А, то в них не должно содержаться топливо с температурой вспышки ниже 60 </w:t>
      </w:r>
      <w:r>
        <w:rPr>
          <w:rFonts w:ascii="Times New Roman"/>
          <w:b w:val="false"/>
          <w:i w:val="false"/>
          <w:color w:val="000000"/>
          <w:vertAlign w:val="superscript"/>
        </w:rPr>
        <w:t>о</w:t>
      </w:r>
      <w:r>
        <w:rPr>
          <w:rFonts w:ascii="Times New Roman"/>
          <w:b w:val="false"/>
          <w:i w:val="false"/>
          <w:color w:val="000000"/>
          <w:sz w:val="28"/>
        </w:rPr>
        <w:t>С. Как правило, необходимо избегать применения вкладных топливных цистерн.</w:t>
      </w:r>
    </w:p>
    <w:bookmarkEnd w:id="8148"/>
    <w:bookmarkStart w:name="z8177" w:id="8149"/>
    <w:p>
      <w:pPr>
        <w:spacing w:after="0"/>
        <w:ind w:left="0"/>
        <w:jc w:val="both"/>
      </w:pPr>
      <w:r>
        <w:rPr>
          <w:rFonts w:ascii="Times New Roman"/>
          <w:b w:val="false"/>
          <w:i w:val="false"/>
          <w:color w:val="000000"/>
          <w:sz w:val="28"/>
        </w:rPr>
        <w:t>
      Необходимо чтобы расходные топливные цистерны отвечали требованиям пункта 3696 настоящих Правил.</w:t>
      </w:r>
    </w:p>
    <w:bookmarkEnd w:id="8149"/>
    <w:bookmarkStart w:name="z8178" w:id="8150"/>
    <w:p>
      <w:pPr>
        <w:spacing w:after="0"/>
        <w:ind w:left="0"/>
        <w:jc w:val="both"/>
      </w:pPr>
      <w:r>
        <w:rPr>
          <w:rFonts w:ascii="Times New Roman"/>
          <w:b w:val="false"/>
          <w:i w:val="false"/>
          <w:color w:val="000000"/>
          <w:sz w:val="28"/>
        </w:rPr>
        <w:t>
      2740. Если применение вкладных топливных цистерн допущено Регистром судоходства, они должны устанавливаться на непроницаемых для топлива поддонах, а на пассажирских судах и судах специального назначения, на борту которых имеется более 50 человек специального персонала, кроме того, вне машинных помещений категории А.</w:t>
      </w:r>
    </w:p>
    <w:bookmarkEnd w:id="8150"/>
    <w:bookmarkStart w:name="z8179" w:id="8151"/>
    <w:p>
      <w:pPr>
        <w:spacing w:after="0"/>
        <w:ind w:left="0"/>
        <w:jc w:val="both"/>
      </w:pPr>
      <w:r>
        <w:rPr>
          <w:rFonts w:ascii="Times New Roman"/>
          <w:b w:val="false"/>
          <w:i w:val="false"/>
          <w:color w:val="000000"/>
          <w:sz w:val="28"/>
        </w:rPr>
        <w:t xml:space="preserve">
      2741. Цистерны с нефтепродуктами не должны размещаться над механизмами и оборудованием с температурой поверхностей под изоляцией больше 220 </w:t>
      </w:r>
      <w:r>
        <w:rPr>
          <w:rFonts w:ascii="Times New Roman"/>
          <w:b w:val="false"/>
          <w:i w:val="false"/>
          <w:color w:val="000000"/>
          <w:vertAlign w:val="superscript"/>
        </w:rPr>
        <w:t>о</w:t>
      </w:r>
      <w:r>
        <w:rPr>
          <w:rFonts w:ascii="Times New Roman"/>
          <w:b w:val="false"/>
          <w:i w:val="false"/>
          <w:color w:val="000000"/>
          <w:sz w:val="28"/>
        </w:rPr>
        <w:t>С, над котлами, ДВС, электрооборудованием и должны быть удалены от указанных механизмов и оборудования, насколько это практически возможно.</w:t>
      </w:r>
    </w:p>
    <w:bookmarkEnd w:id="8151"/>
    <w:bookmarkStart w:name="z8180" w:id="8152"/>
    <w:p>
      <w:pPr>
        <w:spacing w:after="0"/>
        <w:ind w:left="0"/>
        <w:jc w:val="both"/>
      </w:pPr>
      <w:r>
        <w:rPr>
          <w:rFonts w:ascii="Times New Roman"/>
          <w:b w:val="false"/>
          <w:i w:val="false"/>
          <w:color w:val="000000"/>
          <w:sz w:val="28"/>
        </w:rPr>
        <w:t>
      2742. Расположение цистерн для топлива и масел в районе жилых, служебных и охлаждаемых помещений допускается при условии разделения их коффердамами. Размеры и конструкция коффердамов — пункт 459 настоящих Правил.</w:t>
      </w:r>
    </w:p>
    <w:bookmarkEnd w:id="8152"/>
    <w:bookmarkStart w:name="z8181" w:id="8153"/>
    <w:p>
      <w:pPr>
        <w:spacing w:after="0"/>
        <w:ind w:left="0"/>
        <w:jc w:val="both"/>
      </w:pPr>
      <w:r>
        <w:rPr>
          <w:rFonts w:ascii="Times New Roman"/>
          <w:b w:val="false"/>
          <w:i w:val="false"/>
          <w:color w:val="000000"/>
          <w:sz w:val="28"/>
        </w:rPr>
        <w:t>
      По согласованию с Регистром судоходства и при условии принятия специальных мер допускается отделение указанных отсеков и помещений от цистерн без устройства коффердамов.</w:t>
      </w:r>
    </w:p>
    <w:bookmarkEnd w:id="8153"/>
    <w:bookmarkStart w:name="z8182" w:id="8154"/>
    <w:p>
      <w:pPr>
        <w:spacing w:after="0"/>
        <w:ind w:left="0"/>
        <w:jc w:val="both"/>
      </w:pPr>
      <w:r>
        <w:rPr>
          <w:rFonts w:ascii="Times New Roman"/>
          <w:b w:val="false"/>
          <w:i w:val="false"/>
          <w:color w:val="000000"/>
          <w:sz w:val="28"/>
        </w:rPr>
        <w:t>
      Расположение горловин коффердамов в районе жилых и служебных помещений не допускается.</w:t>
      </w:r>
    </w:p>
    <w:bookmarkEnd w:id="8154"/>
    <w:bookmarkStart w:name="z8183" w:id="8155"/>
    <w:p>
      <w:pPr>
        <w:spacing w:after="0"/>
        <w:ind w:left="0"/>
        <w:jc w:val="left"/>
      </w:pPr>
      <w:r>
        <w:rPr>
          <w:rFonts w:ascii="Times New Roman"/>
          <w:b/>
          <w:i w:val="false"/>
          <w:color w:val="000000"/>
        </w:rPr>
        <w:t xml:space="preserve"> Глава 184 Установка механизмов и оборудования</w:t>
      </w:r>
    </w:p>
    <w:bookmarkEnd w:id="8155"/>
    <w:p>
      <w:pPr>
        <w:spacing w:after="0"/>
        <w:ind w:left="0"/>
        <w:jc w:val="both"/>
      </w:pPr>
      <w:r>
        <w:rPr>
          <w:rFonts w:ascii="Times New Roman"/>
          <w:b w:val="false"/>
          <w:i w:val="false"/>
          <w:color w:val="ff0000"/>
          <w:sz w:val="28"/>
        </w:rPr>
        <w:t xml:space="preserve">
      Сноска. Заголовок главы 184 -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84" w:id="8156"/>
    <w:p>
      <w:pPr>
        <w:spacing w:after="0"/>
        <w:ind w:left="0"/>
        <w:jc w:val="both"/>
      </w:pPr>
      <w:r>
        <w:rPr>
          <w:rFonts w:ascii="Times New Roman"/>
          <w:b w:val="false"/>
          <w:i w:val="false"/>
          <w:color w:val="000000"/>
          <w:sz w:val="28"/>
        </w:rPr>
        <w:t>
      2743. Механизмы и оборудование, входящие в состав механической установки, устанавливаются и закрепляются на прочных и жестких фундаментах. Конструкция фундаментов отвечает требованиям, изложенным в главе 25 настоящих Правил.</w:t>
      </w:r>
    </w:p>
    <w:bookmarkEnd w:id="8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2743 -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85" w:id="8157"/>
    <w:p>
      <w:pPr>
        <w:spacing w:after="0"/>
        <w:ind w:left="0"/>
        <w:jc w:val="both"/>
      </w:pPr>
      <w:r>
        <w:rPr>
          <w:rFonts w:ascii="Times New Roman"/>
          <w:b w:val="false"/>
          <w:i w:val="false"/>
          <w:color w:val="000000"/>
          <w:sz w:val="28"/>
        </w:rPr>
        <w:t>
      2744. Котлы устанавливаются на фундаментах так, чтобы их сварные соединения не располагались на опорах.</w:t>
      </w:r>
    </w:p>
    <w:bookmarkEnd w:id="8157"/>
    <w:bookmarkStart w:name="z8186" w:id="8158"/>
    <w:p>
      <w:pPr>
        <w:spacing w:after="0"/>
        <w:ind w:left="0"/>
        <w:jc w:val="both"/>
      </w:pPr>
      <w:r>
        <w:rPr>
          <w:rFonts w:ascii="Times New Roman"/>
          <w:b w:val="false"/>
          <w:i w:val="false"/>
          <w:color w:val="000000"/>
          <w:sz w:val="28"/>
        </w:rPr>
        <w:t xml:space="preserve">
      2745. Для предохранения котлов от смещений предусматривают соответствующие упоры и штормовые крепления; </w:t>
      </w:r>
    </w:p>
    <w:bookmarkEnd w:id="8158"/>
    <w:bookmarkStart w:name="z8187" w:id="8159"/>
    <w:p>
      <w:pPr>
        <w:spacing w:after="0"/>
        <w:ind w:left="0"/>
        <w:jc w:val="both"/>
      </w:pPr>
      <w:r>
        <w:rPr>
          <w:rFonts w:ascii="Times New Roman"/>
          <w:b w:val="false"/>
          <w:i w:val="false"/>
          <w:color w:val="000000"/>
          <w:sz w:val="28"/>
        </w:rPr>
        <w:t>
      при этом предусматривается возможность тепловых удлинений корпуса котла.</w:t>
      </w:r>
    </w:p>
    <w:bookmarkEnd w:id="8159"/>
    <w:bookmarkStart w:name="z8188" w:id="8160"/>
    <w:p>
      <w:pPr>
        <w:spacing w:after="0"/>
        <w:ind w:left="0"/>
        <w:jc w:val="both"/>
      </w:pPr>
      <w:r>
        <w:rPr>
          <w:rFonts w:ascii="Times New Roman"/>
          <w:b w:val="false"/>
          <w:i w:val="false"/>
          <w:color w:val="000000"/>
          <w:sz w:val="28"/>
        </w:rPr>
        <w:t>
      2746. Главные механизмы, их передачи, упорные подшипники валопроводов полностью или частично крепятся к судовым фундаментам плотно пригнанными болтами. Вместо таких болтов допускается применять специальные упоры. Там, где это необходимо, плотно пригнанные болты применяются для крепления вспомогательных механизмов к фундаментам.</w:t>
      </w:r>
    </w:p>
    <w:bookmarkEnd w:id="8160"/>
    <w:bookmarkStart w:name="z8189" w:id="8161"/>
    <w:p>
      <w:pPr>
        <w:spacing w:after="0"/>
        <w:ind w:left="0"/>
        <w:jc w:val="both"/>
      </w:pPr>
      <w:r>
        <w:rPr>
          <w:rFonts w:ascii="Times New Roman"/>
          <w:b w:val="false"/>
          <w:i w:val="false"/>
          <w:color w:val="000000"/>
          <w:sz w:val="28"/>
        </w:rPr>
        <w:t>
      2747. Болты, крепящие главные и вспомогательные механизмы, подшипники валопровода к судовым фундаментам, концевые гайки валов, а также болты, соединяющие части валопровода, надежно застопаривают для предотвращения самопроизвольного ослабления.</w:t>
      </w:r>
    </w:p>
    <w:bookmarkEnd w:id="8161"/>
    <w:bookmarkStart w:name="z8190" w:id="8162"/>
    <w:p>
      <w:pPr>
        <w:spacing w:after="0"/>
        <w:ind w:left="0"/>
        <w:jc w:val="both"/>
      </w:pPr>
      <w:r>
        <w:rPr>
          <w:rFonts w:ascii="Times New Roman"/>
          <w:b w:val="false"/>
          <w:i w:val="false"/>
          <w:color w:val="000000"/>
          <w:sz w:val="28"/>
        </w:rPr>
        <w:t>
      2748. При необходимости установки механизмов на амортизаторах конструкция последних одобряется Регистром судоходства.</w:t>
      </w:r>
    </w:p>
    <w:bookmarkEnd w:id="8162"/>
    <w:bookmarkStart w:name="z8191" w:id="8163"/>
    <w:p>
      <w:pPr>
        <w:spacing w:after="0"/>
        <w:ind w:left="0"/>
        <w:jc w:val="both"/>
      </w:pPr>
      <w:r>
        <w:rPr>
          <w:rFonts w:ascii="Times New Roman"/>
          <w:b w:val="false"/>
          <w:i w:val="false"/>
          <w:color w:val="000000"/>
          <w:sz w:val="28"/>
        </w:rPr>
        <w:t>
      Амортизирующие крепления механизмов и оборудования должны:</w:t>
      </w:r>
    </w:p>
    <w:bookmarkEnd w:id="8163"/>
    <w:bookmarkStart w:name="z8192" w:id="8164"/>
    <w:p>
      <w:pPr>
        <w:spacing w:after="0"/>
        <w:ind w:left="0"/>
        <w:jc w:val="both"/>
      </w:pPr>
      <w:r>
        <w:rPr>
          <w:rFonts w:ascii="Times New Roman"/>
          <w:b w:val="false"/>
          <w:i w:val="false"/>
          <w:color w:val="000000"/>
          <w:sz w:val="28"/>
        </w:rPr>
        <w:t>
      сохранять виброизолирующие свойства при работе амортизированных механизмов и оборудования в условиях окружающей среды в соответствии с требованием пункта 2685 настоящих Правил;</w:t>
      </w:r>
    </w:p>
    <w:bookmarkEnd w:id="8164"/>
    <w:bookmarkStart w:name="z8193" w:id="8165"/>
    <w:p>
      <w:pPr>
        <w:spacing w:after="0"/>
        <w:ind w:left="0"/>
        <w:jc w:val="both"/>
      </w:pPr>
      <w:r>
        <w:rPr>
          <w:rFonts w:ascii="Times New Roman"/>
          <w:b w:val="false"/>
          <w:i w:val="false"/>
          <w:color w:val="000000"/>
          <w:sz w:val="28"/>
        </w:rPr>
        <w:t>
      быть стойкими к воздействию агрессивных сред, температур и различных излучений;</w:t>
      </w:r>
    </w:p>
    <w:bookmarkEnd w:id="8165"/>
    <w:bookmarkStart w:name="z8194" w:id="8166"/>
    <w:p>
      <w:pPr>
        <w:spacing w:after="0"/>
        <w:ind w:left="0"/>
        <w:jc w:val="both"/>
      </w:pPr>
      <w:r>
        <w:rPr>
          <w:rFonts w:ascii="Times New Roman"/>
          <w:b w:val="false"/>
          <w:i w:val="false"/>
          <w:color w:val="000000"/>
          <w:sz w:val="28"/>
        </w:rPr>
        <w:t>
      иметь податливую заземляющую перемычку достаточной длины для предотвращения помех радиоприему и выполнения требований техники безопасности;</w:t>
      </w:r>
    </w:p>
    <w:bookmarkEnd w:id="8166"/>
    <w:bookmarkStart w:name="z8195" w:id="8167"/>
    <w:p>
      <w:pPr>
        <w:spacing w:after="0"/>
        <w:ind w:left="0"/>
        <w:jc w:val="both"/>
      </w:pPr>
      <w:r>
        <w:rPr>
          <w:rFonts w:ascii="Times New Roman"/>
          <w:b w:val="false"/>
          <w:i w:val="false"/>
          <w:color w:val="000000"/>
          <w:sz w:val="28"/>
        </w:rPr>
        <w:t>
      исключать создание помех работе другого оборудования, устройств и систем.</w:t>
      </w:r>
    </w:p>
    <w:bookmarkEnd w:id="8167"/>
    <w:bookmarkStart w:name="z8196" w:id="8168"/>
    <w:p>
      <w:pPr>
        <w:spacing w:after="0"/>
        <w:ind w:left="0"/>
        <w:jc w:val="both"/>
      </w:pPr>
      <w:r>
        <w:rPr>
          <w:rFonts w:ascii="Times New Roman"/>
          <w:b w:val="false"/>
          <w:i w:val="false"/>
          <w:color w:val="000000"/>
          <w:sz w:val="28"/>
        </w:rPr>
        <w:t>
      2749. Установка механизмов, механического оборудования, судовых устройств и их компонентов на пластмассовых подкладках или их монтаж с применением полимерных материалов являются предметом специального рассмотрения Регистром судоходства. Полимерные материалы, применяемые для подкладок и монтажа, согласовываются с Регистром судоходства.</w:t>
      </w:r>
    </w:p>
    <w:bookmarkEnd w:id="8168"/>
    <w:bookmarkStart w:name="z8197" w:id="8169"/>
    <w:p>
      <w:pPr>
        <w:spacing w:after="0"/>
        <w:ind w:left="0"/>
        <w:jc w:val="both"/>
      </w:pPr>
      <w:r>
        <w:rPr>
          <w:rFonts w:ascii="Times New Roman"/>
          <w:b w:val="false"/>
          <w:i w:val="false"/>
          <w:color w:val="000000"/>
          <w:sz w:val="28"/>
        </w:rPr>
        <w:t>
      2750. Механизмы с горизонтальным расположением вала следует устанавливать параллельно диаметральной плоскости судна. Установка таких механизмов в ином направлении допустима при условии, что их конструкция приспособлена к работе в условиях, оговоренных в главе 190 настоящих Правил.</w:t>
      </w:r>
    </w:p>
    <w:bookmarkEnd w:id="8169"/>
    <w:bookmarkStart w:name="z8198" w:id="8170"/>
    <w:p>
      <w:pPr>
        <w:spacing w:after="0"/>
        <w:ind w:left="0"/>
        <w:jc w:val="both"/>
      </w:pPr>
      <w:r>
        <w:rPr>
          <w:rFonts w:ascii="Times New Roman"/>
          <w:b w:val="false"/>
          <w:i w:val="false"/>
          <w:color w:val="000000"/>
          <w:sz w:val="28"/>
        </w:rPr>
        <w:t>
      2751. Механизмы для привода генераторов устанавливаются на общих фундаментах с генераторами.</w:t>
      </w:r>
    </w:p>
    <w:bookmarkEnd w:id="8170"/>
    <w:bookmarkStart w:name="z8199" w:id="8171"/>
    <w:p>
      <w:pPr>
        <w:spacing w:after="0"/>
        <w:ind w:left="0"/>
        <w:jc w:val="left"/>
      </w:pPr>
      <w:r>
        <w:rPr>
          <w:rFonts w:ascii="Times New Roman"/>
          <w:b/>
          <w:i w:val="false"/>
          <w:color w:val="000000"/>
        </w:rPr>
        <w:t xml:space="preserve"> Глава 185. Выходные пути из машинных помещений</w:t>
      </w:r>
    </w:p>
    <w:bookmarkEnd w:id="8171"/>
    <w:p>
      <w:pPr>
        <w:spacing w:after="0"/>
        <w:ind w:left="0"/>
        <w:jc w:val="both"/>
      </w:pPr>
      <w:r>
        <w:rPr>
          <w:rFonts w:ascii="Times New Roman"/>
          <w:b w:val="false"/>
          <w:i w:val="false"/>
          <w:color w:val="ff0000"/>
          <w:sz w:val="28"/>
        </w:rPr>
        <w:t xml:space="preserve">
      Сноска. Заголовок главы 185 -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00" w:id="8172"/>
    <w:p>
      <w:pPr>
        <w:spacing w:after="0"/>
        <w:ind w:left="0"/>
        <w:jc w:val="both"/>
      </w:pPr>
      <w:r>
        <w:rPr>
          <w:rFonts w:ascii="Times New Roman"/>
          <w:b w:val="false"/>
          <w:i w:val="false"/>
          <w:color w:val="000000"/>
          <w:sz w:val="28"/>
        </w:rPr>
        <w:t>
      2752. Выходные пути из машинных помещений, включая трапы, коридоры, двери и люки, если не указано иное, обеспечивают безопасный выход на палубы, где расположены места посадки в спасательные шлюпки и плоты.</w:t>
      </w:r>
    </w:p>
    <w:bookmarkEnd w:id="8172"/>
    <w:bookmarkStart w:name="z8201" w:id="8173"/>
    <w:p>
      <w:pPr>
        <w:spacing w:after="0"/>
        <w:ind w:left="0"/>
        <w:jc w:val="both"/>
      </w:pPr>
      <w:r>
        <w:rPr>
          <w:rFonts w:ascii="Times New Roman"/>
          <w:b w:val="false"/>
          <w:i w:val="false"/>
          <w:color w:val="000000"/>
          <w:sz w:val="28"/>
        </w:rPr>
        <w:t>
      2753. Все двери, а также крышки сходных и световых люков, через которые возможен выход из машинных помещений, открываются и закрываются как изнутри, так и снаружи. На крышках сходных и световых люков наносится соответствующая маркировка, а также четкая надпись, запрещающая укладывание на них каких-либо предметов.</w:t>
      </w:r>
    </w:p>
    <w:bookmarkEnd w:id="8173"/>
    <w:bookmarkStart w:name="z8202" w:id="8174"/>
    <w:p>
      <w:pPr>
        <w:spacing w:after="0"/>
        <w:ind w:left="0"/>
        <w:jc w:val="both"/>
      </w:pPr>
      <w:r>
        <w:rPr>
          <w:rFonts w:ascii="Times New Roman"/>
          <w:b w:val="false"/>
          <w:i w:val="false"/>
          <w:color w:val="000000"/>
          <w:sz w:val="28"/>
        </w:rPr>
        <w:t>
      Лифты не рассматриваются как выходные пути.</w:t>
      </w:r>
    </w:p>
    <w:bookmarkEnd w:id="8174"/>
    <w:bookmarkStart w:name="z8203" w:id="8175"/>
    <w:p>
      <w:pPr>
        <w:spacing w:after="0"/>
        <w:ind w:left="0"/>
        <w:jc w:val="both"/>
      </w:pPr>
      <w:r>
        <w:rPr>
          <w:rFonts w:ascii="Times New Roman"/>
          <w:b w:val="false"/>
          <w:i w:val="false"/>
          <w:color w:val="000000"/>
          <w:sz w:val="28"/>
        </w:rPr>
        <w:t>
      2754. Главные и вспомогательные механизмы размещаются в машинных помещениях таким образом, чтобы из их постов управления и мест обслуживания были обеспечены свободные проходы к выходным путям. Ширина проходов по всей длине принимается не менее 600 миллиметров. На судах валовой вместимостью менее 1000 миллиметров ширину проходов допускается уменьшать до 500 миллиметров. Необходимо чтобы ширина проходов вдоль распределительных щитов отвечала требованиям параграфа 7 главы 441 настоящих Правил.</w:t>
      </w:r>
    </w:p>
    <w:bookmarkEnd w:id="8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2754 -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04" w:id="8176"/>
    <w:p>
      <w:pPr>
        <w:spacing w:after="0"/>
        <w:ind w:left="0"/>
        <w:jc w:val="both"/>
      </w:pPr>
      <w:r>
        <w:rPr>
          <w:rFonts w:ascii="Times New Roman"/>
          <w:b w:val="false"/>
          <w:i w:val="false"/>
          <w:color w:val="000000"/>
          <w:sz w:val="28"/>
        </w:rPr>
        <w:t>
      2755. Ширину трапов на выходных путях и ширину дверей в выходах следует принимать не менее 600 мм. На судах валовой вместимостью менее 1000 ширина трапов допускается уменьшать до 500 мм.</w:t>
      </w:r>
    </w:p>
    <w:bookmarkEnd w:id="8176"/>
    <w:bookmarkStart w:name="z8205" w:id="8177"/>
    <w:p>
      <w:pPr>
        <w:spacing w:after="0"/>
        <w:ind w:left="0"/>
        <w:jc w:val="both"/>
      </w:pPr>
      <w:r>
        <w:rPr>
          <w:rFonts w:ascii="Times New Roman"/>
          <w:b w:val="false"/>
          <w:i w:val="false"/>
          <w:color w:val="000000"/>
          <w:sz w:val="28"/>
        </w:rPr>
        <w:t>
      2756. Каждое машинное помещение пассажирского судна, расположенное ниже палубы переборок, имеет не менее двух выходных путей, которые отвечают требованиям либо подпункта 1) настоящего пункта, либо подпункта 2) настоящего пункта, а именно:</w:t>
      </w:r>
    </w:p>
    <w:bookmarkEnd w:id="8177"/>
    <w:bookmarkStart w:name="z8206" w:id="8178"/>
    <w:p>
      <w:pPr>
        <w:spacing w:after="0"/>
        <w:ind w:left="0"/>
        <w:jc w:val="both"/>
      </w:pPr>
      <w:r>
        <w:rPr>
          <w:rFonts w:ascii="Times New Roman"/>
          <w:b w:val="false"/>
          <w:i w:val="false"/>
          <w:color w:val="000000"/>
          <w:sz w:val="28"/>
        </w:rPr>
        <w:t>
      1) состоять из двух отдельных стальных трапов, разнесенных как можно дальше друг от друга и ведущих к дверям (люкам) в верхней части помещения, разнесенным подобным же образом и обеспечивающим выполнение требования пункта 2752 настоящих Правил. Один из этих трапов располагается в защищенной выгородке протяженностью от нижней части помещения до безопасного места вне этого помещения и отвечающей требованиям пункта 2387 настоящих Правил. В выгородке устанавливаются самозакрывающиеся противопожарные двери такой же огнестойкости. Крепление трапа выполняют таким образом, чтобы не происходила передача тепла внутрь выгородки через неизолированные точки крепления. Выгородка имеет минимальные внутренние размерения не менее 800 х 800 мм с учетом защиты и аварийное освещение;</w:t>
      </w:r>
    </w:p>
    <w:bookmarkEnd w:id="8178"/>
    <w:bookmarkStart w:name="z8207" w:id="8179"/>
    <w:p>
      <w:pPr>
        <w:spacing w:after="0"/>
        <w:ind w:left="0"/>
        <w:jc w:val="both"/>
      </w:pPr>
      <w:r>
        <w:rPr>
          <w:rFonts w:ascii="Times New Roman"/>
          <w:b w:val="false"/>
          <w:i w:val="false"/>
          <w:color w:val="000000"/>
          <w:sz w:val="28"/>
        </w:rPr>
        <w:t>
      2) состоять из одного стального трапа, ведущего к двери (люку) в верхней части помещения и обеспечивающего выполнение требования пункта 2752 настоящих Правил, и, кроме того, из открываемой с обеих сторон стальной двери в нижней части помещения, расположенной в месте, достаточно удаленном от указанного трапа, которая обеспечивает доступ к безопасному выходному пути из нижней части помещения в соответствии с пунктом 2752 настоящих Правил.</w:t>
      </w:r>
    </w:p>
    <w:bookmarkEnd w:id="8179"/>
    <w:bookmarkStart w:name="z8208" w:id="8180"/>
    <w:p>
      <w:pPr>
        <w:spacing w:after="0"/>
        <w:ind w:left="0"/>
        <w:jc w:val="both"/>
      </w:pPr>
      <w:r>
        <w:rPr>
          <w:rFonts w:ascii="Times New Roman"/>
          <w:b w:val="false"/>
          <w:i w:val="false"/>
          <w:color w:val="000000"/>
          <w:sz w:val="28"/>
        </w:rPr>
        <w:t>
      2757. Выходные пути из машинных помещений пассажирских судов, расположенных выше палубы переборок, имеют два средства выхода наружу, разнесенных как можно дальше друг от друга, а двери (люки) этих выходных путей должны располагаются в таких местах, чтобы обеспечивалось выполнение требования пункта 2752 настоящих Правил. Если такие выходные пути требуют использования трапов, последние выполняют из стали.</w:t>
      </w:r>
    </w:p>
    <w:bookmarkEnd w:id="8180"/>
    <w:bookmarkStart w:name="z8209" w:id="8181"/>
    <w:p>
      <w:pPr>
        <w:spacing w:after="0"/>
        <w:ind w:left="0"/>
        <w:jc w:val="both"/>
      </w:pPr>
      <w:r>
        <w:rPr>
          <w:rFonts w:ascii="Times New Roman"/>
          <w:b w:val="false"/>
          <w:i w:val="false"/>
          <w:color w:val="000000"/>
          <w:sz w:val="28"/>
        </w:rPr>
        <w:t>
      2758. На пассажирских судах валовой вместимостью менее 1000 по согласованию с Регистром судоходства допускается наличие одного выходного пути из помещений, указанных в пунктах 2756 и 2757 настоящих Правил, с учетом ширины и расположения верхней части помещения. На судах валовой вместимостью 1000 и более по согласованию с Регистром судоходства допускается один выходной путь из указанных выше помещений, включая помещение вспомогательных механизмов с периодическим безвахтенным обслуживанием, только в том случае, если обеспечивается требование пункта 2752 настоящих Правил, и с учетом назначения помещения и отсутствия в нем людей при нормальных условиях эксплуатации судна.</w:t>
      </w:r>
    </w:p>
    <w:bookmarkEnd w:id="8181"/>
    <w:bookmarkStart w:name="z8210" w:id="8182"/>
    <w:p>
      <w:pPr>
        <w:spacing w:after="0"/>
        <w:ind w:left="0"/>
        <w:jc w:val="both"/>
      </w:pPr>
      <w:r>
        <w:rPr>
          <w:rFonts w:ascii="Times New Roman"/>
          <w:b w:val="false"/>
          <w:i w:val="false"/>
          <w:color w:val="000000"/>
          <w:sz w:val="28"/>
        </w:rPr>
        <w:t>
      2759. Из помещения рулевого привода пассажирского судна, в котором расположен аварийный пост управления, предусматривается второй выходной путь, за исключением случаев, когда имеется выход на открытую палубу.</w:t>
      </w:r>
    </w:p>
    <w:bookmarkEnd w:id="8182"/>
    <w:bookmarkStart w:name="z8211" w:id="818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 Местный пост управления, расположенный в помещении рулевого привода, считается аварийным постом, если отсутствует отдельный аварийный пост управления.</w:t>
      </w:r>
    </w:p>
    <w:bookmarkEnd w:id="8183"/>
    <w:bookmarkStart w:name="z8214" w:id="8184"/>
    <w:p>
      <w:pPr>
        <w:spacing w:after="0"/>
        <w:ind w:left="0"/>
        <w:jc w:val="both"/>
      </w:pPr>
      <w:r>
        <w:rPr>
          <w:rFonts w:ascii="Times New Roman"/>
          <w:b w:val="false"/>
          <w:i w:val="false"/>
          <w:color w:val="000000"/>
          <w:sz w:val="28"/>
        </w:rPr>
        <w:t>
      2760. На пассажирских судах предусматривают два выходных пути из ЦПУ, выгороженного внутри машинного помещения. При этом, по крайней мере, один из них имеет огнестойкую защиту на всем протяжении до безопасного места вне машинного помещения.</w:t>
      </w:r>
    </w:p>
    <w:bookmarkEnd w:id="8184"/>
    <w:bookmarkStart w:name="z8215" w:id="8185"/>
    <w:p>
      <w:pPr>
        <w:spacing w:after="0"/>
        <w:ind w:left="0"/>
        <w:jc w:val="both"/>
      </w:pPr>
      <w:r>
        <w:rPr>
          <w:rFonts w:ascii="Times New Roman"/>
          <w:b w:val="false"/>
          <w:i w:val="false"/>
          <w:color w:val="000000"/>
          <w:sz w:val="28"/>
        </w:rPr>
        <w:t>
      2761. Каждое машинное помещение категории А грузового судна имеет не менее двух выходных путей, которые отвечают требованиям либо подпункта 1) настоящего пункта, либо подпункта 2) настоящего, а именно:</w:t>
      </w:r>
    </w:p>
    <w:bookmarkEnd w:id="8185"/>
    <w:bookmarkStart w:name="z8216" w:id="8186"/>
    <w:p>
      <w:pPr>
        <w:spacing w:after="0"/>
        <w:ind w:left="0"/>
        <w:jc w:val="both"/>
      </w:pPr>
      <w:r>
        <w:rPr>
          <w:rFonts w:ascii="Times New Roman"/>
          <w:b w:val="false"/>
          <w:i w:val="false"/>
          <w:color w:val="000000"/>
          <w:sz w:val="28"/>
        </w:rPr>
        <w:t>
      1) состоять из двух стальных трапов, разнесенных как можно дальше друг от друга и ведущих к дверям (люкам), из которых предусмотрен выход на открытую палубу. При этом один из выходных путей должен располагаться в защищенной выгородке протяженностью от нижней части помещения до безопасного места вне этого помещения, отвечающей требованиям пункта 2387 настоящих Правил. В выгородке устанавливаются самозакрывающиеся противопожарные двери такой же огнестойкости. Крепление трапа выполняют таким образом, чтобы не происходила передача тепла внутрь выгородки через неизолированные точки крепления. Выгородка имеет минимальные внутренние размерения не менее 800 х 800 мм с учетом защиты и аварийное освещение;</w:t>
      </w:r>
    </w:p>
    <w:bookmarkEnd w:id="8186"/>
    <w:bookmarkStart w:name="z8217" w:id="8187"/>
    <w:p>
      <w:pPr>
        <w:spacing w:after="0"/>
        <w:ind w:left="0"/>
        <w:jc w:val="both"/>
      </w:pPr>
      <w:r>
        <w:rPr>
          <w:rFonts w:ascii="Times New Roman"/>
          <w:b w:val="false"/>
          <w:i w:val="false"/>
          <w:color w:val="000000"/>
          <w:sz w:val="28"/>
        </w:rPr>
        <w:t>
      2) состоять из одного стального трапа, ведущего к двери (люку) в верхней части помещения и обеспечивающего выход на открытую палубу, и, кроме того, из открываемой с обеих сторон стальной двери в нижней части помещения, расположенной в месте, достаточно удаленном от указанного трапа, которая обеспечивает доступ к безопасному выходному пути из нижней части помещения на открытую палубу.</w:t>
      </w:r>
    </w:p>
    <w:bookmarkEnd w:id="8187"/>
    <w:bookmarkStart w:name="z8218" w:id="8188"/>
    <w:p>
      <w:pPr>
        <w:spacing w:after="0"/>
        <w:ind w:left="0"/>
        <w:jc w:val="both"/>
      </w:pPr>
      <w:r>
        <w:rPr>
          <w:rFonts w:ascii="Times New Roman"/>
          <w:b w:val="false"/>
          <w:i w:val="false"/>
          <w:color w:val="000000"/>
          <w:sz w:val="28"/>
        </w:rPr>
        <w:t>
      2762. На грузовых судах валовой вместимостью менее 1000 по согласованию с Регистром судоходства допускается наличие одного выходного пути из машинных помещений категории А с учетом ширины и расположения верхней части помещения. Кроме этого, выходной путь на таких судах допускается не оборудовать выгородкой, требуемой в подпункте 1) пункта 2761 настоящих Правил.</w:t>
      </w:r>
    </w:p>
    <w:bookmarkEnd w:id="8188"/>
    <w:bookmarkStart w:name="z8219" w:id="8189"/>
    <w:p>
      <w:pPr>
        <w:spacing w:after="0"/>
        <w:ind w:left="0"/>
        <w:jc w:val="both"/>
      </w:pPr>
      <w:r>
        <w:rPr>
          <w:rFonts w:ascii="Times New Roman"/>
          <w:b w:val="false"/>
          <w:i w:val="false"/>
          <w:color w:val="000000"/>
          <w:sz w:val="28"/>
        </w:rPr>
        <w:t>
      2763. Из помещения рулевого привода грузового судна, в котором расположен аварийный пост управления, предусматривается второй выходной путь, за исключением случаев, когда имеется выход на открытую палубу.</w:t>
      </w:r>
    </w:p>
    <w:bookmarkEnd w:id="8189"/>
    <w:bookmarkStart w:name="z8220" w:id="8190"/>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 Местный пост управления, расположенный в помещении рулевого привода, считается аварийным постом, если отсутствует отдельный аварийный пост управления.</w:t>
      </w:r>
    </w:p>
    <w:bookmarkEnd w:id="8190"/>
    <w:bookmarkStart w:name="z8223" w:id="8191"/>
    <w:p>
      <w:pPr>
        <w:spacing w:after="0"/>
        <w:ind w:left="0"/>
        <w:jc w:val="both"/>
      </w:pPr>
      <w:r>
        <w:rPr>
          <w:rFonts w:ascii="Times New Roman"/>
          <w:b w:val="false"/>
          <w:i w:val="false"/>
          <w:color w:val="000000"/>
          <w:sz w:val="28"/>
        </w:rPr>
        <w:t>
      2764. Каждое машинное помещение, не являющееся помещением категории А, имеет не менее двух выходных путей, за исключением помещений, посещаемых периодически, и помещений, где максимальное расстояние до выходной двери (люка) не превышает 5 м.</w:t>
      </w:r>
    </w:p>
    <w:bookmarkEnd w:id="8191"/>
    <w:bookmarkStart w:name="z8224" w:id="8192"/>
    <w:p>
      <w:pPr>
        <w:spacing w:after="0"/>
        <w:ind w:left="0"/>
        <w:jc w:val="both"/>
      </w:pPr>
      <w:r>
        <w:rPr>
          <w:rFonts w:ascii="Times New Roman"/>
          <w:b w:val="false"/>
          <w:i w:val="false"/>
          <w:color w:val="000000"/>
          <w:sz w:val="28"/>
        </w:rPr>
        <w:t>
      2765. Выходы из туннелей, предназначенных для валопроводов и трубопроводов, заключают в водонепроницаемые шахты, выведенные выше палубы переборок или самой высокой ватерлинии.</w:t>
      </w:r>
    </w:p>
    <w:bookmarkEnd w:id="8192"/>
    <w:bookmarkStart w:name="z8225" w:id="8193"/>
    <w:p>
      <w:pPr>
        <w:spacing w:after="0"/>
        <w:ind w:left="0"/>
        <w:jc w:val="both"/>
      </w:pPr>
      <w:r>
        <w:rPr>
          <w:rFonts w:ascii="Times New Roman"/>
          <w:b w:val="false"/>
          <w:i w:val="false"/>
          <w:color w:val="000000"/>
          <w:sz w:val="28"/>
        </w:rPr>
        <w:t>
      Необходимо чтобы двери из туннелей валопроводов и трубопроводов, ведущие в машинные помещения и помещения грузовых насосов, отвечали требованиям главы 77 настоящих Правил.</w:t>
      </w:r>
    </w:p>
    <w:bookmarkEnd w:id="8193"/>
    <w:bookmarkStart w:name="z8226" w:id="8194"/>
    <w:p>
      <w:pPr>
        <w:spacing w:after="0"/>
        <w:ind w:left="0"/>
        <w:jc w:val="both"/>
      </w:pPr>
      <w:r>
        <w:rPr>
          <w:rFonts w:ascii="Times New Roman"/>
          <w:b w:val="false"/>
          <w:i w:val="false"/>
          <w:color w:val="000000"/>
          <w:sz w:val="28"/>
        </w:rPr>
        <w:t>
      2766. На нефтеналивных и комбинированных судах один из выходных путей из туннелей трубопроводов, расположенных под грузовыми танками, может вести в помещение грузовых насосов. Выход в машинные помещения не допускается.</w:t>
      </w:r>
    </w:p>
    <w:bookmarkEnd w:id="8194"/>
    <w:bookmarkStart w:name="z8227" w:id="8195"/>
    <w:p>
      <w:pPr>
        <w:spacing w:after="0"/>
        <w:ind w:left="0"/>
        <w:jc w:val="both"/>
      </w:pPr>
      <w:r>
        <w:rPr>
          <w:rFonts w:ascii="Times New Roman"/>
          <w:b w:val="false"/>
          <w:i w:val="false"/>
          <w:color w:val="000000"/>
          <w:sz w:val="28"/>
        </w:rPr>
        <w:t>
      2667. Двери и крышки люков помешений грузовых насосов на нефтеналивных судах открываются и закрываются как изнутри, так и снаружи, а их конструкция исключает возможность искрообразования.</w:t>
      </w:r>
    </w:p>
    <w:bookmarkEnd w:id="8195"/>
    <w:bookmarkStart w:name="z8228" w:id="8196"/>
    <w:p>
      <w:pPr>
        <w:spacing w:after="0"/>
        <w:ind w:left="0"/>
        <w:jc w:val="both"/>
      </w:pPr>
      <w:r>
        <w:rPr>
          <w:rFonts w:ascii="Times New Roman"/>
          <w:b w:val="false"/>
          <w:i w:val="false"/>
          <w:color w:val="000000"/>
          <w:sz w:val="28"/>
        </w:rPr>
        <w:t>
      2768. Выходы из помещений грузовых насосов ведут непосредственно на открытую палубу. Выходы в другие машинные помещения не допускаются.</w:t>
      </w:r>
    </w:p>
    <w:bookmarkEnd w:id="8196"/>
    <w:bookmarkStart w:name="z8229" w:id="8197"/>
    <w:p>
      <w:pPr>
        <w:spacing w:after="0"/>
        <w:ind w:left="0"/>
        <w:jc w:val="both"/>
      </w:pPr>
      <w:r>
        <w:rPr>
          <w:rFonts w:ascii="Times New Roman"/>
          <w:b w:val="false"/>
          <w:i w:val="false"/>
          <w:color w:val="000000"/>
          <w:sz w:val="28"/>
        </w:rPr>
        <w:t>
      2769. Если два смежных машинных помещения сообщаются при помощи дверей, и каждое из этих помещений имеет только по одному выходному пути через шахту, то эти пути располагают по обоим бортам.</w:t>
      </w:r>
    </w:p>
    <w:bookmarkEnd w:id="8197"/>
    <w:bookmarkStart w:name="z8230" w:id="8198"/>
    <w:p>
      <w:pPr>
        <w:spacing w:after="0"/>
        <w:ind w:left="0"/>
        <w:jc w:val="left"/>
      </w:pPr>
      <w:r>
        <w:rPr>
          <w:rFonts w:ascii="Times New Roman"/>
          <w:b/>
          <w:i w:val="false"/>
          <w:color w:val="000000"/>
        </w:rPr>
        <w:t xml:space="preserve"> Глава 186. Изоляция нагревающихся поверхностей</w:t>
      </w:r>
    </w:p>
    <w:bookmarkEnd w:id="8198"/>
    <w:p>
      <w:pPr>
        <w:spacing w:after="0"/>
        <w:ind w:left="0"/>
        <w:jc w:val="both"/>
      </w:pPr>
      <w:r>
        <w:rPr>
          <w:rFonts w:ascii="Times New Roman"/>
          <w:b w:val="false"/>
          <w:i w:val="false"/>
          <w:color w:val="ff0000"/>
          <w:sz w:val="28"/>
        </w:rPr>
        <w:t xml:space="preserve">
      Сноска. Заголовок главы 186 -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31" w:id="8199"/>
    <w:p>
      <w:pPr>
        <w:spacing w:after="0"/>
        <w:ind w:left="0"/>
        <w:jc w:val="both"/>
      </w:pPr>
      <w:r>
        <w:rPr>
          <w:rFonts w:ascii="Times New Roman"/>
          <w:b w:val="false"/>
          <w:i w:val="false"/>
          <w:color w:val="000000"/>
          <w:sz w:val="28"/>
        </w:rPr>
        <w:t xml:space="preserve">
      2770. Нагревающиеся свыше 220 </w:t>
      </w:r>
      <w:r>
        <w:rPr>
          <w:rFonts w:ascii="Times New Roman"/>
          <w:b w:val="false"/>
          <w:i w:val="false"/>
          <w:color w:val="000000"/>
          <w:vertAlign w:val="superscript"/>
        </w:rPr>
        <w:t>о</w:t>
      </w:r>
      <w:r>
        <w:rPr>
          <w:rFonts w:ascii="Times New Roman"/>
          <w:b w:val="false"/>
          <w:i w:val="false"/>
          <w:color w:val="000000"/>
          <w:sz w:val="28"/>
        </w:rPr>
        <w:t>С поверхности механизмов, оборудования и трубопроводов, на которые возможно попадание топлива в результате неисправности топливной системы, надлежащим образом изолируются.</w:t>
      </w:r>
    </w:p>
    <w:bookmarkEnd w:id="8199"/>
    <w:bookmarkStart w:name="z8232" w:id="8200"/>
    <w:p>
      <w:pPr>
        <w:spacing w:after="0"/>
        <w:ind w:left="0"/>
        <w:jc w:val="both"/>
      </w:pPr>
      <w:r>
        <w:rPr>
          <w:rFonts w:ascii="Times New Roman"/>
          <w:b w:val="false"/>
          <w:i w:val="false"/>
          <w:color w:val="000000"/>
          <w:sz w:val="28"/>
        </w:rPr>
        <w:t>
      2771. Необходимо чтобы изоляционные материалы и покрытие изоляции отвечали требованиям пункта 2159 настоящих Правил.</w:t>
      </w:r>
    </w:p>
    <w:bookmarkEnd w:id="8200"/>
    <w:bookmarkStart w:name="z8233" w:id="8201"/>
    <w:p>
      <w:pPr>
        <w:spacing w:after="0"/>
        <w:ind w:left="0"/>
        <w:jc w:val="both"/>
      </w:pPr>
      <w:r>
        <w:rPr>
          <w:rFonts w:ascii="Times New Roman"/>
          <w:b w:val="false"/>
          <w:i w:val="false"/>
          <w:color w:val="000000"/>
          <w:sz w:val="28"/>
        </w:rPr>
        <w:t>
      2772. Предпринимаются конструктивные меры для предотвращения попадания на горячие поверхности любых нефтепродуктов под давлением из насосов, фильтров или подогревателей.</w:t>
      </w:r>
    </w:p>
    <w:bookmarkEnd w:id="8201"/>
    <w:bookmarkStart w:name="z8234" w:id="8202"/>
    <w:p>
      <w:pPr>
        <w:spacing w:after="0"/>
        <w:ind w:left="0"/>
        <w:jc w:val="left"/>
      </w:pPr>
      <w:r>
        <w:rPr>
          <w:rFonts w:ascii="Times New Roman"/>
          <w:b/>
          <w:i w:val="false"/>
          <w:color w:val="000000"/>
        </w:rPr>
        <w:t xml:space="preserve"> Подраздел 5. Валопроводы</w:t>
      </w:r>
      <w:r>
        <w:br/>
      </w:r>
      <w:r>
        <w:rPr>
          <w:rFonts w:ascii="Times New Roman"/>
          <w:b/>
          <w:i w:val="false"/>
          <w:color w:val="000000"/>
        </w:rPr>
        <w:t>Глава187. Общие положения</w:t>
      </w:r>
    </w:p>
    <w:bookmarkEnd w:id="8202"/>
    <w:p>
      <w:pPr>
        <w:spacing w:after="0"/>
        <w:ind w:left="0"/>
        <w:jc w:val="both"/>
      </w:pPr>
      <w:r>
        <w:rPr>
          <w:rFonts w:ascii="Times New Roman"/>
          <w:b w:val="false"/>
          <w:i w:val="false"/>
          <w:color w:val="ff0000"/>
          <w:sz w:val="28"/>
        </w:rPr>
        <w:t xml:space="preserve">
      Сноска. Заголовок главы 187 -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36" w:id="8203"/>
    <w:p>
      <w:pPr>
        <w:spacing w:after="0"/>
        <w:ind w:left="0"/>
        <w:jc w:val="both"/>
      </w:pPr>
      <w:r>
        <w:rPr>
          <w:rFonts w:ascii="Times New Roman"/>
          <w:b w:val="false"/>
          <w:i w:val="false"/>
          <w:color w:val="000000"/>
          <w:sz w:val="28"/>
        </w:rPr>
        <w:t>
      2773. Валопровод представляет собой цельное устройство, соединяющее двигатель с движителем. Обеспечивается оптимальное размещение валопровода в пространстве судна, предусматривающее рациональное сочетание нагрузок на компоненты валопровода, его опоры и двигатель. Для этого выполняют комплекс конструктивных, научных, технических и производственных мероприятий, объединенных понятием "Центровка валопровода", одобренных Регистром судоходства.</w:t>
      </w:r>
    </w:p>
    <w:bookmarkEnd w:id="8203"/>
    <w:bookmarkStart w:name="z8237" w:id="8204"/>
    <w:p>
      <w:pPr>
        <w:spacing w:after="0"/>
        <w:ind w:left="0"/>
        <w:jc w:val="both"/>
      </w:pPr>
      <w:r>
        <w:rPr>
          <w:rFonts w:ascii="Times New Roman"/>
          <w:b w:val="false"/>
          <w:i w:val="false"/>
          <w:color w:val="000000"/>
          <w:sz w:val="28"/>
        </w:rPr>
        <w:t>
      2774. Минимальные диаметры валов без учета припуска на последующую проточку валов в период эксплуатации определяются формулами, приведенными в настоящем разделе. При этом предполагается, что дополнительные напряжения от крутильных колебаний не будут превышать допускаемых требованиями подраздела 8 раздела 9 настоящих Правил.</w:t>
      </w:r>
    </w:p>
    <w:bookmarkEnd w:id="8204"/>
    <w:bookmarkStart w:name="z8238" w:id="8205"/>
    <w:p>
      <w:pPr>
        <w:spacing w:after="0"/>
        <w:ind w:left="0"/>
        <w:jc w:val="both"/>
      </w:pPr>
      <w:r>
        <w:rPr>
          <w:rFonts w:ascii="Times New Roman"/>
          <w:b w:val="false"/>
          <w:i w:val="false"/>
          <w:color w:val="000000"/>
          <w:sz w:val="28"/>
        </w:rPr>
        <w:t>
      Временное сопротивление материала вала следует принимать не менее 400 МПа, а для валов, которые испытывают напряжения от вибрации, близкие к допускаемым при работе на переходных режимах, - не менее 500 МПа.</w:t>
      </w:r>
    </w:p>
    <w:bookmarkEnd w:id="8205"/>
    <w:bookmarkStart w:name="z8239" w:id="8206"/>
    <w:p>
      <w:pPr>
        <w:spacing w:after="0"/>
        <w:ind w:left="0"/>
        <w:jc w:val="both"/>
      </w:pPr>
      <w:r>
        <w:rPr>
          <w:rFonts w:ascii="Times New Roman"/>
          <w:b w:val="false"/>
          <w:i w:val="false"/>
          <w:color w:val="000000"/>
          <w:sz w:val="28"/>
        </w:rPr>
        <w:t>
      Допускается применение альтернативных методов расчета. Эти методы учитывают критерии статической и усталостной прочности и включают все соответствующие нагрузки при всех допускаемых условиях эксплуатации.</w:t>
      </w:r>
    </w:p>
    <w:bookmarkEnd w:id="8206"/>
    <w:bookmarkStart w:name="z8240" w:id="8207"/>
    <w:p>
      <w:pPr>
        <w:spacing w:after="0"/>
        <w:ind w:left="0"/>
        <w:jc w:val="both"/>
      </w:pPr>
      <w:r>
        <w:rPr>
          <w:rFonts w:ascii="Times New Roman"/>
          <w:b w:val="false"/>
          <w:i w:val="false"/>
          <w:color w:val="000000"/>
          <w:sz w:val="28"/>
        </w:rPr>
        <w:t>
      Диаметры валов, определяемые в соответствии с пунктами 2778, 2779 и 2780 настоящих Правил для судов ограниченных районов плавания R2 и R3, допускается уменьшать на 5 %.</w:t>
      </w:r>
    </w:p>
    <w:bookmarkEnd w:id="8207"/>
    <w:bookmarkStart w:name="z8241" w:id="8208"/>
    <w:p>
      <w:pPr>
        <w:spacing w:after="0"/>
        <w:ind w:left="0"/>
        <w:jc w:val="both"/>
      </w:pPr>
      <w:r>
        <w:rPr>
          <w:rFonts w:ascii="Times New Roman"/>
          <w:b w:val="false"/>
          <w:i w:val="false"/>
          <w:color w:val="000000"/>
          <w:sz w:val="28"/>
        </w:rPr>
        <w:t>
      2775. На ледоколах и судах с ледовыми усилениями гребные валы защищают от воздействия льда.</w:t>
      </w:r>
    </w:p>
    <w:bookmarkEnd w:id="8208"/>
    <w:bookmarkStart w:name="z8242" w:id="8209"/>
    <w:p>
      <w:pPr>
        <w:spacing w:after="0"/>
        <w:ind w:left="0"/>
        <w:jc w:val="both"/>
      </w:pPr>
      <w:r>
        <w:rPr>
          <w:rFonts w:ascii="Times New Roman"/>
          <w:b w:val="false"/>
          <w:i w:val="false"/>
          <w:color w:val="000000"/>
          <w:sz w:val="28"/>
        </w:rPr>
        <w:t>
      2776. На судах, где нет препятствий свободному выходу гребного вала из дейдвудного устройства, предусматривают средства, исключающие выход гребного вала при его поломке из дейдвудного устройства, или выполняют меры, предотвращающие затопление машинного отделения в случае потери гребного вала.</w:t>
      </w:r>
    </w:p>
    <w:bookmarkEnd w:id="8209"/>
    <w:bookmarkStart w:name="z8243" w:id="8210"/>
    <w:p>
      <w:pPr>
        <w:spacing w:after="0"/>
        <w:ind w:left="0"/>
        <w:jc w:val="both"/>
      </w:pPr>
      <w:r>
        <w:rPr>
          <w:rFonts w:ascii="Times New Roman"/>
          <w:b w:val="false"/>
          <w:i w:val="false"/>
          <w:color w:val="000000"/>
          <w:sz w:val="28"/>
        </w:rPr>
        <w:t>
      2777. Пространство между дейдвудной трубой и ступицей гребного винта защищают прочным кожухом.</w:t>
      </w:r>
    </w:p>
    <w:bookmarkEnd w:id="8210"/>
    <w:bookmarkStart w:name="z8244" w:id="8211"/>
    <w:p>
      <w:pPr>
        <w:spacing w:after="0"/>
        <w:ind w:left="0"/>
        <w:jc w:val="left"/>
      </w:pPr>
      <w:r>
        <w:rPr>
          <w:rFonts w:ascii="Times New Roman"/>
          <w:b/>
          <w:i w:val="false"/>
          <w:color w:val="000000"/>
        </w:rPr>
        <w:t xml:space="preserve"> Глава 188. Конструкция и размеры валов</w:t>
      </w:r>
    </w:p>
    <w:bookmarkEnd w:id="8211"/>
    <w:p>
      <w:pPr>
        <w:spacing w:after="0"/>
        <w:ind w:left="0"/>
        <w:jc w:val="both"/>
      </w:pPr>
      <w:r>
        <w:rPr>
          <w:rFonts w:ascii="Times New Roman"/>
          <w:b w:val="false"/>
          <w:i w:val="false"/>
          <w:color w:val="ff0000"/>
          <w:sz w:val="28"/>
        </w:rPr>
        <w:t xml:space="preserve">
      Сноска. Заголовок главы 188 -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45" w:id="8212"/>
    <w:p>
      <w:pPr>
        <w:spacing w:after="0"/>
        <w:ind w:left="0"/>
        <w:jc w:val="both"/>
      </w:pPr>
      <w:r>
        <w:rPr>
          <w:rFonts w:ascii="Times New Roman"/>
          <w:b w:val="false"/>
          <w:i w:val="false"/>
          <w:color w:val="000000"/>
          <w:sz w:val="28"/>
        </w:rPr>
        <w:t>
      2778. Расчетный диаметр промежуточного вала, мм, принимают не менее определяемого по формуле:</w:t>
      </w:r>
    </w:p>
    <w:bookmarkEnd w:id="8212"/>
    <w:bookmarkStart w:name="z8246" w:id="8213"/>
    <w:p>
      <w:pPr>
        <w:spacing w:after="0"/>
        <w:ind w:left="0"/>
        <w:jc w:val="both"/>
      </w:pPr>
      <w:r>
        <w:rPr>
          <w:rFonts w:ascii="Times New Roman"/>
          <w:b w:val="false"/>
          <w:i w:val="false"/>
          <w:color w:val="000000"/>
          <w:sz w:val="28"/>
        </w:rPr>
        <w:t xml:space="preserve">
      </w:t>
      </w:r>
    </w:p>
    <w:bookmarkEnd w:id="8213"/>
    <w:p>
      <w:pPr>
        <w:spacing w:after="0"/>
        <w:ind w:left="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4"/>
                    <a:stretch>
                      <a:fillRect/>
                    </a:stretch>
                  </pic:blipFill>
                  <pic:spPr>
                    <a:xfrm>
                      <a:off x="0" y="0"/>
                      <a:ext cx="1257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(731)</w:t>
      </w:r>
      <w:r>
        <w:br/>
      </w:r>
      <w:r>
        <w:rPr>
          <w:rFonts w:ascii="Times New Roman"/>
          <w:b w:val="false"/>
          <w:i w:val="false"/>
          <w:color w:val="000000"/>
          <w:sz w:val="28"/>
        </w:rPr>
        <w:t>
</w:t>
      </w:r>
    </w:p>
    <w:bookmarkStart w:name="z8247" w:id="8214"/>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sz w:val="28"/>
        </w:rPr>
        <w:t>—коэффициент, принимаемый в зависимости от типа механической установки:</w:t>
      </w:r>
    </w:p>
    <w:bookmarkEnd w:id="8214"/>
    <w:bookmarkStart w:name="z8248" w:id="8215"/>
    <w:p>
      <w:pPr>
        <w:spacing w:after="0"/>
        <w:ind w:left="0"/>
        <w:jc w:val="both"/>
      </w:pPr>
      <w:r>
        <w:rPr>
          <w:rFonts w:ascii="Times New Roman"/>
          <w:b w:val="false"/>
          <w:i w:val="false"/>
          <w:color w:val="000000"/>
          <w:sz w:val="28"/>
        </w:rPr>
        <w:t xml:space="preserve">
      95 — для механических установок с роторными главными механизмами или с ДВС, оборудованными гидравлическими или электромагнитными муфтами; </w:t>
      </w:r>
    </w:p>
    <w:bookmarkEnd w:id="8215"/>
    <w:bookmarkStart w:name="z8249" w:id="8216"/>
    <w:p>
      <w:pPr>
        <w:spacing w:after="0"/>
        <w:ind w:left="0"/>
        <w:jc w:val="both"/>
      </w:pPr>
      <w:r>
        <w:rPr>
          <w:rFonts w:ascii="Times New Roman"/>
          <w:b w:val="false"/>
          <w:i w:val="false"/>
          <w:color w:val="000000"/>
          <w:sz w:val="28"/>
        </w:rPr>
        <w:t>
      100 — для других типов механических установок с ДВС;</w:t>
      </w:r>
    </w:p>
    <w:bookmarkEnd w:id="8216"/>
    <w:bookmarkStart w:name="z8250" w:id="821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расчетная мощность на промежуточном валу, кВт; </w:t>
      </w:r>
    </w:p>
    <w:bookmarkEnd w:id="8217"/>
    <w:bookmarkStart w:name="z8251" w:id="821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расчетная частота вращения промежуточного вала, об/мин.</w:t>
      </w:r>
    </w:p>
    <w:bookmarkEnd w:id="8218"/>
    <w:bookmarkStart w:name="z8252" w:id="8219"/>
    <w:p>
      <w:pPr>
        <w:spacing w:after="0"/>
        <w:ind w:left="0"/>
        <w:jc w:val="both"/>
      </w:pPr>
      <w:r>
        <w:rPr>
          <w:rFonts w:ascii="Times New Roman"/>
          <w:b w:val="false"/>
          <w:i w:val="false"/>
          <w:color w:val="000000"/>
          <w:sz w:val="28"/>
        </w:rPr>
        <w:t>
      2779. Диаметр упорного вала выносного подшипника скольжения на расстоянии одного диаметра упорного вала в обе стороны от гребня вала, а для подшипников качения — в пределах корпуса подшипника, следует принимать не менее 1,1 диаметра промежуточного вала, определенного по формулам (731), (733) настоящих Правил. Вне указанных расстояний диаметр вала допускается постепенно уменьшать до диаметра промежуточного вала.</w:t>
      </w:r>
    </w:p>
    <w:bookmarkEnd w:id="8219"/>
    <w:bookmarkStart w:name="z8253" w:id="8220"/>
    <w:p>
      <w:pPr>
        <w:spacing w:after="0"/>
        <w:ind w:left="0"/>
        <w:jc w:val="both"/>
      </w:pPr>
      <w:r>
        <w:rPr>
          <w:rFonts w:ascii="Times New Roman"/>
          <w:b w:val="false"/>
          <w:i w:val="false"/>
          <w:color w:val="000000"/>
          <w:sz w:val="28"/>
        </w:rPr>
        <w:t>
      2780. Расчетный диаметр гребного вала, мм, следует принимать не менее определяемого по формуле:</w:t>
      </w:r>
    </w:p>
    <w:bookmarkEnd w:id="8220"/>
    <w:bookmarkStart w:name="z8254" w:id="822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гp</w:t>
      </w:r>
      <w:r>
        <w:rPr>
          <w:rFonts w:ascii="Times New Roman"/>
          <w:b w:val="false"/>
          <w:i w:val="false"/>
          <w:color w:val="000000"/>
          <w:sz w:val="28"/>
        </w:rPr>
        <w:t>=</w:t>
      </w:r>
      <w:r>
        <w:rPr>
          <w:rFonts w:ascii="Times New Roman"/>
          <w:b w:val="false"/>
          <w:i/>
          <w:color w:val="000000"/>
          <w:sz w:val="28"/>
        </w:rPr>
        <w:t>100k</w:t>
      </w:r>
    </w:p>
    <w:bookmarkEnd w:id="8221"/>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5"/>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(732)</w:t>
      </w:r>
      <w:r>
        <w:br/>
      </w:r>
      <w:r>
        <w:rPr>
          <w:rFonts w:ascii="Times New Roman"/>
          <w:b w:val="false"/>
          <w:i w:val="false"/>
          <w:color w:val="000000"/>
          <w:sz w:val="28"/>
        </w:rPr>
        <w:t>
</w:t>
      </w:r>
    </w:p>
    <w:bookmarkStart w:name="z8255" w:id="8222"/>
    <w:p>
      <w:pPr>
        <w:spacing w:after="0"/>
        <w:ind w:left="0"/>
        <w:jc w:val="both"/>
      </w:pPr>
      <w:r>
        <w:rPr>
          <w:rFonts w:ascii="Times New Roman"/>
          <w:b w:val="false"/>
          <w:i w:val="false"/>
          <w:color w:val="000000"/>
          <w:sz w:val="28"/>
        </w:rPr>
        <w:t xml:space="preserve">
      где </w:t>
      </w:r>
      <w:r>
        <w:rPr>
          <w:rFonts w:ascii="Times New Roman"/>
          <w:b w:val="false"/>
          <w:i/>
          <w:color w:val="000000"/>
          <w:sz w:val="28"/>
        </w:rPr>
        <w:t>к</w:t>
      </w:r>
      <w:r>
        <w:rPr>
          <w:rFonts w:ascii="Times New Roman"/>
          <w:b w:val="false"/>
          <w:i w:val="false"/>
          <w:color w:val="000000"/>
          <w:sz w:val="28"/>
        </w:rPr>
        <w:t xml:space="preserve"> — коэффициент, принимаемый в зависимости от конструкции вала:</w:t>
      </w:r>
    </w:p>
    <w:bookmarkEnd w:id="8222"/>
    <w:bookmarkStart w:name="z8256" w:id="8223"/>
    <w:p>
      <w:pPr>
        <w:spacing w:after="0"/>
        <w:ind w:left="0"/>
        <w:jc w:val="both"/>
      </w:pPr>
      <w:r>
        <w:rPr>
          <w:rFonts w:ascii="Times New Roman"/>
          <w:b w:val="false"/>
          <w:i w:val="false"/>
          <w:color w:val="000000"/>
          <w:sz w:val="28"/>
        </w:rPr>
        <w:t xml:space="preserve">
      для участка вала от большого основания конуса или наружного фланца гребного вала до носовой кромки ближайшего к движителю подшипника (но во всех случаях не менее 2,5 </w:t>
      </w:r>
      <w:r>
        <w:rPr>
          <w:rFonts w:ascii="Times New Roman"/>
          <w:b w:val="false"/>
          <w:i/>
          <w:color w:val="000000"/>
          <w:sz w:val="28"/>
        </w:rPr>
        <w:t>d</w:t>
      </w:r>
      <w:r>
        <w:rPr>
          <w:rFonts w:ascii="Times New Roman"/>
          <w:b w:val="false"/>
          <w:i w:val="false"/>
          <w:color w:val="000000"/>
          <w:vertAlign w:val="subscript"/>
        </w:rPr>
        <w:t>гр</w:t>
      </w:r>
      <w:r>
        <w:rPr>
          <w:rFonts w:ascii="Times New Roman"/>
          <w:b w:val="false"/>
          <w:i w:val="false"/>
          <w:color w:val="000000"/>
          <w:sz w:val="28"/>
        </w:rPr>
        <w:t>):</w:t>
      </w:r>
    </w:p>
    <w:bookmarkEnd w:id="8223"/>
    <w:bookmarkStart w:name="z8257" w:id="8224"/>
    <w:p>
      <w:pPr>
        <w:spacing w:after="0"/>
        <w:ind w:left="0"/>
        <w:jc w:val="both"/>
      </w:pPr>
      <w:r>
        <w:rPr>
          <w:rFonts w:ascii="Times New Roman"/>
          <w:b w:val="false"/>
          <w:i w:val="false"/>
          <w:color w:val="000000"/>
          <w:sz w:val="28"/>
        </w:rPr>
        <w:t>
      1,22 — если применяется бесшпоночное соединение гребного винта с валом или при соединении винта с фланцем, откованным заодно с валом;</w:t>
      </w:r>
    </w:p>
    <w:bookmarkEnd w:id="8224"/>
    <w:bookmarkStart w:name="z8258" w:id="8225"/>
    <w:p>
      <w:pPr>
        <w:spacing w:after="0"/>
        <w:ind w:left="0"/>
        <w:jc w:val="both"/>
      </w:pPr>
      <w:r>
        <w:rPr>
          <w:rFonts w:ascii="Times New Roman"/>
          <w:b w:val="false"/>
          <w:i w:val="false"/>
          <w:color w:val="000000"/>
          <w:sz w:val="28"/>
        </w:rPr>
        <w:t xml:space="preserve">
      1,26 — если соединение гребного винта с валом осуществляется с помощью шпонки (шпонок); для участка вала от носовой кромки кормового дейдвудного подшипника или кормового кронштейнового подшипника в нос до носового торца носового уплотнения дейдвудной трубы — для всех типов исполнения </w:t>
      </w:r>
      <w:r>
        <w:rPr>
          <w:rFonts w:ascii="Times New Roman"/>
          <w:b w:val="false"/>
          <w:i/>
          <w:color w:val="000000"/>
          <w:sz w:val="28"/>
        </w:rPr>
        <w:t>к</w:t>
      </w:r>
      <w:r>
        <w:rPr>
          <w:rFonts w:ascii="Times New Roman"/>
          <w:b w:val="false"/>
          <w:i w:val="false"/>
          <w:color w:val="000000"/>
          <w:sz w:val="28"/>
        </w:rPr>
        <w:t xml:space="preserve"> = 1,15.</w:t>
      </w:r>
    </w:p>
    <w:bookmarkEnd w:id="8225"/>
    <w:bookmarkStart w:name="z8259" w:id="8226"/>
    <w:p>
      <w:pPr>
        <w:spacing w:after="0"/>
        <w:ind w:left="0"/>
        <w:jc w:val="both"/>
      </w:pPr>
      <w:r>
        <w:rPr>
          <w:rFonts w:ascii="Times New Roman"/>
          <w:b w:val="false"/>
          <w:i w:val="false"/>
          <w:color w:val="000000"/>
          <w:sz w:val="28"/>
        </w:rPr>
        <w:t>
      Остальные обозначения приведены в пункте 2778 настоящих Правил.</w:t>
      </w:r>
    </w:p>
    <w:bookmarkEnd w:id="8226"/>
    <w:bookmarkStart w:name="z8260" w:id="8227"/>
    <w:p>
      <w:pPr>
        <w:spacing w:after="0"/>
        <w:ind w:left="0"/>
        <w:jc w:val="both"/>
      </w:pPr>
      <w:r>
        <w:rPr>
          <w:rFonts w:ascii="Times New Roman"/>
          <w:b w:val="false"/>
          <w:i w:val="false"/>
          <w:color w:val="000000"/>
          <w:sz w:val="28"/>
        </w:rPr>
        <w:t>
      На участке вала в нос от носового торца носового дейдвудного уплотнения (сальника) диаметр вала допускается постепенно уменьшать до фактического диаметра промежуточного вала.</w:t>
      </w:r>
    </w:p>
    <w:bookmarkEnd w:id="8227"/>
    <w:bookmarkStart w:name="z8261" w:id="8228"/>
    <w:p>
      <w:pPr>
        <w:spacing w:after="0"/>
        <w:ind w:left="0"/>
        <w:jc w:val="both"/>
      </w:pPr>
      <w:r>
        <w:rPr>
          <w:rFonts w:ascii="Times New Roman"/>
          <w:b w:val="false"/>
          <w:i w:val="false"/>
          <w:color w:val="000000"/>
          <w:sz w:val="28"/>
        </w:rPr>
        <w:t>
      При применении поверхностного упрочнения диаметры гребных валов по согласованию с Регистром судоходства возможно уменьшить.</w:t>
      </w:r>
    </w:p>
    <w:bookmarkEnd w:id="8228"/>
    <w:bookmarkStart w:name="z8262" w:id="8229"/>
    <w:p>
      <w:pPr>
        <w:spacing w:after="0"/>
        <w:ind w:left="0"/>
        <w:jc w:val="both"/>
      </w:pPr>
      <w:r>
        <w:rPr>
          <w:rFonts w:ascii="Times New Roman"/>
          <w:b w:val="false"/>
          <w:i w:val="false"/>
          <w:color w:val="000000"/>
          <w:sz w:val="28"/>
        </w:rPr>
        <w:t>
      2781. Диаметр вала, изготовленного из стали с временным сопротивлением более 400 МПа, определяют по формуле:</w:t>
      </w:r>
    </w:p>
    <w:bookmarkEnd w:id="8229"/>
    <w:bookmarkStart w:name="z8263" w:id="8230"/>
    <w:p>
      <w:pPr>
        <w:spacing w:after="0"/>
        <w:ind w:left="0"/>
        <w:jc w:val="both"/>
      </w:pPr>
      <w:r>
        <w:rPr>
          <w:rFonts w:ascii="Times New Roman"/>
          <w:b w:val="false"/>
          <w:i w:val="false"/>
          <w:color w:val="000000"/>
          <w:sz w:val="28"/>
        </w:rPr>
        <w:t xml:space="preserve">
      </w:t>
      </w:r>
    </w:p>
    <w:bookmarkEnd w:id="8230"/>
    <w:p>
      <w:pPr>
        <w:spacing w:after="0"/>
        <w:ind w:left="0"/>
        <w:jc w:val="both"/>
      </w:pPr>
      <w:r>
        <w:drawing>
          <wp:inline distT="0" distB="0" distL="0" distR="0">
            <wp:extent cx="198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6"/>
                    <a:stretch>
                      <a:fillRect/>
                    </a:stretch>
                  </pic:blipFill>
                  <pic:spPr>
                    <a:xfrm>
                      <a:off x="0" y="0"/>
                      <a:ext cx="1981200" cy="330200"/>
                    </a:xfrm>
                    <a:prstGeom prst="rect">
                      <a:avLst/>
                    </a:prstGeom>
                  </pic:spPr>
                </pic:pic>
              </a:graphicData>
            </a:graphic>
          </wp:inline>
        </w:drawing>
      </w:r>
    </w:p>
    <w:p>
      <w:pPr>
        <w:spacing w:after="0"/>
        <w:ind w:left="0"/>
        <w:jc w:val="left"/>
      </w:pPr>
      <w:r>
        <w:rPr>
          <w:rFonts w:ascii="Times New Roman"/>
          <w:b w:val="false"/>
          <w:i w:val="false"/>
          <w:color w:val="000000"/>
          <w:sz w:val="28"/>
        </w:rPr>
        <w:t>,                  (733)</w:t>
      </w:r>
      <w:r>
        <w:br/>
      </w:r>
      <w:r>
        <w:rPr>
          <w:rFonts w:ascii="Times New Roman"/>
          <w:b w:val="false"/>
          <w:i w:val="false"/>
          <w:color w:val="000000"/>
          <w:sz w:val="28"/>
        </w:rPr>
        <w:t>
</w:t>
      </w:r>
    </w:p>
    <w:bookmarkStart w:name="z8264" w:id="8231"/>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M</w:t>
      </w:r>
      <w:r>
        <w:rPr>
          <w:rFonts w:ascii="Times New Roman"/>
          <w:b w:val="false"/>
          <w:i w:val="false"/>
          <w:color w:val="000000"/>
          <w:sz w:val="28"/>
        </w:rPr>
        <w:t xml:space="preserve"> — уменьшенный диаметр вала, мм;</w:t>
      </w:r>
    </w:p>
    <w:bookmarkEnd w:id="8231"/>
    <w:bookmarkStart w:name="z8265" w:id="823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расчетный диаметр вала, мм;</w:t>
      </w:r>
    </w:p>
    <w:bookmarkEnd w:id="8232"/>
    <w:bookmarkStart w:name="z8266" w:id="823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mв</w:t>
      </w:r>
      <w:r>
        <w:rPr>
          <w:rFonts w:ascii="Times New Roman"/>
          <w:b w:val="false"/>
          <w:i w:val="false"/>
          <w:color w:val="000000"/>
          <w:sz w:val="28"/>
        </w:rPr>
        <w:t xml:space="preserve"> — временное сопротивление материала вала.</w:t>
      </w:r>
    </w:p>
    <w:bookmarkEnd w:id="8233"/>
    <w:bookmarkStart w:name="z8267" w:id="8234"/>
    <w:p>
      <w:pPr>
        <w:spacing w:after="0"/>
        <w:ind w:left="0"/>
        <w:jc w:val="both"/>
      </w:pPr>
      <w:r>
        <w:rPr>
          <w:rFonts w:ascii="Times New Roman"/>
          <w:b w:val="false"/>
          <w:i w:val="false"/>
          <w:color w:val="000000"/>
          <w:sz w:val="28"/>
        </w:rPr>
        <w:t>
      Во всех случаях временное сопротивление в формуле принимается не более 760 МПа (при углеродистой и углеродисто-марганцевой стали) 800 МПа (при легированной стали) для промежуточного и упорного вала и 600 МПа для гребного вала.</w:t>
      </w:r>
    </w:p>
    <w:bookmarkEnd w:id="8234"/>
    <w:bookmarkStart w:name="z8268" w:id="8235"/>
    <w:p>
      <w:pPr>
        <w:spacing w:after="0"/>
        <w:ind w:left="0"/>
        <w:jc w:val="both"/>
      </w:pPr>
      <w:r>
        <w:rPr>
          <w:rFonts w:ascii="Times New Roman"/>
          <w:b w:val="false"/>
          <w:i w:val="false"/>
          <w:color w:val="000000"/>
          <w:sz w:val="28"/>
        </w:rPr>
        <w:t>
      2782. Диаметры валов ледоколов и судов с ледовыми усилениями превышают расчетные значения на величину, указанную в приложении 291 настоящих Правил.</w:t>
      </w:r>
    </w:p>
    <w:bookmarkEnd w:id="8235"/>
    <w:bookmarkStart w:name="z8269" w:id="8236"/>
    <w:p>
      <w:pPr>
        <w:spacing w:after="0"/>
        <w:ind w:left="0"/>
        <w:jc w:val="both"/>
      </w:pPr>
      <w:r>
        <w:rPr>
          <w:rFonts w:ascii="Times New Roman"/>
          <w:b w:val="false"/>
          <w:i w:val="false"/>
          <w:color w:val="000000"/>
          <w:sz w:val="28"/>
        </w:rPr>
        <w:t>
      Диаметры гребных валов ледоколов и судов с ледовыми усилениями (за исключением категории Icel), мм, в районе кормовых подшипников, кроме того, удовлетворяют следующему условию:</w:t>
      </w:r>
    </w:p>
    <w:bookmarkEnd w:id="8236"/>
    <w:bookmarkStart w:name="z8270" w:id="823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a</w:t>
      </w:r>
    </w:p>
    <w:bookmarkEnd w:id="8237"/>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7"/>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(734)</w:t>
      </w:r>
      <w:r>
        <w:br/>
      </w:r>
      <w:r>
        <w:rPr>
          <w:rFonts w:ascii="Times New Roman"/>
          <w:b w:val="false"/>
          <w:i w:val="false"/>
          <w:color w:val="000000"/>
          <w:sz w:val="28"/>
        </w:rPr>
        <w:t>
</w:t>
      </w:r>
    </w:p>
    <w:bookmarkStart w:name="z8271" w:id="8238"/>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коэффициент, равный:</w:t>
      </w:r>
    </w:p>
    <w:bookmarkEnd w:id="8238"/>
    <w:bookmarkStart w:name="z8272" w:id="8239"/>
    <w:p>
      <w:pPr>
        <w:spacing w:after="0"/>
        <w:ind w:left="0"/>
        <w:jc w:val="both"/>
      </w:pPr>
      <w:r>
        <w:rPr>
          <w:rFonts w:ascii="Times New Roman"/>
          <w:b w:val="false"/>
          <w:i w:val="false"/>
          <w:color w:val="000000"/>
          <w:sz w:val="28"/>
        </w:rPr>
        <w:t>
      10,8 — при диаметре ступицы винта, равном или меньше 0,25</w:t>
      </w:r>
      <w:r>
        <w:rPr>
          <w:rFonts w:ascii="Times New Roman"/>
          <w:b w:val="false"/>
          <w:i/>
          <w:color w:val="000000"/>
          <w:sz w:val="28"/>
        </w:rPr>
        <w:t>D</w:t>
      </w:r>
      <w:r>
        <w:rPr>
          <w:rFonts w:ascii="Times New Roman"/>
          <w:b w:val="false"/>
          <w:i w:val="false"/>
          <w:color w:val="000000"/>
          <w:sz w:val="28"/>
        </w:rPr>
        <w:t>;</w:t>
      </w:r>
    </w:p>
    <w:bookmarkEnd w:id="8239"/>
    <w:bookmarkStart w:name="z8273" w:id="8240"/>
    <w:p>
      <w:pPr>
        <w:spacing w:after="0"/>
        <w:ind w:left="0"/>
        <w:jc w:val="both"/>
      </w:pPr>
      <w:r>
        <w:rPr>
          <w:rFonts w:ascii="Times New Roman"/>
          <w:b w:val="false"/>
          <w:i w:val="false"/>
          <w:color w:val="000000"/>
          <w:sz w:val="28"/>
        </w:rPr>
        <w:t>
      11,5 — при диаметре ступицы винта больше 0,25</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диаметр гребного винта);</w:t>
      </w:r>
    </w:p>
    <w:bookmarkEnd w:id="8240"/>
    <w:bookmarkStart w:name="z8274" w:id="824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ширина спрямленного цилиндрического сечения лопасти на радиусе 0,25Л для цельнолитых винтов и 0,35Л для ВРШ, м;</w:t>
      </w:r>
    </w:p>
    <w:bookmarkEnd w:id="8241"/>
    <w:bookmarkStart w:name="z8275" w:id="824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наибольшая фактическая толщина спрямленного цилиндрического сечения лопасти на радиусах, как указано для </w:t>
      </w:r>
      <w:r>
        <w:rPr>
          <w:rFonts w:ascii="Times New Roman"/>
          <w:b w:val="false"/>
          <w:i/>
          <w:color w:val="000000"/>
          <w:sz w:val="28"/>
        </w:rPr>
        <w:t>b</w:t>
      </w:r>
      <w:r>
        <w:rPr>
          <w:rFonts w:ascii="Times New Roman"/>
          <w:b w:val="false"/>
          <w:i w:val="false"/>
          <w:color w:val="000000"/>
          <w:sz w:val="28"/>
        </w:rPr>
        <w:t>, мм;</w:t>
      </w:r>
    </w:p>
    <w:bookmarkEnd w:id="8242"/>
    <w:bookmarkStart w:name="z8276" w:id="824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mл</w:t>
      </w:r>
      <w:r>
        <w:rPr>
          <w:rFonts w:ascii="Times New Roman"/>
          <w:b w:val="false"/>
          <w:i w:val="false"/>
          <w:color w:val="000000"/>
          <w:sz w:val="28"/>
        </w:rPr>
        <w:t xml:space="preserve"> — временное сопротивление материала лопасти, МПа;</w:t>
      </w:r>
    </w:p>
    <w:bookmarkEnd w:id="8243"/>
    <w:bookmarkStart w:name="z8277" w:id="824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предел текучести материала гребного вала, МПа</w:t>
      </w:r>
    </w:p>
    <w:bookmarkEnd w:id="8244"/>
    <w:bookmarkStart w:name="z8278" w:id="8245"/>
    <w:p>
      <w:pPr>
        <w:spacing w:after="0"/>
        <w:ind w:left="0"/>
        <w:jc w:val="both"/>
      </w:pPr>
      <w:r>
        <w:rPr>
          <w:rFonts w:ascii="Times New Roman"/>
          <w:b w:val="false"/>
          <w:i w:val="false"/>
          <w:color w:val="000000"/>
          <w:sz w:val="28"/>
        </w:rPr>
        <w:t>
      2783. Если в валу выполнено осевое отверстие, его диаметр не должен превышать 0,4 расчетного диаметра вала.</w:t>
      </w:r>
    </w:p>
    <w:bookmarkEnd w:id="8245"/>
    <w:bookmarkStart w:name="z8279" w:id="8246"/>
    <w:p>
      <w:pPr>
        <w:spacing w:after="0"/>
        <w:ind w:left="0"/>
        <w:jc w:val="both"/>
      </w:pPr>
      <w:r>
        <w:rPr>
          <w:rFonts w:ascii="Times New Roman"/>
          <w:b w:val="false"/>
          <w:i w:val="false"/>
          <w:color w:val="000000"/>
          <w:sz w:val="28"/>
        </w:rPr>
        <w:t>
      При необходимости диаметр осевого отверстия допускается увеличивать до определяемого по формуле:</w:t>
      </w:r>
    </w:p>
    <w:bookmarkEnd w:id="8246"/>
    <w:bookmarkStart w:name="z8280" w:id="824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(d</w:t>
      </w:r>
      <w:r>
        <w:rPr>
          <w:rFonts w:ascii="Times New Roman"/>
          <w:b w:val="false"/>
          <w:i w:val="false"/>
          <w:color w:val="000000"/>
          <w:vertAlign w:val="subscript"/>
        </w:rPr>
        <w:t>a</w:t>
      </w:r>
      <w:r>
        <w:rPr>
          <w:rFonts w:ascii="Times New Roman"/>
          <w:b w:val="false"/>
          <w:i w:val="false"/>
          <w:color w:val="000000"/>
          <w:vertAlign w:val="superscript"/>
        </w:rPr>
        <w:t>4</w:t>
      </w:r>
      <w:r>
        <w:rPr>
          <w:rFonts w:ascii="Times New Roman"/>
          <w:b w:val="false"/>
          <w:i w:val="false"/>
          <w:color w:val="000000"/>
          <w:sz w:val="28"/>
        </w:rPr>
        <w:t>-0,97d</w:t>
      </w:r>
      <w:r>
        <w:rPr>
          <w:rFonts w:ascii="Times New Roman"/>
          <w:b w:val="false"/>
          <w:i w:val="false"/>
          <w:color w:val="000000"/>
          <w:vertAlign w:val="superscript"/>
        </w:rPr>
        <w:t>3</w:t>
      </w:r>
      <w:r>
        <w:rPr>
          <w:rFonts w:ascii="Times New Roman"/>
          <w:b w:val="false"/>
          <w:i w:val="false"/>
          <w:color w:val="000000"/>
          <w:sz w:val="28"/>
        </w:rPr>
        <w:t>d</w:t>
      </w:r>
      <w:r>
        <w:rPr>
          <w:rFonts w:ascii="Times New Roman"/>
          <w:b w:val="false"/>
          <w:i w:val="false"/>
          <w:color w:val="000000"/>
          <w:vertAlign w:val="subscript"/>
        </w:rPr>
        <w:t>a</w:t>
      </w:r>
      <w:r>
        <w:rPr>
          <w:rFonts w:ascii="Times New Roman"/>
          <w:b w:val="false"/>
          <w:i w:val="false"/>
          <w:color w:val="000000"/>
          <w:sz w:val="28"/>
        </w:rPr>
        <w:t>)</w:t>
      </w:r>
      <w:r>
        <w:rPr>
          <w:rFonts w:ascii="Times New Roman"/>
          <w:b w:val="false"/>
          <w:i w:val="false"/>
          <w:color w:val="000000"/>
          <w:vertAlign w:val="superscript"/>
        </w:rPr>
        <w:t>1/4</w:t>
      </w:r>
      <w:r>
        <w:rPr>
          <w:rFonts w:ascii="Times New Roman"/>
          <w:b w:val="false"/>
          <w:i w:val="false"/>
          <w:color w:val="000000"/>
          <w:sz w:val="28"/>
        </w:rPr>
        <w:t>,             (735)</w:t>
      </w:r>
    </w:p>
    <w:bookmarkEnd w:id="8247"/>
    <w:bookmarkStart w:name="z8281" w:id="8248"/>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 диаметр осевого отверстия;</w:t>
      </w:r>
    </w:p>
    <w:bookmarkEnd w:id="8248"/>
    <w:bookmarkStart w:name="z8282" w:id="824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a</w:t>
      </w:r>
      <w:r>
        <w:rPr>
          <w:rFonts w:ascii="Times New Roman"/>
          <w:b w:val="false"/>
          <w:i w:val="false"/>
          <w:color w:val="000000"/>
          <w:sz w:val="28"/>
        </w:rPr>
        <w:t xml:space="preserve"> — фактический диаметр вала;</w:t>
      </w:r>
    </w:p>
    <w:bookmarkEnd w:id="8249"/>
    <w:bookmarkStart w:name="z8283" w:id="825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расчетный диаметр вала без осевого отверстия.</w:t>
      </w:r>
    </w:p>
    <w:bookmarkEnd w:id="8250"/>
    <w:bookmarkStart w:name="z8284" w:id="8251"/>
    <w:p>
      <w:pPr>
        <w:spacing w:after="0"/>
        <w:ind w:left="0"/>
        <w:jc w:val="both"/>
      </w:pPr>
      <w:r>
        <w:rPr>
          <w:rFonts w:ascii="Times New Roman"/>
          <w:b w:val="false"/>
          <w:i w:val="false"/>
          <w:color w:val="000000"/>
          <w:sz w:val="28"/>
        </w:rPr>
        <w:t>
      2784. Если на валу выполнено радиальное отверстие, то диаметр вала увеличивают на отрезке длины не менее семи диаметров отверстия. Отверстие находится в середине утолщенной части вала, а его диаметр не превышает 0,3 расчетного диаметра вала. Независимо от диаметра отверстия, диаметр вала увеличивают не менее чем на 0,1 расчетного диаметра. Кромки отверстия закругляют радиусом не менее 0,35 диаметра отверстия, а его поверхность должна быть гладкой. Учет влияния пересечения радиального отверстия с эксцентрическим осевым является предметом специального рассмотрения Регистром судоходства.</w:t>
      </w:r>
    </w:p>
    <w:bookmarkEnd w:id="8251"/>
    <w:bookmarkStart w:name="z8285" w:id="8252"/>
    <w:p>
      <w:pPr>
        <w:spacing w:after="0"/>
        <w:ind w:left="0"/>
        <w:jc w:val="both"/>
      </w:pPr>
      <w:r>
        <w:rPr>
          <w:rFonts w:ascii="Times New Roman"/>
          <w:b w:val="false"/>
          <w:i w:val="false"/>
          <w:color w:val="000000"/>
          <w:sz w:val="28"/>
        </w:rPr>
        <w:t>
      2785. Диаметр вала, в котором выполнен продольный вырез, увеличивают не менее чем на 0,2 расчетного диаметра вала. При этом длина выреза должна быть не более 0,8, а ширина — не менее 0,1 расчетного диаметра вала. Допускается до трех вырезов с учетом их симметричного расположения.</w:t>
      </w:r>
    </w:p>
    <w:bookmarkEnd w:id="8252"/>
    <w:bookmarkStart w:name="z8286" w:id="8253"/>
    <w:p>
      <w:pPr>
        <w:spacing w:after="0"/>
        <w:ind w:left="0"/>
        <w:jc w:val="both"/>
      </w:pPr>
      <w:r>
        <w:rPr>
          <w:rFonts w:ascii="Times New Roman"/>
          <w:b w:val="false"/>
          <w:i w:val="false"/>
          <w:color w:val="000000"/>
          <w:sz w:val="28"/>
        </w:rPr>
        <w:t>
      Утолщенная часть вала должна быть такой длины, чтобы с каждой стороны она выступала за пределы выреза на расстояние не менее 0,25 расчетного диаметра вала. Переход с одного диаметра на другой должен быть плавным. Концы выреза закругляют радиусом, равным половине ширины выреза, а кромки — радиусом не менее 0,35 ширины выреза; поверхности выреза должны быть гладкими.</w:t>
      </w:r>
    </w:p>
    <w:bookmarkEnd w:id="8253"/>
    <w:bookmarkStart w:name="z8287" w:id="8254"/>
    <w:p>
      <w:pPr>
        <w:spacing w:after="0"/>
        <w:ind w:left="0"/>
        <w:jc w:val="both"/>
      </w:pPr>
      <w:r>
        <w:rPr>
          <w:rFonts w:ascii="Times New Roman"/>
          <w:b w:val="false"/>
          <w:i w:val="false"/>
          <w:color w:val="000000"/>
          <w:sz w:val="28"/>
        </w:rPr>
        <w:t>
      2786. Диаметр вала, имеющего шпоночный паз, увеличивают не менее чем на 0,1 расчетного диаметра вала. Для участков вала на расстоянии не менее 0,2 расчетного диаметра вала от шпоночного паза увеличение диаметра не обязательно.</w:t>
      </w:r>
    </w:p>
    <w:bookmarkEnd w:id="8254"/>
    <w:bookmarkStart w:name="z8288" w:id="8255"/>
    <w:p>
      <w:pPr>
        <w:spacing w:after="0"/>
        <w:ind w:left="0"/>
        <w:jc w:val="both"/>
      </w:pPr>
      <w:r>
        <w:rPr>
          <w:rFonts w:ascii="Times New Roman"/>
          <w:b w:val="false"/>
          <w:i w:val="false"/>
          <w:color w:val="000000"/>
          <w:sz w:val="28"/>
        </w:rPr>
        <w:t>
      Применение шпоночных пазов в валопроводах, имеющих запретные зоны частот вращения, не рекомендуется.</w:t>
      </w:r>
    </w:p>
    <w:bookmarkEnd w:id="8255"/>
    <w:bookmarkStart w:name="z8289" w:id="8256"/>
    <w:p>
      <w:pPr>
        <w:spacing w:after="0"/>
        <w:ind w:left="0"/>
        <w:jc w:val="both"/>
      </w:pPr>
      <w:r>
        <w:rPr>
          <w:rFonts w:ascii="Times New Roman"/>
          <w:b w:val="false"/>
          <w:i w:val="false"/>
          <w:color w:val="000000"/>
          <w:sz w:val="28"/>
        </w:rPr>
        <w:t>
      Если шпоночный паз выполнен на наружном конце гребного вала, увеличение диаметра гребного вала не обязательно.</w:t>
      </w:r>
    </w:p>
    <w:bookmarkEnd w:id="8256"/>
    <w:bookmarkStart w:name="z8290" w:id="8257"/>
    <w:p>
      <w:pPr>
        <w:spacing w:after="0"/>
        <w:ind w:left="0"/>
        <w:jc w:val="both"/>
      </w:pPr>
      <w:r>
        <w:rPr>
          <w:rFonts w:ascii="Times New Roman"/>
          <w:b w:val="false"/>
          <w:i w:val="false"/>
          <w:color w:val="000000"/>
          <w:sz w:val="28"/>
        </w:rPr>
        <w:t>
      2787. Толщина соединительных фланцев промежуточного и упорного валов, а также внутреннего конца гребного вала принимается не менее 0,2 требуемого диаметра промежуточного вала или не менее диаметра болта, определенного по формуле (737) настоящих Правил, для материала, из которого изготовляется вал, в зависимости от того, что больше.</w:t>
      </w:r>
    </w:p>
    <w:bookmarkEnd w:id="8257"/>
    <w:bookmarkStart w:name="z8291" w:id="8258"/>
    <w:p>
      <w:pPr>
        <w:spacing w:after="0"/>
        <w:ind w:left="0"/>
        <w:jc w:val="both"/>
      </w:pPr>
      <w:r>
        <w:rPr>
          <w:rFonts w:ascii="Times New Roman"/>
          <w:b w:val="false"/>
          <w:i w:val="false"/>
          <w:color w:val="000000"/>
          <w:sz w:val="28"/>
        </w:rPr>
        <w:t>
      Толщина соединительного фланца наружного конца гребного вала под головками болтов должна быть не менее 0,25 требуемого диаметра вала в районе фланца.</w:t>
      </w:r>
    </w:p>
    <w:bookmarkEnd w:id="8258"/>
    <w:bookmarkStart w:name="z8292" w:id="8259"/>
    <w:p>
      <w:pPr>
        <w:spacing w:after="0"/>
        <w:ind w:left="0"/>
        <w:jc w:val="both"/>
      </w:pPr>
      <w:r>
        <w:rPr>
          <w:rFonts w:ascii="Times New Roman"/>
          <w:b w:val="false"/>
          <w:i w:val="false"/>
          <w:color w:val="000000"/>
          <w:sz w:val="28"/>
        </w:rPr>
        <w:t>
      2788. Радиус закругления у основания наружного фланца гребного вала должен быть не менее 0,125, а для остальных фланцев валов — не менее 0,08 требуемого диаметра вала в районе фланца. Закругление допускается выполнять переменным радиусом. При этом коэффициент концентрации напряжений допускается не более, чем при постоянном радиусе закругления.</w:t>
      </w:r>
    </w:p>
    <w:bookmarkEnd w:id="8259"/>
    <w:bookmarkStart w:name="z8293" w:id="8260"/>
    <w:p>
      <w:pPr>
        <w:spacing w:after="0"/>
        <w:ind w:left="0"/>
        <w:jc w:val="both"/>
      </w:pPr>
      <w:r>
        <w:rPr>
          <w:rFonts w:ascii="Times New Roman"/>
          <w:b w:val="false"/>
          <w:i w:val="false"/>
          <w:color w:val="000000"/>
          <w:sz w:val="28"/>
        </w:rPr>
        <w:t>
      Закругление должно быть гладким. Подрезка закруглений под головки и гайки соединительных болтов не допускается.</w:t>
      </w:r>
    </w:p>
    <w:bookmarkEnd w:id="8260"/>
    <w:bookmarkStart w:name="z8294" w:id="8261"/>
    <w:p>
      <w:pPr>
        <w:spacing w:after="0"/>
        <w:ind w:left="0"/>
        <w:jc w:val="both"/>
      </w:pPr>
      <w:r>
        <w:rPr>
          <w:rFonts w:ascii="Times New Roman"/>
          <w:b w:val="false"/>
          <w:i w:val="false"/>
          <w:color w:val="000000"/>
          <w:sz w:val="28"/>
        </w:rPr>
        <w:t>
      2789. Радиус закругления между боковыми стенками и дном шпоночного паза должен быть не менее 0,0125 диаметра вала, но не менее 1 мм.</w:t>
      </w:r>
    </w:p>
    <w:bookmarkEnd w:id="8261"/>
    <w:bookmarkStart w:name="z8295" w:id="8262"/>
    <w:p>
      <w:pPr>
        <w:spacing w:after="0"/>
        <w:ind w:left="0"/>
        <w:jc w:val="both"/>
      </w:pPr>
      <w:r>
        <w:rPr>
          <w:rFonts w:ascii="Times New Roman"/>
          <w:b w:val="false"/>
          <w:i w:val="false"/>
          <w:color w:val="000000"/>
          <w:sz w:val="28"/>
        </w:rPr>
        <w:t>
      2790. Конус гребного вала под гребной винт при применении шпонки выполняется с конусностью не более 1:12, а при бесшпоночном соединении — согласно пункту 2800 настоящих Правил.</w:t>
      </w:r>
    </w:p>
    <w:bookmarkEnd w:id="8262"/>
    <w:bookmarkStart w:name="z8296" w:id="8263"/>
    <w:p>
      <w:pPr>
        <w:spacing w:after="0"/>
        <w:ind w:left="0"/>
        <w:jc w:val="both"/>
      </w:pPr>
      <w:r>
        <w:rPr>
          <w:rFonts w:ascii="Times New Roman"/>
          <w:b w:val="false"/>
          <w:i w:val="false"/>
          <w:color w:val="000000"/>
          <w:sz w:val="28"/>
        </w:rPr>
        <w:t>
      2791. Шпоночные пазы на конусах валов со стороны большого основания конуса должны быть лыжеобразными, а на конусах валов под гребной винт имеет дополнительную ложкообразную разделку.</w:t>
      </w:r>
    </w:p>
    <w:bookmarkEnd w:id="8263"/>
    <w:bookmarkStart w:name="z8297" w:id="8264"/>
    <w:p>
      <w:pPr>
        <w:spacing w:after="0"/>
        <w:ind w:left="0"/>
        <w:jc w:val="both"/>
      </w:pPr>
      <w:r>
        <w:rPr>
          <w:rFonts w:ascii="Times New Roman"/>
          <w:b w:val="false"/>
          <w:i w:val="false"/>
          <w:color w:val="000000"/>
          <w:sz w:val="28"/>
        </w:rPr>
        <w:t>
      Расстояние от большого основания конуса до ложкообразного окончания шпоночного паза для наружного конца гребного вала диаметром больше 100 мм должно быть не менее 0,2 требуемого диаметра вала при отношении глубины шпоночного паза к диаметру вала меньше 0,1 и не менее 0,5 требуемого диаметра вала при отношении глубины шпоночного паза к диаметру вала больше 0,1.</w:t>
      </w:r>
    </w:p>
    <w:bookmarkEnd w:id="8264"/>
    <w:bookmarkStart w:name="z8298" w:id="8265"/>
    <w:p>
      <w:pPr>
        <w:spacing w:after="0"/>
        <w:ind w:left="0"/>
        <w:jc w:val="both"/>
      </w:pPr>
      <w:r>
        <w:rPr>
          <w:rFonts w:ascii="Times New Roman"/>
          <w:b w:val="false"/>
          <w:i w:val="false"/>
          <w:color w:val="000000"/>
          <w:sz w:val="28"/>
        </w:rPr>
        <w:t>
      Лыжеобразное окончание шпоночного паза на конусах валов под соединительные муфты не должно выходить за пределы большого основания конуса.</w:t>
      </w:r>
    </w:p>
    <w:bookmarkEnd w:id="8265"/>
    <w:bookmarkStart w:name="z8299" w:id="8266"/>
    <w:p>
      <w:pPr>
        <w:spacing w:after="0"/>
        <w:ind w:left="0"/>
        <w:jc w:val="both"/>
      </w:pPr>
      <w:r>
        <w:rPr>
          <w:rFonts w:ascii="Times New Roman"/>
          <w:b w:val="false"/>
          <w:i w:val="false"/>
          <w:color w:val="000000"/>
          <w:sz w:val="28"/>
        </w:rPr>
        <w:t>
      Если шпонка крепится в шпоночном пазу винтами, то первый винт от большого основания конуса вала размещается на расстоянии не менее 1/3 длины конуса вала. Глубина отверстий не должна быть больше диаметра винта. Кромки отверстий закругляют. Если в конструкции вала предусмотрены глухие осевые отверстия, то кромки отверстия и конец сверления также закругляют. Радиус закругления должен быть не менее указанного в пункте 2789 настоящих Правил.</w:t>
      </w:r>
    </w:p>
    <w:bookmarkEnd w:id="8266"/>
    <w:bookmarkStart w:name="z8300" w:id="8267"/>
    <w:p>
      <w:pPr>
        <w:spacing w:after="0"/>
        <w:ind w:left="0"/>
        <w:jc w:val="both"/>
      </w:pPr>
      <w:r>
        <w:rPr>
          <w:rFonts w:ascii="Times New Roman"/>
          <w:b w:val="false"/>
          <w:i w:val="false"/>
          <w:color w:val="000000"/>
          <w:sz w:val="28"/>
        </w:rPr>
        <w:t>
      2792. Гребные валы надежно защищают от соприкосновения с морской водой.</w:t>
      </w:r>
    </w:p>
    <w:bookmarkEnd w:id="8267"/>
    <w:bookmarkStart w:name="z8301" w:id="8268"/>
    <w:p>
      <w:pPr>
        <w:spacing w:after="0"/>
        <w:ind w:left="0"/>
        <w:jc w:val="both"/>
      </w:pPr>
      <w:r>
        <w:rPr>
          <w:rFonts w:ascii="Times New Roman"/>
          <w:b w:val="false"/>
          <w:i w:val="false"/>
          <w:color w:val="000000"/>
          <w:sz w:val="28"/>
        </w:rPr>
        <w:t>
      2793. Облицовки гребных валов изготавливаются из сплавов, обладающих высокой коррозионной стойкостью к морской воде.</w:t>
      </w:r>
    </w:p>
    <w:bookmarkEnd w:id="8268"/>
    <w:bookmarkStart w:name="z8302" w:id="8269"/>
    <w:p>
      <w:pPr>
        <w:spacing w:after="0"/>
        <w:ind w:left="0"/>
        <w:jc w:val="both"/>
      </w:pPr>
      <w:r>
        <w:rPr>
          <w:rFonts w:ascii="Times New Roman"/>
          <w:b w:val="false"/>
          <w:i w:val="false"/>
          <w:color w:val="000000"/>
          <w:sz w:val="28"/>
        </w:rPr>
        <w:t>
      2794. Толщина бронзовой облицовки вала s, мм, принимается не менее определяемой по формуле:</w:t>
      </w:r>
    </w:p>
    <w:bookmarkEnd w:id="8269"/>
    <w:bookmarkStart w:name="z8303" w:id="827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0,03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+ 7,5,                     (736)</w:t>
      </w:r>
    </w:p>
    <w:bookmarkEnd w:id="8270"/>
    <w:bookmarkStart w:name="z8304" w:id="8271"/>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r</w:t>
      </w:r>
      <w:r>
        <w:rPr>
          <w:rFonts w:ascii="Times New Roman"/>
          <w:b w:val="false"/>
          <w:i/>
          <w:color w:val="000000"/>
          <w:sz w:val="28"/>
        </w:rPr>
        <w:t>'</w:t>
      </w:r>
      <w:r>
        <w:rPr>
          <w:rFonts w:ascii="Times New Roman"/>
          <w:b w:val="false"/>
          <w:i w:val="false"/>
          <w:color w:val="000000"/>
          <w:sz w:val="28"/>
        </w:rPr>
        <w:t xml:space="preserve"> — диаметр гребного вала под облицовкой, мм.</w:t>
      </w:r>
    </w:p>
    <w:bookmarkEnd w:id="8271"/>
    <w:bookmarkStart w:name="z8305" w:id="8272"/>
    <w:p>
      <w:pPr>
        <w:spacing w:after="0"/>
        <w:ind w:left="0"/>
        <w:jc w:val="both"/>
      </w:pPr>
      <w:r>
        <w:rPr>
          <w:rFonts w:ascii="Times New Roman"/>
          <w:b w:val="false"/>
          <w:i w:val="false"/>
          <w:color w:val="000000"/>
          <w:sz w:val="28"/>
        </w:rPr>
        <w:t>
      Толщину облицовки между подшипниками допускается уменьшать до 0,75</w:t>
      </w:r>
      <w:r>
        <w:rPr>
          <w:rFonts w:ascii="Times New Roman"/>
          <w:b w:val="false"/>
          <w:i/>
          <w:color w:val="000000"/>
          <w:sz w:val="28"/>
        </w:rPr>
        <w:t>s</w:t>
      </w:r>
      <w:r>
        <w:rPr>
          <w:rFonts w:ascii="Times New Roman"/>
          <w:b w:val="false"/>
          <w:i w:val="false"/>
          <w:color w:val="000000"/>
          <w:sz w:val="28"/>
        </w:rPr>
        <w:t>.</w:t>
      </w:r>
    </w:p>
    <w:bookmarkEnd w:id="8272"/>
    <w:bookmarkStart w:name="z8306" w:id="8273"/>
    <w:p>
      <w:pPr>
        <w:spacing w:after="0"/>
        <w:ind w:left="0"/>
        <w:jc w:val="both"/>
      </w:pPr>
      <w:r>
        <w:rPr>
          <w:rFonts w:ascii="Times New Roman"/>
          <w:b w:val="false"/>
          <w:i w:val="false"/>
          <w:color w:val="000000"/>
          <w:sz w:val="28"/>
        </w:rPr>
        <w:t>
      2795. Рекомендуется применение сплошных облицовок.</w:t>
      </w:r>
    </w:p>
    <w:bookmarkEnd w:id="8273"/>
    <w:bookmarkStart w:name="z8307" w:id="8274"/>
    <w:p>
      <w:pPr>
        <w:spacing w:after="0"/>
        <w:ind w:left="0"/>
        <w:jc w:val="both"/>
      </w:pPr>
      <w:r>
        <w:rPr>
          <w:rFonts w:ascii="Times New Roman"/>
          <w:b w:val="false"/>
          <w:i w:val="false"/>
          <w:color w:val="000000"/>
          <w:sz w:val="28"/>
        </w:rPr>
        <w:t>
      Облицовки, состоящие из отдельных частей, соединяются при помощи сварки или иным одобренным Регистром судоходства способом. Стыки сварных швов рекомендуется располагать вне рабочих мест облицовки. При несплошных облицовках участок вала между облицовками защищают от воздействия морской воды одобренным Регистром судоходства способом.</w:t>
      </w:r>
    </w:p>
    <w:bookmarkEnd w:id="8274"/>
    <w:bookmarkStart w:name="z8308" w:id="8275"/>
    <w:p>
      <w:pPr>
        <w:spacing w:after="0"/>
        <w:ind w:left="0"/>
        <w:jc w:val="both"/>
      </w:pPr>
      <w:r>
        <w:rPr>
          <w:rFonts w:ascii="Times New Roman"/>
          <w:b w:val="false"/>
          <w:i w:val="false"/>
          <w:color w:val="000000"/>
          <w:sz w:val="28"/>
        </w:rPr>
        <w:t>
      2796. Во избежание попадания воды на конус гребного вала предусматривают уплотнения.</w:t>
      </w:r>
    </w:p>
    <w:bookmarkEnd w:id="8275"/>
    <w:bookmarkStart w:name="z8309" w:id="8276"/>
    <w:p>
      <w:pPr>
        <w:spacing w:after="0"/>
        <w:ind w:left="0"/>
        <w:jc w:val="both"/>
      </w:pPr>
      <w:r>
        <w:rPr>
          <w:rFonts w:ascii="Times New Roman"/>
          <w:b w:val="false"/>
          <w:i w:val="false"/>
          <w:color w:val="000000"/>
          <w:sz w:val="28"/>
        </w:rPr>
        <w:t>
      Конструктивно обеспечивается возможность гидравлического испытания указанного уплотнения.</w:t>
      </w:r>
    </w:p>
    <w:bookmarkEnd w:id="8276"/>
    <w:bookmarkStart w:name="z8310" w:id="8277"/>
    <w:p>
      <w:pPr>
        <w:spacing w:after="0"/>
        <w:ind w:left="0"/>
        <w:jc w:val="both"/>
      </w:pPr>
      <w:r>
        <w:rPr>
          <w:rFonts w:ascii="Times New Roman"/>
          <w:b w:val="false"/>
          <w:i w:val="false"/>
          <w:color w:val="000000"/>
          <w:sz w:val="28"/>
        </w:rPr>
        <w:t>
      2797. Облицовки насаживают на вал с натягом. Применение штифтов и других деталей для крепления облицовок на валу не допускается.</w:t>
      </w:r>
    </w:p>
    <w:bookmarkEnd w:id="8277"/>
    <w:bookmarkStart w:name="z8311" w:id="8278"/>
    <w:p>
      <w:pPr>
        <w:spacing w:after="0"/>
        <w:ind w:left="0"/>
        <w:jc w:val="left"/>
      </w:pPr>
      <w:r>
        <w:rPr>
          <w:rFonts w:ascii="Times New Roman"/>
          <w:b/>
          <w:i w:val="false"/>
          <w:color w:val="000000"/>
        </w:rPr>
        <w:t xml:space="preserve"> Глава 189. Соединение валов</w:t>
      </w:r>
    </w:p>
    <w:bookmarkEnd w:id="8278"/>
    <w:p>
      <w:pPr>
        <w:spacing w:after="0"/>
        <w:ind w:left="0"/>
        <w:jc w:val="both"/>
      </w:pPr>
      <w:r>
        <w:rPr>
          <w:rFonts w:ascii="Times New Roman"/>
          <w:b w:val="false"/>
          <w:i w:val="false"/>
          <w:color w:val="ff0000"/>
          <w:sz w:val="28"/>
        </w:rPr>
        <w:t xml:space="preserve">
      Сноска. Заголовок главы 189 -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12" w:id="8279"/>
    <w:p>
      <w:pPr>
        <w:spacing w:after="0"/>
        <w:ind w:left="0"/>
        <w:jc w:val="both"/>
      </w:pPr>
      <w:r>
        <w:rPr>
          <w:rFonts w:ascii="Times New Roman"/>
          <w:b w:val="false"/>
          <w:i w:val="false"/>
          <w:color w:val="000000"/>
          <w:sz w:val="28"/>
        </w:rPr>
        <w:t>
      2798. Соединение фланцев валов выполняется плотно пригнанными болтами.</w:t>
      </w:r>
    </w:p>
    <w:bookmarkEnd w:id="8279"/>
    <w:bookmarkStart w:name="z8313" w:id="8280"/>
    <w:p>
      <w:pPr>
        <w:spacing w:after="0"/>
        <w:ind w:left="0"/>
        <w:jc w:val="both"/>
      </w:pPr>
      <w:r>
        <w:rPr>
          <w:rFonts w:ascii="Times New Roman"/>
          <w:b w:val="false"/>
          <w:i w:val="false"/>
          <w:color w:val="000000"/>
          <w:sz w:val="28"/>
        </w:rPr>
        <w:t>
      Применение фланцевых соединений без плотно пригнанных болтов является в каждом случае предметом специального рассмотрения Регистром судоходства.</w:t>
      </w:r>
    </w:p>
    <w:bookmarkEnd w:id="8280"/>
    <w:bookmarkStart w:name="z8314" w:id="8281"/>
    <w:p>
      <w:pPr>
        <w:spacing w:after="0"/>
        <w:ind w:left="0"/>
        <w:jc w:val="both"/>
      </w:pPr>
      <w:r>
        <w:rPr>
          <w:rFonts w:ascii="Times New Roman"/>
          <w:b w:val="false"/>
          <w:i w:val="false"/>
          <w:color w:val="000000"/>
          <w:sz w:val="28"/>
        </w:rPr>
        <w:t>
      2799. Диаметр болтов соединительных фланцев, мм, принимают не менее определяемого по формуле:</w:t>
      </w:r>
    </w:p>
    <w:bookmarkEnd w:id="8281"/>
    <w:bookmarkStart w:name="z8315" w:id="828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б</w:t>
      </w:r>
      <w:r>
        <w:rPr>
          <w:rFonts w:ascii="Times New Roman"/>
          <w:b w:val="false"/>
          <w:i w:val="false"/>
          <w:color w:val="000000"/>
          <w:sz w:val="28"/>
        </w:rPr>
        <w:t xml:space="preserve"> = 0,65</w:t>
      </w:r>
    </w:p>
    <w:bookmarkEnd w:id="8282"/>
    <w:p>
      <w:pPr>
        <w:spacing w:after="0"/>
        <w:ind w:left="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8"/>
                    <a:stretch>
                      <a:fillRect/>
                    </a:stretch>
                  </pic:blipFill>
                  <pic:spPr>
                    <a:xfrm>
                      <a:off x="0" y="0"/>
                      <a:ext cx="15494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(737)</w:t>
      </w:r>
      <w:r>
        <w:br/>
      </w:r>
      <w:r>
        <w:rPr>
          <w:rFonts w:ascii="Times New Roman"/>
          <w:b w:val="false"/>
          <w:i w:val="false"/>
          <w:color w:val="000000"/>
          <w:sz w:val="28"/>
        </w:rPr>
        <w:t>
</w:t>
      </w:r>
    </w:p>
    <w:bookmarkStart w:name="z8316" w:id="8283"/>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ap</w:t>
      </w:r>
      <w:r>
        <w:rPr>
          <w:rFonts w:ascii="Times New Roman"/>
          <w:b w:val="false"/>
          <w:i w:val="false"/>
          <w:color w:val="000000"/>
          <w:sz w:val="28"/>
        </w:rPr>
        <w:t xml:space="preserve"> — диаметр промежуточного вала, определенный по формуле (731) настоящих Правил с учетом ледовых усилений, предусмотренных в пункте 3012 настоящих Правил, мм.</w:t>
      </w:r>
    </w:p>
    <w:bookmarkEnd w:id="8283"/>
    <w:bookmarkStart w:name="z8317" w:id="8284"/>
    <w:p>
      <w:pPr>
        <w:spacing w:after="0"/>
        <w:ind w:left="0"/>
        <w:jc w:val="both"/>
      </w:pPr>
      <w:r>
        <w:rPr>
          <w:rFonts w:ascii="Times New Roman"/>
          <w:b w:val="false"/>
          <w:i w:val="false"/>
          <w:color w:val="000000"/>
          <w:sz w:val="28"/>
        </w:rPr>
        <w:t xml:space="preserve">
      Если диаметр вала увеличен из-за крутильных колебаний, то в качестве </w:t>
      </w:r>
      <w:r>
        <w:rPr>
          <w:rFonts w:ascii="Times New Roman"/>
          <w:b w:val="false"/>
          <w:i/>
          <w:color w:val="000000"/>
          <w:sz w:val="28"/>
        </w:rPr>
        <w:t>d</w:t>
      </w:r>
      <w:r>
        <w:rPr>
          <w:rFonts w:ascii="Times New Roman"/>
          <w:b w:val="false"/>
          <w:i w:val="false"/>
          <w:color w:val="000000"/>
          <w:vertAlign w:val="subscript"/>
        </w:rPr>
        <w:t>np</w:t>
      </w:r>
      <w:r>
        <w:rPr>
          <w:rFonts w:ascii="Times New Roman"/>
          <w:b w:val="false"/>
          <w:i w:val="false"/>
          <w:color w:val="000000"/>
          <w:sz w:val="28"/>
        </w:rPr>
        <w:t xml:space="preserve"> принимается увеличенный диаметр промежуточного вала;</w:t>
      </w:r>
    </w:p>
    <w:bookmarkEnd w:id="8284"/>
    <w:bookmarkStart w:name="z8318" w:id="828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mв</w:t>
      </w:r>
      <w:r>
        <w:rPr>
          <w:rFonts w:ascii="Times New Roman"/>
          <w:b w:val="false"/>
          <w:i w:val="false"/>
          <w:color w:val="000000"/>
          <w:sz w:val="28"/>
        </w:rPr>
        <w:t xml:space="preserve"> — временное сопротивление материала вала, МПа;</w:t>
      </w:r>
    </w:p>
    <w:bookmarkEnd w:id="8285"/>
    <w:bookmarkStart w:name="z8319" w:id="828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mб</w:t>
      </w:r>
      <w:r>
        <w:rPr>
          <w:rFonts w:ascii="Times New Roman"/>
          <w:b w:val="false"/>
          <w:i w:val="false"/>
          <w:color w:val="000000"/>
          <w:sz w:val="28"/>
        </w:rPr>
        <w:t xml:space="preserve"> — временное сопротивление материала болта, МПа, которое принимается в пределах </w:t>
      </w:r>
      <w:r>
        <w:rPr>
          <w:rFonts w:ascii="Times New Roman"/>
          <w:b w:val="false"/>
          <w:i/>
          <w:color w:val="000000"/>
          <w:sz w:val="28"/>
        </w:rPr>
        <w:t>R</w:t>
      </w:r>
      <w:r>
        <w:rPr>
          <w:rFonts w:ascii="Times New Roman"/>
          <w:b w:val="false"/>
          <w:i w:val="false"/>
          <w:color w:val="000000"/>
          <w:vertAlign w:val="subscript"/>
        </w:rPr>
        <w:t>mв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mб</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mв</w:t>
      </w:r>
      <w:r>
        <w:rPr>
          <w:rFonts w:ascii="Times New Roman"/>
          <w:b w:val="false"/>
          <w:i w:val="false"/>
          <w:color w:val="000000"/>
          <w:sz w:val="28"/>
        </w:rPr>
        <w:t>, но не более 1000 МПа;</w:t>
      </w:r>
    </w:p>
    <w:bookmarkEnd w:id="8286"/>
    <w:bookmarkStart w:name="z8320" w:id="828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число болтов в соединении;</w:t>
      </w:r>
    </w:p>
    <w:bookmarkEnd w:id="8287"/>
    <w:bookmarkStart w:name="z8321" w:id="828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диаметр центровой окружности соединительных болтов, мм.</w:t>
      </w:r>
    </w:p>
    <w:bookmarkEnd w:id="8288"/>
    <w:bookmarkStart w:name="z8322" w:id="8289"/>
    <w:p>
      <w:pPr>
        <w:spacing w:after="0"/>
        <w:ind w:left="0"/>
        <w:jc w:val="both"/>
      </w:pPr>
      <w:r>
        <w:rPr>
          <w:rFonts w:ascii="Times New Roman"/>
          <w:b w:val="false"/>
          <w:i w:val="false"/>
          <w:color w:val="000000"/>
          <w:sz w:val="28"/>
        </w:rPr>
        <w:t>
      Диаметр болтов, крепящих винт к фланцу гребного вала, является в каждом случае предметом специального рассмотрения Регистром судоходства.</w:t>
      </w:r>
    </w:p>
    <w:bookmarkEnd w:id="8289"/>
    <w:bookmarkStart w:name="z8323" w:id="8290"/>
    <w:p>
      <w:pPr>
        <w:spacing w:after="0"/>
        <w:ind w:left="0"/>
        <w:jc w:val="left"/>
      </w:pPr>
      <w:r>
        <w:rPr>
          <w:rFonts w:ascii="Times New Roman"/>
          <w:b/>
          <w:i w:val="false"/>
          <w:color w:val="000000"/>
        </w:rPr>
        <w:t xml:space="preserve"> Глава 190. Бесшпоночные соединения гребного винта и муфт валопровода</w:t>
      </w:r>
    </w:p>
    <w:bookmarkEnd w:id="8290"/>
    <w:p>
      <w:pPr>
        <w:spacing w:after="0"/>
        <w:ind w:left="0"/>
        <w:jc w:val="both"/>
      </w:pPr>
      <w:r>
        <w:rPr>
          <w:rFonts w:ascii="Times New Roman"/>
          <w:b w:val="false"/>
          <w:i w:val="false"/>
          <w:color w:val="ff0000"/>
          <w:sz w:val="28"/>
        </w:rPr>
        <w:t xml:space="preserve">
      Сноска. Заголовок главы 190 -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24" w:id="8291"/>
    <w:p>
      <w:pPr>
        <w:spacing w:after="0"/>
        <w:ind w:left="0"/>
        <w:jc w:val="both"/>
      </w:pPr>
      <w:r>
        <w:rPr>
          <w:rFonts w:ascii="Times New Roman"/>
          <w:b w:val="false"/>
          <w:i w:val="false"/>
          <w:color w:val="000000"/>
          <w:sz w:val="28"/>
        </w:rPr>
        <w:t>
      2800. Концы валов при бесшпоночной посадке гребных винтов и муфт выполняются с конусностью не более 1:15. Если конусность не превышает 1:50, соединения валов с муфтами допускается выполнять без концевой гайки или другого крепления муфты.</w:t>
      </w:r>
    </w:p>
    <w:bookmarkEnd w:id="8291"/>
    <w:bookmarkStart w:name="z8325" w:id="8292"/>
    <w:p>
      <w:pPr>
        <w:spacing w:after="0"/>
        <w:ind w:left="0"/>
        <w:jc w:val="both"/>
      </w:pPr>
      <w:r>
        <w:rPr>
          <w:rFonts w:ascii="Times New Roman"/>
          <w:b w:val="false"/>
          <w:i w:val="false"/>
          <w:color w:val="000000"/>
          <w:sz w:val="28"/>
        </w:rPr>
        <w:t>
      Стопорные устройства концевых гаек закрепляют на валах.</w:t>
      </w:r>
    </w:p>
    <w:bookmarkEnd w:id="8292"/>
    <w:bookmarkStart w:name="z8326" w:id="8293"/>
    <w:p>
      <w:pPr>
        <w:spacing w:after="0"/>
        <w:ind w:left="0"/>
        <w:jc w:val="both"/>
      </w:pPr>
      <w:r>
        <w:rPr>
          <w:rFonts w:ascii="Times New Roman"/>
          <w:b w:val="false"/>
          <w:i w:val="false"/>
          <w:color w:val="000000"/>
          <w:sz w:val="28"/>
        </w:rPr>
        <w:t>
      2801. Бесшпоночное соединение гребного винта с гребным валом, как правило, выполняется без применения промежуточной втулки между ступицей и валом.</w:t>
      </w:r>
    </w:p>
    <w:bookmarkEnd w:id="8293"/>
    <w:bookmarkStart w:name="z8327" w:id="8294"/>
    <w:p>
      <w:pPr>
        <w:spacing w:after="0"/>
        <w:ind w:left="0"/>
        <w:jc w:val="both"/>
      </w:pPr>
      <w:r>
        <w:rPr>
          <w:rFonts w:ascii="Times New Roman"/>
          <w:b w:val="false"/>
          <w:i w:val="false"/>
          <w:color w:val="000000"/>
          <w:sz w:val="28"/>
        </w:rPr>
        <w:t>
      Конструкции с применением промежуточной втулки являются в каждом случае предметом специального рассмотрения Регистром судоходства.</w:t>
      </w:r>
    </w:p>
    <w:bookmarkEnd w:id="8294"/>
    <w:bookmarkStart w:name="z8328" w:id="8295"/>
    <w:p>
      <w:pPr>
        <w:spacing w:after="0"/>
        <w:ind w:left="0"/>
        <w:jc w:val="both"/>
      </w:pPr>
      <w:r>
        <w:rPr>
          <w:rFonts w:ascii="Times New Roman"/>
          <w:b w:val="false"/>
          <w:i w:val="false"/>
          <w:color w:val="000000"/>
          <w:sz w:val="28"/>
        </w:rPr>
        <w:t>
      2802. При монтаже бесшпоночного соединения осевое перемещение ступицы по отношению к валу или промежуточной втулке с момента получения металлического контакта на конусной поверхности после устранения зазора определяется по формуле:</w:t>
      </w:r>
    </w:p>
    <w:bookmarkEnd w:id="8295"/>
    <w:bookmarkStart w:name="z8329" w:id="8296"/>
    <w:p>
      <w:pPr>
        <w:spacing w:after="0"/>
        <w:ind w:left="0"/>
        <w:jc w:val="both"/>
      </w:pPr>
      <w:r>
        <w:rPr>
          <w:rFonts w:ascii="Times New Roman"/>
          <w:b w:val="false"/>
          <w:i w:val="false"/>
          <w:color w:val="000000"/>
          <w:sz w:val="28"/>
        </w:rPr>
        <w:t xml:space="preserve">
      </w:t>
      </w:r>
    </w:p>
    <w:bookmarkEnd w:id="8296"/>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h = </w:t>
      </w:r>
    </w:p>
    <w:p>
      <w:pPr>
        <w:spacing w:after="0"/>
        <w:ind w:left="0"/>
        <w:jc w:val="both"/>
      </w:pPr>
      <w:r>
        <w:drawing>
          <wp:inline distT="0" distB="0" distL="0" distR="0">
            <wp:extent cx="402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0"/>
                    <a:stretch>
                      <a:fillRect/>
                    </a:stretch>
                  </pic:blipFill>
                  <pic:spPr>
                    <a:xfrm>
                      <a:off x="0" y="0"/>
                      <a:ext cx="40259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(738)</w:t>
      </w:r>
      <w:r>
        <w:br/>
      </w:r>
      <w:r>
        <w:rPr>
          <w:rFonts w:ascii="Times New Roman"/>
          <w:b w:val="false"/>
          <w:i w:val="false"/>
          <w:color w:val="000000"/>
          <w:sz w:val="28"/>
        </w:rPr>
        <w:t>
</w:t>
      </w:r>
    </w:p>
    <w:bookmarkStart w:name="z8330" w:id="8297"/>
    <w:p>
      <w:pPr>
        <w:spacing w:after="0"/>
        <w:ind w:left="0"/>
        <w:jc w:val="both"/>
      </w:pPr>
      <w:r>
        <w:rPr>
          <w:rFonts w:ascii="Times New Roman"/>
          <w:b w:val="false"/>
          <w:i w:val="false"/>
          <w:color w:val="000000"/>
          <w:sz w:val="28"/>
        </w:rPr>
        <w:t xml:space="preserve">
      где </w:t>
      </w:r>
    </w:p>
    <w:bookmarkEnd w:id="829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h — осевое перемещение ступицы при монтаже, см;</w:t>
      </w:r>
      <w:r>
        <w:br/>
      </w:r>
      <w:r>
        <w:rPr>
          <w:rFonts w:ascii="Times New Roman"/>
          <w:b w:val="false"/>
          <w:i w:val="false"/>
          <w:color w:val="000000"/>
          <w:sz w:val="28"/>
        </w:rPr>
        <w:t>
</w:t>
      </w:r>
    </w:p>
    <w:bookmarkStart w:name="z8331" w:id="8298"/>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коэффициент материала и формы соединения, МПа-1, определяемый по формуле:</w:t>
      </w:r>
    </w:p>
    <w:bookmarkEnd w:id="8298"/>
    <w:bookmarkStart w:name="z8332" w:id="8299"/>
    <w:p>
      <w:pPr>
        <w:spacing w:after="0"/>
        <w:ind w:left="0"/>
        <w:jc w:val="both"/>
      </w:pPr>
      <w:r>
        <w:rPr>
          <w:rFonts w:ascii="Times New Roman"/>
          <w:b w:val="false"/>
          <w:i w:val="false"/>
          <w:color w:val="000000"/>
          <w:sz w:val="28"/>
        </w:rPr>
        <w:t xml:space="preserve">
      В = </w:t>
      </w:r>
    </w:p>
    <w:bookmarkEnd w:id="8299"/>
    <w:p>
      <w:pPr>
        <w:spacing w:after="0"/>
        <w:ind w:left="0"/>
        <w:jc w:val="both"/>
      </w:pPr>
      <w:r>
        <w:drawing>
          <wp:inline distT="0" distB="0" distL="0" distR="0">
            <wp:extent cx="2984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2"/>
                    <a:stretch>
                      <a:fillRect/>
                    </a:stretch>
                  </pic:blipFill>
                  <pic:spPr>
                    <a:xfrm>
                      <a:off x="0" y="0"/>
                      <a:ext cx="2984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33" w:id="8300"/>
    <w:p>
      <w:pPr>
        <w:spacing w:after="0"/>
        <w:ind w:left="0"/>
        <w:jc w:val="both"/>
      </w:pPr>
      <w:r>
        <w:rPr>
          <w:rFonts w:ascii="Times New Roman"/>
          <w:b w:val="false"/>
          <w:i w:val="false"/>
          <w:color w:val="000000"/>
          <w:sz w:val="28"/>
        </w:rPr>
        <w:t>
      Для соединений со стальным валом без осевого сверления коэффициент В допускается принимать по приложению 292 настоящих Правил с применением линейной интерполяции;</w:t>
      </w:r>
    </w:p>
    <w:bookmarkEnd w:id="8300"/>
    <w:bookmarkStart w:name="z8334" w:id="8301"/>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у</w:t>
      </w:r>
      <w:r>
        <w:rPr>
          <w:rFonts w:ascii="Times New Roman"/>
          <w:b w:val="false"/>
          <w:i w:val="false"/>
          <w:color w:val="000000"/>
          <w:sz w:val="28"/>
        </w:rPr>
        <w:t>,</w:t>
      </w:r>
      <w:r>
        <w:rPr>
          <w:rFonts w:ascii="Times New Roman"/>
          <w:b w:val="false"/>
          <w:i/>
          <w:color w:val="000000"/>
          <w:sz w:val="28"/>
        </w:rPr>
        <w:t>Е</w:t>
      </w:r>
      <w:r>
        <w:rPr>
          <w:rFonts w:ascii="Times New Roman"/>
          <w:b w:val="false"/>
          <w:i w:val="false"/>
          <w:color w:val="000000"/>
          <w:vertAlign w:val="subscript"/>
        </w:rPr>
        <w:t>w</w:t>
      </w:r>
      <w:r>
        <w:rPr>
          <w:rFonts w:ascii="Times New Roman"/>
          <w:b w:val="false"/>
          <w:i w:val="false"/>
          <w:color w:val="000000"/>
          <w:sz w:val="28"/>
        </w:rPr>
        <w:t xml:space="preserve"> — модули упругости при растяжении материала ступицы и вала, МПа;</w:t>
      </w:r>
    </w:p>
    <w:bookmarkEnd w:id="8301"/>
    <w:bookmarkStart w:name="z8335" w:id="830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y</w:t>
      </w:r>
      <w:r>
        <w:rPr>
          <w:rFonts w:ascii="Times New Roman"/>
          <w:b w:val="false"/>
          <w:i w:val="false"/>
          <w:color w:val="000000"/>
          <w:sz w:val="28"/>
        </w:rPr>
        <w:t xml:space="preserve"> — коэффициент Пуассона для материала ступицы;</w:t>
      </w:r>
    </w:p>
    <w:bookmarkEnd w:id="8302"/>
    <w:bookmarkStart w:name="z8336" w:id="830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w</w:t>
      </w:r>
      <w:r>
        <w:rPr>
          <w:rFonts w:ascii="Times New Roman"/>
          <w:b w:val="false"/>
          <w:i w:val="false"/>
          <w:color w:val="000000"/>
          <w:sz w:val="28"/>
        </w:rPr>
        <w:t xml:space="preserve"> — коэффициент Пуассона для материала вала; для стали </w:t>
      </w:r>
      <w:r>
        <w:rPr>
          <w:rFonts w:ascii="Times New Roman"/>
          <w:b w:val="false"/>
          <w:i/>
          <w:color w:val="000000"/>
          <w:sz w:val="28"/>
        </w:rPr>
        <w:t>v</w:t>
      </w:r>
      <w:r>
        <w:rPr>
          <w:rFonts w:ascii="Times New Roman"/>
          <w:b w:val="false"/>
          <w:i w:val="false"/>
          <w:color w:val="000000"/>
          <w:vertAlign w:val="subscript"/>
        </w:rPr>
        <w:t>w</w:t>
      </w:r>
      <w:r>
        <w:rPr>
          <w:rFonts w:ascii="Times New Roman"/>
          <w:b w:val="false"/>
          <w:i w:val="false"/>
          <w:color w:val="000000"/>
          <w:sz w:val="28"/>
        </w:rPr>
        <w:t xml:space="preserve"> = 0,3;</w:t>
      </w:r>
    </w:p>
    <w:bookmarkEnd w:id="8303"/>
    <w:bookmarkStart w:name="z8337" w:id="8304"/>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средний коэффициент внешнего диаметра ступицы;</w:t>
      </w:r>
    </w:p>
    <w:bookmarkEnd w:id="8304"/>
    <w:bookmarkStart w:name="z8338" w:id="830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средний коэффициент диаметра отверстия на валу;</w:t>
      </w:r>
    </w:p>
    <w:bookmarkEnd w:id="8305"/>
    <w:bookmarkStart w:name="z8339" w:id="8306"/>
    <w:p>
      <w:pPr>
        <w:spacing w:after="0"/>
        <w:ind w:left="0"/>
        <w:jc w:val="both"/>
      </w:pPr>
      <w:r>
        <w:rPr>
          <w:rFonts w:ascii="Times New Roman"/>
          <w:b w:val="false"/>
          <w:i w:val="false"/>
          <w:color w:val="000000"/>
          <w:sz w:val="28"/>
        </w:rPr>
        <w:t>
      D</w:t>
      </w:r>
      <w:r>
        <w:rPr>
          <w:rFonts w:ascii="Times New Roman"/>
          <w:b w:val="false"/>
          <w:i w:val="false"/>
          <w:color w:val="000000"/>
          <w:vertAlign w:val="subscript"/>
        </w:rPr>
        <w:t>w</w:t>
      </w:r>
      <w:r>
        <w:rPr>
          <w:rFonts w:ascii="Times New Roman"/>
          <w:b w:val="false"/>
          <w:i w:val="false"/>
          <w:color w:val="000000"/>
          <w:sz w:val="28"/>
        </w:rPr>
        <w:t xml:space="preserve"> — средний внешний диаметр вала в месте контакта со ступицей или промежуточной втулкой (приложение 293 настоящих Правил).</w:t>
      </w:r>
    </w:p>
    <w:bookmarkEnd w:id="8306"/>
    <w:bookmarkStart w:name="z8340" w:id="8307"/>
    <w:p>
      <w:pPr>
        <w:spacing w:after="0"/>
        <w:ind w:left="0"/>
        <w:jc w:val="both"/>
      </w:pPr>
      <w:r>
        <w:rPr>
          <w:rFonts w:ascii="Times New Roman"/>
          <w:b w:val="false"/>
          <w:i w:val="false"/>
          <w:color w:val="000000"/>
          <w:sz w:val="28"/>
        </w:rPr>
        <w:t>
      Без промежуточной втулки:</w:t>
      </w:r>
    </w:p>
    <w:bookmarkEnd w:id="8307"/>
    <w:bookmarkStart w:name="z8341" w:id="830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w1</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y1</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w2</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y2</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w3</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y3</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w1</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y4</w:t>
      </w:r>
      <w:r>
        <w:rPr>
          <w:rFonts w:ascii="Times New Roman"/>
          <w:b w:val="false"/>
          <w:i w:val="false"/>
          <w:color w:val="000000"/>
          <w:sz w:val="28"/>
        </w:rPr>
        <w:t>;</w:t>
      </w:r>
    </w:p>
    <w:bookmarkEnd w:id="8308"/>
    <w:bookmarkStart w:name="z8342" w:id="8309"/>
    <w:p>
      <w:pPr>
        <w:spacing w:after="0"/>
        <w:ind w:left="0"/>
        <w:jc w:val="both"/>
      </w:pPr>
      <w:r>
        <w:rPr>
          <w:rFonts w:ascii="Times New Roman"/>
          <w:b w:val="false"/>
          <w:i w:val="false"/>
          <w:color w:val="000000"/>
          <w:sz w:val="28"/>
        </w:rPr>
        <w:t>
      С промежуточной втулкой:</w:t>
      </w:r>
    </w:p>
    <w:bookmarkEnd w:id="8309"/>
    <w:bookmarkStart w:name="z8343" w:id="831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w:t>
      </w:r>
      <w:r>
        <w:rPr>
          <w:rFonts w:ascii="Times New Roman"/>
          <w:b w:val="false"/>
          <w:i w:val="false"/>
          <w:color w:val="000000"/>
          <w:vertAlign w:val="subscript"/>
        </w:rPr>
        <w:t>1</w:t>
      </w:r>
      <w:r>
        <w:rPr>
          <w:rFonts w:ascii="Times New Roman"/>
          <w:b w:val="false"/>
          <w:i w:val="false"/>
          <w:color w:val="000000"/>
          <w:sz w:val="28"/>
        </w:rPr>
        <w:t xml:space="preserve"> </w:t>
      </w:r>
    </w:p>
    <w:bookmarkEnd w:id="8310"/>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3"/>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4"/>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5"/>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w</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6"/>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vertAlign w:val="subscript"/>
        </w:rPr>
        <w:t>4</w:t>
      </w:r>
      <w:r>
        <w:rPr>
          <w:rFonts w:ascii="Times New Roman"/>
          <w:b w:val="false"/>
          <w:i w:val="false"/>
          <w:color w:val="000000"/>
          <w:sz w:val="28"/>
        </w:rPr>
        <w:t>;</w:t>
      </w:r>
      <w:r>
        <w:br/>
      </w:r>
      <w:r>
        <w:rPr>
          <w:rFonts w:ascii="Times New Roman"/>
          <w:b w:val="false"/>
          <w:i w:val="false"/>
          <w:color w:val="000000"/>
          <w:sz w:val="28"/>
        </w:rPr>
        <w:t>
</w:t>
      </w:r>
    </w:p>
    <w:bookmarkStart w:name="z8344" w:id="8311"/>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w:t>
      </w:r>
    </w:p>
    <w:bookmarkEnd w:id="8311"/>
    <w:p>
      <w:pPr>
        <w:spacing w:after="0"/>
        <w:ind w:left="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7"/>
                    <a:stretch>
                      <a:fillRect/>
                    </a:stretch>
                  </pic:blipFill>
                  <pic:spPr>
                    <a:xfrm>
                      <a:off x="0" y="0"/>
                      <a:ext cx="1536700" cy="596900"/>
                    </a:xfrm>
                    <a:prstGeom prst="rect">
                      <a:avLst/>
                    </a:prstGeom>
                  </pic:spPr>
                </pic:pic>
              </a:graphicData>
            </a:graphic>
          </wp:inline>
        </w:drawing>
      </w:r>
    </w:p>
    <w:p>
      <w:pPr>
        <w:spacing w:after="0"/>
        <w:ind w:left="0"/>
        <w:jc w:val="left"/>
      </w:pPr>
      <w:r>
        <w:rPr>
          <w:rFonts w:ascii="Times New Roman"/>
          <w:b w:val="false"/>
          <w:i w:val="false"/>
          <w:color w:val="000000"/>
          <w:sz w:val="28"/>
        </w:rPr>
        <w:t>для ступицы;</w:t>
      </w:r>
      <w:r>
        <w:br/>
      </w:r>
      <w:r>
        <w:rPr>
          <w:rFonts w:ascii="Times New Roman"/>
          <w:b w:val="false"/>
          <w:i w:val="false"/>
          <w:color w:val="000000"/>
          <w:sz w:val="28"/>
        </w:rPr>
        <w:t>
</w:t>
      </w:r>
    </w:p>
    <w:bookmarkStart w:name="z8345" w:id="831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p>
    <w:bookmarkEnd w:id="8312"/>
    <w:p>
      <w:pPr>
        <w:spacing w:after="0"/>
        <w:ind w:left="0"/>
        <w:jc w:val="both"/>
      </w:pPr>
      <w:r>
        <w:drawing>
          <wp:inline distT="0" distB="0" distL="0" distR="0">
            <wp:extent cx="1409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8"/>
                    <a:stretch>
                      <a:fillRect/>
                    </a:stretch>
                  </pic:blipFill>
                  <pic:spPr>
                    <a:xfrm>
                      <a:off x="0" y="0"/>
                      <a:ext cx="1409700" cy="584200"/>
                    </a:xfrm>
                    <a:prstGeom prst="rect">
                      <a:avLst/>
                    </a:prstGeom>
                  </pic:spPr>
                </pic:pic>
              </a:graphicData>
            </a:graphic>
          </wp:inline>
        </w:drawing>
      </w:r>
    </w:p>
    <w:p>
      <w:pPr>
        <w:spacing w:after="0"/>
        <w:ind w:left="0"/>
        <w:jc w:val="left"/>
      </w:pPr>
      <w:r>
        <w:rPr>
          <w:rFonts w:ascii="Times New Roman"/>
          <w:b w:val="false"/>
          <w:i w:val="false"/>
          <w:color w:val="000000"/>
          <w:sz w:val="28"/>
        </w:rPr>
        <w:t>- для вала;</w:t>
      </w:r>
      <w:r>
        <w:br/>
      </w:r>
      <w:r>
        <w:rPr>
          <w:rFonts w:ascii="Times New Roman"/>
          <w:b w:val="false"/>
          <w:i w:val="false"/>
          <w:color w:val="000000"/>
          <w:sz w:val="28"/>
        </w:rPr>
        <w:t>
</w:t>
      </w:r>
    </w:p>
    <w:bookmarkStart w:name="z8346" w:id="831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у</w:t>
      </w:r>
      <w:r>
        <w:rPr>
          <w:rFonts w:ascii="Times New Roman"/>
          <w:b w:val="false"/>
          <w:i w:val="false"/>
          <w:color w:val="000000"/>
          <w:sz w:val="28"/>
        </w:rPr>
        <w:t xml:space="preserve"> — средний внутренний диаметр ступицы в месте контакта с валом или промежуточной втулкой, см;</w:t>
      </w:r>
    </w:p>
    <w:bookmarkEnd w:id="8313"/>
    <w:bookmarkStart w:name="z8347" w:id="8314"/>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рабочая (контактная) длина конуса вала или промежуточной втулки со ступицей, см;</w:t>
      </w:r>
    </w:p>
    <w:bookmarkEnd w:id="8314"/>
    <w:bookmarkStart w:name="z8348" w:id="8315"/>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конусность ступицы;</w:t>
      </w:r>
    </w:p>
    <w:bookmarkEnd w:id="8315"/>
    <w:bookmarkStart w:name="z8349" w:id="831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мощность, передаваемая соединением, кВт;</w:t>
      </w:r>
    </w:p>
    <w:bookmarkEnd w:id="8316"/>
    <w:bookmarkStart w:name="z8350" w:id="831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частота вращения соединения, об/мин;</w:t>
      </w:r>
    </w:p>
    <w:bookmarkEnd w:id="8317"/>
    <w:bookmarkStart w:name="z8351" w:id="8318"/>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коэффициент ледовых усилений согласно приложению 294 настоящих Правил;</w:t>
      </w:r>
    </w:p>
    <w:bookmarkEnd w:id="8318"/>
    <w:bookmarkStart w:name="z8352" w:id="8319"/>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упор гребного винта при ходе вперед, кН (при отсутствии данных — пункт 930 настоящих Правил);</w:t>
      </w:r>
    </w:p>
    <w:bookmarkEnd w:id="8319"/>
    <w:bookmarkStart w:name="z8353" w:id="8320"/>
    <w:p>
      <w:pPr>
        <w:spacing w:after="0"/>
        <w:ind w:left="0"/>
        <w:jc w:val="both"/>
      </w:pPr>
      <w:r>
        <w:rPr>
          <w:rFonts w:ascii="Times New Roman"/>
          <w:b w:val="false"/>
          <w:i w:val="false"/>
          <w:color w:val="000000"/>
          <w:sz w:val="28"/>
        </w:rPr>
        <w:t xml:space="preserve">
      </w:t>
      </w:r>
    </w:p>
    <w:bookmarkEnd w:id="8320"/>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9"/>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теплового линейного расширения материала ступицы и вала, 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8354" w:id="8321"/>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m</w:t>
      </w:r>
      <w:r>
        <w:rPr>
          <w:rFonts w:ascii="Times New Roman"/>
          <w:b w:val="false"/>
          <w:i w:val="false"/>
          <w:color w:val="000000"/>
          <w:sz w:val="28"/>
        </w:rPr>
        <w:t xml:space="preserve"> — температуры соединения в условиях эксплуатации и при монтаже, </w:t>
      </w:r>
      <w:r>
        <w:rPr>
          <w:rFonts w:ascii="Times New Roman"/>
          <w:b w:val="false"/>
          <w:i w:val="false"/>
          <w:color w:val="000000"/>
          <w:vertAlign w:val="superscript"/>
        </w:rPr>
        <w:t>о</w:t>
      </w:r>
      <w:r>
        <w:rPr>
          <w:rFonts w:ascii="Times New Roman"/>
          <w:b w:val="false"/>
          <w:i w:val="false"/>
          <w:color w:val="000000"/>
          <w:sz w:val="28"/>
        </w:rPr>
        <w:t>С;</w:t>
      </w:r>
    </w:p>
    <w:bookmarkEnd w:id="8321"/>
    <w:bookmarkStart w:name="z8355" w:id="8322"/>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1 — для соединений без промежуточной втулки;</w:t>
      </w:r>
    </w:p>
    <w:bookmarkEnd w:id="8322"/>
    <w:bookmarkStart w:name="z8356" w:id="8323"/>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1,1 —для соединений с промежуточной втулкой.</w:t>
      </w:r>
    </w:p>
    <w:bookmarkEnd w:id="8323"/>
    <w:bookmarkStart w:name="z8357" w:id="8324"/>
    <w:p>
      <w:pPr>
        <w:spacing w:after="0"/>
        <w:ind w:left="0"/>
        <w:jc w:val="both"/>
      </w:pPr>
      <w:r>
        <w:rPr>
          <w:rFonts w:ascii="Times New Roman"/>
          <w:b w:val="false"/>
          <w:i w:val="false"/>
          <w:color w:val="000000"/>
          <w:sz w:val="28"/>
        </w:rPr>
        <w:t xml:space="preserve">
      Для судов с ледовыми усилениями величину </w:t>
      </w:r>
    </w:p>
    <w:bookmarkEnd w:id="8324"/>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sz w:val="28"/>
        </w:rPr>
        <w:t xml:space="preserve"> следует принимать как большую из рассчитанных для предельных температур в условиях эксплуатации, то есть для </w:t>
      </w:r>
      <w:r>
        <w:rPr>
          <w:rFonts w:ascii="Times New Roman"/>
          <w:b w:val="false"/>
          <w:i/>
          <w:color w:val="000000"/>
          <w:sz w:val="28"/>
        </w:rPr>
        <w:t>t</w:t>
      </w:r>
      <w:r>
        <w:rPr>
          <w:rFonts w:ascii="Times New Roman"/>
          <w:b w:val="false"/>
          <w:i w:val="false"/>
          <w:color w:val="000000"/>
          <w:vertAlign w:val="subscript"/>
        </w:rPr>
        <w:t>е</w:t>
      </w:r>
      <w:r>
        <w:rPr>
          <w:rFonts w:ascii="Times New Roman"/>
          <w:b w:val="false"/>
          <w:i w:val="false"/>
          <w:color w:val="000000"/>
          <w:sz w:val="28"/>
        </w:rPr>
        <w:t xml:space="preserve"> = 35 </w:t>
      </w:r>
      <w:r>
        <w:rPr>
          <w:rFonts w:ascii="Times New Roman"/>
          <w:b w:val="false"/>
          <w:i w:val="false"/>
          <w:color w:val="000000"/>
          <w:vertAlign w:val="superscript"/>
        </w:rPr>
        <w:t>о</w:t>
      </w:r>
      <w:r>
        <w:rPr>
          <w:rFonts w:ascii="Times New Roman"/>
          <w:b w:val="false"/>
          <w:i w:val="false"/>
          <w:color w:val="000000"/>
          <w:sz w:val="28"/>
        </w:rPr>
        <w:t xml:space="preserve">С при </w:t>
      </w:r>
      <w:r>
        <w:rPr>
          <w:rFonts w:ascii="Times New Roman"/>
          <w:b w:val="false"/>
          <w:i/>
          <w:color w:val="000000"/>
          <w:sz w:val="28"/>
        </w:rPr>
        <w:t>L</w:t>
      </w:r>
      <w:r>
        <w:rPr>
          <w:rFonts w:ascii="Times New Roman"/>
          <w:b w:val="false"/>
          <w:i w:val="false"/>
          <w:color w:val="000000"/>
          <w:sz w:val="28"/>
        </w:rPr>
        <w:t xml:space="preserve">= 1; </w:t>
      </w:r>
      <w:r>
        <w:rPr>
          <w:rFonts w:ascii="Times New Roman"/>
          <w:b w:val="false"/>
          <w:i/>
          <w:color w:val="000000"/>
          <w:sz w:val="28"/>
        </w:rPr>
        <w:t>t</w:t>
      </w:r>
      <w:r>
        <w:rPr>
          <w:rFonts w:ascii="Times New Roman"/>
          <w:b w:val="false"/>
          <w:i w:val="false"/>
          <w:color w:val="000000"/>
          <w:vertAlign w:val="subscript"/>
        </w:rPr>
        <w:t>е</w:t>
      </w:r>
      <w:r>
        <w:rPr>
          <w:rFonts w:ascii="Times New Roman"/>
          <w:b w:val="false"/>
          <w:i w:val="false"/>
          <w:color w:val="000000"/>
          <w:sz w:val="28"/>
        </w:rPr>
        <w:t xml:space="preserve"> = 0 </w:t>
      </w:r>
      <w:r>
        <w:rPr>
          <w:rFonts w:ascii="Times New Roman"/>
          <w:b w:val="false"/>
          <w:i w:val="false"/>
          <w:color w:val="000000"/>
          <w:vertAlign w:val="superscript"/>
        </w:rPr>
        <w:t>о</w:t>
      </w:r>
      <w:r>
        <w:rPr>
          <w:rFonts w:ascii="Times New Roman"/>
          <w:b w:val="false"/>
          <w:i w:val="false"/>
          <w:color w:val="000000"/>
          <w:sz w:val="28"/>
        </w:rPr>
        <w:t xml:space="preserve">С при </w:t>
      </w:r>
      <w:r>
        <w:rPr>
          <w:rFonts w:ascii="Times New Roman"/>
          <w:b w:val="false"/>
          <w:i/>
          <w:color w:val="000000"/>
          <w:sz w:val="28"/>
        </w:rPr>
        <w:t xml:space="preserve">L </w:t>
      </w:r>
      <w:r>
        <w:rPr>
          <w:rFonts w:ascii="Times New Roman"/>
          <w:b w:val="false"/>
          <w:i w:val="false"/>
          <w:color w:val="000000"/>
          <w:sz w:val="28"/>
        </w:rPr>
        <w:t>&gt; 1.</w:t>
      </w:r>
      <w:r>
        <w:br/>
      </w:r>
      <w:r>
        <w:rPr>
          <w:rFonts w:ascii="Times New Roman"/>
          <w:b w:val="false"/>
          <w:i w:val="false"/>
          <w:color w:val="000000"/>
          <w:sz w:val="28"/>
        </w:rPr>
        <w:t>
</w:t>
      </w:r>
    </w:p>
    <w:bookmarkStart w:name="z8358" w:id="8325"/>
    <w:p>
      <w:pPr>
        <w:spacing w:after="0"/>
        <w:ind w:left="0"/>
        <w:jc w:val="both"/>
      </w:pPr>
      <w:r>
        <w:rPr>
          <w:rFonts w:ascii="Times New Roman"/>
          <w:b w:val="false"/>
          <w:i w:val="false"/>
          <w:color w:val="000000"/>
          <w:sz w:val="28"/>
        </w:rPr>
        <w:t xml:space="preserve">
      При отсутствии ледовых усилений расчет следует выполнять однократно для самой высокой температуры в условиях эксплуатации, то есть для </w:t>
      </w:r>
      <w:r>
        <w:rPr>
          <w:rFonts w:ascii="Times New Roman"/>
          <w:b w:val="false"/>
          <w:i/>
          <w:color w:val="000000"/>
          <w:sz w:val="28"/>
        </w:rPr>
        <w:t>t</w:t>
      </w:r>
      <w:r>
        <w:rPr>
          <w:rFonts w:ascii="Times New Roman"/>
          <w:b w:val="false"/>
          <w:i w:val="false"/>
          <w:color w:val="000000"/>
          <w:vertAlign w:val="subscript"/>
        </w:rPr>
        <w:t>e</w:t>
      </w:r>
      <w:r>
        <w:rPr>
          <w:rFonts w:ascii="Times New Roman"/>
          <w:b w:val="false"/>
          <w:i w:val="false"/>
          <w:color w:val="000000"/>
          <w:sz w:val="28"/>
        </w:rPr>
        <w:t xml:space="preserve"> = 35 </w:t>
      </w:r>
      <w:r>
        <w:rPr>
          <w:rFonts w:ascii="Times New Roman"/>
          <w:b w:val="false"/>
          <w:i w:val="false"/>
          <w:color w:val="000000"/>
          <w:vertAlign w:val="superscript"/>
        </w:rPr>
        <w:t>о</w:t>
      </w:r>
      <w:r>
        <w:rPr>
          <w:rFonts w:ascii="Times New Roman"/>
          <w:b w:val="false"/>
          <w:i w:val="false"/>
          <w:color w:val="000000"/>
          <w:sz w:val="28"/>
        </w:rPr>
        <w:t xml:space="preserve">С при </w:t>
      </w:r>
      <w:r>
        <w:rPr>
          <w:rFonts w:ascii="Times New Roman"/>
          <w:b w:val="false"/>
          <w:i/>
          <w:color w:val="000000"/>
          <w:sz w:val="28"/>
        </w:rPr>
        <w:t>L</w:t>
      </w:r>
      <w:r>
        <w:rPr>
          <w:rFonts w:ascii="Times New Roman"/>
          <w:b w:val="false"/>
          <w:i w:val="false"/>
          <w:color w:val="000000"/>
          <w:sz w:val="28"/>
        </w:rPr>
        <w:t xml:space="preserve"> =1.</w:t>
      </w:r>
    </w:p>
    <w:bookmarkEnd w:id="8325"/>
    <w:bookmarkStart w:name="z8359" w:id="8326"/>
    <w:p>
      <w:pPr>
        <w:spacing w:after="0"/>
        <w:ind w:left="0"/>
        <w:jc w:val="both"/>
      </w:pPr>
      <w:r>
        <w:rPr>
          <w:rFonts w:ascii="Times New Roman"/>
          <w:b w:val="false"/>
          <w:i w:val="false"/>
          <w:color w:val="000000"/>
          <w:sz w:val="28"/>
        </w:rPr>
        <w:t>
      2803. Натяг при монтаже стальных муфт и валов с цилиндрическими сопрягаемыми поверхностями определяется по формуле:</w:t>
      </w:r>
    </w:p>
    <w:bookmarkEnd w:id="8326"/>
    <w:bookmarkStart w:name="z8360" w:id="8327"/>
    <w:p>
      <w:pPr>
        <w:spacing w:after="0"/>
        <w:ind w:left="0"/>
        <w:jc w:val="both"/>
      </w:pPr>
      <w:r>
        <w:rPr>
          <w:rFonts w:ascii="Times New Roman"/>
          <w:b w:val="false"/>
          <w:i w:val="false"/>
          <w:color w:val="000000"/>
          <w:sz w:val="28"/>
        </w:rPr>
        <w:t xml:space="preserve">
      </w:t>
      </w:r>
    </w:p>
    <w:bookmarkEnd w:id="8327"/>
    <w:p>
      <w:pPr>
        <w:spacing w:after="0"/>
        <w:ind w:left="0"/>
        <w:jc w:val="both"/>
      </w:pPr>
      <w:r>
        <w:drawing>
          <wp:inline distT="0" distB="0" distL="0" distR="0">
            <wp:extent cx="2565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1"/>
                    <a:stretch>
                      <a:fillRect/>
                    </a:stretch>
                  </pic:blipFill>
                  <pic:spPr>
                    <a:xfrm>
                      <a:off x="0" y="0"/>
                      <a:ext cx="2565400" cy="723900"/>
                    </a:xfrm>
                    <a:prstGeom prst="rect">
                      <a:avLst/>
                    </a:prstGeom>
                  </pic:spPr>
                </pic:pic>
              </a:graphicData>
            </a:graphic>
          </wp:inline>
        </w:drawing>
      </w:r>
    </w:p>
    <w:p>
      <w:pPr>
        <w:spacing w:after="0"/>
        <w:ind w:left="0"/>
        <w:jc w:val="left"/>
      </w:pPr>
      <w:r>
        <w:rPr>
          <w:rFonts w:ascii="Times New Roman"/>
          <w:b w:val="false"/>
          <w:i w:val="false"/>
          <w:color w:val="000000"/>
          <w:sz w:val="28"/>
        </w:rPr>
        <w:t>,                   (739)</w:t>
      </w:r>
      <w:r>
        <w:br/>
      </w:r>
      <w:r>
        <w:rPr>
          <w:rFonts w:ascii="Times New Roman"/>
          <w:b w:val="false"/>
          <w:i w:val="false"/>
          <w:color w:val="000000"/>
          <w:sz w:val="28"/>
        </w:rPr>
        <w:t>
</w:t>
      </w:r>
    </w:p>
    <w:bookmarkStart w:name="z8361" w:id="8328"/>
    <w:p>
      <w:pPr>
        <w:spacing w:after="0"/>
        <w:ind w:left="0"/>
        <w:jc w:val="both"/>
      </w:pPr>
      <w:r>
        <w:rPr>
          <w:rFonts w:ascii="Times New Roman"/>
          <w:b w:val="false"/>
          <w:i w:val="false"/>
          <w:color w:val="000000"/>
          <w:sz w:val="28"/>
        </w:rPr>
        <w:t xml:space="preserve">
      где </w:t>
      </w:r>
      <w:r>
        <w:rPr>
          <w:rFonts w:ascii="Times New Roman"/>
          <w:b w:val="false"/>
          <w:i/>
          <w:color w:val="000000"/>
          <w:sz w:val="28"/>
        </w:rPr>
        <w:t>AD</w:t>
      </w:r>
      <w:r>
        <w:rPr>
          <w:rFonts w:ascii="Times New Roman"/>
          <w:b w:val="false"/>
          <w:i w:val="false"/>
          <w:color w:val="000000"/>
          <w:sz w:val="28"/>
        </w:rPr>
        <w:t xml:space="preserve"> — натяг на диаметре </w:t>
      </w:r>
      <w:r>
        <w:rPr>
          <w:rFonts w:ascii="Times New Roman"/>
          <w:b w:val="false"/>
          <w:i/>
          <w:color w:val="000000"/>
          <w:sz w:val="28"/>
        </w:rPr>
        <w:t>D</w:t>
      </w:r>
      <w:r>
        <w:rPr>
          <w:rFonts w:ascii="Times New Roman"/>
          <w:b w:val="false"/>
          <w:i w:val="false"/>
          <w:color w:val="000000"/>
          <w:sz w:val="28"/>
        </w:rPr>
        <w:t>, см.</w:t>
      </w:r>
    </w:p>
    <w:bookmarkEnd w:id="8328"/>
    <w:bookmarkStart w:name="z8362" w:id="8329"/>
    <w:p>
      <w:pPr>
        <w:spacing w:after="0"/>
        <w:ind w:left="0"/>
        <w:jc w:val="both"/>
      </w:pPr>
      <w:r>
        <w:rPr>
          <w:rFonts w:ascii="Times New Roman"/>
          <w:b w:val="false"/>
          <w:i w:val="false"/>
          <w:color w:val="000000"/>
          <w:sz w:val="28"/>
        </w:rPr>
        <w:t>
      Остальные обозначения приведены в пункте 2802 настоящих Правил.</w:t>
      </w:r>
    </w:p>
    <w:bookmarkEnd w:id="8329"/>
    <w:bookmarkStart w:name="z8363" w:id="8330"/>
    <w:p>
      <w:pPr>
        <w:spacing w:after="0"/>
        <w:ind w:left="0"/>
        <w:jc w:val="both"/>
      </w:pPr>
      <w:r>
        <w:rPr>
          <w:rFonts w:ascii="Times New Roman"/>
          <w:b w:val="false"/>
          <w:i w:val="false"/>
          <w:color w:val="000000"/>
          <w:sz w:val="28"/>
        </w:rPr>
        <w:t>
      2804. Для ступиц и полумуфт при бесшпоночном их соединении с валами следует руководствоваться зависимостью</w:t>
      </w:r>
    </w:p>
    <w:bookmarkEnd w:id="8330"/>
    <w:bookmarkStart w:name="z8364" w:id="8331"/>
    <w:p>
      <w:pPr>
        <w:spacing w:after="0"/>
        <w:ind w:left="0"/>
        <w:jc w:val="both"/>
      </w:pPr>
      <w:r>
        <w:rPr>
          <w:rFonts w:ascii="Times New Roman"/>
          <w:b w:val="false"/>
          <w:i w:val="false"/>
          <w:color w:val="000000"/>
          <w:sz w:val="28"/>
        </w:rPr>
        <w:t xml:space="preserve">
      </w:t>
      </w:r>
    </w:p>
    <w:bookmarkEnd w:id="8331"/>
    <w:p>
      <w:pPr>
        <w:spacing w:after="0"/>
        <w:ind w:left="0"/>
        <w:jc w:val="both"/>
      </w:pPr>
      <w:r>
        <w:drawing>
          <wp:inline distT="0" distB="0" distL="0" distR="0">
            <wp:extent cx="2768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2"/>
                    <a:stretch>
                      <a:fillRect/>
                    </a:stretch>
                  </pic:blipFill>
                  <pic:spPr>
                    <a:xfrm>
                      <a:off x="0" y="0"/>
                      <a:ext cx="2768600" cy="660400"/>
                    </a:xfrm>
                    <a:prstGeom prst="rect">
                      <a:avLst/>
                    </a:prstGeom>
                  </pic:spPr>
                </pic:pic>
              </a:graphicData>
            </a:graphic>
          </wp:inline>
        </w:drawing>
      </w:r>
    </w:p>
    <w:p>
      <w:pPr>
        <w:spacing w:after="0"/>
        <w:ind w:left="0"/>
        <w:jc w:val="left"/>
      </w:pPr>
      <w:r>
        <w:rPr>
          <w:rFonts w:ascii="Times New Roman"/>
          <w:b w:val="false"/>
          <w:i w:val="false"/>
          <w:color w:val="000000"/>
          <w:sz w:val="28"/>
        </w:rPr>
        <w:t>,                 (740)</w:t>
      </w:r>
      <w:r>
        <w:br/>
      </w:r>
      <w:r>
        <w:rPr>
          <w:rFonts w:ascii="Times New Roman"/>
          <w:b w:val="false"/>
          <w:i w:val="false"/>
          <w:color w:val="000000"/>
          <w:sz w:val="28"/>
        </w:rPr>
        <w:t>
</w:t>
      </w:r>
    </w:p>
    <w:bookmarkStart w:name="z8365" w:id="8332"/>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коэффициент формы ступицы, определяемый по формуле:</w:t>
      </w:r>
    </w:p>
    <w:bookmarkEnd w:id="8332"/>
    <w:bookmarkStart w:name="z8366" w:id="8333"/>
    <w:p>
      <w:pPr>
        <w:spacing w:after="0"/>
        <w:ind w:left="0"/>
        <w:jc w:val="both"/>
      </w:pPr>
      <w:r>
        <w:rPr>
          <w:rFonts w:ascii="Times New Roman"/>
          <w:b w:val="false"/>
          <w:i w:val="false"/>
          <w:color w:val="000000"/>
          <w:sz w:val="28"/>
        </w:rPr>
        <w:t xml:space="preserve">
      </w:t>
      </w:r>
    </w:p>
    <w:bookmarkEnd w:id="8333"/>
    <w:p>
      <w:pPr>
        <w:spacing w:after="0"/>
        <w:ind w:left="0"/>
        <w:jc w:val="both"/>
      </w:pPr>
      <w:r>
        <w:drawing>
          <wp:inline distT="0" distB="0" distL="0" distR="0">
            <wp:extent cx="168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3"/>
                    <a:stretch>
                      <a:fillRect/>
                    </a:stretch>
                  </pic:blipFill>
                  <pic:spPr>
                    <a:xfrm>
                      <a:off x="0" y="0"/>
                      <a:ext cx="1689100" cy="546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367" w:id="8334"/>
    <w:p>
      <w:pPr>
        <w:spacing w:after="0"/>
        <w:ind w:left="0"/>
        <w:jc w:val="both"/>
      </w:pPr>
      <w:r>
        <w:rPr>
          <w:rFonts w:ascii="Times New Roman"/>
          <w:b w:val="false"/>
          <w:i w:val="false"/>
          <w:color w:val="000000"/>
          <w:sz w:val="28"/>
        </w:rPr>
        <w:t>
      Коэффициент А определяется также по приложению 295 настоящих Правил линейной интерполяцией;</w:t>
      </w:r>
    </w:p>
    <w:bookmarkEnd w:id="8334"/>
    <w:p>
      <w:pPr>
        <w:spacing w:after="0"/>
        <w:ind w:left="0"/>
        <w:jc w:val="both"/>
      </w:pPr>
      <w:r>
        <w:rPr>
          <w:rFonts w:ascii="Times New Roman"/>
          <w:b w:val="false"/>
          <w:i w:val="false"/>
          <w:color w:val="000000"/>
          <w:sz w:val="28"/>
        </w:rPr>
        <w:t xml:space="preserve">
       C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r</w:t>
      </w:r>
      <w:r>
        <w:rPr>
          <w:rFonts w:ascii="Times New Roman"/>
          <w:b w:val="false"/>
          <w:i/>
          <w:color w:val="000000"/>
          <w:sz w:val="28"/>
        </w:rPr>
        <w:t xml:space="preserve">z </w:t>
      </w:r>
      <w:r>
        <w:rPr>
          <w:rFonts w:ascii="Times New Roman"/>
          <w:b w:val="false"/>
          <w:i w:val="false"/>
          <w:color w:val="000000"/>
          <w:sz w:val="28"/>
        </w:rPr>
        <w:t>- для соединений с коническими сопрягаемыми поверхностями;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bscript"/>
        </w:rPr>
        <w:t>r</w:t>
      </w:r>
      <w:r>
        <w:rPr>
          <w:rFonts w:ascii="Times New Roman"/>
          <w:b w:val="false"/>
          <w:i w:val="false"/>
          <w:color w:val="000000"/>
          <w:sz w:val="28"/>
        </w:rPr>
        <w:t>- для соединений с цилиндрическими сопрягаемыми поверхностями;</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 xml:space="preserve">r </w:t>
      </w:r>
      <w:r>
        <w:rPr>
          <w:rFonts w:ascii="Times New Roman"/>
          <w:b w:val="false"/>
          <w:i w:val="false"/>
          <w:color w:val="000000"/>
          <w:sz w:val="28"/>
        </w:rPr>
        <w:t xml:space="preserve">- фактическое перемещение при монтаже ступицы при температуре </w:t>
      </w:r>
      <w:r>
        <w:rPr>
          <w:rFonts w:ascii="Times New Roman"/>
          <w:b w:val="false"/>
          <w:i/>
          <w:color w:val="000000"/>
          <w:sz w:val="28"/>
        </w:rPr>
        <w:t>t</w:t>
      </w: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bscript"/>
        </w:rPr>
        <w:t>r</w:t>
      </w:r>
      <w:r>
        <w:rPr>
          <w:rFonts w:ascii="Times New Roman"/>
          <w:b w:val="false"/>
          <w:i w:val="false"/>
          <w:color w:val="000000"/>
          <w:sz w:val="28"/>
        </w:rPr>
        <w:t xml:space="preserve">- фактический натяг при монтаже соединения с цилиндрическими сопрягаемыми поверхностями,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D</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предел текучести материала ступицы, МПа.</w:t>
      </w:r>
    </w:p>
    <w:p>
      <w:pPr>
        <w:spacing w:after="0"/>
        <w:ind w:left="0"/>
        <w:jc w:val="both"/>
      </w:pPr>
      <w:r>
        <w:rPr>
          <w:rFonts w:ascii="Times New Roman"/>
          <w:b w:val="false"/>
          <w:i w:val="false"/>
          <w:color w:val="000000"/>
          <w:sz w:val="28"/>
        </w:rPr>
        <w:t>
      Остальные обозначения приведены в пункте 2802 настоящих Правил.</w:t>
      </w:r>
    </w:p>
    <w:bookmarkStart w:name="z8368" w:id="8335"/>
    <w:p>
      <w:pPr>
        <w:spacing w:after="0"/>
        <w:ind w:left="0"/>
        <w:jc w:val="left"/>
      </w:pPr>
      <w:r>
        <w:rPr>
          <w:rFonts w:ascii="Times New Roman"/>
          <w:b/>
          <w:i w:val="false"/>
          <w:color w:val="000000"/>
        </w:rPr>
        <w:t xml:space="preserve"> Глава 191. Расположение опор валопровода</w:t>
      </w:r>
    </w:p>
    <w:bookmarkEnd w:id="8335"/>
    <w:p>
      <w:pPr>
        <w:spacing w:after="0"/>
        <w:ind w:left="0"/>
        <w:jc w:val="both"/>
      </w:pPr>
      <w:r>
        <w:rPr>
          <w:rFonts w:ascii="Times New Roman"/>
          <w:b w:val="false"/>
          <w:i w:val="false"/>
          <w:color w:val="ff0000"/>
          <w:sz w:val="28"/>
        </w:rPr>
        <w:t xml:space="preserve">
      Сноска. Заголовок главы 191 -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69" w:id="8336"/>
    <w:p>
      <w:pPr>
        <w:spacing w:after="0"/>
        <w:ind w:left="0"/>
        <w:jc w:val="both"/>
      </w:pPr>
      <w:r>
        <w:rPr>
          <w:rFonts w:ascii="Times New Roman"/>
          <w:b w:val="false"/>
          <w:i w:val="false"/>
          <w:color w:val="000000"/>
          <w:sz w:val="28"/>
        </w:rPr>
        <w:t>
      2805. Число опор валопровода, их координаты вдоль оси и в вертикальной плоскости, а также воспринимаемые нагрузки необходимо определять на базе расчета, выполненного по проверенной методике, согласованной с Регистром судоходства.</w:t>
      </w:r>
    </w:p>
    <w:bookmarkEnd w:id="8336"/>
    <w:bookmarkStart w:name="z8370" w:id="8337"/>
    <w:p>
      <w:pPr>
        <w:spacing w:after="0"/>
        <w:ind w:left="0"/>
        <w:jc w:val="both"/>
      </w:pPr>
      <w:r>
        <w:rPr>
          <w:rFonts w:ascii="Times New Roman"/>
          <w:b w:val="false"/>
          <w:i w:val="false"/>
          <w:color w:val="000000"/>
          <w:sz w:val="28"/>
        </w:rPr>
        <w:t>
      2806. Необходимо чтобы расстояние между силами реакции соседних подшипников валопровода при отсутствии в пролете сосредоточенных масс удовлетворяло условию:</w:t>
      </w:r>
    </w:p>
    <w:bookmarkEnd w:id="8337"/>
    <w:bookmarkStart w:name="z8371" w:id="8338"/>
    <w:p>
      <w:pPr>
        <w:spacing w:after="0"/>
        <w:ind w:left="0"/>
        <w:jc w:val="both"/>
      </w:pPr>
      <w:r>
        <w:rPr>
          <w:rFonts w:ascii="Times New Roman"/>
          <w:b w:val="false"/>
          <w:i w:val="false"/>
          <w:color w:val="000000"/>
          <w:sz w:val="28"/>
        </w:rPr>
        <w:t xml:space="preserve">
      </w:t>
      </w:r>
    </w:p>
    <w:bookmarkEnd w:id="8338"/>
    <w:p>
      <w:pPr>
        <w:spacing w:after="0"/>
        <w:ind w:left="0"/>
        <w:jc w:val="both"/>
      </w:pPr>
      <w:r>
        <w:drawing>
          <wp:inline distT="0" distB="0" distL="0" distR="0">
            <wp:extent cx="163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2"/>
                    <a:stretch>
                      <a:fillRect/>
                    </a:stretch>
                  </pic:blipFill>
                  <pic:spPr>
                    <a:xfrm>
                      <a:off x="0" y="0"/>
                      <a:ext cx="1638300" cy="266700"/>
                    </a:xfrm>
                    <a:prstGeom prst="rect">
                      <a:avLst/>
                    </a:prstGeom>
                  </pic:spPr>
                </pic:pic>
              </a:graphicData>
            </a:graphic>
          </wp:inline>
        </w:drawing>
      </w:r>
    </w:p>
    <w:p>
      <w:pPr>
        <w:spacing w:after="0"/>
        <w:ind w:left="0"/>
        <w:jc w:val="left"/>
      </w:pPr>
      <w:r>
        <w:rPr>
          <w:rFonts w:ascii="Times New Roman"/>
          <w:b w:val="false"/>
          <w:i w:val="false"/>
          <w:color w:val="000000"/>
          <w:sz w:val="28"/>
        </w:rPr>
        <w:t>,                          (741)</w:t>
      </w:r>
      <w:r>
        <w:br/>
      </w:r>
      <w:r>
        <w:rPr>
          <w:rFonts w:ascii="Times New Roman"/>
          <w:b w:val="false"/>
          <w:i w:val="false"/>
          <w:color w:val="000000"/>
          <w:sz w:val="28"/>
        </w:rPr>
        <w:t>
</w:t>
      </w:r>
    </w:p>
    <w:bookmarkStart w:name="z8372" w:id="8339"/>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пролета (расстояние между реакциями соседних опор), м;</w:t>
      </w:r>
    </w:p>
    <w:bookmarkEnd w:id="8339"/>
    <w:bookmarkStart w:name="z8373" w:id="834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минимальный наружный диаметр вала в пролете, м;</w:t>
      </w:r>
    </w:p>
    <w:bookmarkEnd w:id="8340"/>
    <w:bookmarkStart w:name="z8374" w:id="834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частота вращения валопровода, об/мин;</w:t>
      </w:r>
    </w:p>
    <w:bookmarkEnd w:id="8341"/>
    <w:bookmarkStart w:name="z8375" w:id="8342"/>
    <w:p>
      <w:pPr>
        <w:spacing w:after="0"/>
        <w:ind w:left="0"/>
        <w:jc w:val="both"/>
      </w:pPr>
      <w:r>
        <w:rPr>
          <w:rFonts w:ascii="Times New Roman"/>
          <w:b w:val="false"/>
          <w:i w:val="false"/>
          <w:color w:val="000000"/>
          <w:sz w:val="28"/>
        </w:rPr>
        <w:t xml:space="preserve">
      </w:t>
      </w:r>
    </w:p>
    <w:bookmarkEnd w:id="8342"/>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3"/>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принимаемый равным:</w:t>
      </w:r>
      <w:r>
        <w:br/>
      </w:r>
      <w:r>
        <w:rPr>
          <w:rFonts w:ascii="Times New Roman"/>
          <w:b w:val="false"/>
          <w:i w:val="false"/>
          <w:color w:val="000000"/>
          <w:sz w:val="28"/>
        </w:rPr>
        <w:t>
</w:t>
      </w:r>
    </w:p>
    <w:bookmarkStart w:name="z8376" w:id="8343"/>
    <w:p>
      <w:pPr>
        <w:spacing w:after="0"/>
        <w:ind w:left="0"/>
        <w:jc w:val="both"/>
      </w:pPr>
      <w:r>
        <w:rPr>
          <w:rFonts w:ascii="Times New Roman"/>
          <w:b w:val="false"/>
          <w:i w:val="false"/>
          <w:color w:val="000000"/>
          <w:sz w:val="28"/>
        </w:rPr>
        <w:t xml:space="preserve">
      14 — при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500 об/мин</w:t>
      </w:r>
    </w:p>
    <w:bookmarkEnd w:id="8343"/>
    <w:bookmarkStart w:name="z8377" w:id="8344"/>
    <w:p>
      <w:pPr>
        <w:spacing w:after="0"/>
        <w:ind w:left="0"/>
        <w:jc w:val="both"/>
      </w:pPr>
      <w:r>
        <w:rPr>
          <w:rFonts w:ascii="Times New Roman"/>
          <w:b w:val="false"/>
          <w:i w:val="false"/>
          <w:color w:val="000000"/>
          <w:sz w:val="28"/>
        </w:rPr>
        <w:t>
      или 300/</w:t>
      </w:r>
    </w:p>
    <w:bookmarkEnd w:id="8344"/>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 </w:t>
      </w:r>
      <w:r>
        <w:rPr>
          <w:rFonts w:ascii="Times New Roman"/>
          <w:b w:val="false"/>
          <w:i/>
          <w:color w:val="000000"/>
          <w:sz w:val="28"/>
        </w:rPr>
        <w:t>n</w:t>
      </w:r>
      <w:r>
        <w:rPr>
          <w:rFonts w:ascii="Times New Roman"/>
          <w:b w:val="false"/>
          <w:i w:val="false"/>
          <w:color w:val="000000"/>
          <w:sz w:val="28"/>
        </w:rPr>
        <w:t xml:space="preserve"> &gt; 500 об/мин;</w:t>
      </w:r>
      <w:r>
        <w:br/>
      </w:r>
      <w:r>
        <w:rPr>
          <w:rFonts w:ascii="Times New Roman"/>
          <w:b w:val="false"/>
          <w:i w:val="false"/>
          <w:color w:val="000000"/>
          <w:sz w:val="28"/>
        </w:rPr>
        <w:t>
</w:t>
      </w:r>
    </w:p>
    <w:bookmarkStart w:name="z8378" w:id="834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коэффициент для полых валов, принимаемый равным </w:t>
      </w:r>
    </w:p>
    <w:bookmarkEnd w:id="8345"/>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5"/>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379" w:id="8346"/>
    <w:p>
      <w:pPr>
        <w:spacing w:after="0"/>
        <w:ind w:left="0"/>
        <w:jc w:val="both"/>
      </w:pPr>
      <w:r>
        <w:rPr>
          <w:rFonts w:ascii="Times New Roman"/>
          <w:b w:val="false"/>
          <w:i w:val="false"/>
          <w:color w:val="000000"/>
          <w:sz w:val="28"/>
        </w:rPr>
        <w:t xml:space="preserve">
      </w:t>
      </w:r>
    </w:p>
    <w:bookmarkEnd w:id="8346"/>
    <w:p>
      <w:pPr>
        <w:spacing w:after="0"/>
        <w:ind w:left="0"/>
        <w:jc w:val="both"/>
      </w:pPr>
      <w:r>
        <w:drawing>
          <wp:inline distT="0" distB="0" distL="0" distR="0">
            <wp:extent cx="800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6"/>
                    <a:stretch>
                      <a:fillRect/>
                    </a:stretch>
                  </pic:blipFill>
                  <pic:spPr>
                    <a:xfrm>
                      <a:off x="0" y="0"/>
                      <a:ext cx="800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диаметров отверстия do наружной поверхности вала </w:t>
      </w:r>
      <w:r>
        <w:rPr>
          <w:rFonts w:ascii="Times New Roman"/>
          <w:b w:val="false"/>
          <w:i/>
          <w:color w:val="000000"/>
          <w:sz w:val="28"/>
        </w:rPr>
        <w:t>d</w:t>
      </w:r>
      <w:r>
        <w:rPr>
          <w:rFonts w:ascii="Times New Roman"/>
          <w:b w:val="false"/>
          <w:i w:val="false"/>
          <w:color w:val="000000"/>
          <w:sz w:val="28"/>
        </w:rPr>
        <w:t>.</w:t>
      </w:r>
      <w:r>
        <w:br/>
      </w:r>
      <w:r>
        <w:rPr>
          <w:rFonts w:ascii="Times New Roman"/>
          <w:b w:val="false"/>
          <w:i w:val="false"/>
          <w:color w:val="000000"/>
          <w:sz w:val="28"/>
        </w:rPr>
        <w:t>
</w:t>
      </w:r>
    </w:p>
    <w:bookmarkStart w:name="z8380" w:id="8347"/>
    <w:p>
      <w:pPr>
        <w:spacing w:after="0"/>
        <w:ind w:left="0"/>
        <w:jc w:val="both"/>
      </w:pPr>
      <w:r>
        <w:rPr>
          <w:rFonts w:ascii="Times New Roman"/>
          <w:b w:val="false"/>
          <w:i w:val="false"/>
          <w:color w:val="000000"/>
          <w:sz w:val="28"/>
        </w:rPr>
        <w:t>
      Примечание. Ограничение минимальной длины (левая часть уравнения (741) настоящих Правил применяется для всех пролетов, кроме ближайшего к движителю.</w:t>
      </w:r>
    </w:p>
    <w:bookmarkEnd w:id="8347"/>
    <w:bookmarkStart w:name="z8381" w:id="8348"/>
    <w:p>
      <w:pPr>
        <w:spacing w:after="0"/>
        <w:ind w:left="0"/>
        <w:jc w:val="both"/>
      </w:pPr>
      <w:r>
        <w:rPr>
          <w:rFonts w:ascii="Times New Roman"/>
          <w:b w:val="false"/>
          <w:i w:val="false"/>
          <w:color w:val="000000"/>
          <w:sz w:val="28"/>
        </w:rPr>
        <w:t>
      2807. Рекомендуется стремиться к минимальному числу опор валопровода и максимально возможной длине пролетов между ними.</w:t>
      </w:r>
    </w:p>
    <w:bookmarkEnd w:id="8348"/>
    <w:bookmarkStart w:name="z8382" w:id="8349"/>
    <w:p>
      <w:pPr>
        <w:spacing w:after="0"/>
        <w:ind w:left="0"/>
        <w:jc w:val="both"/>
      </w:pPr>
      <w:r>
        <w:rPr>
          <w:rFonts w:ascii="Times New Roman"/>
          <w:b w:val="false"/>
          <w:i w:val="false"/>
          <w:color w:val="000000"/>
          <w:sz w:val="28"/>
        </w:rPr>
        <w:t>
      2808. Длины пролетов между опорами валов проверяют расчетом изгибных колебаний.</w:t>
      </w:r>
    </w:p>
    <w:bookmarkEnd w:id="8349"/>
    <w:bookmarkStart w:name="z8383" w:id="8350"/>
    <w:p>
      <w:pPr>
        <w:spacing w:after="0"/>
        <w:ind w:left="0"/>
        <w:jc w:val="both"/>
      </w:pPr>
      <w:r>
        <w:rPr>
          <w:rFonts w:ascii="Times New Roman"/>
          <w:b w:val="false"/>
          <w:i w:val="false"/>
          <w:color w:val="000000"/>
          <w:sz w:val="28"/>
        </w:rPr>
        <w:t>
      2809. Опоры валопровода устанавливают таким образом, чтобы элементы двигателя или редуктора (подшипники, зубчатые колеса) воспринимали нагрузки в допустимых пределах.</w:t>
      </w:r>
    </w:p>
    <w:bookmarkEnd w:id="8350"/>
    <w:bookmarkStart w:name="z8384" w:id="8351"/>
    <w:p>
      <w:pPr>
        <w:spacing w:after="0"/>
        <w:ind w:left="0"/>
        <w:jc w:val="both"/>
      </w:pPr>
      <w:r>
        <w:rPr>
          <w:rFonts w:ascii="Times New Roman"/>
          <w:b w:val="false"/>
          <w:i w:val="false"/>
          <w:color w:val="000000"/>
          <w:sz w:val="28"/>
        </w:rPr>
        <w:t>
      2810. Реакции всех опор валопровода должны быть положительными.</w:t>
      </w:r>
    </w:p>
    <w:bookmarkEnd w:id="8351"/>
    <w:bookmarkStart w:name="z8385" w:id="8352"/>
    <w:p>
      <w:pPr>
        <w:spacing w:after="0"/>
        <w:ind w:left="0"/>
        <w:jc w:val="left"/>
      </w:pPr>
      <w:r>
        <w:rPr>
          <w:rFonts w:ascii="Times New Roman"/>
          <w:b/>
          <w:i w:val="false"/>
          <w:color w:val="000000"/>
        </w:rPr>
        <w:t xml:space="preserve"> Глава 192. Подшипники валов</w:t>
      </w:r>
    </w:p>
    <w:bookmarkEnd w:id="8352"/>
    <w:p>
      <w:pPr>
        <w:spacing w:after="0"/>
        <w:ind w:left="0"/>
        <w:jc w:val="both"/>
      </w:pPr>
      <w:r>
        <w:rPr>
          <w:rFonts w:ascii="Times New Roman"/>
          <w:b w:val="false"/>
          <w:i w:val="false"/>
          <w:color w:val="ff0000"/>
          <w:sz w:val="28"/>
        </w:rPr>
        <w:t xml:space="preserve">
      Сноска. Заголовок главы 192 -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86" w:id="8353"/>
    <w:p>
      <w:pPr>
        <w:spacing w:after="0"/>
        <w:ind w:left="0"/>
        <w:jc w:val="both"/>
      </w:pPr>
      <w:r>
        <w:rPr>
          <w:rFonts w:ascii="Times New Roman"/>
          <w:b w:val="false"/>
          <w:i w:val="false"/>
          <w:color w:val="000000"/>
          <w:sz w:val="28"/>
        </w:rPr>
        <w:t>
      2811. Ближайший к движителю подшипник гребного вала отвечает требованиям приложения 296 настоящих Правил.</w:t>
      </w:r>
    </w:p>
    <w:bookmarkEnd w:id="8353"/>
    <w:bookmarkStart w:name="z8387" w:id="8354"/>
    <w:p>
      <w:pPr>
        <w:spacing w:after="0"/>
        <w:ind w:left="0"/>
        <w:jc w:val="both"/>
      </w:pPr>
      <w:r>
        <w:rPr>
          <w:rFonts w:ascii="Times New Roman"/>
          <w:b w:val="false"/>
          <w:i w:val="false"/>
          <w:color w:val="000000"/>
          <w:sz w:val="28"/>
        </w:rPr>
        <w:t>
      Следующие в сторону носа судна подшипники гребного вала удовлетворяет условию</w:t>
      </w:r>
    </w:p>
    <w:bookmarkEnd w:id="8354"/>
    <w:bookmarkStart w:name="z8388" w:id="835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u w:val="single"/>
        </w:rPr>
        <w:t>&gt;</w:t>
      </w:r>
      <w:r>
        <w:rPr>
          <w:rFonts w:ascii="Times New Roman"/>
          <w:b w:val="false"/>
          <w:i/>
          <w:color w:val="000000"/>
          <w:sz w:val="28"/>
        </w:rPr>
        <w:t>R/qd</w:t>
      </w:r>
      <w:r>
        <w:rPr>
          <w:rFonts w:ascii="Times New Roman"/>
          <w:b w:val="false"/>
          <w:i w:val="false"/>
          <w:color w:val="000000"/>
          <w:sz w:val="28"/>
        </w:rPr>
        <w:t>,                           (742)</w:t>
      </w:r>
    </w:p>
    <w:bookmarkEnd w:id="8355"/>
    <w:bookmarkStart w:name="z8389" w:id="8356"/>
    <w:p>
      <w:pPr>
        <w:spacing w:after="0"/>
        <w:ind w:left="0"/>
        <w:jc w:val="both"/>
      </w:pPr>
      <w:r>
        <w:rPr>
          <w:rFonts w:ascii="Times New Roman"/>
          <w:b w:val="false"/>
          <w:i w:val="false"/>
          <w:color w:val="000000"/>
          <w:sz w:val="28"/>
        </w:rPr>
        <w:t>
      где обозначения и нормы для q принимаются по приложению 293 настоящих Правил.</w:t>
      </w:r>
    </w:p>
    <w:bookmarkEnd w:id="8356"/>
    <w:bookmarkStart w:name="z8390" w:id="8357"/>
    <w:p>
      <w:pPr>
        <w:spacing w:after="0"/>
        <w:ind w:left="0"/>
        <w:jc w:val="both"/>
      </w:pPr>
      <w:r>
        <w:rPr>
          <w:rFonts w:ascii="Times New Roman"/>
          <w:b w:val="false"/>
          <w:i w:val="false"/>
          <w:color w:val="000000"/>
          <w:sz w:val="28"/>
        </w:rPr>
        <w:t>
      2812. Охлаждение дейдвудных подшипников водой должно быть принудительным в соответствии с требованиями главы 318 настоящих Правил.</w:t>
      </w:r>
    </w:p>
    <w:bookmarkEnd w:id="8357"/>
    <w:bookmarkStart w:name="z8391" w:id="8358"/>
    <w:p>
      <w:pPr>
        <w:spacing w:after="0"/>
        <w:ind w:left="0"/>
        <w:jc w:val="both"/>
      </w:pPr>
      <w:r>
        <w:rPr>
          <w:rFonts w:ascii="Times New Roman"/>
          <w:b w:val="false"/>
          <w:i w:val="false"/>
          <w:color w:val="000000"/>
          <w:sz w:val="28"/>
        </w:rPr>
        <w:t>
      Система подачи воды оборудуется указателем потока воды и сигнализацией по минимальному потоку.</w:t>
      </w:r>
    </w:p>
    <w:bookmarkEnd w:id="8358"/>
    <w:bookmarkStart w:name="z8392" w:id="8359"/>
    <w:p>
      <w:pPr>
        <w:spacing w:after="0"/>
        <w:ind w:left="0"/>
        <w:jc w:val="both"/>
      </w:pPr>
      <w:r>
        <w:rPr>
          <w:rFonts w:ascii="Times New Roman"/>
          <w:b w:val="false"/>
          <w:i w:val="false"/>
          <w:color w:val="000000"/>
          <w:sz w:val="28"/>
        </w:rPr>
        <w:t>
      При открытой системе смазки дейдвудных подшипников забортной водой на судах, работающих на мелководье, или специализированных судах, таких как землечерпалки, землесосы, рекомендуется устанавливать в системе прокачки дейдвудного подшипника устройство эффективной очистки забортной воды (фильтры, фильтр-гидроциклон) или устанавливать дейдвудные подшипники с уловителями грязи с последующей промывкой.</w:t>
      </w:r>
    </w:p>
    <w:bookmarkEnd w:id="8359"/>
    <w:bookmarkStart w:name="z8393" w:id="8360"/>
    <w:p>
      <w:pPr>
        <w:spacing w:after="0"/>
        <w:ind w:left="0"/>
        <w:jc w:val="both"/>
      </w:pPr>
      <w:r>
        <w:rPr>
          <w:rFonts w:ascii="Times New Roman"/>
          <w:b w:val="false"/>
          <w:i w:val="false"/>
          <w:color w:val="000000"/>
          <w:sz w:val="28"/>
        </w:rPr>
        <w:t>
      Клапан невозвратно-запорного типа, отсекающий подачу воды на дейдвудные подшипники, устанавливается на дейдвудной трубе или переборке ахтерпика.</w:t>
      </w:r>
    </w:p>
    <w:bookmarkEnd w:id="8360"/>
    <w:bookmarkStart w:name="z8394" w:id="8361"/>
    <w:p>
      <w:pPr>
        <w:spacing w:after="0"/>
        <w:ind w:left="0"/>
        <w:jc w:val="both"/>
      </w:pPr>
      <w:r>
        <w:rPr>
          <w:rFonts w:ascii="Times New Roman"/>
          <w:b w:val="false"/>
          <w:i w:val="false"/>
          <w:color w:val="000000"/>
          <w:sz w:val="28"/>
        </w:rPr>
        <w:t>
      2813. Дейдвудные подшипники, работающие на масляной смазке, имеют принудительное охлаждение масла, кроме случаев, когда ахтерпик постоянно заполнен водой.</w:t>
      </w:r>
    </w:p>
    <w:bookmarkEnd w:id="8361"/>
    <w:bookmarkStart w:name="z8395" w:id="8362"/>
    <w:p>
      <w:pPr>
        <w:spacing w:after="0"/>
        <w:ind w:left="0"/>
        <w:jc w:val="both"/>
      </w:pPr>
      <w:r>
        <w:rPr>
          <w:rFonts w:ascii="Times New Roman"/>
          <w:b w:val="false"/>
          <w:i w:val="false"/>
          <w:color w:val="000000"/>
          <w:sz w:val="28"/>
        </w:rPr>
        <w:t>
      Предусматривается контроль температуры масла или вкладыша подшипника.</w:t>
      </w:r>
    </w:p>
    <w:bookmarkEnd w:id="8362"/>
    <w:bookmarkStart w:name="z8396" w:id="8363"/>
    <w:p>
      <w:pPr>
        <w:spacing w:after="0"/>
        <w:ind w:left="0"/>
        <w:jc w:val="both"/>
      </w:pPr>
      <w:r>
        <w:rPr>
          <w:rFonts w:ascii="Times New Roman"/>
          <w:b w:val="false"/>
          <w:i w:val="false"/>
          <w:color w:val="000000"/>
          <w:sz w:val="28"/>
        </w:rPr>
        <w:t>
      2814. При масляной смазке дейдвудных подшипников масляные цистерны оборудуются указателями уровня и сигнализацией нижнего уровня.</w:t>
      </w:r>
    </w:p>
    <w:bookmarkEnd w:id="8363"/>
    <w:bookmarkStart w:name="z8397" w:id="8364"/>
    <w:p>
      <w:pPr>
        <w:spacing w:after="0"/>
        <w:ind w:left="0"/>
        <w:jc w:val="left"/>
      </w:pPr>
      <w:r>
        <w:rPr>
          <w:rFonts w:ascii="Times New Roman"/>
          <w:b/>
          <w:i w:val="false"/>
          <w:color w:val="000000"/>
        </w:rPr>
        <w:t xml:space="preserve"> Глава 193. Дейдвудные уплотнения, тормозные устройства</w:t>
      </w:r>
    </w:p>
    <w:bookmarkEnd w:id="8364"/>
    <w:p>
      <w:pPr>
        <w:spacing w:after="0"/>
        <w:ind w:left="0"/>
        <w:jc w:val="both"/>
      </w:pPr>
      <w:r>
        <w:rPr>
          <w:rFonts w:ascii="Times New Roman"/>
          <w:b w:val="false"/>
          <w:i w:val="false"/>
          <w:color w:val="ff0000"/>
          <w:sz w:val="28"/>
        </w:rPr>
        <w:t xml:space="preserve">
      Сноска. Заголовок главы 193 -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398" w:id="8365"/>
    <w:p>
      <w:pPr>
        <w:spacing w:after="0"/>
        <w:ind w:left="0"/>
        <w:jc w:val="both"/>
      </w:pPr>
      <w:r>
        <w:rPr>
          <w:rFonts w:ascii="Times New Roman"/>
          <w:b w:val="false"/>
          <w:i w:val="false"/>
          <w:color w:val="000000"/>
          <w:sz w:val="28"/>
        </w:rPr>
        <w:t>
      2815. Дейдвудные устройства оборудуют дейдвудными уплотнениями, обеспечивающими эффективную защиту от аварийного проникновения забортной воды внутрь корпуса судна и экологическую безопасность дейдвудного устройства.</w:t>
      </w:r>
    </w:p>
    <w:bookmarkEnd w:id="8365"/>
    <w:bookmarkStart w:name="z8399" w:id="8366"/>
    <w:p>
      <w:pPr>
        <w:spacing w:after="0"/>
        <w:ind w:left="0"/>
        <w:jc w:val="both"/>
      </w:pPr>
      <w:r>
        <w:rPr>
          <w:rFonts w:ascii="Times New Roman"/>
          <w:b w:val="false"/>
          <w:i w:val="false"/>
          <w:color w:val="000000"/>
          <w:sz w:val="28"/>
        </w:rPr>
        <w:t>
      2816. Допускаемые минимальные и максимальные объемы протечек смазочно-охлаждающей среды в окружающее пространство и внутрь корпуса судна технически обосновывают.</w:t>
      </w:r>
    </w:p>
    <w:bookmarkEnd w:id="8366"/>
    <w:bookmarkStart w:name="z8400" w:id="8367"/>
    <w:p>
      <w:pPr>
        <w:spacing w:after="0"/>
        <w:ind w:left="0"/>
        <w:jc w:val="both"/>
      </w:pPr>
      <w:r>
        <w:rPr>
          <w:rFonts w:ascii="Times New Roman"/>
          <w:b w:val="false"/>
          <w:i w:val="false"/>
          <w:color w:val="000000"/>
          <w:sz w:val="28"/>
        </w:rPr>
        <w:t>
      2817. В составе валопровода предусматривается тормозное устройство. В качестве такого устройства допускаются тормоз, стопорное или валоповоротное устройства, предотвращающие вращение валопровода в случае выхода из строя его главного двигателя.</w:t>
      </w:r>
    </w:p>
    <w:bookmarkEnd w:id="8367"/>
    <w:bookmarkStart w:name="z8401" w:id="8368"/>
    <w:p>
      <w:pPr>
        <w:spacing w:after="0"/>
        <w:ind w:left="0"/>
        <w:jc w:val="left"/>
      </w:pPr>
      <w:r>
        <w:rPr>
          <w:rFonts w:ascii="Times New Roman"/>
          <w:b/>
          <w:i w:val="false"/>
          <w:color w:val="000000"/>
        </w:rPr>
        <w:t xml:space="preserve"> Глава 194. Гидравлические испытания</w:t>
      </w:r>
    </w:p>
    <w:bookmarkEnd w:id="8368"/>
    <w:p>
      <w:pPr>
        <w:spacing w:after="0"/>
        <w:ind w:left="0"/>
        <w:jc w:val="both"/>
      </w:pPr>
      <w:r>
        <w:rPr>
          <w:rFonts w:ascii="Times New Roman"/>
          <w:b w:val="false"/>
          <w:i w:val="false"/>
          <w:color w:val="ff0000"/>
          <w:sz w:val="28"/>
        </w:rPr>
        <w:t xml:space="preserve">
      Сноска. Заголовок главы 194 -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02" w:id="8369"/>
    <w:p>
      <w:pPr>
        <w:spacing w:after="0"/>
        <w:ind w:left="0"/>
        <w:jc w:val="both"/>
      </w:pPr>
      <w:r>
        <w:rPr>
          <w:rFonts w:ascii="Times New Roman"/>
          <w:b w:val="false"/>
          <w:i w:val="false"/>
          <w:color w:val="000000"/>
          <w:sz w:val="28"/>
        </w:rPr>
        <w:t>
      2818. Облицовки гребных валов и литые дейдвудные трубы после завершения механической обработки испытывают давлением 0,2 МПа. Сварные и ковано-сварные трубы допускается не подвергать гидравлическим испытаниям при условии проведения неразрушающего контроля 100 % сварных швов.</w:t>
      </w:r>
    </w:p>
    <w:bookmarkEnd w:id="8369"/>
    <w:bookmarkStart w:name="z8403" w:id="8370"/>
    <w:p>
      <w:pPr>
        <w:spacing w:after="0"/>
        <w:ind w:left="0"/>
        <w:jc w:val="both"/>
      </w:pPr>
      <w:r>
        <w:rPr>
          <w:rFonts w:ascii="Times New Roman"/>
          <w:b w:val="false"/>
          <w:i w:val="false"/>
          <w:color w:val="000000"/>
          <w:sz w:val="28"/>
        </w:rPr>
        <w:t>
      2819. Уплотнения дейдвудных устройств при закрытой системе смазки после монтажа испытываются на плотность давлением, равным высоте столба жидкости в напорных цистернах при рабочем уровне. Испытание, как правило, проводится при проворачивании гребного вала.</w:t>
      </w:r>
    </w:p>
    <w:bookmarkEnd w:id="8370"/>
    <w:bookmarkStart w:name="z8404" w:id="8371"/>
    <w:p>
      <w:pPr>
        <w:spacing w:after="0"/>
        <w:ind w:left="0"/>
        <w:jc w:val="left"/>
      </w:pPr>
      <w:r>
        <w:rPr>
          <w:rFonts w:ascii="Times New Roman"/>
          <w:b/>
          <w:i w:val="false"/>
          <w:color w:val="000000"/>
        </w:rPr>
        <w:t xml:space="preserve"> Подраздел 6. Движители</w:t>
      </w:r>
      <w:r>
        <w:br/>
      </w:r>
      <w:r>
        <w:rPr>
          <w:rFonts w:ascii="Times New Roman"/>
          <w:b/>
          <w:i w:val="false"/>
          <w:color w:val="000000"/>
        </w:rPr>
        <w:t>Глава 195. Общие положения</w:t>
      </w:r>
    </w:p>
    <w:bookmarkEnd w:id="8371"/>
    <w:p>
      <w:pPr>
        <w:spacing w:after="0"/>
        <w:ind w:left="0"/>
        <w:jc w:val="both"/>
      </w:pPr>
      <w:r>
        <w:rPr>
          <w:rFonts w:ascii="Times New Roman"/>
          <w:b w:val="false"/>
          <w:i w:val="false"/>
          <w:color w:val="ff0000"/>
          <w:sz w:val="28"/>
        </w:rPr>
        <w:t xml:space="preserve">
      Сноска. Заголовок главы 195 -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06" w:id="8372"/>
    <w:p>
      <w:pPr>
        <w:spacing w:after="0"/>
        <w:ind w:left="0"/>
        <w:jc w:val="both"/>
      </w:pPr>
      <w:r>
        <w:rPr>
          <w:rFonts w:ascii="Times New Roman"/>
          <w:b w:val="false"/>
          <w:i w:val="false"/>
          <w:color w:val="000000"/>
          <w:sz w:val="28"/>
        </w:rPr>
        <w:t>
      2820. Требования настоящего подраздела распространяются на металлические гребные винты фиксированного шага цельнолитые и со съемными лопастями, а также на винты регулируемого шага.</w:t>
      </w:r>
    </w:p>
    <w:bookmarkEnd w:id="8372"/>
    <w:bookmarkStart w:name="z8407" w:id="8373"/>
    <w:p>
      <w:pPr>
        <w:spacing w:after="0"/>
        <w:ind w:left="0"/>
        <w:jc w:val="both"/>
      </w:pPr>
      <w:r>
        <w:rPr>
          <w:rFonts w:ascii="Times New Roman"/>
          <w:b w:val="false"/>
          <w:i w:val="false"/>
          <w:color w:val="000000"/>
          <w:sz w:val="28"/>
        </w:rPr>
        <w:t>
      2821. Необходимо чтобы конструкция и размеры винтов главных средств активного управления судами соответствовали требованиям настоящего подраздела.</w:t>
      </w:r>
    </w:p>
    <w:bookmarkEnd w:id="8373"/>
    <w:bookmarkStart w:name="z8408" w:id="8374"/>
    <w:p>
      <w:pPr>
        <w:spacing w:after="0"/>
        <w:ind w:left="0"/>
        <w:jc w:val="both"/>
      </w:pPr>
      <w:r>
        <w:rPr>
          <w:rFonts w:ascii="Times New Roman"/>
          <w:b w:val="false"/>
          <w:i w:val="false"/>
          <w:color w:val="000000"/>
          <w:sz w:val="28"/>
        </w:rPr>
        <w:t>
      Конструкции крыльчатых и водометных движителей являются в каждом случае предметом специального рассмотрения Регистром судоходства.</w:t>
      </w:r>
    </w:p>
    <w:bookmarkEnd w:id="8374"/>
    <w:bookmarkStart w:name="z8409" w:id="8375"/>
    <w:p>
      <w:pPr>
        <w:spacing w:after="0"/>
        <w:ind w:left="0"/>
        <w:jc w:val="both"/>
      </w:pPr>
      <w:r>
        <w:rPr>
          <w:rFonts w:ascii="Times New Roman"/>
          <w:b w:val="false"/>
          <w:i w:val="false"/>
          <w:color w:val="000000"/>
          <w:sz w:val="28"/>
        </w:rPr>
        <w:t>
      Объем требований к конструкции и размерам винтов вспомогательных САУС допускается уменьшать по согласованию с Регистром судоходства.</w:t>
      </w:r>
    </w:p>
    <w:bookmarkEnd w:id="8375"/>
    <w:bookmarkStart w:name="z8410" w:id="8376"/>
    <w:p>
      <w:pPr>
        <w:spacing w:after="0"/>
        <w:ind w:left="0"/>
        <w:jc w:val="left"/>
      </w:pPr>
      <w:r>
        <w:rPr>
          <w:rFonts w:ascii="Times New Roman"/>
          <w:b/>
          <w:i w:val="false"/>
          <w:color w:val="000000"/>
        </w:rPr>
        <w:t xml:space="preserve"> Глава 196. Толщина лопасти</w:t>
      </w:r>
    </w:p>
    <w:bookmarkEnd w:id="8376"/>
    <w:p>
      <w:pPr>
        <w:spacing w:after="0"/>
        <w:ind w:left="0"/>
        <w:jc w:val="both"/>
      </w:pPr>
      <w:r>
        <w:rPr>
          <w:rFonts w:ascii="Times New Roman"/>
          <w:b w:val="false"/>
          <w:i w:val="false"/>
          <w:color w:val="ff0000"/>
          <w:sz w:val="28"/>
        </w:rPr>
        <w:t xml:space="preserve">
      Сноска. Заголовок главы 196 -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11" w:id="8377"/>
    <w:p>
      <w:pPr>
        <w:spacing w:after="0"/>
        <w:ind w:left="0"/>
        <w:jc w:val="both"/>
      </w:pPr>
      <w:r>
        <w:rPr>
          <w:rFonts w:ascii="Times New Roman"/>
          <w:b w:val="false"/>
          <w:i w:val="false"/>
          <w:color w:val="000000"/>
          <w:sz w:val="28"/>
        </w:rPr>
        <w:t xml:space="preserve">
      2822. Толщина лопасти гребного винта проверяется в расчетном корневом сечении и в сечении на радиусе </w:t>
      </w:r>
      <w:r>
        <w:rPr>
          <w:rFonts w:ascii="Times New Roman"/>
          <w:b w:val="false"/>
          <w:i/>
          <w:color w:val="000000"/>
          <w:sz w:val="28"/>
        </w:rPr>
        <w:t>r</w:t>
      </w:r>
      <w:r>
        <w:rPr>
          <w:rFonts w:ascii="Times New Roman"/>
          <w:b w:val="false"/>
          <w:i w:val="false"/>
          <w:color w:val="000000"/>
          <w:sz w:val="28"/>
        </w:rPr>
        <w:t xml:space="preserve"> = 0,6л, где </w:t>
      </w:r>
      <w:r>
        <w:rPr>
          <w:rFonts w:ascii="Times New Roman"/>
          <w:b w:val="false"/>
          <w:i/>
          <w:color w:val="000000"/>
          <w:sz w:val="28"/>
        </w:rPr>
        <w:t>R</w:t>
      </w:r>
      <w:r>
        <w:rPr>
          <w:rFonts w:ascii="Times New Roman"/>
          <w:b w:val="false"/>
          <w:i w:val="false"/>
          <w:color w:val="000000"/>
          <w:sz w:val="28"/>
        </w:rPr>
        <w:t xml:space="preserve"> — радиус винта.</w:t>
      </w:r>
    </w:p>
    <w:bookmarkEnd w:id="8377"/>
    <w:bookmarkStart w:name="z8412" w:id="8378"/>
    <w:p>
      <w:pPr>
        <w:spacing w:after="0"/>
        <w:ind w:left="0"/>
        <w:jc w:val="both"/>
      </w:pPr>
      <w:r>
        <w:rPr>
          <w:rFonts w:ascii="Times New Roman"/>
          <w:b w:val="false"/>
          <w:i w:val="false"/>
          <w:color w:val="000000"/>
          <w:sz w:val="28"/>
        </w:rPr>
        <w:t>
      Расчетное корневое сечение принимается:</w:t>
      </w:r>
    </w:p>
    <w:bookmarkEnd w:id="8378"/>
    <w:bookmarkStart w:name="z8413" w:id="8379"/>
    <w:p>
      <w:pPr>
        <w:spacing w:after="0"/>
        <w:ind w:left="0"/>
        <w:jc w:val="both"/>
      </w:pPr>
      <w:r>
        <w:rPr>
          <w:rFonts w:ascii="Times New Roman"/>
          <w:b w:val="false"/>
          <w:i w:val="false"/>
          <w:color w:val="000000"/>
          <w:sz w:val="28"/>
        </w:rPr>
        <w:t>
      для цельнолитых винтов — на радиусе 0,2</w:t>
      </w:r>
      <w:r>
        <w:rPr>
          <w:rFonts w:ascii="Times New Roman"/>
          <w:b w:val="false"/>
          <w:i/>
          <w:color w:val="000000"/>
          <w:sz w:val="28"/>
        </w:rPr>
        <w:t>R</w:t>
      </w:r>
      <w:r>
        <w:rPr>
          <w:rFonts w:ascii="Times New Roman"/>
          <w:b w:val="false"/>
          <w:i w:val="false"/>
          <w:color w:val="000000"/>
          <w:sz w:val="28"/>
        </w:rPr>
        <w:t>, если радиус ступицы меньше 0,2</w:t>
      </w:r>
      <w:r>
        <w:rPr>
          <w:rFonts w:ascii="Times New Roman"/>
          <w:b w:val="false"/>
          <w:i/>
          <w:color w:val="000000"/>
          <w:sz w:val="28"/>
        </w:rPr>
        <w:t>R</w:t>
      </w:r>
      <w:r>
        <w:rPr>
          <w:rFonts w:ascii="Times New Roman"/>
          <w:b w:val="false"/>
          <w:i w:val="false"/>
          <w:color w:val="000000"/>
          <w:sz w:val="28"/>
        </w:rPr>
        <w:t>, и на радиусе 0,25</w:t>
      </w:r>
      <w:r>
        <w:rPr>
          <w:rFonts w:ascii="Times New Roman"/>
          <w:b w:val="false"/>
          <w:i/>
          <w:color w:val="000000"/>
          <w:sz w:val="28"/>
        </w:rPr>
        <w:t>R</w:t>
      </w:r>
      <w:r>
        <w:rPr>
          <w:rFonts w:ascii="Times New Roman"/>
          <w:b w:val="false"/>
          <w:i w:val="false"/>
          <w:color w:val="000000"/>
          <w:sz w:val="28"/>
        </w:rPr>
        <w:t>, если радиус ступицы больше или равен 0,2</w:t>
      </w:r>
      <w:r>
        <w:rPr>
          <w:rFonts w:ascii="Times New Roman"/>
          <w:b w:val="false"/>
          <w:i/>
          <w:color w:val="000000"/>
          <w:sz w:val="28"/>
        </w:rPr>
        <w:t>R</w:t>
      </w:r>
      <w:r>
        <w:rPr>
          <w:rFonts w:ascii="Times New Roman"/>
          <w:b w:val="false"/>
          <w:i w:val="false"/>
          <w:color w:val="000000"/>
          <w:sz w:val="28"/>
        </w:rPr>
        <w:t>;</w:t>
      </w:r>
    </w:p>
    <w:bookmarkEnd w:id="8379"/>
    <w:bookmarkStart w:name="z8414" w:id="8380"/>
    <w:p>
      <w:pPr>
        <w:spacing w:after="0"/>
        <w:ind w:left="0"/>
        <w:jc w:val="both"/>
      </w:pPr>
      <w:r>
        <w:rPr>
          <w:rFonts w:ascii="Times New Roman"/>
          <w:b w:val="false"/>
          <w:i w:val="false"/>
          <w:color w:val="000000"/>
          <w:sz w:val="28"/>
        </w:rPr>
        <w:t>
      для винтов со съемными лопастями — на радиусе 0,3</w:t>
      </w:r>
      <w:r>
        <w:rPr>
          <w:rFonts w:ascii="Times New Roman"/>
          <w:b w:val="false"/>
          <w:i/>
          <w:color w:val="000000"/>
          <w:sz w:val="28"/>
        </w:rPr>
        <w:t>R</w:t>
      </w:r>
      <w:r>
        <w:rPr>
          <w:rFonts w:ascii="Times New Roman"/>
          <w:b w:val="false"/>
          <w:i w:val="false"/>
          <w:color w:val="000000"/>
          <w:sz w:val="28"/>
        </w:rPr>
        <w:t xml:space="preserve">, при этом значения коэффициентов А и с принимаются для </w:t>
      </w:r>
      <w:r>
        <w:rPr>
          <w:rFonts w:ascii="Times New Roman"/>
          <w:b w:val="false"/>
          <w:i/>
          <w:color w:val="000000"/>
          <w:sz w:val="28"/>
        </w:rPr>
        <w:t>r</w:t>
      </w:r>
      <w:r>
        <w:rPr>
          <w:rFonts w:ascii="Times New Roman"/>
          <w:b w:val="false"/>
          <w:i w:val="false"/>
          <w:color w:val="000000"/>
          <w:sz w:val="28"/>
        </w:rPr>
        <w:t xml:space="preserve"> = 0,25</w:t>
      </w:r>
      <w:r>
        <w:rPr>
          <w:rFonts w:ascii="Times New Roman"/>
          <w:b w:val="false"/>
          <w:i/>
          <w:color w:val="000000"/>
          <w:sz w:val="28"/>
        </w:rPr>
        <w:t>R</w:t>
      </w:r>
      <w:r>
        <w:rPr>
          <w:rFonts w:ascii="Times New Roman"/>
          <w:b w:val="false"/>
          <w:i w:val="false"/>
          <w:color w:val="000000"/>
          <w:sz w:val="28"/>
        </w:rPr>
        <w:t>;</w:t>
      </w:r>
    </w:p>
    <w:bookmarkEnd w:id="8380"/>
    <w:bookmarkStart w:name="z8415" w:id="8381"/>
    <w:p>
      <w:pPr>
        <w:spacing w:after="0"/>
        <w:ind w:left="0"/>
        <w:jc w:val="both"/>
      </w:pPr>
      <w:r>
        <w:rPr>
          <w:rFonts w:ascii="Times New Roman"/>
          <w:b w:val="false"/>
          <w:i w:val="false"/>
          <w:color w:val="000000"/>
          <w:sz w:val="28"/>
        </w:rPr>
        <w:t>
      для ВРШ — на радиусе 0,35</w:t>
      </w:r>
      <w:r>
        <w:rPr>
          <w:rFonts w:ascii="Times New Roman"/>
          <w:b w:val="false"/>
          <w:i/>
          <w:color w:val="000000"/>
          <w:sz w:val="28"/>
        </w:rPr>
        <w:t>R</w:t>
      </w:r>
      <w:r>
        <w:rPr>
          <w:rFonts w:ascii="Times New Roman"/>
          <w:b w:val="false"/>
          <w:i w:val="false"/>
          <w:color w:val="000000"/>
          <w:sz w:val="28"/>
        </w:rPr>
        <w:t>.</w:t>
      </w:r>
    </w:p>
    <w:bookmarkEnd w:id="8381"/>
    <w:bookmarkStart w:name="z8416" w:id="8382"/>
    <w:p>
      <w:pPr>
        <w:spacing w:after="0"/>
        <w:ind w:left="0"/>
        <w:jc w:val="both"/>
      </w:pPr>
      <w:r>
        <w:rPr>
          <w:rFonts w:ascii="Times New Roman"/>
          <w:b w:val="false"/>
          <w:i w:val="false"/>
          <w:color w:val="000000"/>
          <w:sz w:val="28"/>
        </w:rPr>
        <w:t>
      Примечание. Толщина лопасти в расчетном сечении определяется без учета галтелей.</w:t>
      </w:r>
    </w:p>
    <w:bookmarkEnd w:id="8382"/>
    <w:bookmarkStart w:name="z8417" w:id="8383"/>
    <w:p>
      <w:pPr>
        <w:spacing w:after="0"/>
        <w:ind w:left="0"/>
        <w:jc w:val="both"/>
      </w:pPr>
      <w:r>
        <w:rPr>
          <w:rFonts w:ascii="Times New Roman"/>
          <w:b w:val="false"/>
          <w:i w:val="false"/>
          <w:color w:val="000000"/>
          <w:sz w:val="28"/>
        </w:rPr>
        <w:t>
      Наибольшая толщина s спрямленного цилиндрического сечения лопасти цельнолитых, сборных винтов и ВРШ, мм, допускается не менее определяемой по формуле</w:t>
      </w:r>
    </w:p>
    <w:bookmarkEnd w:id="8383"/>
    <w:bookmarkStart w:name="z8418" w:id="8384"/>
    <w:p>
      <w:pPr>
        <w:spacing w:after="0"/>
        <w:ind w:left="0"/>
        <w:jc w:val="both"/>
      </w:pPr>
      <w:r>
        <w:rPr>
          <w:rFonts w:ascii="Times New Roman"/>
          <w:b w:val="false"/>
          <w:i w:val="false"/>
          <w:color w:val="000000"/>
          <w:sz w:val="28"/>
        </w:rPr>
        <w:t xml:space="preserve">
      </w:t>
      </w:r>
    </w:p>
    <w:bookmarkEnd w:id="8384"/>
    <w:p>
      <w:pPr>
        <w:spacing w:after="0"/>
        <w:ind w:left="0"/>
        <w:jc w:val="both"/>
      </w:pPr>
      <w:r>
        <w:drawing>
          <wp:inline distT="0" distB="0" distL="0" distR="0">
            <wp:extent cx="284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7"/>
                    <a:stretch>
                      <a:fillRect/>
                    </a:stretch>
                  </pic:blipFill>
                  <pic:spPr>
                    <a:xfrm>
                      <a:off x="0" y="0"/>
                      <a:ext cx="2844800" cy="685800"/>
                    </a:xfrm>
                    <a:prstGeom prst="rect">
                      <a:avLst/>
                    </a:prstGeom>
                  </pic:spPr>
                </pic:pic>
              </a:graphicData>
            </a:graphic>
          </wp:inline>
        </w:drawing>
      </w:r>
    </w:p>
    <w:p>
      <w:pPr>
        <w:spacing w:after="0"/>
        <w:ind w:left="0"/>
        <w:jc w:val="left"/>
      </w:pPr>
      <w:r>
        <w:rPr>
          <w:rFonts w:ascii="Times New Roman"/>
          <w:b w:val="false"/>
          <w:i w:val="false"/>
          <w:color w:val="000000"/>
          <w:sz w:val="28"/>
        </w:rPr>
        <w:t>,                 (743)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коэффициент, определяемый по номограмме в приложении 297 настоящих Правил в зависимости от относительного радиуса </w:t>
      </w:r>
      <w:r>
        <w:rPr>
          <w:rFonts w:ascii="Times New Roman"/>
          <w:b w:val="false"/>
          <w:i/>
          <w:color w:val="000000"/>
          <w:sz w:val="28"/>
        </w:rPr>
        <w:t>r/R</w:t>
      </w:r>
      <w:r>
        <w:rPr>
          <w:rFonts w:ascii="Times New Roman"/>
          <w:b w:val="false"/>
          <w:i w:val="false"/>
          <w:color w:val="000000"/>
          <w:sz w:val="28"/>
        </w:rPr>
        <w:t xml:space="preserve"> расчетного сечения и шагового отношения </w:t>
      </w:r>
      <w:r>
        <w:rPr>
          <w:rFonts w:ascii="Times New Roman"/>
          <w:b w:val="false"/>
          <w:i/>
          <w:color w:val="000000"/>
          <w:sz w:val="28"/>
        </w:rPr>
        <w:t>H/D</w:t>
      </w:r>
      <w:r>
        <w:rPr>
          <w:rFonts w:ascii="Times New Roman"/>
          <w:b w:val="false"/>
          <w:i w:val="false"/>
          <w:color w:val="000000"/>
          <w:sz w:val="28"/>
        </w:rPr>
        <w:t xml:space="preserve"> на этом радиусе (для ВРШ принимается шаговое отношение, соответствующее основному проектному режиму);</w:t>
      </w:r>
    </w:p>
    <w:bookmarkStart w:name="z8419" w:id="8385"/>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—коэффициент, определяемый по приложению 298 настоящих Правил;</w:t>
      </w:r>
    </w:p>
    <w:bookmarkEnd w:id="8385"/>
    <w:bookmarkStart w:name="z8420" w:id="838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мощность на гребном валу при расчетной мощности главных механизмов, кВт;</w:t>
      </w:r>
    </w:p>
    <w:bookmarkEnd w:id="8386"/>
    <w:bookmarkStart w:name="z8421" w:id="8387"/>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число лопастей винта;</w:t>
      </w:r>
    </w:p>
    <w:bookmarkEnd w:id="8387"/>
    <w:bookmarkStart w:name="z8422" w:id="838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ширина спрямленного цилиндрического сечения лопасти на расчетном радиусе, м;</w:t>
      </w:r>
    </w:p>
    <w:bookmarkEnd w:id="8388"/>
    <w:bookmarkStart w:name="z8423" w:id="8389"/>
    <w:p>
      <w:pPr>
        <w:spacing w:after="0"/>
        <w:ind w:left="0"/>
        <w:jc w:val="both"/>
      </w:pPr>
      <w:r>
        <w:rPr>
          <w:rFonts w:ascii="Times New Roman"/>
          <w:b w:val="false"/>
          <w:i w:val="false"/>
          <w:color w:val="000000"/>
          <w:sz w:val="28"/>
        </w:rPr>
        <w:t xml:space="preserve">
      </w:t>
      </w:r>
    </w:p>
    <w:bookmarkEnd w:id="8389"/>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8"/>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0,6Л</w:t>
      </w:r>
      <w:r>
        <w:rPr>
          <w:rFonts w:ascii="Times New Roman"/>
          <w:b w:val="false"/>
          <w:i w:val="false"/>
          <w:color w:val="000000"/>
          <w:vertAlign w:val="subscript"/>
        </w:rPr>
        <w:t>mn</w:t>
      </w:r>
      <w:r>
        <w:rPr>
          <w:rFonts w:ascii="Times New Roman"/>
          <w:b w:val="false"/>
          <w:i w:val="false"/>
          <w:color w:val="000000"/>
          <w:sz w:val="28"/>
        </w:rPr>
        <w:t xml:space="preserve"> + 175 МПа, но не более 570 МПа для стали и не более 610 МПа для медных сплавов;</w:t>
      </w:r>
      <w:r>
        <w:br/>
      </w:r>
      <w:r>
        <w:rPr>
          <w:rFonts w:ascii="Times New Roman"/>
          <w:b w:val="false"/>
          <w:i w:val="false"/>
          <w:color w:val="000000"/>
          <w:sz w:val="28"/>
        </w:rPr>
        <w:t>
</w:t>
      </w:r>
    </w:p>
    <w:bookmarkStart w:name="z8424" w:id="8390"/>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w:t>
      </w:r>
      <w:r>
        <w:rPr>
          <w:rFonts w:ascii="Times New Roman"/>
          <w:b w:val="false"/>
          <w:i w:val="false"/>
          <w:color w:val="000000"/>
          <w:sz w:val="28"/>
        </w:rPr>
        <w:t xml:space="preserve"> — временное сопротивление материала лопасти, МПа;</w:t>
      </w:r>
    </w:p>
    <w:bookmarkEnd w:id="8390"/>
    <w:bookmarkStart w:name="z8425" w:id="839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частота вращения винта при расчетной мощности, об/мин;</w:t>
      </w:r>
    </w:p>
    <w:bookmarkEnd w:id="8391"/>
    <w:bookmarkStart w:name="z8426" w:id="8392"/>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коэффициент центробежных напряжений, определяемый по приложению 299 настоящих Правил;</w:t>
      </w:r>
    </w:p>
    <w:bookmarkEnd w:id="8392"/>
    <w:bookmarkStart w:name="z8427" w:id="839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уклон лопасти, мм;</w:t>
      </w:r>
    </w:p>
    <w:bookmarkEnd w:id="8393"/>
    <w:bookmarkStart w:name="z8428" w:id="839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диаметр винта, м.</w:t>
      </w:r>
    </w:p>
    <w:bookmarkEnd w:id="8394"/>
    <w:p>
      <w:pPr>
        <w:spacing w:after="0"/>
        <w:ind w:left="0"/>
        <w:jc w:val="both"/>
      </w:pPr>
      <w:r>
        <w:rPr>
          <w:rFonts w:ascii="Times New Roman"/>
          <w:b w:val="false"/>
          <w:i w:val="false"/>
          <w:color w:val="000000"/>
          <w:sz w:val="28"/>
        </w:rPr>
        <w:t>
      Отверстия для деталей крепления съемных лопастей гребных винтов и лопастей ВРШ не должны уменьшать расчетное корневое сечение лопасти.</w:t>
      </w:r>
    </w:p>
    <w:bookmarkStart w:name="z8429" w:id="8395"/>
    <w:p>
      <w:pPr>
        <w:spacing w:after="0"/>
        <w:ind w:left="0"/>
        <w:jc w:val="both"/>
      </w:pPr>
      <w:r>
        <w:rPr>
          <w:rFonts w:ascii="Times New Roman"/>
          <w:b w:val="false"/>
          <w:i w:val="false"/>
          <w:color w:val="000000"/>
          <w:sz w:val="28"/>
        </w:rPr>
        <w:t>
      Для судов смешанного (река-море) плавания и судов ограниченных районов плавания R2 и R3 толщину лопастей допускается уменьшить на 5 %.</w:t>
      </w:r>
    </w:p>
    <w:bookmarkEnd w:id="8395"/>
    <w:bookmarkStart w:name="z8430" w:id="8396"/>
    <w:p>
      <w:pPr>
        <w:spacing w:after="0"/>
        <w:ind w:left="0"/>
        <w:jc w:val="both"/>
      </w:pPr>
      <w:r>
        <w:rPr>
          <w:rFonts w:ascii="Times New Roman"/>
          <w:b w:val="false"/>
          <w:i w:val="false"/>
          <w:color w:val="000000"/>
          <w:sz w:val="28"/>
        </w:rPr>
        <w:t>
      2823. Толщина концевых кромок лопастей на радиусе D/2 должна быть не менее определяемой по приложению 300 настоящих Правил. Толщина входящих и выходящих кромок лопастей, измеренная на расстоянии 0,05 ширины сечения от кромок, должна быть не менее 50 % толщины концевой кромки лопастей.</w:t>
      </w:r>
    </w:p>
    <w:bookmarkEnd w:id="8396"/>
    <w:bookmarkStart w:name="z8431" w:id="8397"/>
    <w:p>
      <w:pPr>
        <w:spacing w:after="0"/>
        <w:ind w:left="0"/>
        <w:jc w:val="both"/>
      </w:pPr>
      <w:r>
        <w:rPr>
          <w:rFonts w:ascii="Times New Roman"/>
          <w:b w:val="false"/>
          <w:i w:val="false"/>
          <w:color w:val="000000"/>
          <w:sz w:val="28"/>
        </w:rPr>
        <w:t>
      2824. Толщину лопасти, определенная согласно пунктам 2822 и 2823 настоящих Правил, в обоснованных случаях (например, при применении специального профиля лопасти) допускается уменьшать при условии представления Регистру судоходства подробных расчетов прочности.</w:t>
      </w:r>
    </w:p>
    <w:bookmarkEnd w:id="8397"/>
    <w:bookmarkStart w:name="z8432" w:id="8398"/>
    <w:p>
      <w:pPr>
        <w:spacing w:after="0"/>
        <w:ind w:left="0"/>
        <w:jc w:val="both"/>
      </w:pPr>
      <w:r>
        <w:rPr>
          <w:rFonts w:ascii="Times New Roman"/>
          <w:b w:val="false"/>
          <w:i w:val="false"/>
          <w:color w:val="000000"/>
          <w:sz w:val="28"/>
        </w:rPr>
        <w:t>
      2825. Толщина лопасти с несимметричным контуром нормальной проекции и большой откидкой (саблевидностью) (</w:t>
      </w:r>
    </w:p>
    <w:bookmarkEnd w:id="839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25</w:t>
      </w:r>
      <w:r>
        <w:rPr>
          <w:rFonts w:ascii="Times New Roman"/>
          <w:b w:val="false"/>
          <w:i w:val="false"/>
          <w:color w:val="000000"/>
          <w:vertAlign w:val="superscript"/>
        </w:rPr>
        <w:t>о</w:t>
      </w:r>
      <w:r>
        <w:rPr>
          <w:rFonts w:ascii="Times New Roman"/>
          <w:b w:val="false"/>
          <w:i w:val="false"/>
          <w:color w:val="000000"/>
          <w:sz w:val="28"/>
        </w:rPr>
        <w:t>) проверяется в соответствии с требованиями пункта 2822 настоящих Правил. Дополнительно толщина лопасти на радиусе 0,6 R на расстоянии 0,8 ширины сечения b должна быть не менее определяемой по формуле:</w:t>
      </w:r>
      <w:r>
        <w:br/>
      </w:r>
      <w:r>
        <w:rPr>
          <w:rFonts w:ascii="Times New Roman"/>
          <w:b w:val="false"/>
          <w:i w:val="false"/>
          <w:color w:val="000000"/>
          <w:sz w:val="28"/>
        </w:rPr>
        <w:t>
</w:t>
      </w:r>
    </w:p>
    <w:bookmarkStart w:name="z8433" w:id="8399"/>
    <w:p>
      <w:pPr>
        <w:spacing w:after="0"/>
        <w:ind w:left="0"/>
        <w:jc w:val="both"/>
      </w:pPr>
      <w:r>
        <w:rPr>
          <w:rFonts w:ascii="Times New Roman"/>
          <w:b w:val="false"/>
          <w:i w:val="false"/>
          <w:color w:val="000000"/>
          <w:sz w:val="28"/>
        </w:rPr>
        <w:t xml:space="preserve">
      </w:t>
      </w:r>
    </w:p>
    <w:bookmarkEnd w:id="8399"/>
    <w:p>
      <w:pPr>
        <w:spacing w:after="0"/>
        <w:ind w:left="0"/>
        <w:jc w:val="both"/>
      </w:pPr>
      <w:r>
        <w:drawing>
          <wp:inline distT="0" distB="0" distL="0" distR="0">
            <wp:extent cx="229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0"/>
                    <a:stretch>
                      <a:fillRect/>
                    </a:stretch>
                  </pic:blipFill>
                  <pic:spPr>
                    <a:xfrm>
                      <a:off x="0" y="0"/>
                      <a:ext cx="2298700" cy="330200"/>
                    </a:xfrm>
                    <a:prstGeom prst="rect">
                      <a:avLst/>
                    </a:prstGeom>
                  </pic:spPr>
                </pic:pic>
              </a:graphicData>
            </a:graphic>
          </wp:inline>
        </w:drawing>
      </w:r>
    </w:p>
    <w:p>
      <w:pPr>
        <w:spacing w:after="0"/>
        <w:ind w:left="0"/>
        <w:jc w:val="left"/>
      </w:pPr>
      <w:r>
        <w:rPr>
          <w:rFonts w:ascii="Times New Roman"/>
          <w:b w:val="false"/>
          <w:i w:val="false"/>
          <w:color w:val="000000"/>
          <w:sz w:val="28"/>
        </w:rPr>
        <w:t>,                     (744)</w:t>
      </w:r>
      <w:r>
        <w:br/>
      </w:r>
      <w:r>
        <w:rPr>
          <w:rFonts w:ascii="Times New Roman"/>
          <w:b w:val="false"/>
          <w:i w:val="false"/>
          <w:color w:val="000000"/>
          <w:sz w:val="28"/>
        </w:rPr>
        <w:t>
</w:t>
      </w:r>
    </w:p>
    <w:bookmarkStart w:name="z8434" w:id="8400"/>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 определяется на радиусе 0,6R по формуле (743) настоящих Правил;</w:t>
      </w:r>
    </w:p>
    <w:bookmarkEnd w:id="8400"/>
    <w:bookmarkStart w:name="z8435" w:id="8401"/>
    <w:p>
      <w:pPr>
        <w:spacing w:after="0"/>
        <w:ind w:left="0"/>
        <w:jc w:val="both"/>
      </w:pPr>
      <w:r>
        <w:rPr>
          <w:rFonts w:ascii="Times New Roman"/>
          <w:b w:val="false"/>
          <w:i w:val="false"/>
          <w:color w:val="000000"/>
          <w:sz w:val="28"/>
        </w:rPr>
        <w:t xml:space="preserve">
      </w:t>
      </w:r>
    </w:p>
    <w:bookmarkEnd w:id="840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град, равный наибольшему из углов 0, или 02 (приложение 301 настоящих Правил).</w:t>
      </w:r>
      <w:r>
        <w:br/>
      </w:r>
      <w:r>
        <w:rPr>
          <w:rFonts w:ascii="Times New Roman"/>
          <w:b w:val="false"/>
          <w:i w:val="false"/>
          <w:color w:val="000000"/>
          <w:sz w:val="28"/>
        </w:rPr>
        <w:t>
</w:t>
      </w:r>
    </w:p>
    <w:bookmarkStart w:name="z8436" w:id="8402"/>
    <w:p>
      <w:pPr>
        <w:spacing w:after="0"/>
        <w:ind w:left="0"/>
        <w:jc w:val="both"/>
      </w:pPr>
      <w:r>
        <w:rPr>
          <w:rFonts w:ascii="Times New Roman"/>
          <w:b w:val="false"/>
          <w:i w:val="false"/>
          <w:color w:val="000000"/>
          <w:sz w:val="28"/>
        </w:rPr>
        <w:t xml:space="preserve">
      Если плавность профиля сечения лопасти на радиусе 0,6 </w:t>
      </w:r>
      <w:r>
        <w:rPr>
          <w:rFonts w:ascii="Times New Roman"/>
          <w:b w:val="false"/>
          <w:i/>
          <w:color w:val="000000"/>
          <w:sz w:val="28"/>
        </w:rPr>
        <w:t>R</w:t>
      </w:r>
      <w:r>
        <w:rPr>
          <w:rFonts w:ascii="Times New Roman"/>
          <w:b w:val="false"/>
          <w:i w:val="false"/>
          <w:color w:val="000000"/>
          <w:sz w:val="28"/>
        </w:rPr>
        <w:t xml:space="preserve"> при обязательном удовлетворении требований к минимальной толщине вблизи задней кромки (на 0,8</w:t>
      </w:r>
      <w:r>
        <w:rPr>
          <w:rFonts w:ascii="Times New Roman"/>
          <w:b w:val="false"/>
          <w:i/>
          <w:color w:val="000000"/>
          <w:sz w:val="28"/>
        </w:rPr>
        <w:t>b</w:t>
      </w:r>
      <w:r>
        <w:rPr>
          <w:rFonts w:ascii="Times New Roman"/>
          <w:b w:val="false"/>
          <w:i w:val="false"/>
          <w:color w:val="000000"/>
          <w:sz w:val="28"/>
        </w:rPr>
        <w:t xml:space="preserve">) не обеспечивается, увеличивается толщина </w:t>
      </w:r>
      <w:r>
        <w:rPr>
          <w:rFonts w:ascii="Times New Roman"/>
          <w:b w:val="false"/>
          <w:i/>
          <w:color w:val="000000"/>
          <w:sz w:val="28"/>
        </w:rPr>
        <w:t>s</w:t>
      </w:r>
      <w:r>
        <w:rPr>
          <w:rFonts w:ascii="Times New Roman"/>
          <w:b w:val="false"/>
          <w:i w:val="false"/>
          <w:color w:val="000000"/>
          <w:sz w:val="28"/>
        </w:rPr>
        <w:t xml:space="preserve"> на радиусе 0,6</w:t>
      </w:r>
      <w:r>
        <w:rPr>
          <w:rFonts w:ascii="Times New Roman"/>
          <w:b w:val="false"/>
          <w:i/>
          <w:color w:val="000000"/>
          <w:sz w:val="28"/>
        </w:rPr>
        <w:t>R</w:t>
      </w:r>
      <w:r>
        <w:rPr>
          <w:rFonts w:ascii="Times New Roman"/>
          <w:b w:val="false"/>
          <w:i w:val="false"/>
          <w:color w:val="000000"/>
          <w:sz w:val="28"/>
        </w:rPr>
        <w:t>.</w:t>
      </w:r>
    </w:p>
    <w:bookmarkEnd w:id="8402"/>
    <w:bookmarkStart w:name="z8437" w:id="8403"/>
    <w:p>
      <w:pPr>
        <w:spacing w:after="0"/>
        <w:ind w:left="0"/>
        <w:jc w:val="both"/>
      </w:pPr>
      <w:r>
        <w:rPr>
          <w:rFonts w:ascii="Times New Roman"/>
          <w:b w:val="false"/>
          <w:i w:val="false"/>
          <w:color w:val="000000"/>
          <w:sz w:val="28"/>
        </w:rPr>
        <w:t>
      2826. На ледоколах и судах с ледовыми усилениями напряжения в нагруженных деталях механизма поворота лопастей не превышают предела текучести их материала при поломке лопасти по направлению наименьшей прочности сечения от силы, приложенной на расстоянии 2/3 длины лопасти от ступицы по оси лопасти и на 2/3 расстояния от оси поворота лопасти до входящей кромки по ширине лопасти.</w:t>
      </w:r>
    </w:p>
    <w:bookmarkEnd w:id="8403"/>
    <w:bookmarkStart w:name="z8438" w:id="8404"/>
    <w:p>
      <w:pPr>
        <w:spacing w:after="0"/>
        <w:ind w:left="0"/>
        <w:jc w:val="left"/>
      </w:pPr>
      <w:r>
        <w:rPr>
          <w:rFonts w:ascii="Times New Roman"/>
          <w:b/>
          <w:i w:val="false"/>
          <w:color w:val="000000"/>
        </w:rPr>
        <w:t xml:space="preserve"> Глава 197. Ступица и детали крепления лопасти</w:t>
      </w:r>
    </w:p>
    <w:bookmarkEnd w:id="8404"/>
    <w:p>
      <w:pPr>
        <w:spacing w:after="0"/>
        <w:ind w:left="0"/>
        <w:jc w:val="both"/>
      </w:pPr>
      <w:r>
        <w:rPr>
          <w:rFonts w:ascii="Times New Roman"/>
          <w:b w:val="false"/>
          <w:i w:val="false"/>
          <w:color w:val="ff0000"/>
          <w:sz w:val="28"/>
        </w:rPr>
        <w:t xml:space="preserve">
      Сноска. Заголовок главы 197 -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39" w:id="8405"/>
    <w:p>
      <w:pPr>
        <w:spacing w:after="0"/>
        <w:ind w:left="0"/>
        <w:jc w:val="both"/>
      </w:pPr>
      <w:r>
        <w:rPr>
          <w:rFonts w:ascii="Times New Roman"/>
          <w:b w:val="false"/>
          <w:i w:val="false"/>
          <w:color w:val="000000"/>
          <w:sz w:val="28"/>
        </w:rPr>
        <w:t>
      2827. Радиусы галтелей перехода лопасти в ступицу составляют по всасывающей стороне не менее 0,04</w:t>
      </w:r>
      <w:r>
        <w:rPr>
          <w:rFonts w:ascii="Times New Roman"/>
          <w:b w:val="false"/>
          <w:i/>
          <w:color w:val="000000"/>
          <w:sz w:val="28"/>
        </w:rPr>
        <w:t>D</w:t>
      </w:r>
      <w:r>
        <w:rPr>
          <w:rFonts w:ascii="Times New Roman"/>
          <w:b w:val="false"/>
          <w:i w:val="false"/>
          <w:color w:val="000000"/>
          <w:sz w:val="28"/>
        </w:rPr>
        <w:t>, а по нагнетательной стороне — не менее 0,03</w:t>
      </w:r>
      <w:r>
        <w:rPr>
          <w:rFonts w:ascii="Times New Roman"/>
          <w:b w:val="false"/>
          <w:i/>
          <w:color w:val="000000"/>
          <w:sz w:val="28"/>
        </w:rPr>
        <w:t>D</w:t>
      </w:r>
      <w:r>
        <w:rPr>
          <w:rFonts w:ascii="Times New Roman"/>
          <w:b w:val="false"/>
          <w:i w:val="false"/>
          <w:color w:val="000000"/>
          <w:sz w:val="28"/>
        </w:rPr>
        <w:t>.</w:t>
      </w:r>
    </w:p>
    <w:bookmarkEnd w:id="8405"/>
    <w:bookmarkStart w:name="z8440" w:id="8406"/>
    <w:p>
      <w:pPr>
        <w:spacing w:after="0"/>
        <w:ind w:left="0"/>
        <w:jc w:val="both"/>
      </w:pPr>
      <w:r>
        <w:rPr>
          <w:rFonts w:ascii="Times New Roman"/>
          <w:b w:val="false"/>
          <w:i w:val="false"/>
          <w:color w:val="000000"/>
          <w:sz w:val="28"/>
        </w:rPr>
        <w:t>
      При отсутствии уклона лопасти радиус галтелей по обеим сторонам должен быть не менее 0,03</w:t>
      </w:r>
      <w:r>
        <w:rPr>
          <w:rFonts w:ascii="Times New Roman"/>
          <w:b w:val="false"/>
          <w:i/>
          <w:color w:val="000000"/>
          <w:sz w:val="28"/>
        </w:rPr>
        <w:t>D</w:t>
      </w:r>
      <w:r>
        <w:rPr>
          <w:rFonts w:ascii="Times New Roman"/>
          <w:b w:val="false"/>
          <w:i w:val="false"/>
          <w:color w:val="000000"/>
          <w:sz w:val="28"/>
        </w:rPr>
        <w:t>.</w:t>
      </w:r>
    </w:p>
    <w:bookmarkEnd w:id="8406"/>
    <w:bookmarkStart w:name="z8441" w:id="8407"/>
    <w:p>
      <w:pPr>
        <w:spacing w:after="0"/>
        <w:ind w:left="0"/>
        <w:jc w:val="both"/>
      </w:pPr>
      <w:r>
        <w:rPr>
          <w:rFonts w:ascii="Times New Roman"/>
          <w:b w:val="false"/>
          <w:i w:val="false"/>
          <w:color w:val="000000"/>
          <w:sz w:val="28"/>
        </w:rPr>
        <w:t>
      Допускается плавный переход лопасти в ступицу переменным радиусом.</w:t>
      </w:r>
    </w:p>
    <w:bookmarkEnd w:id="8407"/>
    <w:bookmarkStart w:name="z8442" w:id="8408"/>
    <w:p>
      <w:pPr>
        <w:spacing w:after="0"/>
        <w:ind w:left="0"/>
        <w:jc w:val="both"/>
      </w:pPr>
      <w:r>
        <w:rPr>
          <w:rFonts w:ascii="Times New Roman"/>
          <w:b w:val="false"/>
          <w:i w:val="false"/>
          <w:color w:val="000000"/>
          <w:sz w:val="28"/>
        </w:rPr>
        <w:t>
      2828. В ступице гребного винта должны быть выполнены отверстия для заполнения свободных полостей между ступицей и конусом вала инертной, в отношении коррозионного воздействия, массой; заполнению такой массой подлежит также полость под обтекателем.</w:t>
      </w:r>
    </w:p>
    <w:bookmarkEnd w:id="8408"/>
    <w:bookmarkStart w:name="z8443" w:id="8409"/>
    <w:p>
      <w:pPr>
        <w:spacing w:after="0"/>
        <w:ind w:left="0"/>
        <w:jc w:val="both"/>
      </w:pPr>
      <w:r>
        <w:rPr>
          <w:rFonts w:ascii="Times New Roman"/>
          <w:b w:val="false"/>
          <w:i w:val="false"/>
          <w:color w:val="000000"/>
          <w:sz w:val="28"/>
        </w:rPr>
        <w:t>
      2829. Диаметр болтов (шпилек), крепящих лопасти к ступице винта, или внутренний диаметр резьбы этих болтов (шпилек), в зависимости от того, что меньше, должен быть не менее определяемого по формуле:</w:t>
      </w:r>
    </w:p>
    <w:bookmarkEnd w:id="8409"/>
    <w:bookmarkStart w:name="z8444" w:id="8410"/>
    <w:p>
      <w:pPr>
        <w:spacing w:after="0"/>
        <w:ind w:left="0"/>
        <w:jc w:val="both"/>
      </w:pPr>
      <w:r>
        <w:rPr>
          <w:rFonts w:ascii="Times New Roman"/>
          <w:b w:val="false"/>
          <w:i w:val="false"/>
          <w:color w:val="000000"/>
          <w:sz w:val="28"/>
        </w:rPr>
        <w:t xml:space="preserve">
      </w:t>
      </w:r>
    </w:p>
    <w:bookmarkEnd w:id="8410"/>
    <w:p>
      <w:pPr>
        <w:spacing w:after="0"/>
        <w:ind w:left="0"/>
        <w:jc w:val="both"/>
      </w:pPr>
      <w:r>
        <w:drawing>
          <wp:inline distT="0" distB="0" distL="0" distR="0">
            <wp:extent cx="1346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2"/>
                    <a:stretch>
                      <a:fillRect/>
                    </a:stretch>
                  </pic:blipFill>
                  <pic:spPr>
                    <a:xfrm>
                      <a:off x="0" y="0"/>
                      <a:ext cx="1346200" cy="635000"/>
                    </a:xfrm>
                    <a:prstGeom prst="rect">
                      <a:avLst/>
                    </a:prstGeom>
                  </pic:spPr>
                </pic:pic>
              </a:graphicData>
            </a:graphic>
          </wp:inline>
        </w:drawing>
      </w:r>
    </w:p>
    <w:p>
      <w:pPr>
        <w:spacing w:after="0"/>
        <w:ind w:left="0"/>
        <w:jc w:val="left"/>
      </w:pPr>
      <w:r>
        <w:rPr>
          <w:rFonts w:ascii="Times New Roman"/>
          <w:b w:val="false"/>
          <w:i w:val="false"/>
          <w:color w:val="000000"/>
          <w:sz w:val="28"/>
        </w:rPr>
        <w:t>,                       (745)</w:t>
      </w:r>
      <w:r>
        <w:br/>
      </w:r>
      <w:r>
        <w:rPr>
          <w:rFonts w:ascii="Times New Roman"/>
          <w:b w:val="false"/>
          <w:i w:val="false"/>
          <w:color w:val="000000"/>
          <w:sz w:val="28"/>
        </w:rPr>
        <w:t>
</w:t>
      </w:r>
    </w:p>
    <w:bookmarkStart w:name="z8445" w:id="8411"/>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0,33 — при трех шпильках со стороны нагнетательной поверхности;</w:t>
      </w:r>
    </w:p>
    <w:bookmarkEnd w:id="8411"/>
    <w:bookmarkStart w:name="z8446" w:id="8412"/>
    <w:p>
      <w:pPr>
        <w:spacing w:after="0"/>
        <w:ind w:left="0"/>
        <w:jc w:val="both"/>
      </w:pPr>
      <w:r>
        <w:rPr>
          <w:rFonts w:ascii="Times New Roman"/>
          <w:b w:val="false"/>
          <w:i w:val="false"/>
          <w:color w:val="000000"/>
          <w:sz w:val="28"/>
        </w:rPr>
        <w:t>
      0,30 — при четырех шпильках со стороны нагнетательной поверхности;</w:t>
      </w:r>
    </w:p>
    <w:bookmarkEnd w:id="8412"/>
    <w:bookmarkStart w:name="z8447" w:id="8413"/>
    <w:p>
      <w:pPr>
        <w:spacing w:after="0"/>
        <w:ind w:left="0"/>
        <w:jc w:val="both"/>
      </w:pPr>
      <w:r>
        <w:rPr>
          <w:rFonts w:ascii="Times New Roman"/>
          <w:b w:val="false"/>
          <w:i w:val="false"/>
          <w:color w:val="000000"/>
          <w:sz w:val="28"/>
        </w:rPr>
        <w:t xml:space="preserve">
      0,28 — при пяти шпильках со стороны нагнетательной поверхности; </w:t>
      </w:r>
    </w:p>
    <w:bookmarkEnd w:id="8413"/>
    <w:bookmarkStart w:name="z8448" w:id="841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наибольшая фактическая толщина лопасти в расчетном корневом сечении (пункт 2822 настоящих Правил), мм;</w:t>
      </w:r>
    </w:p>
    <w:bookmarkEnd w:id="8414"/>
    <w:bookmarkStart w:name="z8449" w:id="841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ширина спрямленного цилиндрического сечения лопасти в расчетном корневом сечении, м;</w:t>
      </w:r>
    </w:p>
    <w:bookmarkEnd w:id="8415"/>
    <w:bookmarkStart w:name="z8450" w:id="841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mл</w:t>
      </w:r>
      <w:r>
        <w:rPr>
          <w:rFonts w:ascii="Times New Roman"/>
          <w:b w:val="false"/>
          <w:i w:val="false"/>
          <w:color w:val="000000"/>
          <w:sz w:val="28"/>
        </w:rPr>
        <w:t xml:space="preserve"> — временное сопротивление материала лопастей, МПа;</w:t>
      </w:r>
    </w:p>
    <w:bookmarkEnd w:id="8416"/>
    <w:bookmarkStart w:name="z8451" w:id="841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mб</w:t>
      </w:r>
      <w:r>
        <w:rPr>
          <w:rFonts w:ascii="Times New Roman"/>
          <w:b w:val="false"/>
          <w:i w:val="false"/>
          <w:color w:val="000000"/>
          <w:sz w:val="28"/>
        </w:rPr>
        <w:t xml:space="preserve"> — временное сопротивление материала болтов (шпилек), МПа;</w:t>
      </w:r>
    </w:p>
    <w:bookmarkEnd w:id="8417"/>
    <w:bookmarkStart w:name="z8452" w:id="841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диаметр окружности расположения центров шпилек; при расположении шпилек не по окружности </w:t>
      </w:r>
      <w:r>
        <w:rPr>
          <w:rFonts w:ascii="Times New Roman"/>
          <w:b w:val="false"/>
          <w:i/>
          <w:color w:val="000000"/>
          <w:sz w:val="28"/>
        </w:rPr>
        <w:t>d</w:t>
      </w:r>
      <w:r>
        <w:rPr>
          <w:rFonts w:ascii="Times New Roman"/>
          <w:b w:val="false"/>
          <w:i w:val="false"/>
          <w:color w:val="000000"/>
          <w:sz w:val="28"/>
        </w:rPr>
        <w:t>= 0,85l (</w:t>
      </w:r>
      <w:r>
        <w:rPr>
          <w:rFonts w:ascii="Times New Roman"/>
          <w:b w:val="false"/>
          <w:i/>
          <w:color w:val="000000"/>
          <w:sz w:val="28"/>
        </w:rPr>
        <w:t>l</w:t>
      </w:r>
      <w:r>
        <w:rPr>
          <w:rFonts w:ascii="Times New Roman"/>
          <w:b w:val="false"/>
          <w:i w:val="false"/>
          <w:color w:val="000000"/>
          <w:sz w:val="28"/>
        </w:rPr>
        <w:t xml:space="preserve"> — расстояние между наиболее удаленными шпильками), м.</w:t>
      </w:r>
    </w:p>
    <w:bookmarkEnd w:id="8418"/>
    <w:bookmarkStart w:name="z8453" w:id="8419"/>
    <w:p>
      <w:pPr>
        <w:spacing w:after="0"/>
        <w:ind w:left="0"/>
        <w:jc w:val="both"/>
      </w:pPr>
      <w:r>
        <w:rPr>
          <w:rFonts w:ascii="Times New Roman"/>
          <w:b w:val="false"/>
          <w:i w:val="false"/>
          <w:color w:val="000000"/>
          <w:sz w:val="28"/>
        </w:rPr>
        <w:t>
      2830. Детали стопорения болтов (гаек) крепления лопастей сборных гребных винтов судов с ледовыми усилениями должны быть утоплены во фланец лопасти.</w:t>
      </w:r>
    </w:p>
    <w:bookmarkEnd w:id="8419"/>
    <w:bookmarkStart w:name="z8454" w:id="8420"/>
    <w:p>
      <w:pPr>
        <w:spacing w:after="0"/>
        <w:ind w:left="0"/>
        <w:jc w:val="left"/>
      </w:pPr>
      <w:r>
        <w:rPr>
          <w:rFonts w:ascii="Times New Roman"/>
          <w:b/>
          <w:i w:val="false"/>
          <w:color w:val="000000"/>
        </w:rPr>
        <w:t xml:space="preserve"> Глава 198. Балансировка винтов. Винты регулируемого шага</w:t>
      </w:r>
    </w:p>
    <w:bookmarkEnd w:id="8420"/>
    <w:p>
      <w:pPr>
        <w:spacing w:after="0"/>
        <w:ind w:left="0"/>
        <w:jc w:val="both"/>
      </w:pPr>
      <w:r>
        <w:rPr>
          <w:rFonts w:ascii="Times New Roman"/>
          <w:b w:val="false"/>
          <w:i w:val="false"/>
          <w:color w:val="ff0000"/>
          <w:sz w:val="28"/>
        </w:rPr>
        <w:t xml:space="preserve">
      Сноска. Заголовок главы 198 -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55" w:id="8421"/>
    <w:p>
      <w:pPr>
        <w:spacing w:after="0"/>
        <w:ind w:left="0"/>
        <w:jc w:val="both"/>
      </w:pPr>
      <w:r>
        <w:rPr>
          <w:rFonts w:ascii="Times New Roman"/>
          <w:b w:val="false"/>
          <w:i w:val="false"/>
          <w:color w:val="000000"/>
          <w:sz w:val="28"/>
        </w:rPr>
        <w:t>
      2831. Окончательно обработанный винт должен быть статически отбалансирован.</w:t>
      </w:r>
    </w:p>
    <w:bookmarkEnd w:id="8421"/>
    <w:bookmarkStart w:name="z8456" w:id="8422"/>
    <w:p>
      <w:pPr>
        <w:spacing w:after="0"/>
        <w:ind w:left="0"/>
        <w:jc w:val="both"/>
      </w:pPr>
      <w:r>
        <w:rPr>
          <w:rFonts w:ascii="Times New Roman"/>
          <w:b w:val="false"/>
          <w:i w:val="false"/>
          <w:color w:val="000000"/>
          <w:sz w:val="28"/>
        </w:rPr>
        <w:t>
      Степень балансировки должна быть проверена контрольным грузом, при подвешивании которого на конец каждой горизонтально расположенной лопасти винт должен начать вращение. Масса контрольного груза должна быть не больше определяемой по формуле:</w:t>
      </w:r>
    </w:p>
    <w:bookmarkEnd w:id="8422"/>
    <w:bookmarkStart w:name="z8457" w:id="8423"/>
    <w:p>
      <w:pPr>
        <w:spacing w:after="0"/>
        <w:ind w:left="0"/>
        <w:jc w:val="both"/>
      </w:pPr>
      <w:r>
        <w:rPr>
          <w:rFonts w:ascii="Times New Roman"/>
          <w:b w:val="false"/>
          <w:i w:val="false"/>
          <w:color w:val="000000"/>
          <w:sz w:val="28"/>
        </w:rPr>
        <w:t xml:space="preserve">
                                    m </w:t>
      </w:r>
      <w:r>
        <w:rPr>
          <w:rFonts w:ascii="Times New Roman"/>
          <w:b w:val="false"/>
          <w:i w:val="false"/>
          <w:color w:val="000000"/>
          <w:sz w:val="28"/>
          <w:u w:val="single"/>
        </w:rPr>
        <w:t>&lt;</w:t>
      </w:r>
      <w:r>
        <w:rPr>
          <w:rFonts w:ascii="Times New Roman"/>
          <w:b w:val="false"/>
          <w:i w:val="false"/>
          <w:color w:val="000000"/>
          <w:sz w:val="28"/>
        </w:rPr>
        <w:t xml:space="preserve"> km</w:t>
      </w:r>
      <w:r>
        <w:rPr>
          <w:rFonts w:ascii="Times New Roman"/>
          <w:b w:val="false"/>
          <w:i w:val="false"/>
          <w:color w:val="000000"/>
          <w:vertAlign w:val="subscript"/>
        </w:rPr>
        <w:t xml:space="preserve">B </w:t>
      </w:r>
      <w:r>
        <w:rPr>
          <w:rFonts w:ascii="Times New Roman"/>
          <w:b w:val="false"/>
          <w:i w:val="false"/>
          <w:color w:val="000000"/>
          <w:sz w:val="28"/>
        </w:rPr>
        <w:t>/ R,                       (746)</w:t>
      </w:r>
    </w:p>
    <w:bookmarkEnd w:id="8423"/>
    <w:bookmarkStart w:name="z8458" w:id="8424"/>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масса контрольного груза, кг;</w:t>
      </w:r>
    </w:p>
    <w:bookmarkEnd w:id="8424"/>
    <w:bookmarkStart w:name="z8459" w:id="842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в</w:t>
      </w:r>
      <w:r>
        <w:rPr>
          <w:rFonts w:ascii="Times New Roman"/>
          <w:b w:val="false"/>
          <w:i w:val="false"/>
          <w:color w:val="000000"/>
          <w:sz w:val="28"/>
        </w:rPr>
        <w:t xml:space="preserve"> — масса винта, т;</w:t>
      </w:r>
    </w:p>
    <w:bookmarkEnd w:id="8425"/>
    <w:bookmarkStart w:name="z8460" w:id="842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винта, м;</w:t>
      </w:r>
    </w:p>
    <w:bookmarkEnd w:id="8426"/>
    <w:bookmarkStart w:name="z8461" w:id="8427"/>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0,75 при </w:t>
      </w:r>
      <w:r>
        <w:rPr>
          <w:rFonts w:ascii="Times New Roman"/>
          <w:b w:val="false"/>
          <w:i/>
          <w:color w:val="000000"/>
          <w:sz w:val="28"/>
        </w:rPr>
        <w:t xml:space="preserve">n </w:t>
      </w:r>
      <w:r>
        <w:rPr>
          <w:rFonts w:ascii="Times New Roman"/>
          <w:b w:val="false"/>
          <w:i w:val="false"/>
          <w:color w:val="000000"/>
          <w:sz w:val="28"/>
          <w:u w:val="single"/>
        </w:rPr>
        <w:t>&lt;</w:t>
      </w:r>
      <w:r>
        <w:rPr>
          <w:rFonts w:ascii="Times New Roman"/>
          <w:b w:val="false"/>
          <w:i w:val="false"/>
          <w:color w:val="000000"/>
          <w:sz w:val="28"/>
        </w:rPr>
        <w:t xml:space="preserve"> 200;</w:t>
      </w:r>
    </w:p>
    <w:bookmarkEnd w:id="8427"/>
    <w:bookmarkStart w:name="z8462" w:id="8428"/>
    <w:p>
      <w:pPr>
        <w:spacing w:after="0"/>
        <w:ind w:left="0"/>
        <w:jc w:val="both"/>
      </w:pPr>
      <w:r>
        <w:rPr>
          <w:rFonts w:ascii="Times New Roman"/>
          <w:b w:val="false"/>
          <w:i w:val="false"/>
          <w:color w:val="000000"/>
          <w:sz w:val="28"/>
        </w:rPr>
        <w:t>
      0,5 при 200&lt;</w:t>
      </w:r>
      <w:r>
        <w:rPr>
          <w:rFonts w:ascii="Times New Roman"/>
          <w:b w:val="false"/>
          <w:i/>
          <w:color w:val="000000"/>
          <w:sz w:val="28"/>
        </w:rPr>
        <w:t>n</w:t>
      </w:r>
      <w:r>
        <w:rPr>
          <w:rFonts w:ascii="Times New Roman"/>
          <w:b w:val="false"/>
          <w:i w:val="false"/>
          <w:color w:val="000000"/>
          <w:sz w:val="28"/>
        </w:rPr>
        <w:t>&lt;500;</w:t>
      </w:r>
    </w:p>
    <w:bookmarkEnd w:id="8428"/>
    <w:bookmarkStart w:name="z8463" w:id="8429"/>
    <w:p>
      <w:pPr>
        <w:spacing w:after="0"/>
        <w:ind w:left="0"/>
        <w:jc w:val="both"/>
      </w:pPr>
      <w:r>
        <w:rPr>
          <w:rFonts w:ascii="Times New Roman"/>
          <w:b w:val="false"/>
          <w:i w:val="false"/>
          <w:color w:val="000000"/>
          <w:sz w:val="28"/>
        </w:rPr>
        <w:t xml:space="preserve">
      0,25 при </w:t>
      </w:r>
      <w:r>
        <w:rPr>
          <w:rFonts w:ascii="Times New Roman"/>
          <w:b w:val="false"/>
          <w:i/>
          <w:color w:val="000000"/>
          <w:sz w:val="28"/>
        </w:rPr>
        <w:t>n</w:t>
      </w:r>
      <w:r>
        <w:rPr>
          <w:rFonts w:ascii="Times New Roman"/>
          <w:b w:val="false"/>
          <w:i w:val="false"/>
          <w:color w:val="000000"/>
          <w:sz w:val="28"/>
        </w:rPr>
        <w:t xml:space="preserve"> &gt; 500;</w:t>
      </w:r>
    </w:p>
    <w:bookmarkEnd w:id="8429"/>
    <w:bookmarkStart w:name="z8464" w:id="843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расчетная частота вращения винта, об/мин.</w:t>
      </w:r>
    </w:p>
    <w:bookmarkEnd w:id="8430"/>
    <w:bookmarkStart w:name="z8465" w:id="8431"/>
    <w:p>
      <w:pPr>
        <w:spacing w:after="0"/>
        <w:ind w:left="0"/>
        <w:jc w:val="both"/>
      </w:pPr>
      <w:r>
        <w:rPr>
          <w:rFonts w:ascii="Times New Roman"/>
          <w:b w:val="false"/>
          <w:i w:val="false"/>
          <w:color w:val="000000"/>
          <w:sz w:val="28"/>
        </w:rPr>
        <w:t>
      При массе винта более 10 т коэффициент к принимается не более 0,5 независимо от частоты вращения винта.</w:t>
      </w:r>
    </w:p>
    <w:bookmarkEnd w:id="8431"/>
    <w:bookmarkStart w:name="z8466" w:id="8432"/>
    <w:p>
      <w:pPr>
        <w:spacing w:after="0"/>
        <w:ind w:left="0"/>
        <w:jc w:val="both"/>
      </w:pPr>
      <w:r>
        <w:rPr>
          <w:rFonts w:ascii="Times New Roman"/>
          <w:b w:val="false"/>
          <w:i w:val="false"/>
          <w:color w:val="000000"/>
          <w:sz w:val="28"/>
        </w:rPr>
        <w:t>
      2832. Силовая система гидравлики ВРШ оборудуется двумя насосами с одинаковой подачей — основным и резервным, — один из которых может быть приводным от главных механизмов. Приводной насос обеспечивает перекладку лопастей на всех режимах работы главных механизмов.</w:t>
      </w:r>
    </w:p>
    <w:bookmarkEnd w:id="8432"/>
    <w:bookmarkStart w:name="z8467" w:id="8433"/>
    <w:p>
      <w:pPr>
        <w:spacing w:after="0"/>
        <w:ind w:left="0"/>
        <w:jc w:val="both"/>
      </w:pPr>
      <w:r>
        <w:rPr>
          <w:rFonts w:ascii="Times New Roman"/>
          <w:b w:val="false"/>
          <w:i w:val="false"/>
          <w:color w:val="000000"/>
          <w:sz w:val="28"/>
        </w:rPr>
        <w:t>
      При числе насосов более двух их подача выбирается из условия, что при выходе из строя любого насоса суммарная подача оставшихся насосов обеспечивает время перекладки лопастей не более, указанного в пункте 2836 настоящих Правил.</w:t>
      </w:r>
    </w:p>
    <w:bookmarkEnd w:id="8433"/>
    <w:bookmarkStart w:name="z8468" w:id="8434"/>
    <w:p>
      <w:pPr>
        <w:spacing w:after="0"/>
        <w:ind w:left="0"/>
        <w:jc w:val="both"/>
      </w:pPr>
      <w:r>
        <w:rPr>
          <w:rFonts w:ascii="Times New Roman"/>
          <w:b w:val="false"/>
          <w:i w:val="false"/>
          <w:color w:val="000000"/>
          <w:sz w:val="28"/>
        </w:rPr>
        <w:t>
      На судах, имеющих два ВРШ, возможно предусмотреть один независимый резервный насос для обоих винтов.</w:t>
      </w:r>
    </w:p>
    <w:bookmarkEnd w:id="8434"/>
    <w:bookmarkStart w:name="z8469" w:id="8435"/>
    <w:p>
      <w:pPr>
        <w:spacing w:after="0"/>
        <w:ind w:left="0"/>
        <w:jc w:val="both"/>
      </w:pPr>
      <w:r>
        <w:rPr>
          <w:rFonts w:ascii="Times New Roman"/>
          <w:b w:val="false"/>
          <w:i w:val="false"/>
          <w:color w:val="000000"/>
          <w:sz w:val="28"/>
        </w:rPr>
        <w:t>
      2833. Механизм изменения шага выполняют таким образом, чтобы при выходе из строя силовой системы гидравлики имелась возможность установки лопастей в положение переднего хода.</w:t>
      </w:r>
    </w:p>
    <w:bookmarkEnd w:id="8435"/>
    <w:bookmarkStart w:name="z8470" w:id="8436"/>
    <w:p>
      <w:pPr>
        <w:spacing w:after="0"/>
        <w:ind w:left="0"/>
        <w:jc w:val="both"/>
      </w:pPr>
      <w:r>
        <w:rPr>
          <w:rFonts w:ascii="Times New Roman"/>
          <w:b w:val="false"/>
          <w:i w:val="false"/>
          <w:color w:val="000000"/>
          <w:sz w:val="28"/>
        </w:rPr>
        <w:t>
      На многовальных судах, указанное требование допускается не выполнять.</w:t>
      </w:r>
    </w:p>
    <w:bookmarkEnd w:id="8436"/>
    <w:bookmarkStart w:name="z8471" w:id="8437"/>
    <w:p>
      <w:pPr>
        <w:spacing w:after="0"/>
        <w:ind w:left="0"/>
        <w:jc w:val="both"/>
      </w:pPr>
      <w:r>
        <w:rPr>
          <w:rFonts w:ascii="Times New Roman"/>
          <w:b w:val="false"/>
          <w:i w:val="false"/>
          <w:color w:val="000000"/>
          <w:sz w:val="28"/>
        </w:rPr>
        <w:t>
      2834. На судах с ВРШ, на которых по условиям эксплуатации возможна перегрузка главного двигателя, рекомендуется применять устройства, автоматически предохраняющие главный двигатель от перегрузки.</w:t>
      </w:r>
    </w:p>
    <w:bookmarkEnd w:id="8437"/>
    <w:bookmarkStart w:name="z8472" w:id="8438"/>
    <w:p>
      <w:pPr>
        <w:spacing w:after="0"/>
        <w:ind w:left="0"/>
        <w:jc w:val="both"/>
      </w:pPr>
      <w:r>
        <w:rPr>
          <w:rFonts w:ascii="Times New Roman"/>
          <w:b w:val="false"/>
          <w:i w:val="false"/>
          <w:color w:val="000000"/>
          <w:sz w:val="28"/>
        </w:rPr>
        <w:t>
      2835. Силовая система гидравлики выполняется согласно требованиям, указанным в подразделе 7 раздела 11 настоящих Правил, а трубопроводы этой системы испытываются согласно требованиям подразделе 21 раздела 10 настоящих Правил.</w:t>
      </w:r>
    </w:p>
    <w:bookmarkEnd w:id="8438"/>
    <w:bookmarkStart w:name="z8473" w:id="8439"/>
    <w:p>
      <w:pPr>
        <w:spacing w:after="0"/>
        <w:ind w:left="0"/>
        <w:jc w:val="both"/>
      </w:pPr>
      <w:r>
        <w:rPr>
          <w:rFonts w:ascii="Times New Roman"/>
          <w:b w:val="false"/>
          <w:i w:val="false"/>
          <w:color w:val="000000"/>
          <w:sz w:val="28"/>
        </w:rPr>
        <w:t>
      2836. Время перекладки лопастей ВРШ с положения полного переднего хода на положение полного заднего хода при неработающих главных механизмах не превышает 20 с для винтов диаметром до 2 м включительно и 30 с — для винтов диаметром свыше 2 м.</w:t>
      </w:r>
    </w:p>
    <w:bookmarkEnd w:id="8439"/>
    <w:bookmarkStart w:name="z8474" w:id="8440"/>
    <w:p>
      <w:pPr>
        <w:spacing w:after="0"/>
        <w:ind w:left="0"/>
        <w:jc w:val="both"/>
      </w:pPr>
      <w:r>
        <w:rPr>
          <w:rFonts w:ascii="Times New Roman"/>
          <w:b w:val="false"/>
          <w:i w:val="false"/>
          <w:color w:val="000000"/>
          <w:sz w:val="28"/>
        </w:rPr>
        <w:t>
      2837. В гравитационных системах смазки ВРШ напорные цистерны располагаются выше самой высокой грузовой ватерлинии и оборудуются указателями уровня и сигнализацией нижнего уровня.</w:t>
      </w:r>
    </w:p>
    <w:bookmarkEnd w:id="8440"/>
    <w:bookmarkStart w:name="z8475" w:id="8441"/>
    <w:p>
      <w:pPr>
        <w:spacing w:after="0"/>
        <w:ind w:left="0"/>
        <w:jc w:val="left"/>
      </w:pPr>
      <w:r>
        <w:rPr>
          <w:rFonts w:ascii="Times New Roman"/>
          <w:b/>
          <w:i w:val="false"/>
          <w:color w:val="000000"/>
        </w:rPr>
        <w:t xml:space="preserve"> Глава 199. Гидравлические испытания</w:t>
      </w:r>
    </w:p>
    <w:bookmarkEnd w:id="8441"/>
    <w:p>
      <w:pPr>
        <w:spacing w:after="0"/>
        <w:ind w:left="0"/>
        <w:jc w:val="both"/>
      </w:pPr>
      <w:r>
        <w:rPr>
          <w:rFonts w:ascii="Times New Roman"/>
          <w:b w:val="false"/>
          <w:i w:val="false"/>
          <w:color w:val="ff0000"/>
          <w:sz w:val="28"/>
        </w:rPr>
        <w:t xml:space="preserve">
      Сноска. Заголовок главы 199 -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76" w:id="8442"/>
    <w:p>
      <w:pPr>
        <w:spacing w:after="0"/>
        <w:ind w:left="0"/>
        <w:jc w:val="both"/>
      </w:pPr>
      <w:r>
        <w:rPr>
          <w:rFonts w:ascii="Times New Roman"/>
          <w:b w:val="false"/>
          <w:i w:val="false"/>
          <w:color w:val="000000"/>
          <w:sz w:val="28"/>
        </w:rPr>
        <w:t>
      2838. Уплотнения конуса и кожуха фланца гребного вала после установки винта испытывают давлением не менее 0,2 МПа. Если указанные уплотнения находятся под давлением масла из дейдвудной трубы или ступицы винта, они испытываются вместе с дейдвудными уплотнениями или ступицей гребного винта.</w:t>
      </w:r>
    </w:p>
    <w:bookmarkEnd w:id="8442"/>
    <w:bookmarkStart w:name="z8477" w:id="8443"/>
    <w:p>
      <w:pPr>
        <w:spacing w:after="0"/>
        <w:ind w:left="0"/>
        <w:jc w:val="both"/>
      </w:pPr>
      <w:r>
        <w:rPr>
          <w:rFonts w:ascii="Times New Roman"/>
          <w:b w:val="false"/>
          <w:i w:val="false"/>
          <w:color w:val="000000"/>
          <w:sz w:val="28"/>
        </w:rPr>
        <w:t>
      2839. Ступица ВРШ после сборки лопастей испытывается внутренним давлением, равным высоте столба рабочего уровня масла в напорной цистерне, или давлением, создаваемым насосом, действующим в системе смазки ступицы.</w:t>
      </w:r>
    </w:p>
    <w:bookmarkEnd w:id="8443"/>
    <w:bookmarkStart w:name="z8478" w:id="8444"/>
    <w:p>
      <w:pPr>
        <w:spacing w:after="0"/>
        <w:ind w:left="0"/>
        <w:jc w:val="both"/>
      </w:pPr>
      <w:r>
        <w:rPr>
          <w:rFonts w:ascii="Times New Roman"/>
          <w:b w:val="false"/>
          <w:i w:val="false"/>
          <w:color w:val="000000"/>
          <w:sz w:val="28"/>
        </w:rPr>
        <w:t>
      Как правило, испытание производится при перекладке лопастей.</w:t>
      </w:r>
    </w:p>
    <w:bookmarkEnd w:id="8444"/>
    <w:bookmarkStart w:name="z8479" w:id="8445"/>
    <w:p>
      <w:pPr>
        <w:spacing w:after="0"/>
        <w:ind w:left="0"/>
        <w:jc w:val="left"/>
      </w:pPr>
      <w:r>
        <w:rPr>
          <w:rFonts w:ascii="Times New Roman"/>
          <w:b/>
          <w:i w:val="false"/>
          <w:color w:val="000000"/>
        </w:rPr>
        <w:t xml:space="preserve"> Подраздел 7. Средства активного управления судами</w:t>
      </w:r>
      <w:r>
        <w:br/>
      </w:r>
      <w:r>
        <w:rPr>
          <w:rFonts w:ascii="Times New Roman"/>
          <w:b/>
          <w:i w:val="false"/>
          <w:color w:val="000000"/>
        </w:rPr>
        <w:t>Глава 200. Общие положения</w:t>
      </w:r>
    </w:p>
    <w:bookmarkEnd w:id="8445"/>
    <w:p>
      <w:pPr>
        <w:spacing w:after="0"/>
        <w:ind w:left="0"/>
        <w:jc w:val="both"/>
      </w:pPr>
      <w:r>
        <w:rPr>
          <w:rFonts w:ascii="Times New Roman"/>
          <w:b w:val="false"/>
          <w:i w:val="false"/>
          <w:color w:val="ff0000"/>
          <w:sz w:val="28"/>
        </w:rPr>
        <w:t xml:space="preserve">
      Сноска. Заголовок главы 200 -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81" w:id="8446"/>
    <w:p>
      <w:pPr>
        <w:spacing w:after="0"/>
        <w:ind w:left="0"/>
        <w:jc w:val="both"/>
      </w:pPr>
      <w:r>
        <w:rPr>
          <w:rFonts w:ascii="Times New Roman"/>
          <w:b w:val="false"/>
          <w:i w:val="false"/>
          <w:color w:val="000000"/>
          <w:sz w:val="28"/>
        </w:rPr>
        <w:t>
      2840. Требования настоящего подраздела относятся к САУС, как они определены в пункте 6 настоящих Правил.</w:t>
      </w:r>
    </w:p>
    <w:bookmarkEnd w:id="8446"/>
    <w:bookmarkStart w:name="z8482" w:id="8447"/>
    <w:p>
      <w:pPr>
        <w:spacing w:after="0"/>
        <w:ind w:left="0"/>
        <w:jc w:val="both"/>
      </w:pPr>
      <w:r>
        <w:rPr>
          <w:rFonts w:ascii="Times New Roman"/>
          <w:b w:val="false"/>
          <w:i w:val="false"/>
          <w:color w:val="000000"/>
          <w:sz w:val="28"/>
        </w:rPr>
        <w:t>
      2841. При установке САУС, как главного движительно-рулевого устройства, их должно быть, как правило, не менее двух.</w:t>
      </w:r>
    </w:p>
    <w:bookmarkEnd w:id="8447"/>
    <w:bookmarkStart w:name="z8483" w:id="8448"/>
    <w:p>
      <w:pPr>
        <w:spacing w:after="0"/>
        <w:ind w:left="0"/>
        <w:jc w:val="both"/>
      </w:pPr>
      <w:r>
        <w:rPr>
          <w:rFonts w:ascii="Times New Roman"/>
          <w:b w:val="false"/>
          <w:i w:val="false"/>
          <w:color w:val="000000"/>
          <w:sz w:val="28"/>
        </w:rPr>
        <w:t>
      При этом предусматриваются посты управления, оборудованные необходимыми приборами и средствами связи, как указано в главах 177, 178-180 настоящих Правил.</w:t>
      </w:r>
    </w:p>
    <w:bookmarkEnd w:id="8448"/>
    <w:bookmarkStart w:name="z8484" w:id="8449"/>
    <w:p>
      <w:pPr>
        <w:spacing w:after="0"/>
        <w:ind w:left="0"/>
        <w:jc w:val="both"/>
      </w:pPr>
      <w:r>
        <w:rPr>
          <w:rFonts w:ascii="Times New Roman"/>
          <w:b w:val="false"/>
          <w:i w:val="false"/>
          <w:color w:val="000000"/>
          <w:sz w:val="28"/>
        </w:rPr>
        <w:t>
      Установка на судне одного САУС в качестве главного движительно-рулевого устройства является в каждом случае предметом специального рассмотрения Регистром судоходства.</w:t>
      </w:r>
    </w:p>
    <w:bookmarkEnd w:id="8449"/>
    <w:bookmarkStart w:name="z8485" w:id="8450"/>
    <w:p>
      <w:pPr>
        <w:spacing w:after="0"/>
        <w:ind w:left="0"/>
        <w:jc w:val="both"/>
      </w:pPr>
      <w:r>
        <w:rPr>
          <w:rFonts w:ascii="Times New Roman"/>
          <w:b w:val="false"/>
          <w:i w:val="false"/>
          <w:color w:val="000000"/>
          <w:sz w:val="28"/>
        </w:rPr>
        <w:t>
      2842. Требования по установке механизмов и оборудования САУС, материалам и сварке указаны главах 173, 176, 184 настоящих Правил.</w:t>
      </w:r>
    </w:p>
    <w:bookmarkEnd w:id="8450"/>
    <w:bookmarkStart w:name="z8486" w:id="8451"/>
    <w:p>
      <w:pPr>
        <w:spacing w:after="0"/>
        <w:ind w:left="0"/>
        <w:jc w:val="both"/>
      </w:pPr>
      <w:r>
        <w:rPr>
          <w:rFonts w:ascii="Times New Roman"/>
          <w:b w:val="false"/>
          <w:i w:val="false"/>
          <w:color w:val="000000"/>
          <w:sz w:val="28"/>
        </w:rPr>
        <w:t>
      2843. Для САУС в составе пропульсивных установок и систем динамического позиционирования размеры и материалы валов, муфт, соединительных болтов, движителей, зубчатых передач, а также электрооборудование отвечают требованиям соответствующих разделов и подразделов Правил.</w:t>
      </w:r>
    </w:p>
    <w:bookmarkEnd w:id="8451"/>
    <w:bookmarkStart w:name="z8487" w:id="8452"/>
    <w:p>
      <w:pPr>
        <w:spacing w:after="0"/>
        <w:ind w:left="0"/>
        <w:jc w:val="both"/>
      </w:pPr>
      <w:r>
        <w:rPr>
          <w:rFonts w:ascii="Times New Roman"/>
          <w:b w:val="false"/>
          <w:i w:val="false"/>
          <w:color w:val="000000"/>
          <w:sz w:val="28"/>
        </w:rPr>
        <w:t>
      Для главных САУС выполняются кроме того, применимые требования соответствующих подразделов Правил, относящиеся к рулевым устройствам.</w:t>
      </w:r>
    </w:p>
    <w:bookmarkEnd w:id="8452"/>
    <w:bookmarkStart w:name="z8488" w:id="8453"/>
    <w:p>
      <w:pPr>
        <w:spacing w:after="0"/>
        <w:ind w:left="0"/>
        <w:jc w:val="both"/>
      </w:pPr>
      <w:r>
        <w:rPr>
          <w:rFonts w:ascii="Times New Roman"/>
          <w:b w:val="false"/>
          <w:i w:val="false"/>
          <w:color w:val="000000"/>
          <w:sz w:val="28"/>
        </w:rPr>
        <w:t>
      При отсутствии в Правилах требований к отдельным элементам САУС, их применение является предметом специального рассмотрения Регистром судоходства.</w:t>
      </w:r>
    </w:p>
    <w:bookmarkEnd w:id="8453"/>
    <w:bookmarkStart w:name="z8489" w:id="8454"/>
    <w:p>
      <w:pPr>
        <w:spacing w:after="0"/>
        <w:ind w:left="0"/>
        <w:jc w:val="both"/>
      </w:pPr>
      <w:r>
        <w:rPr>
          <w:rFonts w:ascii="Times New Roman"/>
          <w:b w:val="false"/>
          <w:i w:val="false"/>
          <w:color w:val="000000"/>
          <w:sz w:val="28"/>
        </w:rPr>
        <w:t>
      2844. Расчеты зубчатых передач САУС выполняются по методике, изложенной в главе 364 настоящих Правил, или по методике, признанной Регистром судоходства. При этом коэффициенты запаса зубчатых передач должны быть не менее, указанных в главе 364 настоящих Правил. Значения этих коэффициентов для передач САУС систем динамического позиционирования принимаются как для главных САУС.</w:t>
      </w:r>
    </w:p>
    <w:bookmarkEnd w:id="8454"/>
    <w:bookmarkStart w:name="z8490" w:id="8455"/>
    <w:p>
      <w:pPr>
        <w:spacing w:after="0"/>
        <w:ind w:left="0"/>
        <w:jc w:val="both"/>
      </w:pPr>
      <w:r>
        <w:rPr>
          <w:rFonts w:ascii="Times New Roman"/>
          <w:b w:val="false"/>
          <w:i w:val="false"/>
          <w:color w:val="000000"/>
          <w:sz w:val="28"/>
        </w:rPr>
        <w:t>
      2845. Минимальный ресурс подшипников качения следует принимать не менее:</w:t>
      </w:r>
    </w:p>
    <w:bookmarkEnd w:id="8455"/>
    <w:bookmarkStart w:name="z8491" w:id="8456"/>
    <w:p>
      <w:pPr>
        <w:spacing w:after="0"/>
        <w:ind w:left="0"/>
        <w:jc w:val="both"/>
      </w:pPr>
      <w:r>
        <w:rPr>
          <w:rFonts w:ascii="Times New Roman"/>
          <w:b w:val="false"/>
          <w:i w:val="false"/>
          <w:color w:val="000000"/>
          <w:sz w:val="28"/>
        </w:rPr>
        <w:t>
      30000 ч — для главных САУС,</w:t>
      </w:r>
    </w:p>
    <w:bookmarkEnd w:id="8456"/>
    <w:bookmarkStart w:name="z8492" w:id="8457"/>
    <w:p>
      <w:pPr>
        <w:spacing w:after="0"/>
        <w:ind w:left="0"/>
        <w:jc w:val="both"/>
      </w:pPr>
      <w:r>
        <w:rPr>
          <w:rFonts w:ascii="Times New Roman"/>
          <w:b w:val="false"/>
          <w:i w:val="false"/>
          <w:color w:val="000000"/>
          <w:sz w:val="28"/>
        </w:rPr>
        <w:t>
      10000 ч — для САУС систем динамического позиционирования,</w:t>
      </w:r>
    </w:p>
    <w:bookmarkEnd w:id="8457"/>
    <w:bookmarkStart w:name="z8493" w:id="8458"/>
    <w:p>
      <w:pPr>
        <w:spacing w:after="0"/>
        <w:ind w:left="0"/>
        <w:jc w:val="both"/>
      </w:pPr>
      <w:r>
        <w:rPr>
          <w:rFonts w:ascii="Times New Roman"/>
          <w:b w:val="false"/>
          <w:i w:val="false"/>
          <w:color w:val="000000"/>
          <w:sz w:val="28"/>
        </w:rPr>
        <w:t>
      5000 ч — для вспомогательных САУС.</w:t>
      </w:r>
    </w:p>
    <w:bookmarkEnd w:id="8458"/>
    <w:bookmarkStart w:name="z8494" w:id="8459"/>
    <w:p>
      <w:pPr>
        <w:spacing w:after="0"/>
        <w:ind w:left="0"/>
        <w:jc w:val="both"/>
      </w:pPr>
      <w:r>
        <w:rPr>
          <w:rFonts w:ascii="Times New Roman"/>
          <w:b w:val="false"/>
          <w:i w:val="false"/>
          <w:color w:val="000000"/>
          <w:sz w:val="28"/>
        </w:rPr>
        <w:t>
      2846. Помещения, в которых находятся механизмы САУС, оборудуют соответствующими средствами вентиляции, пожаротушения, осушения, обогрева и освещения.</w:t>
      </w:r>
    </w:p>
    <w:bookmarkEnd w:id="8459"/>
    <w:bookmarkStart w:name="z8495" w:id="8460"/>
    <w:p>
      <w:pPr>
        <w:spacing w:after="0"/>
        <w:ind w:left="0"/>
        <w:jc w:val="left"/>
      </w:pPr>
      <w:r>
        <w:rPr>
          <w:rFonts w:ascii="Times New Roman"/>
          <w:b/>
          <w:i w:val="false"/>
          <w:color w:val="000000"/>
        </w:rPr>
        <w:t xml:space="preserve"> Глава 201. Требования к конструкции</w:t>
      </w:r>
    </w:p>
    <w:bookmarkEnd w:id="8460"/>
    <w:p>
      <w:pPr>
        <w:spacing w:after="0"/>
        <w:ind w:left="0"/>
        <w:jc w:val="both"/>
      </w:pPr>
      <w:r>
        <w:rPr>
          <w:rFonts w:ascii="Times New Roman"/>
          <w:b w:val="false"/>
          <w:i w:val="false"/>
          <w:color w:val="ff0000"/>
          <w:sz w:val="28"/>
        </w:rPr>
        <w:t xml:space="preserve">
      Сноска. Заголовок главы 201 -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96" w:id="8461"/>
    <w:p>
      <w:pPr>
        <w:spacing w:after="0"/>
        <w:ind w:left="0"/>
        <w:jc w:val="both"/>
      </w:pPr>
      <w:r>
        <w:rPr>
          <w:rFonts w:ascii="Times New Roman"/>
          <w:b w:val="false"/>
          <w:i w:val="false"/>
          <w:color w:val="000000"/>
          <w:sz w:val="28"/>
        </w:rPr>
        <w:t>
      2847. Движительно-рулевые поворотные колонки имеют устройства, обеспечивающие фиксацию положения при повороте на любой угол.</w:t>
      </w:r>
    </w:p>
    <w:bookmarkEnd w:id="8461"/>
    <w:bookmarkStart w:name="z8497" w:id="8462"/>
    <w:p>
      <w:pPr>
        <w:spacing w:after="0"/>
        <w:ind w:left="0"/>
        <w:jc w:val="both"/>
      </w:pPr>
      <w:r>
        <w:rPr>
          <w:rFonts w:ascii="Times New Roman"/>
          <w:b w:val="false"/>
          <w:i w:val="false"/>
          <w:color w:val="000000"/>
          <w:sz w:val="28"/>
        </w:rPr>
        <w:t>
      2848. Главные САУС имеют аварийный механизм поворота.</w:t>
      </w:r>
    </w:p>
    <w:bookmarkEnd w:id="8462"/>
    <w:bookmarkStart w:name="z8498" w:id="8463"/>
    <w:p>
      <w:pPr>
        <w:spacing w:after="0"/>
        <w:ind w:left="0"/>
        <w:jc w:val="both"/>
      </w:pPr>
      <w:r>
        <w:rPr>
          <w:rFonts w:ascii="Times New Roman"/>
          <w:b w:val="false"/>
          <w:i w:val="false"/>
          <w:color w:val="000000"/>
          <w:sz w:val="28"/>
        </w:rPr>
        <w:t>
      2849. Движительно-рулевая колонка, осуществляющая реверс поворотом установки, обеспечивает приемлемое время реверсирования в зависимости от назначения судна. При этом время поворота колонки на 180</w:t>
      </w:r>
      <w:r>
        <w:rPr>
          <w:rFonts w:ascii="Times New Roman"/>
          <w:b w:val="false"/>
          <w:i w:val="false"/>
          <w:color w:val="000000"/>
          <w:vertAlign w:val="superscript"/>
        </w:rPr>
        <w:t>o</w:t>
      </w:r>
      <w:r>
        <w:rPr>
          <w:rFonts w:ascii="Times New Roman"/>
          <w:b w:val="false"/>
          <w:i w:val="false"/>
          <w:color w:val="000000"/>
          <w:sz w:val="28"/>
        </w:rPr>
        <w:t xml:space="preserve"> не должно быть более 20 с для установок с винтом диаметром до 2 м включительно и более 30 с — для установок с винтом диаметром свыше 2 м.</w:t>
      </w:r>
    </w:p>
    <w:bookmarkEnd w:id="8463"/>
    <w:bookmarkStart w:name="z8499" w:id="8464"/>
    <w:p>
      <w:pPr>
        <w:spacing w:after="0"/>
        <w:ind w:left="0"/>
        <w:jc w:val="both"/>
      </w:pPr>
      <w:r>
        <w:rPr>
          <w:rFonts w:ascii="Times New Roman"/>
          <w:b w:val="false"/>
          <w:i w:val="false"/>
          <w:color w:val="000000"/>
          <w:sz w:val="28"/>
        </w:rPr>
        <w:t>
      2850. Внутренняя часть САУС надежно защищают от попадания забортной воды уплотнениями одобренного Регистром судоходства типа. Для главных САУС и САУС систем динамического позиционирования это уплотнение состоит не менее чем из двух отдельных близких по эффективности уплотнительных элементов.</w:t>
      </w:r>
    </w:p>
    <w:bookmarkEnd w:id="8464"/>
    <w:bookmarkStart w:name="z8500" w:id="8465"/>
    <w:p>
      <w:pPr>
        <w:spacing w:after="0"/>
        <w:ind w:left="0"/>
        <w:jc w:val="both"/>
      </w:pPr>
      <w:r>
        <w:rPr>
          <w:rFonts w:ascii="Times New Roman"/>
          <w:b w:val="false"/>
          <w:i w:val="false"/>
          <w:color w:val="000000"/>
          <w:sz w:val="28"/>
        </w:rPr>
        <w:t>
      2851. Обеспечивается удобный доступ к составным частям САУС при их обслуживании в объеме, предусмотренном руководством по обслуживанию и эксплуатации.</w:t>
      </w:r>
    </w:p>
    <w:bookmarkEnd w:id="8465"/>
    <w:bookmarkStart w:name="z8501" w:id="8466"/>
    <w:p>
      <w:pPr>
        <w:spacing w:after="0"/>
        <w:ind w:left="0"/>
        <w:jc w:val="both"/>
      </w:pPr>
      <w:r>
        <w:rPr>
          <w:rFonts w:ascii="Times New Roman"/>
          <w:b w:val="false"/>
          <w:i w:val="false"/>
          <w:color w:val="000000"/>
          <w:sz w:val="28"/>
        </w:rPr>
        <w:t>
      2852. Если конструкция главных САУС не обеспечивает предотвращение свободного вращения движителя и валопровода в случае выхода из строя приводного механизма, предусматривается тормозное устройство в соответствии с требованиями главы 193 настоящих Правил.</w:t>
      </w:r>
    </w:p>
    <w:bookmarkEnd w:id="8466"/>
    <w:bookmarkStart w:name="z8502" w:id="8467"/>
    <w:p>
      <w:pPr>
        <w:spacing w:after="0"/>
        <w:ind w:left="0"/>
        <w:jc w:val="both"/>
      </w:pPr>
      <w:r>
        <w:rPr>
          <w:rFonts w:ascii="Times New Roman"/>
          <w:b w:val="false"/>
          <w:i w:val="false"/>
          <w:color w:val="000000"/>
          <w:sz w:val="28"/>
        </w:rPr>
        <w:t>
      По согласованию с Регистром судоходства тормозные устройства для САУС систем динамического позиционирования и вспомогательных САУС допускается не предусматривать.</w:t>
      </w:r>
    </w:p>
    <w:bookmarkEnd w:id="8467"/>
    <w:bookmarkStart w:name="z8503" w:id="8468"/>
    <w:p>
      <w:pPr>
        <w:spacing w:after="0"/>
        <w:ind w:left="0"/>
        <w:jc w:val="both"/>
      </w:pPr>
      <w:r>
        <w:rPr>
          <w:rFonts w:ascii="Times New Roman"/>
          <w:b w:val="false"/>
          <w:i w:val="false"/>
          <w:color w:val="000000"/>
          <w:sz w:val="28"/>
        </w:rPr>
        <w:t>
      2853. Прочность деталей механизма поворота главных САУС, деталей корпуса и крепления составных частей, валов, зубчатых передач, деталей ВРШ рассчитывают таким образом, чтобы они могли выдержать без повреждения нагрузку, вызывающую поломку лопасти гребного винта.</w:t>
      </w:r>
    </w:p>
    <w:bookmarkEnd w:id="8468"/>
    <w:bookmarkStart w:name="z8504" w:id="8469"/>
    <w:p>
      <w:pPr>
        <w:spacing w:after="0"/>
        <w:ind w:left="0"/>
        <w:jc w:val="both"/>
      </w:pPr>
      <w:r>
        <w:rPr>
          <w:rFonts w:ascii="Times New Roman"/>
          <w:b w:val="false"/>
          <w:i w:val="false"/>
          <w:color w:val="000000"/>
          <w:sz w:val="28"/>
        </w:rPr>
        <w:t>
      2854. Главные САУС ледоколов имеют устройство, предотвращающее ледовые перегрузки механизма поворота.</w:t>
      </w:r>
    </w:p>
    <w:bookmarkEnd w:id="8469"/>
    <w:bookmarkStart w:name="z8505" w:id="8470"/>
    <w:p>
      <w:pPr>
        <w:spacing w:after="0"/>
        <w:ind w:left="0"/>
        <w:jc w:val="both"/>
      </w:pPr>
      <w:r>
        <w:rPr>
          <w:rFonts w:ascii="Times New Roman"/>
          <w:b w:val="false"/>
          <w:i w:val="false"/>
          <w:color w:val="000000"/>
          <w:sz w:val="28"/>
        </w:rPr>
        <w:t>
      2855. Прочность деталей механизма поворота главных САУС, элементов крепления к корпусу рассчитывают таким образом, чтобы выдержать без повреждения гидродинамические и ледовые нагрузки, воздействующие на гребной винт, насадку и корпус САУС. Методика определения расчетных нагрузок согласовывается с Регистром судоходства. Допускается определение гидродинамических и ледовых нагрузок на элементы САУС по результатам гидродинамических испытаний и испытаний самоходных моделей в ледовом опытовом бассейне по методикам, согласованным с Регистром судоходства.</w:t>
      </w:r>
    </w:p>
    <w:bookmarkEnd w:id="8470"/>
    <w:bookmarkStart w:name="z8506" w:id="8471"/>
    <w:p>
      <w:pPr>
        <w:spacing w:after="0"/>
        <w:ind w:left="0"/>
        <w:jc w:val="left"/>
      </w:pPr>
      <w:r>
        <w:rPr>
          <w:rFonts w:ascii="Times New Roman"/>
          <w:b/>
          <w:i w:val="false"/>
          <w:color w:val="000000"/>
        </w:rPr>
        <w:t xml:space="preserve"> Глава 202. Средства аварийно-предупредительной сигнализации</w:t>
      </w:r>
    </w:p>
    <w:bookmarkEnd w:id="8471"/>
    <w:p>
      <w:pPr>
        <w:spacing w:after="0"/>
        <w:ind w:left="0"/>
        <w:jc w:val="both"/>
      </w:pPr>
      <w:r>
        <w:rPr>
          <w:rFonts w:ascii="Times New Roman"/>
          <w:b w:val="false"/>
          <w:i w:val="false"/>
          <w:color w:val="ff0000"/>
          <w:sz w:val="28"/>
        </w:rPr>
        <w:t xml:space="preserve">
      Сноска. Заголовок главы 202 -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07" w:id="8472"/>
    <w:p>
      <w:pPr>
        <w:spacing w:after="0"/>
        <w:ind w:left="0"/>
        <w:jc w:val="both"/>
      </w:pPr>
      <w:r>
        <w:rPr>
          <w:rFonts w:ascii="Times New Roman"/>
          <w:b w:val="false"/>
          <w:i w:val="false"/>
          <w:color w:val="000000"/>
          <w:sz w:val="28"/>
        </w:rPr>
        <w:t>
      2856. САУС, как минимум, оборудуют средствами аварийно-предупредительной сигнализации по следующим параметрам:</w:t>
      </w:r>
    </w:p>
    <w:bookmarkEnd w:id="8472"/>
    <w:bookmarkStart w:name="z8508" w:id="8473"/>
    <w:p>
      <w:pPr>
        <w:spacing w:after="0"/>
        <w:ind w:left="0"/>
        <w:jc w:val="both"/>
      </w:pPr>
      <w:r>
        <w:rPr>
          <w:rFonts w:ascii="Times New Roman"/>
          <w:b w:val="false"/>
          <w:i w:val="false"/>
          <w:color w:val="000000"/>
          <w:sz w:val="28"/>
        </w:rPr>
        <w:t>
      1) перегрузка и аварийная остановка приводного двигателя;</w:t>
      </w:r>
    </w:p>
    <w:bookmarkEnd w:id="8473"/>
    <w:bookmarkStart w:name="z8509" w:id="8474"/>
    <w:p>
      <w:pPr>
        <w:spacing w:after="0"/>
        <w:ind w:left="0"/>
        <w:jc w:val="both"/>
      </w:pPr>
      <w:r>
        <w:rPr>
          <w:rFonts w:ascii="Times New Roman"/>
          <w:b w:val="false"/>
          <w:i w:val="false"/>
          <w:color w:val="000000"/>
          <w:sz w:val="28"/>
        </w:rPr>
        <w:t>
      2) потеря питания в системе дистанционного управления и сигнализации;</w:t>
      </w:r>
    </w:p>
    <w:bookmarkEnd w:id="8474"/>
    <w:bookmarkStart w:name="z8510" w:id="8475"/>
    <w:p>
      <w:pPr>
        <w:spacing w:after="0"/>
        <w:ind w:left="0"/>
        <w:jc w:val="both"/>
      </w:pPr>
      <w:r>
        <w:rPr>
          <w:rFonts w:ascii="Times New Roman"/>
          <w:b w:val="false"/>
          <w:i w:val="false"/>
          <w:color w:val="000000"/>
          <w:sz w:val="28"/>
        </w:rPr>
        <w:t>
      3) низкий уровень в цистерне смазочного масла (если имеется);</w:t>
      </w:r>
    </w:p>
    <w:bookmarkEnd w:id="8475"/>
    <w:bookmarkStart w:name="z8511" w:id="8476"/>
    <w:p>
      <w:pPr>
        <w:spacing w:after="0"/>
        <w:ind w:left="0"/>
        <w:jc w:val="both"/>
      </w:pPr>
      <w:r>
        <w:rPr>
          <w:rFonts w:ascii="Times New Roman"/>
          <w:b w:val="false"/>
          <w:i w:val="false"/>
          <w:color w:val="000000"/>
          <w:sz w:val="28"/>
        </w:rPr>
        <w:t>
      4) низкое давление в системе смазочного масла при смазке под давлением;</w:t>
      </w:r>
    </w:p>
    <w:bookmarkEnd w:id="8476"/>
    <w:bookmarkStart w:name="z8512" w:id="8477"/>
    <w:p>
      <w:pPr>
        <w:spacing w:after="0"/>
        <w:ind w:left="0"/>
        <w:jc w:val="both"/>
      </w:pPr>
      <w:r>
        <w:rPr>
          <w:rFonts w:ascii="Times New Roman"/>
          <w:b w:val="false"/>
          <w:i w:val="false"/>
          <w:color w:val="000000"/>
          <w:sz w:val="28"/>
        </w:rPr>
        <w:t>
      5) низкий уровень масла в системе гидравлики разворота колонок и лопастей ВРШ;</w:t>
      </w:r>
    </w:p>
    <w:bookmarkEnd w:id="8477"/>
    <w:bookmarkStart w:name="z8513" w:id="8478"/>
    <w:p>
      <w:pPr>
        <w:spacing w:after="0"/>
        <w:ind w:left="0"/>
        <w:jc w:val="both"/>
      </w:pPr>
      <w:r>
        <w:rPr>
          <w:rFonts w:ascii="Times New Roman"/>
          <w:b w:val="false"/>
          <w:i w:val="false"/>
          <w:color w:val="000000"/>
          <w:sz w:val="28"/>
        </w:rPr>
        <w:t>
      6) низкий уровень масла в цистерне подпора уплотняющих устройств;</w:t>
      </w:r>
    </w:p>
    <w:bookmarkEnd w:id="8478"/>
    <w:bookmarkStart w:name="z8514" w:id="8479"/>
    <w:p>
      <w:pPr>
        <w:spacing w:after="0"/>
        <w:ind w:left="0"/>
        <w:jc w:val="both"/>
      </w:pPr>
      <w:r>
        <w:rPr>
          <w:rFonts w:ascii="Times New Roman"/>
          <w:b w:val="false"/>
          <w:i w:val="false"/>
          <w:color w:val="000000"/>
          <w:sz w:val="28"/>
        </w:rPr>
        <w:t>
      7) высокий уровень воды в льялах корпуса и помещений САУС.</w:t>
      </w:r>
    </w:p>
    <w:bookmarkEnd w:id="8479"/>
    <w:bookmarkStart w:name="z8515" w:id="8480"/>
    <w:p>
      <w:pPr>
        <w:spacing w:after="0"/>
        <w:ind w:left="0"/>
        <w:jc w:val="both"/>
      </w:pPr>
      <w:r>
        <w:rPr>
          <w:rFonts w:ascii="Times New Roman"/>
          <w:b w:val="false"/>
          <w:i w:val="false"/>
          <w:color w:val="000000"/>
          <w:sz w:val="28"/>
        </w:rPr>
        <w:t>
      2857. На мостике предусматривают приборы, обеспечивающие индивидуальную индикацию по следующим параметрам:</w:t>
      </w:r>
    </w:p>
    <w:bookmarkEnd w:id="8480"/>
    <w:bookmarkStart w:name="z8516" w:id="8481"/>
    <w:p>
      <w:pPr>
        <w:spacing w:after="0"/>
        <w:ind w:left="0"/>
        <w:jc w:val="both"/>
      </w:pPr>
      <w:r>
        <w:rPr>
          <w:rFonts w:ascii="Times New Roman"/>
          <w:b w:val="false"/>
          <w:i w:val="false"/>
          <w:color w:val="000000"/>
          <w:sz w:val="28"/>
        </w:rPr>
        <w:t>
      1) перегрузка приводного двигателя САУС и двигателя привода разворота винторулевых поворотных колонок, если отсутствует автоматическая защита;</w:t>
      </w:r>
    </w:p>
    <w:bookmarkEnd w:id="8481"/>
    <w:bookmarkStart w:name="z8517" w:id="8482"/>
    <w:p>
      <w:pPr>
        <w:spacing w:after="0"/>
        <w:ind w:left="0"/>
        <w:jc w:val="both"/>
      </w:pPr>
      <w:r>
        <w:rPr>
          <w:rFonts w:ascii="Times New Roman"/>
          <w:b w:val="false"/>
          <w:i w:val="false"/>
          <w:color w:val="000000"/>
          <w:sz w:val="28"/>
        </w:rPr>
        <w:t>
      2) частота вращения гребного винта;</w:t>
      </w:r>
    </w:p>
    <w:bookmarkEnd w:id="8482"/>
    <w:bookmarkStart w:name="z8518" w:id="8483"/>
    <w:p>
      <w:pPr>
        <w:spacing w:after="0"/>
        <w:ind w:left="0"/>
        <w:jc w:val="both"/>
      </w:pPr>
      <w:r>
        <w:rPr>
          <w:rFonts w:ascii="Times New Roman"/>
          <w:b w:val="false"/>
          <w:i w:val="false"/>
          <w:color w:val="000000"/>
          <w:sz w:val="28"/>
        </w:rPr>
        <w:t>
      3) угол разворота лопастей или шаг ВРШ;</w:t>
      </w:r>
    </w:p>
    <w:bookmarkEnd w:id="8483"/>
    <w:bookmarkStart w:name="z8519" w:id="8484"/>
    <w:p>
      <w:pPr>
        <w:spacing w:after="0"/>
        <w:ind w:left="0"/>
        <w:jc w:val="both"/>
      </w:pPr>
      <w:r>
        <w:rPr>
          <w:rFonts w:ascii="Times New Roman"/>
          <w:b w:val="false"/>
          <w:i w:val="false"/>
          <w:color w:val="000000"/>
          <w:sz w:val="28"/>
        </w:rPr>
        <w:t>
      4) направление упора ВФШ;</w:t>
      </w:r>
    </w:p>
    <w:bookmarkEnd w:id="8484"/>
    <w:bookmarkStart w:name="z8520" w:id="8485"/>
    <w:p>
      <w:pPr>
        <w:spacing w:after="0"/>
        <w:ind w:left="0"/>
        <w:jc w:val="both"/>
      </w:pPr>
      <w:r>
        <w:rPr>
          <w:rFonts w:ascii="Times New Roman"/>
          <w:b w:val="false"/>
          <w:i w:val="false"/>
          <w:color w:val="000000"/>
          <w:sz w:val="28"/>
        </w:rPr>
        <w:t>
      5) угол поворота винторулевой колонки;</w:t>
      </w:r>
    </w:p>
    <w:bookmarkEnd w:id="8485"/>
    <w:bookmarkStart w:name="z8521" w:id="8486"/>
    <w:p>
      <w:pPr>
        <w:spacing w:after="0"/>
        <w:ind w:left="0"/>
        <w:jc w:val="both"/>
      </w:pPr>
      <w:r>
        <w:rPr>
          <w:rFonts w:ascii="Times New Roman"/>
          <w:b w:val="false"/>
          <w:i w:val="false"/>
          <w:color w:val="000000"/>
          <w:sz w:val="28"/>
        </w:rPr>
        <w:t>
      6) наличие питания в системе сигнализации.</w:t>
      </w:r>
    </w:p>
    <w:bookmarkEnd w:id="8486"/>
    <w:bookmarkStart w:name="z8522" w:id="8487"/>
    <w:p>
      <w:pPr>
        <w:spacing w:after="0"/>
        <w:ind w:left="0"/>
        <w:jc w:val="both"/>
      </w:pPr>
      <w:r>
        <w:rPr>
          <w:rFonts w:ascii="Times New Roman"/>
          <w:b w:val="false"/>
          <w:i w:val="false"/>
          <w:color w:val="000000"/>
          <w:sz w:val="28"/>
        </w:rPr>
        <w:t>
      2858. Для вспомогательных САУС число параметров аварийно-предупредительной сигнализации и приборов индикации возможно уменьшить по согласованию с Регистром судоходства.</w:t>
      </w:r>
    </w:p>
    <w:bookmarkEnd w:id="8487"/>
    <w:bookmarkStart w:name="z8523" w:id="8488"/>
    <w:p>
      <w:pPr>
        <w:spacing w:after="0"/>
        <w:ind w:left="0"/>
        <w:jc w:val="left"/>
      </w:pPr>
      <w:r>
        <w:rPr>
          <w:rFonts w:ascii="Times New Roman"/>
          <w:b/>
          <w:i w:val="false"/>
          <w:color w:val="000000"/>
        </w:rPr>
        <w:t xml:space="preserve"> Глава 203. Гидравлические испытания</w:t>
      </w:r>
    </w:p>
    <w:bookmarkEnd w:id="8488"/>
    <w:p>
      <w:pPr>
        <w:spacing w:after="0"/>
        <w:ind w:left="0"/>
        <w:jc w:val="both"/>
      </w:pPr>
      <w:r>
        <w:rPr>
          <w:rFonts w:ascii="Times New Roman"/>
          <w:b w:val="false"/>
          <w:i w:val="false"/>
          <w:color w:val="ff0000"/>
          <w:sz w:val="28"/>
        </w:rPr>
        <w:t xml:space="preserve">
      Сноска. Заголовок главы 203 -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24" w:id="8489"/>
    <w:p>
      <w:pPr>
        <w:spacing w:after="0"/>
        <w:ind w:left="0"/>
        <w:jc w:val="both"/>
      </w:pPr>
      <w:r>
        <w:rPr>
          <w:rFonts w:ascii="Times New Roman"/>
          <w:b w:val="false"/>
          <w:i w:val="false"/>
          <w:color w:val="000000"/>
          <w:sz w:val="28"/>
        </w:rPr>
        <w:t>
      2859. Внутренняя часть корпуса установок после сборки испытывается пробным гидравлическим давлением, соответствующим максимальной рабочей глубине погружения, с учетом подпора уплотняющих устройств.</w:t>
      </w:r>
    </w:p>
    <w:bookmarkEnd w:id="8489"/>
    <w:bookmarkStart w:name="z8525" w:id="8490"/>
    <w:p>
      <w:pPr>
        <w:spacing w:after="0"/>
        <w:ind w:left="0"/>
        <w:jc w:val="both"/>
      </w:pPr>
      <w:r>
        <w:rPr>
          <w:rFonts w:ascii="Times New Roman"/>
          <w:b w:val="false"/>
          <w:i w:val="false"/>
          <w:color w:val="000000"/>
          <w:sz w:val="28"/>
        </w:rPr>
        <w:t>
      2860. Уплотнения после монтажа испытывают на плотность давлением, равным высоте столба жидкости в напорных цистернах при рабочем уровне.</w:t>
      </w:r>
    </w:p>
    <w:bookmarkEnd w:id="8490"/>
    <w:bookmarkStart w:name="z8526" w:id="8491"/>
    <w:p>
      <w:pPr>
        <w:spacing w:after="0"/>
        <w:ind w:left="0"/>
        <w:jc w:val="both"/>
      </w:pPr>
      <w:r>
        <w:rPr>
          <w:rFonts w:ascii="Times New Roman"/>
          <w:b w:val="false"/>
          <w:i w:val="false"/>
          <w:color w:val="000000"/>
          <w:sz w:val="28"/>
        </w:rPr>
        <w:t>
      2861. Дополнительно возможно потребуется проверка сварных швов деталей рулевой колонки и других сварных конструкций методом неразрушающего контроля в объеме требований раздела 16 настоящих Правил.</w:t>
      </w:r>
    </w:p>
    <w:bookmarkEnd w:id="8491"/>
    <w:bookmarkStart w:name="z8527" w:id="8492"/>
    <w:p>
      <w:pPr>
        <w:spacing w:after="0"/>
        <w:ind w:left="0"/>
        <w:jc w:val="left"/>
      </w:pPr>
      <w:r>
        <w:rPr>
          <w:rFonts w:ascii="Times New Roman"/>
          <w:b/>
          <w:i w:val="false"/>
          <w:color w:val="000000"/>
        </w:rPr>
        <w:t xml:space="preserve"> Подраздел 8. Крутильные колебания</w:t>
      </w:r>
      <w:r>
        <w:br/>
      </w:r>
      <w:r>
        <w:rPr>
          <w:rFonts w:ascii="Times New Roman"/>
          <w:b/>
          <w:i w:val="false"/>
          <w:color w:val="000000"/>
        </w:rPr>
        <w:t>Глава 204. Общие положения</w:t>
      </w:r>
    </w:p>
    <w:bookmarkEnd w:id="8492"/>
    <w:p>
      <w:pPr>
        <w:spacing w:after="0"/>
        <w:ind w:left="0"/>
        <w:jc w:val="both"/>
      </w:pPr>
      <w:r>
        <w:rPr>
          <w:rFonts w:ascii="Times New Roman"/>
          <w:b w:val="false"/>
          <w:i w:val="false"/>
          <w:color w:val="ff0000"/>
          <w:sz w:val="28"/>
        </w:rPr>
        <w:t xml:space="preserve">
      Сноска. Заголовок главы 204 -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29" w:id="8493"/>
    <w:p>
      <w:pPr>
        <w:spacing w:after="0"/>
        <w:ind w:left="0"/>
        <w:jc w:val="both"/>
      </w:pPr>
      <w:r>
        <w:rPr>
          <w:rFonts w:ascii="Times New Roman"/>
          <w:b w:val="false"/>
          <w:i w:val="false"/>
          <w:color w:val="000000"/>
          <w:sz w:val="28"/>
        </w:rPr>
        <w:t>
      2862. Требования настоящего подраздела распространяется на пропульсивные установки мощностью не менее 75 кВт при применении ДВС и не менее 110 кВт при применении турбо- и электропривода, а также на дизель-генераторы и вспомогательные механизмы с ДВС мощностью не менее 110 кВт.</w:t>
      </w:r>
    </w:p>
    <w:bookmarkEnd w:id="8493"/>
    <w:bookmarkStart w:name="z8530" w:id="8494"/>
    <w:p>
      <w:pPr>
        <w:spacing w:after="0"/>
        <w:ind w:left="0"/>
        <w:jc w:val="both"/>
      </w:pPr>
      <w:r>
        <w:rPr>
          <w:rFonts w:ascii="Times New Roman"/>
          <w:b w:val="false"/>
          <w:i w:val="false"/>
          <w:color w:val="000000"/>
          <w:sz w:val="28"/>
        </w:rPr>
        <w:t>
      2863. Расчеты крутильных колебаний выполняются как для основного варианта работы установки, так и для следующих возможных в эксплуатации вариантов и режимов:</w:t>
      </w:r>
    </w:p>
    <w:bookmarkEnd w:id="8494"/>
    <w:bookmarkStart w:name="z8531" w:id="8495"/>
    <w:p>
      <w:pPr>
        <w:spacing w:after="0"/>
        <w:ind w:left="0"/>
        <w:jc w:val="both"/>
      </w:pPr>
      <w:r>
        <w:rPr>
          <w:rFonts w:ascii="Times New Roman"/>
          <w:b w:val="false"/>
          <w:i w:val="false"/>
          <w:color w:val="000000"/>
          <w:sz w:val="28"/>
        </w:rPr>
        <w:t>
      1) максимального отбора мощности и холостого хода (при нулевом положении лопастей) в установках с ВРШ и крыльчатыми движителями;</w:t>
      </w:r>
    </w:p>
    <w:bookmarkEnd w:id="8495"/>
    <w:bookmarkStart w:name="z8532" w:id="8496"/>
    <w:p>
      <w:pPr>
        <w:spacing w:after="0"/>
        <w:ind w:left="0"/>
        <w:jc w:val="both"/>
      </w:pPr>
      <w:r>
        <w:rPr>
          <w:rFonts w:ascii="Times New Roman"/>
          <w:b w:val="false"/>
          <w:i w:val="false"/>
          <w:color w:val="000000"/>
          <w:sz w:val="28"/>
        </w:rPr>
        <w:t>
      2) раздельной и параллельной работы главных двигателей на общий редуктор;</w:t>
      </w:r>
    </w:p>
    <w:bookmarkEnd w:id="8496"/>
    <w:bookmarkStart w:name="z8533" w:id="8497"/>
    <w:p>
      <w:pPr>
        <w:spacing w:after="0"/>
        <w:ind w:left="0"/>
        <w:jc w:val="both"/>
      </w:pPr>
      <w:r>
        <w:rPr>
          <w:rFonts w:ascii="Times New Roman"/>
          <w:b w:val="false"/>
          <w:i w:val="false"/>
          <w:color w:val="000000"/>
          <w:sz w:val="28"/>
        </w:rPr>
        <w:t>
      3) режима заднего хода;</w:t>
      </w:r>
    </w:p>
    <w:bookmarkEnd w:id="8497"/>
    <w:bookmarkStart w:name="z8534" w:id="8498"/>
    <w:p>
      <w:pPr>
        <w:spacing w:after="0"/>
        <w:ind w:left="0"/>
        <w:jc w:val="both"/>
      </w:pPr>
      <w:r>
        <w:rPr>
          <w:rFonts w:ascii="Times New Roman"/>
          <w:b w:val="false"/>
          <w:i w:val="false"/>
          <w:color w:val="000000"/>
          <w:sz w:val="28"/>
        </w:rPr>
        <w:t>
      4) включения дополнительных приемников мощности, если их моменты инерции соизмеримы с моментами инерции рабочего цилиндра;</w:t>
      </w:r>
    </w:p>
    <w:bookmarkEnd w:id="8498"/>
    <w:bookmarkStart w:name="z8535" w:id="8499"/>
    <w:p>
      <w:pPr>
        <w:spacing w:after="0"/>
        <w:ind w:left="0"/>
        <w:jc w:val="both"/>
      </w:pPr>
      <w:r>
        <w:rPr>
          <w:rFonts w:ascii="Times New Roman"/>
          <w:b w:val="false"/>
          <w:i w:val="false"/>
          <w:color w:val="000000"/>
          <w:sz w:val="28"/>
        </w:rPr>
        <w:t>
      5) с одним неработающим цилиндром для установок с упругими муфтами и редукторами;</w:t>
      </w:r>
    </w:p>
    <w:bookmarkEnd w:id="8499"/>
    <w:bookmarkStart w:name="z8536" w:id="8500"/>
    <w:p>
      <w:pPr>
        <w:spacing w:after="0"/>
        <w:ind w:left="0"/>
        <w:jc w:val="both"/>
      </w:pPr>
      <w:r>
        <w:rPr>
          <w:rFonts w:ascii="Times New Roman"/>
          <w:b w:val="false"/>
          <w:i w:val="false"/>
          <w:color w:val="000000"/>
          <w:sz w:val="28"/>
        </w:rPr>
        <w:t>
      при этом за неработающий должен приниматься цилиндр, отключение которого оказывает наибольшее влияние на увеличение напряжений и переменных моментов;</w:t>
      </w:r>
    </w:p>
    <w:bookmarkEnd w:id="8500"/>
    <w:bookmarkStart w:name="z8537" w:id="8501"/>
    <w:p>
      <w:pPr>
        <w:spacing w:after="0"/>
        <w:ind w:left="0"/>
        <w:jc w:val="both"/>
      </w:pPr>
      <w:r>
        <w:rPr>
          <w:rFonts w:ascii="Times New Roman"/>
          <w:b w:val="false"/>
          <w:i w:val="false"/>
          <w:color w:val="000000"/>
          <w:sz w:val="28"/>
        </w:rPr>
        <w:t>
      6) с заклиненным или снятым демпфером для установок с одним главным двигателем;</w:t>
      </w:r>
    </w:p>
    <w:bookmarkEnd w:id="8501"/>
    <w:bookmarkStart w:name="z8538" w:id="8502"/>
    <w:p>
      <w:pPr>
        <w:spacing w:after="0"/>
        <w:ind w:left="0"/>
        <w:jc w:val="both"/>
      </w:pPr>
      <w:r>
        <w:rPr>
          <w:rFonts w:ascii="Times New Roman"/>
          <w:b w:val="false"/>
          <w:i w:val="false"/>
          <w:color w:val="000000"/>
          <w:sz w:val="28"/>
        </w:rPr>
        <w:t>
      7) со сблокированной упругой муфтой, упругие элементы которой разрушились (для установок с одним главным двигателем).</w:t>
      </w:r>
    </w:p>
    <w:bookmarkEnd w:id="8502"/>
    <w:bookmarkStart w:name="z8539" w:id="8503"/>
    <w:p>
      <w:pPr>
        <w:spacing w:after="0"/>
        <w:ind w:left="0"/>
        <w:jc w:val="both"/>
      </w:pPr>
      <w:r>
        <w:rPr>
          <w:rFonts w:ascii="Times New Roman"/>
          <w:b w:val="false"/>
          <w:i w:val="false"/>
          <w:color w:val="000000"/>
          <w:sz w:val="28"/>
        </w:rPr>
        <w:t>
      2864. Для судов ограниченного района плавания R3 расчеты по подпунктам 6) и 7) пункта 3093 настоящих Правил не требуются.</w:t>
      </w:r>
    </w:p>
    <w:bookmarkEnd w:id="8503"/>
    <w:bookmarkStart w:name="z8540" w:id="8504"/>
    <w:p>
      <w:pPr>
        <w:spacing w:after="0"/>
        <w:ind w:left="0"/>
        <w:jc w:val="both"/>
      </w:pPr>
      <w:r>
        <w:rPr>
          <w:rFonts w:ascii="Times New Roman"/>
          <w:b w:val="false"/>
          <w:i w:val="false"/>
          <w:color w:val="000000"/>
          <w:sz w:val="28"/>
        </w:rPr>
        <w:t>
      В любом случае представление расчета не требуется, если документально подтверждено, что расчетная крутильная схема установки полностью аналогична одобренной ранее, или отличия моментов инерции масс и податливости соединений не превышают 10 % и 5 % соответственно, либо расчет возможно ограничить определением частот свободных колебаний, если на этом этапе расчета будет установлено, что отличия моментов инерции масс и податливости соединений не приводят к изменению частоты свободных колебаний любой из рассматриваемых форм более чем на 5 %.</w:t>
      </w:r>
    </w:p>
    <w:bookmarkEnd w:id="8504"/>
    <w:bookmarkStart w:name="z8541" w:id="8505"/>
    <w:p>
      <w:pPr>
        <w:spacing w:after="0"/>
        <w:ind w:left="0"/>
        <w:jc w:val="both"/>
      </w:pPr>
      <w:r>
        <w:rPr>
          <w:rFonts w:ascii="Times New Roman"/>
          <w:b w:val="false"/>
          <w:i w:val="false"/>
          <w:color w:val="000000"/>
          <w:sz w:val="28"/>
        </w:rPr>
        <w:t>
      2865. Расчет крутильных колебаний содержит:</w:t>
      </w:r>
    </w:p>
    <w:bookmarkEnd w:id="8505"/>
    <w:bookmarkStart w:name="z8542" w:id="8506"/>
    <w:p>
      <w:pPr>
        <w:spacing w:after="0"/>
        <w:ind w:left="0"/>
        <w:jc w:val="both"/>
      </w:pPr>
      <w:r>
        <w:rPr>
          <w:rFonts w:ascii="Times New Roman"/>
          <w:b w:val="false"/>
          <w:i w:val="false"/>
          <w:color w:val="000000"/>
          <w:sz w:val="28"/>
        </w:rPr>
        <w:t>
      1) подробные данные всех элементов установки: технические характеристики двигателя, движителя, демпфера, упругой муфты, редуктора, генератора;</w:t>
      </w:r>
    </w:p>
    <w:bookmarkEnd w:id="8506"/>
    <w:bookmarkStart w:name="z8543" w:id="8507"/>
    <w:p>
      <w:pPr>
        <w:spacing w:after="0"/>
        <w:ind w:left="0"/>
        <w:jc w:val="both"/>
      </w:pPr>
      <w:r>
        <w:rPr>
          <w:rFonts w:ascii="Times New Roman"/>
          <w:b w:val="false"/>
          <w:i w:val="false"/>
          <w:color w:val="000000"/>
          <w:sz w:val="28"/>
        </w:rPr>
        <w:t>
      частоты вращения, соответствующие основным спецификационным режимам длительной работы на частичных нагрузках (средний, малый, самый малый</w:t>
      </w:r>
    </w:p>
    <w:bookmarkEnd w:id="8507"/>
    <w:bookmarkStart w:name="z8544" w:id="8508"/>
    <w:p>
      <w:pPr>
        <w:spacing w:after="0"/>
        <w:ind w:left="0"/>
        <w:jc w:val="both"/>
      </w:pPr>
      <w:r>
        <w:rPr>
          <w:rFonts w:ascii="Times New Roman"/>
          <w:b w:val="false"/>
          <w:i w:val="false"/>
          <w:color w:val="000000"/>
          <w:sz w:val="28"/>
        </w:rPr>
        <w:t>
      ход, режим траления, режим нулевой скорости для установок с ВРШ, режимы главного дизель-генератора);</w:t>
      </w:r>
    </w:p>
    <w:bookmarkEnd w:id="8508"/>
    <w:bookmarkStart w:name="z8545" w:id="8509"/>
    <w:p>
      <w:pPr>
        <w:spacing w:after="0"/>
        <w:ind w:left="0"/>
        <w:jc w:val="both"/>
      </w:pPr>
      <w:r>
        <w:rPr>
          <w:rFonts w:ascii="Times New Roman"/>
          <w:b w:val="false"/>
          <w:i w:val="false"/>
          <w:color w:val="000000"/>
          <w:sz w:val="28"/>
        </w:rPr>
        <w:t>
      схемы всех возможных вариантов работы установки;</w:t>
      </w:r>
    </w:p>
    <w:bookmarkEnd w:id="8509"/>
    <w:bookmarkStart w:name="z8546" w:id="8510"/>
    <w:p>
      <w:pPr>
        <w:spacing w:after="0"/>
        <w:ind w:left="0"/>
        <w:jc w:val="both"/>
      </w:pPr>
      <w:r>
        <w:rPr>
          <w:rFonts w:ascii="Times New Roman"/>
          <w:b w:val="false"/>
          <w:i w:val="false"/>
          <w:color w:val="000000"/>
          <w:sz w:val="28"/>
        </w:rPr>
        <w:t>
      исходные данные расчетной крутильной схемы установки;</w:t>
      </w:r>
    </w:p>
    <w:bookmarkEnd w:id="8510"/>
    <w:bookmarkStart w:name="z8547" w:id="8511"/>
    <w:p>
      <w:pPr>
        <w:spacing w:after="0"/>
        <w:ind w:left="0"/>
        <w:jc w:val="both"/>
      </w:pPr>
      <w:r>
        <w:rPr>
          <w:rFonts w:ascii="Times New Roman"/>
          <w:b w:val="false"/>
          <w:i w:val="false"/>
          <w:color w:val="000000"/>
          <w:sz w:val="28"/>
        </w:rPr>
        <w:t>
      2) таблицы частот свободных колебаний всех форм, имеющих резонансы до 12-го порядка включительно в диапазоне частот вращения (0 — 1,2)</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с относительными амплитудами колебаний масс и моментов, а также с масштабами напряжений (моментов) для всех участков системы;</w:t>
      </w:r>
    </w:p>
    <w:bookmarkEnd w:id="8511"/>
    <w:bookmarkStart w:name="z8548" w:id="8512"/>
    <w:p>
      <w:pPr>
        <w:spacing w:after="0"/>
        <w:ind w:left="0"/>
        <w:jc w:val="both"/>
      </w:pPr>
      <w:r>
        <w:rPr>
          <w:rFonts w:ascii="Times New Roman"/>
          <w:b w:val="false"/>
          <w:i w:val="false"/>
          <w:color w:val="000000"/>
          <w:sz w:val="28"/>
        </w:rPr>
        <w:t>
      3) для каждого из порядков всех рассчитываемых форм колебаний:</w:t>
      </w:r>
    </w:p>
    <w:bookmarkEnd w:id="8512"/>
    <w:bookmarkStart w:name="z8549" w:id="8513"/>
    <w:p>
      <w:pPr>
        <w:spacing w:after="0"/>
        <w:ind w:left="0"/>
        <w:jc w:val="both"/>
      </w:pPr>
      <w:r>
        <w:rPr>
          <w:rFonts w:ascii="Times New Roman"/>
          <w:b w:val="false"/>
          <w:i w:val="false"/>
          <w:color w:val="000000"/>
          <w:sz w:val="28"/>
        </w:rPr>
        <w:t>
      значения резонансных амплитуд колебаний первой массы системы;</w:t>
      </w:r>
    </w:p>
    <w:bookmarkEnd w:id="8513"/>
    <w:bookmarkStart w:name="z8550" w:id="8514"/>
    <w:p>
      <w:pPr>
        <w:spacing w:after="0"/>
        <w:ind w:left="0"/>
        <w:jc w:val="both"/>
      </w:pPr>
      <w:r>
        <w:rPr>
          <w:rFonts w:ascii="Times New Roman"/>
          <w:b w:val="false"/>
          <w:i w:val="false"/>
          <w:color w:val="000000"/>
          <w:sz w:val="28"/>
        </w:rPr>
        <w:t>
      значения резонансных напряжений (моментов) во всех элементах системы (валах, редукторах, муфтах, генераторах, прессовых или прессово-шпоночных соединениях), а также температур в резиновых элементах упругих муфт и их сопоставление с соответствующими допускаемыми значениями;</w:t>
      </w:r>
    </w:p>
    <w:bookmarkEnd w:id="8514"/>
    <w:bookmarkStart w:name="z8551" w:id="8515"/>
    <w:p>
      <w:pPr>
        <w:spacing w:after="0"/>
        <w:ind w:left="0"/>
        <w:jc w:val="both"/>
      </w:pPr>
      <w:r>
        <w:rPr>
          <w:rFonts w:ascii="Times New Roman"/>
          <w:b w:val="false"/>
          <w:i w:val="false"/>
          <w:color w:val="000000"/>
          <w:sz w:val="28"/>
        </w:rPr>
        <w:t>
      4) значения суммарных напряжений (моментов) при необходимости учета одновременного действия возмущающих моментов нескольких порядков и их сопоставление с соответствующими допускаемыми значениями;</w:t>
      </w:r>
    </w:p>
    <w:bookmarkEnd w:id="8515"/>
    <w:bookmarkStart w:name="z8552" w:id="8516"/>
    <w:p>
      <w:pPr>
        <w:spacing w:after="0"/>
        <w:ind w:left="0"/>
        <w:jc w:val="both"/>
      </w:pPr>
      <w:r>
        <w:rPr>
          <w:rFonts w:ascii="Times New Roman"/>
          <w:b w:val="false"/>
          <w:i w:val="false"/>
          <w:color w:val="000000"/>
          <w:sz w:val="28"/>
        </w:rPr>
        <w:t>
      5) графики напряжений (моментов) в основных участках системы с нанесенными на них допускаемыми для длительной работы и быстрого прохода значениями и запретными зонами, если они назначаются;</w:t>
      </w:r>
    </w:p>
    <w:bookmarkEnd w:id="8516"/>
    <w:bookmarkStart w:name="z8553" w:id="8517"/>
    <w:p>
      <w:pPr>
        <w:spacing w:after="0"/>
        <w:ind w:left="0"/>
        <w:jc w:val="both"/>
      </w:pPr>
      <w:r>
        <w:rPr>
          <w:rFonts w:ascii="Times New Roman"/>
          <w:b w:val="false"/>
          <w:i w:val="false"/>
          <w:color w:val="000000"/>
          <w:sz w:val="28"/>
        </w:rPr>
        <w:t>
      6) выводы по результатам расчета.</w:t>
      </w:r>
    </w:p>
    <w:bookmarkEnd w:id="8517"/>
    <w:bookmarkStart w:name="z8554" w:id="8518"/>
    <w:p>
      <w:pPr>
        <w:spacing w:after="0"/>
        <w:ind w:left="0"/>
        <w:jc w:val="both"/>
      </w:pPr>
      <w:r>
        <w:rPr>
          <w:rFonts w:ascii="Times New Roman"/>
          <w:b w:val="false"/>
          <w:i w:val="false"/>
          <w:color w:val="000000"/>
          <w:sz w:val="28"/>
        </w:rPr>
        <w:t>
      2866. Под амплитудой переменных напряжений от крутильных колебаний понимается значение (</w:t>
      </w:r>
    </w:p>
    <w:bookmarkEnd w:id="8518"/>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val="false"/>
          <w:color w:val="000000"/>
          <w:sz w:val="28"/>
        </w:rPr>
        <w:t xml:space="preserve"> —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)/2 как это возможно измерить на валу при соответствующих условиях при повторяющемся цикле.</w:t>
      </w:r>
      <w:r>
        <w:br/>
      </w:r>
      <w:r>
        <w:rPr>
          <w:rFonts w:ascii="Times New Roman"/>
          <w:b w:val="false"/>
          <w:i w:val="false"/>
          <w:color w:val="000000"/>
          <w:sz w:val="28"/>
        </w:rPr>
        <w:t>
</w:t>
      </w:r>
    </w:p>
    <w:bookmarkStart w:name="z8555" w:id="8519"/>
    <w:p>
      <w:pPr>
        <w:spacing w:after="0"/>
        <w:ind w:left="0"/>
        <w:jc w:val="left"/>
      </w:pPr>
      <w:r>
        <w:rPr>
          <w:rFonts w:ascii="Times New Roman"/>
          <w:b/>
          <w:i w:val="false"/>
          <w:color w:val="000000"/>
        </w:rPr>
        <w:t xml:space="preserve"> Глава 205. Допускаемые напряжения для коленчатых валов</w:t>
      </w:r>
    </w:p>
    <w:bookmarkEnd w:id="8519"/>
    <w:p>
      <w:pPr>
        <w:spacing w:after="0"/>
        <w:ind w:left="0"/>
        <w:jc w:val="both"/>
      </w:pPr>
      <w:r>
        <w:rPr>
          <w:rFonts w:ascii="Times New Roman"/>
          <w:b w:val="false"/>
          <w:i w:val="false"/>
          <w:color w:val="ff0000"/>
          <w:sz w:val="28"/>
        </w:rPr>
        <w:t xml:space="preserve">
      Сноска. Заголовок главы 205 -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56" w:id="8520"/>
    <w:p>
      <w:pPr>
        <w:spacing w:after="0"/>
        <w:ind w:left="0"/>
        <w:jc w:val="both"/>
      </w:pPr>
      <w:r>
        <w:rPr>
          <w:rFonts w:ascii="Times New Roman"/>
          <w:b w:val="false"/>
          <w:i w:val="false"/>
          <w:color w:val="000000"/>
          <w:sz w:val="28"/>
        </w:rPr>
        <w:t xml:space="preserve">
      2867. В зонах частот вращения (0,7 — 1,05) </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для коленчатых валов главных двигателей ледоколов и судов с ледовыми усилениями категории Arc4 и (0,9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для коленчатых валов главных двигателей прочих судов и коленчатых валов двигателей, работающих на генераторы и другие вспомогательные механизмы ответственного назначения, суммарные напряжения от крутильных колебаний при длительной работе не превышают величины, определяемой по следующим формулам:</w:t>
      </w:r>
    </w:p>
    <w:bookmarkEnd w:id="8520"/>
    <w:bookmarkStart w:name="z8557" w:id="8521"/>
    <w:p>
      <w:pPr>
        <w:spacing w:after="0"/>
        <w:ind w:left="0"/>
        <w:jc w:val="both"/>
      </w:pPr>
      <w:r>
        <w:rPr>
          <w:rFonts w:ascii="Times New Roman"/>
          <w:b w:val="false"/>
          <w:i w:val="false"/>
          <w:color w:val="000000"/>
          <w:sz w:val="28"/>
        </w:rPr>
        <w:t>
      при расчете коленчатого вала в соответствии с требованиями параграфа 2 главы 348 настоящих Правил</w:t>
      </w:r>
    </w:p>
    <w:bookmarkEnd w:id="8521"/>
    <w:bookmarkStart w:name="z8558" w:id="8522"/>
    <w:p>
      <w:pPr>
        <w:spacing w:after="0"/>
        <w:ind w:left="0"/>
        <w:jc w:val="both"/>
      </w:pPr>
      <w:r>
        <w:rPr>
          <w:rFonts w:ascii="Times New Roman"/>
          <w:b w:val="false"/>
          <w:i w:val="false"/>
          <w:color w:val="000000"/>
          <w:sz w:val="28"/>
        </w:rPr>
        <w:t xml:space="preserve">
      </w:t>
      </w:r>
    </w:p>
    <w:bookmarkEnd w:id="8522"/>
    <w:p>
      <w:pPr>
        <w:spacing w:after="0"/>
        <w:ind w:left="0"/>
        <w:jc w:val="both"/>
      </w:pPr>
      <w:r>
        <w:drawing>
          <wp:inline distT="0" distB="0" distL="0" distR="0">
            <wp:extent cx="762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5"/>
                    <a:stretch>
                      <a:fillRect/>
                    </a:stretch>
                  </pic:blipFill>
                  <pic:spPr>
                    <a:xfrm>
                      <a:off x="0" y="0"/>
                      <a:ext cx="762000" cy="279400"/>
                    </a:xfrm>
                    <a:prstGeom prst="rect">
                      <a:avLst/>
                    </a:prstGeom>
                  </pic:spPr>
                </pic:pic>
              </a:graphicData>
            </a:graphic>
          </wp:inline>
        </w:drawing>
      </w:r>
    </w:p>
    <w:p>
      <w:pPr>
        <w:spacing w:after="0"/>
        <w:ind w:left="0"/>
        <w:jc w:val="left"/>
      </w:pPr>
      <w:r>
        <w:rPr>
          <w:rFonts w:ascii="Times New Roman"/>
          <w:b w:val="false"/>
          <w:i w:val="false"/>
          <w:color w:val="000000"/>
          <w:sz w:val="28"/>
        </w:rPr>
        <w:t>;                           (747)</w:t>
      </w:r>
      <w:r>
        <w:br/>
      </w:r>
      <w:r>
        <w:rPr>
          <w:rFonts w:ascii="Times New Roman"/>
          <w:b w:val="false"/>
          <w:i w:val="false"/>
          <w:color w:val="000000"/>
          <w:sz w:val="28"/>
        </w:rPr>
        <w:t>
</w:t>
      </w:r>
    </w:p>
    <w:bookmarkStart w:name="z8559" w:id="8523"/>
    <w:p>
      <w:pPr>
        <w:spacing w:after="0"/>
        <w:ind w:left="0"/>
        <w:jc w:val="both"/>
      </w:pPr>
      <w:r>
        <w:rPr>
          <w:rFonts w:ascii="Times New Roman"/>
          <w:b w:val="false"/>
          <w:i w:val="false"/>
          <w:color w:val="000000"/>
          <w:sz w:val="28"/>
        </w:rPr>
        <w:t>
      при расчете коленчатого вала другим методом</w:t>
      </w:r>
    </w:p>
    <w:bookmarkEnd w:id="8523"/>
    <w:bookmarkStart w:name="z8560" w:id="8524"/>
    <w:p>
      <w:pPr>
        <w:spacing w:after="0"/>
        <w:ind w:left="0"/>
        <w:jc w:val="both"/>
      </w:pPr>
      <w:r>
        <w:rPr>
          <w:rFonts w:ascii="Times New Roman"/>
          <w:b w:val="false"/>
          <w:i w:val="false"/>
          <w:color w:val="000000"/>
          <w:sz w:val="28"/>
        </w:rPr>
        <w:t xml:space="preserve">
      </w:t>
      </w:r>
    </w:p>
    <w:bookmarkEnd w:id="8524"/>
    <w:p>
      <w:pPr>
        <w:spacing w:after="0"/>
        <w:ind w:left="0"/>
        <w:jc w:val="both"/>
      </w:pPr>
      <w:r>
        <w:drawing>
          <wp:inline distT="0" distB="0" distL="0" distR="0">
            <wp:extent cx="199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6"/>
                    <a:stretch>
                      <a:fillRect/>
                    </a:stretch>
                  </pic:blipFill>
                  <pic:spPr>
                    <a:xfrm>
                      <a:off x="0" y="0"/>
                      <a:ext cx="1993900" cy="533400"/>
                    </a:xfrm>
                    <a:prstGeom prst="rect">
                      <a:avLst/>
                    </a:prstGeom>
                  </pic:spPr>
                </pic:pic>
              </a:graphicData>
            </a:graphic>
          </wp:inline>
        </w:drawing>
      </w:r>
    </w:p>
    <w:p>
      <w:pPr>
        <w:spacing w:after="0"/>
        <w:ind w:left="0"/>
        <w:jc w:val="left"/>
      </w:pPr>
      <w:r>
        <w:rPr>
          <w:rFonts w:ascii="Times New Roman"/>
          <w:b w:val="false"/>
          <w:i w:val="false"/>
          <w:color w:val="000000"/>
          <w:sz w:val="28"/>
        </w:rPr>
        <w:t>;                       (748)</w:t>
      </w:r>
      <w:r>
        <w:br/>
      </w:r>
      <w:r>
        <w:rPr>
          <w:rFonts w:ascii="Times New Roman"/>
          <w:b w:val="false"/>
          <w:i w:val="false"/>
          <w:color w:val="000000"/>
          <w:sz w:val="28"/>
        </w:rPr>
        <w:t>
</w:t>
      </w:r>
    </w:p>
    <w:bookmarkStart w:name="z8561" w:id="8525"/>
    <w:p>
      <w:pPr>
        <w:spacing w:after="0"/>
        <w:ind w:left="0"/>
        <w:jc w:val="both"/>
      </w:pPr>
      <w:r>
        <w:rPr>
          <w:rFonts w:ascii="Times New Roman"/>
          <w:b w:val="false"/>
          <w:i w:val="false"/>
          <w:color w:val="000000"/>
          <w:sz w:val="28"/>
        </w:rPr>
        <w:t>
      в зонах частот вращения ниже указанных</w:t>
      </w:r>
    </w:p>
    <w:bookmarkEnd w:id="8525"/>
    <w:bookmarkStart w:name="z8562" w:id="8526"/>
    <w:p>
      <w:pPr>
        <w:spacing w:after="0"/>
        <w:ind w:left="0"/>
        <w:jc w:val="both"/>
      </w:pPr>
      <w:r>
        <w:rPr>
          <w:rFonts w:ascii="Times New Roman"/>
          <w:b w:val="false"/>
          <w:i w:val="false"/>
          <w:color w:val="000000"/>
          <w:sz w:val="28"/>
        </w:rPr>
        <w:t xml:space="preserve">
      </w:t>
      </w:r>
    </w:p>
    <w:bookmarkEnd w:id="8526"/>
    <w:p>
      <w:pPr>
        <w:spacing w:after="0"/>
        <w:ind w:left="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7"/>
                    <a:stretch>
                      <a:fillRect/>
                    </a:stretch>
                  </pic:blipFill>
                  <pic:spPr>
                    <a:xfrm>
                      <a:off x="0" y="0"/>
                      <a:ext cx="2006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(749)</w:t>
      </w:r>
      <w:r>
        <w:br/>
      </w:r>
      <w:r>
        <w:rPr>
          <w:rFonts w:ascii="Times New Roman"/>
          <w:b w:val="false"/>
          <w:i w:val="false"/>
          <w:color w:val="000000"/>
          <w:sz w:val="28"/>
        </w:rPr>
        <w:t>
</w:t>
      </w:r>
    </w:p>
    <w:bookmarkStart w:name="z8563" w:id="8527"/>
    <w:p>
      <w:pPr>
        <w:spacing w:after="0"/>
        <w:ind w:left="0"/>
        <w:jc w:val="both"/>
      </w:pPr>
      <w:r>
        <w:rPr>
          <w:rFonts w:ascii="Times New Roman"/>
          <w:b w:val="false"/>
          <w:i w:val="false"/>
          <w:color w:val="000000"/>
          <w:sz w:val="28"/>
        </w:rPr>
        <w:t>
      или</w:t>
      </w:r>
    </w:p>
    <w:bookmarkEnd w:id="8527"/>
    <w:bookmarkStart w:name="z8564" w:id="8528"/>
    <w:p>
      <w:pPr>
        <w:spacing w:after="0"/>
        <w:ind w:left="0"/>
        <w:jc w:val="both"/>
      </w:pPr>
      <w:r>
        <w:rPr>
          <w:rFonts w:ascii="Times New Roman"/>
          <w:b w:val="false"/>
          <w:i w:val="false"/>
          <w:color w:val="000000"/>
          <w:sz w:val="28"/>
        </w:rPr>
        <w:t xml:space="preserve">
      </w:t>
      </w:r>
    </w:p>
    <w:bookmarkEnd w:id="8528"/>
    <w:p>
      <w:pPr>
        <w:spacing w:after="0"/>
        <w:ind w:left="0"/>
        <w:jc w:val="both"/>
      </w:pPr>
      <w:r>
        <w:drawing>
          <wp:inline distT="0" distB="0" distL="0" distR="0">
            <wp:extent cx="316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8"/>
                    <a:stretch>
                      <a:fillRect/>
                    </a:stretch>
                  </pic:blipFill>
                  <pic:spPr>
                    <a:xfrm>
                      <a:off x="0" y="0"/>
                      <a:ext cx="3162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(750)</w:t>
      </w:r>
      <w:r>
        <w:br/>
      </w:r>
      <w:r>
        <w:rPr>
          <w:rFonts w:ascii="Times New Roman"/>
          <w:b w:val="false"/>
          <w:i w:val="false"/>
          <w:color w:val="000000"/>
          <w:sz w:val="28"/>
        </w:rPr>
        <w:t>
</w:t>
      </w:r>
    </w:p>
    <w:bookmarkStart w:name="z8565" w:id="8529"/>
    <w:p>
      <w:pPr>
        <w:spacing w:after="0"/>
        <w:ind w:left="0"/>
        <w:jc w:val="both"/>
      </w:pPr>
      <w:r>
        <w:rPr>
          <w:rFonts w:ascii="Times New Roman"/>
          <w:b w:val="false"/>
          <w:i w:val="false"/>
          <w:color w:val="000000"/>
          <w:sz w:val="28"/>
        </w:rPr>
        <w:t xml:space="preserve">
      Здесь </w:t>
      </w:r>
    </w:p>
    <w:bookmarkEnd w:id="8529"/>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допускаемые напряжения, МПа;</w:t>
      </w:r>
      <w:r>
        <w:br/>
      </w:r>
      <w:r>
        <w:rPr>
          <w:rFonts w:ascii="Times New Roman"/>
          <w:b w:val="false"/>
          <w:i w:val="false"/>
          <w:color w:val="000000"/>
          <w:sz w:val="28"/>
        </w:rPr>
        <w:t>
</w:t>
      </w:r>
    </w:p>
    <w:bookmarkStart w:name="z8566" w:id="8530"/>
    <w:p>
      <w:pPr>
        <w:spacing w:after="0"/>
        <w:ind w:left="0"/>
        <w:jc w:val="both"/>
      </w:pPr>
      <w:r>
        <w:rPr>
          <w:rFonts w:ascii="Times New Roman"/>
          <w:b w:val="false"/>
          <w:i w:val="false"/>
          <w:color w:val="000000"/>
          <w:sz w:val="28"/>
        </w:rPr>
        <w:t xml:space="preserve">
      </w:t>
      </w:r>
    </w:p>
    <w:bookmarkEnd w:id="8530"/>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0"/>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максимальное переменное напряжение кручения, определенное при расчете коленчатого вала по формуле (787) настоящих Правил, для наибольшего значения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w:t>
      </w:r>
      <w:r>
        <w:br/>
      </w:r>
      <w:r>
        <w:rPr>
          <w:rFonts w:ascii="Times New Roman"/>
          <w:b w:val="false"/>
          <w:i w:val="false"/>
          <w:color w:val="000000"/>
          <w:sz w:val="28"/>
        </w:rPr>
        <w:t>
</w:t>
      </w:r>
    </w:p>
    <w:bookmarkStart w:name="z8567" w:id="853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временное сопротивление материала вала, МПа.</w:t>
      </w:r>
    </w:p>
    <w:bookmarkEnd w:id="8531"/>
    <w:bookmarkStart w:name="z8568" w:id="8532"/>
    <w:p>
      <w:pPr>
        <w:spacing w:after="0"/>
        <w:ind w:left="0"/>
        <w:jc w:val="both"/>
      </w:pPr>
      <w:r>
        <w:rPr>
          <w:rFonts w:ascii="Times New Roman"/>
          <w:b w:val="false"/>
          <w:i w:val="false"/>
          <w:color w:val="000000"/>
          <w:sz w:val="28"/>
        </w:rPr>
        <w:t xml:space="preserve">
      При применении материала с временным сопротивлением более 800 МПа в расчетах следует принимать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800 МПа;</w:t>
      </w:r>
    </w:p>
    <w:bookmarkEnd w:id="8532"/>
    <w:bookmarkStart w:name="z8569" w:id="853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исследуемая частота вращения, об/мин. Для буксиров, рыболовных траулеров и других судов, у которых главные двигатели длительно эксплуатируются с максимальным крутящим моментом при частотах ниже расчетных во всем рабочем диапазоне, следует принимать </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и пользоваться формулами (747) и (748) настоящих Правил. Для главных дизель-генераторов судов с электродвижением в качестве п следует принимать поочередно все спецификационные режимы пр и в каждом из диапазонов (0,9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для частичных нагрузок пользоваться формулами (749) и (750) настоящих Правил;</w:t>
      </w:r>
    </w:p>
    <w:bookmarkEnd w:id="8533"/>
    <w:bookmarkStart w:name="z8570" w:id="853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расчетная частота вращения, об/мин;</w:t>
      </w:r>
    </w:p>
    <w:bookmarkEnd w:id="8534"/>
    <w:bookmarkStart w:name="z8571" w:id="853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d</w:t>
      </w:r>
      <w:r>
        <w:rPr>
          <w:rFonts w:ascii="Times New Roman"/>
          <w:b w:val="false"/>
          <w:i w:val="false"/>
          <w:color w:val="000000"/>
          <w:sz w:val="28"/>
        </w:rPr>
        <w:t xml:space="preserve"> = 0,35 + 0,93</w:t>
      </w:r>
      <w:r>
        <w:rPr>
          <w:rFonts w:ascii="Times New Roman"/>
          <w:b w:val="false"/>
          <w:i w:val="false"/>
          <w:color w:val="000000"/>
          <w:vertAlign w:val="subscript"/>
        </w:rPr>
        <w:t>d</w:t>
      </w:r>
      <w:r>
        <w:rPr>
          <w:rFonts w:ascii="Times New Roman"/>
          <w:b w:val="false"/>
          <w:i w:val="false"/>
          <w:color w:val="000000"/>
          <w:vertAlign w:val="superscript"/>
        </w:rPr>
        <w:t>-0,2</w:t>
      </w:r>
      <w:r>
        <w:rPr>
          <w:rFonts w:ascii="Times New Roman"/>
          <w:b w:val="false"/>
          <w:i w:val="false"/>
          <w:color w:val="000000"/>
          <w:sz w:val="28"/>
        </w:rPr>
        <w:t xml:space="preserve"> — масштабный коэффициент;</w:t>
      </w:r>
    </w:p>
    <w:bookmarkEnd w:id="8535"/>
    <w:bookmarkStart w:name="z8572" w:id="853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диаметр вала, мм.</w:t>
      </w:r>
    </w:p>
    <w:bookmarkEnd w:id="8536"/>
    <w:bookmarkStart w:name="z8573" w:id="8537"/>
    <w:p>
      <w:pPr>
        <w:spacing w:after="0"/>
        <w:ind w:left="0"/>
        <w:jc w:val="both"/>
      </w:pPr>
      <w:r>
        <w:rPr>
          <w:rFonts w:ascii="Times New Roman"/>
          <w:b w:val="false"/>
          <w:i w:val="false"/>
          <w:color w:val="000000"/>
          <w:sz w:val="28"/>
        </w:rPr>
        <w:t>
      2868. Суммарные напряжения от крутильных колебаний в зонах частот вращения, запретных для длительной работы, но через которые допускается быстрое прохождение, не превышают величины, определяемой по формулам:</w:t>
      </w:r>
    </w:p>
    <w:bookmarkEnd w:id="8537"/>
    <w:bookmarkStart w:name="z8574" w:id="8538"/>
    <w:p>
      <w:pPr>
        <w:spacing w:after="0"/>
        <w:ind w:left="0"/>
        <w:jc w:val="both"/>
      </w:pPr>
      <w:r>
        <w:rPr>
          <w:rFonts w:ascii="Times New Roman"/>
          <w:b w:val="false"/>
          <w:i w:val="false"/>
          <w:color w:val="000000"/>
          <w:sz w:val="28"/>
        </w:rPr>
        <w:t>
      для коленчатых валов главных двигателей</w:t>
      </w:r>
    </w:p>
    <w:bookmarkEnd w:id="8538"/>
    <w:bookmarkStart w:name="z8575" w:id="8539"/>
    <w:p>
      <w:pPr>
        <w:spacing w:after="0"/>
        <w:ind w:left="0"/>
        <w:jc w:val="both"/>
      </w:pPr>
      <w:r>
        <w:rPr>
          <w:rFonts w:ascii="Times New Roman"/>
          <w:b w:val="false"/>
          <w:i w:val="false"/>
          <w:color w:val="000000"/>
          <w:sz w:val="28"/>
        </w:rPr>
        <w:t xml:space="preserve">
      </w:t>
      </w:r>
    </w:p>
    <w:bookmarkEnd w:id="8539"/>
    <w:p>
      <w:pPr>
        <w:spacing w:after="0"/>
        <w:ind w:left="0"/>
        <w:jc w:val="both"/>
      </w:pPr>
      <w:r>
        <w:drawing>
          <wp:inline distT="0" distB="0" distL="0" distR="0">
            <wp:extent cx="698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1"/>
                    <a:stretch>
                      <a:fillRect/>
                    </a:stretch>
                  </pic:blipFill>
                  <pic:spPr>
                    <a:xfrm>
                      <a:off x="0" y="0"/>
                      <a:ext cx="698500" cy="279400"/>
                    </a:xfrm>
                    <a:prstGeom prst="rect">
                      <a:avLst/>
                    </a:prstGeom>
                  </pic:spPr>
                </pic:pic>
              </a:graphicData>
            </a:graphic>
          </wp:inline>
        </w:drawing>
      </w:r>
    </w:p>
    <w:p>
      <w:pPr>
        <w:spacing w:after="0"/>
        <w:ind w:left="0"/>
        <w:jc w:val="left"/>
      </w:pPr>
      <w:r>
        <w:rPr>
          <w:rFonts w:ascii="Times New Roman"/>
          <w:b w:val="false"/>
          <w:i w:val="false"/>
          <w:color w:val="000000"/>
          <w:sz w:val="28"/>
        </w:rPr>
        <w:t>;                            (751)</w:t>
      </w:r>
      <w:r>
        <w:br/>
      </w:r>
      <w:r>
        <w:rPr>
          <w:rFonts w:ascii="Times New Roman"/>
          <w:b w:val="false"/>
          <w:i w:val="false"/>
          <w:color w:val="000000"/>
          <w:sz w:val="28"/>
        </w:rPr>
        <w:t>
</w:t>
      </w:r>
    </w:p>
    <w:bookmarkStart w:name="z8576" w:id="8540"/>
    <w:p>
      <w:pPr>
        <w:spacing w:after="0"/>
        <w:ind w:left="0"/>
        <w:jc w:val="both"/>
      </w:pPr>
      <w:r>
        <w:rPr>
          <w:rFonts w:ascii="Times New Roman"/>
          <w:b w:val="false"/>
          <w:i w:val="false"/>
          <w:color w:val="000000"/>
          <w:sz w:val="28"/>
        </w:rPr>
        <w:t>
      для коленчатых валов двигателей, работающих на генератор и другие вспомогательные механизмы ответственного назначения</w:t>
      </w:r>
    </w:p>
    <w:bookmarkEnd w:id="8540"/>
    <w:bookmarkStart w:name="z8577" w:id="8541"/>
    <w:p>
      <w:pPr>
        <w:spacing w:after="0"/>
        <w:ind w:left="0"/>
        <w:jc w:val="both"/>
      </w:pPr>
      <w:r>
        <w:rPr>
          <w:rFonts w:ascii="Times New Roman"/>
          <w:b w:val="false"/>
          <w:i w:val="false"/>
          <w:color w:val="000000"/>
          <w:sz w:val="28"/>
        </w:rPr>
        <w:t xml:space="preserve">
      </w:t>
      </w:r>
    </w:p>
    <w:bookmarkEnd w:id="8541"/>
    <w:p>
      <w:pPr>
        <w:spacing w:after="0"/>
        <w:ind w:left="0"/>
        <w:jc w:val="both"/>
      </w:pPr>
      <w:r>
        <w:drawing>
          <wp:inline distT="0" distB="0" distL="0" distR="0">
            <wp:extent cx="749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2"/>
                    <a:stretch>
                      <a:fillRect/>
                    </a:stretch>
                  </pic:blipFill>
                  <pic:spPr>
                    <a:xfrm>
                      <a:off x="0" y="0"/>
                      <a:ext cx="749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(752)</w:t>
      </w:r>
      <w:r>
        <w:br/>
      </w:r>
      <w:r>
        <w:rPr>
          <w:rFonts w:ascii="Times New Roman"/>
          <w:b w:val="false"/>
          <w:i w:val="false"/>
          <w:color w:val="000000"/>
          <w:sz w:val="28"/>
        </w:rPr>
        <w:t>
</w:t>
      </w:r>
    </w:p>
    <w:bookmarkStart w:name="z8578" w:id="8542"/>
    <w:p>
      <w:pPr>
        <w:spacing w:after="0"/>
        <w:ind w:left="0"/>
        <w:jc w:val="both"/>
      </w:pPr>
      <w:r>
        <w:rPr>
          <w:rFonts w:ascii="Times New Roman"/>
          <w:b w:val="false"/>
          <w:i w:val="false"/>
          <w:color w:val="000000"/>
          <w:sz w:val="28"/>
        </w:rPr>
        <w:t xml:space="preserve">
      Здесь </w:t>
      </w:r>
    </w:p>
    <w:bookmarkEnd w:id="8542"/>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3"/>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T </w:t>
      </w:r>
      <w:r>
        <w:rPr>
          <w:rFonts w:ascii="Times New Roman"/>
          <w:b w:val="false"/>
          <w:i w:val="false"/>
          <w:color w:val="000000"/>
          <w:sz w:val="28"/>
        </w:rPr>
        <w:t>— допускаемые напряжения для быстрого прохода, МПа;</w:t>
      </w:r>
      <w:r>
        <w:br/>
      </w:r>
      <w:r>
        <w:rPr>
          <w:rFonts w:ascii="Times New Roman"/>
          <w:b w:val="false"/>
          <w:i w:val="false"/>
          <w:color w:val="000000"/>
          <w:sz w:val="28"/>
        </w:rPr>
        <w:t>
</w:t>
      </w:r>
    </w:p>
    <w:bookmarkStart w:name="z8579" w:id="8543"/>
    <w:p>
      <w:pPr>
        <w:spacing w:after="0"/>
        <w:ind w:left="0"/>
        <w:jc w:val="both"/>
      </w:pPr>
      <w:r>
        <w:rPr>
          <w:rFonts w:ascii="Times New Roman"/>
          <w:b w:val="false"/>
          <w:i w:val="false"/>
          <w:color w:val="000000"/>
          <w:sz w:val="28"/>
        </w:rPr>
        <w:t xml:space="preserve">
      </w:t>
      </w:r>
    </w:p>
    <w:bookmarkEnd w:id="8543"/>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0 </w:t>
      </w:r>
      <w:r>
        <w:rPr>
          <w:rFonts w:ascii="Times New Roman"/>
          <w:b w:val="false"/>
          <w:i w:val="false"/>
          <w:color w:val="000000"/>
          <w:sz w:val="28"/>
        </w:rPr>
        <w:t>— допускаемые напряжения, определенные по одной из формул (747) — (750) настоящих Правил.</w:t>
      </w:r>
      <w:r>
        <w:br/>
      </w:r>
      <w:r>
        <w:rPr>
          <w:rFonts w:ascii="Times New Roman"/>
          <w:b w:val="false"/>
          <w:i w:val="false"/>
          <w:color w:val="000000"/>
          <w:sz w:val="28"/>
        </w:rPr>
        <w:t>
</w:t>
      </w:r>
    </w:p>
    <w:bookmarkStart w:name="z8580" w:id="8544"/>
    <w:p>
      <w:pPr>
        <w:spacing w:after="0"/>
        <w:ind w:left="0"/>
        <w:jc w:val="left"/>
      </w:pPr>
      <w:r>
        <w:rPr>
          <w:rFonts w:ascii="Times New Roman"/>
          <w:b/>
          <w:i w:val="false"/>
          <w:color w:val="000000"/>
        </w:rPr>
        <w:t xml:space="preserve"> Глава 206. Допускаемые напряжения для промежуточных, упорных, гребных валов и валов генераторов</w:t>
      </w:r>
    </w:p>
    <w:bookmarkEnd w:id="8544"/>
    <w:p>
      <w:pPr>
        <w:spacing w:after="0"/>
        <w:ind w:left="0"/>
        <w:jc w:val="both"/>
      </w:pPr>
      <w:r>
        <w:rPr>
          <w:rFonts w:ascii="Times New Roman"/>
          <w:b w:val="false"/>
          <w:i w:val="false"/>
          <w:color w:val="ff0000"/>
          <w:sz w:val="28"/>
        </w:rPr>
        <w:t>
      Сноска. Заголовок главы 206</w:t>
      </w:r>
      <w:r>
        <w:rPr>
          <w:rFonts w:ascii="Times New Roman"/>
          <w:b w:val="false"/>
          <w:i w:val="false"/>
          <w:color w:val="ff0000"/>
          <w:sz w:val="28"/>
        </w:rPr>
        <w:t>№ 31</w:t>
      </w:r>
      <w:r>
        <w:rPr>
          <w:rFonts w:ascii="Times New Roman"/>
          <w:b w:val="false"/>
          <w:i w:val="false"/>
          <w:color w:val="ff0000"/>
          <w:sz w:val="28"/>
        </w:rPr>
        <w:t xml:space="preserve">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81" w:id="8545"/>
    <w:p>
      <w:pPr>
        <w:spacing w:after="0"/>
        <w:ind w:left="0"/>
        <w:jc w:val="both"/>
      </w:pPr>
      <w:r>
        <w:rPr>
          <w:rFonts w:ascii="Times New Roman"/>
          <w:b w:val="false"/>
          <w:i w:val="false"/>
          <w:color w:val="000000"/>
          <w:sz w:val="28"/>
        </w:rPr>
        <w:t>
      2869. Суммарные напряжения от крутильных колебаний при длительной работе не превышают величины, определяемой по формулам:</w:t>
      </w:r>
    </w:p>
    <w:bookmarkEnd w:id="8545"/>
    <w:bookmarkStart w:name="z8582" w:id="8546"/>
    <w:p>
      <w:pPr>
        <w:spacing w:after="0"/>
        <w:ind w:left="0"/>
        <w:jc w:val="both"/>
      </w:pPr>
      <w:r>
        <w:rPr>
          <w:rFonts w:ascii="Times New Roman"/>
          <w:b w:val="false"/>
          <w:i w:val="false"/>
          <w:color w:val="000000"/>
          <w:sz w:val="28"/>
        </w:rPr>
        <w:t>
      в зонах частот вращения (0,7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для валов ледоколов и судов с ледовыми усилениями категории Агс4 и (0,9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для валов прочих судов и валов генераторов</w:t>
      </w:r>
    </w:p>
    <w:bookmarkEnd w:id="8546"/>
    <w:bookmarkStart w:name="z8583" w:id="8547"/>
    <w:p>
      <w:pPr>
        <w:spacing w:after="0"/>
        <w:ind w:left="0"/>
        <w:jc w:val="both"/>
      </w:pPr>
      <w:r>
        <w:rPr>
          <w:rFonts w:ascii="Times New Roman"/>
          <w:b w:val="false"/>
          <w:i w:val="false"/>
          <w:color w:val="000000"/>
          <w:sz w:val="28"/>
        </w:rPr>
        <w:t xml:space="preserve">
      </w:t>
      </w:r>
    </w:p>
    <w:bookmarkEnd w:id="8547"/>
    <w:p>
      <w:pPr>
        <w:spacing w:after="0"/>
        <w:ind w:left="0"/>
        <w:jc w:val="both"/>
      </w:pPr>
      <w:r>
        <w:drawing>
          <wp:inline distT="0" distB="0" distL="0" distR="0">
            <wp:extent cx="2159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5"/>
                    <a:stretch>
                      <a:fillRect/>
                    </a:stretch>
                  </pic:blipFill>
                  <pic:spPr>
                    <a:xfrm>
                      <a:off x="0" y="0"/>
                      <a:ext cx="2159000" cy="533400"/>
                    </a:xfrm>
                    <a:prstGeom prst="rect">
                      <a:avLst/>
                    </a:prstGeom>
                  </pic:spPr>
                </pic:pic>
              </a:graphicData>
            </a:graphic>
          </wp:inline>
        </w:drawing>
      </w:r>
    </w:p>
    <w:p>
      <w:pPr>
        <w:spacing w:after="0"/>
        <w:ind w:left="0"/>
        <w:jc w:val="left"/>
      </w:pPr>
      <w:r>
        <w:rPr>
          <w:rFonts w:ascii="Times New Roman"/>
          <w:b w:val="false"/>
          <w:i w:val="false"/>
          <w:color w:val="000000"/>
          <w:sz w:val="28"/>
        </w:rPr>
        <w:t>;                      (753)</w:t>
      </w:r>
      <w:r>
        <w:br/>
      </w:r>
      <w:r>
        <w:rPr>
          <w:rFonts w:ascii="Times New Roman"/>
          <w:b w:val="false"/>
          <w:i w:val="false"/>
          <w:color w:val="000000"/>
          <w:sz w:val="28"/>
        </w:rPr>
        <w:t>
</w:t>
      </w:r>
    </w:p>
    <w:bookmarkStart w:name="z8584" w:id="8548"/>
    <w:p>
      <w:pPr>
        <w:spacing w:after="0"/>
        <w:ind w:left="0"/>
        <w:jc w:val="both"/>
      </w:pPr>
      <w:r>
        <w:rPr>
          <w:rFonts w:ascii="Times New Roman"/>
          <w:b w:val="false"/>
          <w:i w:val="false"/>
          <w:color w:val="000000"/>
          <w:sz w:val="28"/>
        </w:rPr>
        <w:t>
      в зонах частот вращения ниже указанных</w:t>
      </w:r>
    </w:p>
    <w:bookmarkEnd w:id="8548"/>
    <w:bookmarkStart w:name="z8585" w:id="8549"/>
    <w:p>
      <w:pPr>
        <w:spacing w:after="0"/>
        <w:ind w:left="0"/>
        <w:jc w:val="both"/>
      </w:pPr>
      <w:r>
        <w:rPr>
          <w:rFonts w:ascii="Times New Roman"/>
          <w:b w:val="false"/>
          <w:i w:val="false"/>
          <w:color w:val="000000"/>
          <w:sz w:val="28"/>
        </w:rPr>
        <w:t xml:space="preserve">
      </w:t>
      </w:r>
    </w:p>
    <w:bookmarkEnd w:id="8549"/>
    <w:p>
      <w:pPr>
        <w:spacing w:after="0"/>
        <w:ind w:left="0"/>
        <w:jc w:val="both"/>
      </w:pPr>
      <w:r>
        <w:drawing>
          <wp:inline distT="0" distB="0" distL="0" distR="0">
            <wp:extent cx="304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6"/>
                    <a:stretch>
                      <a:fillRect/>
                    </a:stretch>
                  </pic:blipFill>
                  <pic:spPr>
                    <a:xfrm>
                      <a:off x="0" y="0"/>
                      <a:ext cx="3048000" cy="533400"/>
                    </a:xfrm>
                    <a:prstGeom prst="rect">
                      <a:avLst/>
                    </a:prstGeom>
                  </pic:spPr>
                </pic:pic>
              </a:graphicData>
            </a:graphic>
          </wp:inline>
        </w:drawing>
      </w:r>
    </w:p>
    <w:p>
      <w:pPr>
        <w:spacing w:after="0"/>
        <w:ind w:left="0"/>
        <w:jc w:val="left"/>
      </w:pPr>
      <w:r>
        <w:rPr>
          <w:rFonts w:ascii="Times New Roman"/>
          <w:b w:val="false"/>
          <w:i w:val="false"/>
          <w:color w:val="000000"/>
          <w:sz w:val="28"/>
        </w:rPr>
        <w:t>,                  (754)</w:t>
      </w:r>
      <w:r>
        <w:br/>
      </w:r>
      <w:r>
        <w:rPr>
          <w:rFonts w:ascii="Times New Roman"/>
          <w:b w:val="false"/>
          <w:i w:val="false"/>
          <w:color w:val="000000"/>
          <w:sz w:val="28"/>
        </w:rPr>
        <w:t>
</w:t>
      </w:r>
    </w:p>
    <w:bookmarkStart w:name="z8586" w:id="8550"/>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временное сопротивление материала вала, МПа.</w:t>
      </w:r>
    </w:p>
    <w:bookmarkEnd w:id="8550"/>
    <w:bookmarkStart w:name="z8587" w:id="8551"/>
    <w:p>
      <w:pPr>
        <w:spacing w:after="0"/>
        <w:ind w:left="0"/>
        <w:jc w:val="both"/>
      </w:pPr>
      <w:r>
        <w:rPr>
          <w:rFonts w:ascii="Times New Roman"/>
          <w:b w:val="false"/>
          <w:i w:val="false"/>
          <w:color w:val="000000"/>
          <w:sz w:val="28"/>
        </w:rPr>
        <w:t xml:space="preserve">
      При применении материала с временным сопротивлением более 800 МПа (для промежуточного и упорного вала из легированной стали) и более 600 МПа (для промежуточного и упорного вала из углеродистой и углеродисто-марганцевой стали, а также для гребного вала) в расчетах следует принимать </w:t>
      </w:r>
      <w:r>
        <w:rPr>
          <w:rFonts w:ascii="Times New Roman"/>
          <w:b w:val="false"/>
          <w:i/>
          <w:color w:val="000000"/>
          <w:sz w:val="28"/>
        </w:rPr>
        <w:t>R</w:t>
      </w:r>
      <w:r>
        <w:rPr>
          <w:rFonts w:ascii="Times New Roman"/>
          <w:b w:val="false"/>
          <w:i w:val="false"/>
          <w:color w:val="000000"/>
          <w:vertAlign w:val="subscript"/>
        </w:rPr>
        <w:t xml:space="preserve">m </w:t>
      </w:r>
      <w:r>
        <w:rPr>
          <w:rFonts w:ascii="Times New Roman"/>
          <w:b w:val="false"/>
          <w:i w:val="false"/>
          <w:color w:val="000000"/>
          <w:sz w:val="28"/>
        </w:rPr>
        <w:t xml:space="preserve">= 800 МПа и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600 МПа соответственно;</w:t>
      </w:r>
    </w:p>
    <w:bookmarkEnd w:id="855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 коэффициент, определяемый по приложению 302 настоящих Правил;</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d</w:t>
      </w:r>
      <w:r>
        <w:rPr>
          <w:rFonts w:ascii="Times New Roman"/>
          <w:b w:val="false"/>
          <w:i w:val="false"/>
          <w:color w:val="000000"/>
          <w:sz w:val="28"/>
        </w:rPr>
        <w:t xml:space="preserve"> — пункт 2867 настоящих Правил.</w:t>
      </w:r>
    </w:p>
    <w:bookmarkStart w:name="z8588" w:id="8552"/>
    <w:p>
      <w:pPr>
        <w:spacing w:after="0"/>
        <w:ind w:left="0"/>
        <w:jc w:val="both"/>
      </w:pPr>
      <w:r>
        <w:rPr>
          <w:rFonts w:ascii="Times New Roman"/>
          <w:b w:val="false"/>
          <w:i w:val="false"/>
          <w:color w:val="000000"/>
          <w:sz w:val="28"/>
        </w:rPr>
        <w:t>
      2870. Суммарные напряжения от крутильных колебаний в зонах частот вращения, запретных для длительной работы, но через которые допускается быстрое прохождение, не превышают:</w:t>
      </w:r>
    </w:p>
    <w:bookmarkEnd w:id="8552"/>
    <w:bookmarkStart w:name="z8589" w:id="8553"/>
    <w:p>
      <w:pPr>
        <w:spacing w:after="0"/>
        <w:ind w:left="0"/>
        <w:jc w:val="both"/>
      </w:pPr>
      <w:r>
        <w:rPr>
          <w:rFonts w:ascii="Times New Roman"/>
          <w:b w:val="false"/>
          <w:i w:val="false"/>
          <w:color w:val="000000"/>
          <w:sz w:val="28"/>
        </w:rPr>
        <w:t>
      для промежуточных, упорных и гребных валов, валов валогенераторов</w:t>
      </w:r>
    </w:p>
    <w:bookmarkEnd w:id="85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7"/>
                    <a:stretch>
                      <a:fillRect/>
                    </a:stretch>
                  </pic:blipFill>
                  <pic:spPr>
                    <a:xfrm>
                      <a:off x="0" y="0"/>
                      <a:ext cx="9017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(755)</w:t>
      </w:r>
      <w:r>
        <w:br/>
      </w:r>
      <w:r>
        <w:rPr>
          <w:rFonts w:ascii="Times New Roman"/>
          <w:b w:val="false"/>
          <w:i w:val="false"/>
          <w:color w:val="000000"/>
          <w:sz w:val="28"/>
        </w:rPr>
        <w:t>
</w:t>
      </w:r>
    </w:p>
    <w:bookmarkStart w:name="z8590" w:id="8554"/>
    <w:p>
      <w:pPr>
        <w:spacing w:after="0"/>
        <w:ind w:left="0"/>
        <w:jc w:val="both"/>
      </w:pPr>
      <w:r>
        <w:rPr>
          <w:rFonts w:ascii="Times New Roman"/>
          <w:b w:val="false"/>
          <w:i w:val="false"/>
          <w:color w:val="000000"/>
          <w:sz w:val="28"/>
        </w:rPr>
        <w:t>
      для валов генераторов с приводом от вспомогательных двигателей — величины, определяемой по формуле (751) настоящих Правил.</w:t>
      </w:r>
    </w:p>
    <w:bookmarkEnd w:id="8554"/>
    <w:bookmarkStart w:name="z8591" w:id="8555"/>
    <w:p>
      <w:pPr>
        <w:spacing w:after="0"/>
        <w:ind w:left="0"/>
        <w:jc w:val="left"/>
      </w:pPr>
      <w:r>
        <w:rPr>
          <w:rFonts w:ascii="Times New Roman"/>
          <w:b/>
          <w:i w:val="false"/>
          <w:color w:val="000000"/>
        </w:rPr>
        <w:t xml:space="preserve"> Глава 207. Допускаемый момент в редукторе</w:t>
      </w:r>
    </w:p>
    <w:bookmarkEnd w:id="8555"/>
    <w:p>
      <w:pPr>
        <w:spacing w:after="0"/>
        <w:ind w:left="0"/>
        <w:jc w:val="both"/>
      </w:pPr>
      <w:r>
        <w:rPr>
          <w:rFonts w:ascii="Times New Roman"/>
          <w:b w:val="false"/>
          <w:i w:val="false"/>
          <w:color w:val="ff0000"/>
          <w:sz w:val="28"/>
        </w:rPr>
        <w:t xml:space="preserve">
      Сноска. Заголовок главы 207 -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92" w:id="8556"/>
    <w:p>
      <w:pPr>
        <w:spacing w:after="0"/>
        <w:ind w:left="0"/>
        <w:jc w:val="both"/>
      </w:pPr>
      <w:r>
        <w:rPr>
          <w:rFonts w:ascii="Times New Roman"/>
          <w:b w:val="false"/>
          <w:i w:val="false"/>
          <w:color w:val="000000"/>
          <w:sz w:val="28"/>
        </w:rPr>
        <w:t>
      2871. Переменный момент в любой ступени редуктора при длительной работе и быстром проходе не превышает допускаемых значений, установленных изготовителем для указанных режимов.</w:t>
      </w:r>
    </w:p>
    <w:bookmarkEnd w:id="8556"/>
    <w:bookmarkStart w:name="z8593" w:id="8557"/>
    <w:p>
      <w:pPr>
        <w:spacing w:after="0"/>
        <w:ind w:left="0"/>
        <w:jc w:val="both"/>
      </w:pPr>
      <w:r>
        <w:rPr>
          <w:rFonts w:ascii="Times New Roman"/>
          <w:b w:val="false"/>
          <w:i w:val="false"/>
          <w:color w:val="000000"/>
          <w:sz w:val="28"/>
        </w:rPr>
        <w:t>
      2872. При отсутствии указанных в пункте 2871 настоящих Правил данных переменный момент в любой ступени редуктора при длительной работе должен отвечать следующим условиям:</w:t>
      </w:r>
    </w:p>
    <w:bookmarkEnd w:id="8557"/>
    <w:bookmarkStart w:name="z8594" w:id="8558"/>
    <w:p>
      <w:pPr>
        <w:spacing w:after="0"/>
        <w:ind w:left="0"/>
        <w:jc w:val="both"/>
      </w:pPr>
      <w:r>
        <w:rPr>
          <w:rFonts w:ascii="Times New Roman"/>
          <w:b w:val="false"/>
          <w:i w:val="false"/>
          <w:color w:val="000000"/>
          <w:sz w:val="28"/>
        </w:rPr>
        <w:t>
      в зонах частот вращения (0,7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для главных установок ледоколов и судов с ледовыми усилениями категории Агс4 и (0,9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для прочих судов:</w:t>
      </w:r>
    </w:p>
    <w:bookmarkEnd w:id="85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8"/>
                    <a:stretch>
                      <a:fillRect/>
                    </a:stretch>
                  </pic:blipFill>
                  <pic:spPr>
                    <a:xfrm>
                      <a:off x="0" y="0"/>
                      <a:ext cx="1295400" cy="292100"/>
                    </a:xfrm>
                    <a:prstGeom prst="rect">
                      <a:avLst/>
                    </a:prstGeom>
                  </pic:spPr>
                </pic:pic>
              </a:graphicData>
            </a:graphic>
          </wp:inline>
        </w:drawing>
      </w:r>
    </w:p>
    <w:p>
      <w:pPr>
        <w:spacing w:after="0"/>
        <w:ind w:left="0"/>
        <w:jc w:val="left"/>
      </w:pPr>
      <w:r>
        <w:rPr>
          <w:rFonts w:ascii="Times New Roman"/>
          <w:b w:val="false"/>
          <w:i w:val="false"/>
          <w:color w:val="000000"/>
          <w:sz w:val="28"/>
        </w:rPr>
        <w:t>;                       (756)</w:t>
      </w:r>
      <w:r>
        <w:br/>
      </w:r>
      <w:r>
        <w:rPr>
          <w:rFonts w:ascii="Times New Roman"/>
          <w:b w:val="false"/>
          <w:i w:val="false"/>
          <w:color w:val="000000"/>
          <w:sz w:val="28"/>
        </w:rPr>
        <w:t>
</w:t>
      </w:r>
    </w:p>
    <w:bookmarkStart w:name="z8595" w:id="8559"/>
    <w:p>
      <w:pPr>
        <w:spacing w:after="0"/>
        <w:ind w:left="0"/>
        <w:jc w:val="both"/>
      </w:pPr>
      <w:r>
        <w:rPr>
          <w:rFonts w:ascii="Times New Roman"/>
          <w:b w:val="false"/>
          <w:i w:val="false"/>
          <w:color w:val="000000"/>
          <w:sz w:val="28"/>
        </w:rPr>
        <w:t>
      в зонах частот вращения ниже указанных допускаемый переменный момент является в каждом случае предметом специального рассмотрения Регистром судоходства, но в любом случае:</w:t>
      </w:r>
    </w:p>
    <w:bookmarkEnd w:id="85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9"/>
                    <a:stretch>
                      <a:fillRect/>
                    </a:stretch>
                  </pic:blipFill>
                  <pic:spPr>
                    <a:xfrm>
                      <a:off x="0" y="0"/>
                      <a:ext cx="1638300" cy="304800"/>
                    </a:xfrm>
                    <a:prstGeom prst="rect">
                      <a:avLst/>
                    </a:prstGeom>
                  </pic:spPr>
                </pic:pic>
              </a:graphicData>
            </a:graphic>
          </wp:inline>
        </w:drawing>
      </w:r>
    </w:p>
    <w:p>
      <w:pPr>
        <w:spacing w:after="0"/>
        <w:ind w:left="0"/>
        <w:jc w:val="left"/>
      </w:pPr>
      <w:r>
        <w:rPr>
          <w:rFonts w:ascii="Times New Roman"/>
          <w:b w:val="false"/>
          <w:i w:val="false"/>
          <w:color w:val="000000"/>
          <w:sz w:val="28"/>
        </w:rPr>
        <w:t>;                      (757)</w:t>
      </w:r>
      <w:r>
        <w:br/>
      </w:r>
      <w:r>
        <w:rPr>
          <w:rFonts w:ascii="Times New Roman"/>
          <w:b w:val="false"/>
          <w:i w:val="false"/>
          <w:color w:val="000000"/>
          <w:sz w:val="28"/>
        </w:rPr>
        <w:t>
</w:t>
      </w:r>
    </w:p>
    <w:bookmarkStart w:name="z8596" w:id="8560"/>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М</w:t>
      </w:r>
      <w:r>
        <w:rPr>
          <w:rFonts w:ascii="Times New Roman"/>
          <w:b w:val="false"/>
          <w:i w:val="false"/>
          <w:color w:val="000000"/>
          <w:vertAlign w:val="subscript"/>
        </w:rPr>
        <w:t>ном</w:t>
      </w:r>
      <w:r>
        <w:rPr>
          <w:rFonts w:ascii="Times New Roman"/>
          <w:b w:val="false"/>
          <w:i w:val="false"/>
          <w:color w:val="000000"/>
          <w:sz w:val="28"/>
        </w:rPr>
        <w:t xml:space="preserve"> — средний крутящий момент в рассматриваемой ступени на номинальной частоте вращения, Н/м;</w:t>
      </w:r>
    </w:p>
    <w:bookmarkEnd w:id="8560"/>
    <w:bookmarkStart w:name="z8597" w:id="8561"/>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средний крутящий момент на рассматриваемой частоте вращения, Н/м.</w:t>
      </w:r>
    </w:p>
    <w:bookmarkEnd w:id="8561"/>
    <w:bookmarkStart w:name="z8598" w:id="8562"/>
    <w:p>
      <w:pPr>
        <w:spacing w:after="0"/>
        <w:ind w:left="0"/>
        <w:jc w:val="both"/>
      </w:pPr>
      <w:r>
        <w:rPr>
          <w:rFonts w:ascii="Times New Roman"/>
          <w:b w:val="false"/>
          <w:i w:val="false"/>
          <w:color w:val="000000"/>
          <w:sz w:val="28"/>
        </w:rPr>
        <w:t>
      При быстром проходе значение переменного момента является в каждом случае предметом специального рассмотрения Регистром судоходства.</w:t>
      </w:r>
    </w:p>
    <w:bookmarkEnd w:id="8562"/>
    <w:bookmarkStart w:name="z8599" w:id="8563"/>
    <w:p>
      <w:pPr>
        <w:spacing w:after="0"/>
        <w:ind w:left="0"/>
        <w:jc w:val="left"/>
      </w:pPr>
      <w:r>
        <w:rPr>
          <w:rFonts w:ascii="Times New Roman"/>
          <w:b/>
          <w:i w:val="false"/>
          <w:color w:val="000000"/>
        </w:rPr>
        <w:t xml:space="preserve"> Глава 208. Допускаемые момент и температура упругих муфт</w:t>
      </w:r>
    </w:p>
    <w:bookmarkEnd w:id="8563"/>
    <w:p>
      <w:pPr>
        <w:spacing w:after="0"/>
        <w:ind w:left="0"/>
        <w:jc w:val="both"/>
      </w:pPr>
      <w:r>
        <w:rPr>
          <w:rFonts w:ascii="Times New Roman"/>
          <w:b w:val="false"/>
          <w:i w:val="false"/>
          <w:color w:val="ff0000"/>
          <w:sz w:val="28"/>
        </w:rPr>
        <w:t xml:space="preserve">
      Сноска. Заголовок главы 208 -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00" w:id="8564"/>
    <w:p>
      <w:pPr>
        <w:spacing w:after="0"/>
        <w:ind w:left="0"/>
        <w:jc w:val="both"/>
      </w:pPr>
      <w:r>
        <w:rPr>
          <w:rFonts w:ascii="Times New Roman"/>
          <w:b w:val="false"/>
          <w:i w:val="false"/>
          <w:color w:val="000000"/>
          <w:sz w:val="28"/>
        </w:rPr>
        <w:t>
      2873. Переменный момент в муфте, соответствующие ему напряжения или температура в материале упругого элемента, обусловленные крутильными колебаниями, при длительной работе и при быстром проходе не превышают допускаемых значений, установленных изготовителем для указанных режимов.</w:t>
      </w:r>
    </w:p>
    <w:bookmarkEnd w:id="8564"/>
    <w:bookmarkStart w:name="z8601" w:id="8565"/>
    <w:p>
      <w:pPr>
        <w:spacing w:after="0"/>
        <w:ind w:left="0"/>
        <w:jc w:val="both"/>
      </w:pPr>
      <w:r>
        <w:rPr>
          <w:rFonts w:ascii="Times New Roman"/>
          <w:b w:val="false"/>
          <w:i w:val="false"/>
          <w:color w:val="000000"/>
          <w:sz w:val="28"/>
        </w:rPr>
        <w:t>
      2874. При отсутствии указанных в пункте 2873 настоящих Правил данных допускаемые для длительной работы и быстрого прохода моменты, напряжения или температуры определяются по методикам, признанным Регистром судоходства.</w:t>
      </w:r>
    </w:p>
    <w:bookmarkEnd w:id="8565"/>
    <w:bookmarkStart w:name="z8602" w:id="8566"/>
    <w:p>
      <w:pPr>
        <w:spacing w:after="0"/>
        <w:ind w:left="0"/>
        <w:jc w:val="left"/>
      </w:pPr>
      <w:r>
        <w:rPr>
          <w:rFonts w:ascii="Times New Roman"/>
          <w:b/>
          <w:i w:val="false"/>
          <w:color w:val="000000"/>
        </w:rPr>
        <w:t xml:space="preserve"> Глава 209. Прочие элементы установки</w:t>
      </w:r>
    </w:p>
    <w:bookmarkEnd w:id="8566"/>
    <w:p>
      <w:pPr>
        <w:spacing w:after="0"/>
        <w:ind w:left="0"/>
        <w:jc w:val="both"/>
      </w:pPr>
      <w:r>
        <w:rPr>
          <w:rFonts w:ascii="Times New Roman"/>
          <w:b w:val="false"/>
          <w:i w:val="false"/>
          <w:color w:val="ff0000"/>
          <w:sz w:val="28"/>
        </w:rPr>
        <w:t xml:space="preserve">
      Сноска. Заголовок главы 209 -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03" w:id="8567"/>
    <w:p>
      <w:pPr>
        <w:spacing w:after="0"/>
        <w:ind w:left="0"/>
        <w:jc w:val="both"/>
      </w:pPr>
      <w:r>
        <w:rPr>
          <w:rFonts w:ascii="Times New Roman"/>
          <w:b w:val="false"/>
          <w:i w:val="false"/>
          <w:color w:val="000000"/>
          <w:sz w:val="28"/>
        </w:rPr>
        <w:t>
      2875. Для прессовых соединений гребного винта с валом и соединительных муфт валопровода суммарный момент (средний крутящий момент в сумме с переменным) при длительной работе не превышает момента трения в соединениях.</w:t>
      </w:r>
    </w:p>
    <w:bookmarkEnd w:id="8567"/>
    <w:bookmarkStart w:name="z8604" w:id="8568"/>
    <w:p>
      <w:pPr>
        <w:spacing w:after="0"/>
        <w:ind w:left="0"/>
        <w:jc w:val="both"/>
      </w:pPr>
      <w:r>
        <w:rPr>
          <w:rFonts w:ascii="Times New Roman"/>
          <w:b w:val="false"/>
          <w:i w:val="false"/>
          <w:color w:val="000000"/>
          <w:sz w:val="28"/>
        </w:rPr>
        <w:t>
      2876. Для роторов генераторов при отсутствии допускаемых значений, установленных изготовителем, переменный момент не превышает при длительной работе двукратного, при быстром проходе — шестикратного номинального момента генератора.</w:t>
      </w:r>
    </w:p>
    <w:bookmarkEnd w:id="8568"/>
    <w:bookmarkStart w:name="z8605" w:id="8569"/>
    <w:p>
      <w:pPr>
        <w:spacing w:after="0"/>
        <w:ind w:left="0"/>
        <w:jc w:val="left"/>
      </w:pPr>
      <w:r>
        <w:rPr>
          <w:rFonts w:ascii="Times New Roman"/>
          <w:b/>
          <w:i w:val="false"/>
          <w:color w:val="000000"/>
        </w:rPr>
        <w:t xml:space="preserve"> Глава 210. Измерения крутильных колебаний</w:t>
      </w:r>
    </w:p>
    <w:bookmarkEnd w:id="8569"/>
    <w:p>
      <w:pPr>
        <w:spacing w:after="0"/>
        <w:ind w:left="0"/>
        <w:jc w:val="both"/>
      </w:pPr>
      <w:r>
        <w:rPr>
          <w:rFonts w:ascii="Times New Roman"/>
          <w:b w:val="false"/>
          <w:i w:val="false"/>
          <w:color w:val="ff0000"/>
          <w:sz w:val="28"/>
        </w:rPr>
        <w:t xml:space="preserve">
      Сноска. Заголовок главы 210 -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06" w:id="8570"/>
    <w:p>
      <w:pPr>
        <w:spacing w:after="0"/>
        <w:ind w:left="0"/>
        <w:jc w:val="both"/>
      </w:pPr>
      <w:r>
        <w:rPr>
          <w:rFonts w:ascii="Times New Roman"/>
          <w:b w:val="false"/>
          <w:i w:val="false"/>
          <w:color w:val="000000"/>
          <w:sz w:val="28"/>
        </w:rPr>
        <w:t>
      2877. Результаты расчета крутильных колебаний для установок с главными механизмами подтверждаются измерениями. Измерения производятся для всех вариантов и режимов работы установки, для которых согласно пункту 2863 настоящих Правил выполнены расчеты, за исключением аварийных режимов, перечисленных в подпунктах 6) и 7) пункта 2863 настоящих Правил.</w:t>
      </w:r>
    </w:p>
    <w:bookmarkEnd w:id="8570"/>
    <w:bookmarkStart w:name="z8607" w:id="8571"/>
    <w:p>
      <w:pPr>
        <w:spacing w:after="0"/>
        <w:ind w:left="0"/>
        <w:jc w:val="both"/>
      </w:pPr>
      <w:r>
        <w:rPr>
          <w:rFonts w:ascii="Times New Roman"/>
          <w:b w:val="false"/>
          <w:i w:val="false"/>
          <w:color w:val="000000"/>
          <w:sz w:val="28"/>
        </w:rPr>
        <w:t>
      Регистр судоходства в обоснованных случаях требует выполнение замеров крутильных колебаний для вспомогательных дизель-генераторов и вспомогательных механизмов ответственного назначения с приводом от ДВС.</w:t>
      </w:r>
    </w:p>
    <w:bookmarkEnd w:id="8571"/>
    <w:bookmarkStart w:name="z8608" w:id="8572"/>
    <w:p>
      <w:pPr>
        <w:spacing w:after="0"/>
        <w:ind w:left="0"/>
        <w:jc w:val="both"/>
      </w:pPr>
      <w:r>
        <w:rPr>
          <w:rFonts w:ascii="Times New Roman"/>
          <w:b w:val="false"/>
          <w:i w:val="false"/>
          <w:color w:val="000000"/>
          <w:sz w:val="28"/>
        </w:rPr>
        <w:t>
      2878. Результаты измерений на головном судне (агрегате) серии распространяются на все суда (агрегаты) этой серии, не имеющие отличий в системе двигатель — валопровод — движитель (приводной механизм).</w:t>
      </w:r>
    </w:p>
    <w:bookmarkEnd w:id="8572"/>
    <w:bookmarkStart w:name="z8609" w:id="8573"/>
    <w:p>
      <w:pPr>
        <w:spacing w:after="0"/>
        <w:ind w:left="0"/>
        <w:jc w:val="both"/>
      </w:pPr>
      <w:r>
        <w:rPr>
          <w:rFonts w:ascii="Times New Roman"/>
          <w:b w:val="false"/>
          <w:i w:val="false"/>
          <w:color w:val="000000"/>
          <w:sz w:val="28"/>
        </w:rPr>
        <w:t>
      2879. Полученные при измерениях резонансные (свободные) частоты колебаний не отличаются от расчетных более чем на 5 %. В противном случае расчет подвергают соответствующей корректировке.</w:t>
      </w:r>
    </w:p>
    <w:bookmarkEnd w:id="8573"/>
    <w:bookmarkStart w:name="z8610" w:id="8574"/>
    <w:p>
      <w:pPr>
        <w:spacing w:after="0"/>
        <w:ind w:left="0"/>
        <w:jc w:val="both"/>
      </w:pPr>
      <w:r>
        <w:rPr>
          <w:rFonts w:ascii="Times New Roman"/>
          <w:b w:val="false"/>
          <w:i w:val="false"/>
          <w:color w:val="000000"/>
          <w:sz w:val="28"/>
        </w:rPr>
        <w:t>
      2880. Определение напряжений по данным измерений производится по наибольшим амплитудам колебаний или напряжений соответствующей части торсиограммы или осциллограммы.</w:t>
      </w:r>
    </w:p>
    <w:bookmarkEnd w:id="8574"/>
    <w:bookmarkStart w:name="z8611" w:id="8575"/>
    <w:p>
      <w:pPr>
        <w:spacing w:after="0"/>
        <w:ind w:left="0"/>
        <w:jc w:val="both"/>
      </w:pPr>
      <w:r>
        <w:rPr>
          <w:rFonts w:ascii="Times New Roman"/>
          <w:b w:val="false"/>
          <w:i w:val="false"/>
          <w:color w:val="000000"/>
          <w:sz w:val="28"/>
        </w:rPr>
        <w:t>
      При оценке суммарных напряжений от нескольких порядков колебаний необходимо производить гармонический анализ зарегистрированных параметров.</w:t>
      </w:r>
    </w:p>
    <w:bookmarkEnd w:id="8575"/>
    <w:bookmarkStart w:name="z8612" w:id="8576"/>
    <w:p>
      <w:pPr>
        <w:spacing w:after="0"/>
        <w:ind w:left="0"/>
        <w:jc w:val="left"/>
      </w:pPr>
      <w:r>
        <w:rPr>
          <w:rFonts w:ascii="Times New Roman"/>
          <w:b/>
          <w:i w:val="false"/>
          <w:color w:val="000000"/>
        </w:rPr>
        <w:t xml:space="preserve"> Глава 211. Запретные зоны частот вращения</w:t>
      </w:r>
    </w:p>
    <w:bookmarkEnd w:id="8576"/>
    <w:p>
      <w:pPr>
        <w:spacing w:after="0"/>
        <w:ind w:left="0"/>
        <w:jc w:val="both"/>
      </w:pPr>
      <w:r>
        <w:rPr>
          <w:rFonts w:ascii="Times New Roman"/>
          <w:b w:val="false"/>
          <w:i w:val="false"/>
          <w:color w:val="ff0000"/>
          <w:sz w:val="28"/>
        </w:rPr>
        <w:t xml:space="preserve">
      Сноска. Заголовок главы 211 -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13" w:id="8577"/>
    <w:p>
      <w:pPr>
        <w:spacing w:after="0"/>
        <w:ind w:left="0"/>
        <w:jc w:val="both"/>
      </w:pPr>
      <w:r>
        <w:rPr>
          <w:rFonts w:ascii="Times New Roman"/>
          <w:b w:val="false"/>
          <w:i w:val="false"/>
          <w:color w:val="000000"/>
          <w:sz w:val="28"/>
        </w:rPr>
        <w:t>
      2881. Если напряжения в валах, моменты в каких-либо элементах установки или температура резиновых элементов упругих муфт, обусловленные крутильными колебаниями, превышают соответствующие допускаемые величины для длительной работы, определенные в соответствии с пунктами 2867, 2869, главами 207-209 настоящих Правил, назначается запретная зона частот вращения.</w:t>
      </w:r>
    </w:p>
    <w:bookmarkEnd w:id="8577"/>
    <w:bookmarkStart w:name="z8614" w:id="8578"/>
    <w:p>
      <w:pPr>
        <w:spacing w:after="0"/>
        <w:ind w:left="0"/>
        <w:jc w:val="both"/>
      </w:pPr>
      <w:r>
        <w:rPr>
          <w:rFonts w:ascii="Times New Roman"/>
          <w:b w:val="false"/>
          <w:i w:val="false"/>
          <w:color w:val="000000"/>
          <w:sz w:val="28"/>
        </w:rPr>
        <w:t>
      2882. Запретные зоны не допускаются для частот вращения:</w:t>
      </w:r>
    </w:p>
    <w:bookmarkEnd w:id="8578"/>
    <w:bookmarkStart w:name="z8615" w:id="857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u w:val="single"/>
        </w:rPr>
        <w:t>&gt;</w:t>
      </w:r>
      <w:r>
        <w:rPr>
          <w:rFonts w:ascii="Times New Roman"/>
          <w:b w:val="false"/>
          <w:i w:val="false"/>
          <w:color w:val="000000"/>
          <w:sz w:val="28"/>
        </w:rPr>
        <w:t>0,7</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для ледоколов и судов с ледовыми усилениями категории Агс4;</w:t>
      </w:r>
    </w:p>
    <w:bookmarkEnd w:id="8579"/>
    <w:bookmarkStart w:name="z8616" w:id="858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u w:val="single"/>
        </w:rPr>
        <w:t>&gt;</w:t>
      </w:r>
      <w:r>
        <w:rPr>
          <w:rFonts w:ascii="Times New Roman"/>
          <w:b w:val="false"/>
          <w:i w:val="false"/>
          <w:color w:val="000000"/>
          <w:sz w:val="28"/>
        </w:rPr>
        <w:t>0,8</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для прочих судов;</w:t>
      </w:r>
    </w:p>
    <w:bookmarkEnd w:id="8580"/>
    <w:bookmarkStart w:name="z8617" w:id="858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(0,9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для дизель-генераторов и других дизельных вспомогательных установок ответственного назначения. Для главных дизель-генераторов судов с электродвижением в качестве </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следует принимать поочередно все фиксированные частоты вращения, соответствующие спецификационным режимам частичных нагрузок.</w:t>
      </w:r>
    </w:p>
    <w:bookmarkEnd w:id="8581"/>
    <w:bookmarkStart w:name="z8618" w:id="8582"/>
    <w:p>
      <w:pPr>
        <w:spacing w:after="0"/>
        <w:ind w:left="0"/>
        <w:jc w:val="both"/>
      </w:pPr>
      <w:r>
        <w:rPr>
          <w:rFonts w:ascii="Times New Roman"/>
          <w:b w:val="false"/>
          <w:i w:val="false"/>
          <w:color w:val="000000"/>
          <w:sz w:val="28"/>
        </w:rPr>
        <w:t>
      На ледоколах рекомендуется избегать резонансов лопастной частоты в диапазоне (0,5 — 0,8)</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w:t>
      </w:r>
    </w:p>
    <w:bookmarkEnd w:id="8582"/>
    <w:bookmarkStart w:name="z8619" w:id="8583"/>
    <w:p>
      <w:pPr>
        <w:spacing w:after="0"/>
        <w:ind w:left="0"/>
        <w:jc w:val="both"/>
      </w:pPr>
      <w:r>
        <w:rPr>
          <w:rFonts w:ascii="Times New Roman"/>
          <w:b w:val="false"/>
          <w:i w:val="false"/>
          <w:color w:val="000000"/>
          <w:sz w:val="28"/>
        </w:rPr>
        <w:t>
      Запретная зона частот вращения при условии отключения одного цилиндра в случае одного главного двигателя на судне не должна влиять на управляемость судна.</w:t>
      </w:r>
    </w:p>
    <w:bookmarkEnd w:id="8583"/>
    <w:bookmarkStart w:name="z8620" w:id="8584"/>
    <w:p>
      <w:pPr>
        <w:spacing w:after="0"/>
        <w:ind w:left="0"/>
        <w:jc w:val="both"/>
      </w:pPr>
      <w:r>
        <w:rPr>
          <w:rFonts w:ascii="Times New Roman"/>
          <w:b w:val="false"/>
          <w:i w:val="false"/>
          <w:color w:val="000000"/>
          <w:sz w:val="28"/>
        </w:rPr>
        <w:t>
      2883. Установка демпфера или антивибратора допускается в том случае, если другими способами снизить напряжения (моменты) от крутильных колебаний не удается, и они превышают допускаемые в главах 205-209 настоящих Правил:</w:t>
      </w:r>
    </w:p>
    <w:bookmarkEnd w:id="8584"/>
    <w:bookmarkStart w:name="z8621" w:id="8585"/>
    <w:p>
      <w:pPr>
        <w:spacing w:after="0"/>
        <w:ind w:left="0"/>
        <w:jc w:val="both"/>
      </w:pPr>
      <w:r>
        <w:rPr>
          <w:rFonts w:ascii="Times New Roman"/>
          <w:b w:val="false"/>
          <w:i w:val="false"/>
          <w:color w:val="000000"/>
          <w:sz w:val="28"/>
        </w:rPr>
        <w:t>
      для длительной работы — в диапазоне частот вращения, где запретная зона недопустима или нежелательна;</w:t>
      </w:r>
    </w:p>
    <w:bookmarkEnd w:id="8585"/>
    <w:bookmarkStart w:name="z8622" w:id="8586"/>
    <w:p>
      <w:pPr>
        <w:spacing w:after="0"/>
        <w:ind w:left="0"/>
        <w:jc w:val="both"/>
      </w:pPr>
      <w:r>
        <w:rPr>
          <w:rFonts w:ascii="Times New Roman"/>
          <w:b w:val="false"/>
          <w:i w:val="false"/>
          <w:color w:val="000000"/>
          <w:sz w:val="28"/>
        </w:rPr>
        <w:t>
      для быстрого прохода — в любой точке диапазона частот вращения (0 — 1,2)</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w:t>
      </w:r>
    </w:p>
    <w:bookmarkEnd w:id="8586"/>
    <w:bookmarkStart w:name="z8623" w:id="8587"/>
    <w:p>
      <w:pPr>
        <w:spacing w:after="0"/>
        <w:ind w:left="0"/>
        <w:jc w:val="both"/>
      </w:pPr>
      <w:r>
        <w:rPr>
          <w:rFonts w:ascii="Times New Roman"/>
          <w:b w:val="false"/>
          <w:i w:val="false"/>
          <w:color w:val="000000"/>
          <w:sz w:val="28"/>
        </w:rPr>
        <w:t>
      2884. Демпфер или антивибратор обеспечивает снижение напряжений (моментов) на резонансах, на которые он настроен, не менее чем до 85 % соответствующих допускаемых значений.</w:t>
      </w:r>
    </w:p>
    <w:bookmarkEnd w:id="8587"/>
    <w:bookmarkStart w:name="z8624" w:id="8588"/>
    <w:p>
      <w:pPr>
        <w:spacing w:after="0"/>
        <w:ind w:left="0"/>
        <w:jc w:val="both"/>
      </w:pPr>
      <w:r>
        <w:rPr>
          <w:rFonts w:ascii="Times New Roman"/>
          <w:b w:val="false"/>
          <w:i w:val="false"/>
          <w:color w:val="000000"/>
          <w:sz w:val="28"/>
        </w:rPr>
        <w:t>
      2885. Использование демпферов или антивибраторов для исключения запретных зон в диапазоне частот вращения главного двигателя (0,7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для ледоколов и судов с ледовыми усилениями категории Агс4 и (0,9 — 1,05)</w:t>
      </w:r>
      <w:r>
        <w:rPr>
          <w:rFonts w:ascii="Times New Roman"/>
          <w:b w:val="false"/>
          <w:i/>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для прочих судов и дизель-генераторов является предметом специального рассмотрения Регистром судоходства в каждом случае.</w:t>
      </w:r>
    </w:p>
    <w:bookmarkEnd w:id="8588"/>
    <w:bookmarkStart w:name="z8625" w:id="8589"/>
    <w:p>
      <w:pPr>
        <w:spacing w:after="0"/>
        <w:ind w:left="0"/>
        <w:jc w:val="both"/>
      </w:pPr>
      <w:r>
        <w:rPr>
          <w:rFonts w:ascii="Times New Roman"/>
          <w:b w:val="false"/>
          <w:i w:val="false"/>
          <w:color w:val="000000"/>
          <w:sz w:val="28"/>
        </w:rPr>
        <w:t>
      2886. Запретная зона определяется диапазоном частот вращения, в котором напряжения (моменты, температура) превышают допускаемые, увеличенным в обе стороны на 0,02</w:t>
      </w:r>
      <w:r>
        <w:rPr>
          <w:rFonts w:ascii="Times New Roman"/>
          <w:b w:val="false"/>
          <w:i/>
          <w:color w:val="000000"/>
          <w:sz w:val="28"/>
        </w:rPr>
        <w:t>n</w:t>
      </w:r>
      <w:r>
        <w:rPr>
          <w:rFonts w:ascii="Times New Roman"/>
          <w:b w:val="false"/>
          <w:i w:val="false"/>
          <w:color w:val="000000"/>
          <w:vertAlign w:val="subscript"/>
        </w:rPr>
        <w:t>рез</w:t>
      </w:r>
      <w:r>
        <w:rPr>
          <w:rFonts w:ascii="Times New Roman"/>
          <w:b w:val="false"/>
          <w:i w:val="false"/>
          <w:color w:val="000000"/>
          <w:sz w:val="28"/>
        </w:rPr>
        <w:t xml:space="preserve"> (с учетом погрешности тахометра). Двигатель работает стабильно на границах запретной зоны.</w:t>
      </w:r>
    </w:p>
    <w:bookmarkEnd w:id="8589"/>
    <w:bookmarkStart w:name="z8626" w:id="8590"/>
    <w:p>
      <w:pPr>
        <w:spacing w:after="0"/>
        <w:ind w:left="0"/>
        <w:jc w:val="both"/>
      </w:pPr>
      <w:r>
        <w:rPr>
          <w:rFonts w:ascii="Times New Roman"/>
          <w:b w:val="false"/>
          <w:i w:val="false"/>
          <w:color w:val="000000"/>
          <w:sz w:val="28"/>
        </w:rPr>
        <w:t>
      В расчете границы запретной зоны определяются по формуле:</w:t>
      </w:r>
    </w:p>
    <w:bookmarkEnd w:id="85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0"/>
                    <a:stretch>
                      <a:fillRect/>
                    </a:stretch>
                  </pic:blipFill>
                  <pic:spPr>
                    <a:xfrm>
                      <a:off x="0" y="0"/>
                      <a:ext cx="3162300" cy="609600"/>
                    </a:xfrm>
                    <a:prstGeom prst="rect">
                      <a:avLst/>
                    </a:prstGeom>
                  </pic:spPr>
                </pic:pic>
              </a:graphicData>
            </a:graphic>
          </wp:inline>
        </w:drawing>
      </w:r>
    </w:p>
    <w:p>
      <w:pPr>
        <w:spacing w:after="0"/>
        <w:ind w:left="0"/>
        <w:jc w:val="left"/>
      </w:pPr>
      <w:r>
        <w:rPr>
          <w:rFonts w:ascii="Times New Roman"/>
          <w:b w:val="false"/>
          <w:i w:val="false"/>
          <w:color w:val="000000"/>
          <w:sz w:val="28"/>
        </w:rPr>
        <w:t>,                    (758)</w:t>
      </w:r>
      <w:r>
        <w:br/>
      </w:r>
      <w:r>
        <w:rPr>
          <w:rFonts w:ascii="Times New Roman"/>
          <w:b w:val="false"/>
          <w:i w:val="false"/>
          <w:color w:val="000000"/>
          <w:sz w:val="28"/>
        </w:rPr>
        <w:t>
</w:t>
      </w:r>
    </w:p>
    <w:bookmarkStart w:name="z8627" w:id="8591"/>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рез</w:t>
      </w:r>
      <w:r>
        <w:rPr>
          <w:rFonts w:ascii="Times New Roman"/>
          <w:b w:val="false"/>
          <w:i w:val="false"/>
          <w:color w:val="000000"/>
          <w:sz w:val="28"/>
        </w:rPr>
        <w:t xml:space="preserve"> — резонансная частота вращения, об/мин.</w:t>
      </w:r>
    </w:p>
    <w:bookmarkEnd w:id="8591"/>
    <w:bookmarkStart w:name="z8628" w:id="8592"/>
    <w:p>
      <w:pPr>
        <w:spacing w:after="0"/>
        <w:ind w:left="0"/>
        <w:jc w:val="both"/>
      </w:pPr>
      <w:r>
        <w:rPr>
          <w:rFonts w:ascii="Times New Roman"/>
          <w:b w:val="false"/>
          <w:i w:val="false"/>
          <w:color w:val="000000"/>
          <w:sz w:val="28"/>
        </w:rPr>
        <w:t>
      Для ВРШ с возможностью раздельного регулирования шага и скорости рассматривают режимы полного и нулевого шага.</w:t>
      </w:r>
    </w:p>
    <w:bookmarkEnd w:id="8592"/>
    <w:bookmarkStart w:name="z8629" w:id="8593"/>
    <w:p>
      <w:pPr>
        <w:spacing w:after="0"/>
        <w:ind w:left="0"/>
        <w:jc w:val="both"/>
      </w:pPr>
      <w:r>
        <w:rPr>
          <w:rFonts w:ascii="Times New Roman"/>
          <w:b w:val="false"/>
          <w:i w:val="false"/>
          <w:color w:val="000000"/>
          <w:sz w:val="28"/>
        </w:rPr>
        <w:t>
      2887. Запретные зоны отмечают на тахометре в соответствии с пунктом 2695 настоящих Правил.</w:t>
      </w:r>
    </w:p>
    <w:bookmarkEnd w:id="8593"/>
    <w:bookmarkStart w:name="z8630" w:id="8594"/>
    <w:p>
      <w:pPr>
        <w:spacing w:after="0"/>
        <w:ind w:left="0"/>
        <w:jc w:val="both"/>
      </w:pPr>
      <w:r>
        <w:rPr>
          <w:rFonts w:ascii="Times New Roman"/>
          <w:b w:val="false"/>
          <w:i w:val="false"/>
          <w:color w:val="000000"/>
          <w:sz w:val="28"/>
        </w:rPr>
        <w:t>
      Сведения о наличии запретных зон и их границах приводят на информационных табличках, установленных на всех постах, с которых может управляться установка.</w:t>
      </w:r>
    </w:p>
    <w:bookmarkEnd w:id="8594"/>
    <w:bookmarkStart w:name="z8631" w:id="8595"/>
    <w:p>
      <w:pPr>
        <w:spacing w:after="0"/>
        <w:ind w:left="0"/>
        <w:jc w:val="both"/>
      </w:pPr>
      <w:r>
        <w:rPr>
          <w:rFonts w:ascii="Times New Roman"/>
          <w:b w:val="false"/>
          <w:i w:val="false"/>
          <w:color w:val="000000"/>
          <w:sz w:val="28"/>
        </w:rPr>
        <w:t>
      2888. При дистанционном управлении главными механизмами из рулевой рубки выполняется требование подпункта 4) пункта 7372 настоящих Правил.</w:t>
      </w:r>
    </w:p>
    <w:bookmarkEnd w:id="8595"/>
    <w:bookmarkStart w:name="z8632" w:id="8596"/>
    <w:p>
      <w:pPr>
        <w:spacing w:after="0"/>
        <w:ind w:left="0"/>
        <w:jc w:val="left"/>
      </w:pPr>
      <w:r>
        <w:rPr>
          <w:rFonts w:ascii="Times New Roman"/>
          <w:b/>
          <w:i w:val="false"/>
          <w:color w:val="000000"/>
        </w:rPr>
        <w:t xml:space="preserve"> Подраздел 9. Вибрация механизмов и оборудования.</w:t>
      </w:r>
      <w:r>
        <w:br/>
      </w:r>
      <w:r>
        <w:rPr>
          <w:rFonts w:ascii="Times New Roman"/>
          <w:b/>
          <w:i w:val="false"/>
          <w:color w:val="000000"/>
        </w:rPr>
        <w:t>Технические нормы. Запасные части</w:t>
      </w:r>
      <w:r>
        <w:br/>
      </w:r>
      <w:r>
        <w:rPr>
          <w:rFonts w:ascii="Times New Roman"/>
          <w:b/>
          <w:i w:val="false"/>
          <w:color w:val="000000"/>
        </w:rPr>
        <w:t>Глава 212. Общие положения</w:t>
      </w:r>
    </w:p>
    <w:bookmarkEnd w:id="8596"/>
    <w:p>
      <w:pPr>
        <w:spacing w:after="0"/>
        <w:ind w:left="0"/>
        <w:jc w:val="both"/>
      </w:pPr>
      <w:r>
        <w:rPr>
          <w:rFonts w:ascii="Times New Roman"/>
          <w:b w:val="false"/>
          <w:i w:val="false"/>
          <w:color w:val="ff0000"/>
          <w:sz w:val="28"/>
        </w:rPr>
        <w:t xml:space="preserve">
      Сноска. Заголовок главы 212 -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34" w:id="8597"/>
    <w:p>
      <w:pPr>
        <w:spacing w:after="0"/>
        <w:ind w:left="0"/>
        <w:jc w:val="both"/>
      </w:pPr>
      <w:r>
        <w:rPr>
          <w:rFonts w:ascii="Times New Roman"/>
          <w:b w:val="false"/>
          <w:i w:val="false"/>
          <w:color w:val="000000"/>
          <w:sz w:val="28"/>
        </w:rPr>
        <w:t>
      2889. Настоящая глава регламентирует предельно допустимые уровни вибрации (нормы вибрации) судовых механизмов и оборудования.</w:t>
      </w:r>
    </w:p>
    <w:bookmarkEnd w:id="8597"/>
    <w:bookmarkStart w:name="z8635" w:id="8598"/>
    <w:p>
      <w:pPr>
        <w:spacing w:after="0"/>
        <w:ind w:left="0"/>
        <w:jc w:val="both"/>
      </w:pPr>
      <w:r>
        <w:rPr>
          <w:rFonts w:ascii="Times New Roman"/>
          <w:b w:val="false"/>
          <w:i w:val="false"/>
          <w:color w:val="000000"/>
          <w:sz w:val="28"/>
        </w:rPr>
        <w:t>
      Нормы предназначены для оценки допустимости фактических уровней вибрации механизмов и оборудования судов при постройке (после ремонта) и судов в эксплуатации по результатам измерений параметров их вибрации. Нормы предусматривают три категории технического состояния механизмов и оборудования судов:</w:t>
      </w:r>
    </w:p>
    <w:bookmarkEnd w:id="8598"/>
    <w:bookmarkStart w:name="z8636" w:id="859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состояние механизмов и оборудования после изготовления (постройки судна) или ремонта при вводе в эксплуатацию;</w:t>
      </w:r>
    </w:p>
    <w:bookmarkEnd w:id="8599"/>
    <w:bookmarkStart w:name="z8637" w:id="8600"/>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состояние механизмов и оборудования во время нормальной эксплуатации;</w:t>
      </w:r>
    </w:p>
    <w:bookmarkEnd w:id="8600"/>
    <w:bookmarkStart w:name="z8638" w:id="860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состояние механизмов и оборудования, при котором оно требует проведения технического обслуживания или ремонта.</w:t>
      </w:r>
    </w:p>
    <w:bookmarkEnd w:id="8601"/>
    <w:bookmarkStart w:name="z8639" w:id="8602"/>
    <w:p>
      <w:pPr>
        <w:spacing w:after="0"/>
        <w:ind w:left="0"/>
        <w:jc w:val="both"/>
      </w:pPr>
      <w:r>
        <w:rPr>
          <w:rFonts w:ascii="Times New Roman"/>
          <w:b w:val="false"/>
          <w:i w:val="false"/>
          <w:color w:val="000000"/>
          <w:sz w:val="28"/>
        </w:rPr>
        <w:t xml:space="preserve">
      Нормы определяют верхние границы категорий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w:t>
      </w:r>
    </w:p>
    <w:bookmarkEnd w:id="8602"/>
    <w:bookmarkStart w:name="z8640" w:id="8603"/>
    <w:p>
      <w:pPr>
        <w:spacing w:after="0"/>
        <w:ind w:left="0"/>
        <w:jc w:val="both"/>
      </w:pPr>
      <w:r>
        <w:rPr>
          <w:rFonts w:ascii="Times New Roman"/>
          <w:b w:val="false"/>
          <w:i w:val="false"/>
          <w:color w:val="000000"/>
          <w:sz w:val="28"/>
        </w:rPr>
        <w:t>
      2890. Измерения вибрации проводятся на всех головных судах серии, строящихся на каждом заводе, на первом судне модифицированного проекта, на судах единичной постройки и прошедших переоборудование.</w:t>
      </w:r>
    </w:p>
    <w:bookmarkEnd w:id="8603"/>
    <w:bookmarkStart w:name="z8641" w:id="8604"/>
    <w:p>
      <w:pPr>
        <w:spacing w:after="0"/>
        <w:ind w:left="0"/>
        <w:jc w:val="both"/>
      </w:pPr>
      <w:r>
        <w:rPr>
          <w:rFonts w:ascii="Times New Roman"/>
          <w:b w:val="false"/>
          <w:i w:val="false"/>
          <w:color w:val="000000"/>
          <w:sz w:val="28"/>
        </w:rPr>
        <w:t>
      Измерения вибрации механизмов и оборудования должны производиться при постройке судна по программе, одобренной Регистром судоходства. Техническая документация по результатам измерений представляется согласно требованиям настоящих Правил.</w:t>
      </w:r>
    </w:p>
    <w:bookmarkEnd w:id="8604"/>
    <w:bookmarkStart w:name="z8642" w:id="8605"/>
    <w:p>
      <w:pPr>
        <w:spacing w:after="0"/>
        <w:ind w:left="0"/>
        <w:jc w:val="both"/>
      </w:pPr>
      <w:r>
        <w:rPr>
          <w:rFonts w:ascii="Times New Roman"/>
          <w:b w:val="false"/>
          <w:i w:val="false"/>
          <w:color w:val="000000"/>
          <w:sz w:val="28"/>
        </w:rPr>
        <w:t xml:space="preserve">
      2891. При постройке судна (или после ремонта) вибрация механизмов и оборудования не превышает уровня верхней границы категории </w:t>
      </w:r>
      <w:r>
        <w:rPr>
          <w:rFonts w:ascii="Times New Roman"/>
          <w:b w:val="false"/>
          <w:i/>
          <w:color w:val="000000"/>
          <w:sz w:val="28"/>
        </w:rPr>
        <w:t>А</w:t>
      </w:r>
      <w:r>
        <w:rPr>
          <w:rFonts w:ascii="Times New Roman"/>
          <w:b w:val="false"/>
          <w:i w:val="false"/>
          <w:color w:val="000000"/>
          <w:sz w:val="28"/>
        </w:rPr>
        <w:t>, который установлен, исходя из условий обеспечения достаточного запаса на изменение уровня вибрации в эксплуатации.</w:t>
      </w:r>
    </w:p>
    <w:bookmarkEnd w:id="8605"/>
    <w:bookmarkStart w:name="z8643" w:id="8606"/>
    <w:p>
      <w:pPr>
        <w:spacing w:after="0"/>
        <w:ind w:left="0"/>
        <w:jc w:val="both"/>
      </w:pPr>
      <w:r>
        <w:rPr>
          <w:rFonts w:ascii="Times New Roman"/>
          <w:b w:val="false"/>
          <w:i w:val="false"/>
          <w:color w:val="000000"/>
          <w:sz w:val="28"/>
        </w:rPr>
        <w:t xml:space="preserve">
      При длительной эксплуатации судна вибрация механизмов и оборудования не превышает уровня верхней границы категории </w:t>
      </w:r>
      <w:r>
        <w:rPr>
          <w:rFonts w:ascii="Times New Roman"/>
          <w:b w:val="false"/>
          <w:i/>
          <w:color w:val="000000"/>
          <w:sz w:val="28"/>
        </w:rPr>
        <w:t>В</w:t>
      </w:r>
      <w:r>
        <w:rPr>
          <w:rFonts w:ascii="Times New Roman"/>
          <w:b w:val="false"/>
          <w:i w:val="false"/>
          <w:color w:val="000000"/>
          <w:sz w:val="28"/>
        </w:rPr>
        <w:t>, который установлен, исходя из условий обеспечения вибрационной прочности и надежности работы механизмов и оборудования.</w:t>
      </w:r>
    </w:p>
    <w:bookmarkEnd w:id="8606"/>
    <w:bookmarkStart w:name="z8644" w:id="8607"/>
    <w:p>
      <w:pPr>
        <w:spacing w:after="0"/>
        <w:ind w:left="0"/>
        <w:jc w:val="both"/>
      </w:pPr>
      <w:r>
        <w:rPr>
          <w:rFonts w:ascii="Times New Roman"/>
          <w:b w:val="false"/>
          <w:i w:val="false"/>
          <w:color w:val="000000"/>
          <w:sz w:val="28"/>
        </w:rPr>
        <w:t>
      2892. Результаты измерений вибрации сопоставляют с допускаемыми уровнями вибрации.</w:t>
      </w:r>
    </w:p>
    <w:bookmarkEnd w:id="8607"/>
    <w:bookmarkStart w:name="z8645" w:id="8608"/>
    <w:p>
      <w:pPr>
        <w:spacing w:after="0"/>
        <w:ind w:left="0"/>
        <w:jc w:val="both"/>
      </w:pPr>
      <w:r>
        <w:rPr>
          <w:rFonts w:ascii="Times New Roman"/>
          <w:b w:val="false"/>
          <w:i w:val="false"/>
          <w:color w:val="000000"/>
          <w:sz w:val="28"/>
        </w:rPr>
        <w:t>
      Если вибрация превышает установленные нормы, разрабатывают и осуществляют мероприятия, направленные на ее снижение до допустимых уровней.</w:t>
      </w:r>
    </w:p>
    <w:bookmarkEnd w:id="8608"/>
    <w:bookmarkStart w:name="z8646" w:id="8609"/>
    <w:p>
      <w:pPr>
        <w:spacing w:after="0"/>
        <w:ind w:left="0"/>
        <w:jc w:val="both"/>
      </w:pPr>
      <w:r>
        <w:rPr>
          <w:rFonts w:ascii="Times New Roman"/>
          <w:b w:val="false"/>
          <w:i w:val="false"/>
          <w:color w:val="000000"/>
          <w:sz w:val="28"/>
        </w:rPr>
        <w:t>
      2893. Уровни вибрации механизмов и оборудования не должны превышать норм как во время стоянки судна, так и на спецификационных режимах переднего хода при различных состояниях его загрузки.</w:t>
      </w:r>
    </w:p>
    <w:bookmarkEnd w:id="8609"/>
    <w:bookmarkStart w:name="z8647" w:id="8610"/>
    <w:p>
      <w:pPr>
        <w:spacing w:after="0"/>
        <w:ind w:left="0"/>
        <w:jc w:val="both"/>
      </w:pPr>
      <w:r>
        <w:rPr>
          <w:rFonts w:ascii="Times New Roman"/>
          <w:b w:val="false"/>
          <w:i w:val="false"/>
          <w:color w:val="000000"/>
          <w:sz w:val="28"/>
        </w:rPr>
        <w:t>
      На неспецификационных режимах хода возможен допуск вибрации, превышающей установленные нормы, если режимы не продолжительны.</w:t>
      </w:r>
    </w:p>
    <w:bookmarkEnd w:id="8610"/>
    <w:bookmarkStart w:name="z8648" w:id="8611"/>
    <w:p>
      <w:pPr>
        <w:spacing w:after="0"/>
        <w:ind w:left="0"/>
        <w:jc w:val="both"/>
      </w:pPr>
      <w:r>
        <w:rPr>
          <w:rFonts w:ascii="Times New Roman"/>
          <w:b w:val="false"/>
          <w:i w:val="false"/>
          <w:color w:val="000000"/>
          <w:sz w:val="28"/>
        </w:rPr>
        <w:t>
      2894. Отступления от настоящих норм являются в каждом случае предметом специального рассмотрения Регистром судоходства.</w:t>
      </w:r>
    </w:p>
    <w:bookmarkEnd w:id="8611"/>
    <w:bookmarkStart w:name="z8649" w:id="8612"/>
    <w:p>
      <w:pPr>
        <w:spacing w:after="0"/>
        <w:ind w:left="0"/>
        <w:jc w:val="left"/>
      </w:pPr>
      <w:r>
        <w:rPr>
          <w:rFonts w:ascii="Times New Roman"/>
          <w:b/>
          <w:i w:val="false"/>
          <w:color w:val="000000"/>
        </w:rPr>
        <w:t xml:space="preserve"> Глава 213. Нормируемые параметры вибрации</w:t>
      </w:r>
    </w:p>
    <w:bookmarkEnd w:id="8612"/>
    <w:p>
      <w:pPr>
        <w:spacing w:after="0"/>
        <w:ind w:left="0"/>
        <w:jc w:val="both"/>
      </w:pPr>
      <w:r>
        <w:rPr>
          <w:rFonts w:ascii="Times New Roman"/>
          <w:b w:val="false"/>
          <w:i w:val="false"/>
          <w:color w:val="ff0000"/>
          <w:sz w:val="28"/>
        </w:rPr>
        <w:t xml:space="preserve">
      Сноска. Заголовок главы 213 -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50" w:id="8613"/>
    <w:p>
      <w:pPr>
        <w:spacing w:after="0"/>
        <w:ind w:left="0"/>
        <w:jc w:val="both"/>
      </w:pPr>
      <w:r>
        <w:rPr>
          <w:rFonts w:ascii="Times New Roman"/>
          <w:b w:val="false"/>
          <w:i w:val="false"/>
          <w:color w:val="000000"/>
          <w:sz w:val="28"/>
        </w:rPr>
        <w:t>
      2895. В качестве основного параметра, характеризующего вибрацию, принято среднеквадратическое значение виброскорости, измеренное в треть-октавных полосах частот. Допускается проведение измерений вибрации в октавных полосах частот.</w:t>
      </w:r>
    </w:p>
    <w:bookmarkEnd w:id="8613"/>
    <w:bookmarkStart w:name="z8651" w:id="8614"/>
    <w:p>
      <w:pPr>
        <w:spacing w:after="0"/>
        <w:ind w:left="0"/>
        <w:jc w:val="both"/>
      </w:pPr>
      <w:r>
        <w:rPr>
          <w:rFonts w:ascii="Times New Roman"/>
          <w:b w:val="false"/>
          <w:i w:val="false"/>
          <w:color w:val="000000"/>
          <w:sz w:val="28"/>
        </w:rPr>
        <w:t>
      2896. Измеряемым параметром наряду с виброскоростью может быть также среднеквадратическое значение виброускорения.</w:t>
      </w:r>
    </w:p>
    <w:bookmarkEnd w:id="8614"/>
    <w:bookmarkStart w:name="z8652" w:id="8615"/>
    <w:p>
      <w:pPr>
        <w:spacing w:after="0"/>
        <w:ind w:left="0"/>
        <w:jc w:val="both"/>
      </w:pPr>
      <w:r>
        <w:rPr>
          <w:rFonts w:ascii="Times New Roman"/>
          <w:b w:val="false"/>
          <w:i w:val="false"/>
          <w:color w:val="000000"/>
          <w:sz w:val="28"/>
        </w:rPr>
        <w:t>
      2897. Параметры вибрации измеряются в абсолютных единицах или в децибелах относительно стандартных пороговых значений колебательных скорости или ускорения, равных 5х10</w:t>
      </w:r>
      <w:r>
        <w:rPr>
          <w:rFonts w:ascii="Times New Roman"/>
          <w:b w:val="false"/>
          <w:i w:val="false"/>
          <w:color w:val="000000"/>
          <w:vertAlign w:val="superscript"/>
        </w:rPr>
        <w:t>-5</w:t>
      </w:r>
      <w:r>
        <w:rPr>
          <w:rFonts w:ascii="Times New Roman"/>
          <w:b w:val="false"/>
          <w:i w:val="false"/>
          <w:color w:val="000000"/>
          <w:sz w:val="28"/>
        </w:rPr>
        <w:t>, мм/с, и 3х10</w:t>
      </w:r>
      <w:r>
        <w:rPr>
          <w:rFonts w:ascii="Times New Roman"/>
          <w:b w:val="false"/>
          <w:i w:val="false"/>
          <w:color w:val="000000"/>
          <w:vertAlign w:val="superscript"/>
        </w:rPr>
        <w:t>-4</w:t>
      </w:r>
      <w:r>
        <w:rPr>
          <w:rFonts w:ascii="Times New Roman"/>
          <w:b w:val="false"/>
          <w:i w:val="false"/>
          <w:color w:val="000000"/>
          <w:sz w:val="28"/>
        </w:rPr>
        <w:t>, м/с</w:t>
      </w:r>
      <w:r>
        <w:rPr>
          <w:rFonts w:ascii="Times New Roman"/>
          <w:b w:val="false"/>
          <w:i w:val="false"/>
          <w:color w:val="000000"/>
          <w:vertAlign w:val="superscript"/>
        </w:rPr>
        <w:t>2</w:t>
      </w:r>
      <w:r>
        <w:rPr>
          <w:rFonts w:ascii="Times New Roman"/>
          <w:b w:val="false"/>
          <w:i w:val="false"/>
          <w:color w:val="000000"/>
          <w:sz w:val="28"/>
        </w:rPr>
        <w:t>, соответственно.</w:t>
      </w:r>
    </w:p>
    <w:bookmarkEnd w:id="8615"/>
    <w:bookmarkStart w:name="z8653" w:id="8616"/>
    <w:p>
      <w:pPr>
        <w:spacing w:after="0"/>
        <w:ind w:left="0"/>
        <w:jc w:val="both"/>
      </w:pPr>
      <w:r>
        <w:rPr>
          <w:rFonts w:ascii="Times New Roman"/>
          <w:b w:val="false"/>
          <w:i w:val="false"/>
          <w:color w:val="000000"/>
          <w:sz w:val="28"/>
        </w:rPr>
        <w:t>
      Пересчет измеренных значений виброскорости в относительные единицы осуществляется по формуле:</w:t>
      </w:r>
    </w:p>
    <w:bookmarkEnd w:id="861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20lg</w:t>
      </w:r>
    </w:p>
    <w:p>
      <w:pPr>
        <w:spacing w:after="0"/>
        <w:ind w:left="0"/>
        <w:jc w:val="both"/>
      </w:pPr>
      <w:r>
        <w:drawing>
          <wp:inline distT="0" distB="0" distL="0" distR="0">
            <wp:extent cx="304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1"/>
                    <a:stretch>
                      <a:fillRect/>
                    </a:stretch>
                  </pic:blipFill>
                  <pic:spPr>
                    <a:xfrm>
                      <a:off x="0" y="0"/>
                      <a:ext cx="304800" cy="596900"/>
                    </a:xfrm>
                    <a:prstGeom prst="rect">
                      <a:avLst/>
                    </a:prstGeom>
                  </pic:spPr>
                </pic:pic>
              </a:graphicData>
            </a:graphic>
          </wp:inline>
        </w:drawing>
      </w:r>
    </w:p>
    <w:p>
      <w:pPr>
        <w:spacing w:after="0"/>
        <w:ind w:left="0"/>
        <w:jc w:val="left"/>
      </w:pPr>
      <w:r>
        <w:rPr>
          <w:rFonts w:ascii="Times New Roman"/>
          <w:b w:val="false"/>
          <w:i w:val="false"/>
          <w:color w:val="000000"/>
          <w:sz w:val="28"/>
        </w:rPr>
        <w:t>,                         (759)</w:t>
      </w:r>
      <w:r>
        <w:br/>
      </w:r>
      <w:r>
        <w:rPr>
          <w:rFonts w:ascii="Times New Roman"/>
          <w:b w:val="false"/>
          <w:i w:val="false"/>
          <w:color w:val="000000"/>
          <w:sz w:val="28"/>
        </w:rPr>
        <w:t>
</w:t>
      </w:r>
    </w:p>
    <w:bookmarkStart w:name="z8654" w:id="8617"/>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e</w:t>
      </w:r>
      <w:r>
        <w:rPr>
          <w:rFonts w:ascii="Times New Roman"/>
          <w:b w:val="false"/>
          <w:i w:val="false"/>
          <w:color w:val="000000"/>
          <w:sz w:val="28"/>
        </w:rPr>
        <w:t xml:space="preserve"> — измеренное среднеквадратическое значение виброскорости, мм/с;</w:t>
      </w:r>
    </w:p>
    <w:bookmarkEnd w:id="8617"/>
    <w:bookmarkStart w:name="z8655" w:id="8618"/>
    <w:p>
      <w:pPr>
        <w:spacing w:after="0"/>
        <w:ind w:left="0"/>
        <w:jc w:val="both"/>
      </w:pPr>
      <w:r>
        <w:rPr>
          <w:rFonts w:ascii="Times New Roman"/>
          <w:b w:val="false"/>
          <w:i w:val="false"/>
          <w:color w:val="000000"/>
          <w:sz w:val="28"/>
        </w:rPr>
        <w:t>
      v</w:t>
      </w:r>
      <w:r>
        <w:rPr>
          <w:rFonts w:ascii="Times New Roman"/>
          <w:b w:val="false"/>
          <w:i w:val="false"/>
          <w:color w:val="000000"/>
          <w:vertAlign w:val="subscript"/>
        </w:rPr>
        <w:t>eo</w:t>
      </w:r>
      <w:r>
        <w:rPr>
          <w:rFonts w:ascii="Times New Roman"/>
          <w:b w:val="false"/>
          <w:i w:val="false"/>
          <w:color w:val="000000"/>
          <w:sz w:val="28"/>
        </w:rPr>
        <w:t xml:space="preserve"> — 5х10</w:t>
      </w:r>
      <w:r>
        <w:rPr>
          <w:rFonts w:ascii="Times New Roman"/>
          <w:b w:val="false"/>
          <w:i w:val="false"/>
          <w:color w:val="000000"/>
          <w:vertAlign w:val="superscript"/>
        </w:rPr>
        <w:t>-5</w:t>
      </w:r>
      <w:r>
        <w:rPr>
          <w:rFonts w:ascii="Times New Roman"/>
          <w:b w:val="false"/>
          <w:i w:val="false"/>
          <w:color w:val="000000"/>
          <w:sz w:val="28"/>
        </w:rPr>
        <w:t xml:space="preserve"> мм/с.</w:t>
      </w:r>
    </w:p>
    <w:bookmarkEnd w:id="8618"/>
    <w:bookmarkStart w:name="z8656" w:id="8619"/>
    <w:p>
      <w:pPr>
        <w:spacing w:after="0"/>
        <w:ind w:left="0"/>
        <w:jc w:val="both"/>
      </w:pPr>
      <w:r>
        <w:rPr>
          <w:rFonts w:ascii="Times New Roman"/>
          <w:b w:val="false"/>
          <w:i w:val="false"/>
          <w:color w:val="000000"/>
          <w:sz w:val="28"/>
        </w:rPr>
        <w:t xml:space="preserve">
      2898. При измерениях вибрации в октавных полосах частот допускаемые значения измеряемого параметра возможно повысить в </w:t>
      </w:r>
    </w:p>
    <w:bookmarkEnd w:id="8619"/>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2"/>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1,41 раза (на 3 дБ) по сравнению со значениями, указанными в главах 214-218 настоящих Правил, для полос со среднегеометрическими частотами 2; 4; 8; 16; 31,5; 63; 125; 250 и 500 Гц.</w:t>
      </w:r>
      <w:r>
        <w:br/>
      </w:r>
      <w:r>
        <w:rPr>
          <w:rFonts w:ascii="Times New Roman"/>
          <w:b w:val="false"/>
          <w:i w:val="false"/>
          <w:color w:val="000000"/>
          <w:sz w:val="28"/>
        </w:rPr>
        <w:t>
</w:t>
      </w:r>
    </w:p>
    <w:bookmarkStart w:name="z8657" w:id="8620"/>
    <w:p>
      <w:pPr>
        <w:spacing w:after="0"/>
        <w:ind w:left="0"/>
        <w:jc w:val="both"/>
      </w:pPr>
      <w:r>
        <w:rPr>
          <w:rFonts w:ascii="Times New Roman"/>
          <w:b w:val="false"/>
          <w:i w:val="false"/>
          <w:color w:val="000000"/>
          <w:sz w:val="28"/>
        </w:rPr>
        <w:t>
      2899. Измерения вибрации механизмов проводятся в трех взаимно-перпендикулярных направлениях относительно осей судна: вертикальном, горизонтально-траверзном и горизонтально-продольном. Для двигателей внутреннего сгорания направление измерений вибрации обозначается по направлению осей:</w:t>
      </w:r>
    </w:p>
    <w:bookmarkEnd w:id="8620"/>
    <w:bookmarkStart w:name="z8658" w:id="8621"/>
    <w:p>
      <w:pPr>
        <w:spacing w:after="0"/>
        <w:ind w:left="0"/>
        <w:jc w:val="both"/>
      </w:pPr>
      <w:r>
        <w:rPr>
          <w:rFonts w:ascii="Times New Roman"/>
          <w:b w:val="false"/>
          <w:i w:val="false"/>
          <w:color w:val="000000"/>
          <w:sz w:val="28"/>
        </w:rPr>
        <w:t>
      х — осевое (совпадающее с направлением коленчатого вала);</w:t>
      </w:r>
    </w:p>
    <w:bookmarkEnd w:id="8621"/>
    <w:bookmarkStart w:name="z8659" w:id="8622"/>
    <w:p>
      <w:pPr>
        <w:spacing w:after="0"/>
        <w:ind w:left="0"/>
        <w:jc w:val="both"/>
      </w:pPr>
      <w:r>
        <w:rPr>
          <w:rFonts w:ascii="Times New Roman"/>
          <w:b w:val="false"/>
          <w:i w:val="false"/>
          <w:color w:val="000000"/>
          <w:sz w:val="28"/>
        </w:rPr>
        <w:t>
      у — горизонтально-поперечное;</w:t>
      </w:r>
    </w:p>
    <w:bookmarkEnd w:id="8622"/>
    <w:bookmarkStart w:name="z8660" w:id="8623"/>
    <w:p>
      <w:pPr>
        <w:spacing w:after="0"/>
        <w:ind w:left="0"/>
        <w:jc w:val="both"/>
      </w:pPr>
      <w:r>
        <w:rPr>
          <w:rFonts w:ascii="Times New Roman"/>
          <w:b w:val="false"/>
          <w:i w:val="false"/>
          <w:color w:val="000000"/>
          <w:sz w:val="28"/>
        </w:rPr>
        <w:t>
      z — вертикальное. Такое обозначение применяется для главных дизелей и дизелей дизель-генераторов. Точки измерения вибрации указаны в приложении 300 настоящих Правил.</w:t>
      </w:r>
    </w:p>
    <w:bookmarkEnd w:id="8623"/>
    <w:bookmarkStart w:name="z8661" w:id="8624"/>
    <w:p>
      <w:pPr>
        <w:spacing w:after="0"/>
        <w:ind w:left="0"/>
        <w:jc w:val="left"/>
      </w:pPr>
      <w:r>
        <w:rPr>
          <w:rFonts w:ascii="Times New Roman"/>
          <w:b/>
          <w:i w:val="false"/>
          <w:color w:val="000000"/>
        </w:rPr>
        <w:t xml:space="preserve"> Глава 214. Нормы вибрации двигателей внутреннего сгорания</w:t>
      </w:r>
    </w:p>
    <w:bookmarkEnd w:id="8624"/>
    <w:p>
      <w:pPr>
        <w:spacing w:after="0"/>
        <w:ind w:left="0"/>
        <w:jc w:val="both"/>
      </w:pPr>
      <w:r>
        <w:rPr>
          <w:rFonts w:ascii="Times New Roman"/>
          <w:b w:val="false"/>
          <w:i w:val="false"/>
          <w:color w:val="ff0000"/>
          <w:sz w:val="28"/>
        </w:rPr>
        <w:t xml:space="preserve">
      Сноска. Заголовок главы 214 -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62" w:id="8625"/>
    <w:p>
      <w:pPr>
        <w:spacing w:after="0"/>
        <w:ind w:left="0"/>
        <w:jc w:val="both"/>
      </w:pPr>
      <w:r>
        <w:rPr>
          <w:rFonts w:ascii="Times New Roman"/>
          <w:b w:val="false"/>
          <w:i w:val="false"/>
          <w:color w:val="000000"/>
          <w:sz w:val="28"/>
        </w:rPr>
        <w:t xml:space="preserve">
      2900. Нормы вибрации распространяются на ДВС мощностью 55 кВт и более с частотой вращения </w:t>
      </w:r>
      <w:r>
        <w:rPr>
          <w:rFonts w:ascii="Times New Roman"/>
          <w:b w:val="false"/>
          <w:i w:val="false"/>
          <w:color w:val="000000"/>
          <w:sz w:val="28"/>
          <w:u w:val="single"/>
        </w:rPr>
        <w:t>&lt;</w:t>
      </w:r>
      <w:r>
        <w:rPr>
          <w:rFonts w:ascii="Times New Roman"/>
          <w:b w:val="false"/>
          <w:i w:val="false"/>
          <w:color w:val="000000"/>
          <w:sz w:val="28"/>
        </w:rPr>
        <w:t xml:space="preserve"> 3000 мин</w:t>
      </w:r>
      <w:r>
        <w:rPr>
          <w:rFonts w:ascii="Times New Roman"/>
          <w:b w:val="false"/>
          <w:i w:val="false"/>
          <w:color w:val="000000"/>
          <w:vertAlign w:val="superscript"/>
        </w:rPr>
        <w:t>-1</w:t>
      </w:r>
      <w:r>
        <w:rPr>
          <w:rFonts w:ascii="Times New Roman"/>
          <w:b w:val="false"/>
          <w:i w:val="false"/>
          <w:color w:val="000000"/>
          <w:sz w:val="28"/>
        </w:rPr>
        <w:t>.</w:t>
      </w:r>
    </w:p>
    <w:bookmarkEnd w:id="8625"/>
    <w:bookmarkStart w:name="z8663" w:id="8626"/>
    <w:p>
      <w:pPr>
        <w:spacing w:after="0"/>
        <w:ind w:left="0"/>
        <w:jc w:val="both"/>
      </w:pPr>
      <w:r>
        <w:rPr>
          <w:rFonts w:ascii="Times New Roman"/>
          <w:b w:val="false"/>
          <w:i w:val="false"/>
          <w:color w:val="000000"/>
          <w:sz w:val="28"/>
        </w:rPr>
        <w:t>
      2901. Вибрация малооборотных двигателей внутреннего сгорания, установленных на жестких опорах, считается допустимой для категорий А и В, если среднеквадратические значения виброскорости или виброускорения, измеренные в направлении осей х и z, не превышают указанных в приложениях 304 и 305 настоящих Правил. При измерении вибрации по оси у (в поперечном направлении) нормы допустимой виброскорости для категорий А и В увеличиваются в 1,4 раза.</w:t>
      </w:r>
    </w:p>
    <w:bookmarkEnd w:id="8626"/>
    <w:bookmarkStart w:name="z8664" w:id="8627"/>
    <w:p>
      <w:pPr>
        <w:spacing w:after="0"/>
        <w:ind w:left="0"/>
        <w:jc w:val="both"/>
      </w:pPr>
      <w:r>
        <w:rPr>
          <w:rFonts w:ascii="Times New Roman"/>
          <w:b w:val="false"/>
          <w:i w:val="false"/>
          <w:color w:val="000000"/>
          <w:sz w:val="28"/>
        </w:rPr>
        <w:t>
      При установке двигателей внутреннего сгорания на податливых опорах (главные среднеоборотные дизели и дизели дизель-генераторов) нормы допустимой вибрации для категорий А и В в направлениях по осям х, у и z, приведенные в приложениях 304 и 305 настоящих Правил, увеличиваются в 1,4 раза.</w:t>
      </w:r>
    </w:p>
    <w:bookmarkEnd w:id="8627"/>
    <w:bookmarkStart w:name="z8665" w:id="8628"/>
    <w:p>
      <w:pPr>
        <w:spacing w:after="0"/>
        <w:ind w:left="0"/>
        <w:jc w:val="both"/>
      </w:pPr>
      <w:r>
        <w:rPr>
          <w:rFonts w:ascii="Times New Roman"/>
          <w:b w:val="false"/>
          <w:i w:val="false"/>
          <w:color w:val="000000"/>
          <w:sz w:val="28"/>
        </w:rPr>
        <w:t>
      2902. Вибрация навешенных на двигатель внутреннего сгорания механизмов и устройств не превышает уровней, приведенных в пункте 2901 настоящих Правил.</w:t>
      </w:r>
    </w:p>
    <w:bookmarkEnd w:id="8628"/>
    <w:bookmarkStart w:name="z8666" w:id="8629"/>
    <w:p>
      <w:pPr>
        <w:spacing w:after="0"/>
        <w:ind w:left="0"/>
        <w:jc w:val="both"/>
      </w:pPr>
      <w:r>
        <w:rPr>
          <w:rFonts w:ascii="Times New Roman"/>
          <w:b w:val="false"/>
          <w:i w:val="false"/>
          <w:color w:val="000000"/>
          <w:sz w:val="28"/>
        </w:rPr>
        <w:t>
      2903. Вибрация турбокомпрессоров, измеренная на корпусах подшипников, считается допустимой для категорий А и В, если средне квадратические значения виброскорости или виброускорения не превышают значений, указанных в приложениях 306 и 307 настоящих Правил.</w:t>
      </w:r>
    </w:p>
    <w:bookmarkEnd w:id="8629"/>
    <w:bookmarkStart w:name="z8667" w:id="8630"/>
    <w:p>
      <w:pPr>
        <w:spacing w:after="0"/>
        <w:ind w:left="0"/>
        <w:jc w:val="left"/>
      </w:pPr>
      <w:r>
        <w:rPr>
          <w:rFonts w:ascii="Times New Roman"/>
          <w:b/>
          <w:i w:val="false"/>
          <w:color w:val="000000"/>
        </w:rPr>
        <w:t xml:space="preserve"> Глава 215. Нормы вибрации главных паровых турбозубчатых агрегатов и упорных подшипников</w:t>
      </w:r>
    </w:p>
    <w:bookmarkEnd w:id="8630"/>
    <w:p>
      <w:pPr>
        <w:spacing w:after="0"/>
        <w:ind w:left="0"/>
        <w:jc w:val="both"/>
      </w:pPr>
      <w:r>
        <w:rPr>
          <w:rFonts w:ascii="Times New Roman"/>
          <w:b w:val="false"/>
          <w:i w:val="false"/>
          <w:color w:val="ff0000"/>
          <w:sz w:val="28"/>
        </w:rPr>
        <w:t xml:space="preserve">
      Сноска. Заголовок главы 215 -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68" w:id="8631"/>
    <w:p>
      <w:pPr>
        <w:spacing w:after="0"/>
        <w:ind w:left="0"/>
        <w:jc w:val="both"/>
      </w:pPr>
      <w:r>
        <w:rPr>
          <w:rFonts w:ascii="Times New Roman"/>
          <w:b w:val="false"/>
          <w:i w:val="false"/>
          <w:color w:val="000000"/>
          <w:sz w:val="28"/>
        </w:rPr>
        <w:t xml:space="preserve">
      2904. Вибрация главных паровых турбозубчатых агрегатов мощностью 15000 — 30000 кВт, измеренная на корпусах подшипников, считается допустимой для категорий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если среднеквадратические значения виброскорости и виброускорения не превышают значений, указанных в приложениях 308 и 309 настоящих Правил.</w:t>
      </w:r>
    </w:p>
    <w:bookmarkEnd w:id="8631"/>
    <w:bookmarkStart w:name="z8669" w:id="8632"/>
    <w:p>
      <w:pPr>
        <w:spacing w:after="0"/>
        <w:ind w:left="0"/>
        <w:jc w:val="both"/>
      </w:pPr>
      <w:r>
        <w:rPr>
          <w:rFonts w:ascii="Times New Roman"/>
          <w:b w:val="false"/>
          <w:i w:val="false"/>
          <w:color w:val="000000"/>
          <w:sz w:val="28"/>
        </w:rPr>
        <w:t>
      Нормы вибрации, указанные в приложениях 308 и 309 настоящих Правил, применяются для главных паровых турбозубчатых агрегатов при их установке как на жестких, так и на податливых опорах.</w:t>
      </w:r>
    </w:p>
    <w:bookmarkEnd w:id="8632"/>
    <w:bookmarkStart w:name="z8670" w:id="8633"/>
    <w:p>
      <w:pPr>
        <w:spacing w:after="0"/>
        <w:ind w:left="0"/>
        <w:jc w:val="both"/>
      </w:pPr>
      <w:r>
        <w:rPr>
          <w:rFonts w:ascii="Times New Roman"/>
          <w:b w:val="false"/>
          <w:i w:val="false"/>
          <w:color w:val="000000"/>
          <w:sz w:val="28"/>
        </w:rPr>
        <w:t>
      2905. Для ГТЗА мощностью менее 15000 кВт нормы вибрации на 3 дБ меньше указанных в приложениях 308 и 309 настоящих Правил.</w:t>
      </w:r>
    </w:p>
    <w:bookmarkEnd w:id="8633"/>
    <w:bookmarkStart w:name="z8671" w:id="8634"/>
    <w:p>
      <w:pPr>
        <w:spacing w:after="0"/>
        <w:ind w:left="0"/>
        <w:jc w:val="both"/>
      </w:pPr>
      <w:r>
        <w:rPr>
          <w:rFonts w:ascii="Times New Roman"/>
          <w:b w:val="false"/>
          <w:i w:val="false"/>
          <w:color w:val="000000"/>
          <w:sz w:val="28"/>
        </w:rPr>
        <w:t>
      2906. Вибрация упорных подшипников не превышает норм, указанных в пунктах 2904 и 2905 настоящих Правил.</w:t>
      </w:r>
    </w:p>
    <w:bookmarkEnd w:id="8634"/>
    <w:bookmarkStart w:name="z8672" w:id="8635"/>
    <w:p>
      <w:pPr>
        <w:spacing w:after="0"/>
        <w:ind w:left="0"/>
        <w:jc w:val="left"/>
      </w:pPr>
      <w:r>
        <w:rPr>
          <w:rFonts w:ascii="Times New Roman"/>
          <w:b/>
          <w:i w:val="false"/>
          <w:color w:val="000000"/>
        </w:rPr>
        <w:t xml:space="preserve"> Глава 216. Нормы вибрации роторных вспомогательных механизмов</w:t>
      </w:r>
    </w:p>
    <w:bookmarkEnd w:id="8635"/>
    <w:p>
      <w:pPr>
        <w:spacing w:after="0"/>
        <w:ind w:left="0"/>
        <w:jc w:val="both"/>
      </w:pPr>
      <w:r>
        <w:rPr>
          <w:rFonts w:ascii="Times New Roman"/>
          <w:b w:val="false"/>
          <w:i w:val="false"/>
          <w:color w:val="ff0000"/>
          <w:sz w:val="28"/>
        </w:rPr>
        <w:t xml:space="preserve">
      Сноска. Заголовок главы 216 -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73" w:id="8636"/>
    <w:p>
      <w:pPr>
        <w:spacing w:after="0"/>
        <w:ind w:left="0"/>
        <w:jc w:val="both"/>
      </w:pPr>
      <w:r>
        <w:rPr>
          <w:rFonts w:ascii="Times New Roman"/>
          <w:b w:val="false"/>
          <w:i w:val="false"/>
          <w:color w:val="000000"/>
          <w:sz w:val="28"/>
        </w:rPr>
        <w:t>
      2907. Вибрация вертикальных насосов мощностью 15 — 75 кВт, включая их электропривод, считается допустимой для категорий А и В, если среднеквадратические значения виброскорости и виброускорения не превышают значений, указанных в приложениях 310 и 311 настоящих Правил.</w:t>
      </w:r>
    </w:p>
    <w:bookmarkEnd w:id="8636"/>
    <w:bookmarkStart w:name="z8674" w:id="8637"/>
    <w:p>
      <w:pPr>
        <w:spacing w:after="0"/>
        <w:ind w:left="0"/>
        <w:jc w:val="both"/>
      </w:pPr>
      <w:r>
        <w:rPr>
          <w:rFonts w:ascii="Times New Roman"/>
          <w:b w:val="false"/>
          <w:i w:val="false"/>
          <w:color w:val="000000"/>
          <w:sz w:val="28"/>
        </w:rPr>
        <w:t>
      Для насосов мощностью 2 — 15 кВт нормы вибрации для категорий А и В принимают на 3 дБ меньше по сравнению с нормами для насосов мощностью 15 — 75 кВт, а для насосов мощностью 75 — 300 кВт эти нормы увеличивают на 2 дБ. Нормы вибрации для горизонтальных насосов для упомянутых выше диапазонов мощности принимают на 2 дБ меньше.</w:t>
      </w:r>
    </w:p>
    <w:bookmarkEnd w:id="8637"/>
    <w:bookmarkStart w:name="z8675" w:id="8638"/>
    <w:p>
      <w:pPr>
        <w:spacing w:after="0"/>
        <w:ind w:left="0"/>
        <w:jc w:val="both"/>
      </w:pPr>
      <w:r>
        <w:rPr>
          <w:rFonts w:ascii="Times New Roman"/>
          <w:b w:val="false"/>
          <w:i w:val="false"/>
          <w:color w:val="000000"/>
          <w:sz w:val="28"/>
        </w:rPr>
        <w:t>
      Нормы вибрации, указанные в приложениях 310 и 311 настоящих Правил, применяются для всех насосов при их установке на жесткой опоре. В случае установки насосных агрегатов на податливой опоре нормы допустимой вибрации для категорий А и В увеличиваются в 1,4 раза.</w:t>
      </w:r>
    </w:p>
    <w:bookmarkEnd w:id="8638"/>
    <w:bookmarkStart w:name="z8676" w:id="8639"/>
    <w:p>
      <w:pPr>
        <w:spacing w:after="0"/>
        <w:ind w:left="0"/>
        <w:jc w:val="both"/>
      </w:pPr>
      <w:r>
        <w:rPr>
          <w:rFonts w:ascii="Times New Roman"/>
          <w:b w:val="false"/>
          <w:i w:val="false"/>
          <w:color w:val="000000"/>
          <w:sz w:val="28"/>
        </w:rPr>
        <w:t xml:space="preserve">
      2908. Вибрация центробежных сепараторов считается допустимой для категорий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если среднеквадратические значения виброскорости и виброускорения не превышают значений, указанных в приложениях 310 и 312 настоящих Правил.</w:t>
      </w:r>
    </w:p>
    <w:bookmarkEnd w:id="8639"/>
    <w:bookmarkStart w:name="z8677" w:id="8640"/>
    <w:p>
      <w:pPr>
        <w:spacing w:after="0"/>
        <w:ind w:left="0"/>
        <w:jc w:val="both"/>
      </w:pPr>
      <w:r>
        <w:rPr>
          <w:rFonts w:ascii="Times New Roman"/>
          <w:b w:val="false"/>
          <w:i w:val="false"/>
          <w:color w:val="000000"/>
          <w:sz w:val="28"/>
        </w:rPr>
        <w:t>
      Нормы вибрации указаны с учетом установки сепараторов на амортизаторах.</w:t>
      </w:r>
    </w:p>
    <w:bookmarkEnd w:id="8640"/>
    <w:bookmarkStart w:name="z8678" w:id="8641"/>
    <w:p>
      <w:pPr>
        <w:spacing w:after="0"/>
        <w:ind w:left="0"/>
        <w:jc w:val="both"/>
      </w:pPr>
      <w:r>
        <w:rPr>
          <w:rFonts w:ascii="Times New Roman"/>
          <w:b w:val="false"/>
          <w:i w:val="false"/>
          <w:color w:val="000000"/>
          <w:sz w:val="28"/>
        </w:rPr>
        <w:t xml:space="preserve">
      2909. Вибрация вентиляторов и газодувок систем инертных газов считается допустимой для категорий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если среднеквадратические значения виброскорости и виброускорения не превышают значений, указанных в приложениях 310 и 313 настоящих Правил.</w:t>
      </w:r>
    </w:p>
    <w:bookmarkEnd w:id="8641"/>
    <w:bookmarkStart w:name="z8679" w:id="8642"/>
    <w:p>
      <w:pPr>
        <w:spacing w:after="0"/>
        <w:ind w:left="0"/>
        <w:jc w:val="both"/>
      </w:pPr>
      <w:r>
        <w:rPr>
          <w:rFonts w:ascii="Times New Roman"/>
          <w:b w:val="false"/>
          <w:i w:val="false"/>
          <w:color w:val="000000"/>
          <w:sz w:val="28"/>
        </w:rPr>
        <w:t>
      Нормы вибрации указаны с учетом установки вентиляторов и газодувок на амортизаторах. При жестком креплении так же следует руководствоваться этими нормами.</w:t>
      </w:r>
    </w:p>
    <w:bookmarkEnd w:id="8642"/>
    <w:bookmarkStart w:name="z8680" w:id="8643"/>
    <w:p>
      <w:pPr>
        <w:spacing w:after="0"/>
        <w:ind w:left="0"/>
        <w:jc w:val="both"/>
      </w:pPr>
      <w:r>
        <w:rPr>
          <w:rFonts w:ascii="Times New Roman"/>
          <w:b w:val="false"/>
          <w:i w:val="false"/>
          <w:color w:val="000000"/>
          <w:sz w:val="28"/>
        </w:rPr>
        <w:t xml:space="preserve">
      2910. Вибрация турбоприводов, турбогенераторов и генераторов дизель-генераторов мощностью 1000 — 2000 кВт, измеренная на корпусах подшипников, считается допустимой для категорий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если среднеквадратические значения виброскорости и виброускорения не превышают значений, указанных в приложениях 308 и 309 настоящих Правил.</w:t>
      </w:r>
    </w:p>
    <w:bookmarkEnd w:id="8643"/>
    <w:bookmarkStart w:name="z8681" w:id="8644"/>
    <w:p>
      <w:pPr>
        <w:spacing w:after="0"/>
        <w:ind w:left="0"/>
        <w:jc w:val="both"/>
      </w:pPr>
      <w:r>
        <w:rPr>
          <w:rFonts w:ascii="Times New Roman"/>
          <w:b w:val="false"/>
          <w:i w:val="false"/>
          <w:color w:val="000000"/>
          <w:sz w:val="28"/>
        </w:rPr>
        <w:t>
      Для турбоприводов, турбогенераторов и генераторов дизель-генераторов мощностью менее 1000 кВт нормы вибрации для категорий А и В на 4 дБ меньше значений, указанных в приложениях 308 и 314 настоящих Правил.</w:t>
      </w:r>
    </w:p>
    <w:bookmarkEnd w:id="8644"/>
    <w:bookmarkStart w:name="z8682" w:id="8645"/>
    <w:p>
      <w:pPr>
        <w:spacing w:after="0"/>
        <w:ind w:left="0"/>
        <w:jc w:val="both"/>
      </w:pPr>
      <w:r>
        <w:rPr>
          <w:rFonts w:ascii="Times New Roman"/>
          <w:b w:val="false"/>
          <w:i w:val="false"/>
          <w:color w:val="000000"/>
          <w:sz w:val="28"/>
        </w:rPr>
        <w:t>
      Нормы вибрации для турбоприводов и турбогенераторов следует применять при их установке как на жестких, так и на податливых опорах.</w:t>
      </w:r>
    </w:p>
    <w:bookmarkEnd w:id="8645"/>
    <w:bookmarkStart w:name="z8683" w:id="8646"/>
    <w:p>
      <w:pPr>
        <w:spacing w:after="0"/>
        <w:ind w:left="0"/>
        <w:jc w:val="both"/>
      </w:pPr>
      <w:r>
        <w:rPr>
          <w:rFonts w:ascii="Times New Roman"/>
          <w:b w:val="false"/>
          <w:i w:val="false"/>
          <w:color w:val="000000"/>
          <w:sz w:val="28"/>
        </w:rPr>
        <w:t>
      Нормы вибрации для генераторов дизель-генераторов при их установке на податливых опорах должны быть увеличены в два раза.</w:t>
      </w:r>
    </w:p>
    <w:bookmarkEnd w:id="8646"/>
    <w:bookmarkStart w:name="z8684" w:id="8647"/>
    <w:p>
      <w:pPr>
        <w:spacing w:after="0"/>
        <w:ind w:left="0"/>
        <w:jc w:val="left"/>
      </w:pPr>
      <w:r>
        <w:rPr>
          <w:rFonts w:ascii="Times New Roman"/>
          <w:b/>
          <w:i w:val="false"/>
          <w:color w:val="000000"/>
        </w:rPr>
        <w:t xml:space="preserve"> Глава 217. Нормы вибрации поршневых воздушных компрессоров, котлов и теплообменных аппаратов</w:t>
      </w:r>
    </w:p>
    <w:bookmarkEnd w:id="8647"/>
    <w:p>
      <w:pPr>
        <w:spacing w:after="0"/>
        <w:ind w:left="0"/>
        <w:jc w:val="both"/>
      </w:pPr>
      <w:r>
        <w:rPr>
          <w:rFonts w:ascii="Times New Roman"/>
          <w:b w:val="false"/>
          <w:i w:val="false"/>
          <w:color w:val="ff0000"/>
          <w:sz w:val="28"/>
        </w:rPr>
        <w:t xml:space="preserve">
      Сноска. Заголовок главы 217 -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85" w:id="8648"/>
    <w:p>
      <w:pPr>
        <w:spacing w:after="0"/>
        <w:ind w:left="0"/>
        <w:jc w:val="both"/>
      </w:pPr>
      <w:r>
        <w:rPr>
          <w:rFonts w:ascii="Times New Roman"/>
          <w:b w:val="false"/>
          <w:i w:val="false"/>
          <w:color w:val="000000"/>
          <w:sz w:val="28"/>
        </w:rPr>
        <w:t xml:space="preserve">
      2911. Вибрация поршневых воздушных компрессоров считается допустимой для категорий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если среднеквадратические значения виброскорости не превышают значений, указанных в приложениях 308 и 315 настоящих Правил. При установке компрессора на амортизаторах нормы увеличивают на 4 дБ.</w:t>
      </w:r>
    </w:p>
    <w:bookmarkEnd w:id="8648"/>
    <w:bookmarkStart w:name="z8686" w:id="8649"/>
    <w:p>
      <w:pPr>
        <w:spacing w:after="0"/>
        <w:ind w:left="0"/>
        <w:jc w:val="both"/>
      </w:pPr>
      <w:r>
        <w:rPr>
          <w:rFonts w:ascii="Times New Roman"/>
          <w:b w:val="false"/>
          <w:i w:val="false"/>
          <w:color w:val="000000"/>
          <w:sz w:val="28"/>
        </w:rPr>
        <w:t xml:space="preserve">
      2912. Вибрация котлов и теплообменных аппаратов считается допустимой для категорий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В</w:t>
      </w:r>
      <w:r>
        <w:rPr>
          <w:rFonts w:ascii="Times New Roman"/>
          <w:b w:val="false"/>
          <w:i w:val="false"/>
          <w:color w:val="000000"/>
          <w:sz w:val="28"/>
        </w:rPr>
        <w:t>, если среднеквадратические значения виброскорости или виброускорения не превышают значений, указанных в приложениях 308 и 316 настоящих Правил.</w:t>
      </w:r>
    </w:p>
    <w:bookmarkEnd w:id="8649"/>
    <w:bookmarkStart w:name="z8687" w:id="8650"/>
    <w:p>
      <w:pPr>
        <w:spacing w:after="0"/>
        <w:ind w:left="0"/>
        <w:jc w:val="both"/>
      </w:pPr>
      <w:r>
        <w:rPr>
          <w:rFonts w:ascii="Times New Roman"/>
          <w:b w:val="false"/>
          <w:i w:val="false"/>
          <w:color w:val="000000"/>
          <w:sz w:val="28"/>
        </w:rPr>
        <w:t>
      2913. Нормы вибрации для вспомогательных механизмов и оборудования, не рассмотренных в главах 231 и 232 настоящих Правил, выбираются по рекомендациям пункта 2912 настоящих Правил.</w:t>
      </w:r>
    </w:p>
    <w:bookmarkEnd w:id="8650"/>
    <w:bookmarkStart w:name="z8688" w:id="8651"/>
    <w:p>
      <w:pPr>
        <w:spacing w:after="0"/>
        <w:ind w:left="0"/>
        <w:jc w:val="left"/>
      </w:pPr>
      <w:r>
        <w:rPr>
          <w:rFonts w:ascii="Times New Roman"/>
          <w:b/>
          <w:i w:val="false"/>
          <w:color w:val="000000"/>
        </w:rPr>
        <w:t xml:space="preserve"> Глава 218. Нормы вибрации газотурбозубчатых агрегатов</w:t>
      </w:r>
    </w:p>
    <w:bookmarkEnd w:id="8651"/>
    <w:p>
      <w:pPr>
        <w:spacing w:after="0"/>
        <w:ind w:left="0"/>
        <w:jc w:val="both"/>
      </w:pPr>
      <w:r>
        <w:rPr>
          <w:rFonts w:ascii="Times New Roman"/>
          <w:b w:val="false"/>
          <w:i w:val="false"/>
          <w:color w:val="ff0000"/>
          <w:sz w:val="28"/>
        </w:rPr>
        <w:t xml:space="preserve">
      Сноска. Заголовок главы 218 -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89" w:id="8652"/>
    <w:p>
      <w:pPr>
        <w:spacing w:after="0"/>
        <w:ind w:left="0"/>
        <w:jc w:val="both"/>
      </w:pPr>
      <w:r>
        <w:rPr>
          <w:rFonts w:ascii="Times New Roman"/>
          <w:b w:val="false"/>
          <w:i w:val="false"/>
          <w:color w:val="000000"/>
          <w:sz w:val="28"/>
        </w:rPr>
        <w:t>
      2914. Вибрация главных газотурбозубчатых агрегатов (далее - ГТА) мощностью 250 - 25000 кВт, измеренная на опорах газотурбинного двигателя (далее - ГТД) и подшипниках редуктора, считается допустимой, если среднеквадратические значения виброскорости и виброускорения не превышают значений, указанных в приложениях 317 и 318 настоящих Правил.</w:t>
      </w:r>
    </w:p>
    <w:bookmarkEnd w:id="8652"/>
    <w:bookmarkStart w:name="z8690" w:id="8653"/>
    <w:p>
      <w:pPr>
        <w:spacing w:after="0"/>
        <w:ind w:left="0"/>
        <w:jc w:val="both"/>
      </w:pPr>
      <w:r>
        <w:rPr>
          <w:rFonts w:ascii="Times New Roman"/>
          <w:b w:val="false"/>
          <w:i w:val="false"/>
          <w:color w:val="000000"/>
          <w:sz w:val="28"/>
        </w:rPr>
        <w:t>
      2915. Нормы вибрации вспомогательных ГТД мощностью менее 250 кВт подлежат специальному рассмотрению Регистром судоходства при представлении норм вибрации изготовителем двигателя.</w:t>
      </w:r>
    </w:p>
    <w:bookmarkEnd w:id="8653"/>
    <w:bookmarkStart w:name="z8691" w:id="8654"/>
    <w:p>
      <w:pPr>
        <w:spacing w:after="0"/>
        <w:ind w:left="0"/>
        <w:jc w:val="both"/>
      </w:pPr>
      <w:r>
        <w:rPr>
          <w:rFonts w:ascii="Times New Roman"/>
          <w:b w:val="false"/>
          <w:i w:val="false"/>
          <w:color w:val="000000"/>
          <w:sz w:val="28"/>
        </w:rPr>
        <w:t>
      2916. Вибрация навешенных на ГТД механизмов и устройств не превышает уровней, приведенных в пунктах 2914 и 2915 настоящих Правил.</w:t>
      </w:r>
    </w:p>
    <w:bookmarkEnd w:id="8654"/>
    <w:bookmarkStart w:name="z8692" w:id="8655"/>
    <w:p>
      <w:pPr>
        <w:spacing w:after="0"/>
        <w:ind w:left="0"/>
        <w:jc w:val="both"/>
      </w:pPr>
      <w:r>
        <w:rPr>
          <w:rFonts w:ascii="Times New Roman"/>
          <w:b w:val="false"/>
          <w:i w:val="false"/>
          <w:color w:val="000000"/>
          <w:sz w:val="28"/>
        </w:rPr>
        <w:t>
      2917. Изготовитель ГТД может отступать от настоящих норм, если представляет убедительные данные о работоспособности ГТД при других уровнях вибрации.</w:t>
      </w:r>
    </w:p>
    <w:bookmarkEnd w:id="8655"/>
    <w:bookmarkStart w:name="z8693" w:id="8656"/>
    <w:p>
      <w:pPr>
        <w:spacing w:after="0"/>
        <w:ind w:left="0"/>
        <w:jc w:val="both"/>
      </w:pPr>
      <w:r>
        <w:rPr>
          <w:rFonts w:ascii="Times New Roman"/>
          <w:b w:val="false"/>
          <w:i w:val="false"/>
          <w:color w:val="000000"/>
          <w:sz w:val="28"/>
        </w:rPr>
        <w:t>
      2918. Нормы запасных частей, приведенных в настоящем разделе, устанавливают минимальное число запасных частей, хранящихся на судне, и относятся к оборудованию, которое обеспечивает ход судна и его безопасность.</w:t>
      </w:r>
    </w:p>
    <w:bookmarkEnd w:id="8656"/>
    <w:bookmarkStart w:name="z8694" w:id="8657"/>
    <w:p>
      <w:pPr>
        <w:spacing w:after="0"/>
        <w:ind w:left="0"/>
        <w:jc w:val="both"/>
      </w:pPr>
      <w:r>
        <w:rPr>
          <w:rFonts w:ascii="Times New Roman"/>
          <w:b w:val="false"/>
          <w:i w:val="false"/>
          <w:color w:val="000000"/>
          <w:sz w:val="28"/>
        </w:rPr>
        <w:t>
      2919. Номенклатура и число запасных частей для судов, укомплектованных механизмами, типы которых не предусмотрены в приложениях 320, 321, 322, 323, 324, 325, 326 и 327 настоящих Правил, являются в каждом случае предметом специального рассмотрения Регистром судоходства (с учетом рекомендаций изготовителей. Наличие других запасных частей на борту судна в дополнение к перечисленным в приложениях 320 – 327 настоящих Правил на усмотрение судовладельца.</w:t>
      </w:r>
    </w:p>
    <w:bookmarkEnd w:id="8657"/>
    <w:bookmarkStart w:name="z8695" w:id="8658"/>
    <w:p>
      <w:pPr>
        <w:spacing w:after="0"/>
        <w:ind w:left="0"/>
        <w:jc w:val="both"/>
      </w:pPr>
      <w:r>
        <w:rPr>
          <w:rFonts w:ascii="Times New Roman"/>
          <w:b w:val="false"/>
          <w:i w:val="false"/>
          <w:color w:val="000000"/>
          <w:sz w:val="28"/>
        </w:rPr>
        <w:t>
      2920. Каждое судно снабжают набором специальных инструментов и приспособлений, необходимых для разборки и сборки механизмов в эксплуатационных условиях.</w:t>
      </w:r>
    </w:p>
    <w:bookmarkEnd w:id="8658"/>
    <w:bookmarkStart w:name="z8696" w:id="8659"/>
    <w:p>
      <w:pPr>
        <w:spacing w:after="0"/>
        <w:ind w:left="0"/>
        <w:jc w:val="both"/>
      </w:pPr>
      <w:r>
        <w:rPr>
          <w:rFonts w:ascii="Times New Roman"/>
          <w:b w:val="false"/>
          <w:i w:val="false"/>
          <w:color w:val="000000"/>
          <w:sz w:val="28"/>
        </w:rPr>
        <w:t>
      2921. Каждое судно снабжается комплектом запасных гибких соединений каждого типа и размера, применяемых в системах и механизмах.</w:t>
      </w:r>
    </w:p>
    <w:bookmarkEnd w:id="8659"/>
    <w:bookmarkStart w:name="z8697" w:id="8660"/>
    <w:p>
      <w:pPr>
        <w:spacing w:after="0"/>
        <w:ind w:left="0"/>
        <w:jc w:val="both"/>
      </w:pPr>
      <w:r>
        <w:rPr>
          <w:rFonts w:ascii="Times New Roman"/>
          <w:b w:val="false"/>
          <w:i w:val="false"/>
          <w:color w:val="000000"/>
          <w:sz w:val="28"/>
        </w:rPr>
        <w:t>
      2922. Запасные части надежно закрепляют в доступных местах, маркируют и надежно защищают от коррозии. В случае использования запасных частей рекомендуется их пополнение при первой возможности.</w:t>
      </w:r>
    </w:p>
    <w:bookmarkEnd w:id="8660"/>
    <w:bookmarkStart w:name="z8698" w:id="8661"/>
    <w:p>
      <w:pPr>
        <w:spacing w:after="0"/>
        <w:ind w:left="0"/>
        <w:jc w:val="both"/>
      </w:pPr>
      <w:r>
        <w:rPr>
          <w:rFonts w:ascii="Times New Roman"/>
          <w:b w:val="false"/>
          <w:i w:val="false"/>
          <w:color w:val="000000"/>
          <w:sz w:val="28"/>
        </w:rPr>
        <w:t>
      2923. Если при определении количества запасных частей по приведенным ниже нормам получается дробное число, то количество предметов принимается по ближайшему целому числу.</w:t>
      </w:r>
    </w:p>
    <w:bookmarkEnd w:id="8661"/>
    <w:bookmarkStart w:name="z8699" w:id="8662"/>
    <w:p>
      <w:pPr>
        <w:spacing w:after="0"/>
        <w:ind w:left="0"/>
        <w:jc w:val="both"/>
      </w:pPr>
      <w:r>
        <w:rPr>
          <w:rFonts w:ascii="Times New Roman"/>
          <w:b w:val="false"/>
          <w:i w:val="false"/>
          <w:color w:val="000000"/>
          <w:sz w:val="28"/>
        </w:rPr>
        <w:t>
      2924. Для судов ограниченных районов плавания R2, R3, R2-RSN, R3-RSN и плавучих доков нормы запасных частей не регламентируются.</w:t>
      </w:r>
    </w:p>
    <w:bookmarkEnd w:id="8662"/>
    <w:bookmarkStart w:name="z8700" w:id="8663"/>
    <w:p>
      <w:pPr>
        <w:spacing w:after="0"/>
        <w:ind w:left="0"/>
        <w:jc w:val="both"/>
      </w:pPr>
      <w:r>
        <w:rPr>
          <w:rFonts w:ascii="Times New Roman"/>
          <w:b w:val="false"/>
          <w:i w:val="false"/>
          <w:color w:val="000000"/>
          <w:sz w:val="28"/>
        </w:rPr>
        <w:t>
      Определения ограниченных районов плавания — пункт 26 настоящих Правил.</w:t>
      </w:r>
    </w:p>
    <w:bookmarkEnd w:id="8663"/>
    <w:bookmarkStart w:name="z8701" w:id="8664"/>
    <w:p>
      <w:pPr>
        <w:spacing w:after="0"/>
        <w:ind w:left="0"/>
        <w:jc w:val="left"/>
      </w:pPr>
      <w:r>
        <w:rPr>
          <w:rFonts w:ascii="Times New Roman"/>
          <w:b/>
          <w:i w:val="false"/>
          <w:color w:val="000000"/>
        </w:rPr>
        <w:t xml:space="preserve"> Подраздел 11. Системы мониторинга технического</w:t>
      </w:r>
      <w:r>
        <w:br/>
      </w:r>
      <w:r>
        <w:rPr>
          <w:rFonts w:ascii="Times New Roman"/>
          <w:b/>
          <w:i w:val="false"/>
          <w:color w:val="000000"/>
        </w:rPr>
        <w:t>состояния механизмов</w:t>
      </w:r>
      <w:r>
        <w:br/>
      </w:r>
      <w:r>
        <w:rPr>
          <w:rFonts w:ascii="Times New Roman"/>
          <w:b/>
          <w:i w:val="false"/>
          <w:color w:val="000000"/>
        </w:rPr>
        <w:t>Глава 219. Общие положения</w:t>
      </w:r>
    </w:p>
    <w:bookmarkEnd w:id="8664"/>
    <w:p>
      <w:pPr>
        <w:spacing w:after="0"/>
        <w:ind w:left="0"/>
        <w:jc w:val="both"/>
      </w:pPr>
      <w:r>
        <w:rPr>
          <w:rFonts w:ascii="Times New Roman"/>
          <w:b w:val="false"/>
          <w:i w:val="false"/>
          <w:color w:val="ff0000"/>
          <w:sz w:val="28"/>
        </w:rPr>
        <w:t xml:space="preserve">
      Сноска. Заголовок главы 219 -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03" w:id="8665"/>
    <w:p>
      <w:pPr>
        <w:spacing w:after="0"/>
        <w:ind w:left="0"/>
        <w:jc w:val="both"/>
      </w:pPr>
      <w:r>
        <w:rPr>
          <w:rFonts w:ascii="Times New Roman"/>
          <w:b w:val="false"/>
          <w:i w:val="false"/>
          <w:color w:val="000000"/>
          <w:sz w:val="28"/>
        </w:rPr>
        <w:t>
      2925. Требования настоящего раздела относятся к системам мониторинга технического состояния механизмов механической установки, которые согласованы Регистром судоходства как объекты классификационного освидетельствования на основе схемы планово-предупредительного технического обслуживания (далее - СППТ) и контроля состояния (далее - КС).</w:t>
      </w:r>
    </w:p>
    <w:bookmarkEnd w:id="8665"/>
    <w:bookmarkStart w:name="z8704" w:id="8666"/>
    <w:p>
      <w:pPr>
        <w:spacing w:after="0"/>
        <w:ind w:left="0"/>
        <w:jc w:val="both"/>
      </w:pPr>
      <w:r>
        <w:rPr>
          <w:rFonts w:ascii="Times New Roman"/>
          <w:b w:val="false"/>
          <w:i w:val="false"/>
          <w:color w:val="000000"/>
          <w:sz w:val="28"/>
        </w:rPr>
        <w:t>
      2926. Данные мониторинга технического состояния механизмов механической установки предназначены для использования:</w:t>
      </w:r>
    </w:p>
    <w:bookmarkEnd w:id="8666"/>
    <w:bookmarkStart w:name="z8705" w:id="8667"/>
    <w:p>
      <w:pPr>
        <w:spacing w:after="0"/>
        <w:ind w:left="0"/>
        <w:jc w:val="both"/>
      </w:pPr>
      <w:r>
        <w:rPr>
          <w:rFonts w:ascii="Times New Roman"/>
          <w:b w:val="false"/>
          <w:i w:val="false"/>
          <w:color w:val="000000"/>
          <w:sz w:val="28"/>
        </w:rPr>
        <w:t>
      работником Регистра судоходства при проведении освидетельствований на основе СППТ и КС;</w:t>
      </w:r>
    </w:p>
    <w:bookmarkEnd w:id="8667"/>
    <w:bookmarkStart w:name="z8706" w:id="8668"/>
    <w:p>
      <w:pPr>
        <w:spacing w:after="0"/>
        <w:ind w:left="0"/>
        <w:jc w:val="both"/>
      </w:pPr>
      <w:r>
        <w:rPr>
          <w:rFonts w:ascii="Times New Roman"/>
          <w:b w:val="false"/>
          <w:i w:val="false"/>
          <w:color w:val="000000"/>
          <w:sz w:val="28"/>
        </w:rPr>
        <w:t>
      экипажем судна для определения сроков проведения работ по техническому обслуживанию механизмов механической установки, то есть осуществления обслуживания "по состоянию";</w:t>
      </w:r>
    </w:p>
    <w:bookmarkEnd w:id="8668"/>
    <w:bookmarkStart w:name="z8707" w:id="8669"/>
    <w:p>
      <w:pPr>
        <w:spacing w:after="0"/>
        <w:ind w:left="0"/>
        <w:jc w:val="both"/>
      </w:pPr>
      <w:r>
        <w:rPr>
          <w:rFonts w:ascii="Times New Roman"/>
          <w:b w:val="false"/>
          <w:i w:val="false"/>
          <w:color w:val="000000"/>
          <w:sz w:val="28"/>
        </w:rPr>
        <w:t>
      судовладельцем для оценки технического состояния и управления техническим обслуживанием судов, планирования сроков и объемов их ремонтов.</w:t>
      </w:r>
    </w:p>
    <w:bookmarkEnd w:id="8669"/>
    <w:bookmarkStart w:name="z8708" w:id="8670"/>
    <w:p>
      <w:pPr>
        <w:spacing w:after="0"/>
        <w:ind w:left="0"/>
        <w:jc w:val="both"/>
      </w:pPr>
      <w:r>
        <w:rPr>
          <w:rFonts w:ascii="Times New Roman"/>
          <w:b w:val="false"/>
          <w:i w:val="false"/>
          <w:color w:val="000000"/>
          <w:sz w:val="28"/>
        </w:rPr>
        <w:t>
      2927. Состав оборудования системы мониторинга технического состояния, контролируемые параметры и периодичность их измерения, нормы технического состояния объектов контроля согласовываются Регистром судоходства при введении на судне системы освидетельствования на основе СППТ и КС.</w:t>
      </w:r>
    </w:p>
    <w:bookmarkEnd w:id="8670"/>
    <w:bookmarkStart w:name="z8709" w:id="8671"/>
    <w:p>
      <w:pPr>
        <w:spacing w:after="0"/>
        <w:ind w:left="0"/>
        <w:jc w:val="both"/>
      </w:pPr>
      <w:r>
        <w:rPr>
          <w:rFonts w:ascii="Times New Roman"/>
          <w:b w:val="false"/>
          <w:i w:val="false"/>
          <w:color w:val="000000"/>
          <w:sz w:val="28"/>
        </w:rPr>
        <w:t xml:space="preserve">
      2928. Организационные и нормативно-методические принципы введения на судне систем мониторинга технического состояния, представления данных контроля и оценки технического состояния объекта контроля изложены в </w:t>
      </w:r>
      <w:r>
        <w:rPr>
          <w:rFonts w:ascii="Times New Roman"/>
          <w:b w:val="false"/>
          <w:i w:val="false"/>
          <w:color w:val="000000"/>
          <w:sz w:val="28"/>
        </w:rPr>
        <w:t xml:space="preserve"> Правилах</w:t>
      </w:r>
      <w:r>
        <w:rPr>
          <w:rFonts w:ascii="Times New Roman"/>
          <w:b w:val="false"/>
          <w:i w:val="false"/>
          <w:color w:val="000000"/>
          <w:sz w:val="28"/>
        </w:rPr>
        <w:t xml:space="preserve"> классификационных освидетельствований судов в эксплуатации, утвержденных уполномоченным органом.</w:t>
      </w:r>
    </w:p>
    <w:bookmarkEnd w:id="8671"/>
    <w:bookmarkStart w:name="z8710" w:id="8672"/>
    <w:p>
      <w:pPr>
        <w:spacing w:after="0"/>
        <w:ind w:left="0"/>
        <w:jc w:val="left"/>
      </w:pPr>
      <w:r>
        <w:rPr>
          <w:rFonts w:ascii="Times New Roman"/>
          <w:b/>
          <w:i w:val="false"/>
          <w:color w:val="000000"/>
        </w:rPr>
        <w:t xml:space="preserve"> Глава 220. Объекты и параметры контроля</w:t>
      </w:r>
    </w:p>
    <w:bookmarkEnd w:id="8672"/>
    <w:p>
      <w:pPr>
        <w:spacing w:after="0"/>
        <w:ind w:left="0"/>
        <w:jc w:val="both"/>
      </w:pPr>
      <w:r>
        <w:rPr>
          <w:rFonts w:ascii="Times New Roman"/>
          <w:b w:val="false"/>
          <w:i w:val="false"/>
          <w:color w:val="ff0000"/>
          <w:sz w:val="28"/>
        </w:rPr>
        <w:t xml:space="preserve">
      Сноска. Заголовок главы 220 -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11" w:id="8673"/>
    <w:p>
      <w:pPr>
        <w:spacing w:after="0"/>
        <w:ind w:left="0"/>
        <w:jc w:val="both"/>
      </w:pPr>
      <w:r>
        <w:rPr>
          <w:rFonts w:ascii="Times New Roman"/>
          <w:b w:val="false"/>
          <w:i w:val="false"/>
          <w:color w:val="000000"/>
          <w:sz w:val="28"/>
        </w:rPr>
        <w:t>
      2929. Система мониторинга технического состояния охватывает следующее оборудование:</w:t>
      </w:r>
    </w:p>
    <w:bookmarkEnd w:id="8673"/>
    <w:bookmarkStart w:name="z8712" w:id="8674"/>
    <w:p>
      <w:pPr>
        <w:spacing w:after="0"/>
        <w:ind w:left="0"/>
        <w:jc w:val="both"/>
      </w:pPr>
      <w:r>
        <w:rPr>
          <w:rFonts w:ascii="Times New Roman"/>
          <w:b w:val="false"/>
          <w:i w:val="false"/>
          <w:color w:val="000000"/>
          <w:sz w:val="28"/>
        </w:rPr>
        <w:t>
      главный дизель, включая турбокомпрессор;</w:t>
      </w:r>
    </w:p>
    <w:bookmarkEnd w:id="8674"/>
    <w:bookmarkStart w:name="z8713" w:id="8675"/>
    <w:p>
      <w:pPr>
        <w:spacing w:after="0"/>
        <w:ind w:left="0"/>
        <w:jc w:val="both"/>
      </w:pPr>
      <w:r>
        <w:rPr>
          <w:rFonts w:ascii="Times New Roman"/>
          <w:b w:val="false"/>
          <w:i w:val="false"/>
          <w:color w:val="000000"/>
          <w:sz w:val="28"/>
        </w:rPr>
        <w:t>
      главную турбинную установку;</w:t>
      </w:r>
    </w:p>
    <w:bookmarkEnd w:id="8675"/>
    <w:bookmarkStart w:name="z8714" w:id="8676"/>
    <w:p>
      <w:pPr>
        <w:spacing w:after="0"/>
        <w:ind w:left="0"/>
        <w:jc w:val="both"/>
      </w:pPr>
      <w:r>
        <w:rPr>
          <w:rFonts w:ascii="Times New Roman"/>
          <w:b w:val="false"/>
          <w:i w:val="false"/>
          <w:color w:val="000000"/>
          <w:sz w:val="28"/>
        </w:rPr>
        <w:t>
      САУС;</w:t>
      </w:r>
    </w:p>
    <w:bookmarkEnd w:id="8676"/>
    <w:bookmarkStart w:name="z8715" w:id="8677"/>
    <w:p>
      <w:pPr>
        <w:spacing w:after="0"/>
        <w:ind w:left="0"/>
        <w:jc w:val="both"/>
      </w:pPr>
      <w:r>
        <w:rPr>
          <w:rFonts w:ascii="Times New Roman"/>
          <w:b w:val="false"/>
          <w:i w:val="false"/>
          <w:color w:val="000000"/>
          <w:sz w:val="28"/>
        </w:rPr>
        <w:t>
      редукторную передачу;</w:t>
      </w:r>
    </w:p>
    <w:bookmarkEnd w:id="8677"/>
    <w:bookmarkStart w:name="z8716" w:id="8678"/>
    <w:p>
      <w:pPr>
        <w:spacing w:after="0"/>
        <w:ind w:left="0"/>
        <w:jc w:val="both"/>
      </w:pPr>
      <w:r>
        <w:rPr>
          <w:rFonts w:ascii="Times New Roman"/>
          <w:b w:val="false"/>
          <w:i w:val="false"/>
          <w:color w:val="000000"/>
          <w:sz w:val="28"/>
        </w:rPr>
        <w:t>
      валопровод;</w:t>
      </w:r>
    </w:p>
    <w:bookmarkEnd w:id="8678"/>
    <w:bookmarkStart w:name="z8717" w:id="8679"/>
    <w:p>
      <w:pPr>
        <w:spacing w:after="0"/>
        <w:ind w:left="0"/>
        <w:jc w:val="both"/>
      </w:pPr>
      <w:r>
        <w:rPr>
          <w:rFonts w:ascii="Times New Roman"/>
          <w:b w:val="false"/>
          <w:i w:val="false"/>
          <w:color w:val="000000"/>
          <w:sz w:val="28"/>
        </w:rPr>
        <w:t>
      дейдвудное устройство;</w:t>
      </w:r>
    </w:p>
    <w:bookmarkEnd w:id="8679"/>
    <w:bookmarkStart w:name="z8718" w:id="8680"/>
    <w:p>
      <w:pPr>
        <w:spacing w:after="0"/>
        <w:ind w:left="0"/>
        <w:jc w:val="both"/>
      </w:pPr>
      <w:r>
        <w:rPr>
          <w:rFonts w:ascii="Times New Roman"/>
          <w:b w:val="false"/>
          <w:i w:val="false"/>
          <w:color w:val="000000"/>
          <w:sz w:val="28"/>
        </w:rPr>
        <w:t>
      вспомогательные дизель-генераторы (турбогенераторы);</w:t>
      </w:r>
    </w:p>
    <w:bookmarkEnd w:id="8680"/>
    <w:bookmarkStart w:name="z8719" w:id="8681"/>
    <w:p>
      <w:pPr>
        <w:spacing w:after="0"/>
        <w:ind w:left="0"/>
        <w:jc w:val="both"/>
      </w:pPr>
      <w:r>
        <w:rPr>
          <w:rFonts w:ascii="Times New Roman"/>
          <w:b w:val="false"/>
          <w:i w:val="false"/>
          <w:color w:val="000000"/>
          <w:sz w:val="28"/>
        </w:rPr>
        <w:t>
      системы, обслуживающие главный дизель (сжатого воздуха, топливную, смазочного масла и охлаждения);</w:t>
      </w:r>
    </w:p>
    <w:bookmarkEnd w:id="8681"/>
    <w:bookmarkStart w:name="z8720" w:id="8682"/>
    <w:p>
      <w:pPr>
        <w:spacing w:after="0"/>
        <w:ind w:left="0"/>
        <w:jc w:val="both"/>
      </w:pPr>
      <w:r>
        <w:rPr>
          <w:rFonts w:ascii="Times New Roman"/>
          <w:b w:val="false"/>
          <w:i w:val="false"/>
          <w:color w:val="000000"/>
          <w:sz w:val="28"/>
        </w:rPr>
        <w:t>
      рулевую машину.</w:t>
      </w:r>
    </w:p>
    <w:bookmarkEnd w:id="8682"/>
    <w:bookmarkStart w:name="z8721" w:id="8683"/>
    <w:p>
      <w:pPr>
        <w:spacing w:after="0"/>
        <w:ind w:left="0"/>
        <w:jc w:val="both"/>
      </w:pPr>
      <w:r>
        <w:rPr>
          <w:rFonts w:ascii="Times New Roman"/>
          <w:b w:val="false"/>
          <w:i w:val="false"/>
          <w:color w:val="000000"/>
          <w:sz w:val="28"/>
        </w:rPr>
        <w:t>
      2930. По согласованию с Регистром судоходства на судне допускается устанавливать системы мониторинга технического состояния, осуществляющие контроль:</w:t>
      </w:r>
    </w:p>
    <w:bookmarkEnd w:id="8683"/>
    <w:bookmarkStart w:name="z8722" w:id="8684"/>
    <w:p>
      <w:pPr>
        <w:spacing w:after="0"/>
        <w:ind w:left="0"/>
        <w:jc w:val="both"/>
      </w:pPr>
      <w:r>
        <w:rPr>
          <w:rFonts w:ascii="Times New Roman"/>
          <w:b w:val="false"/>
          <w:i w:val="false"/>
          <w:color w:val="000000"/>
          <w:sz w:val="28"/>
        </w:rPr>
        <w:t>
      рабочего процесса и износа цилиндро-поршневой группы главного дизеля;</w:t>
      </w:r>
    </w:p>
    <w:bookmarkEnd w:id="8684"/>
    <w:bookmarkStart w:name="z8723" w:id="8685"/>
    <w:p>
      <w:pPr>
        <w:spacing w:after="0"/>
        <w:ind w:left="0"/>
        <w:jc w:val="both"/>
      </w:pPr>
      <w:r>
        <w:rPr>
          <w:rFonts w:ascii="Times New Roman"/>
          <w:b w:val="false"/>
          <w:i w:val="false"/>
          <w:color w:val="000000"/>
          <w:sz w:val="28"/>
        </w:rPr>
        <w:t>
      рабочего процесса турбинной установки;</w:t>
      </w:r>
    </w:p>
    <w:bookmarkEnd w:id="8685"/>
    <w:bookmarkStart w:name="z8724" w:id="8686"/>
    <w:p>
      <w:pPr>
        <w:spacing w:after="0"/>
        <w:ind w:left="0"/>
        <w:jc w:val="both"/>
      </w:pPr>
      <w:r>
        <w:rPr>
          <w:rFonts w:ascii="Times New Roman"/>
          <w:b w:val="false"/>
          <w:i w:val="false"/>
          <w:color w:val="000000"/>
          <w:sz w:val="28"/>
        </w:rPr>
        <w:t>
      состояния смазочного масла;</w:t>
      </w:r>
    </w:p>
    <w:bookmarkEnd w:id="8686"/>
    <w:bookmarkStart w:name="z8725" w:id="8687"/>
    <w:p>
      <w:pPr>
        <w:spacing w:after="0"/>
        <w:ind w:left="0"/>
        <w:jc w:val="both"/>
      </w:pPr>
      <w:r>
        <w:rPr>
          <w:rFonts w:ascii="Times New Roman"/>
          <w:b w:val="false"/>
          <w:i w:val="false"/>
          <w:color w:val="000000"/>
          <w:sz w:val="28"/>
        </w:rPr>
        <w:t>
      вибрационного состояния механизмов;</w:t>
      </w:r>
    </w:p>
    <w:bookmarkEnd w:id="8687"/>
    <w:bookmarkStart w:name="z8726" w:id="8688"/>
    <w:p>
      <w:pPr>
        <w:spacing w:after="0"/>
        <w:ind w:left="0"/>
        <w:jc w:val="both"/>
      </w:pPr>
      <w:r>
        <w:rPr>
          <w:rFonts w:ascii="Times New Roman"/>
          <w:b w:val="false"/>
          <w:i w:val="false"/>
          <w:color w:val="000000"/>
          <w:sz w:val="28"/>
        </w:rPr>
        <w:t>
      ударных импульсов подшипников качения;</w:t>
      </w:r>
    </w:p>
    <w:bookmarkEnd w:id="8688"/>
    <w:bookmarkStart w:name="z8727" w:id="8689"/>
    <w:p>
      <w:pPr>
        <w:spacing w:after="0"/>
        <w:ind w:left="0"/>
        <w:jc w:val="both"/>
      </w:pPr>
      <w:r>
        <w:rPr>
          <w:rFonts w:ascii="Times New Roman"/>
          <w:b w:val="false"/>
          <w:i w:val="false"/>
          <w:color w:val="000000"/>
          <w:sz w:val="28"/>
        </w:rPr>
        <w:t>
      электрических величин электрооборудования.</w:t>
      </w:r>
    </w:p>
    <w:bookmarkEnd w:id="8689"/>
    <w:bookmarkStart w:name="z8728" w:id="8690"/>
    <w:p>
      <w:pPr>
        <w:spacing w:after="0"/>
        <w:ind w:left="0"/>
        <w:jc w:val="both"/>
      </w:pPr>
      <w:r>
        <w:rPr>
          <w:rFonts w:ascii="Times New Roman"/>
          <w:b w:val="false"/>
          <w:i w:val="false"/>
          <w:color w:val="000000"/>
          <w:sz w:val="28"/>
        </w:rPr>
        <w:t>
      2931. Условия для принятия результатов мониторинга технического состояния при проведении освидетельствований объектов СППТ и КС следующие:</w:t>
      </w:r>
    </w:p>
    <w:bookmarkEnd w:id="8690"/>
    <w:bookmarkStart w:name="z8729" w:id="8691"/>
    <w:p>
      <w:pPr>
        <w:spacing w:after="0"/>
        <w:ind w:left="0"/>
        <w:jc w:val="both"/>
      </w:pPr>
      <w:r>
        <w:rPr>
          <w:rFonts w:ascii="Times New Roman"/>
          <w:b w:val="false"/>
          <w:i w:val="false"/>
          <w:color w:val="000000"/>
          <w:sz w:val="28"/>
        </w:rPr>
        <w:t>
      диагностические параметры характеризуют техническое состояние объекта контроля и одобрены Регистром судоходства;</w:t>
      </w:r>
    </w:p>
    <w:bookmarkEnd w:id="8691"/>
    <w:bookmarkStart w:name="z8730" w:id="8692"/>
    <w:p>
      <w:pPr>
        <w:spacing w:after="0"/>
        <w:ind w:left="0"/>
        <w:jc w:val="both"/>
      </w:pPr>
      <w:r>
        <w:rPr>
          <w:rFonts w:ascii="Times New Roman"/>
          <w:b w:val="false"/>
          <w:i w:val="false"/>
          <w:color w:val="000000"/>
          <w:sz w:val="28"/>
        </w:rPr>
        <w:t>
      предельные значения диагностических параметров определены на основании требований изготовителей объектов контроля и/или Регистра судоходства;</w:t>
      </w:r>
    </w:p>
    <w:bookmarkEnd w:id="8692"/>
    <w:bookmarkStart w:name="z8731" w:id="8693"/>
    <w:p>
      <w:pPr>
        <w:spacing w:after="0"/>
        <w:ind w:left="0"/>
        <w:jc w:val="both"/>
      </w:pPr>
      <w:r>
        <w:rPr>
          <w:rFonts w:ascii="Times New Roman"/>
          <w:b w:val="false"/>
          <w:i w:val="false"/>
          <w:color w:val="000000"/>
          <w:sz w:val="28"/>
        </w:rPr>
        <w:t>
      параметры, используемые для прогнозирования технического состояния, должны быть приведены к стандартным условиям. Приведение измеренных значений параметров к стандартным условиям осуществляется в соответствии с пунктом 3976 настоящих Правил;</w:t>
      </w:r>
    </w:p>
    <w:bookmarkEnd w:id="8693"/>
    <w:bookmarkStart w:name="z8732" w:id="8694"/>
    <w:p>
      <w:pPr>
        <w:spacing w:after="0"/>
        <w:ind w:left="0"/>
        <w:jc w:val="both"/>
      </w:pPr>
      <w:r>
        <w:rPr>
          <w:rFonts w:ascii="Times New Roman"/>
          <w:b w:val="false"/>
          <w:i w:val="false"/>
          <w:color w:val="000000"/>
          <w:sz w:val="28"/>
        </w:rPr>
        <w:t>
      результаты измерений, анализ тенденций и прогноз параметров хранятся в форме, удобной для доступа работника Регистра судоходства: в виде таблиц, графиков на бумажных носителях или, что предпочтительно, на носителях персонального компьютера;</w:t>
      </w:r>
    </w:p>
    <w:bookmarkEnd w:id="8694"/>
    <w:bookmarkStart w:name="z8733" w:id="8695"/>
    <w:p>
      <w:pPr>
        <w:spacing w:after="0"/>
        <w:ind w:left="0"/>
        <w:jc w:val="both"/>
      </w:pPr>
      <w:r>
        <w:rPr>
          <w:rFonts w:ascii="Times New Roman"/>
          <w:b w:val="false"/>
          <w:i w:val="false"/>
          <w:color w:val="000000"/>
          <w:sz w:val="28"/>
        </w:rPr>
        <w:t>
      периодичность измерений диагностических параметров обеспечивает достоверность определения технического состояния объекта контроля;</w:t>
      </w:r>
    </w:p>
    <w:bookmarkEnd w:id="8695"/>
    <w:bookmarkStart w:name="z8734" w:id="8696"/>
    <w:p>
      <w:pPr>
        <w:spacing w:after="0"/>
        <w:ind w:left="0"/>
        <w:jc w:val="both"/>
      </w:pPr>
      <w:r>
        <w:rPr>
          <w:rFonts w:ascii="Times New Roman"/>
          <w:b w:val="false"/>
          <w:i w:val="false"/>
          <w:color w:val="000000"/>
          <w:sz w:val="28"/>
        </w:rPr>
        <w:t>
      измерительные приборы, используемые в системах мониторинга технического состояния, имеют соответствующие документы о поверке компетентным органом.</w:t>
      </w:r>
    </w:p>
    <w:bookmarkEnd w:id="8696"/>
    <w:bookmarkStart w:name="z8735" w:id="8697"/>
    <w:p>
      <w:pPr>
        <w:spacing w:after="0"/>
        <w:ind w:left="0"/>
        <w:jc w:val="left"/>
      </w:pPr>
      <w:r>
        <w:rPr>
          <w:rFonts w:ascii="Times New Roman"/>
          <w:b/>
          <w:i w:val="false"/>
          <w:color w:val="000000"/>
        </w:rPr>
        <w:t xml:space="preserve"> Глава 221. Общие требования к системам мониторинга технического состояния</w:t>
      </w:r>
    </w:p>
    <w:bookmarkEnd w:id="8697"/>
    <w:p>
      <w:pPr>
        <w:spacing w:after="0"/>
        <w:ind w:left="0"/>
        <w:jc w:val="both"/>
      </w:pPr>
      <w:r>
        <w:rPr>
          <w:rFonts w:ascii="Times New Roman"/>
          <w:b w:val="false"/>
          <w:i w:val="false"/>
          <w:color w:val="ff0000"/>
          <w:sz w:val="28"/>
        </w:rPr>
        <w:t xml:space="preserve">
      Сноска. Заголовок главы 221 -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36" w:id="8698"/>
    <w:p>
      <w:pPr>
        <w:spacing w:after="0"/>
        <w:ind w:left="0"/>
        <w:jc w:val="both"/>
      </w:pPr>
      <w:r>
        <w:rPr>
          <w:rFonts w:ascii="Times New Roman"/>
          <w:b w:val="false"/>
          <w:i w:val="false"/>
          <w:color w:val="000000"/>
          <w:sz w:val="28"/>
        </w:rPr>
        <w:t>
      2932. Системы мониторинга технического состояния допускается выполнять на базе встроенных (стационарных) систем мониторинга состояния, переносных средств контроля или могут сочетать в себе и то и другое.</w:t>
      </w:r>
    </w:p>
    <w:bookmarkEnd w:id="8698"/>
    <w:bookmarkStart w:name="z8737" w:id="8699"/>
    <w:p>
      <w:pPr>
        <w:spacing w:after="0"/>
        <w:ind w:left="0"/>
        <w:jc w:val="both"/>
      </w:pPr>
      <w:r>
        <w:rPr>
          <w:rFonts w:ascii="Times New Roman"/>
          <w:b w:val="false"/>
          <w:i w:val="false"/>
          <w:color w:val="000000"/>
          <w:sz w:val="28"/>
        </w:rPr>
        <w:t>
      2933. Встроенные системы мониторинга технического состояния главных двигателей, как правило, структурно совмещают с системами централизованного контроля и имеют возможность использовать данные, полученные отдатчиков системы централизованного контроля. Система мониторинга, совмещенная с системой централизованного контроля, не должна влиять на функции централизованного контроля.</w:t>
      </w:r>
    </w:p>
    <w:bookmarkEnd w:id="8699"/>
    <w:bookmarkStart w:name="z8738" w:id="8700"/>
    <w:p>
      <w:pPr>
        <w:spacing w:after="0"/>
        <w:ind w:left="0"/>
        <w:jc w:val="both"/>
      </w:pPr>
      <w:r>
        <w:rPr>
          <w:rFonts w:ascii="Times New Roman"/>
          <w:b w:val="false"/>
          <w:i w:val="false"/>
          <w:color w:val="000000"/>
          <w:sz w:val="28"/>
        </w:rPr>
        <w:t>
      2934. Система технического мониторинга, совмещенная с системой централизованного контроля, содержит функции диагностирования технического состояния с целью обеспечения проведения технического обслуживания и ремонта по фактическому состоянию объекта контроля.</w:t>
      </w:r>
    </w:p>
    <w:bookmarkEnd w:id="8700"/>
    <w:bookmarkStart w:name="z8739" w:id="8701"/>
    <w:p>
      <w:pPr>
        <w:spacing w:after="0"/>
        <w:ind w:left="0"/>
        <w:jc w:val="both"/>
      </w:pPr>
      <w:r>
        <w:rPr>
          <w:rFonts w:ascii="Times New Roman"/>
          <w:b w:val="false"/>
          <w:i w:val="false"/>
          <w:color w:val="000000"/>
          <w:sz w:val="28"/>
        </w:rPr>
        <w:t>
      2935. Встроенные системы мониторинга и их элементы отвечают требованиям, предъявляемым к судовым системам автоматизации (подраздел 2 раздела 17 настоящих Правил).</w:t>
      </w:r>
    </w:p>
    <w:bookmarkEnd w:id="8701"/>
    <w:bookmarkStart w:name="z8740" w:id="8702"/>
    <w:p>
      <w:pPr>
        <w:spacing w:after="0"/>
        <w:ind w:left="0"/>
        <w:jc w:val="both"/>
      </w:pPr>
      <w:r>
        <w:rPr>
          <w:rFonts w:ascii="Times New Roman"/>
          <w:b w:val="false"/>
          <w:i w:val="false"/>
          <w:color w:val="000000"/>
          <w:sz w:val="28"/>
        </w:rPr>
        <w:t>
      Встроенные системы мониторинга, устанавливаемые на суда во время их постройки или в период эксплуатации, подлежат одобрению Регистром судоходства.</w:t>
      </w:r>
    </w:p>
    <w:bookmarkEnd w:id="8702"/>
    <w:bookmarkStart w:name="z8741" w:id="8703"/>
    <w:p>
      <w:pPr>
        <w:spacing w:after="0"/>
        <w:ind w:left="0"/>
        <w:jc w:val="both"/>
      </w:pPr>
      <w:r>
        <w:rPr>
          <w:rFonts w:ascii="Times New Roman"/>
          <w:b w:val="false"/>
          <w:i w:val="false"/>
          <w:color w:val="000000"/>
          <w:sz w:val="28"/>
        </w:rPr>
        <w:t>
      Встроенные системы мониторинга, установленные на судах, подлежат техническому наблюдению в отношении:</w:t>
      </w:r>
    </w:p>
    <w:bookmarkEnd w:id="8703"/>
    <w:bookmarkStart w:name="z8742" w:id="8704"/>
    <w:p>
      <w:pPr>
        <w:spacing w:after="0"/>
        <w:ind w:left="0"/>
        <w:jc w:val="both"/>
      </w:pPr>
      <w:r>
        <w:rPr>
          <w:rFonts w:ascii="Times New Roman"/>
          <w:b w:val="false"/>
          <w:i w:val="false"/>
          <w:color w:val="000000"/>
          <w:sz w:val="28"/>
        </w:rPr>
        <w:t>
      проверки на функционирование;</w:t>
      </w:r>
    </w:p>
    <w:bookmarkEnd w:id="8704"/>
    <w:bookmarkStart w:name="z8743" w:id="8705"/>
    <w:p>
      <w:pPr>
        <w:spacing w:after="0"/>
        <w:ind w:left="0"/>
        <w:jc w:val="both"/>
      </w:pPr>
      <w:r>
        <w:rPr>
          <w:rFonts w:ascii="Times New Roman"/>
          <w:b w:val="false"/>
          <w:i w:val="false"/>
          <w:color w:val="000000"/>
          <w:sz w:val="28"/>
        </w:rPr>
        <w:t>
      выбора сечения кабелей;</w:t>
      </w:r>
    </w:p>
    <w:bookmarkEnd w:id="8705"/>
    <w:bookmarkStart w:name="z8744" w:id="8706"/>
    <w:p>
      <w:pPr>
        <w:spacing w:after="0"/>
        <w:ind w:left="0"/>
        <w:jc w:val="both"/>
      </w:pPr>
      <w:r>
        <w:rPr>
          <w:rFonts w:ascii="Times New Roman"/>
          <w:b w:val="false"/>
          <w:i w:val="false"/>
          <w:color w:val="000000"/>
          <w:sz w:val="28"/>
        </w:rPr>
        <w:t>
      средств защиты, изоляции и заземления;</w:t>
      </w:r>
    </w:p>
    <w:bookmarkEnd w:id="8706"/>
    <w:bookmarkStart w:name="z8745" w:id="8707"/>
    <w:p>
      <w:pPr>
        <w:spacing w:after="0"/>
        <w:ind w:left="0"/>
        <w:jc w:val="both"/>
      </w:pPr>
      <w:r>
        <w:rPr>
          <w:rFonts w:ascii="Times New Roman"/>
          <w:b w:val="false"/>
          <w:i w:val="false"/>
          <w:color w:val="000000"/>
          <w:sz w:val="28"/>
        </w:rPr>
        <w:t>
      отсутствия влияния этих систем на работу оборудования, относящегося к объектам технического наблюдения Регистра судоходства.</w:t>
      </w:r>
    </w:p>
    <w:bookmarkEnd w:id="8707"/>
    <w:bookmarkStart w:name="z8746" w:id="8708"/>
    <w:p>
      <w:pPr>
        <w:spacing w:after="0"/>
        <w:ind w:left="0"/>
        <w:jc w:val="both"/>
      </w:pPr>
      <w:r>
        <w:rPr>
          <w:rFonts w:ascii="Times New Roman"/>
          <w:b w:val="false"/>
          <w:i w:val="false"/>
          <w:color w:val="000000"/>
          <w:sz w:val="28"/>
        </w:rPr>
        <w:t>
      Неисправности в работе встроенной системы мониторинга не должны отрицательно сказываться на работе этого оборудования.</w:t>
      </w:r>
    </w:p>
    <w:bookmarkEnd w:id="8708"/>
    <w:bookmarkStart w:name="z8747" w:id="8709"/>
    <w:p>
      <w:pPr>
        <w:spacing w:after="0"/>
        <w:ind w:left="0"/>
        <w:jc w:val="both"/>
      </w:pPr>
      <w:r>
        <w:rPr>
          <w:rFonts w:ascii="Times New Roman"/>
          <w:b w:val="false"/>
          <w:i w:val="false"/>
          <w:color w:val="000000"/>
          <w:sz w:val="28"/>
        </w:rPr>
        <w:t>
      2936. Переносными средствами контроля и методиками их использования суда допускается оснащать во время строительства (или в период эксплуатации) после согласования с Регистром судоходства. Основанием для согласования является их аттестация и заключение (на основе рассмотрения необходимых материалов и/или проведения испытаний) компетентной организации по методам и средствам диагностирования судовых технических средств.</w:t>
      </w:r>
    </w:p>
    <w:bookmarkEnd w:id="8709"/>
    <w:bookmarkStart w:name="z8748" w:id="8710"/>
    <w:p>
      <w:pPr>
        <w:spacing w:after="0"/>
        <w:ind w:left="0"/>
        <w:jc w:val="both"/>
      </w:pPr>
      <w:r>
        <w:rPr>
          <w:rFonts w:ascii="Times New Roman"/>
          <w:b w:val="false"/>
          <w:i w:val="false"/>
          <w:color w:val="000000"/>
          <w:sz w:val="28"/>
        </w:rPr>
        <w:t>
      2937. Система мониторинга технического состояния предусматривает фиксирование измеренных значений диагностических параметров, анализ тенденций их изменений, прогноз технического состояния объекта контроля. Прогноз состояния выполняется на базе предыстории изменения диагностических параметров с достаточным числом их измерений.</w:t>
      </w:r>
    </w:p>
    <w:bookmarkEnd w:id="8710"/>
    <w:bookmarkStart w:name="z8749" w:id="8711"/>
    <w:p>
      <w:pPr>
        <w:spacing w:after="0"/>
        <w:ind w:left="0"/>
        <w:jc w:val="both"/>
      </w:pPr>
      <w:r>
        <w:rPr>
          <w:rFonts w:ascii="Times New Roman"/>
          <w:b w:val="false"/>
          <w:i w:val="false"/>
          <w:color w:val="000000"/>
          <w:sz w:val="28"/>
        </w:rPr>
        <w:t>
      2938. Требования к компьютерам, используемым в системах мониторинга технического состояния, аналогичны требованиям подраздела 7 раздела 17 настоящих Правил.</w:t>
      </w:r>
    </w:p>
    <w:bookmarkEnd w:id="8711"/>
    <w:bookmarkStart w:name="z8750" w:id="8712"/>
    <w:p>
      <w:pPr>
        <w:spacing w:after="0"/>
        <w:ind w:left="0"/>
        <w:jc w:val="both"/>
      </w:pPr>
      <w:r>
        <w:rPr>
          <w:rFonts w:ascii="Times New Roman"/>
          <w:b w:val="false"/>
          <w:i w:val="false"/>
          <w:color w:val="000000"/>
          <w:sz w:val="28"/>
        </w:rPr>
        <w:t>
      2939. Базовые значения диагностических параметров, используемые как начальные (эталонные) данные при мониторинге технического состояния, получают при определенных условиях по осадке и скорости судна (на ходу) и на рабочих режимах главных двигателей и вспомогательных механизмов.</w:t>
      </w:r>
    </w:p>
    <w:bookmarkEnd w:id="8712"/>
    <w:bookmarkStart w:name="z8751" w:id="8713"/>
    <w:p>
      <w:pPr>
        <w:spacing w:after="0"/>
        <w:ind w:left="0"/>
        <w:jc w:val="both"/>
      </w:pPr>
      <w:r>
        <w:rPr>
          <w:rFonts w:ascii="Times New Roman"/>
          <w:b w:val="false"/>
          <w:i w:val="false"/>
          <w:color w:val="000000"/>
          <w:sz w:val="28"/>
        </w:rPr>
        <w:t>
      Базовые данные допускается получать во время приемосдаточных испытаний или первого рейса для нового судна или в другом эксплутационном рейсе на согласованных с Регистром судоходства установившихся режимах работы объектов контроля.</w:t>
      </w:r>
    </w:p>
    <w:bookmarkEnd w:id="8713"/>
    <w:bookmarkStart w:name="z8752" w:id="8714"/>
    <w:p>
      <w:pPr>
        <w:spacing w:after="0"/>
        <w:ind w:left="0"/>
        <w:jc w:val="left"/>
      </w:pPr>
      <w:r>
        <w:rPr>
          <w:rFonts w:ascii="Times New Roman"/>
          <w:b/>
          <w:i w:val="false"/>
          <w:color w:val="000000"/>
        </w:rPr>
        <w:t xml:space="preserve"> Глава 222. Техническая документация. Требования к контролю показателей рабочих масел</w:t>
      </w:r>
    </w:p>
    <w:bookmarkEnd w:id="8714"/>
    <w:p>
      <w:pPr>
        <w:spacing w:after="0"/>
        <w:ind w:left="0"/>
        <w:jc w:val="both"/>
      </w:pPr>
      <w:r>
        <w:rPr>
          <w:rFonts w:ascii="Times New Roman"/>
          <w:b w:val="false"/>
          <w:i w:val="false"/>
          <w:color w:val="ff0000"/>
          <w:sz w:val="28"/>
        </w:rPr>
        <w:t xml:space="preserve">
      Сноска. Заголовок главы 222 -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53" w:id="8715"/>
    <w:p>
      <w:pPr>
        <w:spacing w:after="0"/>
        <w:ind w:left="0"/>
        <w:jc w:val="both"/>
      </w:pPr>
      <w:r>
        <w:rPr>
          <w:rFonts w:ascii="Times New Roman"/>
          <w:b w:val="false"/>
          <w:i w:val="false"/>
          <w:color w:val="000000"/>
          <w:sz w:val="28"/>
        </w:rPr>
        <w:t>
      2940. Регистру судоходства представляют на рассмотрение и одобрение следующие виды документации по системе мониторинга технического состояния:</w:t>
      </w:r>
    </w:p>
    <w:bookmarkEnd w:id="8715"/>
    <w:bookmarkStart w:name="z8754" w:id="8716"/>
    <w:p>
      <w:pPr>
        <w:spacing w:after="0"/>
        <w:ind w:left="0"/>
        <w:jc w:val="both"/>
      </w:pPr>
      <w:r>
        <w:rPr>
          <w:rFonts w:ascii="Times New Roman"/>
          <w:b w:val="false"/>
          <w:i w:val="false"/>
          <w:color w:val="000000"/>
          <w:sz w:val="28"/>
        </w:rPr>
        <w:t>
      1) функциональное описание с указанием технических данных и условий эксплуатации (штамп об одобрении не ставится);</w:t>
      </w:r>
    </w:p>
    <w:bookmarkEnd w:id="8716"/>
    <w:bookmarkStart w:name="z8755" w:id="8717"/>
    <w:p>
      <w:pPr>
        <w:spacing w:after="0"/>
        <w:ind w:left="0"/>
        <w:jc w:val="both"/>
      </w:pPr>
      <w:r>
        <w:rPr>
          <w:rFonts w:ascii="Times New Roman"/>
          <w:b w:val="false"/>
          <w:i w:val="false"/>
          <w:color w:val="000000"/>
          <w:sz w:val="28"/>
        </w:rPr>
        <w:t>
      2) методическое руководство (инструкция) по проведению измерений и обработке данных контроля (штамп об одобрении не ставится);</w:t>
      </w:r>
    </w:p>
    <w:bookmarkEnd w:id="8717"/>
    <w:bookmarkStart w:name="z8756" w:id="8718"/>
    <w:p>
      <w:pPr>
        <w:spacing w:after="0"/>
        <w:ind w:left="0"/>
        <w:jc w:val="both"/>
      </w:pPr>
      <w:r>
        <w:rPr>
          <w:rFonts w:ascii="Times New Roman"/>
          <w:b w:val="false"/>
          <w:i w:val="false"/>
          <w:color w:val="000000"/>
          <w:sz w:val="28"/>
        </w:rPr>
        <w:t>
      3) программа испытаний встроенных систем мониторинга.</w:t>
      </w:r>
    </w:p>
    <w:bookmarkEnd w:id="8718"/>
    <w:bookmarkStart w:name="z8757" w:id="8719"/>
    <w:p>
      <w:pPr>
        <w:spacing w:after="0"/>
        <w:ind w:left="0"/>
        <w:jc w:val="both"/>
      </w:pPr>
      <w:r>
        <w:rPr>
          <w:rFonts w:ascii="Times New Roman"/>
          <w:b w:val="false"/>
          <w:i w:val="false"/>
          <w:color w:val="000000"/>
          <w:sz w:val="28"/>
        </w:rPr>
        <w:t>
      2941. Необходимо чтобы требования к контролю показателей рабочих масел соответствовали типу оборудования, подлежащему освидетельствованию. Для каждого механизма указываются марки масел и методы отбора проб масла для анализа. Четко описывается место отбора проб.</w:t>
      </w:r>
    </w:p>
    <w:bookmarkEnd w:id="8719"/>
    <w:bookmarkStart w:name="z8758" w:id="8720"/>
    <w:p>
      <w:pPr>
        <w:spacing w:after="0"/>
        <w:ind w:left="0"/>
        <w:jc w:val="both"/>
      </w:pPr>
      <w:r>
        <w:rPr>
          <w:rFonts w:ascii="Times New Roman"/>
          <w:b w:val="false"/>
          <w:i w:val="false"/>
          <w:color w:val="000000"/>
          <w:sz w:val="28"/>
        </w:rPr>
        <w:t>
      2942. Номенклатура характеристик и браковочные значения показателей анализируемых масел устанавливаются разработчиком системы мониторинга и согласовываются с Регистром судоходства.</w:t>
      </w:r>
    </w:p>
    <w:bookmarkEnd w:id="8720"/>
    <w:bookmarkStart w:name="z8759" w:id="8721"/>
    <w:p>
      <w:pPr>
        <w:spacing w:after="0"/>
        <w:ind w:left="0"/>
        <w:jc w:val="both"/>
      </w:pPr>
      <w:r>
        <w:rPr>
          <w:rFonts w:ascii="Times New Roman"/>
          <w:b w:val="false"/>
          <w:i w:val="false"/>
          <w:color w:val="000000"/>
          <w:sz w:val="28"/>
        </w:rPr>
        <w:t>
      2943. Проба масла анализируется признанной береговой лабораторией. В судовых условиях используются бортовые средства экспресс-анализа, аттестованные компетентной организацией (пункт 2936 настоящих Правил).</w:t>
      </w:r>
    </w:p>
    <w:bookmarkEnd w:id="8721"/>
    <w:bookmarkStart w:name="z8760" w:id="8722"/>
    <w:p>
      <w:pPr>
        <w:spacing w:after="0"/>
        <w:ind w:left="0"/>
        <w:jc w:val="both"/>
      </w:pPr>
      <w:r>
        <w:rPr>
          <w:rFonts w:ascii="Times New Roman"/>
          <w:b w:val="false"/>
          <w:i w:val="false"/>
          <w:color w:val="000000"/>
          <w:sz w:val="28"/>
        </w:rPr>
        <w:t>
      2944. Представление результатов анализа масла осуществляется согласно пункту 3159 настоящих Правил.</w:t>
      </w:r>
    </w:p>
    <w:bookmarkEnd w:id="8722"/>
    <w:bookmarkStart w:name="z8761" w:id="8723"/>
    <w:p>
      <w:pPr>
        <w:spacing w:after="0"/>
        <w:ind w:left="0"/>
        <w:jc w:val="left"/>
      </w:pPr>
      <w:r>
        <w:rPr>
          <w:rFonts w:ascii="Times New Roman"/>
          <w:b/>
          <w:i w:val="false"/>
          <w:color w:val="000000"/>
        </w:rPr>
        <w:t xml:space="preserve"> Глава 223. Требования к контролю параметров рабочего процесса дизеля</w:t>
      </w:r>
    </w:p>
    <w:bookmarkEnd w:id="8723"/>
    <w:p>
      <w:pPr>
        <w:spacing w:after="0"/>
        <w:ind w:left="0"/>
        <w:jc w:val="both"/>
      </w:pPr>
      <w:r>
        <w:rPr>
          <w:rFonts w:ascii="Times New Roman"/>
          <w:b w:val="false"/>
          <w:i w:val="false"/>
          <w:color w:val="ff0000"/>
          <w:sz w:val="28"/>
        </w:rPr>
        <w:t xml:space="preserve">
      Сноска. Заголовок главы 223 -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62" w:id="8724"/>
    <w:p>
      <w:pPr>
        <w:spacing w:after="0"/>
        <w:ind w:left="0"/>
        <w:jc w:val="both"/>
      </w:pPr>
      <w:r>
        <w:rPr>
          <w:rFonts w:ascii="Times New Roman"/>
          <w:b w:val="false"/>
          <w:i w:val="false"/>
          <w:color w:val="000000"/>
          <w:sz w:val="28"/>
        </w:rPr>
        <w:t>
      2945. Требования применяются к аппаратуре для измерения давления в цилиндре дизеля и параметров топливо подачи.</w:t>
      </w:r>
    </w:p>
    <w:bookmarkEnd w:id="8724"/>
    <w:bookmarkStart w:name="z8763" w:id="8725"/>
    <w:p>
      <w:pPr>
        <w:spacing w:after="0"/>
        <w:ind w:left="0"/>
        <w:jc w:val="both"/>
      </w:pPr>
      <w:r>
        <w:rPr>
          <w:rFonts w:ascii="Times New Roman"/>
          <w:b w:val="false"/>
          <w:i w:val="false"/>
          <w:color w:val="000000"/>
          <w:sz w:val="28"/>
        </w:rPr>
        <w:t>
      2946. Для обработки результатов измерения параметров рабочего процесса используются также параметры, измеряемые в системе АПС. В этом случае не должны вноситься помехи в работу системы АПС.</w:t>
      </w:r>
    </w:p>
    <w:bookmarkEnd w:id="8725"/>
    <w:bookmarkStart w:name="z8764" w:id="8726"/>
    <w:p>
      <w:pPr>
        <w:spacing w:after="0"/>
        <w:ind w:left="0"/>
        <w:jc w:val="both"/>
      </w:pPr>
      <w:r>
        <w:rPr>
          <w:rFonts w:ascii="Times New Roman"/>
          <w:b w:val="false"/>
          <w:i w:val="false"/>
          <w:color w:val="000000"/>
          <w:sz w:val="28"/>
        </w:rPr>
        <w:t>
      2947. Регистру судоходства представляют спецификации на датчики, оборудование для измерения и программы обработки результатов измерения (включая перечень рассчитываемых параметров и способ их представления).</w:t>
      </w:r>
    </w:p>
    <w:bookmarkEnd w:id="8726"/>
    <w:bookmarkStart w:name="z8765" w:id="8727"/>
    <w:p>
      <w:pPr>
        <w:spacing w:after="0"/>
        <w:ind w:left="0"/>
        <w:jc w:val="both"/>
      </w:pPr>
      <w:r>
        <w:rPr>
          <w:rFonts w:ascii="Times New Roman"/>
          <w:b w:val="false"/>
          <w:i w:val="false"/>
          <w:color w:val="000000"/>
          <w:sz w:val="28"/>
        </w:rPr>
        <w:t>
      2948. Электронный блок измерения параметров рабочего процесса дизеля имеет динамические характеристики, обеспечивающие измерение максимального давления в цилиндре.</w:t>
      </w:r>
    </w:p>
    <w:bookmarkEnd w:id="8727"/>
    <w:bookmarkStart w:name="z8766" w:id="8728"/>
    <w:p>
      <w:pPr>
        <w:spacing w:after="0"/>
        <w:ind w:left="0"/>
        <w:jc w:val="both"/>
      </w:pPr>
      <w:r>
        <w:rPr>
          <w:rFonts w:ascii="Times New Roman"/>
          <w:b w:val="false"/>
          <w:i w:val="false"/>
          <w:color w:val="000000"/>
          <w:sz w:val="28"/>
        </w:rPr>
        <w:t>
      2949. Измерение давления в цилиндре и параметров топливоподачи с использованием переставляемых датчиков допускается производить не на всех цилиндрах одновременно, но при этом поддерживается постоянный режим работы дизеля.</w:t>
      </w:r>
    </w:p>
    <w:bookmarkEnd w:id="8728"/>
    <w:bookmarkStart w:name="z8767" w:id="8729"/>
    <w:p>
      <w:pPr>
        <w:spacing w:after="0"/>
        <w:ind w:left="0"/>
        <w:jc w:val="both"/>
      </w:pPr>
      <w:r>
        <w:rPr>
          <w:rFonts w:ascii="Times New Roman"/>
          <w:b w:val="false"/>
          <w:i w:val="false"/>
          <w:color w:val="000000"/>
          <w:sz w:val="28"/>
        </w:rPr>
        <w:t>
      2950. Средства измерения, обработки и представления кривой давления в цилиндрах (индикаторной диаграммы) и характеристики топливо подачи обеспечивает проведение их анализа с разрешающей способностью не менее одного градуса поворота коленчатого вала (далее - ПКВ).</w:t>
      </w:r>
    </w:p>
    <w:bookmarkEnd w:id="8729"/>
    <w:bookmarkStart w:name="z8768" w:id="8730"/>
    <w:p>
      <w:pPr>
        <w:spacing w:after="0"/>
        <w:ind w:left="0"/>
        <w:jc w:val="both"/>
      </w:pPr>
      <w:r>
        <w:rPr>
          <w:rFonts w:ascii="Times New Roman"/>
          <w:b w:val="false"/>
          <w:i w:val="false"/>
          <w:color w:val="000000"/>
          <w:sz w:val="28"/>
        </w:rPr>
        <w:t>
      2951. Программа обработки индикаторной диаграммы вычисляет по каждому цилиндру:</w:t>
      </w:r>
    </w:p>
    <w:bookmarkEnd w:id="8730"/>
    <w:bookmarkStart w:name="z8769" w:id="8731"/>
    <w:p>
      <w:pPr>
        <w:spacing w:after="0"/>
        <w:ind w:left="0"/>
        <w:jc w:val="both"/>
      </w:pPr>
      <w:r>
        <w:rPr>
          <w:rFonts w:ascii="Times New Roman"/>
          <w:b w:val="false"/>
          <w:i w:val="false"/>
          <w:color w:val="000000"/>
          <w:sz w:val="28"/>
        </w:rPr>
        <w:t>
      среднее индикаторное давление;</w:t>
      </w:r>
    </w:p>
    <w:bookmarkEnd w:id="8731"/>
    <w:bookmarkStart w:name="z8770" w:id="8732"/>
    <w:p>
      <w:pPr>
        <w:spacing w:after="0"/>
        <w:ind w:left="0"/>
        <w:jc w:val="both"/>
      </w:pPr>
      <w:r>
        <w:rPr>
          <w:rFonts w:ascii="Times New Roman"/>
          <w:b w:val="false"/>
          <w:i w:val="false"/>
          <w:color w:val="000000"/>
          <w:sz w:val="28"/>
        </w:rPr>
        <w:t>
      цилиндровую индикаторную мощность;</w:t>
      </w:r>
    </w:p>
    <w:bookmarkEnd w:id="8732"/>
    <w:bookmarkStart w:name="z8771" w:id="8733"/>
    <w:p>
      <w:pPr>
        <w:spacing w:after="0"/>
        <w:ind w:left="0"/>
        <w:jc w:val="both"/>
      </w:pPr>
      <w:r>
        <w:rPr>
          <w:rFonts w:ascii="Times New Roman"/>
          <w:b w:val="false"/>
          <w:i w:val="false"/>
          <w:color w:val="000000"/>
          <w:sz w:val="28"/>
        </w:rPr>
        <w:t>
      максимальное давление сгорания в цилиндре;</w:t>
      </w:r>
    </w:p>
    <w:bookmarkEnd w:id="8733"/>
    <w:bookmarkStart w:name="z8772" w:id="8734"/>
    <w:p>
      <w:pPr>
        <w:spacing w:after="0"/>
        <w:ind w:left="0"/>
        <w:jc w:val="both"/>
      </w:pPr>
      <w:r>
        <w:rPr>
          <w:rFonts w:ascii="Times New Roman"/>
          <w:b w:val="false"/>
          <w:i w:val="false"/>
          <w:color w:val="000000"/>
          <w:sz w:val="28"/>
        </w:rPr>
        <w:t>
      максимальное давление сжатия;</w:t>
      </w:r>
    </w:p>
    <w:bookmarkEnd w:id="8734"/>
    <w:bookmarkStart w:name="z8773" w:id="8735"/>
    <w:p>
      <w:pPr>
        <w:spacing w:after="0"/>
        <w:ind w:left="0"/>
        <w:jc w:val="both"/>
      </w:pPr>
      <w:r>
        <w:rPr>
          <w:rFonts w:ascii="Times New Roman"/>
          <w:b w:val="false"/>
          <w:i w:val="false"/>
          <w:color w:val="000000"/>
          <w:sz w:val="28"/>
        </w:rPr>
        <w:t>
      давление на линии сжатия в точке 12</w:t>
      </w:r>
      <w:r>
        <w:rPr>
          <w:rFonts w:ascii="Times New Roman"/>
          <w:b w:val="false"/>
          <w:i w:val="false"/>
          <w:color w:val="000000"/>
          <w:vertAlign w:val="superscript"/>
        </w:rPr>
        <w:t>o</w:t>
      </w:r>
      <w:r>
        <w:rPr>
          <w:rFonts w:ascii="Times New Roman"/>
          <w:b w:val="false"/>
          <w:i w:val="false"/>
          <w:color w:val="000000"/>
          <w:sz w:val="28"/>
        </w:rPr>
        <w:t xml:space="preserve"> до верхней мертвой точки (далее - ВМТ);</w:t>
      </w:r>
    </w:p>
    <w:bookmarkEnd w:id="8735"/>
    <w:bookmarkStart w:name="z8774" w:id="8736"/>
    <w:p>
      <w:pPr>
        <w:spacing w:after="0"/>
        <w:ind w:left="0"/>
        <w:jc w:val="both"/>
      </w:pPr>
      <w:r>
        <w:rPr>
          <w:rFonts w:ascii="Times New Roman"/>
          <w:b w:val="false"/>
          <w:i w:val="false"/>
          <w:color w:val="000000"/>
          <w:sz w:val="28"/>
        </w:rPr>
        <w:t>
      давление на линии расширения в точке 36</w:t>
      </w:r>
      <w:r>
        <w:rPr>
          <w:rFonts w:ascii="Times New Roman"/>
          <w:b w:val="false"/>
          <w:i w:val="false"/>
          <w:color w:val="000000"/>
          <w:vertAlign w:val="superscript"/>
        </w:rPr>
        <w:t>o</w:t>
      </w:r>
      <w:r>
        <w:rPr>
          <w:rFonts w:ascii="Times New Roman"/>
          <w:b w:val="false"/>
          <w:i w:val="false"/>
          <w:color w:val="000000"/>
          <w:sz w:val="28"/>
        </w:rPr>
        <w:t xml:space="preserve"> после ВМТ;</w:t>
      </w:r>
    </w:p>
    <w:bookmarkEnd w:id="8736"/>
    <w:bookmarkStart w:name="z8775" w:id="8737"/>
    <w:p>
      <w:pPr>
        <w:spacing w:after="0"/>
        <w:ind w:left="0"/>
        <w:jc w:val="both"/>
      </w:pPr>
      <w:r>
        <w:rPr>
          <w:rFonts w:ascii="Times New Roman"/>
          <w:b w:val="false"/>
          <w:i w:val="false"/>
          <w:color w:val="000000"/>
          <w:sz w:val="28"/>
        </w:rPr>
        <w:t xml:space="preserve">
      угол </w:t>
      </w:r>
      <w:r>
        <w:rPr>
          <w:rFonts w:ascii="Times New Roman"/>
          <w:b w:val="false"/>
          <w:i w:val="false"/>
          <w:color w:val="000000"/>
          <w:vertAlign w:val="superscript"/>
        </w:rPr>
        <w:t>o</w:t>
      </w:r>
      <w:r>
        <w:rPr>
          <w:rFonts w:ascii="Times New Roman"/>
          <w:b w:val="false"/>
          <w:i w:val="false"/>
          <w:color w:val="000000"/>
          <w:sz w:val="28"/>
        </w:rPr>
        <w:t>ПКВ, соответствующий максимальному давлению сгорания;</w:t>
      </w:r>
    </w:p>
    <w:bookmarkEnd w:id="8737"/>
    <w:bookmarkStart w:name="z8776" w:id="8738"/>
    <w:p>
      <w:pPr>
        <w:spacing w:after="0"/>
        <w:ind w:left="0"/>
        <w:jc w:val="both"/>
      </w:pPr>
      <w:r>
        <w:rPr>
          <w:rFonts w:ascii="Times New Roman"/>
          <w:b w:val="false"/>
          <w:i w:val="false"/>
          <w:color w:val="000000"/>
          <w:sz w:val="28"/>
        </w:rPr>
        <w:t>
      угол опережения начала сгорания.</w:t>
      </w:r>
    </w:p>
    <w:bookmarkEnd w:id="8738"/>
    <w:bookmarkStart w:name="z8777" w:id="8739"/>
    <w:p>
      <w:pPr>
        <w:spacing w:after="0"/>
        <w:ind w:left="0"/>
        <w:jc w:val="both"/>
      </w:pPr>
      <w:r>
        <w:rPr>
          <w:rFonts w:ascii="Times New Roman"/>
          <w:b w:val="false"/>
          <w:i w:val="false"/>
          <w:color w:val="000000"/>
          <w:sz w:val="28"/>
        </w:rPr>
        <w:t>
      2952. Программа обработки параметров топливоподачи определяет:</w:t>
      </w:r>
    </w:p>
    <w:bookmarkEnd w:id="8739"/>
    <w:bookmarkStart w:name="z8778" w:id="8740"/>
    <w:p>
      <w:pPr>
        <w:spacing w:after="0"/>
        <w:ind w:left="0"/>
        <w:jc w:val="both"/>
      </w:pPr>
      <w:r>
        <w:rPr>
          <w:rFonts w:ascii="Times New Roman"/>
          <w:b w:val="false"/>
          <w:i w:val="false"/>
          <w:color w:val="000000"/>
          <w:sz w:val="28"/>
        </w:rPr>
        <w:t>
      начало впрыска топлива;</w:t>
      </w:r>
    </w:p>
    <w:bookmarkEnd w:id="8740"/>
    <w:bookmarkStart w:name="z8779" w:id="8741"/>
    <w:p>
      <w:pPr>
        <w:spacing w:after="0"/>
        <w:ind w:left="0"/>
        <w:jc w:val="both"/>
      </w:pPr>
      <w:r>
        <w:rPr>
          <w:rFonts w:ascii="Times New Roman"/>
          <w:b w:val="false"/>
          <w:i w:val="false"/>
          <w:color w:val="000000"/>
          <w:sz w:val="28"/>
        </w:rPr>
        <w:t>
      угол продолжительности впрыска топлива;</w:t>
      </w:r>
    </w:p>
    <w:bookmarkEnd w:id="8741"/>
    <w:bookmarkStart w:name="z8780" w:id="8742"/>
    <w:p>
      <w:pPr>
        <w:spacing w:after="0"/>
        <w:ind w:left="0"/>
        <w:jc w:val="both"/>
      </w:pPr>
      <w:r>
        <w:rPr>
          <w:rFonts w:ascii="Times New Roman"/>
          <w:b w:val="false"/>
          <w:i w:val="false"/>
          <w:color w:val="000000"/>
          <w:sz w:val="28"/>
        </w:rPr>
        <w:t>
      максимальное давление топлива.</w:t>
      </w:r>
    </w:p>
    <w:bookmarkEnd w:id="8742"/>
    <w:bookmarkStart w:name="z8781" w:id="8743"/>
    <w:p>
      <w:pPr>
        <w:spacing w:after="0"/>
        <w:ind w:left="0"/>
        <w:jc w:val="both"/>
      </w:pPr>
      <w:r>
        <w:rPr>
          <w:rFonts w:ascii="Times New Roman"/>
          <w:b w:val="false"/>
          <w:i w:val="false"/>
          <w:color w:val="000000"/>
          <w:sz w:val="28"/>
        </w:rPr>
        <w:t>
      2953. Программа обработки обеспечивает сравнение нагрузки по цилиндрам.</w:t>
      </w:r>
    </w:p>
    <w:bookmarkEnd w:id="8743"/>
    <w:bookmarkStart w:name="z8782" w:id="8744"/>
    <w:p>
      <w:pPr>
        <w:spacing w:after="0"/>
        <w:ind w:left="0"/>
        <w:jc w:val="both"/>
      </w:pPr>
      <w:r>
        <w:rPr>
          <w:rFonts w:ascii="Times New Roman"/>
          <w:b w:val="false"/>
          <w:i w:val="false"/>
          <w:color w:val="000000"/>
          <w:sz w:val="28"/>
        </w:rPr>
        <w:t>
      Допустимые отклонения параметров рабочего процесса от среднего по цилиндрам:</w:t>
      </w:r>
    </w:p>
    <w:bookmarkEnd w:id="8744"/>
    <w:bookmarkStart w:name="z8783" w:id="8745"/>
    <w:p>
      <w:pPr>
        <w:spacing w:after="0"/>
        <w:ind w:left="0"/>
        <w:jc w:val="both"/>
      </w:pPr>
      <w:r>
        <w:rPr>
          <w:rFonts w:ascii="Times New Roman"/>
          <w:b w:val="false"/>
          <w:i w:val="false"/>
          <w:color w:val="000000"/>
          <w:sz w:val="28"/>
        </w:rPr>
        <w:t>
      среднее индикаторное давление — не более ±2,5 %;</w:t>
      </w:r>
    </w:p>
    <w:bookmarkEnd w:id="8745"/>
    <w:bookmarkStart w:name="z8784" w:id="8746"/>
    <w:p>
      <w:pPr>
        <w:spacing w:after="0"/>
        <w:ind w:left="0"/>
        <w:jc w:val="both"/>
      </w:pPr>
      <w:r>
        <w:rPr>
          <w:rFonts w:ascii="Times New Roman"/>
          <w:b w:val="false"/>
          <w:i w:val="false"/>
          <w:color w:val="000000"/>
          <w:sz w:val="28"/>
        </w:rPr>
        <w:t>
      максимальное давление сгорания — не более ±3,5 %;</w:t>
      </w:r>
    </w:p>
    <w:bookmarkEnd w:id="8746"/>
    <w:bookmarkStart w:name="z8785" w:id="8747"/>
    <w:p>
      <w:pPr>
        <w:spacing w:after="0"/>
        <w:ind w:left="0"/>
        <w:jc w:val="both"/>
      </w:pPr>
      <w:r>
        <w:rPr>
          <w:rFonts w:ascii="Times New Roman"/>
          <w:b w:val="false"/>
          <w:i w:val="false"/>
          <w:color w:val="000000"/>
          <w:sz w:val="28"/>
        </w:rPr>
        <w:t>
      давление конца сжатия — не более ±2,5 %.</w:t>
      </w:r>
    </w:p>
    <w:bookmarkEnd w:id="8747"/>
    <w:bookmarkStart w:name="z8786" w:id="8748"/>
    <w:p>
      <w:pPr>
        <w:spacing w:after="0"/>
        <w:ind w:left="0"/>
        <w:jc w:val="both"/>
      </w:pPr>
      <w:r>
        <w:rPr>
          <w:rFonts w:ascii="Times New Roman"/>
          <w:b w:val="false"/>
          <w:i w:val="false"/>
          <w:color w:val="000000"/>
          <w:sz w:val="28"/>
        </w:rPr>
        <w:t>
      Приведенные значения давления сгорания в любом из цилиндров должно быть не менее 85 % от значения, полученного при базовых испытаниях.</w:t>
      </w:r>
    </w:p>
    <w:bookmarkEnd w:id="8748"/>
    <w:bookmarkStart w:name="z8787" w:id="8749"/>
    <w:p>
      <w:pPr>
        <w:spacing w:after="0"/>
        <w:ind w:left="0"/>
        <w:jc w:val="both"/>
      </w:pPr>
      <w:r>
        <w:rPr>
          <w:rFonts w:ascii="Times New Roman"/>
          <w:b w:val="false"/>
          <w:i w:val="false"/>
          <w:color w:val="000000"/>
          <w:sz w:val="28"/>
        </w:rPr>
        <w:t>
      Под результатами базовых испытаний понимаются результаты приемосдаточных испытаний дизеля на судне или специальные испытания в эксплуатационном рейсе (пункт 2939 настоящих Правил).</w:t>
      </w:r>
    </w:p>
    <w:bookmarkEnd w:id="8749"/>
    <w:bookmarkStart w:name="z8788" w:id="8750"/>
    <w:p>
      <w:pPr>
        <w:spacing w:after="0"/>
        <w:ind w:left="0"/>
        <w:jc w:val="both"/>
      </w:pPr>
      <w:r>
        <w:rPr>
          <w:rFonts w:ascii="Times New Roman"/>
          <w:b w:val="false"/>
          <w:i w:val="false"/>
          <w:color w:val="000000"/>
          <w:sz w:val="28"/>
        </w:rPr>
        <w:t>
      2954. Представление данных измерений осуществляется согласно пункту 2931 настоящих Правил.</w:t>
      </w:r>
    </w:p>
    <w:bookmarkEnd w:id="8750"/>
    <w:bookmarkStart w:name="z8789" w:id="8751"/>
    <w:p>
      <w:pPr>
        <w:spacing w:after="0"/>
        <w:ind w:left="0"/>
        <w:jc w:val="left"/>
      </w:pPr>
      <w:r>
        <w:rPr>
          <w:rFonts w:ascii="Times New Roman"/>
          <w:b/>
          <w:i w:val="false"/>
          <w:color w:val="000000"/>
        </w:rPr>
        <w:t xml:space="preserve"> Глава 224. Требования к контролю параметров износа цилиндро-поршневой группы дизеля</w:t>
      </w:r>
    </w:p>
    <w:bookmarkEnd w:id="8751"/>
    <w:p>
      <w:pPr>
        <w:spacing w:after="0"/>
        <w:ind w:left="0"/>
        <w:jc w:val="both"/>
      </w:pPr>
      <w:r>
        <w:rPr>
          <w:rFonts w:ascii="Times New Roman"/>
          <w:b w:val="false"/>
          <w:i w:val="false"/>
          <w:color w:val="ff0000"/>
          <w:sz w:val="28"/>
        </w:rPr>
        <w:t xml:space="preserve">
      Сноска. Заголовок главы 224 -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90" w:id="8752"/>
    <w:p>
      <w:pPr>
        <w:spacing w:after="0"/>
        <w:ind w:left="0"/>
        <w:jc w:val="both"/>
      </w:pPr>
      <w:r>
        <w:rPr>
          <w:rFonts w:ascii="Times New Roman"/>
          <w:b w:val="false"/>
          <w:i w:val="false"/>
          <w:color w:val="000000"/>
          <w:sz w:val="28"/>
        </w:rPr>
        <w:t>
      2955. Параметром, характеризующим состояние цилиндро-поршневой группы дизеля (его износ), является плотность камеры сгорания.</w:t>
      </w:r>
    </w:p>
    <w:bookmarkEnd w:id="8752"/>
    <w:bookmarkStart w:name="z8791" w:id="8753"/>
    <w:p>
      <w:pPr>
        <w:spacing w:after="0"/>
        <w:ind w:left="0"/>
        <w:jc w:val="both"/>
      </w:pPr>
      <w:r>
        <w:rPr>
          <w:rFonts w:ascii="Times New Roman"/>
          <w:b w:val="false"/>
          <w:i w:val="false"/>
          <w:color w:val="000000"/>
          <w:sz w:val="28"/>
        </w:rPr>
        <w:t>
      2956. Плотность камеры сгорания измеряется специальным прибором — пневмоиндикатором, представляющим собой расходомерное устройство, настраиваемое на определенный диаметр цилиндра.</w:t>
      </w:r>
    </w:p>
    <w:bookmarkEnd w:id="8753"/>
    <w:bookmarkStart w:name="z8792" w:id="8754"/>
    <w:p>
      <w:pPr>
        <w:spacing w:after="0"/>
        <w:ind w:left="0"/>
        <w:jc w:val="both"/>
      </w:pPr>
      <w:r>
        <w:rPr>
          <w:rFonts w:ascii="Times New Roman"/>
          <w:b w:val="false"/>
          <w:i w:val="false"/>
          <w:color w:val="000000"/>
          <w:sz w:val="28"/>
        </w:rPr>
        <w:t>
      2957. Методика определения плотности цилиндра и нормы состояния цилиндро-поршневой группы представляются разработчиком системы.</w:t>
      </w:r>
    </w:p>
    <w:bookmarkEnd w:id="8754"/>
    <w:bookmarkStart w:name="z8793" w:id="8755"/>
    <w:p>
      <w:pPr>
        <w:spacing w:after="0"/>
        <w:ind w:left="0"/>
        <w:jc w:val="both"/>
      </w:pPr>
      <w:r>
        <w:rPr>
          <w:rFonts w:ascii="Times New Roman"/>
          <w:b w:val="false"/>
          <w:i w:val="false"/>
          <w:color w:val="000000"/>
          <w:sz w:val="28"/>
        </w:rPr>
        <w:t>
      2958. Представление результатов осуществляется согласно пункту 2931 настоящих Правил.</w:t>
      </w:r>
    </w:p>
    <w:bookmarkEnd w:id="8755"/>
    <w:bookmarkStart w:name="z8794" w:id="8756"/>
    <w:p>
      <w:pPr>
        <w:spacing w:after="0"/>
        <w:ind w:left="0"/>
        <w:jc w:val="left"/>
      </w:pPr>
      <w:r>
        <w:rPr>
          <w:rFonts w:ascii="Times New Roman"/>
          <w:b/>
          <w:i w:val="false"/>
          <w:color w:val="000000"/>
        </w:rPr>
        <w:t xml:space="preserve"> Глава 225. Требования к контролю параметров вибрации</w:t>
      </w:r>
    </w:p>
    <w:bookmarkEnd w:id="8756"/>
    <w:p>
      <w:pPr>
        <w:spacing w:after="0"/>
        <w:ind w:left="0"/>
        <w:jc w:val="both"/>
      </w:pPr>
      <w:r>
        <w:rPr>
          <w:rFonts w:ascii="Times New Roman"/>
          <w:b w:val="false"/>
          <w:i w:val="false"/>
          <w:color w:val="ff0000"/>
          <w:sz w:val="28"/>
        </w:rPr>
        <w:t xml:space="preserve">
      Сноска. Заголовок главы 225 -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95" w:id="8757"/>
    <w:p>
      <w:pPr>
        <w:spacing w:after="0"/>
        <w:ind w:left="0"/>
        <w:jc w:val="both"/>
      </w:pPr>
      <w:r>
        <w:rPr>
          <w:rFonts w:ascii="Times New Roman"/>
          <w:b w:val="false"/>
          <w:i w:val="false"/>
          <w:color w:val="000000"/>
          <w:sz w:val="28"/>
        </w:rPr>
        <w:t>
      2959. Объектами мониторинга вибрационного состояния на судне являются механизмы ротационного типа, перечисленные в пункте 2930 настоящих Правил, а также поршневые компрессоры.</w:t>
      </w:r>
    </w:p>
    <w:bookmarkEnd w:id="8757"/>
    <w:bookmarkStart w:name="z8796" w:id="8758"/>
    <w:p>
      <w:pPr>
        <w:spacing w:after="0"/>
        <w:ind w:left="0"/>
        <w:jc w:val="both"/>
      </w:pPr>
      <w:r>
        <w:rPr>
          <w:rFonts w:ascii="Times New Roman"/>
          <w:b w:val="false"/>
          <w:i w:val="false"/>
          <w:color w:val="000000"/>
          <w:sz w:val="28"/>
        </w:rPr>
        <w:t>
      2960. Для мониторинга вибрационного состояния механизмов применяется следующая аппаратура, обеспечивающая измерение и обработку параметров вибрации — среднеквадратических значений виброскорости или виброускорения втреть октавных или октавных полосах частот — и анализ данных во временной области:</w:t>
      </w:r>
    </w:p>
    <w:bookmarkEnd w:id="8758"/>
    <w:bookmarkStart w:name="z8797" w:id="8759"/>
    <w:p>
      <w:pPr>
        <w:spacing w:after="0"/>
        <w:ind w:left="0"/>
        <w:jc w:val="both"/>
      </w:pPr>
      <w:r>
        <w:rPr>
          <w:rFonts w:ascii="Times New Roman"/>
          <w:b w:val="false"/>
          <w:i w:val="false"/>
          <w:color w:val="000000"/>
          <w:sz w:val="28"/>
        </w:rPr>
        <w:t>
      виброметры-анализаторы;</w:t>
      </w:r>
    </w:p>
    <w:bookmarkEnd w:id="8759"/>
    <w:bookmarkStart w:name="z8798" w:id="8760"/>
    <w:p>
      <w:pPr>
        <w:spacing w:after="0"/>
        <w:ind w:left="0"/>
        <w:jc w:val="both"/>
      </w:pPr>
      <w:r>
        <w:rPr>
          <w:rFonts w:ascii="Times New Roman"/>
          <w:b w:val="false"/>
          <w:i w:val="false"/>
          <w:color w:val="000000"/>
          <w:sz w:val="28"/>
        </w:rPr>
        <w:t>
      вибродиагностические системы, осуществляющие измерение, обработку, хранение и спектральный анализ параметров вибрации.</w:t>
      </w:r>
    </w:p>
    <w:bookmarkEnd w:id="8760"/>
    <w:bookmarkStart w:name="z8799" w:id="8761"/>
    <w:p>
      <w:pPr>
        <w:spacing w:after="0"/>
        <w:ind w:left="0"/>
        <w:jc w:val="both"/>
      </w:pPr>
      <w:r>
        <w:rPr>
          <w:rFonts w:ascii="Times New Roman"/>
          <w:b w:val="false"/>
          <w:i w:val="false"/>
          <w:color w:val="000000"/>
          <w:sz w:val="28"/>
        </w:rPr>
        <w:t>
      2961. Основные требования к аппаратуре, применяемой в системе мониторинга вибрационного состояния:</w:t>
      </w:r>
    </w:p>
    <w:bookmarkEnd w:id="8761"/>
    <w:bookmarkStart w:name="z8800" w:id="8762"/>
    <w:p>
      <w:pPr>
        <w:spacing w:after="0"/>
        <w:ind w:left="0"/>
        <w:jc w:val="both"/>
      </w:pPr>
      <w:r>
        <w:rPr>
          <w:rFonts w:ascii="Times New Roman"/>
          <w:b w:val="false"/>
          <w:i w:val="false"/>
          <w:color w:val="000000"/>
          <w:sz w:val="28"/>
        </w:rPr>
        <w:t>
      корпус виброметра-анализатора должен соответствовать защитному исполнению IP54 (пункт 4793 настоящих Правил);</w:t>
      </w:r>
    </w:p>
    <w:bookmarkEnd w:id="8762"/>
    <w:bookmarkStart w:name="z8801" w:id="8763"/>
    <w:p>
      <w:pPr>
        <w:spacing w:after="0"/>
        <w:ind w:left="0"/>
        <w:jc w:val="both"/>
      </w:pPr>
      <w:r>
        <w:rPr>
          <w:rFonts w:ascii="Times New Roman"/>
          <w:b w:val="false"/>
          <w:i w:val="false"/>
          <w:color w:val="000000"/>
          <w:sz w:val="28"/>
        </w:rPr>
        <w:t>
      частотный диапазон — не менее 4 — 16000 Гц;</w:t>
      </w:r>
    </w:p>
    <w:bookmarkEnd w:id="8763"/>
    <w:bookmarkStart w:name="z8802" w:id="8764"/>
    <w:p>
      <w:pPr>
        <w:spacing w:after="0"/>
        <w:ind w:left="0"/>
        <w:jc w:val="both"/>
      </w:pPr>
      <w:r>
        <w:rPr>
          <w:rFonts w:ascii="Times New Roman"/>
          <w:b w:val="false"/>
          <w:i w:val="false"/>
          <w:color w:val="000000"/>
          <w:sz w:val="28"/>
        </w:rPr>
        <w:t>
      динамический диапазон — не менее 70 дБ.</w:t>
      </w:r>
    </w:p>
    <w:bookmarkEnd w:id="8764"/>
    <w:bookmarkStart w:name="z8803" w:id="8765"/>
    <w:p>
      <w:pPr>
        <w:spacing w:after="0"/>
        <w:ind w:left="0"/>
        <w:jc w:val="both"/>
      </w:pPr>
      <w:r>
        <w:rPr>
          <w:rFonts w:ascii="Times New Roman"/>
          <w:b w:val="false"/>
          <w:i w:val="false"/>
          <w:color w:val="000000"/>
          <w:sz w:val="28"/>
        </w:rPr>
        <w:t>
      Специальные требования к вибродиагностическим системам:</w:t>
      </w:r>
    </w:p>
    <w:bookmarkEnd w:id="8765"/>
    <w:bookmarkStart w:name="z8804" w:id="8766"/>
    <w:p>
      <w:pPr>
        <w:spacing w:after="0"/>
        <w:ind w:left="0"/>
        <w:jc w:val="both"/>
      </w:pPr>
      <w:r>
        <w:rPr>
          <w:rFonts w:ascii="Times New Roman"/>
          <w:b w:val="false"/>
          <w:i w:val="false"/>
          <w:color w:val="000000"/>
          <w:sz w:val="28"/>
        </w:rPr>
        <w:t>
      возможность работы по маршрутной карте, обеспечивающей выполнение, по крайней мере, одного полного измерения вибрационных параметров на всех объектах системы мониторинга;</w:t>
      </w:r>
    </w:p>
    <w:bookmarkEnd w:id="8766"/>
    <w:bookmarkStart w:name="z8805" w:id="8767"/>
    <w:p>
      <w:pPr>
        <w:spacing w:after="0"/>
        <w:ind w:left="0"/>
        <w:jc w:val="both"/>
      </w:pPr>
      <w:r>
        <w:rPr>
          <w:rFonts w:ascii="Times New Roman"/>
          <w:b w:val="false"/>
          <w:i w:val="false"/>
          <w:color w:val="000000"/>
          <w:sz w:val="28"/>
        </w:rPr>
        <w:t>
      возможность передачи данных в компьютер.</w:t>
      </w:r>
    </w:p>
    <w:bookmarkEnd w:id="8767"/>
    <w:bookmarkStart w:name="z8806" w:id="8768"/>
    <w:p>
      <w:pPr>
        <w:spacing w:after="0"/>
        <w:ind w:left="0"/>
        <w:jc w:val="both"/>
      </w:pPr>
      <w:r>
        <w:rPr>
          <w:rFonts w:ascii="Times New Roman"/>
          <w:b w:val="false"/>
          <w:i w:val="false"/>
          <w:color w:val="000000"/>
          <w:sz w:val="28"/>
        </w:rPr>
        <w:t>
      2962. Состав аппаратуры мониторинга вибрационного состояния и организация его проведения согласовываются с Регистром судоходства при введении на судне системы освидетельствования на основе СППТ и КС.</w:t>
      </w:r>
    </w:p>
    <w:bookmarkEnd w:id="8768"/>
    <w:bookmarkStart w:name="z8807" w:id="8769"/>
    <w:p>
      <w:pPr>
        <w:spacing w:after="0"/>
        <w:ind w:left="0"/>
        <w:jc w:val="both"/>
      </w:pPr>
      <w:r>
        <w:rPr>
          <w:rFonts w:ascii="Times New Roman"/>
          <w:b w:val="false"/>
          <w:i w:val="false"/>
          <w:color w:val="000000"/>
          <w:sz w:val="28"/>
        </w:rPr>
        <w:t xml:space="preserve">
      2963. При проведении мониторинга вибрационного состояния учитывают требования </w:t>
      </w:r>
      <w:r>
        <w:rPr>
          <w:rFonts w:ascii="Times New Roman"/>
          <w:b w:val="false"/>
          <w:i w:val="false"/>
          <w:color w:val="000000"/>
          <w:sz w:val="28"/>
        </w:rPr>
        <w:t xml:space="preserve"> Правил</w:t>
      </w:r>
      <w:r>
        <w:rPr>
          <w:rFonts w:ascii="Times New Roman"/>
          <w:b w:val="false"/>
          <w:i w:val="false"/>
          <w:color w:val="000000"/>
          <w:sz w:val="28"/>
        </w:rPr>
        <w:t xml:space="preserve"> технического наблюдения за постройкой судов и изготовлением материалов и изделий для судов, утвержденных уполномоченным органом.</w:t>
      </w:r>
    </w:p>
    <w:bookmarkEnd w:id="8769"/>
    <w:bookmarkStart w:name="z8808" w:id="8770"/>
    <w:p>
      <w:pPr>
        <w:spacing w:after="0"/>
        <w:ind w:left="0"/>
        <w:jc w:val="both"/>
      </w:pPr>
      <w:r>
        <w:rPr>
          <w:rFonts w:ascii="Times New Roman"/>
          <w:b w:val="false"/>
          <w:i w:val="false"/>
          <w:color w:val="000000"/>
          <w:sz w:val="28"/>
        </w:rPr>
        <w:t>
      2964. Обеспечиваются требования по установке и креплению датчика вибрации на объекте контроля. Предпочтительным является способ установки датчика на шпильке (винте). Для реализации этого способа крепления датчика предварительно во всех точках измерения монтируют шпильки. Допускается установка датчика вибрации на магните. При невозможности установки датчиков вибрации на шпильке или магните возможно использование ручных датчиков вибрации.</w:t>
      </w:r>
    </w:p>
    <w:bookmarkEnd w:id="8770"/>
    <w:bookmarkStart w:name="z8809" w:id="8771"/>
    <w:p>
      <w:pPr>
        <w:spacing w:after="0"/>
        <w:ind w:left="0"/>
        <w:jc w:val="both"/>
      </w:pPr>
      <w:r>
        <w:rPr>
          <w:rFonts w:ascii="Times New Roman"/>
          <w:b w:val="false"/>
          <w:i w:val="false"/>
          <w:color w:val="000000"/>
          <w:sz w:val="28"/>
        </w:rPr>
        <w:t>
      2965. Указываются точки и направления измерения параметров вибрации для каждого механизма. Необходимо использовать рекомендации предприятий-изготовителей. При отсутствии рекомендаций следует руководствоваться типовыми схемами расположения точек измерения вибрации механизмов (приложение 303 настоящих Правил).</w:t>
      </w:r>
    </w:p>
    <w:bookmarkEnd w:id="8771"/>
    <w:bookmarkStart w:name="z8810" w:id="8772"/>
    <w:p>
      <w:pPr>
        <w:spacing w:after="0"/>
        <w:ind w:left="0"/>
        <w:jc w:val="both"/>
      </w:pPr>
      <w:r>
        <w:rPr>
          <w:rFonts w:ascii="Times New Roman"/>
          <w:b w:val="false"/>
          <w:i w:val="false"/>
          <w:color w:val="000000"/>
          <w:sz w:val="28"/>
        </w:rPr>
        <w:t>
      Для мониторинга вибрационного состояния допускается ограничиться измерением в одном - двух направлениях на одном наиболее нагруженном подшипнике механизма.</w:t>
      </w:r>
    </w:p>
    <w:bookmarkEnd w:id="8772"/>
    <w:bookmarkStart w:name="z8811" w:id="8773"/>
    <w:p>
      <w:pPr>
        <w:spacing w:after="0"/>
        <w:ind w:left="0"/>
        <w:jc w:val="both"/>
      </w:pPr>
      <w:r>
        <w:rPr>
          <w:rFonts w:ascii="Times New Roman"/>
          <w:b w:val="false"/>
          <w:i w:val="false"/>
          <w:color w:val="000000"/>
          <w:sz w:val="28"/>
        </w:rPr>
        <w:t>
      Примечание. Для агрегатов, состоящих из механизма и его привода (насоса и электродвигателя, вентилятора и электродвигателя), измерения проводятся на одном подшипнике механизма и одном подшипнике электродвигателя со стороны муфты. При контроле вибросостояния сепаратора измерения проводятся в двух радиальных направлениях на обоих подшипниках электродвигателя и в трех направлениях на подшипнике барабана сепаратора.</w:t>
      </w:r>
    </w:p>
    <w:bookmarkEnd w:id="8773"/>
    <w:bookmarkStart w:name="z8812" w:id="8774"/>
    <w:p>
      <w:pPr>
        <w:spacing w:after="0"/>
        <w:ind w:left="0"/>
        <w:jc w:val="both"/>
      </w:pPr>
      <w:r>
        <w:rPr>
          <w:rFonts w:ascii="Times New Roman"/>
          <w:b w:val="false"/>
          <w:i w:val="false"/>
          <w:color w:val="000000"/>
          <w:sz w:val="28"/>
        </w:rPr>
        <w:t>
      2966. Нормирование технического состояния по уровню контролируемых вибрационных параметров приводится в документации системы мониторинга состояния, представленной Регистру судоходства для рассмотрения (пункт 2940 настоящих Правил). Необходимо использовать рекомендации предприятия-изготовителя объекта контроля или руководствоваться нормами Регистра судоходства (подраздел 9 раздела 9 настоящих Правил).</w:t>
      </w:r>
    </w:p>
    <w:bookmarkEnd w:id="8774"/>
    <w:bookmarkStart w:name="z8813" w:id="8775"/>
    <w:p>
      <w:pPr>
        <w:spacing w:after="0"/>
        <w:ind w:left="0"/>
        <w:jc w:val="both"/>
      </w:pPr>
      <w:r>
        <w:rPr>
          <w:rFonts w:ascii="Times New Roman"/>
          <w:b w:val="false"/>
          <w:i w:val="false"/>
          <w:color w:val="000000"/>
          <w:sz w:val="28"/>
        </w:rPr>
        <w:t>
      2967. Представление результатов осуществляется согласно пункту 2931 настоящих Правил.</w:t>
      </w:r>
    </w:p>
    <w:bookmarkEnd w:id="8775"/>
    <w:bookmarkStart w:name="z8814" w:id="8776"/>
    <w:p>
      <w:pPr>
        <w:spacing w:after="0"/>
        <w:ind w:left="0"/>
        <w:jc w:val="left"/>
      </w:pPr>
      <w:r>
        <w:rPr>
          <w:rFonts w:ascii="Times New Roman"/>
          <w:b/>
          <w:i w:val="false"/>
          <w:color w:val="000000"/>
        </w:rPr>
        <w:t xml:space="preserve"> Глава 226. Требования к контролю ударных импульсов</w:t>
      </w:r>
    </w:p>
    <w:bookmarkEnd w:id="8776"/>
    <w:p>
      <w:pPr>
        <w:spacing w:after="0"/>
        <w:ind w:left="0"/>
        <w:jc w:val="both"/>
      </w:pPr>
      <w:r>
        <w:rPr>
          <w:rFonts w:ascii="Times New Roman"/>
          <w:b w:val="false"/>
          <w:i w:val="false"/>
          <w:color w:val="ff0000"/>
          <w:sz w:val="28"/>
        </w:rPr>
        <w:t xml:space="preserve">
      Сноска. Заголовок главы 226 -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15" w:id="8777"/>
    <w:p>
      <w:pPr>
        <w:spacing w:after="0"/>
        <w:ind w:left="0"/>
        <w:jc w:val="both"/>
      </w:pPr>
      <w:r>
        <w:rPr>
          <w:rFonts w:ascii="Times New Roman"/>
          <w:b w:val="false"/>
          <w:i w:val="false"/>
          <w:color w:val="000000"/>
          <w:sz w:val="28"/>
        </w:rPr>
        <w:t>
      2968. Оценка состояния подшипников качения проводится методом ударных импульсов. Изготовитель контролируемого механизма, разработчик или поставщик системы мониторинга состояния может предложить другой метод оценки состояния подшипников качения. В этом случае предложенный метод полежит одобрению Регистром судоходства.</w:t>
      </w:r>
    </w:p>
    <w:bookmarkEnd w:id="8777"/>
    <w:bookmarkStart w:name="z8816" w:id="8778"/>
    <w:p>
      <w:pPr>
        <w:spacing w:after="0"/>
        <w:ind w:left="0"/>
        <w:jc w:val="both"/>
      </w:pPr>
      <w:r>
        <w:rPr>
          <w:rFonts w:ascii="Times New Roman"/>
          <w:b w:val="false"/>
          <w:i w:val="false"/>
          <w:color w:val="000000"/>
          <w:sz w:val="28"/>
        </w:rPr>
        <w:t>
      2969. Для контроля состояния подшипников методом ударных импульсов применяются специальные приборы — измерители ударных импульсов и/или индикаторы состояния подшипников качения, которые отвечают следующим основным требованиям:</w:t>
      </w:r>
    </w:p>
    <w:bookmarkEnd w:id="8778"/>
    <w:bookmarkStart w:name="z8817" w:id="8779"/>
    <w:p>
      <w:pPr>
        <w:spacing w:after="0"/>
        <w:ind w:left="0"/>
        <w:jc w:val="both"/>
      </w:pPr>
      <w:r>
        <w:rPr>
          <w:rFonts w:ascii="Times New Roman"/>
          <w:b w:val="false"/>
          <w:i w:val="false"/>
          <w:color w:val="000000"/>
          <w:sz w:val="28"/>
        </w:rPr>
        <w:t>
      1) диапазон контролируемых подшипников:</w:t>
      </w:r>
    </w:p>
    <w:bookmarkEnd w:id="8779"/>
    <w:bookmarkStart w:name="z8818" w:id="8780"/>
    <w:p>
      <w:pPr>
        <w:spacing w:after="0"/>
        <w:ind w:left="0"/>
        <w:jc w:val="both"/>
      </w:pPr>
      <w:r>
        <w:rPr>
          <w:rFonts w:ascii="Times New Roman"/>
          <w:b w:val="false"/>
          <w:i w:val="false"/>
          <w:color w:val="000000"/>
          <w:sz w:val="28"/>
        </w:rPr>
        <w:t>
      внутренний диаметр — 50— 1000 мм,</w:t>
      </w:r>
    </w:p>
    <w:bookmarkEnd w:id="8780"/>
    <w:bookmarkStart w:name="z8819" w:id="8781"/>
    <w:p>
      <w:pPr>
        <w:spacing w:after="0"/>
        <w:ind w:left="0"/>
        <w:jc w:val="both"/>
      </w:pPr>
      <w:r>
        <w:rPr>
          <w:rFonts w:ascii="Times New Roman"/>
          <w:b w:val="false"/>
          <w:i w:val="false"/>
          <w:color w:val="000000"/>
          <w:sz w:val="28"/>
        </w:rPr>
        <w:t>
      частота вращения — 10 — 30000 мин</w:t>
      </w:r>
      <w:r>
        <w:rPr>
          <w:rFonts w:ascii="Times New Roman"/>
          <w:b w:val="false"/>
          <w:i w:val="false"/>
          <w:color w:val="000000"/>
          <w:vertAlign w:val="superscript"/>
        </w:rPr>
        <w:t>-1</w:t>
      </w:r>
      <w:r>
        <w:rPr>
          <w:rFonts w:ascii="Times New Roman"/>
          <w:b w:val="false"/>
          <w:i w:val="false"/>
          <w:color w:val="000000"/>
          <w:sz w:val="28"/>
        </w:rPr>
        <w:t>;</w:t>
      </w:r>
    </w:p>
    <w:bookmarkEnd w:id="8781"/>
    <w:bookmarkStart w:name="z8820" w:id="8782"/>
    <w:p>
      <w:pPr>
        <w:spacing w:after="0"/>
        <w:ind w:left="0"/>
        <w:jc w:val="both"/>
      </w:pPr>
      <w:r>
        <w:rPr>
          <w:rFonts w:ascii="Times New Roman"/>
          <w:b w:val="false"/>
          <w:i w:val="false"/>
          <w:color w:val="000000"/>
          <w:sz w:val="28"/>
        </w:rPr>
        <w:t>
      динамический диапазон — не менее 90 дБ;</w:t>
      </w:r>
    </w:p>
    <w:bookmarkEnd w:id="8782"/>
    <w:bookmarkStart w:name="z8821" w:id="8783"/>
    <w:p>
      <w:pPr>
        <w:spacing w:after="0"/>
        <w:ind w:left="0"/>
        <w:jc w:val="both"/>
      </w:pPr>
      <w:r>
        <w:rPr>
          <w:rFonts w:ascii="Times New Roman"/>
          <w:b w:val="false"/>
          <w:i w:val="false"/>
          <w:color w:val="000000"/>
          <w:sz w:val="28"/>
        </w:rPr>
        <w:t>
      2) корпус прибора по пыле- и водонепроницаемости соответствует защитному исполнению IP 54 (пункт 4793 настоящих Правил);</w:t>
      </w:r>
    </w:p>
    <w:bookmarkEnd w:id="8783"/>
    <w:bookmarkStart w:name="z8822" w:id="8784"/>
    <w:p>
      <w:pPr>
        <w:spacing w:after="0"/>
        <w:ind w:left="0"/>
        <w:jc w:val="both"/>
      </w:pPr>
      <w:r>
        <w:rPr>
          <w:rFonts w:ascii="Times New Roman"/>
          <w:b w:val="false"/>
          <w:i w:val="false"/>
          <w:color w:val="000000"/>
          <w:sz w:val="28"/>
        </w:rPr>
        <w:t>
      3) прибор для контроля состояния подшипников качения возможно совместить с измерителем вибрации (пункт 2960 настоящих Правил).</w:t>
      </w:r>
    </w:p>
    <w:bookmarkEnd w:id="8784"/>
    <w:bookmarkStart w:name="z8823" w:id="8785"/>
    <w:p>
      <w:pPr>
        <w:spacing w:after="0"/>
        <w:ind w:left="0"/>
        <w:jc w:val="both"/>
      </w:pPr>
      <w:r>
        <w:rPr>
          <w:rFonts w:ascii="Times New Roman"/>
          <w:b w:val="false"/>
          <w:i w:val="false"/>
          <w:color w:val="000000"/>
          <w:sz w:val="28"/>
        </w:rPr>
        <w:t>
      2970. Приборы для контроля состояния подшипников качения оснащают встроенным калибратором для проверки правильности показаний.</w:t>
      </w:r>
    </w:p>
    <w:bookmarkEnd w:id="8785"/>
    <w:bookmarkStart w:name="z8824" w:id="8786"/>
    <w:p>
      <w:pPr>
        <w:spacing w:after="0"/>
        <w:ind w:left="0"/>
        <w:jc w:val="both"/>
      </w:pPr>
      <w:r>
        <w:rPr>
          <w:rFonts w:ascii="Times New Roman"/>
          <w:b w:val="false"/>
          <w:i w:val="false"/>
          <w:color w:val="000000"/>
          <w:sz w:val="28"/>
        </w:rPr>
        <w:t>
      2971. Методики измерений позволяют отделять значения ударных импульсов, возникающих от подшипника качения, на фоне сигналов от других источников. Методики определяют места измерений на корпусе подшипника по максимальному значению ударных импульсов или предусматривают специальные устройства — измерительные болты — при отсутствии непосредственного доступа к корпусу подшипника.</w:t>
      </w:r>
    </w:p>
    <w:bookmarkEnd w:id="8786"/>
    <w:bookmarkStart w:name="z8825" w:id="8787"/>
    <w:p>
      <w:pPr>
        <w:spacing w:after="0"/>
        <w:ind w:left="0"/>
        <w:jc w:val="both"/>
      </w:pPr>
      <w:r>
        <w:rPr>
          <w:rFonts w:ascii="Times New Roman"/>
          <w:b w:val="false"/>
          <w:i w:val="false"/>
          <w:color w:val="000000"/>
          <w:sz w:val="28"/>
        </w:rPr>
        <w:t>
      2972. Нормы ударных импульсов, определяющие состояние смазки и повреждения подшипников качения, представляет разработчик системы мониторинга состояния.</w:t>
      </w:r>
    </w:p>
    <w:bookmarkEnd w:id="8787"/>
    <w:bookmarkStart w:name="z8826" w:id="8788"/>
    <w:p>
      <w:pPr>
        <w:spacing w:after="0"/>
        <w:ind w:left="0"/>
        <w:jc w:val="both"/>
      </w:pPr>
      <w:r>
        <w:rPr>
          <w:rFonts w:ascii="Times New Roman"/>
          <w:b w:val="false"/>
          <w:i w:val="false"/>
          <w:color w:val="000000"/>
          <w:sz w:val="28"/>
        </w:rPr>
        <w:t>
      2973. Представление результатов контроля осуществляется согласно пункту 2931 настоящих Правил.</w:t>
      </w:r>
    </w:p>
    <w:bookmarkEnd w:id="8788"/>
    <w:bookmarkStart w:name="z8827" w:id="8789"/>
    <w:p>
      <w:pPr>
        <w:spacing w:after="0"/>
        <w:ind w:left="0"/>
        <w:jc w:val="left"/>
      </w:pPr>
      <w:r>
        <w:rPr>
          <w:rFonts w:ascii="Times New Roman"/>
          <w:b/>
          <w:i w:val="false"/>
          <w:color w:val="000000"/>
        </w:rPr>
        <w:t xml:space="preserve"> Глава 227. Требования к анализу тенденции изменения диагностических параметров и прогнозу технического состояния</w:t>
      </w:r>
    </w:p>
    <w:bookmarkEnd w:id="8789"/>
    <w:p>
      <w:pPr>
        <w:spacing w:after="0"/>
        <w:ind w:left="0"/>
        <w:jc w:val="both"/>
      </w:pPr>
      <w:r>
        <w:rPr>
          <w:rFonts w:ascii="Times New Roman"/>
          <w:b w:val="false"/>
          <w:i w:val="false"/>
          <w:color w:val="ff0000"/>
          <w:sz w:val="28"/>
        </w:rPr>
        <w:t xml:space="preserve">
      Сноска. Заголовок главы 227 -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28" w:id="8790"/>
    <w:p>
      <w:pPr>
        <w:spacing w:after="0"/>
        <w:ind w:left="0"/>
        <w:jc w:val="both"/>
      </w:pPr>
      <w:r>
        <w:rPr>
          <w:rFonts w:ascii="Times New Roman"/>
          <w:b w:val="false"/>
          <w:i w:val="false"/>
          <w:color w:val="000000"/>
          <w:sz w:val="28"/>
        </w:rPr>
        <w:t>
      2974. Программа обработки значений диагностических параметров, измеряемых встроенными системами мониторинга технического состояния, предусматривает анализ тенденций и прогнозирование изменения параметров. Анализ тенденций изменения диагностических параметров, измеряемых переносными средствами контроля, проводится после каждого последнего измерения.</w:t>
      </w:r>
    </w:p>
    <w:bookmarkEnd w:id="8790"/>
    <w:bookmarkStart w:name="z8829" w:id="8791"/>
    <w:p>
      <w:pPr>
        <w:spacing w:after="0"/>
        <w:ind w:left="0"/>
        <w:jc w:val="both"/>
      </w:pPr>
      <w:r>
        <w:rPr>
          <w:rFonts w:ascii="Times New Roman"/>
          <w:b w:val="false"/>
          <w:i w:val="false"/>
          <w:color w:val="000000"/>
          <w:sz w:val="28"/>
        </w:rPr>
        <w:t>
      2975. Тренд параметров строится на базе измерений в период между очередными освидетельствованиями с частотой не менее 4 — 5 измерений в приблизительно равные промежутки времени.</w:t>
      </w:r>
    </w:p>
    <w:bookmarkEnd w:id="8791"/>
    <w:bookmarkStart w:name="z8830" w:id="8792"/>
    <w:p>
      <w:pPr>
        <w:spacing w:after="0"/>
        <w:ind w:left="0"/>
        <w:jc w:val="both"/>
      </w:pPr>
      <w:r>
        <w:rPr>
          <w:rFonts w:ascii="Times New Roman"/>
          <w:b w:val="false"/>
          <w:i w:val="false"/>
          <w:color w:val="000000"/>
          <w:sz w:val="28"/>
        </w:rPr>
        <w:t>
      2976. Прогнозирование технического состояния объекта контроля выполняется на предстоящий период между ежегодными освидетельствованиями. Прогноз делается либо по предыстории изменения параметров, определяющих техническое состояние, либо по известной скорости изменения параметров. После проведенного измерения выполняется корректировка прогноза.</w:t>
      </w:r>
    </w:p>
    <w:bookmarkEnd w:id="8792"/>
    <w:bookmarkStart w:name="z8831" w:id="8793"/>
    <w:p>
      <w:pPr>
        <w:spacing w:after="0"/>
        <w:ind w:left="0"/>
        <w:jc w:val="both"/>
      </w:pPr>
      <w:r>
        <w:rPr>
          <w:rFonts w:ascii="Times New Roman"/>
          <w:b w:val="false"/>
          <w:i w:val="false"/>
          <w:color w:val="000000"/>
          <w:sz w:val="28"/>
        </w:rPr>
        <w:t>
      2977. По результатам прогнозирования допускается внесить изменения в периодичность контроля технического состояния. Если результаты прогноза указывают на возможность достижения предельных значений контролируемых параметров, необходимо сократить интервалы между измерениями, выяснить причины ухудшения технического состояния и запланировать проведение технического обслуживания.</w:t>
      </w:r>
    </w:p>
    <w:bookmarkEnd w:id="8793"/>
    <w:bookmarkStart w:name="z8832" w:id="8794"/>
    <w:p>
      <w:pPr>
        <w:spacing w:after="0"/>
        <w:ind w:left="0"/>
        <w:jc w:val="both"/>
      </w:pPr>
      <w:r>
        <w:rPr>
          <w:rFonts w:ascii="Times New Roman"/>
          <w:b w:val="false"/>
          <w:i w:val="false"/>
          <w:color w:val="000000"/>
          <w:sz w:val="28"/>
        </w:rPr>
        <w:t>
      2978. Если состояние объекта описывается несколькими независимыми параметрами, прогнозирование проводится по каждому параметру. В этом случае необходимость проведения технического обслуживания определяется по достижению предельного значения одним из прогнозируемых параметров.</w:t>
      </w:r>
    </w:p>
    <w:bookmarkEnd w:id="8794"/>
    <w:bookmarkStart w:name="z8833" w:id="8795"/>
    <w:p>
      <w:pPr>
        <w:spacing w:after="0"/>
        <w:ind w:left="0"/>
        <w:jc w:val="both"/>
      </w:pPr>
      <w:r>
        <w:rPr>
          <w:rFonts w:ascii="Times New Roman"/>
          <w:b w:val="false"/>
          <w:i w:val="false"/>
          <w:color w:val="000000"/>
          <w:sz w:val="28"/>
        </w:rPr>
        <w:t>
      2979. Система мониторинга сопровождается методикой прогноза. При этом Регистру судоходства представляют данные, подтверждающие достоверность методики.</w:t>
      </w:r>
    </w:p>
    <w:bookmarkEnd w:id="8795"/>
    <w:bookmarkStart w:name="z8834" w:id="8796"/>
    <w:p>
      <w:pPr>
        <w:spacing w:after="0"/>
        <w:ind w:left="0"/>
        <w:jc w:val="left"/>
      </w:pPr>
      <w:r>
        <w:rPr>
          <w:rFonts w:ascii="Times New Roman"/>
          <w:b/>
          <w:i w:val="false"/>
          <w:color w:val="000000"/>
        </w:rPr>
        <w:t xml:space="preserve"> Раздел 9. Системы и трубопроводы</w:t>
      </w:r>
      <w:r>
        <w:br/>
      </w:r>
      <w:r>
        <w:rPr>
          <w:rFonts w:ascii="Times New Roman"/>
          <w:b/>
          <w:i w:val="false"/>
          <w:color w:val="000000"/>
        </w:rPr>
        <w:t>Подраздел 1. Общие положения</w:t>
      </w:r>
      <w:r>
        <w:br/>
      </w:r>
      <w:r>
        <w:rPr>
          <w:rFonts w:ascii="Times New Roman"/>
          <w:b/>
          <w:i w:val="false"/>
          <w:color w:val="000000"/>
        </w:rPr>
        <w:t>Глава 228. Область распространения</w:t>
      </w:r>
    </w:p>
    <w:bookmarkEnd w:id="8796"/>
    <w:p>
      <w:pPr>
        <w:spacing w:after="0"/>
        <w:ind w:left="0"/>
        <w:jc w:val="both"/>
      </w:pPr>
      <w:r>
        <w:rPr>
          <w:rFonts w:ascii="Times New Roman"/>
          <w:b w:val="false"/>
          <w:i w:val="false"/>
          <w:color w:val="ff0000"/>
          <w:sz w:val="28"/>
        </w:rPr>
        <w:t xml:space="preserve">
      Сноска. Заголовок главы 228 -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37" w:id="8797"/>
    <w:p>
      <w:pPr>
        <w:spacing w:after="0"/>
        <w:ind w:left="0"/>
        <w:jc w:val="both"/>
      </w:pPr>
      <w:r>
        <w:rPr>
          <w:rFonts w:ascii="Times New Roman"/>
          <w:b w:val="false"/>
          <w:i w:val="false"/>
          <w:color w:val="000000"/>
          <w:sz w:val="28"/>
        </w:rPr>
        <w:t>
      2980. Требования настоящего раздела Правил распространяются на следующие системы и трубопроводы, применяемые на судах:</w:t>
      </w:r>
    </w:p>
    <w:bookmarkEnd w:id="8797"/>
    <w:bookmarkStart w:name="z8838" w:id="8798"/>
    <w:p>
      <w:pPr>
        <w:spacing w:after="0"/>
        <w:ind w:left="0"/>
        <w:jc w:val="both"/>
      </w:pPr>
      <w:r>
        <w:rPr>
          <w:rFonts w:ascii="Times New Roman"/>
          <w:b w:val="false"/>
          <w:i w:val="false"/>
          <w:color w:val="000000"/>
          <w:sz w:val="28"/>
        </w:rPr>
        <w:t>
      1) осушительные и сточные;</w:t>
      </w:r>
    </w:p>
    <w:bookmarkEnd w:id="8798"/>
    <w:bookmarkStart w:name="z8839" w:id="8799"/>
    <w:p>
      <w:pPr>
        <w:spacing w:after="0"/>
        <w:ind w:left="0"/>
        <w:jc w:val="both"/>
      </w:pPr>
      <w:r>
        <w:rPr>
          <w:rFonts w:ascii="Times New Roman"/>
          <w:b w:val="false"/>
          <w:i w:val="false"/>
          <w:color w:val="000000"/>
          <w:sz w:val="28"/>
        </w:rPr>
        <w:t>
      2) балластные, керновые и дифферентные;</w:t>
      </w:r>
    </w:p>
    <w:bookmarkEnd w:id="8799"/>
    <w:bookmarkStart w:name="z8840" w:id="8800"/>
    <w:p>
      <w:pPr>
        <w:spacing w:after="0"/>
        <w:ind w:left="0"/>
        <w:jc w:val="both"/>
      </w:pPr>
      <w:r>
        <w:rPr>
          <w:rFonts w:ascii="Times New Roman"/>
          <w:b w:val="false"/>
          <w:i w:val="false"/>
          <w:color w:val="000000"/>
          <w:sz w:val="28"/>
        </w:rPr>
        <w:t>
      3) специальные системы наливных и комбинированных судов;</w:t>
      </w:r>
    </w:p>
    <w:bookmarkEnd w:id="8800"/>
    <w:bookmarkStart w:name="z8841" w:id="8801"/>
    <w:p>
      <w:pPr>
        <w:spacing w:after="0"/>
        <w:ind w:left="0"/>
        <w:jc w:val="both"/>
      </w:pPr>
      <w:r>
        <w:rPr>
          <w:rFonts w:ascii="Times New Roman"/>
          <w:b w:val="false"/>
          <w:i w:val="false"/>
          <w:color w:val="000000"/>
          <w:sz w:val="28"/>
        </w:rPr>
        <w:t>
      4) сжиженных газов;</w:t>
      </w:r>
    </w:p>
    <w:bookmarkEnd w:id="8801"/>
    <w:bookmarkStart w:name="z8842" w:id="8802"/>
    <w:p>
      <w:pPr>
        <w:spacing w:after="0"/>
        <w:ind w:left="0"/>
        <w:jc w:val="both"/>
      </w:pPr>
      <w:r>
        <w:rPr>
          <w:rFonts w:ascii="Times New Roman"/>
          <w:b w:val="false"/>
          <w:i w:val="false"/>
          <w:color w:val="000000"/>
          <w:sz w:val="28"/>
        </w:rPr>
        <w:t>
      5) с токсичными средами;</w:t>
      </w:r>
    </w:p>
    <w:bookmarkEnd w:id="8802"/>
    <w:bookmarkStart w:name="z8843" w:id="8803"/>
    <w:p>
      <w:pPr>
        <w:spacing w:after="0"/>
        <w:ind w:left="0"/>
        <w:jc w:val="both"/>
      </w:pPr>
      <w:r>
        <w:rPr>
          <w:rFonts w:ascii="Times New Roman"/>
          <w:b w:val="false"/>
          <w:i w:val="false"/>
          <w:color w:val="000000"/>
          <w:sz w:val="28"/>
        </w:rPr>
        <w:t>
      6) паропроводы и трубопроводы продувания;</w:t>
      </w:r>
    </w:p>
    <w:bookmarkEnd w:id="8803"/>
    <w:bookmarkStart w:name="z8844" w:id="8804"/>
    <w:p>
      <w:pPr>
        <w:spacing w:after="0"/>
        <w:ind w:left="0"/>
        <w:jc w:val="both"/>
      </w:pPr>
      <w:r>
        <w:rPr>
          <w:rFonts w:ascii="Times New Roman"/>
          <w:b w:val="false"/>
          <w:i w:val="false"/>
          <w:color w:val="000000"/>
          <w:sz w:val="28"/>
        </w:rPr>
        <w:t>
      7) питательные и конденсатные;</w:t>
      </w:r>
    </w:p>
    <w:bookmarkEnd w:id="8804"/>
    <w:bookmarkStart w:name="z8845" w:id="8805"/>
    <w:p>
      <w:pPr>
        <w:spacing w:after="0"/>
        <w:ind w:left="0"/>
        <w:jc w:val="both"/>
      </w:pPr>
      <w:r>
        <w:rPr>
          <w:rFonts w:ascii="Times New Roman"/>
          <w:b w:val="false"/>
          <w:i w:val="false"/>
          <w:color w:val="000000"/>
          <w:sz w:val="28"/>
        </w:rPr>
        <w:t>
      8) топлива;</w:t>
      </w:r>
    </w:p>
    <w:bookmarkEnd w:id="8805"/>
    <w:bookmarkStart w:name="z8846" w:id="8806"/>
    <w:p>
      <w:pPr>
        <w:spacing w:after="0"/>
        <w:ind w:left="0"/>
        <w:jc w:val="both"/>
      </w:pPr>
      <w:r>
        <w:rPr>
          <w:rFonts w:ascii="Times New Roman"/>
          <w:b w:val="false"/>
          <w:i w:val="false"/>
          <w:color w:val="000000"/>
          <w:sz w:val="28"/>
        </w:rPr>
        <w:t>
      9) смазочного масла;</w:t>
      </w:r>
    </w:p>
    <w:bookmarkEnd w:id="8806"/>
    <w:bookmarkStart w:name="z8847" w:id="8807"/>
    <w:p>
      <w:pPr>
        <w:spacing w:after="0"/>
        <w:ind w:left="0"/>
        <w:jc w:val="both"/>
      </w:pPr>
      <w:r>
        <w:rPr>
          <w:rFonts w:ascii="Times New Roman"/>
          <w:b w:val="false"/>
          <w:i w:val="false"/>
          <w:color w:val="000000"/>
          <w:sz w:val="28"/>
        </w:rPr>
        <w:t>
      10) водяного охлаждения;</w:t>
      </w:r>
    </w:p>
    <w:bookmarkEnd w:id="8807"/>
    <w:bookmarkStart w:name="z8848" w:id="8808"/>
    <w:p>
      <w:pPr>
        <w:spacing w:after="0"/>
        <w:ind w:left="0"/>
        <w:jc w:val="both"/>
      </w:pPr>
      <w:r>
        <w:rPr>
          <w:rFonts w:ascii="Times New Roman"/>
          <w:b w:val="false"/>
          <w:i w:val="false"/>
          <w:color w:val="000000"/>
          <w:sz w:val="28"/>
        </w:rPr>
        <w:t>
      11) сжатого воздуха;</w:t>
      </w:r>
    </w:p>
    <w:bookmarkEnd w:id="8808"/>
    <w:bookmarkStart w:name="z8849" w:id="8809"/>
    <w:p>
      <w:pPr>
        <w:spacing w:after="0"/>
        <w:ind w:left="0"/>
        <w:jc w:val="both"/>
      </w:pPr>
      <w:r>
        <w:rPr>
          <w:rFonts w:ascii="Times New Roman"/>
          <w:b w:val="false"/>
          <w:i w:val="false"/>
          <w:color w:val="000000"/>
          <w:sz w:val="28"/>
        </w:rPr>
        <w:t>
      12) воздушные, газоотводные, переливные, измерительные;</w:t>
      </w:r>
    </w:p>
    <w:bookmarkEnd w:id="8809"/>
    <w:bookmarkStart w:name="z8850" w:id="8810"/>
    <w:p>
      <w:pPr>
        <w:spacing w:after="0"/>
        <w:ind w:left="0"/>
        <w:jc w:val="both"/>
      </w:pPr>
      <w:r>
        <w:rPr>
          <w:rFonts w:ascii="Times New Roman"/>
          <w:b w:val="false"/>
          <w:i w:val="false"/>
          <w:color w:val="000000"/>
          <w:sz w:val="28"/>
        </w:rPr>
        <w:t>
      13) газовыпускные;</w:t>
      </w:r>
    </w:p>
    <w:bookmarkEnd w:id="8810"/>
    <w:bookmarkStart w:name="z8851" w:id="8811"/>
    <w:p>
      <w:pPr>
        <w:spacing w:after="0"/>
        <w:ind w:left="0"/>
        <w:jc w:val="both"/>
      </w:pPr>
      <w:r>
        <w:rPr>
          <w:rFonts w:ascii="Times New Roman"/>
          <w:b w:val="false"/>
          <w:i w:val="false"/>
          <w:color w:val="000000"/>
          <w:sz w:val="28"/>
        </w:rPr>
        <w:t>
      14) вентиляции;</w:t>
      </w:r>
    </w:p>
    <w:bookmarkEnd w:id="8811"/>
    <w:bookmarkStart w:name="z8852" w:id="8812"/>
    <w:p>
      <w:pPr>
        <w:spacing w:after="0"/>
        <w:ind w:left="0"/>
        <w:jc w:val="both"/>
      </w:pPr>
      <w:r>
        <w:rPr>
          <w:rFonts w:ascii="Times New Roman"/>
          <w:b w:val="false"/>
          <w:i w:val="false"/>
          <w:color w:val="000000"/>
          <w:sz w:val="28"/>
        </w:rPr>
        <w:t>
      15) открытые паропроводы от предохранительных клапанов;</w:t>
      </w:r>
    </w:p>
    <w:bookmarkEnd w:id="8812"/>
    <w:bookmarkStart w:name="z8853" w:id="8813"/>
    <w:p>
      <w:pPr>
        <w:spacing w:after="0"/>
        <w:ind w:left="0"/>
        <w:jc w:val="both"/>
      </w:pPr>
      <w:r>
        <w:rPr>
          <w:rFonts w:ascii="Times New Roman"/>
          <w:b w:val="false"/>
          <w:i w:val="false"/>
          <w:color w:val="000000"/>
          <w:sz w:val="28"/>
        </w:rPr>
        <w:t>
      16) очистки и мойки танков;</w:t>
      </w:r>
    </w:p>
    <w:bookmarkEnd w:id="8813"/>
    <w:bookmarkStart w:name="z8854" w:id="8814"/>
    <w:p>
      <w:pPr>
        <w:spacing w:after="0"/>
        <w:ind w:left="0"/>
        <w:jc w:val="both"/>
      </w:pPr>
      <w:r>
        <w:rPr>
          <w:rFonts w:ascii="Times New Roman"/>
          <w:b w:val="false"/>
          <w:i w:val="false"/>
          <w:color w:val="000000"/>
          <w:sz w:val="28"/>
        </w:rPr>
        <w:t>
      17) гидравлических приводов;</w:t>
      </w:r>
    </w:p>
    <w:bookmarkEnd w:id="8814"/>
    <w:bookmarkStart w:name="z8855" w:id="8815"/>
    <w:p>
      <w:pPr>
        <w:spacing w:after="0"/>
        <w:ind w:left="0"/>
        <w:jc w:val="both"/>
      </w:pPr>
      <w:r>
        <w:rPr>
          <w:rFonts w:ascii="Times New Roman"/>
          <w:b w:val="false"/>
          <w:i w:val="false"/>
          <w:color w:val="000000"/>
          <w:sz w:val="28"/>
        </w:rPr>
        <w:t>
      18) с органическими теплоносителями.</w:t>
      </w:r>
    </w:p>
    <w:bookmarkEnd w:id="8815"/>
    <w:bookmarkStart w:name="z8856" w:id="8816"/>
    <w:p>
      <w:pPr>
        <w:spacing w:after="0"/>
        <w:ind w:left="0"/>
        <w:jc w:val="both"/>
      </w:pPr>
      <w:r>
        <w:rPr>
          <w:rFonts w:ascii="Times New Roman"/>
          <w:b w:val="false"/>
          <w:i w:val="false"/>
          <w:color w:val="000000"/>
          <w:sz w:val="28"/>
        </w:rPr>
        <w:t>
      Специальные требования к системам, не указанным выше, приведены в соответствующих разделах Правил.</w:t>
      </w:r>
    </w:p>
    <w:bookmarkEnd w:id="8816"/>
    <w:bookmarkStart w:name="z8857" w:id="8817"/>
    <w:p>
      <w:pPr>
        <w:spacing w:after="0"/>
        <w:ind w:left="0"/>
        <w:jc w:val="both"/>
      </w:pPr>
      <w:r>
        <w:rPr>
          <w:rFonts w:ascii="Times New Roman"/>
          <w:b w:val="false"/>
          <w:i w:val="false"/>
          <w:color w:val="000000"/>
          <w:sz w:val="28"/>
        </w:rPr>
        <w:t>
      Системы и трубопроводы стоечных судов отвечают требованиям настоящего раздела Правил в той мере, насколько они применимы и достаточны, если ниже не оговорено иное.</w:t>
      </w:r>
    </w:p>
    <w:bookmarkEnd w:id="8817"/>
    <w:bookmarkStart w:name="z8858" w:id="8818"/>
    <w:p>
      <w:pPr>
        <w:spacing w:after="0"/>
        <w:ind w:left="0"/>
        <w:jc w:val="both"/>
      </w:pPr>
      <w:r>
        <w:rPr>
          <w:rFonts w:ascii="Times New Roman"/>
          <w:b w:val="false"/>
          <w:i w:val="false"/>
          <w:color w:val="000000"/>
          <w:sz w:val="28"/>
        </w:rPr>
        <w:t>
      2981. Жидкое топливо, применяемое на судах, отвечает требованиям пункта 2667 настоящих Правил.</w:t>
      </w:r>
    </w:p>
    <w:bookmarkEnd w:id="8818"/>
    <w:bookmarkStart w:name="z8859" w:id="8819"/>
    <w:p>
      <w:pPr>
        <w:spacing w:after="0"/>
        <w:ind w:left="0"/>
        <w:jc w:val="both"/>
      </w:pPr>
      <w:r>
        <w:rPr>
          <w:rFonts w:ascii="Times New Roman"/>
          <w:b w:val="false"/>
          <w:i w:val="false"/>
          <w:color w:val="000000"/>
          <w:sz w:val="28"/>
        </w:rPr>
        <w:t>
      2982. Механизмы и другие элементы систем, указанных в пункте 3207 настоящих Правил, сохраняют работоспособность в условиях окружающей среды, приведенных в главе 175 настоящих Правил.</w:t>
      </w:r>
    </w:p>
    <w:bookmarkEnd w:id="8819"/>
    <w:bookmarkStart w:name="z8860" w:id="8820"/>
    <w:p>
      <w:pPr>
        <w:spacing w:after="0"/>
        <w:ind w:left="0"/>
        <w:jc w:val="both"/>
      </w:pPr>
      <w:r>
        <w:rPr>
          <w:rFonts w:ascii="Times New Roman"/>
          <w:b w:val="false"/>
          <w:i w:val="false"/>
          <w:color w:val="000000"/>
          <w:sz w:val="28"/>
        </w:rPr>
        <w:t>
      2983. Насосы, вентиляторы, компрессоры и их электроприводы, применяемые в системах, которые регламентируются требованиями настоящей части, должны отвечать требованиям разделов 11 и 13 настоящих Правил.</w:t>
      </w:r>
    </w:p>
    <w:bookmarkEnd w:id="8820"/>
    <w:bookmarkStart w:name="z8861" w:id="8821"/>
    <w:p>
      <w:pPr>
        <w:spacing w:after="0"/>
        <w:ind w:left="0"/>
        <w:jc w:val="left"/>
      </w:pPr>
      <w:r>
        <w:rPr>
          <w:rFonts w:ascii="Times New Roman"/>
          <w:b/>
          <w:i w:val="false"/>
          <w:color w:val="000000"/>
        </w:rPr>
        <w:t xml:space="preserve"> Глава 229. Объем освидетельствований</w:t>
      </w:r>
    </w:p>
    <w:bookmarkEnd w:id="8821"/>
    <w:p>
      <w:pPr>
        <w:spacing w:after="0"/>
        <w:ind w:left="0"/>
        <w:jc w:val="both"/>
      </w:pPr>
      <w:r>
        <w:rPr>
          <w:rFonts w:ascii="Times New Roman"/>
          <w:b w:val="false"/>
          <w:i w:val="false"/>
          <w:color w:val="ff0000"/>
          <w:sz w:val="28"/>
        </w:rPr>
        <w:t xml:space="preserve">
      Сноска. Заголовок главы 245 -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62" w:id="8822"/>
    <w:p>
      <w:pPr>
        <w:spacing w:after="0"/>
        <w:ind w:left="0"/>
        <w:jc w:val="both"/>
      </w:pPr>
      <w:r>
        <w:rPr>
          <w:rFonts w:ascii="Times New Roman"/>
          <w:b w:val="false"/>
          <w:i w:val="false"/>
          <w:color w:val="000000"/>
          <w:sz w:val="28"/>
        </w:rPr>
        <w:t>
      2984. Общие положения, относящиеся к порядку классификации, освидетельствованиям при постройке, а также требования к технической документации, предъявляемой на рассмотрение Регистру судоходства, изложены в части 1 настоящих Правил.</w:t>
      </w:r>
    </w:p>
    <w:bookmarkEnd w:id="8822"/>
    <w:bookmarkStart w:name="z8863" w:id="8823"/>
    <w:p>
      <w:pPr>
        <w:spacing w:after="0"/>
        <w:ind w:left="0"/>
        <w:jc w:val="both"/>
      </w:pPr>
      <w:r>
        <w:rPr>
          <w:rFonts w:ascii="Times New Roman"/>
          <w:b w:val="false"/>
          <w:i w:val="false"/>
          <w:color w:val="000000"/>
          <w:sz w:val="28"/>
        </w:rPr>
        <w:t>
      2985. По виду проводимой среды и ее параметрам трубопроводы подразделяются на три класса в соответствии с приложениями 329 и 328 настоящих Правил. В зависимости от класса трубопровода определяются виды испытаний, типы соединений, режимы сварки и термообработки.</w:t>
      </w:r>
    </w:p>
    <w:bookmarkEnd w:id="8823"/>
    <w:bookmarkStart w:name="z8864" w:id="8824"/>
    <w:p>
      <w:pPr>
        <w:spacing w:after="0"/>
        <w:ind w:left="0"/>
        <w:jc w:val="both"/>
      </w:pPr>
      <w:r>
        <w:rPr>
          <w:rFonts w:ascii="Times New Roman"/>
          <w:b w:val="false"/>
          <w:i w:val="false"/>
          <w:color w:val="000000"/>
          <w:sz w:val="28"/>
        </w:rPr>
        <w:t>
      2986. Трубы, арматура трубопроводов классов I и II, донная и бортовая, дистанционно-управляемая, газоотводная, закрытия воздушных труб, гибкие соединения (включая компенсаторы), а также арматура, устанавливаемая на форпиковой переборке, подлежат освидетельствованию Регистром судоходства в процессе их изготовления.</w:t>
      </w:r>
    </w:p>
    <w:bookmarkEnd w:id="8824"/>
    <w:bookmarkStart w:name="z8865" w:id="8825"/>
    <w:p>
      <w:pPr>
        <w:spacing w:after="0"/>
        <w:ind w:left="0"/>
        <w:jc w:val="left"/>
      </w:pPr>
      <w:r>
        <w:rPr>
          <w:rFonts w:ascii="Times New Roman"/>
          <w:b/>
          <w:i w:val="false"/>
          <w:color w:val="000000"/>
        </w:rPr>
        <w:t xml:space="preserve"> Глава 230. Защита и изоляция трубопроводов</w:t>
      </w:r>
    </w:p>
    <w:bookmarkEnd w:id="8825"/>
    <w:p>
      <w:pPr>
        <w:spacing w:after="0"/>
        <w:ind w:left="0"/>
        <w:jc w:val="both"/>
      </w:pPr>
      <w:r>
        <w:rPr>
          <w:rFonts w:ascii="Times New Roman"/>
          <w:b w:val="false"/>
          <w:i w:val="false"/>
          <w:color w:val="ff0000"/>
          <w:sz w:val="28"/>
        </w:rPr>
        <w:t xml:space="preserve">
      Сноска. Заголовок главы 246 -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66" w:id="8826"/>
    <w:p>
      <w:pPr>
        <w:spacing w:after="0"/>
        <w:ind w:left="0"/>
        <w:jc w:val="left"/>
      </w:pPr>
      <w:r>
        <w:rPr>
          <w:rFonts w:ascii="Times New Roman"/>
          <w:b/>
          <w:i w:val="false"/>
          <w:color w:val="000000"/>
        </w:rPr>
        <w:t xml:space="preserve"> Параграф 1. Конструктивные меры по защите от коррозии.</w:t>
      </w:r>
      <w:r>
        <w:br/>
      </w:r>
      <w:r>
        <w:rPr>
          <w:rFonts w:ascii="Times New Roman"/>
          <w:b/>
          <w:i w:val="false"/>
          <w:color w:val="000000"/>
        </w:rPr>
        <w:t>Защита от общей равномерной коррозии.</w:t>
      </w:r>
      <w:r>
        <w:br/>
      </w:r>
      <w:r>
        <w:rPr>
          <w:rFonts w:ascii="Times New Roman"/>
          <w:b/>
          <w:i w:val="false"/>
          <w:color w:val="000000"/>
        </w:rPr>
        <w:t>Защита от избыточного давления.</w:t>
      </w:r>
    </w:p>
    <w:bookmarkEnd w:id="8826"/>
    <w:bookmarkStart w:name="z8867" w:id="8827"/>
    <w:p>
      <w:pPr>
        <w:spacing w:after="0"/>
        <w:ind w:left="0"/>
        <w:jc w:val="both"/>
      </w:pPr>
      <w:r>
        <w:rPr>
          <w:rFonts w:ascii="Times New Roman"/>
          <w:b w:val="false"/>
          <w:i w:val="false"/>
          <w:color w:val="000000"/>
          <w:sz w:val="28"/>
        </w:rPr>
        <w:t>
      2987. При проектировании и монтаже судовых трубопроводов забортной воды с целью уменьшения их коррозионно-эрозионного износа учитывается следующее:</w:t>
      </w:r>
    </w:p>
    <w:bookmarkEnd w:id="8827"/>
    <w:bookmarkStart w:name="z8868" w:id="8828"/>
    <w:p>
      <w:pPr>
        <w:spacing w:after="0"/>
        <w:ind w:left="0"/>
        <w:jc w:val="both"/>
      </w:pPr>
      <w:r>
        <w:rPr>
          <w:rFonts w:ascii="Times New Roman"/>
          <w:b w:val="false"/>
          <w:i w:val="false"/>
          <w:color w:val="000000"/>
          <w:sz w:val="28"/>
        </w:rPr>
        <w:t>
      1) число разъемных соединений должно быть минимальным. Разъемные соединения располагаются в местах, доступных для осмотра, обслуживания и ремонта;</w:t>
      </w:r>
    </w:p>
    <w:bookmarkEnd w:id="8828"/>
    <w:bookmarkStart w:name="z8869" w:id="8829"/>
    <w:p>
      <w:pPr>
        <w:spacing w:after="0"/>
        <w:ind w:left="0"/>
        <w:jc w:val="both"/>
      </w:pPr>
      <w:r>
        <w:rPr>
          <w:rFonts w:ascii="Times New Roman"/>
          <w:b w:val="false"/>
          <w:i w:val="false"/>
          <w:color w:val="000000"/>
          <w:sz w:val="28"/>
        </w:rPr>
        <w:t>
      2) число запорных устройств на трубопроводах должно быть минимальным при условии нормального функционирования системы. Арматура располагается в местах, доступных для осмотра, обслуживания и ремонта;</w:t>
      </w:r>
    </w:p>
    <w:bookmarkEnd w:id="8829"/>
    <w:bookmarkStart w:name="z8870" w:id="8830"/>
    <w:p>
      <w:pPr>
        <w:spacing w:after="0"/>
        <w:ind w:left="0"/>
        <w:jc w:val="both"/>
      </w:pPr>
      <w:r>
        <w:rPr>
          <w:rFonts w:ascii="Times New Roman"/>
          <w:b w:val="false"/>
          <w:i w:val="false"/>
          <w:color w:val="000000"/>
          <w:sz w:val="28"/>
        </w:rPr>
        <w:t>
      3) трубопроводы выполняются с минимальным числом погибов. Радиусы погибов труб следует принимать не менее 2,5 их наружных диаметров. При необходимости применения погибов с меньшими радиусами следует использовать специальные фасонные элементы;</w:t>
      </w:r>
    </w:p>
    <w:bookmarkEnd w:id="8830"/>
    <w:bookmarkStart w:name="z8871" w:id="8831"/>
    <w:p>
      <w:pPr>
        <w:spacing w:after="0"/>
        <w:ind w:left="0"/>
        <w:jc w:val="both"/>
      </w:pPr>
      <w:r>
        <w:rPr>
          <w:rFonts w:ascii="Times New Roman"/>
          <w:b w:val="false"/>
          <w:i w:val="false"/>
          <w:color w:val="000000"/>
          <w:sz w:val="28"/>
        </w:rPr>
        <w:t>
      4) применение сварных колен из секторов для труб с условным диаметром менее 200 мм не допускается. Число секторов для колена 90</w:t>
      </w:r>
      <w:r>
        <w:rPr>
          <w:rFonts w:ascii="Times New Roman"/>
          <w:b w:val="false"/>
          <w:i w:val="false"/>
          <w:color w:val="000000"/>
          <w:vertAlign w:val="superscript"/>
        </w:rPr>
        <w:t>o</w:t>
      </w:r>
      <w:r>
        <w:rPr>
          <w:rFonts w:ascii="Times New Roman"/>
          <w:b w:val="false"/>
          <w:i w:val="false"/>
          <w:color w:val="000000"/>
          <w:sz w:val="28"/>
        </w:rPr>
        <w:t xml:space="preserve"> должно быть не менее трех. Применение изогнутых или сварных фасонных элементов для изготовления бортовых или кингстонных патрубков не допускается (пункт 3386 настоящих Правил);</w:t>
      </w:r>
    </w:p>
    <w:bookmarkEnd w:id="8831"/>
    <w:bookmarkStart w:name="z8872" w:id="8832"/>
    <w:p>
      <w:pPr>
        <w:spacing w:after="0"/>
        <w:ind w:left="0"/>
        <w:jc w:val="both"/>
      </w:pPr>
      <w:r>
        <w:rPr>
          <w:rFonts w:ascii="Times New Roman"/>
          <w:b w:val="false"/>
          <w:i w:val="false"/>
          <w:color w:val="000000"/>
          <w:sz w:val="28"/>
        </w:rPr>
        <w:t>
      5) применение тройников, отростков, ответвительных штуцеров, приварышей и других элементов не приводит к уменьшению проходного сечения магистрали в местах их установки;</w:t>
      </w:r>
    </w:p>
    <w:bookmarkEnd w:id="8832"/>
    <w:bookmarkStart w:name="z8873" w:id="8833"/>
    <w:p>
      <w:pPr>
        <w:spacing w:after="0"/>
        <w:ind w:left="0"/>
        <w:jc w:val="both"/>
      </w:pPr>
      <w:r>
        <w:rPr>
          <w:rFonts w:ascii="Times New Roman"/>
          <w:b w:val="false"/>
          <w:i w:val="false"/>
          <w:color w:val="000000"/>
          <w:sz w:val="28"/>
        </w:rPr>
        <w:t>
      6) средняя расчетная скорость потока, определенная по формуле (759) настоящих Правил, не превышает значений, указанных в приложении 330 настоящих Правил.</w:t>
      </w:r>
    </w:p>
    <w:bookmarkEnd w:id="8833"/>
    <w:bookmarkStart w:name="z8874" w:id="8834"/>
    <w:p>
      <w:pPr>
        <w:spacing w:after="0"/>
        <w:ind w:left="0"/>
        <w:jc w:val="both"/>
      </w:pPr>
      <w:r>
        <w:rPr>
          <w:rFonts w:ascii="Times New Roman"/>
          <w:b w:val="false"/>
          <w:i w:val="false"/>
          <w:color w:val="000000"/>
          <w:sz w:val="28"/>
        </w:rPr>
        <w:t xml:space="preserve">
      Соответствие настоящим требованиям средней скорости потока </w:t>
      </w:r>
      <w:r>
        <w:rPr>
          <w:rFonts w:ascii="Times New Roman"/>
          <w:b w:val="false"/>
          <w:i/>
          <w:color w:val="000000"/>
          <w:sz w:val="28"/>
        </w:rPr>
        <w:t>V</w:t>
      </w:r>
      <w:r>
        <w:rPr>
          <w:rFonts w:ascii="Times New Roman"/>
          <w:b w:val="false"/>
          <w:i w:val="false"/>
          <w:color w:val="000000"/>
          <w:vertAlign w:val="subscript"/>
        </w:rPr>
        <w:t>cp</w:t>
      </w:r>
      <w:r>
        <w:rPr>
          <w:rFonts w:ascii="Times New Roman"/>
          <w:b w:val="false"/>
          <w:i w:val="false"/>
          <w:color w:val="000000"/>
          <w:sz w:val="28"/>
        </w:rPr>
        <w:t xml:space="preserve"> в упомянутых выше участках трубопроводов, а также межкингстонных каналах подтверждается расчетом по формуле:</w:t>
      </w:r>
    </w:p>
    <w:bookmarkEnd w:id="883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cp</w:t>
      </w:r>
      <w:r>
        <w:rPr>
          <w:rFonts w:ascii="Times New Roman"/>
          <w:b w:val="false"/>
          <w:i w:val="false"/>
          <w:color w:val="000000"/>
          <w:sz w:val="28"/>
        </w:rPr>
        <w:t xml:space="preserve"> = 354</w:t>
      </w:r>
    </w:p>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3"/>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perscript"/>
        </w:rPr>
        <w:t>2</w:t>
      </w:r>
      <w:r>
        <w:rPr>
          <w:rFonts w:ascii="Times New Roman"/>
          <w:b w:val="false"/>
          <w:i w:val="false"/>
          <w:color w:val="000000"/>
          <w:sz w:val="28"/>
        </w:rPr>
        <w:t>,                          (759)</w:t>
      </w:r>
      <w:r>
        <w:br/>
      </w:r>
      <w:r>
        <w:rPr>
          <w:rFonts w:ascii="Times New Roman"/>
          <w:b w:val="false"/>
          <w:i w:val="false"/>
          <w:color w:val="000000"/>
          <w:sz w:val="28"/>
        </w:rPr>
        <w:t>
</w:t>
      </w:r>
    </w:p>
    <w:bookmarkStart w:name="z8875" w:id="8835"/>
    <w:p>
      <w:pPr>
        <w:spacing w:after="0"/>
        <w:ind w:left="0"/>
        <w:jc w:val="both"/>
      </w:pPr>
      <w:r>
        <w:rPr>
          <w:rFonts w:ascii="Times New Roman"/>
          <w:b w:val="false"/>
          <w:i w:val="false"/>
          <w:color w:val="000000"/>
          <w:sz w:val="28"/>
        </w:rPr>
        <w:t xml:space="preserve">
      где </w:t>
      </w:r>
    </w:p>
    <w:bookmarkEnd w:id="8835"/>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4"/>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максимальный расход на расчетном участке, м</w:t>
      </w:r>
      <w:r>
        <w:rPr>
          <w:rFonts w:ascii="Times New Roman"/>
          <w:b w:val="false"/>
          <w:i w:val="false"/>
          <w:color w:val="000000"/>
          <w:vertAlign w:val="superscript"/>
        </w:rPr>
        <w:t>3</w:t>
      </w:r>
      <w:r>
        <w:rPr>
          <w:rFonts w:ascii="Times New Roman"/>
          <w:b w:val="false"/>
          <w:i w:val="false"/>
          <w:color w:val="000000"/>
          <w:sz w:val="28"/>
        </w:rPr>
        <w:t>/ч;</w:t>
      </w:r>
      <w:r>
        <w:br/>
      </w:r>
      <w:r>
        <w:rPr>
          <w:rFonts w:ascii="Times New Roman"/>
          <w:b w:val="false"/>
          <w:i w:val="false"/>
          <w:color w:val="000000"/>
          <w:sz w:val="28"/>
        </w:rPr>
        <w:t>
</w:t>
      </w:r>
    </w:p>
    <w:bookmarkStart w:name="z8876" w:id="883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внутренний диаметр трубопровода, мм.</w:t>
      </w:r>
    </w:p>
    <w:bookmarkEnd w:id="8836"/>
    <w:bookmarkStart w:name="z8877" w:id="8837"/>
    <w:p>
      <w:pPr>
        <w:spacing w:after="0"/>
        <w:ind w:left="0"/>
        <w:jc w:val="both"/>
      </w:pPr>
      <w:r>
        <w:rPr>
          <w:rFonts w:ascii="Times New Roman"/>
          <w:b w:val="false"/>
          <w:i w:val="false"/>
          <w:color w:val="000000"/>
          <w:sz w:val="28"/>
        </w:rPr>
        <w:t>
      2988. Стальные трубы забортной воды, а также воздушные и измерительные трубы балластных цистерн после гибки и сварки защищают от коррозии способом, одобренным Регистром судоходства. В качестве защиты допускается применять:</w:t>
      </w:r>
    </w:p>
    <w:bookmarkEnd w:id="8837"/>
    <w:bookmarkStart w:name="z8878" w:id="8838"/>
    <w:p>
      <w:pPr>
        <w:spacing w:after="0"/>
        <w:ind w:left="0"/>
        <w:jc w:val="both"/>
      </w:pPr>
      <w:r>
        <w:rPr>
          <w:rFonts w:ascii="Times New Roman"/>
          <w:b w:val="false"/>
          <w:i w:val="false"/>
          <w:color w:val="000000"/>
          <w:sz w:val="28"/>
        </w:rPr>
        <w:t>
      1) цинковое покрытие, наносимое горячим способом. Толщина слоя цинкового покрытия должна быть не менее 50 мк. В зависимости от назначения трубопроводов Регистр судоходства требует увеличения толщины покрытия;</w:t>
      </w:r>
    </w:p>
    <w:bookmarkEnd w:id="8838"/>
    <w:bookmarkStart w:name="z8879" w:id="8839"/>
    <w:p>
      <w:pPr>
        <w:spacing w:after="0"/>
        <w:ind w:left="0"/>
        <w:jc w:val="both"/>
      </w:pPr>
      <w:r>
        <w:rPr>
          <w:rFonts w:ascii="Times New Roman"/>
          <w:b w:val="false"/>
          <w:i w:val="false"/>
          <w:color w:val="000000"/>
          <w:sz w:val="28"/>
        </w:rPr>
        <w:t>
      2) цинконаполненные лакокрасочные покрытия толщиной не менее 120 мк;</w:t>
      </w:r>
    </w:p>
    <w:bookmarkEnd w:id="8839"/>
    <w:bookmarkStart w:name="z8880" w:id="8840"/>
    <w:p>
      <w:pPr>
        <w:spacing w:after="0"/>
        <w:ind w:left="0"/>
        <w:jc w:val="both"/>
      </w:pPr>
      <w:r>
        <w:rPr>
          <w:rFonts w:ascii="Times New Roman"/>
          <w:b w:val="false"/>
          <w:i w:val="false"/>
          <w:color w:val="000000"/>
          <w:sz w:val="28"/>
        </w:rPr>
        <w:t>
      3) эффективные лакокрасочные защитные покрытия (эпоксидное или аналогичное ему по водостойкости).</w:t>
      </w:r>
    </w:p>
    <w:bookmarkEnd w:id="8840"/>
    <w:bookmarkStart w:name="z8881" w:id="8841"/>
    <w:p>
      <w:pPr>
        <w:spacing w:after="0"/>
        <w:ind w:left="0"/>
        <w:jc w:val="both"/>
      </w:pPr>
      <w:r>
        <w:rPr>
          <w:rFonts w:ascii="Times New Roman"/>
          <w:b w:val="false"/>
          <w:i w:val="false"/>
          <w:color w:val="000000"/>
          <w:sz w:val="28"/>
        </w:rPr>
        <w:t>
      При выборе типа покрытия следует принимать во внимание его стойкость к среде, транспортируемой системой, в соответствии с условиями эксплуатации трубопровода.</w:t>
      </w:r>
    </w:p>
    <w:bookmarkEnd w:id="8841"/>
    <w:bookmarkStart w:name="z8882" w:id="8842"/>
    <w:p>
      <w:pPr>
        <w:spacing w:after="0"/>
        <w:ind w:left="0"/>
        <w:jc w:val="both"/>
      </w:pPr>
      <w:r>
        <w:rPr>
          <w:rFonts w:ascii="Times New Roman"/>
          <w:b w:val="false"/>
          <w:i w:val="false"/>
          <w:color w:val="000000"/>
          <w:sz w:val="28"/>
        </w:rPr>
        <w:t>
      2989. Допускаются алюминиевые покрытия трубопроводов в балластных танках, в грузовых инертизируемых танках, а также во взрывоопасных зонах на открытой палубе при условии защиты их от ударов. Применение цинкового или другого металлического покрытия труб не освобождает от мер по защите трубопроводов от контактной коррозии.</w:t>
      </w:r>
    </w:p>
    <w:bookmarkEnd w:id="8842"/>
    <w:bookmarkStart w:name="z8883" w:id="8843"/>
    <w:p>
      <w:pPr>
        <w:spacing w:after="0"/>
        <w:ind w:left="0"/>
        <w:jc w:val="both"/>
      </w:pPr>
      <w:r>
        <w:rPr>
          <w:rFonts w:ascii="Times New Roman"/>
          <w:b w:val="false"/>
          <w:i w:val="false"/>
          <w:color w:val="000000"/>
          <w:sz w:val="28"/>
        </w:rPr>
        <w:t>
      2990. Трубопроводы, в которых возможно возникновение давления, превышающее расчетное, оборудуются предохранительными устройствами, которые исключают повышение давления в трубопроводах выше расчетного.</w:t>
      </w:r>
    </w:p>
    <w:bookmarkEnd w:id="8843"/>
    <w:bookmarkStart w:name="z8884" w:id="8844"/>
    <w:p>
      <w:pPr>
        <w:spacing w:after="0"/>
        <w:ind w:left="0"/>
        <w:jc w:val="both"/>
      </w:pPr>
      <w:r>
        <w:rPr>
          <w:rFonts w:ascii="Times New Roman"/>
          <w:b w:val="false"/>
          <w:i w:val="false"/>
          <w:color w:val="000000"/>
          <w:sz w:val="28"/>
        </w:rPr>
        <w:t>
      Отвод жидкости от предохранительных клапанов насосов, перекачивающих воспламеняющиеся жидкости, направляется во всасывающую полость насоса или приемный трубопровод. Указанное требование не распространяется на центробежные насосы.</w:t>
      </w:r>
    </w:p>
    <w:bookmarkEnd w:id="8844"/>
    <w:bookmarkStart w:name="z8885" w:id="8845"/>
    <w:p>
      <w:pPr>
        <w:spacing w:after="0"/>
        <w:ind w:left="0"/>
        <w:jc w:val="both"/>
      </w:pPr>
      <w:r>
        <w:rPr>
          <w:rFonts w:ascii="Times New Roman"/>
          <w:b w:val="false"/>
          <w:i w:val="false"/>
          <w:color w:val="000000"/>
          <w:sz w:val="28"/>
        </w:rPr>
        <w:t>
      2991. Если на трубопроводе предусматривается редукционный клапан, за ним устанавливается манометр и предохранительный клапан.</w:t>
      </w:r>
    </w:p>
    <w:bookmarkEnd w:id="8845"/>
    <w:bookmarkStart w:name="z8886" w:id="8846"/>
    <w:p>
      <w:pPr>
        <w:spacing w:after="0"/>
        <w:ind w:left="0"/>
        <w:jc w:val="both"/>
      </w:pPr>
      <w:r>
        <w:rPr>
          <w:rFonts w:ascii="Times New Roman"/>
          <w:b w:val="false"/>
          <w:i w:val="false"/>
          <w:color w:val="000000"/>
          <w:sz w:val="28"/>
        </w:rPr>
        <w:t>
      Допускается устройство байпаса редукционного клапана.</w:t>
      </w:r>
    </w:p>
    <w:bookmarkEnd w:id="8846"/>
    <w:bookmarkStart w:name="z8887" w:id="8847"/>
    <w:p>
      <w:pPr>
        <w:spacing w:after="0"/>
        <w:ind w:left="0"/>
        <w:jc w:val="both"/>
      </w:pPr>
      <w:r>
        <w:rPr>
          <w:rFonts w:ascii="Times New Roman"/>
          <w:b w:val="false"/>
          <w:i w:val="false"/>
          <w:color w:val="000000"/>
          <w:sz w:val="28"/>
        </w:rPr>
        <w:t>
      2992. Необходимо чтобы изоляция трубопроводов отвечала требованиям глав 186 и 568 настоящих Правил.</w:t>
      </w:r>
    </w:p>
    <w:bookmarkEnd w:id="8847"/>
    <w:bookmarkStart w:name="z8888" w:id="8848"/>
    <w:p>
      <w:pPr>
        <w:spacing w:after="0"/>
        <w:ind w:left="0"/>
        <w:jc w:val="left"/>
      </w:pPr>
      <w:r>
        <w:rPr>
          <w:rFonts w:ascii="Times New Roman"/>
          <w:b/>
          <w:i w:val="false"/>
          <w:color w:val="000000"/>
        </w:rPr>
        <w:t xml:space="preserve"> Параграф 2. Защита от контактной коррозии</w:t>
      </w:r>
    </w:p>
    <w:bookmarkEnd w:id="8848"/>
    <w:bookmarkStart w:name="z8889" w:id="8849"/>
    <w:p>
      <w:pPr>
        <w:spacing w:after="0"/>
        <w:ind w:left="0"/>
        <w:jc w:val="both"/>
      </w:pPr>
      <w:r>
        <w:rPr>
          <w:rFonts w:ascii="Times New Roman"/>
          <w:b w:val="false"/>
          <w:i w:val="false"/>
          <w:color w:val="000000"/>
          <w:sz w:val="28"/>
        </w:rPr>
        <w:t>
      2993. При соединении труб из разнородных металлов в системах забортной воды принимают один из следующих способов защиты от контактной коррозии: нанесение защитного покрытия на внутренние поверхности трубопроводов, электроизоляция, протекторная защита, применение "жертвенных" патрубков (пункт 3004 настоящих Правил).</w:t>
      </w:r>
    </w:p>
    <w:bookmarkEnd w:id="8849"/>
    <w:bookmarkStart w:name="z8890" w:id="8850"/>
    <w:p>
      <w:pPr>
        <w:spacing w:after="0"/>
        <w:ind w:left="0"/>
        <w:jc w:val="both"/>
      </w:pPr>
      <w:r>
        <w:rPr>
          <w:rFonts w:ascii="Times New Roman"/>
          <w:b w:val="false"/>
          <w:i w:val="false"/>
          <w:color w:val="000000"/>
          <w:sz w:val="28"/>
        </w:rPr>
        <w:t>
      2994. Защитное гидроизолирующее покрытие (полимерное, лакокрасочное или другое одобренного Регистром судоходства типа) наносится на поверхности контактирующих металлов, омываемых забортной водой, по длине не менее 5 номинальных диаметров трубы от точки контакта (но не требуется более 1 м). Для титановых сплавов вместо гидроизоляции допускается поверхностное оксидирование. Рекомендуется применять покрытия вместе с другими способами защиты от контактной коррозии.</w:t>
      </w:r>
    </w:p>
    <w:bookmarkEnd w:id="8850"/>
    <w:bookmarkStart w:name="z8891" w:id="8851"/>
    <w:p>
      <w:pPr>
        <w:spacing w:after="0"/>
        <w:ind w:left="0"/>
        <w:jc w:val="both"/>
      </w:pPr>
      <w:r>
        <w:rPr>
          <w:rFonts w:ascii="Times New Roman"/>
          <w:b w:val="false"/>
          <w:i w:val="false"/>
          <w:color w:val="000000"/>
          <w:sz w:val="28"/>
        </w:rPr>
        <w:t>
      2995. Электрическое разъединение разнородных металлов производится путем установки электроизолирующих соединений. При этом выполняются следующие требования:</w:t>
      </w:r>
    </w:p>
    <w:bookmarkEnd w:id="8851"/>
    <w:bookmarkStart w:name="z8892" w:id="8852"/>
    <w:p>
      <w:pPr>
        <w:spacing w:after="0"/>
        <w:ind w:left="0"/>
        <w:jc w:val="both"/>
      </w:pPr>
      <w:r>
        <w:rPr>
          <w:rFonts w:ascii="Times New Roman"/>
          <w:b w:val="false"/>
          <w:i w:val="false"/>
          <w:color w:val="000000"/>
          <w:sz w:val="28"/>
        </w:rPr>
        <w:t>
      1) для защиты от контактной коррозии теплообменных аппаратов, другого оборудования и подсоединяемых к ним труб следует устанавливать одно электроизолирующее соединение в месте контакта разнородных металлов, а второе — на расстоянии не менее 5 номинальных диаметров этих труб;</w:t>
      </w:r>
    </w:p>
    <w:bookmarkEnd w:id="8852"/>
    <w:bookmarkStart w:name="z8893" w:id="8853"/>
    <w:p>
      <w:pPr>
        <w:spacing w:after="0"/>
        <w:ind w:left="0"/>
        <w:jc w:val="both"/>
      </w:pPr>
      <w:r>
        <w:rPr>
          <w:rFonts w:ascii="Times New Roman"/>
          <w:b w:val="false"/>
          <w:i w:val="false"/>
          <w:color w:val="000000"/>
          <w:sz w:val="28"/>
        </w:rPr>
        <w:t>
      2) для защиты от контактной коррозии труб и соединяемой с ними арматуры, сильфонных компенсаторов и других подобных элементов трубопроводов, изготовленных из разнородных металлов, электроизолирующие соединения следует устанавливать с обеих сторон этих элементов;</w:t>
      </w:r>
    </w:p>
    <w:bookmarkEnd w:id="8853"/>
    <w:bookmarkStart w:name="z8894" w:id="8854"/>
    <w:p>
      <w:pPr>
        <w:spacing w:after="0"/>
        <w:ind w:left="0"/>
        <w:jc w:val="both"/>
      </w:pPr>
      <w:r>
        <w:rPr>
          <w:rFonts w:ascii="Times New Roman"/>
          <w:b w:val="false"/>
          <w:i w:val="false"/>
          <w:color w:val="000000"/>
          <w:sz w:val="28"/>
        </w:rPr>
        <w:t>
      3) для защиты от контактной коррозии соединяемых между собой труб, изготовленных из разнородных металлов, между ними следует установить с помощью электроизолирующих соединений с обоих концов трубу длиной не менее 5 номинальных диаметров этих труб, изготовленную из материала любой из соединяемых труб;</w:t>
      </w:r>
    </w:p>
    <w:bookmarkEnd w:id="8854"/>
    <w:bookmarkStart w:name="z8895" w:id="8855"/>
    <w:p>
      <w:pPr>
        <w:spacing w:after="0"/>
        <w:ind w:left="0"/>
        <w:jc w:val="both"/>
      </w:pPr>
      <w:r>
        <w:rPr>
          <w:rFonts w:ascii="Times New Roman"/>
          <w:b w:val="false"/>
          <w:i w:val="false"/>
          <w:color w:val="000000"/>
          <w:sz w:val="28"/>
        </w:rPr>
        <w:t>
      4) для защиты корпусных конструкций от контакта с донно-бортовой арматурой из цветных сплавов следует устанавливать электроизолирующие соединения с обоих концов донно-бортовой арматуры, а также на самой трубе и ее отростках на расстоянии не менее 5 диаметров трубы, если материалы трубы и корпуса судна образуют электрическую пару. Донно-бортовую и путевую арматуру следует также электроизолировать от всех видов соединений (трубопроводов управления, обогрева, продувания), способных образовать контакт по металлу между арматурой и корпусом судна. При установке на донно-бортовой арматуре второй запорной арматуры из того же металла их следует электроизолировать как единую конструкцию;</w:t>
      </w:r>
    </w:p>
    <w:bookmarkEnd w:id="8855"/>
    <w:bookmarkStart w:name="z8896" w:id="8856"/>
    <w:p>
      <w:pPr>
        <w:spacing w:after="0"/>
        <w:ind w:left="0"/>
        <w:jc w:val="both"/>
      </w:pPr>
      <w:r>
        <w:rPr>
          <w:rFonts w:ascii="Times New Roman"/>
          <w:b w:val="false"/>
          <w:i w:val="false"/>
          <w:color w:val="000000"/>
          <w:sz w:val="28"/>
        </w:rPr>
        <w:t>
      5) трубы с двумя и более электроизолирующими соединениями изолируются от подвесок;</w:t>
      </w:r>
    </w:p>
    <w:bookmarkEnd w:id="8856"/>
    <w:bookmarkStart w:name="z8897" w:id="8857"/>
    <w:p>
      <w:pPr>
        <w:spacing w:after="0"/>
        <w:ind w:left="0"/>
        <w:jc w:val="both"/>
      </w:pPr>
      <w:r>
        <w:rPr>
          <w:rFonts w:ascii="Times New Roman"/>
          <w:b w:val="false"/>
          <w:i w:val="false"/>
          <w:color w:val="000000"/>
          <w:sz w:val="28"/>
        </w:rPr>
        <w:t>
      6) конструкция электроизолирующего соединения подлежит одобрению Регистром судоходства, обладает необходимой герметичностью, испытывается гидравлическим давлением в соответствии с главой 340 настоящих Правил и обладает электрическим сопротивлением в сухом состоянии (до заполнения системы) не менее 10 кОм и не менее 1 кОм после заполнения системы и гидравлических испытаний.</w:t>
      </w:r>
    </w:p>
    <w:bookmarkEnd w:id="8857"/>
    <w:bookmarkStart w:name="z8898" w:id="8858"/>
    <w:p>
      <w:pPr>
        <w:spacing w:after="0"/>
        <w:ind w:left="0"/>
        <w:jc w:val="both"/>
      </w:pPr>
      <w:r>
        <w:rPr>
          <w:rFonts w:ascii="Times New Roman"/>
          <w:b w:val="false"/>
          <w:i w:val="false"/>
          <w:color w:val="000000"/>
          <w:sz w:val="28"/>
        </w:rPr>
        <w:t>
      2996. Протекторная защита применяется при контакте элементов систем забортной воды, изготовленных из металлов, указанных в приложении 328 настоящих Правил.</w:t>
      </w:r>
    </w:p>
    <w:bookmarkEnd w:id="8858"/>
    <w:bookmarkStart w:name="z8899" w:id="8859"/>
    <w:p>
      <w:pPr>
        <w:spacing w:after="0"/>
        <w:ind w:left="0"/>
        <w:jc w:val="both"/>
      </w:pPr>
      <w:r>
        <w:rPr>
          <w:rFonts w:ascii="Times New Roman"/>
          <w:b w:val="false"/>
          <w:i w:val="false"/>
          <w:color w:val="000000"/>
          <w:sz w:val="28"/>
        </w:rPr>
        <w:t>
      2997. Протекторы устанавливаются непосредственно между поверхностями сопряженных разнородных металлов. При невозможности установки протекторов в месте сопряжения допускается устанавливать их на защищаемой поверхности как можно ближе к месту контакта (не более одного внутреннего диаметра) трубы.</w:t>
      </w:r>
    </w:p>
    <w:bookmarkEnd w:id="8859"/>
    <w:bookmarkStart w:name="z8900" w:id="8860"/>
    <w:p>
      <w:pPr>
        <w:spacing w:after="0"/>
        <w:ind w:left="0"/>
        <w:jc w:val="both"/>
      </w:pPr>
      <w:r>
        <w:rPr>
          <w:rFonts w:ascii="Times New Roman"/>
          <w:b w:val="false"/>
          <w:i w:val="false"/>
          <w:color w:val="000000"/>
          <w:sz w:val="28"/>
        </w:rPr>
        <w:t>
      2998. В трубопроводах с арматурой и трубами из разнородных металлов необходимо устанавливать протекторы за каждым клапаном по ходу потока. Для постоянно закрытых клапанов и на участках с переменным направлением движения потока протекторы устанавливают с обеих сторон клапана.</w:t>
      </w:r>
    </w:p>
    <w:bookmarkEnd w:id="8860"/>
    <w:bookmarkStart w:name="z8901" w:id="8861"/>
    <w:p>
      <w:pPr>
        <w:spacing w:after="0"/>
        <w:ind w:left="0"/>
        <w:jc w:val="both"/>
      </w:pPr>
      <w:r>
        <w:rPr>
          <w:rFonts w:ascii="Times New Roman"/>
          <w:b w:val="false"/>
          <w:i w:val="false"/>
          <w:color w:val="000000"/>
          <w:sz w:val="28"/>
        </w:rPr>
        <w:t>
      2999. Коррозионно-стойкую сталь, оловянистую и марганцовистую латунь, алюминиевую бронзу допускается применять для работы в морской воде только при наличии протекторной защиты.</w:t>
      </w:r>
    </w:p>
    <w:bookmarkEnd w:id="8861"/>
    <w:bookmarkStart w:name="z8902" w:id="8862"/>
    <w:p>
      <w:pPr>
        <w:spacing w:after="0"/>
        <w:ind w:left="0"/>
        <w:jc w:val="both"/>
      </w:pPr>
      <w:r>
        <w:rPr>
          <w:rFonts w:ascii="Times New Roman"/>
          <w:b w:val="false"/>
          <w:i w:val="false"/>
          <w:color w:val="000000"/>
          <w:sz w:val="28"/>
        </w:rPr>
        <w:t>
      3000. При монтаже протекторов обеспечивается надежный электрический контакт протектора с защищаемым изделием.</w:t>
      </w:r>
    </w:p>
    <w:bookmarkEnd w:id="8862"/>
    <w:bookmarkStart w:name="z8903" w:id="8863"/>
    <w:p>
      <w:pPr>
        <w:spacing w:after="0"/>
        <w:ind w:left="0"/>
        <w:jc w:val="both"/>
      </w:pPr>
      <w:r>
        <w:rPr>
          <w:rFonts w:ascii="Times New Roman"/>
          <w:b w:val="false"/>
          <w:i w:val="false"/>
          <w:color w:val="000000"/>
          <w:sz w:val="28"/>
        </w:rPr>
        <w:t>
      3001. Конструкция протектора допускает его замену, которая осуществляется после окончания срока его службы. При этом герметичность соединений не нарушается.</w:t>
      </w:r>
    </w:p>
    <w:bookmarkEnd w:id="8863"/>
    <w:bookmarkStart w:name="z8904" w:id="8864"/>
    <w:p>
      <w:pPr>
        <w:spacing w:after="0"/>
        <w:ind w:left="0"/>
        <w:jc w:val="both"/>
      </w:pPr>
      <w:r>
        <w:rPr>
          <w:rFonts w:ascii="Times New Roman"/>
          <w:b w:val="false"/>
          <w:i w:val="false"/>
          <w:color w:val="000000"/>
          <w:sz w:val="28"/>
        </w:rPr>
        <w:t>
      3002. Срок службы протекторов следует принимать не менее 2,5 года (для защиты кингстонных и бортовых патрубков — не менее трех лет) и определяется по формуле:</w:t>
      </w:r>
    </w:p>
    <w:bookmarkEnd w:id="88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5"/>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(760)</w:t>
      </w:r>
      <w:r>
        <w:br/>
      </w:r>
      <w:r>
        <w:rPr>
          <w:rFonts w:ascii="Times New Roman"/>
          <w:b w:val="false"/>
          <w:i w:val="false"/>
          <w:color w:val="000000"/>
          <w:sz w:val="28"/>
        </w:rPr>
        <w:t>
</w:t>
      </w:r>
    </w:p>
    <w:bookmarkStart w:name="z8905" w:id="8865"/>
    <w:p>
      <w:pPr>
        <w:spacing w:after="0"/>
        <w:ind w:left="0"/>
        <w:jc w:val="both"/>
      </w:pPr>
      <w:r>
        <w:rPr>
          <w:rFonts w:ascii="Times New Roman"/>
          <w:b w:val="false"/>
          <w:i w:val="false"/>
          <w:color w:val="000000"/>
          <w:sz w:val="28"/>
        </w:rPr>
        <w:t xml:space="preserve">
      где </w:t>
      </w:r>
      <w:r>
        <w:rPr>
          <w:rFonts w:ascii="Times New Roman"/>
          <w:b w:val="false"/>
          <w:i/>
          <w:color w:val="000000"/>
          <w:sz w:val="28"/>
        </w:rPr>
        <w:t>Т</w:t>
      </w:r>
      <w:r>
        <w:rPr>
          <w:rFonts w:ascii="Times New Roman"/>
          <w:b w:val="false"/>
          <w:i w:val="false"/>
          <w:color w:val="000000"/>
          <w:sz w:val="28"/>
        </w:rPr>
        <w:t xml:space="preserve"> — срок службы протектора, лет;</w:t>
      </w:r>
    </w:p>
    <w:bookmarkEnd w:id="8865"/>
    <w:bookmarkStart w:name="z8906" w:id="8866"/>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масса рабочего металла протектора, кг;</w:t>
      </w:r>
    </w:p>
    <w:bookmarkEnd w:id="8866"/>
    <w:bookmarkStart w:name="z8907" w:id="886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площадь защищаемой поверхности, м</w:t>
      </w:r>
      <w:r>
        <w:rPr>
          <w:rFonts w:ascii="Times New Roman"/>
          <w:b w:val="false"/>
          <w:i w:val="false"/>
          <w:color w:val="000000"/>
          <w:vertAlign w:val="superscript"/>
        </w:rPr>
        <w:t>2</w:t>
      </w:r>
      <w:r>
        <w:rPr>
          <w:rFonts w:ascii="Times New Roman"/>
          <w:b w:val="false"/>
          <w:i w:val="false"/>
          <w:color w:val="000000"/>
          <w:sz w:val="28"/>
        </w:rPr>
        <w:t>, при этом защищаемую поверхность трубы принимают равной площади внутренней поверхности по длине 5 внутренних диаметров;</w:t>
      </w:r>
    </w:p>
    <w:bookmarkEnd w:id="8867"/>
    <w:bookmarkStart w:name="z8908" w:id="88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w:t>
      </w:r>
      <w:r>
        <w:rPr>
          <w:rFonts w:ascii="Times New Roman"/>
          <w:b w:val="false"/>
          <w:i w:val="false"/>
          <w:color w:val="000000"/>
          <w:sz w:val="28"/>
        </w:rPr>
        <w:t>— коэффициент, равный 0,75 для цинкового протектора и 1,71 — для стального протектора.</w:t>
      </w:r>
    </w:p>
    <w:bookmarkEnd w:id="8868"/>
    <w:bookmarkStart w:name="z8909" w:id="8869"/>
    <w:p>
      <w:pPr>
        <w:spacing w:after="0"/>
        <w:ind w:left="0"/>
        <w:jc w:val="both"/>
      </w:pPr>
      <w:r>
        <w:rPr>
          <w:rFonts w:ascii="Times New Roman"/>
          <w:b w:val="false"/>
          <w:i w:val="false"/>
          <w:color w:val="000000"/>
          <w:sz w:val="28"/>
        </w:rPr>
        <w:t>
      3003. Помимо указанных в приложении 331 настоящих Правил в качестве материала протектора допускается использовать алюминиевые сплавы. Применение алюминиевых протекторов является в каждом случае предметом специального рассмотрения Регистром судоходства.</w:t>
      </w:r>
    </w:p>
    <w:bookmarkEnd w:id="8869"/>
    <w:bookmarkStart w:name="z8910" w:id="8870"/>
    <w:p>
      <w:pPr>
        <w:spacing w:after="0"/>
        <w:ind w:left="0"/>
        <w:jc w:val="both"/>
      </w:pPr>
      <w:r>
        <w:rPr>
          <w:rFonts w:ascii="Times New Roman"/>
          <w:b w:val="false"/>
          <w:i w:val="false"/>
          <w:color w:val="000000"/>
          <w:sz w:val="28"/>
        </w:rPr>
        <w:t>
      3004. При невозможности использования других способов защиты от контактной коррозии допускается применение "жертвенных" патрубков.</w:t>
      </w:r>
    </w:p>
    <w:bookmarkEnd w:id="8870"/>
    <w:bookmarkStart w:name="z8911" w:id="8871"/>
    <w:p>
      <w:pPr>
        <w:spacing w:after="0"/>
        <w:ind w:left="0"/>
        <w:jc w:val="both"/>
      </w:pPr>
      <w:r>
        <w:rPr>
          <w:rFonts w:ascii="Times New Roman"/>
          <w:b w:val="false"/>
          <w:i w:val="false"/>
          <w:color w:val="000000"/>
          <w:sz w:val="28"/>
        </w:rPr>
        <w:t>
      3005. "Жертвенный" патрубок не должен иметь внутреннего покрытия.</w:t>
      </w:r>
    </w:p>
    <w:bookmarkEnd w:id="8871"/>
    <w:bookmarkStart w:name="z8912" w:id="8872"/>
    <w:p>
      <w:pPr>
        <w:spacing w:after="0"/>
        <w:ind w:left="0"/>
        <w:jc w:val="both"/>
      </w:pPr>
      <w:r>
        <w:rPr>
          <w:rFonts w:ascii="Times New Roman"/>
          <w:b w:val="false"/>
          <w:i w:val="false"/>
          <w:color w:val="000000"/>
          <w:sz w:val="28"/>
        </w:rPr>
        <w:t>
      3006. "Жертвенные" патрубки изготавливаются механическим способом из поковок или проката. Длина "жертвенного" патрубка должна быть не менее 1,5 внутреннего диаметра трубы.</w:t>
      </w:r>
    </w:p>
    <w:bookmarkEnd w:id="8872"/>
    <w:bookmarkStart w:name="z8913" w:id="8873"/>
    <w:p>
      <w:pPr>
        <w:spacing w:after="0"/>
        <w:ind w:left="0"/>
        <w:jc w:val="both"/>
      </w:pPr>
      <w:r>
        <w:rPr>
          <w:rFonts w:ascii="Times New Roman"/>
          <w:b w:val="false"/>
          <w:i w:val="false"/>
          <w:color w:val="000000"/>
          <w:sz w:val="28"/>
        </w:rPr>
        <w:t>
      Уплотнительную поверхность фланца "жертвенного" патрубка, находящуюся в контакте с разнородным металлом, необходимо защитить от контактной коррозии путем наплавки или другим одобренным способом нанесения металла на контактирующий элемент.</w:t>
      </w:r>
    </w:p>
    <w:bookmarkEnd w:id="8873"/>
    <w:bookmarkStart w:name="z8914" w:id="8874"/>
    <w:p>
      <w:pPr>
        <w:spacing w:after="0"/>
        <w:ind w:left="0"/>
        <w:jc w:val="both"/>
      </w:pPr>
      <w:r>
        <w:rPr>
          <w:rFonts w:ascii="Times New Roman"/>
          <w:b w:val="false"/>
          <w:i w:val="false"/>
          <w:color w:val="000000"/>
          <w:sz w:val="28"/>
        </w:rPr>
        <w:t>
      3007. Запас на износ стенок "жертвенного" патрубка обеспечивает срок службы трубопровода не менее 10 лет из расчета суммарной скорости коррозии стенок 1,5 мм/год.</w:t>
      </w:r>
    </w:p>
    <w:bookmarkEnd w:id="8874"/>
    <w:bookmarkStart w:name="z8915" w:id="8875"/>
    <w:p>
      <w:pPr>
        <w:spacing w:after="0"/>
        <w:ind w:left="0"/>
        <w:jc w:val="both"/>
      </w:pPr>
      <w:r>
        <w:rPr>
          <w:rFonts w:ascii="Times New Roman"/>
          <w:b w:val="false"/>
          <w:i w:val="false"/>
          <w:color w:val="000000"/>
          <w:sz w:val="28"/>
        </w:rPr>
        <w:t>
      3008. "Жертвенный" патрубок располагается в доступном для осмотра и замены месте. На судне находится запасной "жертвенный" патрубок.</w:t>
      </w:r>
    </w:p>
    <w:bookmarkEnd w:id="8875"/>
    <w:bookmarkStart w:name="z8916" w:id="8876"/>
    <w:p>
      <w:pPr>
        <w:spacing w:after="0"/>
        <w:ind w:left="0"/>
        <w:jc w:val="both"/>
      </w:pPr>
      <w:r>
        <w:rPr>
          <w:rFonts w:ascii="Times New Roman"/>
          <w:b w:val="false"/>
          <w:i w:val="false"/>
          <w:color w:val="000000"/>
          <w:sz w:val="28"/>
        </w:rPr>
        <w:t>
      3009. Разборка, осмотр поверхностей контакта и замеры толщин стенок "жертвенных" патрубков производится не реже одного раза в 5 лет.</w:t>
      </w:r>
    </w:p>
    <w:bookmarkEnd w:id="8876"/>
    <w:bookmarkStart w:name="z8917" w:id="8877"/>
    <w:p>
      <w:pPr>
        <w:spacing w:after="0"/>
        <w:ind w:left="0"/>
        <w:jc w:val="left"/>
      </w:pPr>
      <w:r>
        <w:rPr>
          <w:rFonts w:ascii="Times New Roman"/>
          <w:b/>
          <w:i w:val="false"/>
          <w:color w:val="000000"/>
        </w:rPr>
        <w:t xml:space="preserve"> Параграф 4. Защита от волнового воздействия</w:t>
      </w:r>
    </w:p>
    <w:bookmarkEnd w:id="8877"/>
    <w:bookmarkStart w:name="z8918" w:id="8878"/>
    <w:p>
      <w:pPr>
        <w:spacing w:after="0"/>
        <w:ind w:left="0"/>
        <w:jc w:val="both"/>
      </w:pPr>
      <w:r>
        <w:rPr>
          <w:rFonts w:ascii="Times New Roman"/>
          <w:b w:val="false"/>
          <w:i w:val="false"/>
          <w:color w:val="000000"/>
          <w:sz w:val="28"/>
        </w:rPr>
        <w:t>
      3010. Требования параграфа 4 главы 230 настоящих Правил распространяются на все морские суда длиной 80 м и более, у которых высота верхней палубы от летней ватерлинии в носовой части судна на расстоянии 0,25 длины менее 0,1</w:t>
      </w:r>
      <w:r>
        <w:rPr>
          <w:rFonts w:ascii="Times New Roman"/>
          <w:b w:val="false"/>
          <w:i/>
          <w:color w:val="000000"/>
          <w:sz w:val="28"/>
        </w:rPr>
        <w:t>L</w:t>
      </w:r>
      <w:r>
        <w:rPr>
          <w:rFonts w:ascii="Times New Roman"/>
          <w:b w:val="false"/>
          <w:i w:val="false"/>
          <w:color w:val="000000"/>
          <w:sz w:val="28"/>
        </w:rPr>
        <w:t xml:space="preserve"> или 22 м, смотря по тому, что меньше.</w:t>
      </w:r>
    </w:p>
    <w:bookmarkEnd w:id="8878"/>
    <w:bookmarkStart w:name="z8919" w:id="8879"/>
    <w:p>
      <w:pPr>
        <w:spacing w:after="0"/>
        <w:ind w:left="0"/>
        <w:jc w:val="both"/>
      </w:pPr>
      <w:r>
        <w:rPr>
          <w:rFonts w:ascii="Times New Roman"/>
          <w:b w:val="false"/>
          <w:i w:val="false"/>
          <w:color w:val="000000"/>
          <w:sz w:val="28"/>
        </w:rPr>
        <w:t>
      3011. Воздушные трубы цистерн, вентиляционные трубы и их закрытия, располагаемые в носовой части верхней палубы на расстоянии 1/4 длины судна, обладают прочностью, достаточной для преодоления волнового воздействия в открытом море. Требования настоящего параграфа не распространяются на трубы газоотводной системы.</w:t>
      </w:r>
    </w:p>
    <w:bookmarkEnd w:id="8879"/>
    <w:bookmarkStart w:name="z8920" w:id="8880"/>
    <w:p>
      <w:pPr>
        <w:spacing w:after="0"/>
        <w:ind w:left="0"/>
        <w:jc w:val="both"/>
      </w:pPr>
      <w:r>
        <w:rPr>
          <w:rFonts w:ascii="Times New Roman"/>
          <w:b w:val="false"/>
          <w:i w:val="false"/>
          <w:color w:val="000000"/>
          <w:sz w:val="28"/>
        </w:rPr>
        <w:t>
      3012. Расчетные нагрузки:</w:t>
      </w:r>
    </w:p>
    <w:bookmarkEnd w:id="8880"/>
    <w:bookmarkStart w:name="z8921" w:id="8881"/>
    <w:p>
      <w:pPr>
        <w:spacing w:after="0"/>
        <w:ind w:left="0"/>
        <w:jc w:val="both"/>
      </w:pPr>
      <w:r>
        <w:rPr>
          <w:rFonts w:ascii="Times New Roman"/>
          <w:b w:val="false"/>
          <w:i w:val="false"/>
          <w:color w:val="000000"/>
          <w:sz w:val="28"/>
        </w:rPr>
        <w:t xml:space="preserve">
      1) волновое давление </w:t>
      </w:r>
      <w:r>
        <w:rPr>
          <w:rFonts w:ascii="Times New Roman"/>
          <w:b w:val="false"/>
          <w:i/>
          <w:color w:val="000000"/>
          <w:sz w:val="28"/>
        </w:rPr>
        <w:t>Р</w:t>
      </w:r>
      <w:r>
        <w:rPr>
          <w:rFonts w:ascii="Times New Roman"/>
          <w:b w:val="false"/>
          <w:i w:val="false"/>
          <w:color w:val="000000"/>
          <w:sz w:val="28"/>
        </w:rPr>
        <w:t>, кН/м</w:t>
      </w:r>
      <w:r>
        <w:rPr>
          <w:rFonts w:ascii="Times New Roman"/>
          <w:b w:val="false"/>
          <w:i w:val="false"/>
          <w:color w:val="000000"/>
          <w:vertAlign w:val="superscript"/>
        </w:rPr>
        <w:t>2</w:t>
      </w:r>
      <w:r>
        <w:rPr>
          <w:rFonts w:ascii="Times New Roman"/>
          <w:b w:val="false"/>
          <w:i w:val="false"/>
          <w:color w:val="000000"/>
          <w:sz w:val="28"/>
        </w:rPr>
        <w:t>, воздействующее на воздушные, вентиляционные трубы и их закрытия, возможно рассчитать по формуле:</w:t>
      </w:r>
    </w:p>
    <w:bookmarkEnd w:id="888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0,5p</w:t>
      </w:r>
      <w:r>
        <w:rPr>
          <w:rFonts w:ascii="Times New Roman"/>
          <w:b w:val="false"/>
          <w:i/>
          <w:color w:val="000000"/>
          <w:sz w:val="28"/>
        </w:rPr>
        <w:t>V</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d</w:t>
      </w:r>
      <w:r>
        <w:rPr>
          <w:rFonts w:ascii="Times New Roman"/>
          <w:b w:val="false"/>
          <w:i/>
          <w:color w:val="000000"/>
          <w:sz w:val="28"/>
        </w:rPr>
        <w:t>C</w:t>
      </w:r>
      <w:r>
        <w:rPr>
          <w:rFonts w:ascii="Times New Roman"/>
          <w:b w:val="false"/>
          <w:i w:val="false"/>
          <w:color w:val="000000"/>
          <w:vertAlign w:val="subscript"/>
        </w:rPr>
        <w:t>s</w:t>
      </w:r>
      <w:r>
        <w:rPr>
          <w:rFonts w:ascii="Times New Roman"/>
          <w:b w:val="false"/>
          <w:i/>
          <w:color w:val="000000"/>
          <w:sz w:val="28"/>
        </w:rPr>
        <w:t>C</w:t>
      </w:r>
      <w:r>
        <w:rPr>
          <w:rFonts w:ascii="Times New Roman"/>
          <w:b w:val="false"/>
          <w:i w:val="false"/>
          <w:color w:val="000000"/>
          <w:vertAlign w:val="subscript"/>
        </w:rPr>
        <w:t>p</w:t>
      </w:r>
      <w:r>
        <w:rPr>
          <w:rFonts w:ascii="Times New Roman"/>
          <w:b w:val="false"/>
          <w:i w:val="false"/>
          <w:color w:val="000000"/>
          <w:sz w:val="28"/>
        </w:rPr>
        <w:t>,                        (761)</w:t>
      </w:r>
    </w:p>
    <w:bookmarkStart w:name="z8922" w:id="8882"/>
    <w:p>
      <w:pPr>
        <w:spacing w:after="0"/>
        <w:ind w:left="0"/>
        <w:jc w:val="both"/>
      </w:pPr>
      <w:r>
        <w:rPr>
          <w:rFonts w:ascii="Times New Roman"/>
          <w:b w:val="false"/>
          <w:i w:val="false"/>
          <w:color w:val="000000"/>
          <w:sz w:val="28"/>
        </w:rPr>
        <w:t>
      где p — плотность морской воды (1,025 т/м</w:t>
      </w:r>
      <w:r>
        <w:rPr>
          <w:rFonts w:ascii="Times New Roman"/>
          <w:b w:val="false"/>
          <w:i w:val="false"/>
          <w:color w:val="000000"/>
          <w:vertAlign w:val="superscript"/>
        </w:rPr>
        <w:t>3</w:t>
      </w:r>
      <w:r>
        <w:rPr>
          <w:rFonts w:ascii="Times New Roman"/>
          <w:b w:val="false"/>
          <w:i w:val="false"/>
          <w:color w:val="000000"/>
          <w:sz w:val="28"/>
        </w:rPr>
        <w:t>);</w:t>
      </w:r>
    </w:p>
    <w:bookmarkEnd w:id="8882"/>
    <w:bookmarkStart w:name="z8923" w:id="888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скорость проникновения воды через носовую палубу (13,5 м/с);</w:t>
      </w:r>
    </w:p>
    <w:bookmarkEnd w:id="8883"/>
    <w:bookmarkStart w:name="z8924" w:id="8884"/>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d</w:t>
      </w:r>
      <w:r>
        <w:rPr>
          <w:rFonts w:ascii="Times New Roman"/>
          <w:b w:val="false"/>
          <w:i w:val="false"/>
          <w:color w:val="000000"/>
          <w:sz w:val="28"/>
        </w:rPr>
        <w:t xml:space="preserve"> — коэффициент формы, принимаемый равным:</w:t>
      </w:r>
    </w:p>
    <w:bookmarkEnd w:id="8884"/>
    <w:bookmarkStart w:name="z8925" w:id="8885"/>
    <w:p>
      <w:pPr>
        <w:spacing w:after="0"/>
        <w:ind w:left="0"/>
        <w:jc w:val="both"/>
      </w:pPr>
      <w:r>
        <w:rPr>
          <w:rFonts w:ascii="Times New Roman"/>
          <w:b w:val="false"/>
          <w:i w:val="false"/>
          <w:color w:val="000000"/>
          <w:sz w:val="28"/>
        </w:rPr>
        <w:t>
      0,5 — для труб,</w:t>
      </w:r>
    </w:p>
    <w:bookmarkEnd w:id="8885"/>
    <w:bookmarkStart w:name="z8926" w:id="8886"/>
    <w:p>
      <w:pPr>
        <w:spacing w:after="0"/>
        <w:ind w:left="0"/>
        <w:jc w:val="both"/>
      </w:pPr>
      <w:r>
        <w:rPr>
          <w:rFonts w:ascii="Times New Roman"/>
          <w:b w:val="false"/>
          <w:i w:val="false"/>
          <w:color w:val="000000"/>
          <w:sz w:val="28"/>
        </w:rPr>
        <w:t>
      1,3 — для воздушных труб или вентиляционных головок,</w:t>
      </w:r>
    </w:p>
    <w:bookmarkEnd w:id="8886"/>
    <w:bookmarkStart w:name="z8927" w:id="8887"/>
    <w:p>
      <w:pPr>
        <w:spacing w:after="0"/>
        <w:ind w:left="0"/>
        <w:jc w:val="both"/>
      </w:pPr>
      <w:r>
        <w:rPr>
          <w:rFonts w:ascii="Times New Roman"/>
          <w:b w:val="false"/>
          <w:i w:val="false"/>
          <w:color w:val="000000"/>
          <w:sz w:val="28"/>
        </w:rPr>
        <w:t>
      0,8 — для вертикально расположенных воздушных труб или вентиляционных головок цилиндрической формы;</w:t>
      </w:r>
    </w:p>
    <w:bookmarkEnd w:id="8887"/>
    <w:bookmarkStart w:name="z8928" w:id="888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s</w:t>
      </w:r>
      <w:r>
        <w:rPr>
          <w:rFonts w:ascii="Times New Roman"/>
          <w:b w:val="false"/>
          <w:i w:val="false"/>
          <w:color w:val="000000"/>
          <w:sz w:val="28"/>
        </w:rPr>
        <w:t xml:space="preserve"> — коэффициент, учитывающий ударную нагрузку, принимаемый равным 3,2;</w:t>
      </w:r>
    </w:p>
    <w:bookmarkEnd w:id="8888"/>
    <w:bookmarkStart w:name="z8929" w:id="8889"/>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 коэффициент, учитывающий степень защищенности, принимаемый равным:</w:t>
      </w:r>
    </w:p>
    <w:bookmarkEnd w:id="8889"/>
    <w:bookmarkStart w:name="z8930" w:id="8890"/>
    <w:p>
      <w:pPr>
        <w:spacing w:after="0"/>
        <w:ind w:left="0"/>
        <w:jc w:val="both"/>
      </w:pPr>
      <w:r>
        <w:rPr>
          <w:rFonts w:ascii="Times New Roman"/>
          <w:b w:val="false"/>
          <w:i w:val="false"/>
          <w:color w:val="000000"/>
          <w:sz w:val="28"/>
        </w:rPr>
        <w:t>
      0,7 — для труб и вентиляционных головок, расположенных непосредственно за волноломом или полубаком, 1,0 — где-либо еще или непосредственно за фальшбортом;</w:t>
      </w:r>
    </w:p>
    <w:bookmarkEnd w:id="8890"/>
    <w:bookmarkStart w:name="z8931" w:id="8891"/>
    <w:p>
      <w:pPr>
        <w:spacing w:after="0"/>
        <w:ind w:left="0"/>
        <w:jc w:val="both"/>
      </w:pPr>
      <w:r>
        <w:rPr>
          <w:rFonts w:ascii="Times New Roman"/>
          <w:b w:val="false"/>
          <w:i w:val="false"/>
          <w:color w:val="000000"/>
          <w:sz w:val="28"/>
        </w:rPr>
        <w:t>
      2) силы, воздействующие на трубы и закрытия в горизонтальном направлении, возможно рассчитать по формуле (761) настоящих Правил с учетом наибольших проектных площадей каждого из компонентов.</w:t>
      </w:r>
    </w:p>
    <w:bookmarkEnd w:id="8891"/>
    <w:bookmarkStart w:name="z8932" w:id="8892"/>
    <w:p>
      <w:pPr>
        <w:spacing w:after="0"/>
        <w:ind w:left="0"/>
        <w:jc w:val="both"/>
      </w:pPr>
      <w:r>
        <w:rPr>
          <w:rFonts w:ascii="Times New Roman"/>
          <w:b w:val="false"/>
          <w:i w:val="false"/>
          <w:color w:val="000000"/>
          <w:sz w:val="28"/>
        </w:rPr>
        <w:t>
      3013. К прочности предъявляются следующие требования:</w:t>
      </w:r>
    </w:p>
    <w:bookmarkEnd w:id="8892"/>
    <w:bookmarkStart w:name="z8933" w:id="8893"/>
    <w:p>
      <w:pPr>
        <w:spacing w:after="0"/>
        <w:ind w:left="0"/>
        <w:jc w:val="both"/>
      </w:pPr>
      <w:r>
        <w:rPr>
          <w:rFonts w:ascii="Times New Roman"/>
          <w:b w:val="false"/>
          <w:i w:val="false"/>
          <w:color w:val="000000"/>
          <w:sz w:val="28"/>
        </w:rPr>
        <w:t>
      1) изгибающие напряжения и нагрузки для воздушных и вентиляционных труб определяются в наиболее опасных зонах: районе палубной втулки, сварных или фланцевых соединениях, нижних углах поддерживающих книц. Изгибающие напряжения не превышают 0,8</w:t>
      </w:r>
    </w:p>
    <w:bookmarkEnd w:id="8893"/>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6"/>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r>
        <w:rPr>
          <w:rFonts w:ascii="Times New Roman"/>
          <w:b w:val="false"/>
          <w:i w:val="false"/>
          <w:color w:val="000000"/>
          <w:sz w:val="28"/>
        </w:rPr>
        <w:t xml:space="preserve">, где </w:t>
      </w:r>
    </w:p>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7"/>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r>
        <w:rPr>
          <w:rFonts w:ascii="Times New Roman"/>
          <w:b w:val="false"/>
          <w:i w:val="false"/>
          <w:color w:val="000000"/>
          <w:sz w:val="28"/>
        </w:rPr>
        <w:t xml:space="preserve"> — предел текучести или условный предел текучести стали при удлинении 0,2 % при комнатной температуре. Независимо от наличия защиты от коррозии, прибавка на коррозию составляет не менее 2 мм;</w:t>
      </w:r>
      <w:r>
        <w:br/>
      </w:r>
      <w:r>
        <w:rPr>
          <w:rFonts w:ascii="Times New Roman"/>
          <w:b w:val="false"/>
          <w:i w:val="false"/>
          <w:color w:val="000000"/>
          <w:sz w:val="28"/>
        </w:rPr>
        <w:t>
</w:t>
      </w:r>
    </w:p>
    <w:bookmarkStart w:name="z8934" w:id="8894"/>
    <w:p>
      <w:pPr>
        <w:spacing w:after="0"/>
        <w:ind w:left="0"/>
        <w:jc w:val="both"/>
      </w:pPr>
      <w:r>
        <w:rPr>
          <w:rFonts w:ascii="Times New Roman"/>
          <w:b w:val="false"/>
          <w:i w:val="false"/>
          <w:color w:val="000000"/>
          <w:sz w:val="28"/>
        </w:rPr>
        <w:t>
      2) для стандартных воздушных труб высотой 760 мм с закрывающими головками стандартной площади толщина труб и укрепляющих элементов указана в приложении 332 настоящих Правил. В качестве подкрепления устанавливаются радиально располагаемые кницы числом не менее трех.</w:t>
      </w:r>
    </w:p>
    <w:bookmarkEnd w:id="8894"/>
    <w:bookmarkStart w:name="z8935" w:id="8895"/>
    <w:p>
      <w:pPr>
        <w:spacing w:after="0"/>
        <w:ind w:left="0"/>
        <w:jc w:val="both"/>
      </w:pPr>
      <w:r>
        <w:rPr>
          <w:rFonts w:ascii="Times New Roman"/>
          <w:b w:val="false"/>
          <w:i w:val="false"/>
          <w:color w:val="000000"/>
          <w:sz w:val="28"/>
        </w:rPr>
        <w:t>
      Толщина книц должна быть не менее 8 мм, минимальная длина — не менее 100 мм, высота — соответствовать указанной в приложении 332 настоящих Правил, но не выше фланца для подсоединения закрытия. Основания книц на палубе соответствующим образом подкрепляются;</w:t>
      </w:r>
    </w:p>
    <w:bookmarkEnd w:id="8895"/>
    <w:bookmarkStart w:name="z8936" w:id="8896"/>
    <w:p>
      <w:pPr>
        <w:spacing w:after="0"/>
        <w:ind w:left="0"/>
        <w:jc w:val="both"/>
      </w:pPr>
      <w:r>
        <w:rPr>
          <w:rFonts w:ascii="Times New Roman"/>
          <w:b w:val="false"/>
          <w:i w:val="false"/>
          <w:color w:val="000000"/>
          <w:sz w:val="28"/>
        </w:rPr>
        <w:t>
      3) для труб другой высоты нагрузки и подкрепления выбираются в соответствии с пунктами 3012 и 3013 настоящих Правил. Кницы при установке выбирают необходимой длины и толщины, соответствующей их высоте. Толщина труб выбирается не менее указанной в пункте 3532 настоящих Правил;</w:t>
      </w:r>
    </w:p>
    <w:bookmarkEnd w:id="8896"/>
    <w:bookmarkStart w:name="z8937" w:id="8897"/>
    <w:p>
      <w:pPr>
        <w:spacing w:after="0"/>
        <w:ind w:left="0"/>
        <w:jc w:val="both"/>
      </w:pPr>
      <w:r>
        <w:rPr>
          <w:rFonts w:ascii="Times New Roman"/>
          <w:b w:val="false"/>
          <w:i w:val="false"/>
          <w:color w:val="000000"/>
          <w:sz w:val="28"/>
        </w:rPr>
        <w:t>
      4) толщина труб и высота книц для стандартных вентиляционных труб с вентиляционными головками высотой 900 мм указаны в приложении 323 настоящих Правил. Необходимо чтобы кницы, когда это требуется, соответствовали указаниям подпункта 2) настоящего пункта.</w:t>
      </w:r>
    </w:p>
    <w:bookmarkEnd w:id="8897"/>
    <w:bookmarkStart w:name="z8938" w:id="8898"/>
    <w:p>
      <w:pPr>
        <w:spacing w:after="0"/>
        <w:ind w:left="0"/>
        <w:jc w:val="both"/>
      </w:pPr>
      <w:r>
        <w:rPr>
          <w:rFonts w:ascii="Times New Roman"/>
          <w:b w:val="false"/>
          <w:i w:val="false"/>
          <w:color w:val="000000"/>
          <w:sz w:val="28"/>
        </w:rPr>
        <w:t>
      5) для вентиляционных труб высотой более 900 мм использование подкрепляющих книц или альтернативных подкреплении является в каждом случае предметом специального рассмотрения Регистром судоходства;</w:t>
      </w:r>
    </w:p>
    <w:bookmarkEnd w:id="8898"/>
    <w:bookmarkStart w:name="z8939" w:id="8899"/>
    <w:p>
      <w:pPr>
        <w:spacing w:after="0"/>
        <w:ind w:left="0"/>
        <w:jc w:val="both"/>
      </w:pPr>
      <w:r>
        <w:rPr>
          <w:rFonts w:ascii="Times New Roman"/>
          <w:b w:val="false"/>
          <w:i w:val="false"/>
          <w:color w:val="000000"/>
          <w:sz w:val="28"/>
        </w:rPr>
        <w:t>
      6) все комплектующие части и соединения воздушных и вентиляционных труб способны выдержать нагрузки, определенные в соответствии с пунктом 3012 настоящих Правил.</w:t>
      </w:r>
    </w:p>
    <w:bookmarkEnd w:id="8899"/>
    <w:bookmarkStart w:name="z8940" w:id="8900"/>
    <w:p>
      <w:pPr>
        <w:spacing w:after="0"/>
        <w:ind w:left="0"/>
        <w:jc w:val="both"/>
      </w:pPr>
      <w:r>
        <w:rPr>
          <w:rFonts w:ascii="Times New Roman"/>
          <w:b w:val="false"/>
          <w:i w:val="false"/>
          <w:color w:val="000000"/>
          <w:sz w:val="28"/>
        </w:rPr>
        <w:t>
      3014. Вентиляционные головки вращающегося типа для установки в районе, упомянутом в пункте 3011 настоящих Правил, не допускаются.</w:t>
      </w:r>
    </w:p>
    <w:bookmarkEnd w:id="8900"/>
    <w:bookmarkStart w:name="z8941" w:id="8901"/>
    <w:p>
      <w:pPr>
        <w:spacing w:after="0"/>
        <w:ind w:left="0"/>
        <w:jc w:val="both"/>
      </w:pPr>
      <w:r>
        <w:rPr>
          <w:rFonts w:ascii="Times New Roman"/>
          <w:b w:val="false"/>
          <w:i w:val="false"/>
          <w:color w:val="000000"/>
          <w:sz w:val="28"/>
        </w:rPr>
        <w:t>
      3015. Сварка и неразрушающие методы контроля сварных соединений трубопроводов выполняются в соответствии с требованиями главы 235 и подраздела 3 раздела 16 настоящих Правил.</w:t>
      </w:r>
    </w:p>
    <w:bookmarkEnd w:id="8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42" w:id="8902"/>
    <w:p>
      <w:pPr>
        <w:spacing w:after="0"/>
        <w:ind w:left="0"/>
        <w:jc w:val="left"/>
      </w:pPr>
      <w:r>
        <w:rPr>
          <w:rFonts w:ascii="Times New Roman"/>
          <w:b/>
          <w:i w:val="false"/>
          <w:color w:val="000000"/>
        </w:rPr>
        <w:t xml:space="preserve"> Глава 231. Механизмы, оборудование и устройства автоматизации</w:t>
      </w:r>
    </w:p>
    <w:bookmarkEnd w:id="8902"/>
    <w:p>
      <w:pPr>
        <w:spacing w:after="0"/>
        <w:ind w:left="0"/>
        <w:jc w:val="both"/>
      </w:pPr>
      <w:r>
        <w:rPr>
          <w:rFonts w:ascii="Times New Roman"/>
          <w:b w:val="false"/>
          <w:i w:val="false"/>
          <w:color w:val="ff0000"/>
          <w:sz w:val="28"/>
        </w:rPr>
        <w:t xml:space="preserve">
      Сноска. Заголовок главы 230 -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43" w:id="8903"/>
    <w:p>
      <w:pPr>
        <w:spacing w:after="0"/>
        <w:ind w:left="0"/>
        <w:jc w:val="both"/>
      </w:pPr>
      <w:r>
        <w:rPr>
          <w:rFonts w:ascii="Times New Roman"/>
          <w:b w:val="false"/>
          <w:i w:val="false"/>
          <w:color w:val="000000"/>
          <w:sz w:val="28"/>
        </w:rPr>
        <w:t>
      3016. Насосы, вентиляторы, компрессоры и их электроприводы, применяемые в системах, которые регламентируются настоящей частью Правил, должны отвечать требованиям разделов 11 и 13 настоящих Правил.</w:t>
      </w:r>
    </w:p>
    <w:bookmarkEnd w:id="8903"/>
    <w:bookmarkStart w:name="z8944" w:id="8904"/>
    <w:p>
      <w:pPr>
        <w:spacing w:after="0"/>
        <w:ind w:left="0"/>
        <w:jc w:val="both"/>
      </w:pPr>
      <w:r>
        <w:rPr>
          <w:rFonts w:ascii="Times New Roman"/>
          <w:b w:val="false"/>
          <w:i w:val="false"/>
          <w:color w:val="000000"/>
          <w:sz w:val="28"/>
        </w:rPr>
        <w:t>
      3017. Устройства автоматизации систем должны отвечать требованиям раздела 17 настоящих Правил.</w:t>
      </w:r>
    </w:p>
    <w:bookmarkEnd w:id="8904"/>
    <w:bookmarkStart w:name="z8945" w:id="8905"/>
    <w:p>
      <w:pPr>
        <w:spacing w:after="0"/>
        <w:ind w:left="0"/>
        <w:jc w:val="both"/>
      </w:pPr>
      <w:r>
        <w:rPr>
          <w:rFonts w:ascii="Times New Roman"/>
          <w:b w:val="false"/>
          <w:i w:val="false"/>
          <w:color w:val="000000"/>
          <w:sz w:val="28"/>
        </w:rPr>
        <w:t>
      3018. Теплообменные аппараты и сосуды под давлением, применяемые в системах, должны отвечать требованиям раздела 12 настоящих Правил.</w:t>
      </w:r>
    </w:p>
    <w:bookmarkEnd w:id="8905"/>
    <w:bookmarkStart w:name="z8946" w:id="8906"/>
    <w:p>
      <w:pPr>
        <w:spacing w:after="0"/>
        <w:ind w:left="0"/>
        <w:jc w:val="left"/>
      </w:pPr>
      <w:r>
        <w:rPr>
          <w:rFonts w:ascii="Times New Roman"/>
          <w:b/>
          <w:i w:val="false"/>
          <w:color w:val="000000"/>
        </w:rPr>
        <w:t xml:space="preserve"> Подраздел 2. Металлические трубопроводы</w:t>
      </w:r>
      <w:r>
        <w:br/>
      </w:r>
      <w:r>
        <w:rPr>
          <w:rFonts w:ascii="Times New Roman"/>
          <w:b/>
          <w:i w:val="false"/>
          <w:color w:val="000000"/>
        </w:rPr>
        <w:t>Глава 232. Материал, изготовление и применение</w:t>
      </w:r>
    </w:p>
    <w:bookmarkEnd w:id="8906"/>
    <w:p>
      <w:pPr>
        <w:spacing w:after="0"/>
        <w:ind w:left="0"/>
        <w:jc w:val="both"/>
      </w:pPr>
      <w:r>
        <w:rPr>
          <w:rFonts w:ascii="Times New Roman"/>
          <w:b w:val="false"/>
          <w:i w:val="false"/>
          <w:color w:val="ff0000"/>
          <w:sz w:val="28"/>
        </w:rPr>
        <w:t xml:space="preserve">
      Сноска. Заголовок главы 232 -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48" w:id="8907"/>
    <w:p>
      <w:pPr>
        <w:spacing w:after="0"/>
        <w:ind w:left="0"/>
        <w:jc w:val="both"/>
      </w:pPr>
      <w:r>
        <w:rPr>
          <w:rFonts w:ascii="Times New Roman"/>
          <w:b w:val="false"/>
          <w:i w:val="false"/>
          <w:color w:val="000000"/>
          <w:sz w:val="28"/>
        </w:rPr>
        <w:t>
      3019. Материалы труб и арматуры, их испытание должны отвечать требованиям раздела 15 настоящих Правил.</w:t>
      </w:r>
    </w:p>
    <w:bookmarkEnd w:id="8907"/>
    <w:bookmarkStart w:name="z8949" w:id="8908"/>
    <w:p>
      <w:pPr>
        <w:spacing w:after="0"/>
        <w:ind w:left="0"/>
        <w:jc w:val="both"/>
      </w:pPr>
      <w:r>
        <w:rPr>
          <w:rFonts w:ascii="Times New Roman"/>
          <w:b w:val="false"/>
          <w:i w:val="false"/>
          <w:color w:val="000000"/>
          <w:sz w:val="28"/>
        </w:rPr>
        <w:t>
      Топливные трубопроводы выполняют из стали или другого материала, отвечающего требованиям Регистра судоходства в отношении прочности и огнестойкости. Эти требования распространяются на масляные трубопроводы, расположенные в машинных помещениях, и трубопроводы, проводящие другие воспламеняющиеся нефтепродукты, включая гидравлические и термальные жидкости, если они расположены в помещениях, имеющих источники воспламенения.</w:t>
      </w:r>
    </w:p>
    <w:bookmarkEnd w:id="8908"/>
    <w:bookmarkStart w:name="z8950" w:id="8909"/>
    <w:p>
      <w:pPr>
        <w:spacing w:after="0"/>
        <w:ind w:left="0"/>
        <w:jc w:val="both"/>
      </w:pPr>
      <w:r>
        <w:rPr>
          <w:rFonts w:ascii="Times New Roman"/>
          <w:b w:val="false"/>
          <w:i w:val="false"/>
          <w:color w:val="000000"/>
          <w:sz w:val="28"/>
        </w:rPr>
        <w:t xml:space="preserve">
      3020. Трубы и арматура из углеродистой и углеродисто-марганцевой стали, как правило, применяются для сред с температурой не выше 400 </w:t>
      </w:r>
      <w:r>
        <w:rPr>
          <w:rFonts w:ascii="Times New Roman"/>
          <w:b w:val="false"/>
          <w:i w:val="false"/>
          <w:color w:val="000000"/>
          <w:vertAlign w:val="superscript"/>
        </w:rPr>
        <w:t>о</w:t>
      </w:r>
      <w:r>
        <w:rPr>
          <w:rFonts w:ascii="Times New Roman"/>
          <w:b w:val="false"/>
          <w:i w:val="false"/>
          <w:color w:val="000000"/>
          <w:sz w:val="28"/>
        </w:rPr>
        <w:t xml:space="preserve">С, низколегированной — не выше 500 </w:t>
      </w:r>
      <w:r>
        <w:rPr>
          <w:rFonts w:ascii="Times New Roman"/>
          <w:b w:val="false"/>
          <w:i w:val="false"/>
          <w:color w:val="000000"/>
          <w:vertAlign w:val="superscript"/>
        </w:rPr>
        <w:t>о</w:t>
      </w:r>
      <w:r>
        <w:rPr>
          <w:rFonts w:ascii="Times New Roman"/>
          <w:b w:val="false"/>
          <w:i w:val="false"/>
          <w:color w:val="000000"/>
          <w:sz w:val="28"/>
        </w:rPr>
        <w:t>С.</w:t>
      </w:r>
    </w:p>
    <w:bookmarkEnd w:id="8909"/>
    <w:bookmarkStart w:name="z8951" w:id="8910"/>
    <w:p>
      <w:pPr>
        <w:spacing w:after="0"/>
        <w:ind w:left="0"/>
        <w:jc w:val="both"/>
      </w:pPr>
      <w:r>
        <w:rPr>
          <w:rFonts w:ascii="Times New Roman"/>
          <w:b w:val="false"/>
          <w:i w:val="false"/>
          <w:color w:val="000000"/>
          <w:sz w:val="28"/>
        </w:rPr>
        <w:t>
      Применение этих сталей для сред с температурой выше указанной допускается при условии, что их механические свойства и предел длительной прочности за 100000 ч отвечают действующим стандартам и гарантируются изготовителем стали при данной повышенной температуре.</w:t>
      </w:r>
    </w:p>
    <w:bookmarkEnd w:id="8910"/>
    <w:bookmarkStart w:name="z8952" w:id="8911"/>
    <w:p>
      <w:pPr>
        <w:spacing w:after="0"/>
        <w:ind w:left="0"/>
        <w:jc w:val="both"/>
      </w:pPr>
      <w:r>
        <w:rPr>
          <w:rFonts w:ascii="Times New Roman"/>
          <w:b w:val="false"/>
          <w:i w:val="false"/>
          <w:color w:val="000000"/>
          <w:sz w:val="28"/>
        </w:rPr>
        <w:t xml:space="preserve">
      Трубы и арматура для сред с температурой выше 500 </w:t>
      </w:r>
      <w:r>
        <w:rPr>
          <w:rFonts w:ascii="Times New Roman"/>
          <w:b w:val="false"/>
          <w:i w:val="false"/>
          <w:color w:val="000000"/>
          <w:vertAlign w:val="superscript"/>
        </w:rPr>
        <w:t>о</w:t>
      </w:r>
      <w:r>
        <w:rPr>
          <w:rFonts w:ascii="Times New Roman"/>
          <w:b w:val="false"/>
          <w:i w:val="false"/>
          <w:color w:val="000000"/>
          <w:sz w:val="28"/>
        </w:rPr>
        <w:t>С изготавливаются из легированной стали. Это требование не распространяется на газовыпускные трубопроводы.</w:t>
      </w:r>
    </w:p>
    <w:bookmarkEnd w:id="8911"/>
    <w:bookmarkStart w:name="z8953" w:id="8912"/>
    <w:p>
      <w:pPr>
        <w:spacing w:after="0"/>
        <w:ind w:left="0"/>
        <w:jc w:val="both"/>
      </w:pPr>
      <w:r>
        <w:rPr>
          <w:rFonts w:ascii="Times New Roman"/>
          <w:b w:val="false"/>
          <w:i w:val="false"/>
          <w:color w:val="000000"/>
          <w:sz w:val="28"/>
        </w:rPr>
        <w:t>
      3021. Трубы из меди и медных сплавов изготавливают бесшовными или другого типа, одобренного Регистром судоходства.</w:t>
      </w:r>
    </w:p>
    <w:bookmarkEnd w:id="8912"/>
    <w:bookmarkStart w:name="z8954" w:id="8913"/>
    <w:p>
      <w:pPr>
        <w:spacing w:after="0"/>
        <w:ind w:left="0"/>
        <w:jc w:val="both"/>
      </w:pPr>
      <w:r>
        <w:rPr>
          <w:rFonts w:ascii="Times New Roman"/>
          <w:b w:val="false"/>
          <w:i w:val="false"/>
          <w:color w:val="000000"/>
          <w:sz w:val="28"/>
        </w:rPr>
        <w:t>
      Медные трубы для трубопроводов классов I и II должны быть бесшовными.</w:t>
      </w:r>
    </w:p>
    <w:bookmarkEnd w:id="8913"/>
    <w:bookmarkStart w:name="z8955" w:id="8914"/>
    <w:p>
      <w:pPr>
        <w:spacing w:after="0"/>
        <w:ind w:left="0"/>
        <w:jc w:val="both"/>
      </w:pPr>
      <w:r>
        <w:rPr>
          <w:rFonts w:ascii="Times New Roman"/>
          <w:b w:val="false"/>
          <w:i w:val="false"/>
          <w:color w:val="000000"/>
          <w:sz w:val="28"/>
        </w:rPr>
        <w:t xml:space="preserve">
      Трубы и арматура из меди и медных сплавов, как правило, применяются для сред с температурой не более 200 </w:t>
      </w:r>
      <w:r>
        <w:rPr>
          <w:rFonts w:ascii="Times New Roman"/>
          <w:b w:val="false"/>
          <w:i w:val="false"/>
          <w:color w:val="000000"/>
          <w:vertAlign w:val="superscript"/>
        </w:rPr>
        <w:t>о</w:t>
      </w:r>
      <w:r>
        <w:rPr>
          <w:rFonts w:ascii="Times New Roman"/>
          <w:b w:val="false"/>
          <w:i w:val="false"/>
          <w:color w:val="000000"/>
          <w:sz w:val="28"/>
        </w:rPr>
        <w:t xml:space="preserve">С, а медно-никелевых сплавов — для сред с температурой не более 300 </w:t>
      </w:r>
      <w:r>
        <w:rPr>
          <w:rFonts w:ascii="Times New Roman"/>
          <w:b w:val="false"/>
          <w:i w:val="false"/>
          <w:color w:val="000000"/>
          <w:vertAlign w:val="superscript"/>
        </w:rPr>
        <w:t>о</w:t>
      </w:r>
      <w:r>
        <w:rPr>
          <w:rFonts w:ascii="Times New Roman"/>
          <w:b w:val="false"/>
          <w:i w:val="false"/>
          <w:color w:val="000000"/>
          <w:sz w:val="28"/>
        </w:rPr>
        <w:t xml:space="preserve">С. Для сред с температурой до 260 </w:t>
      </w:r>
      <w:r>
        <w:rPr>
          <w:rFonts w:ascii="Times New Roman"/>
          <w:b w:val="false"/>
          <w:i w:val="false"/>
          <w:color w:val="000000"/>
          <w:vertAlign w:val="superscript"/>
        </w:rPr>
        <w:t>о</w:t>
      </w:r>
      <w:r>
        <w:rPr>
          <w:rFonts w:ascii="Times New Roman"/>
          <w:b w:val="false"/>
          <w:i w:val="false"/>
          <w:color w:val="000000"/>
          <w:sz w:val="28"/>
        </w:rPr>
        <w:t>С возможен допуск бронзовой арматуры.</w:t>
      </w:r>
    </w:p>
    <w:bookmarkEnd w:id="8914"/>
    <w:bookmarkStart w:name="z8956" w:id="8915"/>
    <w:p>
      <w:pPr>
        <w:spacing w:after="0"/>
        <w:ind w:left="0"/>
        <w:jc w:val="both"/>
      </w:pPr>
      <w:r>
        <w:rPr>
          <w:rFonts w:ascii="Times New Roman"/>
          <w:b w:val="false"/>
          <w:i w:val="false"/>
          <w:color w:val="000000"/>
          <w:sz w:val="28"/>
        </w:rPr>
        <w:t xml:space="preserve">
      3022. Трубы и арматура из серого чугуна допускается применять для трубопроводов класса III, используемых при температуре окружающей среды не ниже - 15 </w:t>
      </w:r>
      <w:r>
        <w:rPr>
          <w:rFonts w:ascii="Times New Roman"/>
          <w:b w:val="false"/>
          <w:i w:val="false"/>
          <w:color w:val="000000"/>
          <w:vertAlign w:val="superscript"/>
        </w:rPr>
        <w:t>о</w:t>
      </w:r>
      <w:r>
        <w:rPr>
          <w:rFonts w:ascii="Times New Roman"/>
          <w:b w:val="false"/>
          <w:i w:val="false"/>
          <w:color w:val="000000"/>
          <w:sz w:val="28"/>
        </w:rPr>
        <w:t>С, при этом предел прочности серого чугуна для труб должен быть не менее 200 МПа, а для корпусов арматуры и фасонных элементов – не менее 300 МПа. За исключением грузовых трубопроводов, допустимое рабочее давление в трубопроводах из серого чугуна не превышает 1 МПа, а для паропроводов - 0,3 МПа.</w:t>
      </w:r>
    </w:p>
    <w:bookmarkEnd w:id="8915"/>
    <w:bookmarkStart w:name="z8957" w:id="8916"/>
    <w:p>
      <w:pPr>
        <w:spacing w:after="0"/>
        <w:ind w:left="0"/>
        <w:jc w:val="both"/>
      </w:pPr>
      <w:r>
        <w:rPr>
          <w:rFonts w:ascii="Times New Roman"/>
          <w:b w:val="false"/>
          <w:i w:val="false"/>
          <w:color w:val="000000"/>
          <w:sz w:val="28"/>
        </w:rPr>
        <w:t>
      Применение труб и арматуры из серого чугуна допускается для грузовых трубопроводов с давлением до 1,6 МПа, проходящих по верхней палубе, внутри грузовых танков и отстойных цистерн, за исключением манифольдов, их клапанов и соединений для подключения грузовых шлангов.</w:t>
      </w:r>
    </w:p>
    <w:bookmarkEnd w:id="8916"/>
    <w:bookmarkStart w:name="z8958" w:id="8917"/>
    <w:p>
      <w:pPr>
        <w:spacing w:after="0"/>
        <w:ind w:left="0"/>
        <w:jc w:val="both"/>
      </w:pPr>
      <w:r>
        <w:rPr>
          <w:rFonts w:ascii="Times New Roman"/>
          <w:b w:val="false"/>
          <w:i w:val="false"/>
          <w:color w:val="000000"/>
          <w:sz w:val="28"/>
        </w:rPr>
        <w:t>
      Серый чугун не применяется для:</w:t>
      </w:r>
    </w:p>
    <w:bookmarkEnd w:id="8917"/>
    <w:bookmarkStart w:name="z8959" w:id="8918"/>
    <w:p>
      <w:pPr>
        <w:spacing w:after="0"/>
        <w:ind w:left="0"/>
        <w:jc w:val="both"/>
      </w:pPr>
      <w:r>
        <w:rPr>
          <w:rFonts w:ascii="Times New Roman"/>
          <w:b w:val="false"/>
          <w:i w:val="false"/>
          <w:color w:val="000000"/>
          <w:sz w:val="28"/>
        </w:rPr>
        <w:t xml:space="preserve">
      1) труб и арматуры с температурой среды выше 220 </w:t>
      </w:r>
      <w:r>
        <w:rPr>
          <w:rFonts w:ascii="Times New Roman"/>
          <w:b w:val="false"/>
          <w:i w:val="false"/>
          <w:color w:val="000000"/>
          <w:vertAlign w:val="superscript"/>
        </w:rPr>
        <w:t>о</w:t>
      </w:r>
      <w:r>
        <w:rPr>
          <w:rFonts w:ascii="Times New Roman"/>
          <w:b w:val="false"/>
          <w:i w:val="false"/>
          <w:color w:val="000000"/>
          <w:sz w:val="28"/>
        </w:rPr>
        <w:t>С;</w:t>
      </w:r>
    </w:p>
    <w:bookmarkEnd w:id="8918"/>
    <w:bookmarkStart w:name="z8960" w:id="8919"/>
    <w:p>
      <w:pPr>
        <w:spacing w:after="0"/>
        <w:ind w:left="0"/>
        <w:jc w:val="both"/>
      </w:pPr>
      <w:r>
        <w:rPr>
          <w:rFonts w:ascii="Times New Roman"/>
          <w:b w:val="false"/>
          <w:i w:val="false"/>
          <w:color w:val="000000"/>
          <w:sz w:val="28"/>
        </w:rPr>
        <w:t>
      2) труб и арматуры, подвергаемых гидравлическим ударам, чрезмерной деформации и вибрации;</w:t>
      </w:r>
    </w:p>
    <w:bookmarkEnd w:id="8919"/>
    <w:bookmarkStart w:name="z8961" w:id="8920"/>
    <w:p>
      <w:pPr>
        <w:spacing w:after="0"/>
        <w:ind w:left="0"/>
        <w:jc w:val="both"/>
      </w:pPr>
      <w:r>
        <w:rPr>
          <w:rFonts w:ascii="Times New Roman"/>
          <w:b w:val="false"/>
          <w:i w:val="false"/>
          <w:color w:val="000000"/>
          <w:sz w:val="28"/>
        </w:rPr>
        <w:t>
      3) труб, непосредственно связанных с наружной обшивкой корпуса;</w:t>
      </w:r>
    </w:p>
    <w:bookmarkEnd w:id="8920"/>
    <w:bookmarkStart w:name="z8962" w:id="8921"/>
    <w:p>
      <w:pPr>
        <w:spacing w:after="0"/>
        <w:ind w:left="0"/>
        <w:jc w:val="both"/>
      </w:pPr>
      <w:r>
        <w:rPr>
          <w:rFonts w:ascii="Times New Roman"/>
          <w:b w:val="false"/>
          <w:i w:val="false"/>
          <w:color w:val="000000"/>
          <w:sz w:val="28"/>
        </w:rPr>
        <w:t>
      4) арматуры, устанавливаемой непосредственно на наружной обшивке корпуса и таранной переборке;</w:t>
      </w:r>
    </w:p>
    <w:bookmarkEnd w:id="8921"/>
    <w:bookmarkStart w:name="z8963" w:id="8922"/>
    <w:p>
      <w:pPr>
        <w:spacing w:after="0"/>
        <w:ind w:left="0"/>
        <w:jc w:val="both"/>
      </w:pPr>
      <w:r>
        <w:rPr>
          <w:rFonts w:ascii="Times New Roman"/>
          <w:b w:val="false"/>
          <w:i w:val="false"/>
          <w:color w:val="000000"/>
          <w:sz w:val="28"/>
        </w:rPr>
        <w:t>
      5) арматуры, устанавливаемой непосредственно на топливных и масляных цистернах, находящихся под гидростатическим напором, если она не защищена от механических повреждений одобренным Регистром судоходства способом;</w:t>
      </w:r>
    </w:p>
    <w:bookmarkEnd w:id="8922"/>
    <w:bookmarkStart w:name="z8964" w:id="8923"/>
    <w:p>
      <w:pPr>
        <w:spacing w:after="0"/>
        <w:ind w:left="0"/>
        <w:jc w:val="both"/>
      </w:pPr>
      <w:r>
        <w:rPr>
          <w:rFonts w:ascii="Times New Roman"/>
          <w:b w:val="false"/>
          <w:i w:val="false"/>
          <w:color w:val="000000"/>
          <w:sz w:val="28"/>
        </w:rPr>
        <w:t>
      6) систем объемного пожаротушения;</w:t>
      </w:r>
    </w:p>
    <w:bookmarkEnd w:id="8923"/>
    <w:bookmarkStart w:name="z8965" w:id="8924"/>
    <w:p>
      <w:pPr>
        <w:spacing w:after="0"/>
        <w:ind w:left="0"/>
        <w:jc w:val="both"/>
      </w:pPr>
      <w:r>
        <w:rPr>
          <w:rFonts w:ascii="Times New Roman"/>
          <w:b w:val="false"/>
          <w:i w:val="false"/>
          <w:color w:val="000000"/>
          <w:sz w:val="28"/>
        </w:rPr>
        <w:t>
      7) балластных трубопроводов внутри грузовых и отстойных танков.</w:t>
      </w:r>
    </w:p>
    <w:bookmarkEnd w:id="8924"/>
    <w:bookmarkStart w:name="z8966" w:id="8925"/>
    <w:p>
      <w:pPr>
        <w:spacing w:after="0"/>
        <w:ind w:left="0"/>
        <w:jc w:val="both"/>
      </w:pPr>
      <w:r>
        <w:rPr>
          <w:rFonts w:ascii="Times New Roman"/>
          <w:b w:val="false"/>
          <w:i w:val="false"/>
          <w:color w:val="000000"/>
          <w:sz w:val="28"/>
        </w:rPr>
        <w:t>
      3023. Трубы и арматура из чугуна с шаровидным графитом применяются для трубопроводов классов II и III, включая трубопроводы балластной, осушительной и грузовой систем, если относительное удлинение этого чугуна составляет не менее 12 %. При относительном удлинении менее требуемого область применения труб и арматуры из шаровидного графита должна быть такой же, как это указано в пункте 3022 настоящих Правил для серого чугуна.</w:t>
      </w:r>
    </w:p>
    <w:bookmarkEnd w:id="8925"/>
    <w:bookmarkStart w:name="z8967" w:id="8926"/>
    <w:p>
      <w:pPr>
        <w:spacing w:after="0"/>
        <w:ind w:left="0"/>
        <w:jc w:val="both"/>
      </w:pPr>
      <w:r>
        <w:rPr>
          <w:rFonts w:ascii="Times New Roman"/>
          <w:b w:val="false"/>
          <w:i w:val="false"/>
          <w:color w:val="000000"/>
          <w:sz w:val="28"/>
        </w:rPr>
        <w:t xml:space="preserve">
      Рабочая температура для элементов трубопроводов из шаровидного чугуна на перлитной или ферритно-перлитной основе не превышает 300 </w:t>
      </w:r>
      <w:r>
        <w:rPr>
          <w:rFonts w:ascii="Times New Roman"/>
          <w:b w:val="false"/>
          <w:i w:val="false"/>
          <w:color w:val="000000"/>
          <w:vertAlign w:val="superscript"/>
        </w:rPr>
        <w:t>о</w:t>
      </w:r>
      <w:r>
        <w:rPr>
          <w:rFonts w:ascii="Times New Roman"/>
          <w:b w:val="false"/>
          <w:i w:val="false"/>
          <w:color w:val="000000"/>
          <w:sz w:val="28"/>
        </w:rPr>
        <w:t xml:space="preserve">С, а для чугуна на ферритной основе — 350 </w:t>
      </w:r>
      <w:r>
        <w:rPr>
          <w:rFonts w:ascii="Times New Roman"/>
          <w:b w:val="false"/>
          <w:i w:val="false"/>
          <w:color w:val="000000"/>
          <w:vertAlign w:val="superscript"/>
        </w:rPr>
        <w:t>о</w:t>
      </w:r>
      <w:r>
        <w:rPr>
          <w:rFonts w:ascii="Times New Roman"/>
          <w:b w:val="false"/>
          <w:i w:val="false"/>
          <w:color w:val="000000"/>
          <w:sz w:val="28"/>
        </w:rPr>
        <w:t>С.</w:t>
      </w:r>
    </w:p>
    <w:bookmarkEnd w:id="8926"/>
    <w:bookmarkStart w:name="z8968" w:id="8927"/>
    <w:p>
      <w:pPr>
        <w:spacing w:after="0"/>
        <w:ind w:left="0"/>
        <w:jc w:val="both"/>
      </w:pPr>
      <w:r>
        <w:rPr>
          <w:rFonts w:ascii="Times New Roman"/>
          <w:b w:val="false"/>
          <w:i w:val="false"/>
          <w:color w:val="000000"/>
          <w:sz w:val="28"/>
        </w:rPr>
        <w:t xml:space="preserve">
      Ударная вязкость чугуна с шаровидным графитом для трубопроводов и арматуры, используемых при температуре ниже — 15 </w:t>
      </w:r>
      <w:r>
        <w:rPr>
          <w:rFonts w:ascii="Times New Roman"/>
          <w:b w:val="false"/>
          <w:i w:val="false"/>
          <w:color w:val="000000"/>
          <w:vertAlign w:val="superscript"/>
        </w:rPr>
        <w:t>о</w:t>
      </w:r>
      <w:r>
        <w:rPr>
          <w:rFonts w:ascii="Times New Roman"/>
          <w:b w:val="false"/>
          <w:i w:val="false"/>
          <w:color w:val="000000"/>
          <w:sz w:val="28"/>
        </w:rPr>
        <w:t>С, должна быть не менее 20 Дж/см</w:t>
      </w:r>
      <w:r>
        <w:rPr>
          <w:rFonts w:ascii="Times New Roman"/>
          <w:b w:val="false"/>
          <w:i w:val="false"/>
          <w:color w:val="000000"/>
          <w:vertAlign w:val="superscript"/>
        </w:rPr>
        <w:t>2</w:t>
      </w:r>
      <w:r>
        <w:rPr>
          <w:rFonts w:ascii="Times New Roman"/>
          <w:b w:val="false"/>
          <w:i w:val="false"/>
          <w:color w:val="000000"/>
          <w:sz w:val="28"/>
        </w:rPr>
        <w:t>.</w:t>
      </w:r>
    </w:p>
    <w:bookmarkEnd w:id="8927"/>
    <w:bookmarkStart w:name="z8969" w:id="8928"/>
    <w:p>
      <w:pPr>
        <w:spacing w:after="0"/>
        <w:ind w:left="0"/>
        <w:jc w:val="both"/>
      </w:pPr>
      <w:r>
        <w:rPr>
          <w:rFonts w:ascii="Times New Roman"/>
          <w:b w:val="false"/>
          <w:i w:val="false"/>
          <w:color w:val="000000"/>
          <w:sz w:val="28"/>
        </w:rPr>
        <w:t>
      Донную и бортовую арматуру, арматуру, упомянутая в пунктах 3153, 3155 – 3156 настоящих Правил, а также арматура, устанавливаемая на таранной переборке, топливных и масляных цистернах допускается изготавливать из чугуна с шаровидным графитом, имеющего полностью ферритную структуру согласно приложению 563 настоящих Правил.</w:t>
      </w:r>
    </w:p>
    <w:bookmarkEnd w:id="8928"/>
    <w:bookmarkStart w:name="z8970" w:id="8929"/>
    <w:p>
      <w:pPr>
        <w:spacing w:after="0"/>
        <w:ind w:left="0"/>
        <w:jc w:val="both"/>
      </w:pPr>
      <w:r>
        <w:rPr>
          <w:rFonts w:ascii="Times New Roman"/>
          <w:b w:val="false"/>
          <w:i w:val="false"/>
          <w:color w:val="000000"/>
          <w:sz w:val="28"/>
        </w:rPr>
        <w:t xml:space="preserve">
      3024. Трубы диаметром до 50 мм и арматура из ковкого чугуна ферритной структуры с относительным удлинением более 12 % допускается применять для систем трубопроводов, упомянутых в пункте 3023 настоящих Правил, при рабочей температуре не ниже —15 </w:t>
      </w:r>
      <w:r>
        <w:rPr>
          <w:rFonts w:ascii="Times New Roman"/>
          <w:b w:val="false"/>
          <w:i w:val="false"/>
          <w:color w:val="000000"/>
          <w:vertAlign w:val="superscript"/>
        </w:rPr>
        <w:t>о</w:t>
      </w:r>
      <w:r>
        <w:rPr>
          <w:rFonts w:ascii="Times New Roman"/>
          <w:b w:val="false"/>
          <w:i w:val="false"/>
          <w:color w:val="000000"/>
          <w:sz w:val="28"/>
        </w:rPr>
        <w:t xml:space="preserve">С и не выше 350 </w:t>
      </w:r>
      <w:r>
        <w:rPr>
          <w:rFonts w:ascii="Times New Roman"/>
          <w:b w:val="false"/>
          <w:i w:val="false"/>
          <w:color w:val="000000"/>
          <w:vertAlign w:val="superscript"/>
        </w:rPr>
        <w:t>о</w:t>
      </w:r>
      <w:r>
        <w:rPr>
          <w:rFonts w:ascii="Times New Roman"/>
          <w:b w:val="false"/>
          <w:i w:val="false"/>
          <w:color w:val="000000"/>
          <w:sz w:val="28"/>
        </w:rPr>
        <w:t>С и при рабочем давлении до 2 МПа.</w:t>
      </w:r>
    </w:p>
    <w:bookmarkEnd w:id="8929"/>
    <w:bookmarkStart w:name="z8971" w:id="8930"/>
    <w:p>
      <w:pPr>
        <w:spacing w:after="0"/>
        <w:ind w:left="0"/>
        <w:jc w:val="both"/>
      </w:pPr>
      <w:r>
        <w:rPr>
          <w:rFonts w:ascii="Times New Roman"/>
          <w:b w:val="false"/>
          <w:i w:val="false"/>
          <w:color w:val="000000"/>
          <w:sz w:val="28"/>
        </w:rPr>
        <w:t>
      Область применения труб и арматуры из ковкого чугуна с относительным удлинением менее 12 % должна быть такой же, как указано в пункте 3022 настоящих Правил для изделий из серого чугуна.</w:t>
      </w:r>
    </w:p>
    <w:bookmarkEnd w:id="8930"/>
    <w:bookmarkStart w:name="z8972" w:id="8931"/>
    <w:p>
      <w:pPr>
        <w:spacing w:after="0"/>
        <w:ind w:left="0"/>
        <w:jc w:val="both"/>
      </w:pPr>
      <w:r>
        <w:rPr>
          <w:rFonts w:ascii="Times New Roman"/>
          <w:b w:val="false"/>
          <w:i w:val="false"/>
          <w:color w:val="000000"/>
          <w:sz w:val="28"/>
        </w:rPr>
        <w:t>
      3025. Применение труб и других элементов трубопроводов из алюминиевых сплавов в системах, перечисленных в пункте 2290 настоящих Правил, является в каждом случае предметом специального рассмотрения Регистром судоходства.</w:t>
      </w:r>
    </w:p>
    <w:bookmarkEnd w:id="8931"/>
    <w:bookmarkStart w:name="z8973" w:id="8932"/>
    <w:p>
      <w:pPr>
        <w:spacing w:after="0"/>
        <w:ind w:left="0"/>
        <w:jc w:val="both"/>
      </w:pPr>
      <w:r>
        <w:rPr>
          <w:rFonts w:ascii="Times New Roman"/>
          <w:b w:val="false"/>
          <w:i w:val="false"/>
          <w:color w:val="000000"/>
          <w:sz w:val="28"/>
        </w:rPr>
        <w:t>
      3026. Пробки и резьбовая часть палубных втулок измерительных труб на открытых палубах изготавливают из бронзы или латуни. Применение других материалов является в каждом случае предметом специального рассмотрения Регистром судоходства.</w:t>
      </w:r>
    </w:p>
    <w:bookmarkEnd w:id="8932"/>
    <w:bookmarkStart w:name="z8974" w:id="8933"/>
    <w:p>
      <w:pPr>
        <w:spacing w:after="0"/>
        <w:ind w:left="0"/>
        <w:jc w:val="both"/>
      </w:pPr>
      <w:r>
        <w:rPr>
          <w:rFonts w:ascii="Times New Roman"/>
          <w:b w:val="false"/>
          <w:i w:val="false"/>
          <w:color w:val="000000"/>
          <w:sz w:val="28"/>
        </w:rPr>
        <w:t>
      3027. Смотровые стекла на топливных и масляных трубопроводах должны быть жаростойкими.</w:t>
      </w:r>
    </w:p>
    <w:bookmarkEnd w:id="8933"/>
    <w:bookmarkStart w:name="z8975" w:id="8934"/>
    <w:p>
      <w:pPr>
        <w:spacing w:after="0"/>
        <w:ind w:left="0"/>
        <w:jc w:val="left"/>
      </w:pPr>
      <w:r>
        <w:rPr>
          <w:rFonts w:ascii="Times New Roman"/>
          <w:b/>
          <w:i w:val="false"/>
          <w:color w:val="000000"/>
        </w:rPr>
        <w:t xml:space="preserve"> Глава 233. Радиусы погибов труб, термическая обработка после гибки</w:t>
      </w:r>
    </w:p>
    <w:bookmarkEnd w:id="8934"/>
    <w:p>
      <w:pPr>
        <w:spacing w:after="0"/>
        <w:ind w:left="0"/>
        <w:jc w:val="both"/>
      </w:pPr>
      <w:r>
        <w:rPr>
          <w:rFonts w:ascii="Times New Roman"/>
          <w:b w:val="false"/>
          <w:i w:val="false"/>
          <w:color w:val="ff0000"/>
          <w:sz w:val="28"/>
        </w:rPr>
        <w:t xml:space="preserve">
      Сноска. Заголовок главы 233 -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76" w:id="8935"/>
    <w:p>
      <w:pPr>
        <w:spacing w:after="0"/>
        <w:ind w:left="0"/>
        <w:jc w:val="both"/>
      </w:pPr>
      <w:r>
        <w:rPr>
          <w:rFonts w:ascii="Times New Roman"/>
          <w:b w:val="false"/>
          <w:i w:val="false"/>
          <w:color w:val="000000"/>
          <w:sz w:val="28"/>
        </w:rPr>
        <w:t xml:space="preserve">
      3028. Внутренний радиус погиба труб продувания котлов должен быть не менее 3,5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внутренний диаметр трубы).</w:t>
      </w:r>
    </w:p>
    <w:bookmarkEnd w:id="8935"/>
    <w:bookmarkStart w:name="z8977" w:id="8936"/>
    <w:p>
      <w:pPr>
        <w:spacing w:after="0"/>
        <w:ind w:left="0"/>
        <w:jc w:val="both"/>
      </w:pPr>
      <w:r>
        <w:rPr>
          <w:rFonts w:ascii="Times New Roman"/>
          <w:b w:val="false"/>
          <w:i w:val="false"/>
          <w:color w:val="000000"/>
          <w:sz w:val="28"/>
        </w:rPr>
        <w:t xml:space="preserve">
      Внутренний радиус погиба стальных и медных труб, работающих под давлением более 0,49 МПа или с температурой среды, превышающей 60 </w:t>
      </w:r>
      <w:r>
        <w:rPr>
          <w:rFonts w:ascii="Times New Roman"/>
          <w:b w:val="false"/>
          <w:i w:val="false"/>
          <w:color w:val="000000"/>
          <w:vertAlign w:val="superscript"/>
        </w:rPr>
        <w:t>о</w:t>
      </w:r>
      <w:r>
        <w:rPr>
          <w:rFonts w:ascii="Times New Roman"/>
          <w:b w:val="false"/>
          <w:i w:val="false"/>
          <w:color w:val="000000"/>
          <w:sz w:val="28"/>
        </w:rPr>
        <w:t>С, а также радиус погиба труб, компенсирующих тепловые расширения, должен быть не менее 2,5</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наружный диаметр трубы).</w:t>
      </w:r>
    </w:p>
    <w:bookmarkEnd w:id="8936"/>
    <w:bookmarkStart w:name="z8978" w:id="8937"/>
    <w:p>
      <w:pPr>
        <w:spacing w:after="0"/>
        <w:ind w:left="0"/>
        <w:jc w:val="both"/>
      </w:pPr>
      <w:r>
        <w:rPr>
          <w:rFonts w:ascii="Times New Roman"/>
          <w:b w:val="false"/>
          <w:i w:val="false"/>
          <w:color w:val="000000"/>
          <w:sz w:val="28"/>
        </w:rPr>
        <w:t>
      По согласованию с Регистром судоходства возможен допуск технологии гибки с меньшим радиусом при условии, что в процессе гибки не происходит утонения стенки трубы ниже величин, определенных в главе 234 настоящих Правил.</w:t>
      </w:r>
    </w:p>
    <w:bookmarkEnd w:id="8937"/>
    <w:bookmarkStart w:name="z8979" w:id="8938"/>
    <w:p>
      <w:pPr>
        <w:spacing w:after="0"/>
        <w:ind w:left="0"/>
        <w:jc w:val="both"/>
      </w:pPr>
      <w:r>
        <w:rPr>
          <w:rFonts w:ascii="Times New Roman"/>
          <w:b w:val="false"/>
          <w:i w:val="false"/>
          <w:color w:val="000000"/>
          <w:sz w:val="28"/>
        </w:rPr>
        <w:t xml:space="preserve">
      3029. Горячая гибка стальных труб, как правило, производится при температуре 1000 — 850 </w:t>
      </w:r>
      <w:r>
        <w:rPr>
          <w:rFonts w:ascii="Times New Roman"/>
          <w:b w:val="false"/>
          <w:i w:val="false"/>
          <w:color w:val="000000"/>
          <w:vertAlign w:val="superscript"/>
        </w:rPr>
        <w:t>о</w:t>
      </w:r>
      <w:r>
        <w:rPr>
          <w:rFonts w:ascii="Times New Roman"/>
          <w:b w:val="false"/>
          <w:i w:val="false"/>
          <w:color w:val="000000"/>
          <w:sz w:val="28"/>
        </w:rPr>
        <w:t xml:space="preserve">С с возможным снижением этой температуры в процессе гибки до 750 </w:t>
      </w:r>
      <w:r>
        <w:rPr>
          <w:rFonts w:ascii="Times New Roman"/>
          <w:b w:val="false"/>
          <w:i w:val="false"/>
          <w:color w:val="000000"/>
          <w:vertAlign w:val="superscript"/>
        </w:rPr>
        <w:t>о</w:t>
      </w:r>
      <w:r>
        <w:rPr>
          <w:rFonts w:ascii="Times New Roman"/>
          <w:b w:val="false"/>
          <w:i w:val="false"/>
          <w:color w:val="000000"/>
          <w:sz w:val="28"/>
        </w:rPr>
        <w:t>С.</w:t>
      </w:r>
    </w:p>
    <w:bookmarkEnd w:id="8938"/>
    <w:bookmarkStart w:name="z8980" w:id="8939"/>
    <w:p>
      <w:pPr>
        <w:spacing w:after="0"/>
        <w:ind w:left="0"/>
        <w:jc w:val="both"/>
      </w:pPr>
      <w:r>
        <w:rPr>
          <w:rFonts w:ascii="Times New Roman"/>
          <w:b w:val="false"/>
          <w:i w:val="false"/>
          <w:color w:val="000000"/>
          <w:sz w:val="28"/>
        </w:rPr>
        <w:t>
      Для труб, гибка которых производится при температурном режиме, указанном выше, применяется следующее:</w:t>
      </w:r>
    </w:p>
    <w:bookmarkEnd w:id="8939"/>
    <w:bookmarkStart w:name="z8981" w:id="8940"/>
    <w:p>
      <w:pPr>
        <w:spacing w:after="0"/>
        <w:ind w:left="0"/>
        <w:jc w:val="both"/>
      </w:pPr>
      <w:r>
        <w:rPr>
          <w:rFonts w:ascii="Times New Roman"/>
          <w:b w:val="false"/>
          <w:i w:val="false"/>
          <w:color w:val="000000"/>
          <w:sz w:val="28"/>
        </w:rPr>
        <w:t>
      1) для труб из углеродистой, углеродисто-марганцевой и углеродисто-молибденовой стали термообработка после гибки не требуется;</w:t>
      </w:r>
    </w:p>
    <w:bookmarkEnd w:id="8940"/>
    <w:bookmarkStart w:name="z8982" w:id="8941"/>
    <w:p>
      <w:pPr>
        <w:spacing w:after="0"/>
        <w:ind w:left="0"/>
        <w:jc w:val="both"/>
      </w:pPr>
      <w:r>
        <w:rPr>
          <w:rFonts w:ascii="Times New Roman"/>
          <w:b w:val="false"/>
          <w:i w:val="false"/>
          <w:color w:val="000000"/>
          <w:sz w:val="28"/>
        </w:rPr>
        <w:t xml:space="preserve">
      2) трубы из хромомолибденовой стали 1 Сг — 0,5 Мо с толщиной стенки более 8 мм подвергаются термообработке со снятием напряжений при температуре 620 — 680 </w:t>
      </w:r>
      <w:r>
        <w:rPr>
          <w:rFonts w:ascii="Times New Roman"/>
          <w:b w:val="false"/>
          <w:i w:val="false"/>
          <w:color w:val="000000"/>
          <w:vertAlign w:val="superscript"/>
        </w:rPr>
        <w:t>о</w:t>
      </w:r>
      <w:r>
        <w:rPr>
          <w:rFonts w:ascii="Times New Roman"/>
          <w:b w:val="false"/>
          <w:i w:val="false"/>
          <w:color w:val="000000"/>
          <w:sz w:val="28"/>
        </w:rPr>
        <w:t>С;</w:t>
      </w:r>
    </w:p>
    <w:bookmarkEnd w:id="8941"/>
    <w:bookmarkStart w:name="z8983" w:id="8942"/>
    <w:p>
      <w:pPr>
        <w:spacing w:after="0"/>
        <w:ind w:left="0"/>
        <w:jc w:val="both"/>
      </w:pPr>
      <w:r>
        <w:rPr>
          <w:rFonts w:ascii="Times New Roman"/>
          <w:b w:val="false"/>
          <w:i w:val="false"/>
          <w:color w:val="000000"/>
          <w:sz w:val="28"/>
        </w:rPr>
        <w:t xml:space="preserve">
      3) трубы из хромомолибденовой стали 2,25 Сг — 1 Мо и из хромомолибденованадиевой стали 0,5 Сг — 0,5 Мо — 0,25 V любой толщины подвергаются термообработке со снятием напряжений при температуре 650 — 720 </w:t>
      </w:r>
      <w:r>
        <w:rPr>
          <w:rFonts w:ascii="Times New Roman"/>
          <w:b w:val="false"/>
          <w:i w:val="false"/>
          <w:color w:val="000000"/>
          <w:vertAlign w:val="superscript"/>
        </w:rPr>
        <w:t>о</w:t>
      </w:r>
      <w:r>
        <w:rPr>
          <w:rFonts w:ascii="Times New Roman"/>
          <w:b w:val="false"/>
          <w:i w:val="false"/>
          <w:color w:val="000000"/>
          <w:sz w:val="28"/>
        </w:rPr>
        <w:t xml:space="preserve">С, кроме труб с толщиной стенки не более 8 мм, диаметром не более 100 мм и с максимальной рабочей температурой до 450 </w:t>
      </w:r>
      <w:r>
        <w:rPr>
          <w:rFonts w:ascii="Times New Roman"/>
          <w:b w:val="false"/>
          <w:i w:val="false"/>
          <w:color w:val="000000"/>
          <w:vertAlign w:val="superscript"/>
        </w:rPr>
        <w:t>о</w:t>
      </w:r>
      <w:r>
        <w:rPr>
          <w:rFonts w:ascii="Times New Roman"/>
          <w:b w:val="false"/>
          <w:i w:val="false"/>
          <w:color w:val="000000"/>
          <w:sz w:val="28"/>
        </w:rPr>
        <w:t>С, для которых термообработку допускается не производить.</w:t>
      </w:r>
    </w:p>
    <w:bookmarkEnd w:id="8942"/>
    <w:bookmarkStart w:name="z8984" w:id="8943"/>
    <w:p>
      <w:pPr>
        <w:spacing w:after="0"/>
        <w:ind w:left="0"/>
        <w:jc w:val="both"/>
      </w:pPr>
      <w:r>
        <w:rPr>
          <w:rFonts w:ascii="Times New Roman"/>
          <w:b w:val="false"/>
          <w:i w:val="false"/>
          <w:color w:val="000000"/>
          <w:sz w:val="28"/>
        </w:rPr>
        <w:t>
      3030. Если горячая гибка производится при температурах, находящихся за пределами, указанными в пункте 3029 настоящих Правил, трубы после гибки подвергаются термообработке в соответствии с приложением 334 настоящих Правил.</w:t>
      </w:r>
    </w:p>
    <w:bookmarkEnd w:id="8943"/>
    <w:bookmarkStart w:name="z8985" w:id="8944"/>
    <w:p>
      <w:pPr>
        <w:spacing w:after="0"/>
        <w:ind w:left="0"/>
        <w:jc w:val="both"/>
      </w:pPr>
      <w:r>
        <w:rPr>
          <w:rFonts w:ascii="Times New Roman"/>
          <w:b w:val="false"/>
          <w:i w:val="false"/>
          <w:color w:val="000000"/>
          <w:sz w:val="28"/>
        </w:rPr>
        <w:t xml:space="preserve">
      3031. После холодной гибки с радиусом, равным четырем наружным диаметрам и менее, как правило, трубы подвергаются полной термообработке в соответствии с приложением 334 настоящих Правил. Термообработке со снятием напряжений подвергаются углеродистомолибденовые 0,3 Мо трубы с толщиной стенки не менее 15 мм при 580 — 640 </w:t>
      </w:r>
      <w:r>
        <w:rPr>
          <w:rFonts w:ascii="Times New Roman"/>
          <w:b w:val="false"/>
          <w:i w:val="false"/>
          <w:color w:val="000000"/>
          <w:vertAlign w:val="superscript"/>
        </w:rPr>
        <w:t>о</w:t>
      </w:r>
      <w:r>
        <w:rPr>
          <w:rFonts w:ascii="Times New Roman"/>
          <w:b w:val="false"/>
          <w:i w:val="false"/>
          <w:color w:val="000000"/>
          <w:sz w:val="28"/>
        </w:rPr>
        <w:t xml:space="preserve">С, хромомолибденовые 1 Сг — 0,5 Мо трубы с толщиной стенки не менее 8 мм при 620 — 680 </w:t>
      </w:r>
      <w:r>
        <w:rPr>
          <w:rFonts w:ascii="Times New Roman"/>
          <w:b w:val="false"/>
          <w:i w:val="false"/>
          <w:color w:val="000000"/>
          <w:vertAlign w:val="superscript"/>
        </w:rPr>
        <w:t>о</w:t>
      </w:r>
      <w:r>
        <w:rPr>
          <w:rFonts w:ascii="Times New Roman"/>
          <w:b w:val="false"/>
          <w:i w:val="false"/>
          <w:color w:val="000000"/>
          <w:sz w:val="28"/>
        </w:rPr>
        <w:t xml:space="preserve">С, а хромомолибденовые 2,25 Сг — 1 Мо и хромомолибденованадиевые 0,5 Сг - 0,5 Мо — 0,25 V трубы с толщиной стенки не менее 8 мм, диаметром не менее 100 мм и рабочей температурой выше 450 </w:t>
      </w:r>
      <w:r>
        <w:rPr>
          <w:rFonts w:ascii="Times New Roman"/>
          <w:b w:val="false"/>
          <w:i w:val="false"/>
          <w:color w:val="000000"/>
          <w:vertAlign w:val="superscript"/>
        </w:rPr>
        <w:t>о</w:t>
      </w:r>
      <w:r>
        <w:rPr>
          <w:rFonts w:ascii="Times New Roman"/>
          <w:b w:val="false"/>
          <w:i w:val="false"/>
          <w:color w:val="000000"/>
          <w:sz w:val="28"/>
        </w:rPr>
        <w:t xml:space="preserve">С подвергаются термообработке со снятием напряжений при 650 — 720 </w:t>
      </w:r>
      <w:r>
        <w:rPr>
          <w:rFonts w:ascii="Times New Roman"/>
          <w:b w:val="false"/>
          <w:i w:val="false"/>
          <w:color w:val="000000"/>
          <w:vertAlign w:val="superscript"/>
        </w:rPr>
        <w:t>о</w:t>
      </w:r>
      <w:r>
        <w:rPr>
          <w:rFonts w:ascii="Times New Roman"/>
          <w:b w:val="false"/>
          <w:i w:val="false"/>
          <w:color w:val="000000"/>
          <w:sz w:val="28"/>
        </w:rPr>
        <w:t>С.</w:t>
      </w:r>
    </w:p>
    <w:bookmarkEnd w:id="8944"/>
    <w:bookmarkStart w:name="z8986" w:id="8945"/>
    <w:p>
      <w:pPr>
        <w:spacing w:after="0"/>
        <w:ind w:left="0"/>
        <w:jc w:val="both"/>
      </w:pPr>
      <w:r>
        <w:rPr>
          <w:rFonts w:ascii="Times New Roman"/>
          <w:b w:val="false"/>
          <w:i w:val="false"/>
          <w:color w:val="000000"/>
          <w:sz w:val="28"/>
        </w:rPr>
        <w:t>
      3032. Трубы из меди и медных сплавов, за исключением труб контрольно-измерительных приборов, подвергают отжигу до гидравлического испытания.</w:t>
      </w:r>
    </w:p>
    <w:bookmarkEnd w:id="8945"/>
    <w:bookmarkStart w:name="z8987" w:id="8946"/>
    <w:p>
      <w:pPr>
        <w:spacing w:after="0"/>
        <w:ind w:left="0"/>
        <w:jc w:val="both"/>
      </w:pPr>
      <w:r>
        <w:rPr>
          <w:rFonts w:ascii="Times New Roman"/>
          <w:b w:val="false"/>
          <w:i w:val="false"/>
          <w:color w:val="000000"/>
          <w:sz w:val="28"/>
        </w:rPr>
        <w:t>
      3033. Предварительный нагрев перед сваркой и термическая обработка после сварки производится в соответствии с требованиями 6879 – 6881 настоящих Правил.</w:t>
      </w:r>
    </w:p>
    <w:bookmarkEnd w:id="8946"/>
    <w:bookmarkStart w:name="z8988" w:id="8947"/>
    <w:p>
      <w:pPr>
        <w:spacing w:after="0"/>
        <w:ind w:left="0"/>
        <w:jc w:val="left"/>
      </w:pPr>
      <w:r>
        <w:rPr>
          <w:rFonts w:ascii="Times New Roman"/>
          <w:b/>
          <w:i w:val="false"/>
          <w:color w:val="000000"/>
        </w:rPr>
        <w:t xml:space="preserve"> Глава 234. Толщина стенок металлических труб</w:t>
      </w:r>
    </w:p>
    <w:bookmarkEnd w:id="8947"/>
    <w:p>
      <w:pPr>
        <w:spacing w:after="0"/>
        <w:ind w:left="0"/>
        <w:jc w:val="both"/>
      </w:pPr>
      <w:r>
        <w:rPr>
          <w:rFonts w:ascii="Times New Roman"/>
          <w:b w:val="false"/>
          <w:i w:val="false"/>
          <w:color w:val="ff0000"/>
          <w:sz w:val="28"/>
        </w:rPr>
        <w:t xml:space="preserve">
      Сноска. Заголовок главы 234 -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89" w:id="8948"/>
    <w:p>
      <w:pPr>
        <w:spacing w:after="0"/>
        <w:ind w:left="0"/>
        <w:jc w:val="both"/>
      </w:pPr>
      <w:r>
        <w:rPr>
          <w:rFonts w:ascii="Times New Roman"/>
          <w:b w:val="false"/>
          <w:i w:val="false"/>
          <w:color w:val="000000"/>
          <w:sz w:val="28"/>
        </w:rPr>
        <w:t>
      3034. Толщина стенок металлических труб (кроме чугунных), работающих под внутренним давлением, соответствует большему из значений, определенных из приложения 339 настоящих Правил или из следующей формулы:</w:t>
      </w:r>
    </w:p>
    <w:bookmarkEnd w:id="89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8"/>
                    <a:stretch>
                      <a:fillRect/>
                    </a:stretch>
                  </pic:blipFill>
                  <pic:spPr>
                    <a:xfrm>
                      <a:off x="0" y="0"/>
                      <a:ext cx="1295400" cy="546100"/>
                    </a:xfrm>
                    <a:prstGeom prst="rect">
                      <a:avLst/>
                    </a:prstGeom>
                  </pic:spPr>
                </pic:pic>
              </a:graphicData>
            </a:graphic>
          </wp:inline>
        </w:drawing>
      </w:r>
    </w:p>
    <w:p>
      <w:pPr>
        <w:spacing w:after="0"/>
        <w:ind w:left="0"/>
        <w:jc w:val="left"/>
      </w:pPr>
      <w:r>
        <w:rPr>
          <w:rFonts w:ascii="Times New Roman"/>
          <w:b w:val="false"/>
          <w:i w:val="false"/>
          <w:color w:val="000000"/>
          <w:sz w:val="28"/>
        </w:rPr>
        <w:t>,                          (762)</w:t>
      </w:r>
      <w:r>
        <w:br/>
      </w:r>
      <w:r>
        <w:rPr>
          <w:rFonts w:ascii="Times New Roman"/>
          <w:b w:val="false"/>
          <w:i w:val="false"/>
          <w:color w:val="000000"/>
          <w:sz w:val="28"/>
        </w:rPr>
        <w:t>
</w:t>
      </w:r>
    </w:p>
    <w:bookmarkStart w:name="z8990" w:id="8949"/>
    <w:p>
      <w:pPr>
        <w:spacing w:after="0"/>
        <w:ind w:left="0"/>
        <w:jc w:val="both"/>
      </w:pPr>
      <w:r>
        <w:rPr>
          <w:rFonts w:ascii="Times New Roman"/>
          <w:b w:val="false"/>
          <w:i w:val="false"/>
          <w:color w:val="000000"/>
          <w:sz w:val="28"/>
        </w:rPr>
        <w:t xml:space="preserve">
      где </w:t>
      </w:r>
    </w:p>
    <w:bookmarkEnd w:id="8949"/>
    <w:p>
      <w:pPr>
        <w:spacing w:after="0"/>
        <w:ind w:left="0"/>
        <w:jc w:val="both"/>
      </w:pPr>
      <w:r>
        <w:drawing>
          <wp:inline distT="0" distB="0" distL="0" distR="0">
            <wp:extent cx="1143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9"/>
                    <a:stretch>
                      <a:fillRect/>
                    </a:stretch>
                  </pic:blipFill>
                  <pic:spPr>
                    <a:xfrm>
                      <a:off x="0" y="0"/>
                      <a:ext cx="11430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991" w:id="895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o</w:t>
      </w:r>
      <w:r>
        <w:rPr>
          <w:rFonts w:ascii="Times New Roman"/>
          <w:b w:val="false"/>
          <w:i w:val="false"/>
          <w:color w:val="000000"/>
          <w:sz w:val="28"/>
        </w:rPr>
        <w:t xml:space="preserve"> — теоретическая толщина стенки, мм;</w:t>
      </w:r>
    </w:p>
    <w:bookmarkEnd w:id="8950"/>
    <w:bookmarkStart w:name="z8992" w:id="895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наружный диаметр трубы, мм;</w:t>
      </w:r>
    </w:p>
    <w:bookmarkEnd w:id="8951"/>
    <w:bookmarkStart w:name="z8993" w:id="895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расчетное давление, определяемое согласно пункту 3035 настоящих Правил, МПа;</w:t>
      </w:r>
    </w:p>
    <w:bookmarkEnd w:id="8952"/>
    <w:bookmarkStart w:name="z8994" w:id="8953"/>
    <w:p>
      <w:pPr>
        <w:spacing w:after="0"/>
        <w:ind w:left="0"/>
        <w:jc w:val="both"/>
      </w:pPr>
      <w:r>
        <w:rPr>
          <w:rFonts w:ascii="Times New Roman"/>
          <w:b w:val="false"/>
          <w:i w:val="false"/>
          <w:color w:val="000000"/>
          <w:sz w:val="28"/>
        </w:rPr>
        <w:t xml:space="preserve">
      </w:t>
      </w:r>
    </w:p>
    <w:bookmarkEnd w:id="8953"/>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0"/>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прочности, принимаемый согласно пункту 3036 настоящих Правил;</w:t>
      </w:r>
      <w:r>
        <w:br/>
      </w:r>
      <w:r>
        <w:rPr>
          <w:rFonts w:ascii="Times New Roman"/>
          <w:b w:val="false"/>
          <w:i w:val="false"/>
          <w:color w:val="000000"/>
          <w:sz w:val="28"/>
        </w:rPr>
        <w:t>
</w:t>
      </w:r>
    </w:p>
    <w:bookmarkStart w:name="z8995" w:id="895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—прибавка, учитывающая фактическое утонение трубы при гибке, принимаемая согласно 3037 настоящих Правил, мм;</w:t>
      </w:r>
    </w:p>
    <w:bookmarkEnd w:id="8954"/>
    <w:bookmarkStart w:name="z8996" w:id="8955"/>
    <w:p>
      <w:pPr>
        <w:spacing w:after="0"/>
        <w:ind w:left="0"/>
        <w:jc w:val="both"/>
      </w:pPr>
      <w:r>
        <w:rPr>
          <w:rFonts w:ascii="Times New Roman"/>
          <w:b w:val="false"/>
          <w:i w:val="false"/>
          <w:color w:val="000000"/>
          <w:sz w:val="28"/>
        </w:rPr>
        <w:t xml:space="preserve">
      </w:t>
      </w:r>
    </w:p>
    <w:bookmarkEnd w:id="8955"/>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1"/>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допускаемое нормальное напряжение, определяемое согласно пунктов 3038 – 3044 настоящих Правил, МПа;</w:t>
      </w:r>
      <w:r>
        <w:br/>
      </w:r>
      <w:r>
        <w:rPr>
          <w:rFonts w:ascii="Times New Roman"/>
          <w:b w:val="false"/>
          <w:i w:val="false"/>
          <w:color w:val="000000"/>
          <w:sz w:val="28"/>
        </w:rPr>
        <w:t>
</w:t>
      </w:r>
    </w:p>
    <w:bookmarkStart w:name="z8997" w:id="895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прибавка на коррозию, принимаемая по приложению 335 настоящих Правил для стальных труб и приложения 336 настоящих Правил для труб из цветных металлов, мм;</w:t>
      </w:r>
    </w:p>
    <w:bookmarkEnd w:id="8956"/>
    <w:bookmarkStart w:name="z8998" w:id="895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минусовый производственный допуск на толщину стенки трубы, %, (если используются трубы без минусового допуска, </w:t>
      </w:r>
      <w:r>
        <w:rPr>
          <w:rFonts w:ascii="Times New Roman"/>
          <w:b w:val="false"/>
          <w:i/>
          <w:color w:val="000000"/>
          <w:sz w:val="28"/>
        </w:rPr>
        <w:t>а</w:t>
      </w:r>
      <w:r>
        <w:rPr>
          <w:rFonts w:ascii="Times New Roman"/>
          <w:b w:val="false"/>
          <w:i w:val="false"/>
          <w:color w:val="000000"/>
          <w:sz w:val="28"/>
        </w:rPr>
        <w:t xml:space="preserve"> = 0).</w:t>
      </w:r>
    </w:p>
    <w:bookmarkEnd w:id="8957"/>
    <w:bookmarkStart w:name="z8999" w:id="8958"/>
    <w:p>
      <w:pPr>
        <w:spacing w:after="0"/>
        <w:ind w:left="0"/>
        <w:jc w:val="both"/>
      </w:pPr>
      <w:r>
        <w:rPr>
          <w:rFonts w:ascii="Times New Roman"/>
          <w:b w:val="false"/>
          <w:i w:val="false"/>
          <w:color w:val="000000"/>
          <w:sz w:val="28"/>
        </w:rPr>
        <w:t>
      3035. За расчетное давление, по которому производится расчет на прочность трубопроводов, принимается максимальное рабочее давление в системе. При установке предохранительных клапанов за расчетное принимается наибольшее давление их открытия. Трубопроводы и элементы систем трубопроводов, которые не защищены предохранительным клапаном или могут быть отключены от своего предохранительного клапана, рассчитывают на максимально возможный напор на выходе присоединенных насосов.</w:t>
      </w:r>
    </w:p>
    <w:bookmarkEnd w:id="8958"/>
    <w:bookmarkStart w:name="z9000" w:id="8959"/>
    <w:p>
      <w:pPr>
        <w:spacing w:after="0"/>
        <w:ind w:left="0"/>
        <w:jc w:val="both"/>
      </w:pPr>
      <w:r>
        <w:rPr>
          <w:rFonts w:ascii="Times New Roman"/>
          <w:b w:val="false"/>
          <w:i w:val="false"/>
          <w:color w:val="000000"/>
          <w:sz w:val="28"/>
        </w:rPr>
        <w:t>
      Для трубопроводов, содержащих подогретое топливо, расчетное давление выбирается в соответствии с приложением 337 настоящих Правил.</w:t>
      </w:r>
    </w:p>
    <w:bookmarkEnd w:id="8959"/>
    <w:bookmarkStart w:name="z9001" w:id="8960"/>
    <w:p>
      <w:pPr>
        <w:spacing w:after="0"/>
        <w:ind w:left="0"/>
        <w:jc w:val="both"/>
      </w:pPr>
      <w:r>
        <w:rPr>
          <w:rFonts w:ascii="Times New Roman"/>
          <w:b w:val="false"/>
          <w:i w:val="false"/>
          <w:color w:val="000000"/>
          <w:sz w:val="28"/>
        </w:rPr>
        <w:t>
      Для трубопроводов рулевого привода расчетное давление принимается в соответствии с пунктом 4247 настоящих Правил.</w:t>
      </w:r>
    </w:p>
    <w:bookmarkEnd w:id="8960"/>
    <w:bookmarkStart w:name="z9002" w:id="8961"/>
    <w:p>
      <w:pPr>
        <w:spacing w:after="0"/>
        <w:ind w:left="0"/>
        <w:jc w:val="both"/>
      </w:pPr>
      <w:r>
        <w:rPr>
          <w:rFonts w:ascii="Times New Roman"/>
          <w:b w:val="false"/>
          <w:i w:val="false"/>
          <w:color w:val="000000"/>
          <w:sz w:val="28"/>
        </w:rPr>
        <w:t>
      В особых случаях, не предусмотренных Правилами, расчетное давление подлежит специальному рассмотрению Регистром судоходства.</w:t>
      </w:r>
    </w:p>
    <w:bookmarkEnd w:id="8961"/>
    <w:bookmarkStart w:name="z9003" w:id="8962"/>
    <w:p>
      <w:pPr>
        <w:spacing w:after="0"/>
        <w:ind w:left="0"/>
        <w:jc w:val="both"/>
      </w:pPr>
      <w:r>
        <w:rPr>
          <w:rFonts w:ascii="Times New Roman"/>
          <w:b w:val="false"/>
          <w:i w:val="false"/>
          <w:color w:val="000000"/>
          <w:sz w:val="28"/>
        </w:rPr>
        <w:t>
      3036. Коэффициент прочности ц в расчетах на прочность принимается равным единице для бесшовных труб и одобренных сварных труб, признанных эквивалентными бесшовным.</w:t>
      </w:r>
    </w:p>
    <w:bookmarkEnd w:id="8962"/>
    <w:bookmarkStart w:name="z9004" w:id="8963"/>
    <w:p>
      <w:pPr>
        <w:spacing w:after="0"/>
        <w:ind w:left="0"/>
        <w:jc w:val="both"/>
      </w:pPr>
      <w:r>
        <w:rPr>
          <w:rFonts w:ascii="Times New Roman"/>
          <w:b w:val="false"/>
          <w:i w:val="false"/>
          <w:color w:val="000000"/>
          <w:sz w:val="28"/>
        </w:rPr>
        <w:t>
      Для других сварных труб значение коэффициента прочности ц является в каждом случае предметом специального рассмотрения Регистром судоходства.</w:t>
      </w:r>
    </w:p>
    <w:bookmarkEnd w:id="8963"/>
    <w:bookmarkStart w:name="z9005" w:id="8964"/>
    <w:p>
      <w:pPr>
        <w:spacing w:after="0"/>
        <w:ind w:left="0"/>
        <w:jc w:val="both"/>
      </w:pPr>
      <w:r>
        <w:rPr>
          <w:rFonts w:ascii="Times New Roman"/>
          <w:b w:val="false"/>
          <w:i w:val="false"/>
          <w:color w:val="000000"/>
          <w:sz w:val="28"/>
        </w:rPr>
        <w:t>
      3037. Прибавка, учитывающая фактическое утонение трубы при гибка, назначается таким образом, чтобы напряжения в изогнутой части трубы от внутреннего давления не превышали допускаемых.</w:t>
      </w:r>
    </w:p>
    <w:bookmarkEnd w:id="8964"/>
    <w:bookmarkStart w:name="z9006" w:id="8965"/>
    <w:p>
      <w:pPr>
        <w:spacing w:after="0"/>
        <w:ind w:left="0"/>
        <w:jc w:val="both"/>
      </w:pPr>
      <w:r>
        <w:rPr>
          <w:rFonts w:ascii="Times New Roman"/>
          <w:b w:val="false"/>
          <w:i w:val="false"/>
          <w:color w:val="000000"/>
          <w:sz w:val="28"/>
        </w:rPr>
        <w:t>
      Если значения фактических утонений при гибке отсутствуют, прибавка, b мм, определяется по формуле:</w:t>
      </w:r>
    </w:p>
    <w:bookmarkEnd w:id="89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2"/>
                    <a:stretch>
                      <a:fillRect/>
                    </a:stretch>
                  </pic:blipFill>
                  <pic:spPr>
                    <a:xfrm>
                      <a:off x="0" y="0"/>
                      <a:ext cx="990600" cy="508000"/>
                    </a:xfrm>
                    <a:prstGeom prst="rect">
                      <a:avLst/>
                    </a:prstGeom>
                  </pic:spPr>
                </pic:pic>
              </a:graphicData>
            </a:graphic>
          </wp:inline>
        </w:drawing>
      </w:r>
    </w:p>
    <w:p>
      <w:pPr>
        <w:spacing w:after="0"/>
        <w:ind w:left="0"/>
        <w:jc w:val="left"/>
      </w:pPr>
      <w:r>
        <w:rPr>
          <w:rFonts w:ascii="Times New Roman"/>
          <w:b w:val="false"/>
          <w:i w:val="false"/>
          <w:color w:val="000000"/>
          <w:sz w:val="28"/>
        </w:rPr>
        <w:t>,                            (763)</w:t>
      </w:r>
      <w:r>
        <w:br/>
      </w:r>
      <w:r>
        <w:rPr>
          <w:rFonts w:ascii="Times New Roman"/>
          <w:b w:val="false"/>
          <w:i w:val="false"/>
          <w:color w:val="000000"/>
          <w:sz w:val="28"/>
        </w:rPr>
        <w:t>
</w:t>
      </w:r>
    </w:p>
    <w:bookmarkStart w:name="z9007" w:id="8966"/>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 средний радиус погиба трубы, мм.</w:t>
      </w:r>
    </w:p>
    <w:bookmarkEnd w:id="8966"/>
    <w:bookmarkStart w:name="z9008" w:id="8967"/>
    <w:p>
      <w:pPr>
        <w:spacing w:after="0"/>
        <w:ind w:left="0"/>
        <w:jc w:val="both"/>
      </w:pPr>
      <w:r>
        <w:rPr>
          <w:rFonts w:ascii="Times New Roman"/>
          <w:b w:val="false"/>
          <w:i w:val="false"/>
          <w:color w:val="000000"/>
          <w:sz w:val="28"/>
        </w:rPr>
        <w:t>
      3038. В расчетах на прочность допускаемые напряжения для труб принимаются с учетом следующих свойств материала и условий работы:</w:t>
      </w:r>
    </w:p>
    <w:bookmarkEnd w:id="8967"/>
    <w:bookmarkStart w:name="z9009" w:id="896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m/20</w:t>
      </w:r>
      <w:r>
        <w:rPr>
          <w:rFonts w:ascii="Times New Roman"/>
          <w:b w:val="false"/>
          <w:i w:val="false"/>
          <w:color w:val="000000"/>
          <w:sz w:val="28"/>
        </w:rPr>
        <w:t xml:space="preserve"> — временного сопротивления при комнатной температуре, МПа;</w:t>
      </w:r>
    </w:p>
    <w:bookmarkEnd w:id="8968"/>
    <w:bookmarkStart w:name="z9010" w:id="896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eL/t</w:t>
      </w:r>
      <w:r>
        <w:rPr>
          <w:rFonts w:ascii="Times New Roman"/>
          <w:b w:val="false"/>
          <w:i w:val="false"/>
          <w:color w:val="000000"/>
          <w:sz w:val="28"/>
        </w:rPr>
        <w:t xml:space="preserve"> — минимального предела текучести при расчетной температуре, МПа;</w:t>
      </w:r>
    </w:p>
    <w:bookmarkEnd w:id="8969"/>
    <w:bookmarkStart w:name="z9011" w:id="897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0,2/t</w:t>
      </w:r>
      <w:r>
        <w:rPr>
          <w:rFonts w:ascii="Times New Roman"/>
          <w:b w:val="false"/>
          <w:i w:val="false"/>
          <w:color w:val="000000"/>
          <w:sz w:val="28"/>
        </w:rPr>
        <w:t xml:space="preserve"> — условного предела текучести при расчетной температуре, МПа;</w:t>
      </w:r>
    </w:p>
    <w:bookmarkEnd w:id="8970"/>
    <w:p>
      <w:pPr>
        <w:spacing w:after="0"/>
        <w:ind w:left="0"/>
        <w:jc w:val="both"/>
      </w:pPr>
      <w:r>
        <w:rPr>
          <w:rFonts w:ascii="Times New Roman"/>
          <w:b w:val="false"/>
          <w:i w:val="false"/>
          <w:color w:val="000000"/>
          <w:sz w:val="28"/>
        </w:rPr>
        <w:t>
      100 000</w:t>
      </w:r>
    </w:p>
    <w:bookmarkStart w:name="z9012" w:id="897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m/t</w:t>
      </w:r>
      <w:r>
        <w:rPr>
          <w:rFonts w:ascii="Times New Roman"/>
          <w:b w:val="false"/>
          <w:i w:val="false"/>
          <w:color w:val="000000"/>
          <w:sz w:val="28"/>
        </w:rPr>
        <w:t xml:space="preserve"> — предела длительной прочности за 100 000 ч при расчетной температуре, МПа;</w:t>
      </w:r>
    </w:p>
    <w:bookmarkEnd w:id="8971"/>
    <w:p>
      <w:pPr>
        <w:spacing w:after="0"/>
        <w:ind w:left="0"/>
        <w:jc w:val="both"/>
      </w:pPr>
      <w:r>
        <w:rPr>
          <w:rFonts w:ascii="Times New Roman"/>
          <w:b w:val="false"/>
          <w:i w:val="false"/>
          <w:color w:val="000000"/>
          <w:sz w:val="28"/>
        </w:rPr>
        <w:t>
      100 000</w:t>
      </w:r>
    </w:p>
    <w:bookmarkStart w:name="z9013" w:id="897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p1%/t</w:t>
      </w:r>
      <w:r>
        <w:rPr>
          <w:rFonts w:ascii="Times New Roman"/>
          <w:b w:val="false"/>
          <w:i w:val="false"/>
          <w:color w:val="000000"/>
          <w:sz w:val="28"/>
        </w:rPr>
        <w:t xml:space="preserve"> — 1-процентного предела ползучести за 100 000 ч при расчетной температуре, МПа.</w:t>
      </w:r>
    </w:p>
    <w:bookmarkEnd w:id="8972"/>
    <w:bookmarkStart w:name="z9014" w:id="8973"/>
    <w:p>
      <w:pPr>
        <w:spacing w:after="0"/>
        <w:ind w:left="0"/>
        <w:jc w:val="both"/>
      </w:pPr>
      <w:r>
        <w:rPr>
          <w:rFonts w:ascii="Times New Roman"/>
          <w:b w:val="false"/>
          <w:i w:val="false"/>
          <w:color w:val="000000"/>
          <w:sz w:val="28"/>
        </w:rPr>
        <w:t>
      За расчетную температуру t для определения допускаемых напряжений принимается максимальная температура среды внутри труб. Расчетная температура является предметом специального рассмотрения Регистром судоходства.</w:t>
      </w:r>
    </w:p>
    <w:bookmarkEnd w:id="8973"/>
    <w:bookmarkStart w:name="z9015" w:id="8974"/>
    <w:p>
      <w:pPr>
        <w:spacing w:after="0"/>
        <w:ind w:left="0"/>
        <w:jc w:val="both"/>
      </w:pPr>
      <w:r>
        <w:rPr>
          <w:rFonts w:ascii="Times New Roman"/>
          <w:b w:val="false"/>
          <w:i w:val="false"/>
          <w:color w:val="000000"/>
          <w:sz w:val="28"/>
        </w:rPr>
        <w:t>
      3039. Для труб из углеродистой или легированной стали допускаемые напряжения принимаются равными наименьшему значению из следующих:</w:t>
      </w:r>
    </w:p>
    <w:bookmarkEnd w:id="8974"/>
    <w:p>
      <w:pPr>
        <w:spacing w:after="0"/>
        <w:ind w:left="0"/>
        <w:jc w:val="both"/>
      </w:pPr>
      <w:r>
        <w:rPr>
          <w:rFonts w:ascii="Times New Roman"/>
          <w:b w:val="false"/>
          <w:i w:val="false"/>
          <w:color w:val="000000"/>
          <w:sz w:val="28"/>
        </w:rPr>
        <w:t>
                                    100 000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m/20</w:t>
      </w:r>
      <w:r>
        <w:rPr>
          <w:rFonts w:ascii="Times New Roman"/>
          <w:b w:val="false"/>
          <w:i w:val="false"/>
          <w:color w:val="000000"/>
          <w:sz w:val="28"/>
        </w:rPr>
        <w:t xml:space="preserve">/2,7; </w:t>
      </w:r>
      <w:r>
        <w:rPr>
          <w:rFonts w:ascii="Times New Roman"/>
          <w:b w:val="false"/>
          <w:i/>
          <w:color w:val="000000"/>
          <w:sz w:val="28"/>
        </w:rPr>
        <w:t>R</w:t>
      </w:r>
      <w:r>
        <w:rPr>
          <w:rFonts w:ascii="Times New Roman"/>
          <w:b w:val="false"/>
          <w:i w:val="false"/>
          <w:color w:val="000000"/>
          <w:vertAlign w:val="subscript"/>
        </w:rPr>
        <w:t>eL/t</w:t>
      </w:r>
      <w:r>
        <w:rPr>
          <w:rFonts w:ascii="Times New Roman"/>
          <w:b w:val="false"/>
          <w:i w:val="false"/>
          <w:color w:val="000000"/>
          <w:sz w:val="28"/>
        </w:rPr>
        <w:t xml:space="preserve">/1,8 или </w:t>
      </w:r>
      <w:r>
        <w:rPr>
          <w:rFonts w:ascii="Times New Roman"/>
          <w:b w:val="false"/>
          <w:i/>
          <w:color w:val="000000"/>
          <w:sz w:val="28"/>
        </w:rPr>
        <w:t>R</w:t>
      </w:r>
      <w:r>
        <w:rPr>
          <w:rFonts w:ascii="Times New Roman"/>
          <w:b w:val="false"/>
          <w:i w:val="false"/>
          <w:color w:val="000000"/>
          <w:vertAlign w:val="subscript"/>
        </w:rPr>
        <w:t>0,2/t</w:t>
      </w:r>
      <w:r>
        <w:rPr>
          <w:rFonts w:ascii="Times New Roman"/>
          <w:b w:val="false"/>
          <w:i w:val="false"/>
          <w:color w:val="000000"/>
          <w:sz w:val="28"/>
        </w:rPr>
        <w:t xml:space="preserve">/1,8; </w:t>
      </w:r>
      <w:r>
        <w:rPr>
          <w:rFonts w:ascii="Times New Roman"/>
          <w:b w:val="false"/>
          <w:i/>
          <w:color w:val="000000"/>
          <w:sz w:val="28"/>
        </w:rPr>
        <w:t>R</w:t>
      </w:r>
      <w:r>
        <w:rPr>
          <w:rFonts w:ascii="Times New Roman"/>
          <w:b w:val="false"/>
          <w:i w:val="false"/>
          <w:color w:val="000000"/>
          <w:vertAlign w:val="subscript"/>
        </w:rPr>
        <w:t>m/t</w:t>
      </w:r>
      <w:r>
        <w:rPr>
          <w:rFonts w:ascii="Times New Roman"/>
          <w:b w:val="false"/>
          <w:i w:val="false"/>
          <w:color w:val="000000"/>
          <w:sz w:val="28"/>
        </w:rPr>
        <w:t xml:space="preserve"> /1,8;</w:t>
      </w:r>
    </w:p>
    <w:p>
      <w:pPr>
        <w:spacing w:after="0"/>
        <w:ind w:left="0"/>
        <w:jc w:val="both"/>
      </w:pPr>
      <w:r>
        <w:rPr>
          <w:rFonts w:ascii="Times New Roman"/>
          <w:b w:val="false"/>
          <w:i w:val="false"/>
          <w:color w:val="000000"/>
          <w:sz w:val="28"/>
        </w:rPr>
        <w:t>
      100 000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p1%/t</w:t>
      </w:r>
      <w:r>
        <w:rPr>
          <w:rFonts w:ascii="Times New Roman"/>
          <w:b w:val="false"/>
          <w:i w:val="false"/>
          <w:color w:val="000000"/>
          <w:sz w:val="28"/>
        </w:rPr>
        <w:t xml:space="preserve"> /1,0.</w:t>
      </w:r>
    </w:p>
    <w:bookmarkStart w:name="z9016" w:id="8975"/>
    <w:p>
      <w:pPr>
        <w:spacing w:after="0"/>
        <w:ind w:left="0"/>
        <w:jc w:val="both"/>
      </w:pPr>
      <w:r>
        <w:rPr>
          <w:rFonts w:ascii="Times New Roman"/>
          <w:b w:val="false"/>
          <w:i w:val="false"/>
          <w:color w:val="000000"/>
          <w:sz w:val="28"/>
        </w:rPr>
        <w:t>
      Возможность снижения запаса прочности является в каждом случае предметом специального рассмотрения Регистром судоходства.</w:t>
      </w:r>
    </w:p>
    <w:bookmarkEnd w:id="8975"/>
    <w:bookmarkStart w:name="z9017" w:id="8976"/>
    <w:p>
      <w:pPr>
        <w:spacing w:after="0"/>
        <w:ind w:left="0"/>
        <w:jc w:val="both"/>
      </w:pPr>
      <w:r>
        <w:rPr>
          <w:rFonts w:ascii="Times New Roman"/>
          <w:b w:val="false"/>
          <w:i w:val="false"/>
          <w:color w:val="000000"/>
          <w:sz w:val="28"/>
        </w:rPr>
        <w:t>
      Если расчетная температура не входит в область ползучести материала, допускаемые напряжения по пределу ползучести допускается не рассматривать.</w:t>
      </w:r>
    </w:p>
    <w:bookmarkEnd w:id="8976"/>
    <w:bookmarkStart w:name="z9018" w:id="8977"/>
    <w:p>
      <w:pPr>
        <w:spacing w:after="0"/>
        <w:ind w:left="0"/>
        <w:jc w:val="both"/>
      </w:pPr>
      <w:r>
        <w:rPr>
          <w:rFonts w:ascii="Times New Roman"/>
          <w:b w:val="false"/>
          <w:i w:val="false"/>
          <w:color w:val="000000"/>
          <w:sz w:val="28"/>
        </w:rPr>
        <w:t>
      3040. Допускаемые напряжения для труб из высоколегированных сталей являются в каждом случае предметом специального рассмотрения Регистром судоходства.</w:t>
      </w:r>
    </w:p>
    <w:bookmarkEnd w:id="8977"/>
    <w:bookmarkStart w:name="z9019" w:id="8978"/>
    <w:p>
      <w:pPr>
        <w:spacing w:after="0"/>
        <w:ind w:left="0"/>
        <w:jc w:val="both"/>
      </w:pPr>
      <w:r>
        <w:rPr>
          <w:rFonts w:ascii="Times New Roman"/>
          <w:b w:val="false"/>
          <w:i w:val="false"/>
          <w:color w:val="000000"/>
          <w:sz w:val="28"/>
        </w:rPr>
        <w:t>
      3041. Для труб из меди и медных сплавов допускаемые напряжения определяются по приложению 338 настоящих Правил.</w:t>
      </w:r>
    </w:p>
    <w:bookmarkEnd w:id="8978"/>
    <w:bookmarkStart w:name="z9020" w:id="8979"/>
    <w:p>
      <w:pPr>
        <w:spacing w:after="0"/>
        <w:ind w:left="0"/>
        <w:jc w:val="both"/>
      </w:pPr>
      <w:r>
        <w:rPr>
          <w:rFonts w:ascii="Times New Roman"/>
          <w:b w:val="false"/>
          <w:i w:val="false"/>
          <w:color w:val="000000"/>
          <w:sz w:val="28"/>
        </w:rPr>
        <w:t>
      3042. Допускаемые напряжения для труб из алюминиевых и титановых сплавов при расчетах на прочность принимаются равными наименьшему значению из следующих: R</w:t>
      </w:r>
      <w:r>
        <w:rPr>
          <w:rFonts w:ascii="Times New Roman"/>
          <w:b w:val="false"/>
          <w:i w:val="false"/>
          <w:color w:val="000000"/>
          <w:vertAlign w:val="subscript"/>
        </w:rPr>
        <w:t>m</w:t>
      </w:r>
      <w:r>
        <w:rPr>
          <w:rFonts w:ascii="Times New Roman"/>
          <w:b w:val="false"/>
          <w:i w:val="false"/>
          <w:color w:val="000000"/>
          <w:vertAlign w:val="subscript"/>
        </w:rPr>
        <w:t>/20</w:t>
      </w:r>
      <w:r>
        <w:rPr>
          <w:rFonts w:ascii="Times New Roman"/>
          <w:b w:val="false"/>
          <w:i w:val="false"/>
          <w:color w:val="000000"/>
          <w:sz w:val="28"/>
        </w:rPr>
        <w:t>/40; R</w:t>
      </w:r>
      <w:r>
        <w:rPr>
          <w:rFonts w:ascii="Times New Roman"/>
          <w:b w:val="false"/>
          <w:i w:val="false"/>
          <w:color w:val="000000"/>
          <w:vertAlign w:val="subscript"/>
        </w:rPr>
        <w:t>0,2/t</w:t>
      </w:r>
      <w:r>
        <w:rPr>
          <w:rFonts w:ascii="Times New Roman"/>
          <w:b w:val="false"/>
          <w:i w:val="false"/>
          <w:color w:val="000000"/>
          <w:sz w:val="28"/>
        </w:rPr>
        <w:t>/1,6;</w:t>
      </w:r>
    </w:p>
    <w:bookmarkEnd w:id="8979"/>
    <w:p>
      <w:pPr>
        <w:spacing w:after="0"/>
        <w:ind w:left="0"/>
        <w:jc w:val="both"/>
      </w:pPr>
      <w:r>
        <w:rPr>
          <w:rFonts w:ascii="Times New Roman"/>
          <w:b w:val="false"/>
          <w:i w:val="false"/>
          <w:color w:val="000000"/>
          <w:sz w:val="28"/>
        </w:rPr>
        <w:t>
      100 000</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m/t</w:t>
      </w:r>
      <w:r>
        <w:rPr>
          <w:rFonts w:ascii="Times New Roman"/>
          <w:b w:val="false"/>
          <w:i w:val="false"/>
          <w:color w:val="000000"/>
          <w:sz w:val="28"/>
        </w:rPr>
        <w:t xml:space="preserve"> /1,6.</w:t>
      </w:r>
    </w:p>
    <w:bookmarkStart w:name="z9021" w:id="8980"/>
    <w:p>
      <w:pPr>
        <w:spacing w:after="0"/>
        <w:ind w:left="0"/>
        <w:jc w:val="both"/>
      </w:pPr>
      <w:r>
        <w:rPr>
          <w:rFonts w:ascii="Times New Roman"/>
          <w:b w:val="false"/>
          <w:i w:val="false"/>
          <w:color w:val="000000"/>
          <w:sz w:val="28"/>
        </w:rPr>
        <w:t>
      Если расчетная температура не входит в область ползучести материала, допускаемые напряжения по пределу ползучести допускается не рассматривать.</w:t>
      </w:r>
    </w:p>
    <w:bookmarkEnd w:id="8980"/>
    <w:bookmarkStart w:name="z9022" w:id="8981"/>
    <w:p>
      <w:pPr>
        <w:spacing w:after="0"/>
        <w:ind w:left="0"/>
        <w:jc w:val="both"/>
      </w:pPr>
      <w:r>
        <w:rPr>
          <w:rFonts w:ascii="Times New Roman"/>
          <w:b w:val="false"/>
          <w:i w:val="false"/>
          <w:color w:val="000000"/>
          <w:sz w:val="28"/>
        </w:rPr>
        <w:t xml:space="preserve">
      3043. Паропроводы с наружным диаметром 80 мм и более для перегретого пара с температурой 350 </w:t>
      </w:r>
      <w:r>
        <w:rPr>
          <w:rFonts w:ascii="Times New Roman"/>
          <w:b w:val="false"/>
          <w:i w:val="false"/>
          <w:color w:val="000000"/>
          <w:vertAlign w:val="superscript"/>
        </w:rPr>
        <w:t>о</w:t>
      </w:r>
      <w:r>
        <w:rPr>
          <w:rFonts w:ascii="Times New Roman"/>
          <w:b w:val="false"/>
          <w:i w:val="false"/>
          <w:color w:val="000000"/>
          <w:sz w:val="28"/>
        </w:rPr>
        <w:t>С и выше рассчитываются на прочность от усилий, вызываемых тепловыми расширениями, а фланцевые соединения — на прочность и плотность.</w:t>
      </w:r>
    </w:p>
    <w:bookmarkEnd w:id="8981"/>
    <w:bookmarkStart w:name="z9023" w:id="8982"/>
    <w:p>
      <w:pPr>
        <w:spacing w:after="0"/>
        <w:ind w:left="0"/>
        <w:jc w:val="both"/>
      </w:pPr>
      <w:r>
        <w:rPr>
          <w:rFonts w:ascii="Times New Roman"/>
          <w:b w:val="false"/>
          <w:i w:val="false"/>
          <w:color w:val="000000"/>
          <w:sz w:val="28"/>
        </w:rPr>
        <w:t>
      Необходимо чтобы расчет паропровода на прочность от усилий, вызываемых тепловыми расширениями, отвечал требованиям главы 343 настоящих Правил.</w:t>
      </w:r>
    </w:p>
    <w:bookmarkEnd w:id="8982"/>
    <w:bookmarkStart w:name="z9024" w:id="8983"/>
    <w:p>
      <w:pPr>
        <w:spacing w:after="0"/>
        <w:ind w:left="0"/>
        <w:jc w:val="both"/>
      </w:pPr>
      <w:r>
        <w:rPr>
          <w:rFonts w:ascii="Times New Roman"/>
          <w:b w:val="false"/>
          <w:i w:val="false"/>
          <w:color w:val="000000"/>
          <w:sz w:val="28"/>
        </w:rPr>
        <w:t>
      3044. Детали трубопроводов из чугуна имеют толщину стенки tmin, мм, не менее определяемой по формуле</w:t>
      </w:r>
    </w:p>
    <w:bookmarkEnd w:id="8983"/>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(0,5+0,001</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(764)</w:t>
      </w:r>
    </w:p>
    <w:bookmarkStart w:name="z9025" w:id="8984"/>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xml:space="preserve"> — условный диаметр, мм;</w:t>
      </w:r>
    </w:p>
    <w:bookmarkEnd w:id="8984"/>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коэффициент, принимаемый равным:</w:t>
      </w:r>
    </w:p>
    <w:p>
      <w:pPr>
        <w:spacing w:after="0"/>
        <w:ind w:left="0"/>
        <w:jc w:val="both"/>
      </w:pPr>
      <w:r>
        <w:rPr>
          <w:rFonts w:ascii="Times New Roman"/>
          <w:b w:val="false"/>
          <w:i w:val="false"/>
          <w:color w:val="000000"/>
          <w:sz w:val="28"/>
        </w:rPr>
        <w:t>
      9 — для труб;</w:t>
      </w:r>
    </w:p>
    <w:p>
      <w:pPr>
        <w:spacing w:after="0"/>
        <w:ind w:left="0"/>
        <w:jc w:val="both"/>
      </w:pPr>
      <w:r>
        <w:rPr>
          <w:rFonts w:ascii="Times New Roman"/>
          <w:b w:val="false"/>
          <w:i w:val="false"/>
          <w:color w:val="000000"/>
          <w:sz w:val="28"/>
        </w:rPr>
        <w:t>
                 14 — для тройников и корпусов клапанов;</w:t>
      </w:r>
    </w:p>
    <w:p>
      <w:pPr>
        <w:spacing w:after="0"/>
        <w:ind w:left="0"/>
        <w:jc w:val="both"/>
      </w:pPr>
      <w:r>
        <w:rPr>
          <w:rFonts w:ascii="Times New Roman"/>
          <w:b w:val="false"/>
          <w:i w:val="false"/>
          <w:color w:val="000000"/>
          <w:sz w:val="28"/>
        </w:rPr>
        <w:t>
                 12 — для соединений.</w:t>
      </w:r>
    </w:p>
    <w:bookmarkStart w:name="z9026" w:id="8985"/>
    <w:p>
      <w:pPr>
        <w:spacing w:after="0"/>
        <w:ind w:left="0"/>
        <w:jc w:val="both"/>
      </w:pPr>
      <w:r>
        <w:rPr>
          <w:rFonts w:ascii="Times New Roman"/>
          <w:b w:val="false"/>
          <w:i w:val="false"/>
          <w:color w:val="000000"/>
          <w:sz w:val="28"/>
        </w:rPr>
        <w:t>
      Кроме этого, толщина стенок труб и арматуры из чугуна под внутренним давлением следует принимать не менее определяемой по формуле (762) настоящих Правил, при этом:</w:t>
      </w:r>
    </w:p>
    <w:bookmarkEnd w:id="8985"/>
    <w:bookmarkStart w:name="z9027" w:id="8986"/>
    <w:p>
      <w:pPr>
        <w:spacing w:after="0"/>
        <w:ind w:left="0"/>
        <w:jc w:val="both"/>
      </w:pPr>
      <w:r>
        <w:rPr>
          <w:rFonts w:ascii="Times New Roman"/>
          <w:b w:val="false"/>
          <w:i w:val="false"/>
          <w:color w:val="000000"/>
          <w:sz w:val="28"/>
        </w:rPr>
        <w:t xml:space="preserve">
      поправка на утонение при изгибе </w:t>
      </w:r>
      <w:r>
        <w:rPr>
          <w:rFonts w:ascii="Times New Roman"/>
          <w:b w:val="false"/>
          <w:i/>
          <w:color w:val="000000"/>
          <w:sz w:val="28"/>
        </w:rPr>
        <w:t>b</w:t>
      </w:r>
      <w:r>
        <w:rPr>
          <w:rFonts w:ascii="Times New Roman"/>
          <w:b w:val="false"/>
          <w:i w:val="false"/>
          <w:color w:val="000000"/>
          <w:sz w:val="28"/>
        </w:rPr>
        <w:t xml:space="preserve"> = 0;</w:t>
      </w:r>
    </w:p>
    <w:bookmarkEnd w:id="8986"/>
    <w:bookmarkStart w:name="z9028" w:id="8987"/>
    <w:p>
      <w:pPr>
        <w:spacing w:after="0"/>
        <w:ind w:left="0"/>
        <w:jc w:val="both"/>
      </w:pPr>
      <w:r>
        <w:rPr>
          <w:rFonts w:ascii="Times New Roman"/>
          <w:b w:val="false"/>
          <w:i w:val="false"/>
          <w:color w:val="000000"/>
          <w:sz w:val="28"/>
        </w:rPr>
        <w:t>
      коэффициент запаса прочности ц принимается равным:</w:t>
      </w:r>
    </w:p>
    <w:bookmarkEnd w:id="8987"/>
    <w:bookmarkStart w:name="z9029" w:id="8988"/>
    <w:p>
      <w:pPr>
        <w:spacing w:after="0"/>
        <w:ind w:left="0"/>
        <w:jc w:val="both"/>
      </w:pPr>
      <w:r>
        <w:rPr>
          <w:rFonts w:ascii="Times New Roman"/>
          <w:b w:val="false"/>
          <w:i w:val="false"/>
          <w:color w:val="000000"/>
          <w:sz w:val="28"/>
        </w:rPr>
        <w:t>
      1 — для труб и соединительных муфт;</w:t>
      </w:r>
    </w:p>
    <w:bookmarkEnd w:id="8988"/>
    <w:bookmarkStart w:name="z9030" w:id="8989"/>
    <w:p>
      <w:pPr>
        <w:spacing w:after="0"/>
        <w:ind w:left="0"/>
        <w:jc w:val="both"/>
      </w:pPr>
      <w:r>
        <w:rPr>
          <w:rFonts w:ascii="Times New Roman"/>
          <w:b w:val="false"/>
          <w:i w:val="false"/>
          <w:color w:val="000000"/>
          <w:sz w:val="28"/>
        </w:rPr>
        <w:t>
      0,4 — для колен, тройников и крестовин;</w:t>
      </w:r>
    </w:p>
    <w:bookmarkEnd w:id="8989"/>
    <w:bookmarkStart w:name="z9031" w:id="8990"/>
    <w:p>
      <w:pPr>
        <w:spacing w:after="0"/>
        <w:ind w:left="0"/>
        <w:jc w:val="both"/>
      </w:pPr>
      <w:r>
        <w:rPr>
          <w:rFonts w:ascii="Times New Roman"/>
          <w:b w:val="false"/>
          <w:i w:val="false"/>
          <w:color w:val="000000"/>
          <w:sz w:val="28"/>
        </w:rPr>
        <w:t>
      0,25 — для корпусов арматуры;</w:t>
      </w:r>
    </w:p>
    <w:bookmarkEnd w:id="8990"/>
    <w:bookmarkStart w:name="z9032" w:id="8991"/>
    <w:p>
      <w:pPr>
        <w:spacing w:after="0"/>
        <w:ind w:left="0"/>
        <w:jc w:val="both"/>
      </w:pPr>
      <w:r>
        <w:rPr>
          <w:rFonts w:ascii="Times New Roman"/>
          <w:b w:val="false"/>
          <w:i w:val="false"/>
          <w:color w:val="000000"/>
          <w:sz w:val="28"/>
        </w:rPr>
        <w:t>
      допускаемое напряжение у определяется с учетом пунктов 4472, 4475 и 4480 настоящих Правил;</w:t>
      </w:r>
    </w:p>
    <w:bookmarkEnd w:id="8991"/>
    <w:bookmarkStart w:name="z9033" w:id="8992"/>
    <w:p>
      <w:pPr>
        <w:spacing w:after="0"/>
        <w:ind w:left="0"/>
        <w:jc w:val="both"/>
      </w:pPr>
      <w:r>
        <w:rPr>
          <w:rFonts w:ascii="Times New Roman"/>
          <w:b w:val="false"/>
          <w:i w:val="false"/>
          <w:color w:val="000000"/>
          <w:sz w:val="28"/>
        </w:rPr>
        <w:t>
      прибавка на коррозию с для забортной воды составляет:</w:t>
      </w:r>
    </w:p>
    <w:bookmarkEnd w:id="8992"/>
    <w:bookmarkStart w:name="z9034" w:id="8993"/>
    <w:p>
      <w:pPr>
        <w:spacing w:after="0"/>
        <w:ind w:left="0"/>
        <w:jc w:val="both"/>
      </w:pPr>
      <w:r>
        <w:rPr>
          <w:rFonts w:ascii="Times New Roman"/>
          <w:b w:val="false"/>
          <w:i w:val="false"/>
          <w:color w:val="000000"/>
          <w:sz w:val="28"/>
        </w:rPr>
        <w:t>
      4 мм — для чугуна ферритной и ферритоперлитной структуры и</w:t>
      </w:r>
    </w:p>
    <w:bookmarkEnd w:id="8993"/>
    <w:bookmarkStart w:name="z9035" w:id="8994"/>
    <w:p>
      <w:pPr>
        <w:spacing w:after="0"/>
        <w:ind w:left="0"/>
        <w:jc w:val="both"/>
      </w:pPr>
      <w:r>
        <w:rPr>
          <w:rFonts w:ascii="Times New Roman"/>
          <w:b w:val="false"/>
          <w:i w:val="false"/>
          <w:color w:val="000000"/>
          <w:sz w:val="28"/>
        </w:rPr>
        <w:t>
      3 мм — для чугуна перлитной структуры;</w:t>
      </w:r>
    </w:p>
    <w:bookmarkEnd w:id="8994"/>
    <w:bookmarkStart w:name="z9036" w:id="8995"/>
    <w:p>
      <w:pPr>
        <w:spacing w:after="0"/>
        <w:ind w:left="0"/>
        <w:jc w:val="both"/>
      </w:pPr>
      <w:r>
        <w:rPr>
          <w:rFonts w:ascii="Times New Roman"/>
          <w:b w:val="false"/>
          <w:i w:val="false"/>
          <w:color w:val="000000"/>
          <w:sz w:val="28"/>
        </w:rPr>
        <w:t>
      для сред с низкой коррозионной активностью по согласованию с Регистром судоходства прибавка на коррозию может быть снижена.</w:t>
      </w:r>
    </w:p>
    <w:bookmarkEnd w:id="8995"/>
    <w:bookmarkStart w:name="z9037" w:id="8996"/>
    <w:p>
      <w:pPr>
        <w:spacing w:after="0"/>
        <w:ind w:left="0"/>
        <w:jc w:val="both"/>
      </w:pPr>
      <w:r>
        <w:rPr>
          <w:rFonts w:ascii="Times New Roman"/>
          <w:b w:val="false"/>
          <w:i w:val="false"/>
          <w:color w:val="000000"/>
          <w:sz w:val="28"/>
        </w:rPr>
        <w:t>
      3045. Толщины стенок труб из стали, меди, медных и титановых сплавов принимаются не менее указанных в приложении 339 настоящих Правил.</w:t>
      </w:r>
    </w:p>
    <w:bookmarkEnd w:id="8996"/>
    <w:bookmarkStart w:name="z9038" w:id="8997"/>
    <w:p>
      <w:pPr>
        <w:spacing w:after="0"/>
        <w:ind w:left="0"/>
        <w:jc w:val="left"/>
      </w:pPr>
      <w:r>
        <w:rPr>
          <w:rFonts w:ascii="Times New Roman"/>
          <w:b/>
          <w:i w:val="false"/>
          <w:color w:val="000000"/>
        </w:rPr>
        <w:t xml:space="preserve"> Глава 235. Типы соединений</w:t>
      </w:r>
    </w:p>
    <w:bookmarkEnd w:id="8997"/>
    <w:p>
      <w:pPr>
        <w:spacing w:after="0"/>
        <w:ind w:left="0"/>
        <w:jc w:val="both"/>
      </w:pPr>
      <w:r>
        <w:rPr>
          <w:rFonts w:ascii="Times New Roman"/>
          <w:b w:val="false"/>
          <w:i w:val="false"/>
          <w:color w:val="ff0000"/>
          <w:sz w:val="28"/>
        </w:rPr>
        <w:t xml:space="preserve">
      Сноска. Заголовок главы 235 -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39" w:id="8998"/>
    <w:p>
      <w:pPr>
        <w:spacing w:after="0"/>
        <w:ind w:left="0"/>
        <w:jc w:val="left"/>
      </w:pPr>
      <w:r>
        <w:rPr>
          <w:rFonts w:ascii="Times New Roman"/>
          <w:b/>
          <w:i w:val="false"/>
          <w:color w:val="000000"/>
        </w:rPr>
        <w:t xml:space="preserve"> Параграф 1. Сварные соединения</w:t>
      </w:r>
    </w:p>
    <w:bookmarkEnd w:id="8998"/>
    <w:bookmarkStart w:name="z9040" w:id="8999"/>
    <w:p>
      <w:pPr>
        <w:spacing w:after="0"/>
        <w:ind w:left="0"/>
        <w:jc w:val="both"/>
      </w:pPr>
      <w:r>
        <w:rPr>
          <w:rFonts w:ascii="Times New Roman"/>
          <w:b w:val="false"/>
          <w:i w:val="false"/>
          <w:color w:val="000000"/>
          <w:sz w:val="28"/>
        </w:rPr>
        <w:t>
      3046. Допускается использование сварных, фланцевых, резьбовых и механических соединений, выполненных в соответствии со стандартами, одобренными Регистром судоходства.</w:t>
      </w:r>
    </w:p>
    <w:bookmarkEnd w:id="8999"/>
    <w:bookmarkStart w:name="z9041" w:id="9000"/>
    <w:p>
      <w:pPr>
        <w:spacing w:after="0"/>
        <w:ind w:left="0"/>
        <w:jc w:val="both"/>
      </w:pPr>
      <w:r>
        <w:rPr>
          <w:rFonts w:ascii="Times New Roman"/>
          <w:b w:val="false"/>
          <w:i w:val="false"/>
          <w:color w:val="000000"/>
          <w:sz w:val="28"/>
        </w:rPr>
        <w:t>
      3047. Сварные стыковые соединения допускается выполнять как с принятием специальных мер по обеспечению полного провара корня сварного шва, так и без таковых. Сварные стыковые соединения с полным проваром и специальными мерами по обеспечению качества корня шва, например, выполненные с использованием двустороннего шва, подкладного кольца или другими эквивалентными мерами, допускаются для трубопроводов всех классов и диаметров.</w:t>
      </w:r>
    </w:p>
    <w:bookmarkEnd w:id="9000"/>
    <w:bookmarkStart w:name="z9042" w:id="9001"/>
    <w:p>
      <w:pPr>
        <w:spacing w:after="0"/>
        <w:ind w:left="0"/>
        <w:jc w:val="both"/>
      </w:pPr>
      <w:r>
        <w:rPr>
          <w:rFonts w:ascii="Times New Roman"/>
          <w:b w:val="false"/>
          <w:i w:val="false"/>
          <w:color w:val="000000"/>
          <w:sz w:val="28"/>
        </w:rPr>
        <w:t>
      Сварные стыковые соединения с полным проваром без специальных мер по обеспечению качества корня шва допускаются для трубопроводов классов II и III без ограничения диаметров.</w:t>
      </w:r>
    </w:p>
    <w:bookmarkEnd w:id="9001"/>
    <w:bookmarkStart w:name="z9043" w:id="9002"/>
    <w:p>
      <w:pPr>
        <w:spacing w:after="0"/>
        <w:ind w:left="0"/>
        <w:jc w:val="both"/>
      </w:pPr>
      <w:r>
        <w:rPr>
          <w:rFonts w:ascii="Times New Roman"/>
          <w:b w:val="false"/>
          <w:i w:val="false"/>
          <w:color w:val="000000"/>
          <w:sz w:val="28"/>
        </w:rPr>
        <w:t>
      3048. Сварные муфтовые и раструбные соединения выполняются с использованием муфт, раструбных элементов адекватных размеров, отвечающих требованиям согласованных Регистром судоходства стандартов. Сварные муфтовые и раструбные соединения допускается применять для трубопроводов класса III независимо от диаметра трубопровода.</w:t>
      </w:r>
    </w:p>
    <w:bookmarkEnd w:id="9002"/>
    <w:bookmarkStart w:name="z9044" w:id="9003"/>
    <w:p>
      <w:pPr>
        <w:spacing w:after="0"/>
        <w:ind w:left="0"/>
        <w:jc w:val="both"/>
      </w:pPr>
      <w:r>
        <w:rPr>
          <w:rFonts w:ascii="Times New Roman"/>
          <w:b w:val="false"/>
          <w:i w:val="false"/>
          <w:color w:val="000000"/>
          <w:sz w:val="28"/>
        </w:rPr>
        <w:t>
      В отдельных случаях такие соединения разрешается использовать для трубопроводов классов I и II наружным диаметром до 88,9 мм, за исключением трубопроводов, содержащих токсичные среды, и условий эксплуатации при повышенных усталостных нагрузках, усиленной коррозии или эрозии.</w:t>
      </w:r>
    </w:p>
    <w:bookmarkEnd w:id="9003"/>
    <w:bookmarkStart w:name="z9045" w:id="9004"/>
    <w:p>
      <w:pPr>
        <w:spacing w:after="0"/>
        <w:ind w:left="0"/>
        <w:jc w:val="both"/>
      </w:pPr>
      <w:r>
        <w:rPr>
          <w:rFonts w:ascii="Times New Roman"/>
          <w:b w:val="false"/>
          <w:i w:val="false"/>
          <w:color w:val="000000"/>
          <w:sz w:val="28"/>
        </w:rPr>
        <w:t>
      3049. Выполнение сварочных работ и осуществление контроля неразрушающими методами должны соответствовать главам 627 и 633 настоящих Правил.</w:t>
      </w:r>
    </w:p>
    <w:bookmarkEnd w:id="9004"/>
    <w:bookmarkStart w:name="z9046" w:id="9005"/>
    <w:p>
      <w:pPr>
        <w:spacing w:after="0"/>
        <w:ind w:left="0"/>
        <w:jc w:val="left"/>
      </w:pPr>
      <w:r>
        <w:rPr>
          <w:rFonts w:ascii="Times New Roman"/>
          <w:b/>
          <w:i w:val="false"/>
          <w:color w:val="000000"/>
        </w:rPr>
        <w:t xml:space="preserve"> Параграф 2. Фланцевые соединения</w:t>
      </w:r>
    </w:p>
    <w:bookmarkEnd w:id="9005"/>
    <w:bookmarkStart w:name="z9047" w:id="9006"/>
    <w:p>
      <w:pPr>
        <w:spacing w:after="0"/>
        <w:ind w:left="0"/>
        <w:jc w:val="both"/>
      </w:pPr>
      <w:r>
        <w:rPr>
          <w:rFonts w:ascii="Times New Roman"/>
          <w:b w:val="false"/>
          <w:i w:val="false"/>
          <w:color w:val="000000"/>
          <w:sz w:val="28"/>
        </w:rPr>
        <w:t>
      3050. Размеры и форма фланцев и соединительных болтов отвечают согласованным Регистром судоходства стандартам.</w:t>
      </w:r>
    </w:p>
    <w:bookmarkEnd w:id="9006"/>
    <w:bookmarkStart w:name="z9048" w:id="9007"/>
    <w:p>
      <w:pPr>
        <w:spacing w:after="0"/>
        <w:ind w:left="0"/>
        <w:jc w:val="both"/>
      </w:pPr>
      <w:r>
        <w:rPr>
          <w:rFonts w:ascii="Times New Roman"/>
          <w:b w:val="false"/>
          <w:i w:val="false"/>
          <w:color w:val="000000"/>
          <w:sz w:val="28"/>
        </w:rPr>
        <w:t>
      Необходимо чтобы используемые уплотнения были совместимы с проводимой средой при расчетных давлении и температуре. Для нестандартных соединений прочные размеры фланцев и соединительных болтов являются в каждом случае предметом специального рассмотрения Регистром судоходства.</w:t>
      </w:r>
    </w:p>
    <w:bookmarkEnd w:id="9007"/>
    <w:bookmarkStart w:name="z9049" w:id="9008"/>
    <w:p>
      <w:pPr>
        <w:spacing w:after="0"/>
        <w:ind w:left="0"/>
        <w:jc w:val="both"/>
      </w:pPr>
      <w:r>
        <w:rPr>
          <w:rFonts w:ascii="Times New Roman"/>
          <w:b w:val="false"/>
          <w:i w:val="false"/>
          <w:color w:val="000000"/>
          <w:sz w:val="28"/>
        </w:rPr>
        <w:t>
      Фланцевые соединения выбираются с учетом требований согласованных Регистром судоходства национальных или международных стандартов в зависимости от проводимой среды, расчетного давления и температуры, внешних и циклических нагрузок, а также расположения трубопровода.</w:t>
      </w:r>
    </w:p>
    <w:bookmarkEnd w:id="9008"/>
    <w:bookmarkStart w:name="z9050" w:id="9009"/>
    <w:p>
      <w:pPr>
        <w:spacing w:after="0"/>
        <w:ind w:left="0"/>
        <w:jc w:val="both"/>
      </w:pPr>
      <w:r>
        <w:rPr>
          <w:rFonts w:ascii="Times New Roman"/>
          <w:b w:val="false"/>
          <w:i w:val="false"/>
          <w:color w:val="000000"/>
          <w:sz w:val="28"/>
        </w:rPr>
        <w:t>
      3051. Соединения фланцев и труб выполняются в соответствии с приложением 340 настоящих Правил.</w:t>
      </w:r>
    </w:p>
    <w:bookmarkEnd w:id="9009"/>
    <w:bookmarkStart w:name="z9051" w:id="9010"/>
    <w:p>
      <w:pPr>
        <w:spacing w:after="0"/>
        <w:ind w:left="0"/>
        <w:jc w:val="both"/>
      </w:pPr>
      <w:r>
        <w:rPr>
          <w:rFonts w:ascii="Times New Roman"/>
          <w:b w:val="false"/>
          <w:i w:val="false"/>
          <w:color w:val="000000"/>
          <w:sz w:val="28"/>
        </w:rPr>
        <w:t>
      Другие типы соединений фланцев и труб допускаются Регистром судоходства после специального рассмотрения.</w:t>
      </w:r>
    </w:p>
    <w:bookmarkEnd w:id="9010"/>
    <w:bookmarkStart w:name="z9052" w:id="9011"/>
    <w:p>
      <w:pPr>
        <w:spacing w:after="0"/>
        <w:ind w:left="0"/>
        <w:jc w:val="both"/>
      </w:pPr>
      <w:r>
        <w:rPr>
          <w:rFonts w:ascii="Times New Roman"/>
          <w:b w:val="false"/>
          <w:i w:val="false"/>
          <w:color w:val="000000"/>
          <w:sz w:val="28"/>
        </w:rPr>
        <w:t>
      3052. Выбор типа соединения фланцев и труб в зависимости от класса трубопровода выполняется в соответствии с приложением 341 настоящих Правил.</w:t>
      </w:r>
    </w:p>
    <w:bookmarkEnd w:id="9011"/>
    <w:bookmarkStart w:name="z9053" w:id="9012"/>
    <w:p>
      <w:pPr>
        <w:spacing w:after="0"/>
        <w:ind w:left="0"/>
        <w:jc w:val="left"/>
      </w:pPr>
      <w:r>
        <w:rPr>
          <w:rFonts w:ascii="Times New Roman"/>
          <w:b/>
          <w:i w:val="false"/>
          <w:color w:val="000000"/>
        </w:rPr>
        <w:t xml:space="preserve"> Параграф 3. Резьбовые соединения</w:t>
      </w:r>
    </w:p>
    <w:bookmarkEnd w:id="9012"/>
    <w:bookmarkStart w:name="z9054" w:id="9013"/>
    <w:p>
      <w:pPr>
        <w:spacing w:after="0"/>
        <w:ind w:left="0"/>
        <w:jc w:val="both"/>
      </w:pPr>
      <w:r>
        <w:rPr>
          <w:rFonts w:ascii="Times New Roman"/>
          <w:b w:val="false"/>
          <w:i w:val="false"/>
          <w:color w:val="000000"/>
          <w:sz w:val="28"/>
        </w:rPr>
        <w:t>
      3053. Резьбовые соединения выполняются в соответствии с требованиями одобренных национальных или международных стандартов. Эти соединения не используются в системах, проводящих токсичные и воспламеняющиеся среды, среды, вызывающие усиленный эрозионный или коррозионный износ, а также в условиях повышенных усталостных нагрузок.</w:t>
      </w:r>
    </w:p>
    <w:bookmarkEnd w:id="9013"/>
    <w:bookmarkStart w:name="z9055" w:id="9014"/>
    <w:p>
      <w:pPr>
        <w:spacing w:after="0"/>
        <w:ind w:left="0"/>
        <w:jc w:val="both"/>
      </w:pPr>
      <w:r>
        <w:rPr>
          <w:rFonts w:ascii="Times New Roman"/>
          <w:b w:val="false"/>
          <w:i w:val="false"/>
          <w:color w:val="000000"/>
          <w:sz w:val="28"/>
        </w:rPr>
        <w:t>
      Резьбовые муфтовые соединения с конической резьбой допускается использовать в трубопроводах класса I диаметром до 33,7 мм и классов II и III диаметром до 60,3 мм.</w:t>
      </w:r>
    </w:p>
    <w:bookmarkEnd w:id="9014"/>
    <w:bookmarkStart w:name="z9056" w:id="9015"/>
    <w:p>
      <w:pPr>
        <w:spacing w:after="0"/>
        <w:ind w:left="0"/>
        <w:jc w:val="both"/>
      </w:pPr>
      <w:r>
        <w:rPr>
          <w:rFonts w:ascii="Times New Roman"/>
          <w:b w:val="false"/>
          <w:i w:val="false"/>
          <w:color w:val="000000"/>
          <w:sz w:val="28"/>
        </w:rPr>
        <w:t>
      Соединения с цилиндрической резьбой допускается использовать в трубопроводах класса III диаметром до 60,3 мм.</w:t>
      </w:r>
    </w:p>
    <w:bookmarkEnd w:id="9015"/>
    <w:bookmarkStart w:name="z9057" w:id="9016"/>
    <w:p>
      <w:pPr>
        <w:spacing w:after="0"/>
        <w:ind w:left="0"/>
        <w:jc w:val="both"/>
      </w:pPr>
      <w:r>
        <w:rPr>
          <w:rFonts w:ascii="Times New Roman"/>
          <w:b w:val="false"/>
          <w:i w:val="false"/>
          <w:color w:val="000000"/>
          <w:sz w:val="28"/>
        </w:rPr>
        <w:t>
      В отдельных случаях применение соединений больших размеров, отвечающих требованиям национальных или международных стандартов, возможен допуск Регистром судоходства после специального рассмотрения.</w:t>
      </w:r>
    </w:p>
    <w:bookmarkEnd w:id="9016"/>
    <w:bookmarkStart w:name="z9058" w:id="9017"/>
    <w:p>
      <w:pPr>
        <w:spacing w:after="0"/>
        <w:ind w:left="0"/>
        <w:jc w:val="both"/>
      </w:pPr>
      <w:r>
        <w:rPr>
          <w:rFonts w:ascii="Times New Roman"/>
          <w:b w:val="false"/>
          <w:i w:val="false"/>
          <w:color w:val="000000"/>
          <w:sz w:val="28"/>
        </w:rPr>
        <w:t>
      3054. Применение резьбовых соединений в системах углекислотного пожаротушения допускается только внутри защищаемых помещений и в помещении углекислотных баллонов.</w:t>
      </w:r>
    </w:p>
    <w:bookmarkEnd w:id="9017"/>
    <w:bookmarkStart w:name="z9059" w:id="9018"/>
    <w:p>
      <w:pPr>
        <w:spacing w:after="0"/>
        <w:ind w:left="0"/>
        <w:jc w:val="left"/>
      </w:pPr>
      <w:r>
        <w:rPr>
          <w:rFonts w:ascii="Times New Roman"/>
          <w:b/>
          <w:i w:val="false"/>
          <w:color w:val="000000"/>
        </w:rPr>
        <w:t xml:space="preserve"> Параграф 4. Механические соединения</w:t>
      </w:r>
    </w:p>
    <w:bookmarkEnd w:id="9018"/>
    <w:bookmarkStart w:name="z9060" w:id="9019"/>
    <w:p>
      <w:pPr>
        <w:spacing w:after="0"/>
        <w:ind w:left="0"/>
        <w:jc w:val="both"/>
      </w:pPr>
      <w:r>
        <w:rPr>
          <w:rFonts w:ascii="Times New Roman"/>
          <w:b w:val="false"/>
          <w:i w:val="false"/>
          <w:color w:val="000000"/>
          <w:sz w:val="28"/>
        </w:rPr>
        <w:t>
      3055. Настоящие требования применимы к обжимным, штуцерно-ниппельным, а также муфтовым соединениям, представленным в приложении 342 настоящих Правил. Применение подобных соединений возможно также допущено Регистром судоходства.</w:t>
      </w:r>
    </w:p>
    <w:bookmarkEnd w:id="9019"/>
    <w:bookmarkStart w:name="z9061" w:id="9020"/>
    <w:p>
      <w:pPr>
        <w:spacing w:after="0"/>
        <w:ind w:left="0"/>
        <w:jc w:val="both"/>
      </w:pPr>
      <w:r>
        <w:rPr>
          <w:rFonts w:ascii="Times New Roman"/>
          <w:b w:val="false"/>
          <w:i w:val="false"/>
          <w:color w:val="000000"/>
          <w:sz w:val="28"/>
        </w:rPr>
        <w:t>
      В силу значительного конструктивного разнообразия механических соединений рекомендаций по проверочному расчету их прочности не приводится.</w:t>
      </w:r>
    </w:p>
    <w:bookmarkEnd w:id="9020"/>
    <w:bookmarkStart w:name="z9062" w:id="9021"/>
    <w:p>
      <w:pPr>
        <w:spacing w:after="0"/>
        <w:ind w:left="0"/>
        <w:jc w:val="both"/>
      </w:pPr>
      <w:r>
        <w:rPr>
          <w:rFonts w:ascii="Times New Roman"/>
          <w:b w:val="false"/>
          <w:i w:val="false"/>
          <w:color w:val="000000"/>
          <w:sz w:val="28"/>
        </w:rPr>
        <w:t>
      Типовое одобрение механических соединений выполняется на основе испытаний их образцов.</w:t>
      </w:r>
    </w:p>
    <w:bookmarkEnd w:id="9021"/>
    <w:bookmarkStart w:name="z9063" w:id="9022"/>
    <w:p>
      <w:pPr>
        <w:spacing w:after="0"/>
        <w:ind w:left="0"/>
        <w:jc w:val="both"/>
      </w:pPr>
      <w:r>
        <w:rPr>
          <w:rFonts w:ascii="Times New Roman"/>
          <w:b w:val="false"/>
          <w:i w:val="false"/>
          <w:color w:val="000000"/>
          <w:sz w:val="28"/>
        </w:rPr>
        <w:t>
      3056. Механические соединения, область их применения и допустимое давление одобряются Регистром судоходства. Одобрение соединений выполняется с учетом типовых испытаний по программе, одобренной Регистром судоходства.</w:t>
      </w:r>
    </w:p>
    <w:bookmarkEnd w:id="9022"/>
    <w:bookmarkStart w:name="z9064" w:id="9023"/>
    <w:p>
      <w:pPr>
        <w:spacing w:after="0"/>
        <w:ind w:left="0"/>
        <w:jc w:val="both"/>
      </w:pPr>
      <w:r>
        <w:rPr>
          <w:rFonts w:ascii="Times New Roman"/>
          <w:b w:val="false"/>
          <w:i w:val="false"/>
          <w:color w:val="000000"/>
          <w:sz w:val="28"/>
        </w:rPr>
        <w:t>
      3057. Если использование механических соединений связано с уменьшением толщины стенки труб из-за необходимости использования врезных колец или установочных канавок, это учитывается при выборе минимально допустимой толщины стенок труб.</w:t>
      </w:r>
    </w:p>
    <w:bookmarkEnd w:id="9023"/>
    <w:bookmarkStart w:name="z9065" w:id="9024"/>
    <w:p>
      <w:pPr>
        <w:spacing w:after="0"/>
        <w:ind w:left="0"/>
        <w:jc w:val="both"/>
      </w:pPr>
      <w:r>
        <w:rPr>
          <w:rFonts w:ascii="Times New Roman"/>
          <w:b w:val="false"/>
          <w:i w:val="false"/>
          <w:color w:val="000000"/>
          <w:sz w:val="28"/>
        </w:rPr>
        <w:t>
      3058. Конструкция механических соединений должна исключать возможность нарушения плотности под влиянием пульсации давления, вибрации трубопровода, температурных изменений и других воздействий, связанных с использованием на борту судна.</w:t>
      </w:r>
    </w:p>
    <w:bookmarkEnd w:id="9024"/>
    <w:bookmarkStart w:name="z9066" w:id="9025"/>
    <w:p>
      <w:pPr>
        <w:spacing w:after="0"/>
        <w:ind w:left="0"/>
        <w:jc w:val="both"/>
      </w:pPr>
      <w:r>
        <w:rPr>
          <w:rFonts w:ascii="Times New Roman"/>
          <w:b w:val="false"/>
          <w:i w:val="false"/>
          <w:color w:val="000000"/>
          <w:sz w:val="28"/>
        </w:rPr>
        <w:t>
      3059. Используемые для механических соединений материалы должны быть совместимы с материалом трубопровода и проводимой средой.</w:t>
      </w:r>
    </w:p>
    <w:bookmarkEnd w:id="9025"/>
    <w:bookmarkStart w:name="z9067" w:id="9026"/>
    <w:p>
      <w:pPr>
        <w:spacing w:after="0"/>
        <w:ind w:left="0"/>
        <w:jc w:val="both"/>
      </w:pPr>
      <w:r>
        <w:rPr>
          <w:rFonts w:ascii="Times New Roman"/>
          <w:b w:val="false"/>
          <w:i w:val="false"/>
          <w:color w:val="000000"/>
          <w:sz w:val="28"/>
        </w:rPr>
        <w:t>
      3060. Механические соединения способны выдержать давление испытания, превышающее расчетное не менее чем в 4 раза.</w:t>
      </w:r>
    </w:p>
    <w:bookmarkEnd w:id="9026"/>
    <w:bookmarkStart w:name="z9068" w:id="9027"/>
    <w:p>
      <w:pPr>
        <w:spacing w:after="0"/>
        <w:ind w:left="0"/>
        <w:jc w:val="both"/>
      </w:pPr>
      <w:r>
        <w:rPr>
          <w:rFonts w:ascii="Times New Roman"/>
          <w:b w:val="false"/>
          <w:i w:val="false"/>
          <w:color w:val="000000"/>
          <w:sz w:val="28"/>
        </w:rPr>
        <w:t>
      При расчетном давлении 20 МПа и более величину давления испытания возможно по согласованию с Регистром судоходства снизить.</w:t>
      </w:r>
    </w:p>
    <w:bookmarkEnd w:id="9027"/>
    <w:bookmarkStart w:name="z9069" w:id="9028"/>
    <w:p>
      <w:pPr>
        <w:spacing w:after="0"/>
        <w:ind w:left="0"/>
        <w:jc w:val="both"/>
      </w:pPr>
      <w:r>
        <w:rPr>
          <w:rFonts w:ascii="Times New Roman"/>
          <w:b w:val="false"/>
          <w:i w:val="false"/>
          <w:color w:val="000000"/>
          <w:sz w:val="28"/>
        </w:rPr>
        <w:t>
      3061. Перечисленные в приложениях 343 и 344 настоящих Правил механические соединения, предназначенные для использования в системах, проводящих воспламеняющиеся среды, и системах ответственного назначения, должны быть огнестойкими.</w:t>
      </w:r>
    </w:p>
    <w:bookmarkEnd w:id="9028"/>
    <w:bookmarkStart w:name="z9070" w:id="9029"/>
    <w:p>
      <w:pPr>
        <w:spacing w:after="0"/>
        <w:ind w:left="0"/>
        <w:jc w:val="both"/>
      </w:pPr>
      <w:r>
        <w:rPr>
          <w:rFonts w:ascii="Times New Roman"/>
          <w:b w:val="false"/>
          <w:i w:val="false"/>
          <w:color w:val="000000"/>
          <w:sz w:val="28"/>
        </w:rPr>
        <w:t>
      3062. Механические соединения не применяются на участках трубопроводов, где их повреждение может привести к затоплению или возникновению пожара, в частности для непосредственного подключения к бортовым отверстиям или цистернам, содержащим воспламеняющиеся среды.</w:t>
      </w:r>
    </w:p>
    <w:bookmarkEnd w:id="9029"/>
    <w:bookmarkStart w:name="z9071" w:id="9030"/>
    <w:p>
      <w:pPr>
        <w:spacing w:after="0"/>
        <w:ind w:left="0"/>
        <w:jc w:val="both"/>
      </w:pPr>
      <w:r>
        <w:rPr>
          <w:rFonts w:ascii="Times New Roman"/>
          <w:b w:val="false"/>
          <w:i w:val="false"/>
          <w:color w:val="000000"/>
          <w:sz w:val="28"/>
        </w:rPr>
        <w:t>
      3063. Механические соединения рассчитывают на воздействие внутреннего и внешнего давления, а в случае использования на всасывающих участках трубопроводов — сохранять работоспособность в условиях вакуума.</w:t>
      </w:r>
    </w:p>
    <w:bookmarkEnd w:id="9030"/>
    <w:bookmarkStart w:name="z9072" w:id="9031"/>
    <w:p>
      <w:pPr>
        <w:spacing w:after="0"/>
        <w:ind w:left="0"/>
        <w:jc w:val="both"/>
      </w:pPr>
      <w:r>
        <w:rPr>
          <w:rFonts w:ascii="Times New Roman"/>
          <w:b w:val="false"/>
          <w:i w:val="false"/>
          <w:color w:val="000000"/>
          <w:sz w:val="28"/>
        </w:rPr>
        <w:t>
      3064. Число механических соединений в топливных системах должно быть минимальным. Применение стандартных фланцевых соединений является предпочтительным.</w:t>
      </w:r>
    </w:p>
    <w:bookmarkEnd w:id="9031"/>
    <w:bookmarkStart w:name="z9073" w:id="9032"/>
    <w:p>
      <w:pPr>
        <w:spacing w:after="0"/>
        <w:ind w:left="0"/>
        <w:jc w:val="both"/>
      </w:pPr>
      <w:r>
        <w:rPr>
          <w:rFonts w:ascii="Times New Roman"/>
          <w:b w:val="false"/>
          <w:i w:val="false"/>
          <w:color w:val="000000"/>
          <w:sz w:val="28"/>
        </w:rPr>
        <w:t>
      3065. Трубопроводы, собранные с использованием механических соединений, надлежащим образом устанавливают, выравнивают и обеспечивают опорами. Опоры или подвески не используются для выравнивания трубопровода в местах соединения.</w:t>
      </w:r>
    </w:p>
    <w:bookmarkEnd w:id="9032"/>
    <w:bookmarkStart w:name="z9074" w:id="9033"/>
    <w:p>
      <w:pPr>
        <w:spacing w:after="0"/>
        <w:ind w:left="0"/>
        <w:jc w:val="both"/>
      </w:pPr>
      <w:r>
        <w:rPr>
          <w:rFonts w:ascii="Times New Roman"/>
          <w:b w:val="false"/>
          <w:i w:val="false"/>
          <w:color w:val="000000"/>
          <w:sz w:val="28"/>
        </w:rPr>
        <w:t>
      3066. Применение муфтовых соединений в трубопроводах, проложенных внутри грузовых трюмов, танков и других труднодоступных помещений, подлежат одобрению Регистром судоходства.</w:t>
      </w:r>
    </w:p>
    <w:bookmarkEnd w:id="9033"/>
    <w:bookmarkStart w:name="z9075" w:id="9034"/>
    <w:p>
      <w:pPr>
        <w:spacing w:after="0"/>
        <w:ind w:left="0"/>
        <w:jc w:val="both"/>
      </w:pPr>
      <w:r>
        <w:rPr>
          <w:rFonts w:ascii="Times New Roman"/>
          <w:b w:val="false"/>
          <w:i w:val="false"/>
          <w:color w:val="000000"/>
          <w:sz w:val="28"/>
        </w:rPr>
        <w:t>
      Установка механических соединений внутри танков допускается только в том случае, если внутри трубопроводов и в танках содержатся однородные жидкости.</w:t>
      </w:r>
    </w:p>
    <w:bookmarkEnd w:id="9034"/>
    <w:bookmarkStart w:name="z9076" w:id="9035"/>
    <w:p>
      <w:pPr>
        <w:spacing w:after="0"/>
        <w:ind w:left="0"/>
        <w:jc w:val="both"/>
      </w:pPr>
      <w:r>
        <w:rPr>
          <w:rFonts w:ascii="Times New Roman"/>
          <w:b w:val="false"/>
          <w:i w:val="false"/>
          <w:color w:val="000000"/>
          <w:sz w:val="28"/>
        </w:rPr>
        <w:t>
      Применение скользящих муфтовых соединений как основного средства для монтажа трубопроводов не допускается. Они используются только при необходимости компенсации деформации трубопроводов в осевом направлении.</w:t>
      </w:r>
    </w:p>
    <w:bookmarkEnd w:id="9035"/>
    <w:bookmarkStart w:name="z9077" w:id="9036"/>
    <w:p>
      <w:pPr>
        <w:spacing w:after="0"/>
        <w:ind w:left="0"/>
        <w:jc w:val="both"/>
      </w:pPr>
      <w:r>
        <w:rPr>
          <w:rFonts w:ascii="Times New Roman"/>
          <w:b w:val="false"/>
          <w:i w:val="false"/>
          <w:color w:val="000000"/>
          <w:sz w:val="28"/>
        </w:rPr>
        <w:t>
      3067. Область допустимого применения механических соединений в зависимости от назначения трубопровода представлена в приложении 343 настоящих Правил, а в зависимости от класса трубопровода, его диаметра, рабочего давления и температуры — в приложении 344 настоящих Правил.</w:t>
      </w:r>
    </w:p>
    <w:bookmarkEnd w:id="9036"/>
    <w:bookmarkStart w:name="z9078" w:id="9037"/>
    <w:p>
      <w:pPr>
        <w:spacing w:after="0"/>
        <w:ind w:left="0"/>
        <w:jc w:val="both"/>
      </w:pPr>
      <w:r>
        <w:rPr>
          <w:rFonts w:ascii="Times New Roman"/>
          <w:b w:val="false"/>
          <w:i w:val="false"/>
          <w:color w:val="000000"/>
          <w:sz w:val="28"/>
        </w:rPr>
        <w:t>
      3068. Механические соединения испытывают в соответствии с программой, одобренной Регистром судоходства, включающей следующие виды проверок:</w:t>
      </w:r>
    </w:p>
    <w:bookmarkEnd w:id="9037"/>
    <w:bookmarkStart w:name="z9079" w:id="9038"/>
    <w:p>
      <w:pPr>
        <w:spacing w:after="0"/>
        <w:ind w:left="0"/>
        <w:jc w:val="both"/>
      </w:pPr>
      <w:r>
        <w:rPr>
          <w:rFonts w:ascii="Times New Roman"/>
          <w:b w:val="false"/>
          <w:i w:val="false"/>
          <w:color w:val="000000"/>
          <w:sz w:val="28"/>
        </w:rPr>
        <w:t>
      1) испытание герметичности;</w:t>
      </w:r>
    </w:p>
    <w:bookmarkEnd w:id="9038"/>
    <w:bookmarkStart w:name="z9080" w:id="9039"/>
    <w:p>
      <w:pPr>
        <w:spacing w:after="0"/>
        <w:ind w:left="0"/>
        <w:jc w:val="both"/>
      </w:pPr>
      <w:r>
        <w:rPr>
          <w:rFonts w:ascii="Times New Roman"/>
          <w:b w:val="false"/>
          <w:i w:val="false"/>
          <w:color w:val="000000"/>
          <w:sz w:val="28"/>
        </w:rPr>
        <w:t>
      2) вибрационные испытания;</w:t>
      </w:r>
    </w:p>
    <w:bookmarkEnd w:id="9039"/>
    <w:bookmarkStart w:name="z9081" w:id="9040"/>
    <w:p>
      <w:pPr>
        <w:spacing w:after="0"/>
        <w:ind w:left="0"/>
        <w:jc w:val="both"/>
      </w:pPr>
      <w:r>
        <w:rPr>
          <w:rFonts w:ascii="Times New Roman"/>
          <w:b w:val="false"/>
          <w:i w:val="false"/>
          <w:color w:val="000000"/>
          <w:sz w:val="28"/>
        </w:rPr>
        <w:t>
      3) испытания на огнестойкость (при необходимости);</w:t>
      </w:r>
    </w:p>
    <w:bookmarkEnd w:id="9040"/>
    <w:bookmarkStart w:name="z9082" w:id="9041"/>
    <w:p>
      <w:pPr>
        <w:spacing w:after="0"/>
        <w:ind w:left="0"/>
        <w:jc w:val="both"/>
      </w:pPr>
      <w:r>
        <w:rPr>
          <w:rFonts w:ascii="Times New Roman"/>
          <w:b w:val="false"/>
          <w:i w:val="false"/>
          <w:color w:val="000000"/>
          <w:sz w:val="28"/>
        </w:rPr>
        <w:t>
      4) испытания пульсирующим давлением (при необходимости);</w:t>
      </w:r>
    </w:p>
    <w:bookmarkEnd w:id="9041"/>
    <w:bookmarkStart w:name="z9083" w:id="9042"/>
    <w:p>
      <w:pPr>
        <w:spacing w:after="0"/>
        <w:ind w:left="0"/>
        <w:jc w:val="both"/>
      </w:pPr>
      <w:r>
        <w:rPr>
          <w:rFonts w:ascii="Times New Roman"/>
          <w:b w:val="false"/>
          <w:i w:val="false"/>
          <w:color w:val="000000"/>
          <w:sz w:val="28"/>
        </w:rPr>
        <w:t>
      5) проверку работоспособности в условиях вакуума (при необходимости);</w:t>
      </w:r>
    </w:p>
    <w:bookmarkEnd w:id="9042"/>
    <w:bookmarkStart w:name="z9084" w:id="9043"/>
    <w:p>
      <w:pPr>
        <w:spacing w:after="0"/>
        <w:ind w:left="0"/>
        <w:jc w:val="both"/>
      </w:pPr>
      <w:r>
        <w:rPr>
          <w:rFonts w:ascii="Times New Roman"/>
          <w:b w:val="false"/>
          <w:i w:val="false"/>
          <w:color w:val="000000"/>
          <w:sz w:val="28"/>
        </w:rPr>
        <w:t>
      6) проверку разрушающим давлением;</w:t>
      </w:r>
    </w:p>
    <w:bookmarkEnd w:id="9043"/>
    <w:bookmarkStart w:name="z9085" w:id="9044"/>
    <w:p>
      <w:pPr>
        <w:spacing w:after="0"/>
        <w:ind w:left="0"/>
        <w:jc w:val="both"/>
      </w:pPr>
      <w:r>
        <w:rPr>
          <w:rFonts w:ascii="Times New Roman"/>
          <w:b w:val="false"/>
          <w:i w:val="false"/>
          <w:color w:val="000000"/>
          <w:sz w:val="28"/>
        </w:rPr>
        <w:t>
      7) проверку удерживающей способности (при необходимости);</w:t>
      </w:r>
    </w:p>
    <w:bookmarkEnd w:id="9044"/>
    <w:bookmarkStart w:name="z9086" w:id="9045"/>
    <w:p>
      <w:pPr>
        <w:spacing w:after="0"/>
        <w:ind w:left="0"/>
        <w:jc w:val="both"/>
      </w:pPr>
      <w:r>
        <w:rPr>
          <w:rFonts w:ascii="Times New Roman"/>
          <w:b w:val="false"/>
          <w:i w:val="false"/>
          <w:color w:val="000000"/>
          <w:sz w:val="28"/>
        </w:rPr>
        <w:t>
      8) сборку — разборку (при необходимости).</w:t>
      </w:r>
    </w:p>
    <w:bookmarkEnd w:id="9045"/>
    <w:bookmarkStart w:name="z9087" w:id="9046"/>
    <w:p>
      <w:pPr>
        <w:spacing w:after="0"/>
        <w:ind w:left="0"/>
        <w:jc w:val="both"/>
      </w:pPr>
      <w:r>
        <w:rPr>
          <w:rFonts w:ascii="Times New Roman"/>
          <w:b w:val="false"/>
          <w:i w:val="false"/>
          <w:color w:val="000000"/>
          <w:sz w:val="28"/>
        </w:rPr>
        <w:t>
      Объем и характер проверок уточняются в зависимости от типа соединений и назначения трубопровода.</w:t>
      </w:r>
    </w:p>
    <w:bookmarkEnd w:id="9046"/>
    <w:bookmarkStart w:name="z9088" w:id="9047"/>
    <w:p>
      <w:pPr>
        <w:spacing w:after="0"/>
        <w:ind w:left="0"/>
        <w:jc w:val="both"/>
      </w:pPr>
      <w:r>
        <w:rPr>
          <w:rFonts w:ascii="Times New Roman"/>
          <w:b w:val="false"/>
          <w:i w:val="false"/>
          <w:color w:val="000000"/>
          <w:sz w:val="28"/>
        </w:rPr>
        <w:t>
      3069. Установка механических соединений выполняется с учетом требований изготовителя. В случае, если для сборки требуются специальные инструменты или измерительные средства, они поставляются изготовителем.</w:t>
      </w:r>
    </w:p>
    <w:bookmarkEnd w:id="9047"/>
    <w:bookmarkStart w:name="z9089" w:id="9048"/>
    <w:p>
      <w:pPr>
        <w:spacing w:after="0"/>
        <w:ind w:left="0"/>
        <w:jc w:val="left"/>
      </w:pPr>
      <w:r>
        <w:rPr>
          <w:rFonts w:ascii="Times New Roman"/>
          <w:b/>
          <w:i w:val="false"/>
          <w:color w:val="000000"/>
        </w:rPr>
        <w:t xml:space="preserve"> Глава 236. Гибкие соединения, область применения</w:t>
      </w:r>
    </w:p>
    <w:bookmarkEnd w:id="9048"/>
    <w:p>
      <w:pPr>
        <w:spacing w:after="0"/>
        <w:ind w:left="0"/>
        <w:jc w:val="both"/>
      </w:pPr>
      <w:r>
        <w:rPr>
          <w:rFonts w:ascii="Times New Roman"/>
          <w:b w:val="false"/>
          <w:i w:val="false"/>
          <w:color w:val="ff0000"/>
          <w:sz w:val="28"/>
        </w:rPr>
        <w:t xml:space="preserve">
      Сноска. Заголовок главы 236 -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90" w:id="9049"/>
    <w:p>
      <w:pPr>
        <w:spacing w:after="0"/>
        <w:ind w:left="0"/>
        <w:jc w:val="left"/>
      </w:pPr>
      <w:r>
        <w:rPr>
          <w:rFonts w:ascii="Times New Roman"/>
          <w:b/>
          <w:i w:val="false"/>
          <w:color w:val="000000"/>
        </w:rPr>
        <w:t xml:space="preserve"> Параграф 1. Требования к конструкции</w:t>
      </w:r>
    </w:p>
    <w:bookmarkEnd w:id="9049"/>
    <w:bookmarkStart w:name="z9091" w:id="9050"/>
    <w:p>
      <w:pPr>
        <w:spacing w:after="0"/>
        <w:ind w:left="0"/>
        <w:jc w:val="both"/>
      </w:pPr>
      <w:r>
        <w:rPr>
          <w:rFonts w:ascii="Times New Roman"/>
          <w:b w:val="false"/>
          <w:i w:val="false"/>
          <w:color w:val="000000"/>
          <w:sz w:val="28"/>
        </w:rPr>
        <w:t>
      3070. Требования настоящей главы применяются к гибким соединениям из металлических или неметаллических материалов, предназначенных для постоянного подключения фиксированных участков трубопроводов к частям механизмов. Настоящие требования допускается также применять к временно подключенным гибким шлангам или шлангам переносного оборудования.</w:t>
      </w:r>
    </w:p>
    <w:bookmarkEnd w:id="9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92" w:id="9051"/>
    <w:p>
      <w:pPr>
        <w:spacing w:after="0"/>
        <w:ind w:left="0"/>
        <w:jc w:val="both"/>
      </w:pPr>
      <w:r>
        <w:rPr>
          <w:rFonts w:ascii="Times New Roman"/>
          <w:b w:val="false"/>
          <w:i w:val="false"/>
          <w:color w:val="000000"/>
          <w:sz w:val="28"/>
        </w:rPr>
        <w:t>
      3071. Гибкие соединения допускается применять в системах топлива, смазочного и термального масла (холодные участки), охлаждения пресной и забортной водой, балластной и осушительной системах, и паровых трубопроводах III класса при условии их соответствия требованиям настоящей главы. Гибкие соединения не применяются в топливных трубопроводах высокого давления.</w:t>
      </w:r>
    </w:p>
    <w:bookmarkEnd w:id="9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3071 -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93" w:id="9052"/>
    <w:p>
      <w:pPr>
        <w:spacing w:after="0"/>
        <w:ind w:left="0"/>
        <w:jc w:val="both"/>
      </w:pPr>
      <w:r>
        <w:rPr>
          <w:rFonts w:ascii="Times New Roman"/>
          <w:b w:val="false"/>
          <w:i w:val="false"/>
          <w:color w:val="000000"/>
          <w:sz w:val="28"/>
        </w:rPr>
        <w:t>
      3072. Настоящие требования не применимы к шлангам водопожарной системы.</w:t>
      </w:r>
    </w:p>
    <w:bookmarkEnd w:id="9052"/>
    <w:bookmarkStart w:name="z9094" w:id="9053"/>
    <w:p>
      <w:pPr>
        <w:spacing w:after="0"/>
        <w:ind w:left="0"/>
        <w:jc w:val="both"/>
      </w:pPr>
      <w:r>
        <w:rPr>
          <w:rFonts w:ascii="Times New Roman"/>
          <w:b w:val="false"/>
          <w:i w:val="false"/>
          <w:color w:val="000000"/>
          <w:sz w:val="28"/>
        </w:rPr>
        <w:t>
      3073. Гибкие соединения проектируют и выполняют в соответствии с требованиями одобренных стандартов. Гибкие соединения, изготовленные из резины и предназначенные для использования в осушительной и балластной системах, системах сжатого воздуха, топлива, смазочного, гидравлического и термального масел, армируют одинарной или двойной плотно сплетенной проволочной оплеткой или другим подходящим материалом.</w:t>
      </w:r>
    </w:p>
    <w:bookmarkEnd w:id="9053"/>
    <w:bookmarkStart w:name="z9095" w:id="9054"/>
    <w:p>
      <w:pPr>
        <w:spacing w:after="0"/>
        <w:ind w:left="0"/>
        <w:jc w:val="both"/>
      </w:pPr>
      <w:r>
        <w:rPr>
          <w:rFonts w:ascii="Times New Roman"/>
          <w:b w:val="false"/>
          <w:i w:val="false"/>
          <w:color w:val="000000"/>
          <w:sz w:val="28"/>
        </w:rPr>
        <w:t>
      Предназначенные для упомянутых выше целей соединения из пластических материалов, таких, как тефлон или нейлон, которые не допускают внутреннего армирования проволокой, при необходимости упрочняют другими подходящими материалами.</w:t>
      </w:r>
    </w:p>
    <w:bookmarkEnd w:id="9054"/>
    <w:bookmarkStart w:name="z9096" w:id="9055"/>
    <w:p>
      <w:pPr>
        <w:spacing w:after="0"/>
        <w:ind w:left="0"/>
        <w:jc w:val="both"/>
      </w:pPr>
      <w:r>
        <w:rPr>
          <w:rFonts w:ascii="Times New Roman"/>
          <w:b w:val="false"/>
          <w:i w:val="false"/>
          <w:color w:val="000000"/>
          <w:sz w:val="28"/>
        </w:rPr>
        <w:t>
      3074. При использовании гибких соединений, изготовленных из резины или пластических материалов в топливных системах форсунок, гибкие соединения в дополнение к армированию, упомянутому выше, имеют наружную проволочную оплетку. Гибкие соединения, применяемые в паровых системах, изготавливают из металла.</w:t>
      </w:r>
    </w:p>
    <w:bookmarkEnd w:id="9055"/>
    <w:bookmarkStart w:name="z9097" w:id="9056"/>
    <w:p>
      <w:pPr>
        <w:spacing w:after="0"/>
        <w:ind w:left="0"/>
        <w:jc w:val="both"/>
      </w:pPr>
      <w:r>
        <w:rPr>
          <w:rFonts w:ascii="Times New Roman"/>
          <w:b w:val="false"/>
          <w:i w:val="false"/>
          <w:color w:val="000000"/>
          <w:sz w:val="28"/>
        </w:rPr>
        <w:t>
      3075. Гибкие соединения изготавливаются с концевыми соединениями одобренного типа. За исключением фланцевых, концевые соединения отвечают применимым требованиям параграфа 3 главы 235 настоящих Правил и каждая комбинация шланга и концевого соединению подвергается типовым испытаниям.</w:t>
      </w:r>
    </w:p>
    <w:bookmarkEnd w:id="9056"/>
    <w:bookmarkStart w:name="z9098" w:id="9057"/>
    <w:p>
      <w:pPr>
        <w:spacing w:after="0"/>
        <w:ind w:left="0"/>
        <w:jc w:val="both"/>
      </w:pPr>
      <w:r>
        <w:rPr>
          <w:rFonts w:ascii="Times New Roman"/>
          <w:b w:val="false"/>
          <w:i w:val="false"/>
          <w:color w:val="000000"/>
          <w:sz w:val="28"/>
        </w:rPr>
        <w:t>
      3076. Использование хомутов и подобного типа концевых соединений не допускается для гибких соединений в паровых системах, системах с горючими средами, системах пускового воздуха, а также для систем забортной воды если их повреждение может вызвать затопление, например при непосредственном их подключении к бортовым отверстиям. В других системах крепление концевых соединений двойными хомутами возможно допустить, если давление в них не превышает 0,5 МПа.</w:t>
      </w:r>
    </w:p>
    <w:bookmarkEnd w:id="9057"/>
    <w:bookmarkStart w:name="z9099" w:id="9058"/>
    <w:p>
      <w:pPr>
        <w:spacing w:after="0"/>
        <w:ind w:left="0"/>
        <w:jc w:val="both"/>
      </w:pPr>
      <w:r>
        <w:rPr>
          <w:rFonts w:ascii="Times New Roman"/>
          <w:b w:val="false"/>
          <w:i w:val="false"/>
          <w:color w:val="000000"/>
          <w:sz w:val="28"/>
        </w:rPr>
        <w:t>
      3077. Гибкие соединения, предназначенные для установки в системах, в которых ожидается пульсация давления или повышенный уровень вибрации, рассчитывают на максимальное пиковое давление и усилия от вибрации. При испытаниях согласно параграфу 3 настоящей главы, следует принимать во внимание максимальное ожидаемое в эксплуатации давление, частоту вибрации и нагрузки вследствие монтажа.</w:t>
      </w:r>
    </w:p>
    <w:bookmarkEnd w:id="9058"/>
    <w:bookmarkStart w:name="z9100" w:id="9059"/>
    <w:p>
      <w:pPr>
        <w:spacing w:after="0"/>
        <w:ind w:left="0"/>
        <w:jc w:val="both"/>
      </w:pPr>
      <w:r>
        <w:rPr>
          <w:rFonts w:ascii="Times New Roman"/>
          <w:b w:val="false"/>
          <w:i w:val="false"/>
          <w:color w:val="000000"/>
          <w:sz w:val="28"/>
        </w:rPr>
        <w:t>
      3078. Гибкие соединения, выполненные из неметаллических материалов и предназначенные для горючих сред или систем морской воды, если их повреждение может вызвать затопление, например, при непосредственном их подключении к бортовым отверстиям, должны быть огнестойкими. Огнестойкость демонстрируется испытаниями на соответствие требованиям пункта 3091 настоящих Правил.</w:t>
      </w:r>
    </w:p>
    <w:bookmarkEnd w:id="9059"/>
    <w:bookmarkStart w:name="z9101" w:id="9060"/>
    <w:p>
      <w:pPr>
        <w:spacing w:after="0"/>
        <w:ind w:left="0"/>
        <w:jc w:val="both"/>
      </w:pPr>
      <w:r>
        <w:rPr>
          <w:rFonts w:ascii="Times New Roman"/>
          <w:b w:val="false"/>
          <w:i w:val="false"/>
          <w:color w:val="000000"/>
          <w:sz w:val="28"/>
        </w:rPr>
        <w:t>
      3079. Гибкие соединения выбираются с учетом назначенного расположения и применения, принимая во внимание внешние условия, совместимость с проводимой средой при рабочем давлении и температуре согласно инструкции изготовителя.</w:t>
      </w:r>
    </w:p>
    <w:bookmarkEnd w:id="9060"/>
    <w:bookmarkStart w:name="z9102" w:id="9061"/>
    <w:p>
      <w:pPr>
        <w:spacing w:after="0"/>
        <w:ind w:left="0"/>
        <w:jc w:val="left"/>
      </w:pPr>
      <w:r>
        <w:rPr>
          <w:rFonts w:ascii="Times New Roman"/>
          <w:b/>
          <w:i w:val="false"/>
          <w:color w:val="000000"/>
        </w:rPr>
        <w:t xml:space="preserve"> Параграф 2. Монтаж</w:t>
      </w:r>
    </w:p>
    <w:bookmarkEnd w:id="9061"/>
    <w:bookmarkStart w:name="z9103" w:id="9062"/>
    <w:p>
      <w:pPr>
        <w:spacing w:after="0"/>
        <w:ind w:left="0"/>
        <w:jc w:val="both"/>
      </w:pPr>
      <w:r>
        <w:rPr>
          <w:rFonts w:ascii="Times New Roman"/>
          <w:b w:val="false"/>
          <w:i w:val="false"/>
          <w:color w:val="000000"/>
          <w:sz w:val="28"/>
        </w:rPr>
        <w:t>
      3080. Как правило, длина гибких соединений ограничивается длиной, необходимой для обеспечения относительного перемещения фиксированных и подвижных элементов механического оборудования и трубопроводов.</w:t>
      </w:r>
    </w:p>
    <w:bookmarkEnd w:id="9062"/>
    <w:bookmarkStart w:name="z9104" w:id="9063"/>
    <w:p>
      <w:pPr>
        <w:spacing w:after="0"/>
        <w:ind w:left="0"/>
        <w:jc w:val="both"/>
      </w:pPr>
      <w:r>
        <w:rPr>
          <w:rFonts w:ascii="Times New Roman"/>
          <w:b w:val="false"/>
          <w:i w:val="false"/>
          <w:color w:val="000000"/>
          <w:sz w:val="28"/>
        </w:rPr>
        <w:t>
      3081. Гибкие соединения не применяются там, где они могут быть подвержены скручиванию при нормальных условиях работы.</w:t>
      </w:r>
    </w:p>
    <w:bookmarkEnd w:id="9063"/>
    <w:bookmarkStart w:name="z9105" w:id="9064"/>
    <w:p>
      <w:pPr>
        <w:spacing w:after="0"/>
        <w:ind w:left="0"/>
        <w:jc w:val="both"/>
      </w:pPr>
      <w:r>
        <w:rPr>
          <w:rFonts w:ascii="Times New Roman"/>
          <w:b w:val="false"/>
          <w:i w:val="false"/>
          <w:color w:val="000000"/>
          <w:sz w:val="28"/>
        </w:rPr>
        <w:t>
      3082. Количество гибких соединений в системах трубопроводов, должно быть минимальным, а их назначение ограничивается указанным в пунктах 3071 – 3073 настоящих Правил.</w:t>
      </w:r>
    </w:p>
    <w:bookmarkEnd w:id="9064"/>
    <w:bookmarkStart w:name="z9106" w:id="9065"/>
    <w:p>
      <w:pPr>
        <w:spacing w:after="0"/>
        <w:ind w:left="0"/>
        <w:jc w:val="both"/>
      </w:pPr>
      <w:r>
        <w:rPr>
          <w:rFonts w:ascii="Times New Roman"/>
          <w:b w:val="false"/>
          <w:i w:val="false"/>
          <w:color w:val="000000"/>
          <w:sz w:val="28"/>
        </w:rPr>
        <w:t>
      3083. Если гибкие соединения, проводящие воспламеняющиеся среды, расположены в непосредственной близости от нагретых поверхностей, риск воспламенения жидкости в случае повреждения соединения должен снижаться использованием кожухов или других средств, одобренных Регистром судоходства.</w:t>
      </w:r>
    </w:p>
    <w:bookmarkEnd w:id="9065"/>
    <w:bookmarkStart w:name="z9107" w:id="9066"/>
    <w:p>
      <w:pPr>
        <w:spacing w:after="0"/>
        <w:ind w:left="0"/>
        <w:jc w:val="both"/>
      </w:pPr>
      <w:r>
        <w:rPr>
          <w:rFonts w:ascii="Times New Roman"/>
          <w:b w:val="false"/>
          <w:i w:val="false"/>
          <w:color w:val="000000"/>
          <w:sz w:val="28"/>
        </w:rPr>
        <w:t>
      3084. Гибкие соединения устанавливаются в хорошо видимых легкодоступных местах.</w:t>
      </w:r>
    </w:p>
    <w:bookmarkEnd w:id="9066"/>
    <w:bookmarkStart w:name="z9108" w:id="9067"/>
    <w:p>
      <w:pPr>
        <w:spacing w:after="0"/>
        <w:ind w:left="0"/>
        <w:jc w:val="both"/>
      </w:pPr>
      <w:r>
        <w:rPr>
          <w:rFonts w:ascii="Times New Roman"/>
          <w:b w:val="false"/>
          <w:i w:val="false"/>
          <w:color w:val="000000"/>
          <w:sz w:val="28"/>
        </w:rPr>
        <w:t>
      3085. Монтаж гибких соединений производится с учетом инструкций изготовителя и ограничений по использованию, при этом особое внимание обращается на:</w:t>
      </w:r>
    </w:p>
    <w:bookmarkEnd w:id="9067"/>
    <w:bookmarkStart w:name="z9109" w:id="9068"/>
    <w:p>
      <w:pPr>
        <w:spacing w:after="0"/>
        <w:ind w:left="0"/>
        <w:jc w:val="both"/>
      </w:pPr>
      <w:r>
        <w:rPr>
          <w:rFonts w:ascii="Times New Roman"/>
          <w:b w:val="false"/>
          <w:i w:val="false"/>
          <w:color w:val="000000"/>
          <w:sz w:val="28"/>
        </w:rPr>
        <w:t>
      расположение (с учетом допустимого перемещения при работе);</w:t>
      </w:r>
    </w:p>
    <w:bookmarkEnd w:id="9068"/>
    <w:bookmarkStart w:name="z9110" w:id="9069"/>
    <w:p>
      <w:pPr>
        <w:spacing w:after="0"/>
        <w:ind w:left="0"/>
        <w:jc w:val="both"/>
      </w:pPr>
      <w:r>
        <w:rPr>
          <w:rFonts w:ascii="Times New Roman"/>
          <w:b w:val="false"/>
          <w:i w:val="false"/>
          <w:color w:val="000000"/>
          <w:sz w:val="28"/>
        </w:rPr>
        <w:t>
      опоры концевых соединений (при необходимости);</w:t>
      </w:r>
    </w:p>
    <w:bookmarkEnd w:id="9069"/>
    <w:bookmarkStart w:name="z9111" w:id="9070"/>
    <w:p>
      <w:pPr>
        <w:spacing w:after="0"/>
        <w:ind w:left="0"/>
        <w:jc w:val="both"/>
      </w:pPr>
      <w:r>
        <w:rPr>
          <w:rFonts w:ascii="Times New Roman"/>
          <w:b w:val="false"/>
          <w:i w:val="false"/>
          <w:color w:val="000000"/>
          <w:sz w:val="28"/>
        </w:rPr>
        <w:t>
      исключение касания шланга, которое может вызвать его истирание и механическое повреждение;</w:t>
      </w:r>
    </w:p>
    <w:bookmarkEnd w:id="9070"/>
    <w:bookmarkStart w:name="z9112" w:id="9071"/>
    <w:p>
      <w:pPr>
        <w:spacing w:after="0"/>
        <w:ind w:left="0"/>
        <w:jc w:val="both"/>
      </w:pPr>
      <w:r>
        <w:rPr>
          <w:rFonts w:ascii="Times New Roman"/>
          <w:b w:val="false"/>
          <w:i w:val="false"/>
          <w:color w:val="000000"/>
          <w:sz w:val="28"/>
        </w:rPr>
        <w:t>
      минимальные радиусы изгиба.</w:t>
      </w:r>
    </w:p>
    <w:bookmarkEnd w:id="9071"/>
    <w:bookmarkStart w:name="z9113" w:id="9072"/>
    <w:p>
      <w:pPr>
        <w:spacing w:after="0"/>
        <w:ind w:left="0"/>
        <w:jc w:val="left"/>
      </w:pPr>
      <w:r>
        <w:rPr>
          <w:rFonts w:ascii="Times New Roman"/>
          <w:b/>
          <w:i w:val="false"/>
          <w:color w:val="000000"/>
        </w:rPr>
        <w:t xml:space="preserve"> Параграф 3. Испытания и маркировка</w:t>
      </w:r>
    </w:p>
    <w:bookmarkEnd w:id="9072"/>
    <w:bookmarkStart w:name="z9114" w:id="9073"/>
    <w:p>
      <w:pPr>
        <w:spacing w:after="0"/>
        <w:ind w:left="0"/>
        <w:jc w:val="both"/>
      </w:pPr>
      <w:r>
        <w:rPr>
          <w:rFonts w:ascii="Times New Roman"/>
          <w:b w:val="false"/>
          <w:i w:val="false"/>
          <w:color w:val="000000"/>
          <w:sz w:val="28"/>
        </w:rPr>
        <w:t>
      3086. Одобрение гибких соединений выполняется на основе удовлетворительных типовых испытаний. Программа испытаний представляется изготовителем и должна быть достаточно подробна, чтобы продемонстрировать соответствие требованиям необходимых стандартов.</w:t>
      </w:r>
    </w:p>
    <w:bookmarkEnd w:id="9073"/>
    <w:bookmarkStart w:name="z9115" w:id="9074"/>
    <w:p>
      <w:pPr>
        <w:spacing w:after="0"/>
        <w:ind w:left="0"/>
        <w:jc w:val="both"/>
      </w:pPr>
      <w:r>
        <w:rPr>
          <w:rFonts w:ascii="Times New Roman"/>
          <w:b w:val="false"/>
          <w:i w:val="false"/>
          <w:color w:val="000000"/>
          <w:sz w:val="28"/>
        </w:rPr>
        <w:t>
      3087. Испытания проводятся согласно пунктов 3086 – 3091 настоящих Правил на гибких соединениях различных номинальных диаметров полностью укомплектованных концевыми деталями. По согласованию с Регистром судоходства допускается применять другие стандарты.</w:t>
      </w:r>
    </w:p>
    <w:bookmarkEnd w:id="9074"/>
    <w:bookmarkStart w:name="z9116" w:id="9075"/>
    <w:p>
      <w:pPr>
        <w:spacing w:after="0"/>
        <w:ind w:left="0"/>
        <w:jc w:val="both"/>
      </w:pPr>
      <w:r>
        <w:rPr>
          <w:rFonts w:ascii="Times New Roman"/>
          <w:b w:val="false"/>
          <w:i w:val="false"/>
          <w:color w:val="000000"/>
          <w:sz w:val="28"/>
        </w:rPr>
        <w:t>
      3088. Каждое гибкое соединение проходит испытание пробным давлением, равным 1,5 расчетного в течение 5 мин. При этом не допускается наличие остаточных деформаций и повреждений.</w:t>
      </w:r>
    </w:p>
    <w:bookmarkEnd w:id="9075"/>
    <w:bookmarkStart w:name="z9117" w:id="9076"/>
    <w:p>
      <w:pPr>
        <w:spacing w:after="0"/>
        <w:ind w:left="0"/>
        <w:jc w:val="both"/>
      </w:pPr>
      <w:r>
        <w:rPr>
          <w:rFonts w:ascii="Times New Roman"/>
          <w:b w:val="false"/>
          <w:i w:val="false"/>
          <w:color w:val="000000"/>
          <w:sz w:val="28"/>
        </w:rPr>
        <w:t>
      3089. Каждый тип гибких соединений походит испытания разрывным давлением равным четырехкратному расчетному давлению в течение 5 минут. При этом допускаются остаточные деформации без видимых повреждений или протечек.</w:t>
      </w:r>
    </w:p>
    <w:bookmarkEnd w:id="9076"/>
    <w:bookmarkStart w:name="z9118" w:id="9077"/>
    <w:p>
      <w:pPr>
        <w:spacing w:after="0"/>
        <w:ind w:left="0"/>
        <w:jc w:val="both"/>
      </w:pPr>
      <w:r>
        <w:rPr>
          <w:rFonts w:ascii="Times New Roman"/>
          <w:b w:val="false"/>
          <w:i w:val="false"/>
          <w:color w:val="000000"/>
          <w:sz w:val="28"/>
        </w:rPr>
        <w:t>
      3090. Импульсные испытания проводятся при типовых испытаниях для гибких соединений, предназначенных для установки в системах, в которых ожидается пульсация давления. Импульсные испытания проводятся согласно стандартам ISO 6802, ISO 6803, ISO 10380 или эквивалентным.</w:t>
      </w:r>
    </w:p>
    <w:bookmarkEnd w:id="9077"/>
    <w:bookmarkStart w:name="z9119" w:id="9078"/>
    <w:p>
      <w:pPr>
        <w:spacing w:after="0"/>
        <w:ind w:left="0"/>
        <w:jc w:val="both"/>
      </w:pPr>
      <w:r>
        <w:rPr>
          <w:rFonts w:ascii="Times New Roman"/>
          <w:b w:val="false"/>
          <w:i w:val="false"/>
          <w:color w:val="000000"/>
          <w:sz w:val="28"/>
        </w:rPr>
        <w:t>
      3091. Испытания на огнестойкость проводятся при типовых испытаниях для гибких соединений, указанных в пункте 3078 настоящих Правил. Испытания проводятся согласно стандартам ISO 15540 и ISO 15541 или эквивалентным.</w:t>
      </w:r>
    </w:p>
    <w:bookmarkEnd w:id="9078"/>
    <w:bookmarkStart w:name="z9120" w:id="9079"/>
    <w:p>
      <w:pPr>
        <w:spacing w:after="0"/>
        <w:ind w:left="0"/>
        <w:jc w:val="both"/>
      </w:pPr>
      <w:r>
        <w:rPr>
          <w:rFonts w:ascii="Times New Roman"/>
          <w:b w:val="false"/>
          <w:i w:val="false"/>
          <w:color w:val="000000"/>
          <w:sz w:val="28"/>
        </w:rPr>
        <w:t>
      3092. Гибкие соединения имеют постоянную маркировку, нанесенную изготовителем, включающую следующие данные:</w:t>
      </w:r>
    </w:p>
    <w:bookmarkEnd w:id="9079"/>
    <w:bookmarkStart w:name="z9121" w:id="9080"/>
    <w:p>
      <w:pPr>
        <w:spacing w:after="0"/>
        <w:ind w:left="0"/>
        <w:jc w:val="both"/>
      </w:pPr>
      <w:r>
        <w:rPr>
          <w:rFonts w:ascii="Times New Roman"/>
          <w:b w:val="false"/>
          <w:i w:val="false"/>
          <w:color w:val="000000"/>
          <w:sz w:val="28"/>
        </w:rPr>
        <w:t>
      наименование предприятия-изготовителя или его торговую марку;</w:t>
      </w:r>
    </w:p>
    <w:bookmarkEnd w:id="9080"/>
    <w:bookmarkStart w:name="z9122" w:id="9081"/>
    <w:p>
      <w:pPr>
        <w:spacing w:after="0"/>
        <w:ind w:left="0"/>
        <w:jc w:val="both"/>
      </w:pPr>
      <w:r>
        <w:rPr>
          <w:rFonts w:ascii="Times New Roman"/>
          <w:b w:val="false"/>
          <w:i w:val="false"/>
          <w:color w:val="000000"/>
          <w:sz w:val="28"/>
        </w:rPr>
        <w:t>
      дата изготовления (месяц и год);</w:t>
      </w:r>
    </w:p>
    <w:bookmarkEnd w:id="9081"/>
    <w:bookmarkStart w:name="z9123" w:id="9082"/>
    <w:p>
      <w:pPr>
        <w:spacing w:after="0"/>
        <w:ind w:left="0"/>
        <w:jc w:val="both"/>
      </w:pPr>
      <w:r>
        <w:rPr>
          <w:rFonts w:ascii="Times New Roman"/>
          <w:b w:val="false"/>
          <w:i w:val="false"/>
          <w:color w:val="000000"/>
          <w:sz w:val="28"/>
        </w:rPr>
        <w:t>
      обозначение типа;</w:t>
      </w:r>
    </w:p>
    <w:bookmarkEnd w:id="9082"/>
    <w:bookmarkStart w:name="z9124" w:id="9083"/>
    <w:p>
      <w:pPr>
        <w:spacing w:after="0"/>
        <w:ind w:left="0"/>
        <w:jc w:val="both"/>
      </w:pPr>
      <w:r>
        <w:rPr>
          <w:rFonts w:ascii="Times New Roman"/>
          <w:b w:val="false"/>
          <w:i w:val="false"/>
          <w:color w:val="000000"/>
          <w:sz w:val="28"/>
        </w:rPr>
        <w:t>
      номинальный диаметр;</w:t>
      </w:r>
    </w:p>
    <w:bookmarkEnd w:id="9083"/>
    <w:bookmarkStart w:name="z9125" w:id="9084"/>
    <w:p>
      <w:pPr>
        <w:spacing w:after="0"/>
        <w:ind w:left="0"/>
        <w:jc w:val="both"/>
      </w:pPr>
      <w:r>
        <w:rPr>
          <w:rFonts w:ascii="Times New Roman"/>
          <w:b w:val="false"/>
          <w:i w:val="false"/>
          <w:color w:val="000000"/>
          <w:sz w:val="28"/>
        </w:rPr>
        <w:t>
      расчетное давление;</w:t>
      </w:r>
    </w:p>
    <w:bookmarkEnd w:id="9084"/>
    <w:bookmarkStart w:name="z9126" w:id="9085"/>
    <w:p>
      <w:pPr>
        <w:spacing w:after="0"/>
        <w:ind w:left="0"/>
        <w:jc w:val="both"/>
      </w:pPr>
      <w:r>
        <w:rPr>
          <w:rFonts w:ascii="Times New Roman"/>
          <w:b w:val="false"/>
          <w:i w:val="false"/>
          <w:color w:val="000000"/>
          <w:sz w:val="28"/>
        </w:rPr>
        <w:t>
      расчетная температура.</w:t>
      </w:r>
    </w:p>
    <w:bookmarkEnd w:id="9085"/>
    <w:bookmarkStart w:name="z9127" w:id="9086"/>
    <w:p>
      <w:pPr>
        <w:spacing w:after="0"/>
        <w:ind w:left="0"/>
        <w:jc w:val="both"/>
      </w:pPr>
      <w:r>
        <w:rPr>
          <w:rFonts w:ascii="Times New Roman"/>
          <w:b w:val="false"/>
          <w:i w:val="false"/>
          <w:color w:val="000000"/>
          <w:sz w:val="28"/>
        </w:rPr>
        <w:t>
      Если гибкое соединение выполнено из деталей различных изготовителей, компоненты четко идентифицируются.</w:t>
      </w:r>
    </w:p>
    <w:bookmarkEnd w:id="9086"/>
    <w:bookmarkStart w:name="z9128" w:id="9087"/>
    <w:p>
      <w:pPr>
        <w:spacing w:after="0"/>
        <w:ind w:left="0"/>
        <w:jc w:val="left"/>
      </w:pPr>
      <w:r>
        <w:rPr>
          <w:rFonts w:ascii="Times New Roman"/>
          <w:b/>
          <w:i w:val="false"/>
          <w:color w:val="000000"/>
        </w:rPr>
        <w:t xml:space="preserve"> Подраздел 3. Трубопроводы из пластмасс</w:t>
      </w:r>
      <w:r>
        <w:br/>
      </w:r>
      <w:r>
        <w:rPr>
          <w:rFonts w:ascii="Times New Roman"/>
          <w:b/>
          <w:i w:val="false"/>
          <w:color w:val="000000"/>
        </w:rPr>
        <w:t>Глава 237. Общие требования, область распространения</w:t>
      </w:r>
    </w:p>
    <w:bookmarkEnd w:id="9087"/>
    <w:p>
      <w:pPr>
        <w:spacing w:after="0"/>
        <w:ind w:left="0"/>
        <w:jc w:val="both"/>
      </w:pPr>
      <w:r>
        <w:rPr>
          <w:rFonts w:ascii="Times New Roman"/>
          <w:b w:val="false"/>
          <w:i w:val="false"/>
          <w:color w:val="ff0000"/>
          <w:sz w:val="28"/>
        </w:rPr>
        <w:t xml:space="preserve">
      Сноска. Заголовок главы 237 -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30" w:id="9088"/>
    <w:p>
      <w:pPr>
        <w:spacing w:after="0"/>
        <w:ind w:left="0"/>
        <w:jc w:val="both"/>
      </w:pPr>
      <w:r>
        <w:rPr>
          <w:rFonts w:ascii="Times New Roman"/>
          <w:b w:val="false"/>
          <w:i w:val="false"/>
          <w:color w:val="000000"/>
          <w:sz w:val="28"/>
        </w:rPr>
        <w:t>
      3093. Настоящие требования распространяются на все трубопроводы, изготовленные из пластмасс.</w:t>
      </w:r>
    </w:p>
    <w:bookmarkEnd w:id="9088"/>
    <w:bookmarkStart w:name="z9131" w:id="9089"/>
    <w:p>
      <w:pPr>
        <w:spacing w:after="0"/>
        <w:ind w:left="0"/>
        <w:jc w:val="both"/>
      </w:pPr>
      <w:r>
        <w:rPr>
          <w:rFonts w:ascii="Times New Roman"/>
          <w:b w:val="false"/>
          <w:i w:val="false"/>
          <w:color w:val="000000"/>
          <w:sz w:val="28"/>
        </w:rPr>
        <w:t>
      3094. Требования не распространяются на гибкие неметаллические соединения, резиновые шланги, а также механические соединения, применяемые в системах с металлическими трубами.</w:t>
      </w:r>
    </w:p>
    <w:bookmarkEnd w:id="9089"/>
    <w:bookmarkStart w:name="z9132" w:id="9090"/>
    <w:p>
      <w:pPr>
        <w:spacing w:after="0"/>
        <w:ind w:left="0"/>
        <w:jc w:val="both"/>
      </w:pPr>
      <w:r>
        <w:rPr>
          <w:rFonts w:ascii="Times New Roman"/>
          <w:b w:val="false"/>
          <w:i w:val="false"/>
          <w:color w:val="000000"/>
          <w:sz w:val="28"/>
        </w:rPr>
        <w:t>
      3095. Общие требования к трубам и фасонным элементам из пластмасс изложены в главе 613 настоящих Правил.</w:t>
      </w:r>
    </w:p>
    <w:bookmarkEnd w:id="9090"/>
    <w:bookmarkStart w:name="z9133" w:id="9091"/>
    <w:p>
      <w:pPr>
        <w:spacing w:after="0"/>
        <w:ind w:left="0"/>
        <w:jc w:val="left"/>
      </w:pPr>
      <w:r>
        <w:rPr>
          <w:rFonts w:ascii="Times New Roman"/>
          <w:b/>
          <w:i w:val="false"/>
          <w:color w:val="000000"/>
        </w:rPr>
        <w:t xml:space="preserve"> Глава 238. Требования к трубопроводам в зависимости от их назначения и расположения</w:t>
      </w:r>
    </w:p>
    <w:bookmarkEnd w:id="9091"/>
    <w:p>
      <w:pPr>
        <w:spacing w:after="0"/>
        <w:ind w:left="0"/>
        <w:jc w:val="both"/>
      </w:pPr>
      <w:r>
        <w:rPr>
          <w:rFonts w:ascii="Times New Roman"/>
          <w:b w:val="false"/>
          <w:i w:val="false"/>
          <w:color w:val="ff0000"/>
          <w:sz w:val="28"/>
        </w:rPr>
        <w:t xml:space="preserve">
      Сноска. Заголовок главы 238 -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34" w:id="9092"/>
    <w:p>
      <w:pPr>
        <w:spacing w:after="0"/>
        <w:ind w:left="0"/>
        <w:jc w:val="left"/>
      </w:pPr>
      <w:r>
        <w:rPr>
          <w:rFonts w:ascii="Times New Roman"/>
          <w:b/>
          <w:i w:val="false"/>
          <w:color w:val="000000"/>
        </w:rPr>
        <w:t xml:space="preserve"> Параграф 1. Огнестойкость</w:t>
      </w:r>
    </w:p>
    <w:bookmarkEnd w:id="9092"/>
    <w:bookmarkStart w:name="z9135" w:id="9093"/>
    <w:p>
      <w:pPr>
        <w:spacing w:after="0"/>
        <w:ind w:left="0"/>
        <w:jc w:val="both"/>
      </w:pPr>
      <w:r>
        <w:rPr>
          <w:rFonts w:ascii="Times New Roman"/>
          <w:b w:val="false"/>
          <w:i w:val="false"/>
          <w:color w:val="000000"/>
          <w:sz w:val="28"/>
        </w:rPr>
        <w:t>
      3096. Необходимо чтобы трубы и фасонные элементы, от целостности которых существенно зависит безопасность судна, отвечали требованиям огнестойкости.</w:t>
      </w:r>
    </w:p>
    <w:bookmarkEnd w:id="9093"/>
    <w:bookmarkStart w:name="z9136" w:id="9094"/>
    <w:p>
      <w:pPr>
        <w:spacing w:after="0"/>
        <w:ind w:left="0"/>
        <w:jc w:val="both"/>
      </w:pPr>
      <w:r>
        <w:rPr>
          <w:rFonts w:ascii="Times New Roman"/>
          <w:b w:val="false"/>
          <w:i w:val="false"/>
          <w:color w:val="000000"/>
          <w:sz w:val="28"/>
        </w:rPr>
        <w:t>
      3097. В зависимости от свойств трубопроводов сохранять свою целостность при испытании на огнестойкость по методике, изложенной в приложениях 1 и 2 к резолюции ИМО А.753(18), установлены три уровня огнестойкости:</w:t>
      </w:r>
    </w:p>
    <w:bookmarkEnd w:id="9094"/>
    <w:bookmarkStart w:name="z9137" w:id="9095"/>
    <w:p>
      <w:pPr>
        <w:spacing w:after="0"/>
        <w:ind w:left="0"/>
        <w:jc w:val="both"/>
      </w:pPr>
      <w:r>
        <w:rPr>
          <w:rFonts w:ascii="Times New Roman"/>
          <w:b w:val="false"/>
          <w:i w:val="false"/>
          <w:color w:val="000000"/>
          <w:sz w:val="28"/>
        </w:rPr>
        <w:t>
      У1 — для трубопроводов, выдержавших испытания на огнестойкость в сухом состоянии в течение 1 ч;</w:t>
      </w:r>
    </w:p>
    <w:bookmarkEnd w:id="9095"/>
    <w:bookmarkStart w:name="z9138" w:id="9096"/>
    <w:p>
      <w:pPr>
        <w:spacing w:after="0"/>
        <w:ind w:left="0"/>
        <w:jc w:val="both"/>
      </w:pPr>
      <w:r>
        <w:rPr>
          <w:rFonts w:ascii="Times New Roman"/>
          <w:b w:val="false"/>
          <w:i w:val="false"/>
          <w:color w:val="000000"/>
          <w:sz w:val="28"/>
        </w:rPr>
        <w:t>
      У2 — для трубопроводов, выдержавших испытания на огнестойкость в сухом состоянии в течение 30 мин;</w:t>
      </w:r>
    </w:p>
    <w:bookmarkEnd w:id="9096"/>
    <w:bookmarkStart w:name="z9139" w:id="9097"/>
    <w:p>
      <w:pPr>
        <w:spacing w:after="0"/>
        <w:ind w:left="0"/>
        <w:jc w:val="both"/>
      </w:pPr>
      <w:r>
        <w:rPr>
          <w:rFonts w:ascii="Times New Roman"/>
          <w:b w:val="false"/>
          <w:i w:val="false"/>
          <w:color w:val="000000"/>
          <w:sz w:val="28"/>
        </w:rPr>
        <w:t>
      УЗ — для трубопроводов, выдержавших испытания на огнестойкость в заполненном состоянии в течение 30 мин.</w:t>
      </w:r>
    </w:p>
    <w:bookmarkEnd w:id="9097"/>
    <w:bookmarkStart w:name="z9140" w:id="9098"/>
    <w:p>
      <w:pPr>
        <w:spacing w:after="0"/>
        <w:ind w:left="0"/>
        <w:jc w:val="both"/>
      </w:pPr>
      <w:r>
        <w:rPr>
          <w:rFonts w:ascii="Times New Roman"/>
          <w:b w:val="false"/>
          <w:i w:val="false"/>
          <w:color w:val="000000"/>
          <w:sz w:val="28"/>
        </w:rPr>
        <w:t>
      3098. Область применения трубопроводов из пластмасс в зависимости от уровня огнестойкости, месторасположения и проводимых сред приведена в приложении 345 настоящих Правил.</w:t>
      </w:r>
    </w:p>
    <w:bookmarkEnd w:id="9098"/>
    <w:bookmarkStart w:name="z9141" w:id="9099"/>
    <w:p>
      <w:pPr>
        <w:spacing w:after="0"/>
        <w:ind w:left="0"/>
        <w:jc w:val="left"/>
      </w:pPr>
      <w:r>
        <w:rPr>
          <w:rFonts w:ascii="Times New Roman"/>
          <w:b/>
          <w:i w:val="false"/>
          <w:color w:val="000000"/>
        </w:rPr>
        <w:t xml:space="preserve"> Параграф 2. Область распространение пламени,</w:t>
      </w:r>
      <w:r>
        <w:br/>
      </w:r>
      <w:r>
        <w:rPr>
          <w:rFonts w:ascii="Times New Roman"/>
          <w:b/>
          <w:i w:val="false"/>
          <w:color w:val="000000"/>
        </w:rPr>
        <w:t>огнезащитные покрытия</w:t>
      </w:r>
    </w:p>
    <w:bookmarkEnd w:id="9099"/>
    <w:bookmarkStart w:name="z9142" w:id="9100"/>
    <w:p>
      <w:pPr>
        <w:spacing w:after="0"/>
        <w:ind w:left="0"/>
        <w:jc w:val="both"/>
      </w:pPr>
      <w:r>
        <w:rPr>
          <w:rFonts w:ascii="Times New Roman"/>
          <w:b w:val="false"/>
          <w:i w:val="false"/>
          <w:color w:val="000000"/>
          <w:sz w:val="28"/>
        </w:rPr>
        <w:t>
      3099. Все трубы, кроме расположенных на открытых палубах, в танках, коффердамах пустых пространств, туннелях трубопроводов, имеют характеристику медленного распространения пламени по поверхности, не превышающую средних значений, регламентированных резолюцией ИМО А.653(16), и определенную по методике, приведенной в приложении 3 к резолюции ИМО А.753(18), с учетом изменений, обусловленных криволинейной поверхностью труб, или по другим одобренным Регистром судоходства стандартам.</w:t>
      </w:r>
    </w:p>
    <w:bookmarkEnd w:id="9100"/>
    <w:bookmarkStart w:name="z9143" w:id="9101"/>
    <w:p>
      <w:pPr>
        <w:spacing w:after="0"/>
        <w:ind w:left="0"/>
        <w:jc w:val="both"/>
      </w:pPr>
      <w:r>
        <w:rPr>
          <w:rFonts w:ascii="Times New Roman"/>
          <w:b w:val="false"/>
          <w:i w:val="false"/>
          <w:color w:val="000000"/>
          <w:sz w:val="28"/>
        </w:rPr>
        <w:t>
      3100. Для обеспечения требуемого уровня огнестойкости применяются огнезащитные покрытия, необходимо чтобы они отвечали требованиям, изложенным в главе 612 настоящих Правил.</w:t>
      </w:r>
    </w:p>
    <w:bookmarkEnd w:id="9101"/>
    <w:bookmarkStart w:name="z9144" w:id="9102"/>
    <w:p>
      <w:pPr>
        <w:spacing w:after="0"/>
        <w:ind w:left="0"/>
        <w:jc w:val="both"/>
      </w:pPr>
      <w:r>
        <w:rPr>
          <w:rFonts w:ascii="Times New Roman"/>
          <w:b w:val="false"/>
          <w:i w:val="false"/>
          <w:color w:val="000000"/>
          <w:sz w:val="28"/>
        </w:rPr>
        <w:t>
      3101. Нанесение огнезащитных покрытий в местах соединений производится после проведения гидравлических испытаний системы в соответствии с рекомендациями изготовителя труб о методике, одобренной Регистром судоходства в каждом случае.</w:t>
      </w:r>
    </w:p>
    <w:bookmarkEnd w:id="9102"/>
    <w:bookmarkStart w:name="z9145" w:id="9103"/>
    <w:p>
      <w:pPr>
        <w:spacing w:after="0"/>
        <w:ind w:left="0"/>
        <w:jc w:val="both"/>
      </w:pPr>
      <w:r>
        <w:rPr>
          <w:rFonts w:ascii="Times New Roman"/>
          <w:b w:val="false"/>
          <w:i w:val="false"/>
          <w:color w:val="000000"/>
          <w:sz w:val="28"/>
        </w:rPr>
        <w:t>
      3102. Огнезащитные покрытия применяются в соответствии с одобренными рекомендациями изготовителя.</w:t>
      </w:r>
    </w:p>
    <w:bookmarkEnd w:id="9103"/>
    <w:bookmarkStart w:name="z9146" w:id="9104"/>
    <w:p>
      <w:pPr>
        <w:spacing w:after="0"/>
        <w:ind w:left="0"/>
        <w:jc w:val="left"/>
      </w:pPr>
      <w:r>
        <w:rPr>
          <w:rFonts w:ascii="Times New Roman"/>
          <w:b/>
          <w:i w:val="false"/>
          <w:color w:val="000000"/>
        </w:rPr>
        <w:t xml:space="preserve"> Глава 239. Требования к монтажу</w:t>
      </w:r>
    </w:p>
    <w:bookmarkEnd w:id="9104"/>
    <w:p>
      <w:pPr>
        <w:spacing w:after="0"/>
        <w:ind w:left="0"/>
        <w:jc w:val="both"/>
      </w:pPr>
      <w:r>
        <w:rPr>
          <w:rFonts w:ascii="Times New Roman"/>
          <w:b w:val="false"/>
          <w:i w:val="false"/>
          <w:color w:val="ff0000"/>
          <w:sz w:val="28"/>
        </w:rPr>
        <w:t xml:space="preserve">
      Сноска. Заголовок главы 239 -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47" w:id="9105"/>
    <w:p>
      <w:pPr>
        <w:spacing w:after="0"/>
        <w:ind w:left="0"/>
        <w:jc w:val="left"/>
      </w:pPr>
      <w:r>
        <w:rPr>
          <w:rFonts w:ascii="Times New Roman"/>
          <w:b/>
          <w:i w:val="false"/>
          <w:color w:val="000000"/>
        </w:rPr>
        <w:t xml:space="preserve"> Параграф 1. Опоры</w:t>
      </w:r>
    </w:p>
    <w:bookmarkEnd w:id="9105"/>
    <w:bookmarkStart w:name="z9148" w:id="9106"/>
    <w:p>
      <w:pPr>
        <w:spacing w:after="0"/>
        <w:ind w:left="0"/>
        <w:jc w:val="both"/>
      </w:pPr>
      <w:r>
        <w:rPr>
          <w:rFonts w:ascii="Times New Roman"/>
          <w:b w:val="false"/>
          <w:i w:val="false"/>
          <w:color w:val="000000"/>
          <w:sz w:val="28"/>
        </w:rPr>
        <w:t>
      3103. Выбор опор и расстояния между ними определяется в зависимости от допускаемых напряжений и максимально допустимого прогиба труб.</w:t>
      </w:r>
    </w:p>
    <w:bookmarkEnd w:id="9106"/>
    <w:bookmarkStart w:name="z9149" w:id="9107"/>
    <w:p>
      <w:pPr>
        <w:spacing w:after="0"/>
        <w:ind w:left="0"/>
        <w:jc w:val="both"/>
      </w:pPr>
      <w:r>
        <w:rPr>
          <w:rFonts w:ascii="Times New Roman"/>
          <w:b w:val="false"/>
          <w:i w:val="false"/>
          <w:color w:val="000000"/>
          <w:sz w:val="28"/>
        </w:rPr>
        <w:t>
      Расстояния между опорами не превышают расстояний, рекомендованных изготовителем.</w:t>
      </w:r>
    </w:p>
    <w:bookmarkEnd w:id="9107"/>
    <w:bookmarkStart w:name="z9150" w:id="9108"/>
    <w:p>
      <w:pPr>
        <w:spacing w:after="0"/>
        <w:ind w:left="0"/>
        <w:jc w:val="both"/>
      </w:pPr>
      <w:r>
        <w:rPr>
          <w:rFonts w:ascii="Times New Roman"/>
          <w:b w:val="false"/>
          <w:i w:val="false"/>
          <w:color w:val="000000"/>
          <w:sz w:val="28"/>
        </w:rPr>
        <w:t>
      При выборе опор и расстояний между ними учитываются размеры труб, механические и физические свойства материала труб, масса труб и находящейся в них жидкости, наружное давление, рабочая температура, влияние теплового расширения, нагрузки внешних сил, осевые силы, гидравлические удары, вибрация, которые могут возникнуть в системе. Учитывается возможное совместное действие вышеназванных нагрузок.</w:t>
      </w:r>
    </w:p>
    <w:bookmarkEnd w:id="9108"/>
    <w:bookmarkStart w:name="z9151" w:id="9109"/>
    <w:p>
      <w:pPr>
        <w:spacing w:after="0"/>
        <w:ind w:left="0"/>
        <w:jc w:val="both"/>
      </w:pPr>
      <w:r>
        <w:rPr>
          <w:rFonts w:ascii="Times New Roman"/>
          <w:b w:val="false"/>
          <w:i w:val="false"/>
          <w:color w:val="000000"/>
          <w:sz w:val="28"/>
        </w:rPr>
        <w:t>
      3104. Нагрузка от массы трубы равномерно распределяется по всей несущей поверхности опоры. Необходимо принять меры по сведению к минимуму износа труб в местах их контакта с опорами.</w:t>
      </w:r>
    </w:p>
    <w:bookmarkEnd w:id="9109"/>
    <w:bookmarkStart w:name="z9152" w:id="9110"/>
    <w:p>
      <w:pPr>
        <w:spacing w:after="0"/>
        <w:ind w:left="0"/>
        <w:jc w:val="both"/>
      </w:pPr>
      <w:r>
        <w:rPr>
          <w:rFonts w:ascii="Times New Roman"/>
          <w:b w:val="false"/>
          <w:i w:val="false"/>
          <w:color w:val="000000"/>
          <w:sz w:val="28"/>
        </w:rPr>
        <w:t>
      3105. Компоненты системы, имеющие значительную массу, такие как клапаны, компенсаторы и имеют отдельные опоры.</w:t>
      </w:r>
    </w:p>
    <w:bookmarkEnd w:id="9110"/>
    <w:bookmarkStart w:name="z9153" w:id="9111"/>
    <w:p>
      <w:pPr>
        <w:spacing w:after="0"/>
        <w:ind w:left="0"/>
        <w:jc w:val="left"/>
      </w:pPr>
      <w:r>
        <w:rPr>
          <w:rFonts w:ascii="Times New Roman"/>
          <w:b/>
          <w:i w:val="false"/>
          <w:color w:val="000000"/>
        </w:rPr>
        <w:t xml:space="preserve"> Параграф 2. Компенсация тепловых расширений</w:t>
      </w:r>
    </w:p>
    <w:bookmarkEnd w:id="9111"/>
    <w:bookmarkStart w:name="z9154" w:id="9112"/>
    <w:p>
      <w:pPr>
        <w:spacing w:after="0"/>
        <w:ind w:left="0"/>
        <w:jc w:val="both"/>
      </w:pPr>
      <w:r>
        <w:rPr>
          <w:rFonts w:ascii="Times New Roman"/>
          <w:b w:val="false"/>
          <w:i w:val="false"/>
          <w:color w:val="000000"/>
          <w:sz w:val="28"/>
        </w:rPr>
        <w:t>
      3106. При монтаже пластмассовых трубопроводов предусматривается компенсационный допуск на относительное смещение между трубопроводами и стальными конструкциями с учетом разницы в коэффициентах теплового расширения и деформации корпуса судна.</w:t>
      </w:r>
    </w:p>
    <w:bookmarkEnd w:id="9112"/>
    <w:bookmarkStart w:name="z9155" w:id="9113"/>
    <w:p>
      <w:pPr>
        <w:spacing w:after="0"/>
        <w:ind w:left="0"/>
        <w:jc w:val="both"/>
      </w:pPr>
      <w:r>
        <w:rPr>
          <w:rFonts w:ascii="Times New Roman"/>
          <w:b w:val="false"/>
          <w:i w:val="false"/>
          <w:color w:val="000000"/>
          <w:sz w:val="28"/>
        </w:rPr>
        <w:t>
      3107. При расчете тепловых расширений необходимо учитывать рабочую температуру системы и температуру, при которой производится монтаж.</w:t>
      </w:r>
    </w:p>
    <w:bookmarkEnd w:id="9113"/>
    <w:bookmarkStart w:name="z9156" w:id="9114"/>
    <w:p>
      <w:pPr>
        <w:spacing w:after="0"/>
        <w:ind w:left="0"/>
        <w:jc w:val="left"/>
      </w:pPr>
      <w:r>
        <w:rPr>
          <w:rFonts w:ascii="Times New Roman"/>
          <w:b/>
          <w:i w:val="false"/>
          <w:color w:val="000000"/>
        </w:rPr>
        <w:t xml:space="preserve"> Параграф 3. Внешние нагрузки</w:t>
      </w:r>
    </w:p>
    <w:bookmarkEnd w:id="9114"/>
    <w:bookmarkStart w:name="z9157" w:id="9115"/>
    <w:p>
      <w:pPr>
        <w:spacing w:after="0"/>
        <w:ind w:left="0"/>
        <w:jc w:val="both"/>
      </w:pPr>
      <w:r>
        <w:rPr>
          <w:rFonts w:ascii="Times New Roman"/>
          <w:b w:val="false"/>
          <w:i w:val="false"/>
          <w:color w:val="000000"/>
          <w:sz w:val="28"/>
        </w:rPr>
        <w:t>
      3108. При прокладке трубопровода, там, где это необходимо, учитываются периодически действующие сосредоточенные нагрузки. Как минимум, учитывается сила, создаваемая нагрузкой одного человека массой 100 кг в середине пролета любой трубы с наружным диаметром более 100 мм.</w:t>
      </w:r>
    </w:p>
    <w:bookmarkEnd w:id="9115"/>
    <w:bookmarkStart w:name="z9158" w:id="9116"/>
    <w:p>
      <w:pPr>
        <w:spacing w:after="0"/>
        <w:ind w:left="0"/>
        <w:jc w:val="both"/>
      </w:pPr>
      <w:r>
        <w:rPr>
          <w:rFonts w:ascii="Times New Roman"/>
          <w:b w:val="false"/>
          <w:i w:val="false"/>
          <w:color w:val="000000"/>
          <w:sz w:val="28"/>
        </w:rPr>
        <w:t>
      3109. Для обеспечения надлежащей жесткости трубопроводов, включая трубопроводы с открытыми концами, Регистр судоходства требует увеличения толщин стенок по сравнению с толщинами, определенными, исходя из условия обеспечения прочности.</w:t>
      </w:r>
    </w:p>
    <w:bookmarkEnd w:id="9116"/>
    <w:bookmarkStart w:name="z9159" w:id="9117"/>
    <w:p>
      <w:pPr>
        <w:spacing w:after="0"/>
        <w:ind w:left="0"/>
        <w:jc w:val="both"/>
      </w:pPr>
      <w:r>
        <w:rPr>
          <w:rFonts w:ascii="Times New Roman"/>
          <w:b w:val="false"/>
          <w:i w:val="false"/>
          <w:color w:val="000000"/>
          <w:sz w:val="28"/>
        </w:rPr>
        <w:t>
      3110. При необходимости трубы защищают от механических повреждений.</w:t>
      </w:r>
    </w:p>
    <w:bookmarkEnd w:id="9117"/>
    <w:bookmarkStart w:name="z9160" w:id="9118"/>
    <w:p>
      <w:pPr>
        <w:spacing w:after="0"/>
        <w:ind w:left="0"/>
        <w:jc w:val="left"/>
      </w:pPr>
      <w:r>
        <w:rPr>
          <w:rFonts w:ascii="Times New Roman"/>
          <w:b/>
          <w:i w:val="false"/>
          <w:color w:val="000000"/>
        </w:rPr>
        <w:t xml:space="preserve"> Параграф 4. Монтаж электропроводных труб</w:t>
      </w:r>
    </w:p>
    <w:bookmarkEnd w:id="9118"/>
    <w:bookmarkStart w:name="z9161" w:id="9119"/>
    <w:p>
      <w:pPr>
        <w:spacing w:after="0"/>
        <w:ind w:left="0"/>
        <w:jc w:val="both"/>
      </w:pPr>
      <w:r>
        <w:rPr>
          <w:rFonts w:ascii="Times New Roman"/>
          <w:b w:val="false"/>
          <w:i w:val="false"/>
          <w:color w:val="000000"/>
          <w:sz w:val="28"/>
        </w:rPr>
        <w:t>
      3111. В системах перекачки жидкостей, имеющих удельную электропроводимость менее 1000 пикосименсов на метр (ПСм/м), таких как очищенные нефтепродукты, дистилляты, применяются электропроводные трубы.</w:t>
      </w:r>
    </w:p>
    <w:bookmarkEnd w:id="9119"/>
    <w:bookmarkStart w:name="z9162" w:id="9120"/>
    <w:p>
      <w:pPr>
        <w:spacing w:after="0"/>
        <w:ind w:left="0"/>
        <w:jc w:val="both"/>
      </w:pPr>
      <w:r>
        <w:rPr>
          <w:rFonts w:ascii="Times New Roman"/>
          <w:b w:val="false"/>
          <w:i w:val="false"/>
          <w:color w:val="000000"/>
          <w:sz w:val="28"/>
        </w:rPr>
        <w:t>
      3112. Независимо от перекачиваемых жидкостей необходимо чтобы пластмассовые трубы, проходящие через взрывоопасные зоны, были электропроводны.</w:t>
      </w:r>
    </w:p>
    <w:bookmarkEnd w:id="9120"/>
    <w:bookmarkStart w:name="z9163" w:id="9121"/>
    <w:p>
      <w:pPr>
        <w:spacing w:after="0"/>
        <w:ind w:left="0"/>
        <w:jc w:val="both"/>
      </w:pPr>
      <w:r>
        <w:rPr>
          <w:rFonts w:ascii="Times New Roman"/>
          <w:b w:val="false"/>
          <w:i w:val="false"/>
          <w:color w:val="000000"/>
          <w:sz w:val="28"/>
        </w:rPr>
        <w:t>
      Необходимо чтобы сопротивление в любой точке системы трубопроводов относительно земли было не более 106 Ом. Предпочтительно, чтобы трубы и фасонные элементы, имеющие электропроводящие слои, имели одинаковую проводимость.</w:t>
      </w:r>
    </w:p>
    <w:bookmarkEnd w:id="9121"/>
    <w:bookmarkStart w:name="z9164" w:id="9122"/>
    <w:p>
      <w:pPr>
        <w:spacing w:after="0"/>
        <w:ind w:left="0"/>
        <w:jc w:val="both"/>
      </w:pPr>
      <w:r>
        <w:rPr>
          <w:rFonts w:ascii="Times New Roman"/>
          <w:b w:val="false"/>
          <w:i w:val="false"/>
          <w:color w:val="000000"/>
          <w:sz w:val="28"/>
        </w:rPr>
        <w:t>
      Такие трубы в достаточной степени защищают от повреждения электрическими разрядами, вызванными разностью проводимости электропроводящих слоев.</w:t>
      </w:r>
    </w:p>
    <w:bookmarkEnd w:id="9122"/>
    <w:bookmarkStart w:name="z9165" w:id="9123"/>
    <w:p>
      <w:pPr>
        <w:spacing w:after="0"/>
        <w:ind w:left="0"/>
        <w:jc w:val="both"/>
      </w:pPr>
      <w:r>
        <w:rPr>
          <w:rFonts w:ascii="Times New Roman"/>
          <w:b w:val="false"/>
          <w:i w:val="false"/>
          <w:color w:val="000000"/>
          <w:sz w:val="28"/>
        </w:rPr>
        <w:t>
      3113. По окончании монтажа проверяют заземление. Необходимо чтобы провода заземления были доступны для осмотра.</w:t>
      </w:r>
    </w:p>
    <w:bookmarkEnd w:id="9123"/>
    <w:bookmarkStart w:name="z9166" w:id="9124"/>
    <w:p>
      <w:pPr>
        <w:spacing w:after="0"/>
        <w:ind w:left="0"/>
        <w:jc w:val="left"/>
      </w:pPr>
      <w:r>
        <w:rPr>
          <w:rFonts w:ascii="Times New Roman"/>
          <w:b/>
          <w:i w:val="false"/>
          <w:color w:val="000000"/>
        </w:rPr>
        <w:t xml:space="preserve"> Глава 240. Соединения пластмассовых труб и трубопроводов</w:t>
      </w:r>
    </w:p>
    <w:bookmarkEnd w:id="9124"/>
    <w:p>
      <w:pPr>
        <w:spacing w:after="0"/>
        <w:ind w:left="0"/>
        <w:jc w:val="both"/>
      </w:pPr>
      <w:r>
        <w:rPr>
          <w:rFonts w:ascii="Times New Roman"/>
          <w:b w:val="false"/>
          <w:i w:val="false"/>
          <w:color w:val="ff0000"/>
          <w:sz w:val="28"/>
        </w:rPr>
        <w:t xml:space="preserve">
      Сноска. Заголовок главы 240 -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67" w:id="9125"/>
    <w:p>
      <w:pPr>
        <w:spacing w:after="0"/>
        <w:ind w:left="0"/>
        <w:jc w:val="left"/>
      </w:pPr>
      <w:r>
        <w:rPr>
          <w:rFonts w:ascii="Times New Roman"/>
          <w:b/>
          <w:i w:val="false"/>
          <w:color w:val="000000"/>
        </w:rPr>
        <w:t xml:space="preserve"> Параграф 1. Прочность соединений</w:t>
      </w:r>
    </w:p>
    <w:bookmarkEnd w:id="9125"/>
    <w:bookmarkStart w:name="z9168" w:id="9126"/>
    <w:p>
      <w:pPr>
        <w:spacing w:after="0"/>
        <w:ind w:left="0"/>
        <w:jc w:val="both"/>
      </w:pPr>
      <w:r>
        <w:rPr>
          <w:rFonts w:ascii="Times New Roman"/>
          <w:b w:val="false"/>
          <w:i w:val="false"/>
          <w:color w:val="000000"/>
          <w:sz w:val="28"/>
        </w:rPr>
        <w:t>
      3114. Прочность соединений допускается не меньше прочности трубопровода, в котором они установлены.</w:t>
      </w:r>
    </w:p>
    <w:bookmarkEnd w:id="9126"/>
    <w:bookmarkStart w:name="z9169" w:id="9127"/>
    <w:p>
      <w:pPr>
        <w:spacing w:after="0"/>
        <w:ind w:left="0"/>
        <w:jc w:val="both"/>
      </w:pPr>
      <w:r>
        <w:rPr>
          <w:rFonts w:ascii="Times New Roman"/>
          <w:b w:val="false"/>
          <w:i w:val="false"/>
          <w:color w:val="000000"/>
          <w:sz w:val="28"/>
        </w:rPr>
        <w:t>
      3115. Трубы допускается соединять с использованием клеевых, сварных, фланцевых и других соединений.</w:t>
      </w:r>
    </w:p>
    <w:bookmarkEnd w:id="9127"/>
    <w:bookmarkStart w:name="z9170" w:id="9128"/>
    <w:p>
      <w:pPr>
        <w:spacing w:after="0"/>
        <w:ind w:left="0"/>
        <w:jc w:val="both"/>
      </w:pPr>
      <w:r>
        <w:rPr>
          <w:rFonts w:ascii="Times New Roman"/>
          <w:b w:val="false"/>
          <w:i w:val="false"/>
          <w:color w:val="000000"/>
          <w:sz w:val="28"/>
        </w:rPr>
        <w:t>
      3116. Клеи, используемые для соединения труб, обеспечивают плотность стыков во всем диапазоне возможных давлений и температур.</w:t>
      </w:r>
    </w:p>
    <w:bookmarkEnd w:id="9128"/>
    <w:bookmarkStart w:name="z9171" w:id="9129"/>
    <w:p>
      <w:pPr>
        <w:spacing w:after="0"/>
        <w:ind w:left="0"/>
        <w:jc w:val="both"/>
      </w:pPr>
      <w:r>
        <w:rPr>
          <w:rFonts w:ascii="Times New Roman"/>
          <w:b w:val="false"/>
          <w:i w:val="false"/>
          <w:color w:val="000000"/>
          <w:sz w:val="28"/>
        </w:rPr>
        <w:t>
      3117. Затяжка соединений производится в соответствии с инструкцией изготовителя.</w:t>
      </w:r>
    </w:p>
    <w:bookmarkEnd w:id="9129"/>
    <w:bookmarkStart w:name="z9172" w:id="9130"/>
    <w:p>
      <w:pPr>
        <w:spacing w:after="0"/>
        <w:ind w:left="0"/>
        <w:jc w:val="left"/>
      </w:pPr>
      <w:r>
        <w:rPr>
          <w:rFonts w:ascii="Times New Roman"/>
          <w:b/>
          <w:i w:val="false"/>
          <w:color w:val="000000"/>
        </w:rPr>
        <w:t xml:space="preserve"> Параграф 2. Испытания качества соединений</w:t>
      </w:r>
    </w:p>
    <w:bookmarkEnd w:id="9130"/>
    <w:bookmarkStart w:name="z9173" w:id="9131"/>
    <w:p>
      <w:pPr>
        <w:spacing w:after="0"/>
        <w:ind w:left="0"/>
        <w:jc w:val="both"/>
      </w:pPr>
      <w:r>
        <w:rPr>
          <w:rFonts w:ascii="Times New Roman"/>
          <w:b w:val="false"/>
          <w:i w:val="false"/>
          <w:color w:val="000000"/>
          <w:sz w:val="28"/>
        </w:rPr>
        <w:t>
      3118. Для проведения контроля качества соединений труб необходимо в соответствии с принятой технологией подготовить контрольные узлы, которые включают, как минимум, по одному стыку трубы с трубой и трубы с фасонным элементом.</w:t>
      </w:r>
    </w:p>
    <w:bookmarkEnd w:id="9131"/>
    <w:bookmarkStart w:name="z9174" w:id="9132"/>
    <w:p>
      <w:pPr>
        <w:spacing w:after="0"/>
        <w:ind w:left="0"/>
        <w:jc w:val="both"/>
      </w:pPr>
      <w:r>
        <w:rPr>
          <w:rFonts w:ascii="Times New Roman"/>
          <w:b w:val="false"/>
          <w:i w:val="false"/>
          <w:color w:val="000000"/>
          <w:sz w:val="28"/>
        </w:rPr>
        <w:t>
      3119. После затвердевания стыка контрольное соединение испытывают гидравлическим давлением, в 2,5 раза превышающим расчетное, в течение не менее 1 ч. При этом протечек и разрушений стыка не допускается. Испытания организовывают таким образом, чтобы стыки нагружались как в продольном, так и в поперечном направлениях.</w:t>
      </w:r>
    </w:p>
    <w:bookmarkEnd w:id="9132"/>
    <w:bookmarkStart w:name="z9175" w:id="9133"/>
    <w:p>
      <w:pPr>
        <w:spacing w:after="0"/>
        <w:ind w:left="0"/>
        <w:jc w:val="both"/>
      </w:pPr>
      <w:r>
        <w:rPr>
          <w:rFonts w:ascii="Times New Roman"/>
          <w:b w:val="false"/>
          <w:i w:val="false"/>
          <w:color w:val="000000"/>
          <w:sz w:val="28"/>
        </w:rPr>
        <w:t>
      3120. При выборе труб для контрольного образца следует руководствоваться следующим:</w:t>
      </w:r>
    </w:p>
    <w:bookmarkEnd w:id="9133"/>
    <w:bookmarkStart w:name="z9176" w:id="9134"/>
    <w:p>
      <w:pPr>
        <w:spacing w:after="0"/>
        <w:ind w:left="0"/>
        <w:jc w:val="both"/>
      </w:pPr>
      <w:r>
        <w:rPr>
          <w:rFonts w:ascii="Times New Roman"/>
          <w:b w:val="false"/>
          <w:i w:val="false"/>
          <w:color w:val="000000"/>
          <w:sz w:val="28"/>
        </w:rPr>
        <w:t>
      если наибольший наружный диаметр стыковочного узла менее 200 мм, в контрольный узел входит труба максимального диаметра;</w:t>
      </w:r>
    </w:p>
    <w:bookmarkEnd w:id="9134"/>
    <w:bookmarkStart w:name="z9177" w:id="9135"/>
    <w:p>
      <w:pPr>
        <w:spacing w:after="0"/>
        <w:ind w:left="0"/>
        <w:jc w:val="both"/>
      </w:pPr>
      <w:r>
        <w:rPr>
          <w:rFonts w:ascii="Times New Roman"/>
          <w:b w:val="false"/>
          <w:i w:val="false"/>
          <w:color w:val="000000"/>
          <w:sz w:val="28"/>
        </w:rPr>
        <w:t>
      если наружный диаметр стыковочного узла составляет более 200 мм, наружный диаметр контрольного стыковочного узла следует принимать 200 мм или составлять 25 % от наибольшего диаметра сочленения, в зависимости от того, что больше.</w:t>
      </w:r>
    </w:p>
    <w:bookmarkEnd w:id="9135"/>
    <w:bookmarkStart w:name="z9178" w:id="9136"/>
    <w:p>
      <w:pPr>
        <w:spacing w:after="0"/>
        <w:ind w:left="0"/>
        <w:jc w:val="both"/>
      </w:pPr>
      <w:r>
        <w:rPr>
          <w:rFonts w:ascii="Times New Roman"/>
          <w:b w:val="false"/>
          <w:i w:val="false"/>
          <w:color w:val="000000"/>
          <w:sz w:val="28"/>
        </w:rPr>
        <w:t>
      3121. При прокладке пластмассовых труб через водонепроницаемые переборки и палубы, огнестойкие конструкции типов А и В выполняют требования главы 246 настоящих Правил.</w:t>
      </w:r>
    </w:p>
    <w:bookmarkEnd w:id="9136"/>
    <w:bookmarkStart w:name="z9179" w:id="9137"/>
    <w:p>
      <w:pPr>
        <w:spacing w:after="0"/>
        <w:ind w:left="0"/>
        <w:jc w:val="left"/>
      </w:pPr>
      <w:r>
        <w:rPr>
          <w:rFonts w:ascii="Times New Roman"/>
          <w:b/>
          <w:i w:val="false"/>
          <w:color w:val="000000"/>
        </w:rPr>
        <w:t xml:space="preserve"> Глава 241. Контроль при монтаже, испытания трубопроводов после монтажа на судне</w:t>
      </w:r>
    </w:p>
    <w:bookmarkEnd w:id="9137"/>
    <w:p>
      <w:pPr>
        <w:spacing w:after="0"/>
        <w:ind w:left="0"/>
        <w:jc w:val="both"/>
      </w:pPr>
      <w:r>
        <w:rPr>
          <w:rFonts w:ascii="Times New Roman"/>
          <w:b w:val="false"/>
          <w:i w:val="false"/>
          <w:color w:val="ff0000"/>
          <w:sz w:val="28"/>
        </w:rPr>
        <w:t xml:space="preserve">
      Сноска. Заголовок главы 241 -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80" w:id="9138"/>
    <w:p>
      <w:pPr>
        <w:spacing w:after="0"/>
        <w:ind w:left="0"/>
        <w:jc w:val="both"/>
      </w:pPr>
      <w:r>
        <w:rPr>
          <w:rFonts w:ascii="Times New Roman"/>
          <w:b w:val="false"/>
          <w:i w:val="false"/>
          <w:color w:val="000000"/>
          <w:sz w:val="28"/>
        </w:rPr>
        <w:t>
      3122. Работы по монтажу производятся в соответствии с рекомендациями изготовителя.</w:t>
      </w:r>
    </w:p>
    <w:bookmarkEnd w:id="9138"/>
    <w:bookmarkStart w:name="z9181" w:id="9139"/>
    <w:p>
      <w:pPr>
        <w:spacing w:after="0"/>
        <w:ind w:left="0"/>
        <w:jc w:val="both"/>
      </w:pPr>
      <w:r>
        <w:rPr>
          <w:rFonts w:ascii="Times New Roman"/>
          <w:b w:val="false"/>
          <w:i w:val="false"/>
          <w:color w:val="000000"/>
          <w:sz w:val="28"/>
        </w:rPr>
        <w:t>
      3123. До начала работ разрабатывается и одобряется технология соединений (стыков) труб.</w:t>
      </w:r>
    </w:p>
    <w:bookmarkEnd w:id="9139"/>
    <w:bookmarkStart w:name="z9182" w:id="9140"/>
    <w:p>
      <w:pPr>
        <w:spacing w:after="0"/>
        <w:ind w:left="0"/>
        <w:jc w:val="both"/>
      </w:pPr>
      <w:r>
        <w:rPr>
          <w:rFonts w:ascii="Times New Roman"/>
          <w:b w:val="false"/>
          <w:i w:val="false"/>
          <w:color w:val="000000"/>
          <w:sz w:val="28"/>
        </w:rPr>
        <w:t>
      3124. Одобрению технологии предшествуют освидетельствования и испытания, изложенные в настоящем разделе.</w:t>
      </w:r>
    </w:p>
    <w:bookmarkEnd w:id="9140"/>
    <w:bookmarkStart w:name="z9183" w:id="9141"/>
    <w:p>
      <w:pPr>
        <w:spacing w:after="0"/>
        <w:ind w:left="0"/>
        <w:jc w:val="both"/>
      </w:pPr>
      <w:r>
        <w:rPr>
          <w:rFonts w:ascii="Times New Roman"/>
          <w:b w:val="false"/>
          <w:i w:val="false"/>
          <w:color w:val="000000"/>
          <w:sz w:val="28"/>
        </w:rPr>
        <w:t>
      3125. Необходимо чтобы персонал, выполняющий работы, имеел необходимую квалификацию и аттестацию.</w:t>
      </w:r>
    </w:p>
    <w:bookmarkEnd w:id="9141"/>
    <w:bookmarkStart w:name="z9184" w:id="9142"/>
    <w:p>
      <w:pPr>
        <w:spacing w:after="0"/>
        <w:ind w:left="0"/>
        <w:jc w:val="both"/>
      </w:pPr>
      <w:r>
        <w:rPr>
          <w:rFonts w:ascii="Times New Roman"/>
          <w:b w:val="false"/>
          <w:i w:val="false"/>
          <w:color w:val="000000"/>
          <w:sz w:val="28"/>
        </w:rPr>
        <w:t>
      3126. В технологии соединения стыков отражают следующее: применяемые материалы, используемый инструмент и оснастка, требования по подготовке стыков, температурный режим, требования по размерам и допускам, а также критерии приемки после завершения работ и испытания.</w:t>
      </w:r>
    </w:p>
    <w:bookmarkEnd w:id="9142"/>
    <w:bookmarkStart w:name="z9185" w:id="9143"/>
    <w:p>
      <w:pPr>
        <w:spacing w:after="0"/>
        <w:ind w:left="0"/>
        <w:jc w:val="both"/>
      </w:pPr>
      <w:r>
        <w:rPr>
          <w:rFonts w:ascii="Times New Roman"/>
          <w:b w:val="false"/>
          <w:i w:val="false"/>
          <w:color w:val="000000"/>
          <w:sz w:val="28"/>
        </w:rPr>
        <w:t>
      3127. Любые изменения в технологии, приводящие к изменению физических и механических свойств стыка, требуют ее повторного рассмотрения и переодобрения.</w:t>
      </w:r>
    </w:p>
    <w:bookmarkEnd w:id="9143"/>
    <w:bookmarkStart w:name="z9186" w:id="9144"/>
    <w:p>
      <w:pPr>
        <w:spacing w:after="0"/>
        <w:ind w:left="0"/>
        <w:jc w:val="both"/>
      </w:pPr>
      <w:r>
        <w:rPr>
          <w:rFonts w:ascii="Times New Roman"/>
          <w:b w:val="false"/>
          <w:i w:val="false"/>
          <w:color w:val="000000"/>
          <w:sz w:val="28"/>
        </w:rPr>
        <w:t>
      3128. Система трубопроводов ответственного назначения после монтажа испытывается гидравлическим давлением, превышающим расчетное давление в системе не менее чем в 1,5 раза.</w:t>
      </w:r>
    </w:p>
    <w:bookmarkEnd w:id="9144"/>
    <w:bookmarkStart w:name="z9187" w:id="9145"/>
    <w:p>
      <w:pPr>
        <w:spacing w:after="0"/>
        <w:ind w:left="0"/>
        <w:jc w:val="both"/>
      </w:pPr>
      <w:r>
        <w:rPr>
          <w:rFonts w:ascii="Times New Roman"/>
          <w:b w:val="false"/>
          <w:i w:val="false"/>
          <w:color w:val="000000"/>
          <w:sz w:val="28"/>
        </w:rPr>
        <w:t>
      3129. Систему трубопроводов неответственного назначения допускается испытывать на плотность рабочим давлением.</w:t>
      </w:r>
    </w:p>
    <w:bookmarkEnd w:id="9145"/>
    <w:bookmarkStart w:name="z9188" w:id="9146"/>
    <w:p>
      <w:pPr>
        <w:spacing w:after="0"/>
        <w:ind w:left="0"/>
        <w:jc w:val="both"/>
      </w:pPr>
      <w:r>
        <w:rPr>
          <w:rFonts w:ascii="Times New Roman"/>
          <w:b w:val="false"/>
          <w:i w:val="false"/>
          <w:color w:val="000000"/>
          <w:sz w:val="28"/>
        </w:rPr>
        <w:t>
      3130. Для электропроводных труб проверяют наличие заземления и проводится выборочная проверка сопротивления.</w:t>
      </w:r>
    </w:p>
    <w:bookmarkEnd w:id="9146"/>
    <w:bookmarkStart w:name="z9189" w:id="9147"/>
    <w:p>
      <w:pPr>
        <w:spacing w:after="0"/>
        <w:ind w:left="0"/>
        <w:jc w:val="left"/>
      </w:pPr>
      <w:r>
        <w:rPr>
          <w:rFonts w:ascii="Times New Roman"/>
          <w:b/>
          <w:i w:val="false"/>
          <w:color w:val="000000"/>
        </w:rPr>
        <w:t xml:space="preserve"> Подраздел 4. Арматура</w:t>
      </w:r>
      <w:r>
        <w:br/>
      </w:r>
      <w:r>
        <w:rPr>
          <w:rFonts w:ascii="Times New Roman"/>
          <w:b/>
          <w:i w:val="false"/>
          <w:color w:val="000000"/>
        </w:rPr>
        <w:t>Глава 242. Конструкция, маркировка, расположение и установка арматуры</w:t>
      </w:r>
    </w:p>
    <w:bookmarkEnd w:id="9147"/>
    <w:p>
      <w:pPr>
        <w:spacing w:after="0"/>
        <w:ind w:left="0"/>
        <w:jc w:val="both"/>
      </w:pPr>
      <w:r>
        <w:rPr>
          <w:rFonts w:ascii="Times New Roman"/>
          <w:b w:val="false"/>
          <w:i w:val="false"/>
          <w:color w:val="ff0000"/>
          <w:sz w:val="28"/>
        </w:rPr>
        <w:t xml:space="preserve">
      Сноска. Заголовок главы 242 -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91" w:id="9148"/>
    <w:p>
      <w:pPr>
        <w:spacing w:after="0"/>
        <w:ind w:left="0"/>
        <w:jc w:val="left"/>
      </w:pPr>
      <w:r>
        <w:rPr>
          <w:rFonts w:ascii="Times New Roman"/>
          <w:b/>
          <w:i w:val="false"/>
          <w:color w:val="000000"/>
        </w:rPr>
        <w:t xml:space="preserve"> Параграф 1. Конструкция, маркировка арматуры</w:t>
      </w:r>
    </w:p>
    <w:bookmarkEnd w:id="9148"/>
    <w:bookmarkStart w:name="z9192" w:id="9149"/>
    <w:p>
      <w:pPr>
        <w:spacing w:after="0"/>
        <w:ind w:left="0"/>
        <w:jc w:val="both"/>
      </w:pPr>
      <w:r>
        <w:rPr>
          <w:rFonts w:ascii="Times New Roman"/>
          <w:b w:val="false"/>
          <w:i w:val="false"/>
          <w:color w:val="000000"/>
          <w:sz w:val="28"/>
        </w:rPr>
        <w:t>
      3131. Крышки клапанов диаметром прохода более 32 мм крепятся к корпусам болтами или шпильками.</w:t>
      </w:r>
    </w:p>
    <w:bookmarkEnd w:id="9149"/>
    <w:bookmarkStart w:name="z9193" w:id="9150"/>
    <w:p>
      <w:pPr>
        <w:spacing w:after="0"/>
        <w:ind w:left="0"/>
        <w:jc w:val="both"/>
      </w:pPr>
      <w:r>
        <w:rPr>
          <w:rFonts w:ascii="Times New Roman"/>
          <w:b w:val="false"/>
          <w:i w:val="false"/>
          <w:color w:val="000000"/>
          <w:sz w:val="28"/>
        </w:rPr>
        <w:t>
      Допускается чтобы клапаны диаметром прохода до 32 мм включительно имели крышки с резьбовым креплением при наличии на этих крышках надежных стопоров.</w:t>
      </w:r>
    </w:p>
    <w:bookmarkEnd w:id="9150"/>
    <w:bookmarkStart w:name="z9194" w:id="9151"/>
    <w:p>
      <w:pPr>
        <w:spacing w:after="0"/>
        <w:ind w:left="0"/>
        <w:jc w:val="both"/>
      </w:pPr>
      <w:r>
        <w:rPr>
          <w:rFonts w:ascii="Times New Roman"/>
          <w:b w:val="false"/>
          <w:i w:val="false"/>
          <w:color w:val="000000"/>
          <w:sz w:val="28"/>
        </w:rPr>
        <w:t>
      Гайку пробки крана предохраняют от отвинчивания при управлении краном.</w:t>
      </w:r>
    </w:p>
    <w:bookmarkEnd w:id="9151"/>
    <w:bookmarkStart w:name="z9195" w:id="9152"/>
    <w:p>
      <w:pPr>
        <w:spacing w:after="0"/>
        <w:ind w:left="0"/>
        <w:jc w:val="both"/>
      </w:pPr>
      <w:r>
        <w:rPr>
          <w:rFonts w:ascii="Times New Roman"/>
          <w:b w:val="false"/>
          <w:i w:val="false"/>
          <w:color w:val="000000"/>
          <w:sz w:val="28"/>
        </w:rPr>
        <w:t>
      3132. Дистанционно управляемая арматура, за исключением упомянутой в пункте 3134 настоящих Правил, имеет местное управление, действие которого независимо от дистанционного привода.</w:t>
      </w:r>
    </w:p>
    <w:bookmarkEnd w:id="9152"/>
    <w:bookmarkStart w:name="z9196" w:id="9153"/>
    <w:p>
      <w:pPr>
        <w:spacing w:after="0"/>
        <w:ind w:left="0"/>
        <w:jc w:val="both"/>
      </w:pPr>
      <w:r>
        <w:rPr>
          <w:rFonts w:ascii="Times New Roman"/>
          <w:b w:val="false"/>
          <w:i w:val="false"/>
          <w:color w:val="000000"/>
          <w:sz w:val="28"/>
        </w:rPr>
        <w:t>
      Кроме того, если клапаны согласно требованию настоящих Правил имеют дистанционное управление, ручное управление ими не должно выводить из строя систему дистанционного управления.</w:t>
      </w:r>
    </w:p>
    <w:bookmarkEnd w:id="9153"/>
    <w:bookmarkStart w:name="z9197" w:id="9154"/>
    <w:p>
      <w:pPr>
        <w:spacing w:after="0"/>
        <w:ind w:left="0"/>
        <w:jc w:val="both"/>
      </w:pPr>
      <w:r>
        <w:rPr>
          <w:rFonts w:ascii="Times New Roman"/>
          <w:b w:val="false"/>
          <w:i w:val="false"/>
          <w:color w:val="000000"/>
          <w:sz w:val="28"/>
        </w:rPr>
        <w:t>
      Если клапаны имеют дистанционное управление, их конструкция должна быть такой, чтобы при выходе из строя системы дистанционного управления клапаны оставались в положении, не приводящем судно в опасное состояние, или самостоятельно возвращались в такое положение.</w:t>
      </w:r>
    </w:p>
    <w:bookmarkEnd w:id="9154"/>
    <w:bookmarkStart w:name="z9198" w:id="9155"/>
    <w:p>
      <w:pPr>
        <w:spacing w:after="0"/>
        <w:ind w:left="0"/>
        <w:jc w:val="both"/>
      </w:pPr>
      <w:r>
        <w:rPr>
          <w:rFonts w:ascii="Times New Roman"/>
          <w:b w:val="false"/>
          <w:i w:val="false"/>
          <w:color w:val="000000"/>
          <w:sz w:val="28"/>
        </w:rPr>
        <w:t>
      3133. Не допускается применять сжатый воздух в качестве источника энергии в системах дистанционного управления клапанами, расположенными внутри грузовых танков.</w:t>
      </w:r>
    </w:p>
    <w:bookmarkEnd w:id="9155"/>
    <w:bookmarkStart w:name="z9199" w:id="9156"/>
    <w:p>
      <w:pPr>
        <w:spacing w:after="0"/>
        <w:ind w:left="0"/>
        <w:jc w:val="both"/>
      </w:pPr>
      <w:r>
        <w:rPr>
          <w:rFonts w:ascii="Times New Roman"/>
          <w:b w:val="false"/>
          <w:i w:val="false"/>
          <w:color w:val="000000"/>
          <w:sz w:val="28"/>
        </w:rPr>
        <w:t>
      3134. При применении гидравлической системы дистанционного управления клапанами, расположенными внутри грузовых танков, предусматривается второе средство управления с помощью ручного насоса, подключаемого в соответствующем месте к гидравлической системе управления каждого клапана или непосредственно к отдельному трубопроводу исполнительного механизма.</w:t>
      </w:r>
    </w:p>
    <w:bookmarkEnd w:id="9156"/>
    <w:bookmarkStart w:name="z9200" w:id="9157"/>
    <w:p>
      <w:pPr>
        <w:spacing w:after="0"/>
        <w:ind w:left="0"/>
        <w:jc w:val="both"/>
      </w:pPr>
      <w:r>
        <w:rPr>
          <w:rFonts w:ascii="Times New Roman"/>
          <w:b w:val="false"/>
          <w:i w:val="false"/>
          <w:color w:val="000000"/>
          <w:sz w:val="28"/>
        </w:rPr>
        <w:t>
      3135. Расходная цистерна для обслуживания гидравлической системы дистанционного управления клапанами, расположенными внутри грузовых танков, находится выше верхнего уровня грузовых танков, насколько это практически возможно, и все трубопроводы гидравлической системы входят в грузовые танки через их верхнюю часть.</w:t>
      </w:r>
    </w:p>
    <w:bookmarkEnd w:id="9157"/>
    <w:bookmarkStart w:name="z9201" w:id="9158"/>
    <w:p>
      <w:pPr>
        <w:spacing w:after="0"/>
        <w:ind w:left="0"/>
        <w:jc w:val="both"/>
      </w:pPr>
      <w:r>
        <w:rPr>
          <w:rFonts w:ascii="Times New Roman"/>
          <w:b w:val="false"/>
          <w:i w:val="false"/>
          <w:color w:val="000000"/>
          <w:sz w:val="28"/>
        </w:rPr>
        <w:t>
      Кроме того, расходная цистерна снабжается воздушной трубой, оборудованной пламепрерывающей арматурой и выведенной в безопасное место на открытой палубе.</w:t>
      </w:r>
    </w:p>
    <w:bookmarkEnd w:id="9158"/>
    <w:bookmarkStart w:name="z9202" w:id="9159"/>
    <w:p>
      <w:pPr>
        <w:spacing w:after="0"/>
        <w:ind w:left="0"/>
        <w:jc w:val="both"/>
      </w:pPr>
      <w:r>
        <w:rPr>
          <w:rFonts w:ascii="Times New Roman"/>
          <w:b w:val="false"/>
          <w:i w:val="false"/>
          <w:color w:val="000000"/>
          <w:sz w:val="28"/>
        </w:rPr>
        <w:t>
      Эта цистерна снабжается звуковой и световой сигнализацией низшего уровня жидкости в цистерне.</w:t>
      </w:r>
    </w:p>
    <w:bookmarkEnd w:id="9159"/>
    <w:bookmarkStart w:name="z9203" w:id="9160"/>
    <w:p>
      <w:pPr>
        <w:spacing w:after="0"/>
        <w:ind w:left="0"/>
        <w:jc w:val="both"/>
      </w:pPr>
      <w:r>
        <w:rPr>
          <w:rFonts w:ascii="Times New Roman"/>
          <w:b w:val="false"/>
          <w:i w:val="false"/>
          <w:color w:val="000000"/>
          <w:sz w:val="28"/>
        </w:rPr>
        <w:t>
      3136. Запорная арматура снабжается хорошо видимой прикрепленной планкой с четкой надписью, указывающей ее назначение.</w:t>
      </w:r>
    </w:p>
    <w:bookmarkEnd w:id="9160"/>
    <w:bookmarkStart w:name="z9204" w:id="9161"/>
    <w:p>
      <w:pPr>
        <w:spacing w:after="0"/>
        <w:ind w:left="0"/>
        <w:jc w:val="both"/>
      </w:pPr>
      <w:r>
        <w:rPr>
          <w:rFonts w:ascii="Times New Roman"/>
          <w:b w:val="false"/>
          <w:i w:val="false"/>
          <w:color w:val="000000"/>
          <w:sz w:val="28"/>
        </w:rPr>
        <w:t>
      3137. Дистанционно управляемая арматура в постах управления имеет прикрепленные отличительные планки, определяющие ее назначение, а также указатель положений "открыто" и "закрыто".</w:t>
      </w:r>
    </w:p>
    <w:bookmarkEnd w:id="9161"/>
    <w:bookmarkStart w:name="z9205" w:id="9162"/>
    <w:p>
      <w:pPr>
        <w:spacing w:after="0"/>
        <w:ind w:left="0"/>
        <w:jc w:val="both"/>
      </w:pPr>
      <w:r>
        <w:rPr>
          <w:rFonts w:ascii="Times New Roman"/>
          <w:b w:val="false"/>
          <w:i w:val="false"/>
          <w:color w:val="000000"/>
          <w:sz w:val="28"/>
        </w:rPr>
        <w:t>
      Если дистанционное управление предназначено только для закрытия арматуры, установка указателей необязательна.</w:t>
      </w:r>
    </w:p>
    <w:bookmarkEnd w:id="9162"/>
    <w:bookmarkStart w:name="z9206" w:id="9163"/>
    <w:p>
      <w:pPr>
        <w:spacing w:after="0"/>
        <w:ind w:left="0"/>
        <w:jc w:val="left"/>
      </w:pPr>
      <w:r>
        <w:rPr>
          <w:rFonts w:ascii="Times New Roman"/>
          <w:b/>
          <w:i w:val="false"/>
          <w:color w:val="000000"/>
        </w:rPr>
        <w:t xml:space="preserve"> Параграф 2. Расположение и установка арматуры</w:t>
      </w:r>
    </w:p>
    <w:bookmarkEnd w:id="9163"/>
    <w:bookmarkStart w:name="z9207" w:id="9164"/>
    <w:p>
      <w:pPr>
        <w:spacing w:after="0"/>
        <w:ind w:left="0"/>
        <w:jc w:val="both"/>
      </w:pPr>
      <w:r>
        <w:rPr>
          <w:rFonts w:ascii="Times New Roman"/>
          <w:b w:val="false"/>
          <w:i w:val="false"/>
          <w:color w:val="000000"/>
          <w:sz w:val="28"/>
        </w:rPr>
        <w:t>
      3138. Арматура, устанавливаемая на водонепроницаемых переборках, крепится к приварышам на шпильках или к переборочным стаканам с использованием фланцевых соединений. Применение соединений типов "D" и "Е" (пункт 3051 настоящих Правил) не допускается.</w:t>
      </w:r>
    </w:p>
    <w:bookmarkEnd w:id="9164"/>
    <w:bookmarkStart w:name="z9208" w:id="9165"/>
    <w:p>
      <w:pPr>
        <w:spacing w:after="0"/>
        <w:ind w:left="0"/>
        <w:jc w:val="both"/>
      </w:pPr>
      <w:r>
        <w:rPr>
          <w:rFonts w:ascii="Times New Roman"/>
          <w:b w:val="false"/>
          <w:i w:val="false"/>
          <w:color w:val="000000"/>
          <w:sz w:val="28"/>
        </w:rPr>
        <w:t>
      Отверстия под крепежные шпильки в приварышах не должны быть сквозными.</w:t>
      </w:r>
    </w:p>
    <w:bookmarkEnd w:id="9165"/>
    <w:bookmarkStart w:name="z9209" w:id="9166"/>
    <w:p>
      <w:pPr>
        <w:spacing w:after="0"/>
        <w:ind w:left="0"/>
        <w:jc w:val="both"/>
      </w:pPr>
      <w:r>
        <w:rPr>
          <w:rFonts w:ascii="Times New Roman"/>
          <w:b w:val="false"/>
          <w:i w:val="false"/>
          <w:color w:val="000000"/>
          <w:sz w:val="28"/>
        </w:rPr>
        <w:t>
      3139. Клапанные коробки и клапаны с ручным управлением располагают в таких местах, которые в нормальных условиях эксплуатации всегда доступны.</w:t>
      </w:r>
    </w:p>
    <w:bookmarkEnd w:id="9166"/>
    <w:bookmarkStart w:name="z9210" w:id="9167"/>
    <w:p>
      <w:pPr>
        <w:spacing w:after="0"/>
        <w:ind w:left="0"/>
        <w:jc w:val="both"/>
      </w:pPr>
      <w:r>
        <w:rPr>
          <w:rFonts w:ascii="Times New Roman"/>
          <w:b w:val="false"/>
          <w:i w:val="false"/>
          <w:color w:val="000000"/>
          <w:sz w:val="28"/>
        </w:rPr>
        <w:t>
      Приводы управления клапанами топливной системы, если эти клапаны расположены в машинном отделении, выводятся выше настила.</w:t>
      </w:r>
    </w:p>
    <w:bookmarkEnd w:id="9167"/>
    <w:bookmarkStart w:name="z9211" w:id="9168"/>
    <w:p>
      <w:pPr>
        <w:spacing w:after="0"/>
        <w:ind w:left="0"/>
        <w:jc w:val="both"/>
      </w:pPr>
      <w:r>
        <w:rPr>
          <w:rFonts w:ascii="Times New Roman"/>
          <w:b w:val="false"/>
          <w:i w:val="false"/>
          <w:color w:val="000000"/>
          <w:sz w:val="28"/>
        </w:rPr>
        <w:t>
      3140. Контрольно-измерительные приборы в топливных системах и системах смазки оборудуются клапанами или кранами с целью отсечки этих приборов от трубопроводов. Чувствительные элементы термометров устанавливаются в плотных втулках.</w:t>
      </w:r>
    </w:p>
    <w:bookmarkEnd w:id="9168"/>
    <w:bookmarkStart w:name="z9212" w:id="9169"/>
    <w:p>
      <w:pPr>
        <w:spacing w:after="0"/>
        <w:ind w:left="0"/>
        <w:jc w:val="left"/>
      </w:pPr>
      <w:r>
        <w:rPr>
          <w:rFonts w:ascii="Times New Roman"/>
          <w:b/>
          <w:i w:val="false"/>
          <w:color w:val="000000"/>
        </w:rPr>
        <w:t xml:space="preserve"> Глава 243. Фильтры</w:t>
      </w:r>
    </w:p>
    <w:bookmarkEnd w:id="9169"/>
    <w:p>
      <w:pPr>
        <w:spacing w:after="0"/>
        <w:ind w:left="0"/>
        <w:jc w:val="both"/>
      </w:pPr>
      <w:r>
        <w:rPr>
          <w:rFonts w:ascii="Times New Roman"/>
          <w:b w:val="false"/>
          <w:i w:val="false"/>
          <w:color w:val="ff0000"/>
          <w:sz w:val="28"/>
        </w:rPr>
        <w:t xml:space="preserve">
      Сноска. Заголовок главы 243 -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13" w:id="9170"/>
    <w:p>
      <w:pPr>
        <w:spacing w:after="0"/>
        <w:ind w:left="0"/>
        <w:jc w:val="both"/>
      </w:pPr>
      <w:r>
        <w:rPr>
          <w:rFonts w:ascii="Times New Roman"/>
          <w:b w:val="false"/>
          <w:i w:val="false"/>
          <w:color w:val="000000"/>
          <w:sz w:val="28"/>
        </w:rPr>
        <w:t>
      3141. Конструкция фильтров обеспечивает легкость их очистки.</w:t>
      </w:r>
    </w:p>
    <w:bookmarkEnd w:id="9170"/>
    <w:bookmarkStart w:name="z9214" w:id="9171"/>
    <w:p>
      <w:pPr>
        <w:spacing w:after="0"/>
        <w:ind w:left="0"/>
        <w:jc w:val="both"/>
      </w:pPr>
      <w:r>
        <w:rPr>
          <w:rFonts w:ascii="Times New Roman"/>
          <w:b w:val="false"/>
          <w:i w:val="false"/>
          <w:color w:val="000000"/>
          <w:sz w:val="28"/>
        </w:rPr>
        <w:t>
      3142. Фильтры оборудуются устройством, позволяющим убедиться в отсутствии давления перед их вскрытием.</w:t>
      </w:r>
    </w:p>
    <w:bookmarkEnd w:id="9171"/>
    <w:bookmarkStart w:name="z9215" w:id="9172"/>
    <w:p>
      <w:pPr>
        <w:spacing w:after="0"/>
        <w:ind w:left="0"/>
        <w:jc w:val="both"/>
      </w:pPr>
      <w:r>
        <w:rPr>
          <w:rFonts w:ascii="Times New Roman"/>
          <w:b w:val="false"/>
          <w:i w:val="false"/>
          <w:color w:val="000000"/>
          <w:sz w:val="28"/>
        </w:rPr>
        <w:t>
      Трубки от таких устройств выводятся в поддоны таким образом, чтобы предотвращалось разбрызгивание.</w:t>
      </w:r>
    </w:p>
    <w:bookmarkEnd w:id="9172"/>
    <w:bookmarkStart w:name="z9216" w:id="9173"/>
    <w:p>
      <w:pPr>
        <w:spacing w:after="0"/>
        <w:ind w:left="0"/>
        <w:jc w:val="both"/>
      </w:pPr>
      <w:r>
        <w:rPr>
          <w:rFonts w:ascii="Times New Roman"/>
          <w:b w:val="false"/>
          <w:i w:val="false"/>
          <w:color w:val="000000"/>
          <w:sz w:val="28"/>
        </w:rPr>
        <w:t>
      3143. Фильтры, входящие в системы с горючей рабочей средой, рекомендуется оборудовать блокировкой, не позволяющей производить их вскрытие при наличии в них давления, а также исключающей возможность поступления в них рабочей среды во вскрытом состоянии.</w:t>
      </w:r>
    </w:p>
    <w:bookmarkEnd w:id="9173"/>
    <w:bookmarkStart w:name="z9217" w:id="9174"/>
    <w:p>
      <w:pPr>
        <w:spacing w:after="0"/>
        <w:ind w:left="0"/>
        <w:jc w:val="both"/>
      </w:pPr>
      <w:r>
        <w:rPr>
          <w:rFonts w:ascii="Times New Roman"/>
          <w:b w:val="false"/>
          <w:i w:val="false"/>
          <w:color w:val="000000"/>
          <w:sz w:val="28"/>
        </w:rPr>
        <w:t>
      3144. Расположение фильтров обеспечивает легкий доступ для обслуживания.</w:t>
      </w:r>
    </w:p>
    <w:bookmarkEnd w:id="9174"/>
    <w:bookmarkStart w:name="z9218" w:id="9175"/>
    <w:p>
      <w:pPr>
        <w:spacing w:after="0"/>
        <w:ind w:left="0"/>
        <w:jc w:val="both"/>
      </w:pPr>
      <w:r>
        <w:rPr>
          <w:rFonts w:ascii="Times New Roman"/>
          <w:b w:val="false"/>
          <w:i w:val="false"/>
          <w:color w:val="000000"/>
          <w:sz w:val="28"/>
        </w:rPr>
        <w:t>
      Фильтры, входящие в системы с горючей рабочей средой, устанавливаются на безопасном расстоянии от возможных источников воспламенения.</w:t>
      </w:r>
    </w:p>
    <w:bookmarkEnd w:id="9175"/>
    <w:bookmarkStart w:name="z9219" w:id="9176"/>
    <w:p>
      <w:pPr>
        <w:spacing w:after="0"/>
        <w:ind w:left="0"/>
        <w:jc w:val="both"/>
      </w:pPr>
      <w:r>
        <w:rPr>
          <w:rFonts w:ascii="Times New Roman"/>
          <w:b w:val="false"/>
          <w:i w:val="false"/>
          <w:color w:val="000000"/>
          <w:sz w:val="28"/>
        </w:rPr>
        <w:t>
      3145. На трубопроводах подвода и отвода топлива к фильтрам устанавливаются запорные клапаны или краны.</w:t>
      </w:r>
    </w:p>
    <w:bookmarkEnd w:id="9176"/>
    <w:bookmarkStart w:name="z9220" w:id="9177"/>
    <w:p>
      <w:pPr>
        <w:spacing w:after="0"/>
        <w:ind w:left="0"/>
        <w:jc w:val="both"/>
      </w:pPr>
      <w:r>
        <w:rPr>
          <w:rFonts w:ascii="Times New Roman"/>
          <w:b w:val="false"/>
          <w:i w:val="false"/>
          <w:color w:val="000000"/>
          <w:sz w:val="28"/>
        </w:rPr>
        <w:t>
      3146. Необходимо чтобы фильтры на приемных магистралях забортной воды соответствовали пункту 3813 настоящих Правил.</w:t>
      </w:r>
    </w:p>
    <w:bookmarkEnd w:id="9177"/>
    <w:bookmarkStart w:name="z9221" w:id="9178"/>
    <w:p>
      <w:pPr>
        <w:spacing w:after="0"/>
        <w:ind w:left="0"/>
        <w:jc w:val="left"/>
      </w:pPr>
      <w:r>
        <w:rPr>
          <w:rFonts w:ascii="Times New Roman"/>
          <w:b/>
          <w:i w:val="false"/>
          <w:color w:val="000000"/>
        </w:rPr>
        <w:t xml:space="preserve"> Глава 244. Кингстонные и ледовые ящики. Донная и бортовая арматура. Отверстия в наружной обшивке</w:t>
      </w:r>
    </w:p>
    <w:bookmarkEnd w:id="9178"/>
    <w:p>
      <w:pPr>
        <w:spacing w:after="0"/>
        <w:ind w:left="0"/>
        <w:jc w:val="both"/>
      </w:pPr>
      <w:r>
        <w:rPr>
          <w:rFonts w:ascii="Times New Roman"/>
          <w:b w:val="false"/>
          <w:i w:val="false"/>
          <w:color w:val="ff0000"/>
          <w:sz w:val="28"/>
        </w:rPr>
        <w:t xml:space="preserve">
      Сноска. Заголовок главы 244 -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22" w:id="9179"/>
    <w:p>
      <w:pPr>
        <w:spacing w:after="0"/>
        <w:ind w:left="0"/>
        <w:jc w:val="left"/>
      </w:pPr>
      <w:r>
        <w:rPr>
          <w:rFonts w:ascii="Times New Roman"/>
          <w:b/>
          <w:i w:val="false"/>
          <w:color w:val="000000"/>
        </w:rPr>
        <w:t xml:space="preserve"> Параграф 1. Кингстонные и ледовые ящики</w:t>
      </w:r>
    </w:p>
    <w:bookmarkEnd w:id="9179"/>
    <w:bookmarkStart w:name="z9223" w:id="9180"/>
    <w:p>
      <w:pPr>
        <w:spacing w:after="0"/>
        <w:ind w:left="0"/>
        <w:jc w:val="both"/>
      </w:pPr>
      <w:r>
        <w:rPr>
          <w:rFonts w:ascii="Times New Roman"/>
          <w:b w:val="false"/>
          <w:i w:val="false"/>
          <w:color w:val="000000"/>
          <w:sz w:val="28"/>
        </w:rPr>
        <w:t>
      3147. Количество и расположение кингстонных ящиков для системы водяного охлаждения соответствует пункту 3810 настоящих Правил. На судах с ледовыми усилениями категорий Агс4 и Агс5 один из кингстонных ящиков должен быть ледовым. На ледоколах по крайней мере два кингстонных ящика должны быть ледовыми.</w:t>
      </w:r>
    </w:p>
    <w:bookmarkEnd w:id="9180"/>
    <w:bookmarkStart w:name="z9224" w:id="9181"/>
    <w:p>
      <w:pPr>
        <w:spacing w:after="0"/>
        <w:ind w:left="0"/>
        <w:jc w:val="both"/>
      </w:pPr>
      <w:r>
        <w:rPr>
          <w:rFonts w:ascii="Times New Roman"/>
          <w:b w:val="false"/>
          <w:i w:val="false"/>
          <w:color w:val="000000"/>
          <w:sz w:val="28"/>
        </w:rPr>
        <w:t>
      Необходимо чтобы на ледоколах и судах с ледовыми усилениями категорий Агс4 — Агс5 конструкция ледовых ящиков обеспечивала эффективное отделение льда и удаление воздуха для обеспечения надежной работы системы забортной воды.</w:t>
      </w:r>
    </w:p>
    <w:bookmarkEnd w:id="9181"/>
    <w:bookmarkStart w:name="z9225" w:id="9182"/>
    <w:p>
      <w:pPr>
        <w:spacing w:after="0"/>
        <w:ind w:left="0"/>
        <w:jc w:val="both"/>
      </w:pPr>
      <w:r>
        <w:rPr>
          <w:rFonts w:ascii="Times New Roman"/>
          <w:b w:val="false"/>
          <w:i w:val="false"/>
          <w:color w:val="000000"/>
          <w:sz w:val="28"/>
        </w:rPr>
        <w:t>
      Приемная арматура забортной воды размещается непосредственно на кингстонных или ледовых ящиках.</w:t>
      </w:r>
    </w:p>
    <w:bookmarkEnd w:id="9182"/>
    <w:bookmarkStart w:name="z9226" w:id="9183"/>
    <w:p>
      <w:pPr>
        <w:spacing w:after="0"/>
        <w:ind w:left="0"/>
        <w:jc w:val="both"/>
      </w:pPr>
      <w:r>
        <w:rPr>
          <w:rFonts w:ascii="Times New Roman"/>
          <w:b w:val="false"/>
          <w:i w:val="false"/>
          <w:color w:val="000000"/>
          <w:sz w:val="28"/>
        </w:rPr>
        <w:t>
      3148. На ледоколах и судах с ледовыми усилениями кингстонные и ледовые ящики, а также бортовая арматура, устанавливаемая выше грузовой ватерлинии, оборудуются обогревом. Для этой цели следует предусматривать:</w:t>
      </w:r>
    </w:p>
    <w:bookmarkEnd w:id="9183"/>
    <w:bookmarkStart w:name="z9227" w:id="9184"/>
    <w:p>
      <w:pPr>
        <w:spacing w:after="0"/>
        <w:ind w:left="0"/>
        <w:jc w:val="both"/>
      </w:pPr>
      <w:r>
        <w:rPr>
          <w:rFonts w:ascii="Times New Roman"/>
          <w:b w:val="false"/>
          <w:i w:val="false"/>
          <w:color w:val="000000"/>
          <w:sz w:val="28"/>
        </w:rPr>
        <w:t>
      для ледовых и кингстонных ящиков — рециркуляцию охлаждающей воды;</w:t>
      </w:r>
    </w:p>
    <w:bookmarkEnd w:id="9184"/>
    <w:bookmarkStart w:name="z9228" w:id="9185"/>
    <w:p>
      <w:pPr>
        <w:spacing w:after="0"/>
        <w:ind w:left="0"/>
        <w:jc w:val="both"/>
      </w:pPr>
      <w:r>
        <w:rPr>
          <w:rFonts w:ascii="Times New Roman"/>
          <w:b w:val="false"/>
          <w:i w:val="false"/>
          <w:color w:val="000000"/>
          <w:sz w:val="28"/>
        </w:rPr>
        <w:t>
      для бортовой арматуры — подвод греющей среды через невозвратно-запорный клапан. Конструкция устройства обогрева исключает повреждение бортовой арматуры и наружной обшивки корпуса судна в случае размораживания.</w:t>
      </w:r>
    </w:p>
    <w:bookmarkEnd w:id="9185"/>
    <w:bookmarkStart w:name="z9229" w:id="9186"/>
    <w:p>
      <w:pPr>
        <w:spacing w:after="0"/>
        <w:ind w:left="0"/>
        <w:jc w:val="both"/>
      </w:pPr>
      <w:r>
        <w:rPr>
          <w:rFonts w:ascii="Times New Roman"/>
          <w:b w:val="false"/>
          <w:i w:val="false"/>
          <w:color w:val="000000"/>
          <w:sz w:val="28"/>
        </w:rPr>
        <w:t>
      Для обогрева арматуры, допускается применение систем электрообогрева с использованием специальных греющих кабелей. При использовании греющего электрического кабеля, должны быть выполнены требования настоящих Правил.</w:t>
      </w:r>
    </w:p>
    <w:bookmarkEnd w:id="9186"/>
    <w:bookmarkStart w:name="z9230" w:id="9187"/>
    <w:p>
      <w:pPr>
        <w:spacing w:after="0"/>
        <w:ind w:left="0"/>
        <w:jc w:val="both"/>
      </w:pPr>
      <w:r>
        <w:rPr>
          <w:rFonts w:ascii="Times New Roman"/>
          <w:b w:val="false"/>
          <w:i w:val="false"/>
          <w:color w:val="000000"/>
          <w:sz w:val="28"/>
        </w:rPr>
        <w:t>
      Для ледового ящика трубы рециркуляции охлаждающей воды подводятся в верхнюю и нижнюю часть ящика, при этом общая площадь сечения этих труб допускается не менее сечения отливной магистрали охлаждающей воды.</w:t>
      </w:r>
    </w:p>
    <w:bookmarkEnd w:id="9187"/>
    <w:bookmarkStart w:name="z9231" w:id="9188"/>
    <w:p>
      <w:pPr>
        <w:spacing w:after="0"/>
        <w:ind w:left="0"/>
        <w:jc w:val="both"/>
      </w:pPr>
      <w:r>
        <w:rPr>
          <w:rFonts w:ascii="Times New Roman"/>
          <w:b w:val="false"/>
          <w:i w:val="false"/>
          <w:color w:val="000000"/>
          <w:sz w:val="28"/>
        </w:rPr>
        <w:t>
      Для кингстонных ящиков диаметр трубы рециркуляции охлаждающей воды следует принимать не менее 0,85 диаметра отливной магистрали.</w:t>
      </w:r>
    </w:p>
    <w:bookmarkEnd w:id="9188"/>
    <w:bookmarkStart w:name="z9232" w:id="9189"/>
    <w:p>
      <w:pPr>
        <w:spacing w:after="0"/>
        <w:ind w:left="0"/>
        <w:jc w:val="both"/>
      </w:pPr>
      <w:r>
        <w:rPr>
          <w:rFonts w:ascii="Times New Roman"/>
          <w:b w:val="false"/>
          <w:i w:val="false"/>
          <w:color w:val="000000"/>
          <w:sz w:val="28"/>
        </w:rPr>
        <w:t>
      3149. Предусматривается возможность доступа внутрь ящиков через съемные решетки или горловины. Если горловина предусмотрена на ледовых ящиках, она размещается выше самой высокой ватерлинии.</w:t>
      </w:r>
    </w:p>
    <w:bookmarkEnd w:id="9189"/>
    <w:bookmarkStart w:name="z9233" w:id="9190"/>
    <w:p>
      <w:pPr>
        <w:spacing w:after="0"/>
        <w:ind w:left="0"/>
        <w:jc w:val="left"/>
      </w:pPr>
      <w:r>
        <w:rPr>
          <w:rFonts w:ascii="Times New Roman"/>
          <w:b/>
          <w:i w:val="false"/>
          <w:color w:val="000000"/>
        </w:rPr>
        <w:t xml:space="preserve"> Параграф 2. Отверстия в наружной обшивке.</w:t>
      </w:r>
      <w:r>
        <w:br/>
      </w:r>
      <w:r>
        <w:rPr>
          <w:rFonts w:ascii="Times New Roman"/>
          <w:b/>
          <w:i w:val="false"/>
          <w:color w:val="000000"/>
        </w:rPr>
        <w:t>Донная и бортовая арматура</w:t>
      </w:r>
    </w:p>
    <w:bookmarkEnd w:id="9190"/>
    <w:bookmarkStart w:name="z9234" w:id="9191"/>
    <w:p>
      <w:pPr>
        <w:spacing w:after="0"/>
        <w:ind w:left="0"/>
        <w:jc w:val="both"/>
      </w:pPr>
      <w:r>
        <w:rPr>
          <w:rFonts w:ascii="Times New Roman"/>
          <w:b w:val="false"/>
          <w:i w:val="false"/>
          <w:color w:val="000000"/>
          <w:sz w:val="28"/>
        </w:rPr>
        <w:t>
      3150. Число отверстий в наружной обшивке должно быть минимальным. Отливные трубопроводы, по возможности, присоединяются к общим отверстиям.</w:t>
      </w:r>
    </w:p>
    <w:bookmarkEnd w:id="9191"/>
    <w:bookmarkStart w:name="z9235" w:id="9192"/>
    <w:p>
      <w:pPr>
        <w:spacing w:after="0"/>
        <w:ind w:left="0"/>
        <w:jc w:val="both"/>
      </w:pPr>
      <w:r>
        <w:rPr>
          <w:rFonts w:ascii="Times New Roman"/>
          <w:b w:val="false"/>
          <w:i w:val="false"/>
          <w:color w:val="000000"/>
          <w:sz w:val="28"/>
        </w:rPr>
        <w:t>
      3151. Расположение приемных и отливных отверстий в наружной обшивке судна исключает возможность:</w:t>
      </w:r>
    </w:p>
    <w:bookmarkEnd w:id="9192"/>
    <w:bookmarkStart w:name="z9236" w:id="9193"/>
    <w:p>
      <w:pPr>
        <w:spacing w:after="0"/>
        <w:ind w:left="0"/>
        <w:jc w:val="both"/>
      </w:pPr>
      <w:r>
        <w:rPr>
          <w:rFonts w:ascii="Times New Roman"/>
          <w:b w:val="false"/>
          <w:i w:val="false"/>
          <w:color w:val="000000"/>
          <w:sz w:val="28"/>
        </w:rPr>
        <w:t>
      1) приема сточных вод и других нечистот насосами забортной воды;</w:t>
      </w:r>
    </w:p>
    <w:bookmarkEnd w:id="9193"/>
    <w:bookmarkStart w:name="z9237" w:id="9194"/>
    <w:p>
      <w:pPr>
        <w:spacing w:after="0"/>
        <w:ind w:left="0"/>
        <w:jc w:val="both"/>
      </w:pPr>
      <w:r>
        <w:rPr>
          <w:rFonts w:ascii="Times New Roman"/>
          <w:b w:val="false"/>
          <w:i w:val="false"/>
          <w:color w:val="000000"/>
          <w:sz w:val="28"/>
        </w:rPr>
        <w:t>
      2) попадания сточных и отливных вод в помещения судна через иллюминаторы, а также в спасательные шлюпки и плоты при их спуске на воду.</w:t>
      </w:r>
    </w:p>
    <w:bookmarkEnd w:id="9194"/>
    <w:bookmarkStart w:name="z9238" w:id="9195"/>
    <w:p>
      <w:pPr>
        <w:spacing w:after="0"/>
        <w:ind w:left="0"/>
        <w:jc w:val="both"/>
      </w:pPr>
      <w:r>
        <w:rPr>
          <w:rFonts w:ascii="Times New Roman"/>
          <w:b w:val="false"/>
          <w:i w:val="false"/>
          <w:color w:val="000000"/>
          <w:sz w:val="28"/>
        </w:rPr>
        <w:t>
      Если невозможно выполнить требование подпункта 2) настоящего пункта, отливные отверстия снабжают устройствами, предотвращающими попадание отливных вод в помещения судна, в спасательные шлюпки и плоты.</w:t>
      </w:r>
    </w:p>
    <w:bookmarkEnd w:id="9195"/>
    <w:bookmarkStart w:name="z9239" w:id="9196"/>
    <w:p>
      <w:pPr>
        <w:spacing w:after="0"/>
        <w:ind w:left="0"/>
        <w:jc w:val="both"/>
      </w:pPr>
      <w:r>
        <w:rPr>
          <w:rFonts w:ascii="Times New Roman"/>
          <w:b w:val="false"/>
          <w:i w:val="false"/>
          <w:color w:val="000000"/>
          <w:sz w:val="28"/>
        </w:rPr>
        <w:t>
      3152. Отверстия в наружной обшивке кингстонных и ледовых ящиков оборудуются защитными решетками. Вместо решеток допускается выполнять отверстия или щели в корпусе судна. Суммарная площадь отверстий или щелей должна быть не менее 2,5-кратной площади сечения установленной приемной арматуры забортной воды. Диаметр отверстий и ширина щели в решетках или наружной обшивке допускается около 20 мм. Решетки кингстонных ящиков оборудуют устройством для их продувания паром или сжатым воздухом. Для ледовых ящиков продувание допускается не предусматривать.</w:t>
      </w:r>
    </w:p>
    <w:bookmarkEnd w:id="9196"/>
    <w:bookmarkStart w:name="z9240" w:id="9197"/>
    <w:p>
      <w:pPr>
        <w:spacing w:after="0"/>
        <w:ind w:left="0"/>
        <w:jc w:val="both"/>
      </w:pPr>
      <w:r>
        <w:rPr>
          <w:rFonts w:ascii="Times New Roman"/>
          <w:b w:val="false"/>
          <w:i w:val="false"/>
          <w:color w:val="000000"/>
          <w:sz w:val="28"/>
        </w:rPr>
        <w:t>
      На трубопроводах продувания предусматриваются невозвратно-запорные клапаны. Давление пара или сжатого воздуха в системе продувания не превышает 0,5 МПа.</w:t>
      </w:r>
    </w:p>
    <w:bookmarkEnd w:id="9197"/>
    <w:bookmarkStart w:name="z9241" w:id="9198"/>
    <w:p>
      <w:pPr>
        <w:spacing w:after="0"/>
        <w:ind w:left="0"/>
        <w:jc w:val="both"/>
      </w:pPr>
      <w:r>
        <w:rPr>
          <w:rFonts w:ascii="Times New Roman"/>
          <w:b w:val="false"/>
          <w:i w:val="false"/>
          <w:color w:val="000000"/>
          <w:sz w:val="28"/>
        </w:rPr>
        <w:t xml:space="preserve">
      3153. Отливные отверстия в наружной обшивке судна из закрытых помещений, расположенных ниже палубы надводного борта, или из надстроек и рубок на палубе надводного борта оборудуют доступными средствами для предупреждения попадания воды внутрь судна. Отливные отверстия трубопроводов, которые имеют или могут иметь открытые концы в указанных помещениях, отвечают требованиям </w:t>
      </w:r>
      <w:r>
        <w:rPr>
          <w:rFonts w:ascii="Times New Roman"/>
          <w:b w:val="false"/>
          <w:i w:val="false"/>
          <w:color w:val="000000"/>
          <w:sz w:val="28"/>
        </w:rPr>
        <w:t xml:space="preserve"> пункта 117</w:t>
      </w:r>
      <w:r>
        <w:rPr>
          <w:rFonts w:ascii="Times New Roman"/>
          <w:b w:val="false"/>
          <w:i w:val="false"/>
          <w:color w:val="000000"/>
          <w:sz w:val="28"/>
        </w:rPr>
        <w:t xml:space="preserve"> Правил о грузовой марке морских судов, утвержденных уполномоченным органом.</w:t>
      </w:r>
    </w:p>
    <w:bookmarkEnd w:id="9198"/>
    <w:bookmarkStart w:name="z9242" w:id="9199"/>
    <w:p>
      <w:pPr>
        <w:spacing w:after="0"/>
        <w:ind w:left="0"/>
        <w:jc w:val="both"/>
      </w:pPr>
      <w:r>
        <w:rPr>
          <w:rFonts w:ascii="Times New Roman"/>
          <w:b w:val="false"/>
          <w:i w:val="false"/>
          <w:color w:val="000000"/>
          <w:sz w:val="28"/>
        </w:rPr>
        <w:t>
      3154. На судах длиной менее 24 м отливные отверстия в наружной обшивке из помещений, расположенных как на палубе надводного борта, так и ниже палубы надводного борта, оборудуют одним невозвратно-запорным клапаном с местным управлением.</w:t>
      </w:r>
    </w:p>
    <w:bookmarkEnd w:id="9199"/>
    <w:bookmarkStart w:name="z9243" w:id="9200"/>
    <w:p>
      <w:pPr>
        <w:spacing w:after="0"/>
        <w:ind w:left="0"/>
        <w:jc w:val="both"/>
      </w:pPr>
      <w:r>
        <w:rPr>
          <w:rFonts w:ascii="Times New Roman"/>
          <w:b w:val="false"/>
          <w:i w:val="false"/>
          <w:color w:val="000000"/>
          <w:sz w:val="28"/>
        </w:rPr>
        <w:t>
      На плавучих доках каждое отливное отверстие трубопроводов, идущих из помещений, расположенных ниже предельной линии погружения, которые имеют в этих помещениях открытые концы, снабжаются невозвратным клапаном с принудительным закрытием из легкодоступного места, расположенного выше палубы безопасности.</w:t>
      </w:r>
    </w:p>
    <w:bookmarkEnd w:id="9200"/>
    <w:bookmarkStart w:name="z9244" w:id="9201"/>
    <w:p>
      <w:pPr>
        <w:spacing w:after="0"/>
        <w:ind w:left="0"/>
        <w:jc w:val="both"/>
      </w:pPr>
      <w:r>
        <w:rPr>
          <w:rFonts w:ascii="Times New Roman"/>
          <w:b w:val="false"/>
          <w:i w:val="false"/>
          <w:color w:val="000000"/>
          <w:sz w:val="28"/>
        </w:rPr>
        <w:t>
      3155. Шпигаты и сточные трубы с открытых палуб и из помещений, не указанных в пункте 3153 настоящих Правил, выводимые за борт на расстоянии ниже 450 мм от палубы надводного борта, либо на расстоянии менее 600 мм над летней грузовой ватерлинией, снабжают невозвратными клапанами (захлопками), устанавливаемыми у наружной обшивки. Толщина стенки шпигатов и сточных труб в этом случае допускается не менее указанной в графе 3 приложения 339 настоящих Правил.</w:t>
      </w:r>
    </w:p>
    <w:bookmarkEnd w:id="9201"/>
    <w:bookmarkStart w:name="z9245" w:id="9202"/>
    <w:p>
      <w:pPr>
        <w:spacing w:after="0"/>
        <w:ind w:left="0"/>
        <w:jc w:val="both"/>
      </w:pPr>
      <w:r>
        <w:rPr>
          <w:rFonts w:ascii="Times New Roman"/>
          <w:b w:val="false"/>
          <w:i w:val="false"/>
          <w:color w:val="000000"/>
          <w:sz w:val="28"/>
        </w:rPr>
        <w:t>
      Клапаны допускается не предусматривать, если толщины стенок этих труб, устанавливаемых ниже палубы надводного борта и палубы закрытых надстроек, будут не менее:</w:t>
      </w:r>
    </w:p>
    <w:bookmarkEnd w:id="9202"/>
    <w:bookmarkStart w:name="z9246" w:id="9203"/>
    <w:p>
      <w:pPr>
        <w:spacing w:after="0"/>
        <w:ind w:left="0"/>
        <w:jc w:val="both"/>
      </w:pPr>
      <w:r>
        <w:rPr>
          <w:rFonts w:ascii="Times New Roman"/>
          <w:b w:val="false"/>
          <w:i w:val="false"/>
          <w:color w:val="000000"/>
          <w:sz w:val="28"/>
        </w:rPr>
        <w:t xml:space="preserve">
      7 мм при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80 мм;</w:t>
      </w:r>
    </w:p>
    <w:bookmarkEnd w:id="9203"/>
    <w:bookmarkStart w:name="z9247" w:id="9204"/>
    <w:p>
      <w:pPr>
        <w:spacing w:after="0"/>
        <w:ind w:left="0"/>
        <w:jc w:val="both"/>
      </w:pPr>
      <w:r>
        <w:rPr>
          <w:rFonts w:ascii="Times New Roman"/>
          <w:b w:val="false"/>
          <w:i w:val="false"/>
          <w:color w:val="000000"/>
          <w:sz w:val="28"/>
        </w:rPr>
        <w:t xml:space="preserve">
      10 мм при </w:t>
      </w:r>
      <w:r>
        <w:rPr>
          <w:rFonts w:ascii="Times New Roman"/>
          <w:b w:val="false"/>
          <w:i/>
          <w:color w:val="000000"/>
          <w:sz w:val="28"/>
        </w:rPr>
        <w:t>d</w:t>
      </w:r>
      <w:r>
        <w:rPr>
          <w:rFonts w:ascii="Times New Roman"/>
          <w:b w:val="false"/>
          <w:i w:val="false"/>
          <w:color w:val="000000"/>
          <w:sz w:val="28"/>
        </w:rPr>
        <w:t xml:space="preserve"> = 180 мм;</w:t>
      </w:r>
    </w:p>
    <w:bookmarkEnd w:id="9204"/>
    <w:bookmarkStart w:name="z9248" w:id="9205"/>
    <w:p>
      <w:pPr>
        <w:spacing w:after="0"/>
        <w:ind w:left="0"/>
        <w:jc w:val="both"/>
      </w:pPr>
      <w:r>
        <w:rPr>
          <w:rFonts w:ascii="Times New Roman"/>
          <w:b w:val="false"/>
          <w:i w:val="false"/>
          <w:color w:val="000000"/>
          <w:sz w:val="28"/>
        </w:rPr>
        <w:t xml:space="preserve">
      12,5 мм при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200 мм,</w:t>
      </w:r>
    </w:p>
    <w:bookmarkEnd w:id="9205"/>
    <w:bookmarkStart w:name="z9249" w:id="9206"/>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sz w:val="28"/>
        </w:rPr>
        <w:t xml:space="preserve"> — наружный диаметр трубы.</w:t>
      </w:r>
    </w:p>
    <w:bookmarkEnd w:id="9206"/>
    <w:bookmarkStart w:name="z9250" w:id="9207"/>
    <w:p>
      <w:pPr>
        <w:spacing w:after="0"/>
        <w:ind w:left="0"/>
        <w:jc w:val="both"/>
      </w:pPr>
      <w:r>
        <w:rPr>
          <w:rFonts w:ascii="Times New Roman"/>
          <w:b w:val="false"/>
          <w:i w:val="false"/>
          <w:color w:val="000000"/>
          <w:sz w:val="28"/>
        </w:rPr>
        <w:t>
      Промежуточные значения определяются интерполяцией.</w:t>
      </w:r>
    </w:p>
    <w:bookmarkEnd w:id="9207"/>
    <w:bookmarkStart w:name="z9251" w:id="9208"/>
    <w:p>
      <w:pPr>
        <w:spacing w:after="0"/>
        <w:ind w:left="0"/>
        <w:jc w:val="both"/>
      </w:pPr>
      <w:r>
        <w:rPr>
          <w:rFonts w:ascii="Times New Roman"/>
          <w:b w:val="false"/>
          <w:i w:val="false"/>
          <w:color w:val="000000"/>
          <w:sz w:val="28"/>
        </w:rPr>
        <w:t>
      Шпигатные трубы, идущие из открытых надстроек и рубок выводят за борт.</w:t>
      </w:r>
    </w:p>
    <w:bookmarkEnd w:id="9208"/>
    <w:bookmarkStart w:name="z9252" w:id="9209"/>
    <w:p>
      <w:pPr>
        <w:spacing w:after="0"/>
        <w:ind w:left="0"/>
        <w:jc w:val="both"/>
      </w:pPr>
      <w:r>
        <w:rPr>
          <w:rFonts w:ascii="Times New Roman"/>
          <w:b w:val="false"/>
          <w:i w:val="false"/>
          <w:color w:val="000000"/>
          <w:sz w:val="28"/>
        </w:rPr>
        <w:t>
      Шпигатные трубы из помещений, предназначенных для перевозки автотранспорта с топливом в баках, выводят за борт и исключают скопление воды в помещении при действии системы водораспыления.</w:t>
      </w:r>
    </w:p>
    <w:bookmarkEnd w:id="9209"/>
    <w:bookmarkStart w:name="z9253" w:id="9210"/>
    <w:p>
      <w:pPr>
        <w:spacing w:after="0"/>
        <w:ind w:left="0"/>
        <w:jc w:val="both"/>
      </w:pPr>
      <w:r>
        <w:rPr>
          <w:rFonts w:ascii="Times New Roman"/>
          <w:b w:val="false"/>
          <w:i w:val="false"/>
          <w:color w:val="000000"/>
          <w:sz w:val="28"/>
        </w:rPr>
        <w:t>
      На плавучих доках шпигатные и сточные трубы из помещений, которые расположены выше предельной линии погружения, а также с открытых палуб, выводимые за борт ниже предельной линии погружения, оборудуют невозвратными клапанами у наружной обшивки. Клапаны допускается не предусматривать, если толщина этих труб ниже предельной линии погружения будет не меньше толщины наружной обшивки, однако не требуется, чтобы она была более 12 мм.</w:t>
      </w:r>
    </w:p>
    <w:bookmarkEnd w:id="9210"/>
    <w:bookmarkStart w:name="z9254" w:id="9211"/>
    <w:p>
      <w:pPr>
        <w:spacing w:after="0"/>
        <w:ind w:left="0"/>
        <w:jc w:val="both"/>
      </w:pPr>
      <w:r>
        <w:rPr>
          <w:rFonts w:ascii="Times New Roman"/>
          <w:b w:val="false"/>
          <w:i w:val="false"/>
          <w:color w:val="000000"/>
          <w:sz w:val="28"/>
        </w:rPr>
        <w:t>
      3156. Приемные и отливные отверстия в наружной обшивке трубопроводов охлаждающей воды главных и вспомогательных двигателей и систем, расположенные в машинных помещениях, снабжают легкодоступными клапанами или клинкетами с местным управлением. Приводы управления имеют индикатор, показывающий, открыт или закрыт клапан.</w:t>
      </w:r>
    </w:p>
    <w:bookmarkEnd w:id="9211"/>
    <w:bookmarkStart w:name="z9255" w:id="9212"/>
    <w:p>
      <w:pPr>
        <w:spacing w:after="0"/>
        <w:ind w:left="0"/>
        <w:jc w:val="both"/>
      </w:pPr>
      <w:r>
        <w:rPr>
          <w:rFonts w:ascii="Times New Roman"/>
          <w:b w:val="false"/>
          <w:i w:val="false"/>
          <w:color w:val="000000"/>
          <w:sz w:val="28"/>
        </w:rPr>
        <w:t>
      Необходимо чтобы отливные бортовые клапаны были невозвратно-запорного типа.</w:t>
      </w:r>
    </w:p>
    <w:bookmarkEnd w:id="9212"/>
    <w:bookmarkStart w:name="z9256" w:id="9213"/>
    <w:p>
      <w:pPr>
        <w:spacing w:after="0"/>
        <w:ind w:left="0"/>
        <w:jc w:val="both"/>
      </w:pPr>
      <w:r>
        <w:rPr>
          <w:rFonts w:ascii="Times New Roman"/>
          <w:b w:val="false"/>
          <w:i w:val="false"/>
          <w:color w:val="000000"/>
          <w:sz w:val="28"/>
        </w:rPr>
        <w:t>
      3157. Приводы управления приемной донной, а также бортовой арматуры располагаются в легкодоступных местах и снабжаются устройством, показывающим, открыт или закрыт клапан.</w:t>
      </w:r>
    </w:p>
    <w:bookmarkEnd w:id="9213"/>
    <w:bookmarkStart w:name="z9257" w:id="9214"/>
    <w:p>
      <w:pPr>
        <w:spacing w:after="0"/>
        <w:ind w:left="0"/>
        <w:jc w:val="both"/>
      </w:pPr>
      <w:r>
        <w:rPr>
          <w:rFonts w:ascii="Times New Roman"/>
          <w:b w:val="false"/>
          <w:i w:val="false"/>
          <w:color w:val="000000"/>
          <w:sz w:val="28"/>
        </w:rPr>
        <w:t>
      На пассажирских судах эти приводы располагаются выше настила машинного отделения.</w:t>
      </w:r>
    </w:p>
    <w:bookmarkEnd w:id="9214"/>
    <w:bookmarkStart w:name="z9258" w:id="9215"/>
    <w:p>
      <w:pPr>
        <w:spacing w:after="0"/>
        <w:ind w:left="0"/>
        <w:jc w:val="both"/>
      </w:pPr>
      <w:r>
        <w:rPr>
          <w:rFonts w:ascii="Times New Roman"/>
          <w:b w:val="false"/>
          <w:i w:val="false"/>
          <w:color w:val="000000"/>
          <w:sz w:val="28"/>
        </w:rPr>
        <w:t>
      3158. В машинных помещениях без постоянной вахты органы управления клапанами приемных и отливных отверстий систем забортной воды, расположенных ниже ватерлинии, а также эжекторной системы осушения, располагаются так, чтобы было достаточно времени для доступа и приведения их в действие при поступлении воды в помещения.</w:t>
      </w:r>
    </w:p>
    <w:bookmarkEnd w:id="9215"/>
    <w:bookmarkStart w:name="z9259" w:id="9216"/>
    <w:p>
      <w:pPr>
        <w:spacing w:after="0"/>
        <w:ind w:left="0"/>
        <w:jc w:val="both"/>
      </w:pPr>
      <w:r>
        <w:rPr>
          <w:rFonts w:ascii="Times New Roman"/>
          <w:b w:val="false"/>
          <w:i w:val="false"/>
          <w:color w:val="000000"/>
          <w:sz w:val="28"/>
        </w:rPr>
        <w:t>
      Если уровень, до которого возможно затопление помещения в условиях нахождения судна в полном грузу, будет выше расположения органов управления, предусматривается возможность приведения их в действие с мест, находящихся выше этого уровня.</w:t>
      </w:r>
    </w:p>
    <w:bookmarkEnd w:id="9216"/>
    <w:bookmarkStart w:name="z9260" w:id="9217"/>
    <w:p>
      <w:pPr>
        <w:spacing w:after="0"/>
        <w:ind w:left="0"/>
        <w:jc w:val="both"/>
      </w:pPr>
      <w:r>
        <w:rPr>
          <w:rFonts w:ascii="Times New Roman"/>
          <w:b w:val="false"/>
          <w:i w:val="false"/>
          <w:color w:val="000000"/>
          <w:sz w:val="28"/>
        </w:rPr>
        <w:t>
      Полностью автоматизированные машинные помещения в отношении управления забортными приемными и отливными клапанами систем и трубопроводов главных и вспомогательных механизмов приравниваются к машинным помещениям с обслуживающим персоналом при условии, что предусмотрены устройства, сигнализирующие о поступлении воды в эти помещения.</w:t>
      </w:r>
    </w:p>
    <w:bookmarkEnd w:id="9217"/>
    <w:bookmarkStart w:name="z9261" w:id="9218"/>
    <w:p>
      <w:pPr>
        <w:spacing w:after="0"/>
        <w:ind w:left="0"/>
        <w:jc w:val="both"/>
      </w:pPr>
      <w:r>
        <w:rPr>
          <w:rFonts w:ascii="Times New Roman"/>
          <w:b w:val="false"/>
          <w:i w:val="false"/>
          <w:color w:val="000000"/>
          <w:sz w:val="28"/>
        </w:rPr>
        <w:t>
      3159. Донная и бортовая арматура устанавливаются на приварышах.</w:t>
      </w:r>
    </w:p>
    <w:bookmarkEnd w:id="9218"/>
    <w:bookmarkStart w:name="z9262" w:id="9219"/>
    <w:p>
      <w:pPr>
        <w:spacing w:after="0"/>
        <w:ind w:left="0"/>
        <w:jc w:val="both"/>
      </w:pPr>
      <w:r>
        <w:rPr>
          <w:rFonts w:ascii="Times New Roman"/>
          <w:b w:val="false"/>
          <w:i w:val="false"/>
          <w:color w:val="000000"/>
          <w:sz w:val="28"/>
        </w:rPr>
        <w:t>
      Допускается установка арматуры на приварных патрубках при условии, что они будут прямыми, будут обладать надлежащей жесткостью, имеют минимальную длину и защиту от контактной коррозии. Патрубки располагают в доступном месте для обслуживания и производства замеров толщин стенок в условиях эксплуатации. Применение фланцевых соединений типов D и Е (пункт 3051 настоящих Правил) не допускается. Исполнение соединений представляют Регистру судоходства для одобрения.</w:t>
      </w:r>
    </w:p>
    <w:bookmarkEnd w:id="9219"/>
    <w:bookmarkStart w:name="z9263" w:id="9220"/>
    <w:p>
      <w:pPr>
        <w:spacing w:after="0"/>
        <w:ind w:left="0"/>
        <w:jc w:val="both"/>
      </w:pPr>
      <w:r>
        <w:rPr>
          <w:rFonts w:ascii="Times New Roman"/>
          <w:b w:val="false"/>
          <w:i w:val="false"/>
          <w:color w:val="000000"/>
          <w:sz w:val="28"/>
        </w:rPr>
        <w:t>
      Толщина стенки патрубка определяется согласно пункту 353 настоящих Правил.</w:t>
      </w:r>
    </w:p>
    <w:bookmarkEnd w:id="9220"/>
    <w:bookmarkStart w:name="z9264" w:id="9221"/>
    <w:p>
      <w:pPr>
        <w:spacing w:after="0"/>
        <w:ind w:left="0"/>
        <w:jc w:val="both"/>
      </w:pPr>
      <w:r>
        <w:rPr>
          <w:rFonts w:ascii="Times New Roman"/>
          <w:b w:val="false"/>
          <w:i w:val="false"/>
          <w:color w:val="000000"/>
          <w:sz w:val="28"/>
        </w:rPr>
        <w:t>
      Отверстия под крепежные шпильки в приварышах не должны быть сквозными.</w:t>
      </w:r>
    </w:p>
    <w:bookmarkEnd w:id="9221"/>
    <w:bookmarkStart w:name="z9265" w:id="9222"/>
    <w:p>
      <w:pPr>
        <w:spacing w:after="0"/>
        <w:ind w:left="0"/>
        <w:jc w:val="both"/>
      </w:pPr>
      <w:r>
        <w:rPr>
          <w:rFonts w:ascii="Times New Roman"/>
          <w:b w:val="false"/>
          <w:i w:val="false"/>
          <w:color w:val="000000"/>
          <w:sz w:val="28"/>
        </w:rPr>
        <w:t>
      3160. Никакие детали донно-бортовой арматуры, устанавливаемой ниже палубы переборок, а также их уплотняющие прокладки не изготавливаются из материалов, легко разрушающихся при пожаре.</w:t>
      </w:r>
    </w:p>
    <w:bookmarkEnd w:id="9222"/>
    <w:bookmarkStart w:name="z9266" w:id="9223"/>
    <w:p>
      <w:pPr>
        <w:spacing w:after="0"/>
        <w:ind w:left="0"/>
        <w:jc w:val="both"/>
      </w:pPr>
      <w:r>
        <w:rPr>
          <w:rFonts w:ascii="Times New Roman"/>
          <w:b w:val="false"/>
          <w:i w:val="false"/>
          <w:color w:val="000000"/>
          <w:sz w:val="28"/>
        </w:rPr>
        <w:t>
      3161. Штоки и запорные детали донной и бортовой арматуры изготовляются из материалов, коррозионно-стойких к воздействию морской воды.</w:t>
      </w:r>
    </w:p>
    <w:bookmarkEnd w:id="9223"/>
    <w:bookmarkStart w:name="z9267" w:id="9224"/>
    <w:p>
      <w:pPr>
        <w:spacing w:after="0"/>
        <w:ind w:left="0"/>
        <w:jc w:val="both"/>
      </w:pPr>
      <w:r>
        <w:rPr>
          <w:rFonts w:ascii="Times New Roman"/>
          <w:b w:val="false"/>
          <w:i w:val="false"/>
          <w:color w:val="000000"/>
          <w:sz w:val="28"/>
        </w:rPr>
        <w:t xml:space="preserve">
      3162. Отверстия в наружной обшивке от мусоропроводов из помещений, расположенных ниже палубы надводного борта, должны быть обеспечены закрытиями, предотвращающими проникновение воды внутрь судна Средства закрытия должны отвечать требованиям </w:t>
      </w:r>
      <w:r>
        <w:rPr>
          <w:rFonts w:ascii="Times New Roman"/>
          <w:b w:val="false"/>
          <w:i w:val="false"/>
          <w:color w:val="000000"/>
          <w:sz w:val="28"/>
        </w:rPr>
        <w:t xml:space="preserve"> пункта 117</w:t>
      </w:r>
      <w:r>
        <w:rPr>
          <w:rFonts w:ascii="Times New Roman"/>
          <w:b w:val="false"/>
          <w:i w:val="false"/>
          <w:color w:val="000000"/>
          <w:sz w:val="28"/>
        </w:rPr>
        <w:t xml:space="preserve"> Правил о грузовой марке морских судов, утвержденных уполномоченным органом.</w:t>
      </w:r>
    </w:p>
    <w:bookmarkEnd w:id="9224"/>
    <w:bookmarkStart w:name="z9268" w:id="9225"/>
    <w:p>
      <w:pPr>
        <w:spacing w:after="0"/>
        <w:ind w:left="0"/>
        <w:jc w:val="left"/>
      </w:pPr>
      <w:r>
        <w:rPr>
          <w:rFonts w:ascii="Times New Roman"/>
          <w:b/>
          <w:i w:val="false"/>
          <w:color w:val="000000"/>
        </w:rPr>
        <w:t xml:space="preserve"> Глава 245. Автоматически действующие закрытия воздушных труб</w:t>
      </w:r>
    </w:p>
    <w:bookmarkEnd w:id="9225"/>
    <w:p>
      <w:pPr>
        <w:spacing w:after="0"/>
        <w:ind w:left="0"/>
        <w:jc w:val="both"/>
      </w:pPr>
      <w:r>
        <w:rPr>
          <w:rFonts w:ascii="Times New Roman"/>
          <w:b w:val="false"/>
          <w:i w:val="false"/>
          <w:color w:val="ff0000"/>
          <w:sz w:val="28"/>
        </w:rPr>
        <w:t xml:space="preserve">
      Сноска. Заголовок главы 245 -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69" w:id="9226"/>
    <w:p>
      <w:pPr>
        <w:spacing w:after="0"/>
        <w:ind w:left="0"/>
        <w:jc w:val="both"/>
      </w:pPr>
      <w:r>
        <w:rPr>
          <w:rFonts w:ascii="Times New Roman"/>
          <w:b w:val="false"/>
          <w:i w:val="false"/>
          <w:color w:val="000000"/>
          <w:sz w:val="28"/>
        </w:rPr>
        <w:t>
      3163. Необходимо чтобы автоматически действующие закрытия воздушных труб были самоосушающимися, имели надежные крепления, а также обеспечивали:</w:t>
      </w:r>
    </w:p>
    <w:bookmarkEnd w:id="9226"/>
    <w:bookmarkStart w:name="z9270" w:id="9227"/>
    <w:p>
      <w:pPr>
        <w:spacing w:after="0"/>
        <w:ind w:left="0"/>
        <w:jc w:val="both"/>
      </w:pPr>
      <w:r>
        <w:rPr>
          <w:rFonts w:ascii="Times New Roman"/>
          <w:b w:val="false"/>
          <w:i w:val="false"/>
          <w:color w:val="000000"/>
          <w:sz w:val="28"/>
        </w:rPr>
        <w:t>
      1) предотвращение свободного попадания воды в танк;</w:t>
      </w:r>
    </w:p>
    <w:bookmarkEnd w:id="9227"/>
    <w:bookmarkStart w:name="z9271" w:id="9228"/>
    <w:p>
      <w:pPr>
        <w:spacing w:after="0"/>
        <w:ind w:left="0"/>
        <w:jc w:val="both"/>
      </w:pPr>
      <w:r>
        <w:rPr>
          <w:rFonts w:ascii="Times New Roman"/>
          <w:b w:val="false"/>
          <w:i w:val="false"/>
          <w:color w:val="000000"/>
          <w:sz w:val="28"/>
        </w:rPr>
        <w:t>
      2) свободное истечение воздуха или жидкости из танка для предотвращения избыточного давления или вакуума в танке.</w:t>
      </w:r>
    </w:p>
    <w:bookmarkEnd w:id="9228"/>
    <w:bookmarkStart w:name="z9272" w:id="9229"/>
    <w:p>
      <w:pPr>
        <w:spacing w:after="0"/>
        <w:ind w:left="0"/>
        <w:jc w:val="both"/>
      </w:pPr>
      <w:r>
        <w:rPr>
          <w:rFonts w:ascii="Times New Roman"/>
          <w:b w:val="false"/>
          <w:i w:val="false"/>
          <w:color w:val="000000"/>
          <w:sz w:val="28"/>
        </w:rPr>
        <w:t>
      3164. Конструкция закрытия обеспечивает доступ для осмотра внутреннего пространства и замены уплотнений.</w:t>
      </w:r>
    </w:p>
    <w:bookmarkEnd w:id="9229"/>
    <w:bookmarkStart w:name="z9273" w:id="9230"/>
    <w:p>
      <w:pPr>
        <w:spacing w:after="0"/>
        <w:ind w:left="0"/>
        <w:jc w:val="both"/>
      </w:pPr>
      <w:r>
        <w:rPr>
          <w:rFonts w:ascii="Times New Roman"/>
          <w:b w:val="false"/>
          <w:i w:val="false"/>
          <w:color w:val="000000"/>
          <w:sz w:val="28"/>
        </w:rPr>
        <w:t>
      3165. В конструкции воздушных головок предусматриваются эффективные поплавковые уплотнения. Кроме уплотняющих элементов предусматриваются средства для предотвращения контакта поплавка с внутренней камерой при нормальной работе и предотвращения повреждений поплавка от ударов во время переполнения танка.</w:t>
      </w:r>
    </w:p>
    <w:bookmarkEnd w:id="9230"/>
    <w:bookmarkStart w:name="z9274" w:id="9231"/>
    <w:p>
      <w:pPr>
        <w:spacing w:after="0"/>
        <w:ind w:left="0"/>
        <w:jc w:val="both"/>
      </w:pPr>
      <w:r>
        <w:rPr>
          <w:rFonts w:ascii="Times New Roman"/>
          <w:b w:val="false"/>
          <w:i w:val="false"/>
          <w:color w:val="000000"/>
          <w:sz w:val="28"/>
        </w:rPr>
        <w:t>
      3166. Суммарная площадь свободного прохода автоматически действующих закрытий воздушных труб должна быть не менее площади прохода трубы.</w:t>
      </w:r>
    </w:p>
    <w:bookmarkEnd w:id="9231"/>
    <w:bookmarkStart w:name="z9275" w:id="9232"/>
    <w:p>
      <w:pPr>
        <w:spacing w:after="0"/>
        <w:ind w:left="0"/>
        <w:jc w:val="both"/>
      </w:pPr>
      <w:r>
        <w:rPr>
          <w:rFonts w:ascii="Times New Roman"/>
          <w:b w:val="false"/>
          <w:i w:val="false"/>
          <w:color w:val="000000"/>
          <w:sz w:val="28"/>
        </w:rPr>
        <w:t>
      3167. Автоматически действующие закрытия воздушных труб должны быть работоспособны при наклонениях судна до 40</w:t>
      </w:r>
      <w:r>
        <w:rPr>
          <w:rFonts w:ascii="Times New Roman"/>
          <w:b w:val="false"/>
          <w:i w:val="false"/>
          <w:color w:val="000000"/>
          <w:vertAlign w:val="superscript"/>
        </w:rPr>
        <w:t>o</w:t>
      </w:r>
      <w:r>
        <w:rPr>
          <w:rFonts w:ascii="Times New Roman"/>
          <w:b w:val="false"/>
          <w:i w:val="false"/>
          <w:color w:val="000000"/>
          <w:sz w:val="28"/>
        </w:rPr>
        <w:t>.</w:t>
      </w:r>
    </w:p>
    <w:bookmarkEnd w:id="9232"/>
    <w:bookmarkStart w:name="z9276" w:id="9233"/>
    <w:p>
      <w:pPr>
        <w:spacing w:after="0"/>
        <w:ind w:left="0"/>
        <w:jc w:val="both"/>
      </w:pPr>
      <w:r>
        <w:rPr>
          <w:rFonts w:ascii="Times New Roman"/>
          <w:b w:val="false"/>
          <w:i w:val="false"/>
          <w:color w:val="000000"/>
          <w:sz w:val="28"/>
        </w:rPr>
        <w:t>
      3168. При использовании автоматически действующих закрытий поплавкового типа предусматриваются направляющие для обеспечения их правильной работы при любых допустимых кренах и дифферентах судна.</w:t>
      </w:r>
    </w:p>
    <w:bookmarkEnd w:id="9233"/>
    <w:bookmarkStart w:name="z9277" w:id="9234"/>
    <w:p>
      <w:pPr>
        <w:spacing w:after="0"/>
        <w:ind w:left="0"/>
        <w:jc w:val="both"/>
      </w:pPr>
      <w:r>
        <w:rPr>
          <w:rFonts w:ascii="Times New Roman"/>
          <w:b w:val="false"/>
          <w:i w:val="false"/>
          <w:color w:val="000000"/>
          <w:sz w:val="28"/>
        </w:rPr>
        <w:t>
      3169. Допуск на толщину стенки поплавка не превышает 10 %.</w:t>
      </w:r>
    </w:p>
    <w:bookmarkEnd w:id="9234"/>
    <w:bookmarkStart w:name="z9278" w:id="9235"/>
    <w:p>
      <w:pPr>
        <w:spacing w:after="0"/>
        <w:ind w:left="0"/>
        <w:jc w:val="both"/>
      </w:pPr>
      <w:r>
        <w:rPr>
          <w:rFonts w:ascii="Times New Roman"/>
          <w:b w:val="false"/>
          <w:i w:val="false"/>
          <w:color w:val="000000"/>
          <w:sz w:val="28"/>
        </w:rPr>
        <w:t>
      3170. Корпус автоматически действующих закрытий воздушных труб изготавливается из металлических материалов с толщиной стенки не менее 6 мм, стойких к коррозии или имеющих антикоррозионное покрытие. Толщина горячего цинкового покрытия должна быть 70 — 100 микрон.</w:t>
      </w:r>
    </w:p>
    <w:bookmarkEnd w:id="9235"/>
    <w:bookmarkStart w:name="z9279" w:id="9236"/>
    <w:p>
      <w:pPr>
        <w:spacing w:after="0"/>
        <w:ind w:left="0"/>
        <w:jc w:val="both"/>
      </w:pPr>
      <w:r>
        <w:rPr>
          <w:rFonts w:ascii="Times New Roman"/>
          <w:b w:val="false"/>
          <w:i w:val="false"/>
          <w:color w:val="000000"/>
          <w:sz w:val="28"/>
        </w:rPr>
        <w:t>
      3171. В местах, подверженных эрозии от воздействия балластной воды во время переполнения танка (например, область внутри корпуса, расположенная непосредственно над трубой и +10</w:t>
      </w:r>
      <w:r>
        <w:rPr>
          <w:rFonts w:ascii="Times New Roman"/>
          <w:b w:val="false"/>
          <w:i w:val="false"/>
          <w:color w:val="000000"/>
          <w:vertAlign w:val="superscript"/>
        </w:rPr>
        <w:t>o</w:t>
      </w:r>
      <w:r>
        <w:rPr>
          <w:rFonts w:ascii="Times New Roman"/>
          <w:b w:val="false"/>
          <w:i w:val="false"/>
          <w:color w:val="000000"/>
          <w:sz w:val="28"/>
        </w:rPr>
        <w:t xml:space="preserve"> в каждую сторону), предусматривается дополнительная защита от эрозии. Такую защиту допускается выполнять, например, в виде алюминиевой пластины, закрепленной поверх цинкового покрытия эпоксидным клеем или другой аналогичной конструкции.</w:t>
      </w:r>
    </w:p>
    <w:bookmarkEnd w:id="9236"/>
    <w:bookmarkStart w:name="z9280" w:id="9237"/>
    <w:p>
      <w:pPr>
        <w:spacing w:after="0"/>
        <w:ind w:left="0"/>
        <w:jc w:val="both"/>
      </w:pPr>
      <w:r>
        <w:rPr>
          <w:rFonts w:ascii="Times New Roman"/>
          <w:b w:val="false"/>
          <w:i w:val="false"/>
          <w:color w:val="000000"/>
          <w:sz w:val="28"/>
        </w:rPr>
        <w:t xml:space="preserve">
      3172. Необходимо чтобы элементы закрытий, выполненные из неметаллических материалов, были совместимы со средой, содержащейся в танке, и пригодны для работы при температуре от — 25 до +85 </w:t>
      </w:r>
      <w:r>
        <w:rPr>
          <w:rFonts w:ascii="Times New Roman"/>
          <w:b w:val="false"/>
          <w:i w:val="false"/>
          <w:color w:val="000000"/>
          <w:vertAlign w:val="superscript"/>
        </w:rPr>
        <w:t>o</w:t>
      </w:r>
      <w:r>
        <w:rPr>
          <w:rFonts w:ascii="Times New Roman"/>
          <w:b w:val="false"/>
          <w:i w:val="false"/>
          <w:color w:val="000000"/>
          <w:sz w:val="28"/>
        </w:rPr>
        <w:t>С.</w:t>
      </w:r>
    </w:p>
    <w:bookmarkEnd w:id="9237"/>
    <w:bookmarkStart w:name="z9281" w:id="9238"/>
    <w:p>
      <w:pPr>
        <w:spacing w:after="0"/>
        <w:ind w:left="0"/>
        <w:jc w:val="both"/>
      </w:pPr>
      <w:r>
        <w:rPr>
          <w:rFonts w:ascii="Times New Roman"/>
          <w:b w:val="false"/>
          <w:i w:val="false"/>
          <w:color w:val="000000"/>
          <w:sz w:val="28"/>
        </w:rPr>
        <w:t>
      3173. Необходимо чтобы автоматически действующие закрытия воздушных труб были одобренного типа и минимальный объем испытаний отвечал требованиям главы 341 настоящих Правил.</w:t>
      </w:r>
    </w:p>
    <w:bookmarkEnd w:id="9238"/>
    <w:bookmarkStart w:name="z9282" w:id="9239"/>
    <w:p>
      <w:pPr>
        <w:spacing w:after="0"/>
        <w:ind w:left="0"/>
        <w:jc w:val="left"/>
      </w:pPr>
      <w:r>
        <w:rPr>
          <w:rFonts w:ascii="Times New Roman"/>
          <w:b/>
          <w:i w:val="false"/>
          <w:color w:val="000000"/>
        </w:rPr>
        <w:t xml:space="preserve"> Подраздел 5. Прокладка трубопроводов</w:t>
      </w:r>
      <w:r>
        <w:br/>
      </w:r>
      <w:r>
        <w:rPr>
          <w:rFonts w:ascii="Times New Roman"/>
          <w:b/>
          <w:i w:val="false"/>
          <w:color w:val="000000"/>
        </w:rPr>
        <w:t>Глава 246. Прокладка трубопроводов через водонепроницаемые и огнестойкие конструкции</w:t>
      </w:r>
    </w:p>
    <w:bookmarkEnd w:id="9239"/>
    <w:p>
      <w:pPr>
        <w:spacing w:after="0"/>
        <w:ind w:left="0"/>
        <w:jc w:val="both"/>
      </w:pPr>
      <w:r>
        <w:rPr>
          <w:rFonts w:ascii="Times New Roman"/>
          <w:b w:val="false"/>
          <w:i w:val="false"/>
          <w:color w:val="ff0000"/>
          <w:sz w:val="28"/>
        </w:rPr>
        <w:t xml:space="preserve">
      Сноска. Заголовок главы 246 -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84" w:id="9240"/>
    <w:p>
      <w:pPr>
        <w:spacing w:after="0"/>
        <w:ind w:left="0"/>
        <w:jc w:val="both"/>
      </w:pPr>
      <w:r>
        <w:rPr>
          <w:rFonts w:ascii="Times New Roman"/>
          <w:b w:val="false"/>
          <w:i w:val="false"/>
          <w:color w:val="000000"/>
          <w:sz w:val="28"/>
        </w:rPr>
        <w:t>
      3174. Число проходов трубопроводов через водонепроницаемые переборки должно быть минимальным.</w:t>
      </w:r>
    </w:p>
    <w:bookmarkEnd w:id="9240"/>
    <w:bookmarkStart w:name="z9285" w:id="9241"/>
    <w:p>
      <w:pPr>
        <w:spacing w:after="0"/>
        <w:ind w:left="0"/>
        <w:jc w:val="both"/>
      </w:pPr>
      <w:r>
        <w:rPr>
          <w:rFonts w:ascii="Times New Roman"/>
          <w:b w:val="false"/>
          <w:i w:val="false"/>
          <w:color w:val="000000"/>
          <w:sz w:val="28"/>
        </w:rPr>
        <w:t>
      Трубопроводы, проходящие через главные водонепроницаемые переборки, как правило, располагаются от борта на расстоянии не менее 1/5 ширины судна (пункт 3246 настоящих Правил).</w:t>
      </w:r>
    </w:p>
    <w:bookmarkEnd w:id="9241"/>
    <w:bookmarkStart w:name="z9286" w:id="9242"/>
    <w:p>
      <w:pPr>
        <w:spacing w:after="0"/>
        <w:ind w:left="0"/>
        <w:jc w:val="both"/>
      </w:pPr>
      <w:r>
        <w:rPr>
          <w:rFonts w:ascii="Times New Roman"/>
          <w:b w:val="false"/>
          <w:i w:val="false"/>
          <w:color w:val="000000"/>
          <w:sz w:val="28"/>
        </w:rPr>
        <w:t>
      Если это условие не выполняется, принимаются меры, предотвращающие распространение забортной воды из поврежденного отсека в другие непроницаемые отсеки и цистерны при аварийном повреждении корпуса судна и разрушении труб.</w:t>
      </w:r>
    </w:p>
    <w:bookmarkEnd w:id="9242"/>
    <w:bookmarkStart w:name="z9287" w:id="9243"/>
    <w:p>
      <w:pPr>
        <w:spacing w:after="0"/>
        <w:ind w:left="0"/>
        <w:jc w:val="both"/>
      </w:pPr>
      <w:r>
        <w:rPr>
          <w:rFonts w:ascii="Times New Roman"/>
          <w:b w:val="false"/>
          <w:i w:val="false"/>
          <w:color w:val="000000"/>
          <w:sz w:val="28"/>
        </w:rPr>
        <w:t>
      3175. На пассажирских судах и судах специального назначения допускается чтобы через таранную переборку ниже палубы переборок проходиль только один трубопровод для операций с жидкостью, находящейся в форпике.</w:t>
      </w:r>
    </w:p>
    <w:bookmarkEnd w:id="9243"/>
    <w:bookmarkStart w:name="z9288" w:id="9244"/>
    <w:p>
      <w:pPr>
        <w:spacing w:after="0"/>
        <w:ind w:left="0"/>
        <w:jc w:val="both"/>
      </w:pPr>
      <w:r>
        <w:rPr>
          <w:rFonts w:ascii="Times New Roman"/>
          <w:b w:val="false"/>
          <w:i w:val="false"/>
          <w:color w:val="000000"/>
          <w:sz w:val="28"/>
        </w:rPr>
        <w:t>
      Если форпик разделен продольной переборкой на два водонепроницаемых отсека, то в каждом из них допускается устанавливать по одному приемному отростку трубопровода.</w:t>
      </w:r>
    </w:p>
    <w:bookmarkEnd w:id="9244"/>
    <w:bookmarkStart w:name="z9289" w:id="9245"/>
    <w:p>
      <w:pPr>
        <w:spacing w:after="0"/>
        <w:ind w:left="0"/>
        <w:jc w:val="both"/>
      </w:pPr>
      <w:r>
        <w:rPr>
          <w:rFonts w:ascii="Times New Roman"/>
          <w:b w:val="false"/>
          <w:i w:val="false"/>
          <w:color w:val="000000"/>
          <w:sz w:val="28"/>
        </w:rPr>
        <w:t>
      На каждом трубопроводе, проходящем через таранную переборку, устанавливается запорный клапан непосредственно на таранной переборке со стороны форпика, управляемый из легкодоступного места с палубы переборок.</w:t>
      </w:r>
    </w:p>
    <w:bookmarkEnd w:id="9245"/>
    <w:bookmarkStart w:name="z9290" w:id="9246"/>
    <w:p>
      <w:pPr>
        <w:spacing w:after="0"/>
        <w:ind w:left="0"/>
        <w:jc w:val="both"/>
      </w:pPr>
      <w:r>
        <w:rPr>
          <w:rFonts w:ascii="Times New Roman"/>
          <w:b w:val="false"/>
          <w:i w:val="false"/>
          <w:color w:val="000000"/>
          <w:sz w:val="28"/>
        </w:rPr>
        <w:t>
      На судах специального назначения длиной не более 50 м по согласованию с Регистром судоходства в отношении прохода трубопроводов через таранную переборку допускается распространять требования, относящиеся к грузовым судам.</w:t>
      </w:r>
    </w:p>
    <w:bookmarkEnd w:id="9246"/>
    <w:bookmarkStart w:name="z9291" w:id="9247"/>
    <w:p>
      <w:pPr>
        <w:spacing w:after="0"/>
        <w:ind w:left="0"/>
        <w:jc w:val="both"/>
      </w:pPr>
      <w:r>
        <w:rPr>
          <w:rFonts w:ascii="Times New Roman"/>
          <w:b w:val="false"/>
          <w:i w:val="false"/>
          <w:color w:val="000000"/>
          <w:sz w:val="28"/>
        </w:rPr>
        <w:t>
      3176. На каждом трубопроводе, проходящем через таранную переборку грузовых судов, устанавливается запорный клапан непосредственно на таранной переборке со стороны форпика.</w:t>
      </w:r>
    </w:p>
    <w:bookmarkEnd w:id="9247"/>
    <w:bookmarkStart w:name="z9292" w:id="9248"/>
    <w:p>
      <w:pPr>
        <w:spacing w:after="0"/>
        <w:ind w:left="0"/>
        <w:jc w:val="both"/>
      </w:pPr>
      <w:r>
        <w:rPr>
          <w:rFonts w:ascii="Times New Roman"/>
          <w:b w:val="false"/>
          <w:i w:val="false"/>
          <w:color w:val="000000"/>
          <w:sz w:val="28"/>
        </w:rPr>
        <w:t>
      Этот клапан допускается также устанавливать на таранной переборке вне форпика при условии, что он не будет расположен в грузовом помещении.</w:t>
      </w:r>
    </w:p>
    <w:bookmarkEnd w:id="9248"/>
    <w:bookmarkStart w:name="z9293" w:id="9249"/>
    <w:p>
      <w:pPr>
        <w:spacing w:after="0"/>
        <w:ind w:left="0"/>
        <w:jc w:val="both"/>
      </w:pPr>
      <w:r>
        <w:rPr>
          <w:rFonts w:ascii="Times New Roman"/>
          <w:b w:val="false"/>
          <w:i w:val="false"/>
          <w:color w:val="000000"/>
          <w:sz w:val="28"/>
        </w:rPr>
        <w:t>
      Приведение в действие органов управления этими клапанами предусматривается с мест, расположенных выше палубы переборок для судов, получающих в символе класса знак деления на отсеки, или выше палубы надводного борта для всех прочих судов.</w:t>
      </w:r>
    </w:p>
    <w:bookmarkEnd w:id="9249"/>
    <w:bookmarkStart w:name="z9294" w:id="9250"/>
    <w:p>
      <w:pPr>
        <w:spacing w:after="0"/>
        <w:ind w:left="0"/>
        <w:jc w:val="both"/>
      </w:pPr>
      <w:r>
        <w:rPr>
          <w:rFonts w:ascii="Times New Roman"/>
          <w:b w:val="false"/>
          <w:i w:val="false"/>
          <w:color w:val="000000"/>
          <w:sz w:val="28"/>
        </w:rPr>
        <w:t>
      На трубопроводах, проходящих через таранную переборку выше палубы переборок или палубы надводного борта, запорный клапан допускается не устанавливать.</w:t>
      </w:r>
    </w:p>
    <w:bookmarkEnd w:id="9250"/>
    <w:bookmarkStart w:name="z9295" w:id="9251"/>
    <w:p>
      <w:pPr>
        <w:spacing w:after="0"/>
        <w:ind w:left="0"/>
        <w:jc w:val="both"/>
      </w:pPr>
      <w:r>
        <w:rPr>
          <w:rFonts w:ascii="Times New Roman"/>
          <w:b w:val="false"/>
          <w:i w:val="false"/>
          <w:color w:val="000000"/>
          <w:sz w:val="28"/>
        </w:rPr>
        <w:t>
      3177. Прокладка трубопроводов через водонепроницаемые переборки, палубы и другие водонепроницаемые конструкции выполняется с применением переборочных стаканов, приварышей или иных соединений, обеспечивающих непроницаемость конструкции.</w:t>
      </w:r>
    </w:p>
    <w:bookmarkEnd w:id="9251"/>
    <w:bookmarkStart w:name="z9296" w:id="9252"/>
    <w:p>
      <w:pPr>
        <w:spacing w:after="0"/>
        <w:ind w:left="0"/>
        <w:jc w:val="both"/>
      </w:pPr>
      <w:r>
        <w:rPr>
          <w:rFonts w:ascii="Times New Roman"/>
          <w:b w:val="false"/>
          <w:i w:val="false"/>
          <w:color w:val="000000"/>
          <w:sz w:val="28"/>
        </w:rPr>
        <w:t>
      Отверстия под крепежные шпильки не проходят насквозь через водонепроницаемые конструкции, а заканчиваются в наварыше.</w:t>
      </w:r>
    </w:p>
    <w:bookmarkEnd w:id="9252"/>
    <w:bookmarkStart w:name="z9297" w:id="9253"/>
    <w:p>
      <w:pPr>
        <w:spacing w:after="0"/>
        <w:ind w:left="0"/>
        <w:jc w:val="both"/>
      </w:pPr>
      <w:r>
        <w:rPr>
          <w:rFonts w:ascii="Times New Roman"/>
          <w:b w:val="false"/>
          <w:i w:val="false"/>
          <w:color w:val="000000"/>
          <w:sz w:val="28"/>
        </w:rPr>
        <w:t>
      Не допускается применять прокладки из свинца или из материалов, легко разрушающихся при пожаре.</w:t>
      </w:r>
    </w:p>
    <w:bookmarkEnd w:id="9253"/>
    <w:bookmarkStart w:name="z9298" w:id="9254"/>
    <w:p>
      <w:pPr>
        <w:spacing w:after="0"/>
        <w:ind w:left="0"/>
        <w:jc w:val="both"/>
      </w:pPr>
      <w:r>
        <w:rPr>
          <w:rFonts w:ascii="Times New Roman"/>
          <w:b w:val="false"/>
          <w:i w:val="false"/>
          <w:color w:val="000000"/>
          <w:sz w:val="28"/>
        </w:rPr>
        <w:t>
      Стаканы, привариваемые к водонепроницаемым палубам и переборкам, имеют толщину стенки, как минимум, на 1,5 мм больше толщины присоединяемых труб.</w:t>
      </w:r>
    </w:p>
    <w:bookmarkEnd w:id="9254"/>
    <w:bookmarkStart w:name="z9299" w:id="9255"/>
    <w:p>
      <w:pPr>
        <w:spacing w:after="0"/>
        <w:ind w:left="0"/>
        <w:jc w:val="both"/>
      </w:pPr>
      <w:r>
        <w:rPr>
          <w:rFonts w:ascii="Times New Roman"/>
          <w:b w:val="false"/>
          <w:i w:val="false"/>
          <w:color w:val="000000"/>
          <w:sz w:val="28"/>
        </w:rPr>
        <w:t>
      Приварка переборочных муфт или стаканов для прохода трубопроводов через водонепроницаемые палубы и переборки выполняется, как правило, встык с полным проваром. Допускается применение нахлесточных или угловых сварных швов в том случае, если герметичность обеспечивается двумя сварными швами (с двух сторон переборки).</w:t>
      </w:r>
    </w:p>
    <w:bookmarkEnd w:id="9255"/>
    <w:bookmarkStart w:name="z9300" w:id="9256"/>
    <w:p>
      <w:pPr>
        <w:spacing w:after="0"/>
        <w:ind w:left="0"/>
        <w:jc w:val="both"/>
      </w:pPr>
      <w:r>
        <w:rPr>
          <w:rFonts w:ascii="Times New Roman"/>
          <w:b w:val="false"/>
          <w:i w:val="false"/>
          <w:color w:val="000000"/>
          <w:sz w:val="28"/>
        </w:rPr>
        <w:t>
      3178. При проходе труб из пластмасс через водонепроницаемые переборки и палубы, ограничивающие водонепроницаемые отсеки, в местах прохода этих труб устанавливаются клапаны с приводом, выведенным выше палубы переборок.</w:t>
      </w:r>
    </w:p>
    <w:bookmarkEnd w:id="9256"/>
    <w:bookmarkStart w:name="z9301" w:id="9257"/>
    <w:p>
      <w:pPr>
        <w:spacing w:after="0"/>
        <w:ind w:left="0"/>
        <w:jc w:val="both"/>
      </w:pPr>
      <w:r>
        <w:rPr>
          <w:rFonts w:ascii="Times New Roman"/>
          <w:b w:val="false"/>
          <w:i w:val="false"/>
          <w:color w:val="000000"/>
          <w:sz w:val="28"/>
        </w:rPr>
        <w:t>
      Клапаны изготавливают из стали или из другого, равноценного по огнестойкости материала.</w:t>
      </w:r>
    </w:p>
    <w:bookmarkEnd w:id="9257"/>
    <w:bookmarkStart w:name="z9302" w:id="9258"/>
    <w:p>
      <w:pPr>
        <w:spacing w:after="0"/>
        <w:ind w:left="0"/>
        <w:jc w:val="both"/>
      </w:pPr>
      <w:r>
        <w:rPr>
          <w:rFonts w:ascii="Times New Roman"/>
          <w:b w:val="false"/>
          <w:i w:val="false"/>
          <w:color w:val="000000"/>
          <w:sz w:val="28"/>
        </w:rPr>
        <w:t>
      Это требование не распространяется на трубы балластной системы, прокладываемые внутри междудонного пространства.</w:t>
      </w:r>
    </w:p>
    <w:bookmarkEnd w:id="9258"/>
    <w:bookmarkStart w:name="z9303" w:id="9259"/>
    <w:p>
      <w:pPr>
        <w:spacing w:after="0"/>
        <w:ind w:left="0"/>
        <w:jc w:val="both"/>
      </w:pPr>
      <w:r>
        <w:rPr>
          <w:rFonts w:ascii="Times New Roman"/>
          <w:b w:val="false"/>
          <w:i w:val="false"/>
          <w:color w:val="000000"/>
          <w:sz w:val="28"/>
        </w:rPr>
        <w:t>
      3179. При проходе трубопроводов через противопожарные конструкции выполняются требования пункта 2168 настоящих Правил.</w:t>
      </w:r>
    </w:p>
    <w:bookmarkEnd w:id="9259"/>
    <w:bookmarkStart w:name="z9304" w:id="9260"/>
    <w:p>
      <w:pPr>
        <w:spacing w:after="0"/>
        <w:ind w:left="0"/>
        <w:jc w:val="both"/>
      </w:pPr>
      <w:r>
        <w:rPr>
          <w:rFonts w:ascii="Times New Roman"/>
          <w:b w:val="false"/>
          <w:i w:val="false"/>
          <w:color w:val="000000"/>
          <w:sz w:val="28"/>
        </w:rPr>
        <w:t>
      3180. В месте прохода пластмассовой трубы через переборку главной противопожарной вертикальной зоны устанавливается переборочный стальной стакан и клапан с приводом для закрытия с обеих сторон переборок. Клапаны изготавливаются из стали или из другого, равноценного по огнестойкости материала.</w:t>
      </w:r>
    </w:p>
    <w:bookmarkEnd w:id="9260"/>
    <w:bookmarkStart w:name="z9305" w:id="9261"/>
    <w:p>
      <w:pPr>
        <w:spacing w:after="0"/>
        <w:ind w:left="0"/>
        <w:jc w:val="both"/>
      </w:pPr>
      <w:r>
        <w:rPr>
          <w:rFonts w:ascii="Times New Roman"/>
          <w:b w:val="false"/>
          <w:i w:val="false"/>
          <w:color w:val="000000"/>
          <w:sz w:val="28"/>
        </w:rPr>
        <w:t>
      3181. Конструкция прохода и уплотнение пучковых труб через переборочный стакан является предметом специального рассмотрения Регистром судоходства. Для заполнения переборочных стаканов в водонепроницаемых переборках и палубах применяются уплотнительные массы, обладающие хорошим сцеплением с металлом труб и стаканов, стойкие к вибрации и воздействию воды и нефтепродуктов, не дающие усадок и нарушений герметичности при длительной эксплуатации в условиях, оговоренных в пункте 2685 настоящих Правил. Уплотнения прохода пучковых труб через противопожарные переборки должны быть такими, чтобы выдержать стандартное испытание на огнестойкость, предусмотренное для переборки данного типа в пункте 2168 настоящих Правил.</w:t>
      </w:r>
    </w:p>
    <w:bookmarkEnd w:id="9261"/>
    <w:bookmarkStart w:name="z9306" w:id="9262"/>
    <w:p>
      <w:pPr>
        <w:spacing w:after="0"/>
        <w:ind w:left="0"/>
        <w:jc w:val="left"/>
      </w:pPr>
      <w:r>
        <w:rPr>
          <w:rFonts w:ascii="Times New Roman"/>
          <w:b/>
          <w:i w:val="false"/>
          <w:color w:val="000000"/>
        </w:rPr>
        <w:t xml:space="preserve"> Глава 247. Прокладка трубопроводов в цистернах</w:t>
      </w:r>
    </w:p>
    <w:bookmarkEnd w:id="9262"/>
    <w:p>
      <w:pPr>
        <w:spacing w:after="0"/>
        <w:ind w:left="0"/>
        <w:jc w:val="both"/>
      </w:pPr>
      <w:r>
        <w:rPr>
          <w:rFonts w:ascii="Times New Roman"/>
          <w:b w:val="false"/>
          <w:i w:val="false"/>
          <w:color w:val="ff0000"/>
          <w:sz w:val="28"/>
        </w:rPr>
        <w:t xml:space="preserve">
      Сноска. Заголовок главы 247 -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07" w:id="9263"/>
    <w:p>
      <w:pPr>
        <w:spacing w:after="0"/>
        <w:ind w:left="0"/>
        <w:jc w:val="both"/>
      </w:pPr>
      <w:r>
        <w:rPr>
          <w:rFonts w:ascii="Times New Roman"/>
          <w:b w:val="false"/>
          <w:i w:val="false"/>
          <w:color w:val="000000"/>
          <w:sz w:val="28"/>
        </w:rPr>
        <w:t>
      3182. Прокладка осушительных трубопроводов, трубопроводов питьевой и питательной воды через цистерны топлива и масла, а также прокладка топливных и масляных трубопроводов через цистерны питьевой и питательной воды допускается только в нефтенепроницаемых туннелях, являющихся конструктивной частью цистерн.</w:t>
      </w:r>
    </w:p>
    <w:bookmarkEnd w:id="9263"/>
    <w:bookmarkStart w:name="z9308" w:id="9264"/>
    <w:p>
      <w:pPr>
        <w:spacing w:after="0"/>
        <w:ind w:left="0"/>
        <w:jc w:val="both"/>
      </w:pPr>
      <w:r>
        <w:rPr>
          <w:rFonts w:ascii="Times New Roman"/>
          <w:b w:val="false"/>
          <w:i w:val="false"/>
          <w:color w:val="000000"/>
          <w:sz w:val="28"/>
        </w:rPr>
        <w:t>
      Бестуннельная прокладка трубопроводов забортной воды и масла, а также воздушных, переливных и измерительных труб через цистерны топлива допускается при условии применения бесшовных труб, не имеющих разъемных соединений внутри этих цистерн; если разъемных соединений избежать нельзя, они должны быть фланцевыми с нефтестойкими прокладками.</w:t>
      </w:r>
    </w:p>
    <w:bookmarkEnd w:id="9264"/>
    <w:bookmarkStart w:name="z9309" w:id="9265"/>
    <w:p>
      <w:pPr>
        <w:spacing w:after="0"/>
        <w:ind w:left="0"/>
        <w:jc w:val="both"/>
      </w:pPr>
      <w:r>
        <w:rPr>
          <w:rFonts w:ascii="Times New Roman"/>
          <w:b w:val="false"/>
          <w:i w:val="false"/>
          <w:color w:val="000000"/>
          <w:sz w:val="28"/>
        </w:rPr>
        <w:t>
      3183. При бестуннельной прокладке трубопроводов через цистерны, если необходима компенсация тепловых расширений, предусматриваются изгибы самих труб в пределах цистерн.</w:t>
      </w:r>
    </w:p>
    <w:bookmarkEnd w:id="9265"/>
    <w:bookmarkStart w:name="z9310" w:id="9266"/>
    <w:p>
      <w:pPr>
        <w:spacing w:after="0"/>
        <w:ind w:left="0"/>
        <w:jc w:val="both"/>
      </w:pPr>
      <w:r>
        <w:rPr>
          <w:rFonts w:ascii="Times New Roman"/>
          <w:b w:val="false"/>
          <w:i w:val="false"/>
          <w:color w:val="000000"/>
          <w:sz w:val="28"/>
        </w:rPr>
        <w:t>
      При прокладке трубопроводов в туннелях компенсаторы рекомендуется располагать вне туннеля.</w:t>
      </w:r>
    </w:p>
    <w:bookmarkEnd w:id="9266"/>
    <w:bookmarkStart w:name="z9311" w:id="9267"/>
    <w:p>
      <w:pPr>
        <w:spacing w:after="0"/>
        <w:ind w:left="0"/>
        <w:jc w:val="both"/>
      </w:pPr>
      <w:r>
        <w:rPr>
          <w:rFonts w:ascii="Times New Roman"/>
          <w:b w:val="false"/>
          <w:i w:val="false"/>
          <w:color w:val="000000"/>
          <w:sz w:val="28"/>
        </w:rPr>
        <w:t>
      3184. Необходимо чтобы прокладка трубопроводов на нефтеналивных судах отвечала требованиям главы 269 настоящих Правил.</w:t>
      </w:r>
    </w:p>
    <w:bookmarkEnd w:id="9267"/>
    <w:bookmarkStart w:name="z9312" w:id="9268"/>
    <w:p>
      <w:pPr>
        <w:spacing w:after="0"/>
        <w:ind w:left="0"/>
        <w:jc w:val="left"/>
      </w:pPr>
      <w:r>
        <w:rPr>
          <w:rFonts w:ascii="Times New Roman"/>
          <w:b/>
          <w:i w:val="false"/>
          <w:color w:val="000000"/>
        </w:rPr>
        <w:t xml:space="preserve"> Глава 248. Прокладка трубопроводов в грузовых трюмах и других помещениях</w:t>
      </w:r>
    </w:p>
    <w:bookmarkEnd w:id="9268"/>
    <w:p>
      <w:pPr>
        <w:spacing w:after="0"/>
        <w:ind w:left="0"/>
        <w:jc w:val="both"/>
      </w:pPr>
      <w:r>
        <w:rPr>
          <w:rFonts w:ascii="Times New Roman"/>
          <w:b w:val="false"/>
          <w:i w:val="false"/>
          <w:color w:val="ff0000"/>
          <w:sz w:val="28"/>
        </w:rPr>
        <w:t xml:space="preserve">
      Сноска. Заголовок главы 248 -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13" w:id="9269"/>
    <w:p>
      <w:pPr>
        <w:spacing w:after="0"/>
        <w:ind w:left="0"/>
        <w:jc w:val="both"/>
      </w:pPr>
      <w:r>
        <w:rPr>
          <w:rFonts w:ascii="Times New Roman"/>
          <w:b w:val="false"/>
          <w:i w:val="false"/>
          <w:color w:val="000000"/>
          <w:sz w:val="28"/>
        </w:rPr>
        <w:t>
      3185. Крепление трубопроводов осуществляется таким образом, чтобы оно не являлось причиной возникновения в них чрезмерных напряжений от тепловых расширений и деформации корпуса, а также вибрации.</w:t>
      </w:r>
    </w:p>
    <w:bookmarkEnd w:id="9269"/>
    <w:bookmarkStart w:name="z9314" w:id="9270"/>
    <w:p>
      <w:pPr>
        <w:spacing w:after="0"/>
        <w:ind w:left="0"/>
        <w:jc w:val="both"/>
      </w:pPr>
      <w:r>
        <w:rPr>
          <w:rFonts w:ascii="Times New Roman"/>
          <w:b w:val="false"/>
          <w:i w:val="false"/>
          <w:color w:val="000000"/>
          <w:sz w:val="28"/>
        </w:rPr>
        <w:t>
      3183. Трубопроводы, проходящие в грузовых трюмах, цепных ящиках и других помещениях, в которых возможно они подвергаются механическим повреждениям, соответствующим образом защищают.</w:t>
      </w:r>
    </w:p>
    <w:bookmarkEnd w:id="9270"/>
    <w:bookmarkStart w:name="z9315" w:id="9271"/>
    <w:p>
      <w:pPr>
        <w:spacing w:after="0"/>
        <w:ind w:left="0"/>
        <w:jc w:val="both"/>
      </w:pPr>
      <w:r>
        <w:rPr>
          <w:rFonts w:ascii="Times New Roman"/>
          <w:b w:val="false"/>
          <w:i w:val="false"/>
          <w:color w:val="000000"/>
          <w:sz w:val="28"/>
        </w:rPr>
        <w:t>
      3186. Прокладка топливных, паровых и водяных трубопроводов, а также напорных трубопроводов гидравлических приводов, за исключением осушительных, в сухогрузных трюмах, как правило, не допускается.</w:t>
      </w:r>
    </w:p>
    <w:bookmarkEnd w:id="9271"/>
    <w:bookmarkStart w:name="z9316" w:id="9272"/>
    <w:p>
      <w:pPr>
        <w:spacing w:after="0"/>
        <w:ind w:left="0"/>
        <w:jc w:val="both"/>
      </w:pPr>
      <w:r>
        <w:rPr>
          <w:rFonts w:ascii="Times New Roman"/>
          <w:b w:val="false"/>
          <w:i w:val="false"/>
          <w:color w:val="000000"/>
          <w:sz w:val="28"/>
        </w:rPr>
        <w:t>
      В особых случаях, которые являются предметом специального рассмотрения Регистром судоходства, прокладка этих трубопроводов допускается в специальных туннелях или без туннелей, при условии применения труб с утолщенными стенками и защиты их стальными кожухами прочной конструкции.</w:t>
      </w:r>
    </w:p>
    <w:bookmarkEnd w:id="9272"/>
    <w:bookmarkStart w:name="z9317" w:id="9273"/>
    <w:p>
      <w:pPr>
        <w:spacing w:after="0"/>
        <w:ind w:left="0"/>
        <w:jc w:val="both"/>
      </w:pPr>
      <w:r>
        <w:rPr>
          <w:rFonts w:ascii="Times New Roman"/>
          <w:b w:val="false"/>
          <w:i w:val="false"/>
          <w:color w:val="000000"/>
          <w:sz w:val="28"/>
        </w:rPr>
        <w:t>
      3187. Паропроводы не прокладываются в малярных и других помещениях, предназначенных для перевозки и хранения легковоспламеняющихся материалов.</w:t>
      </w:r>
    </w:p>
    <w:bookmarkEnd w:id="9273"/>
    <w:bookmarkStart w:name="z9318" w:id="9274"/>
    <w:p>
      <w:pPr>
        <w:spacing w:after="0"/>
        <w:ind w:left="0"/>
        <w:jc w:val="both"/>
      </w:pPr>
      <w:r>
        <w:rPr>
          <w:rFonts w:ascii="Times New Roman"/>
          <w:b w:val="false"/>
          <w:i w:val="false"/>
          <w:color w:val="000000"/>
          <w:sz w:val="28"/>
        </w:rPr>
        <w:t>
      3188. Топливные трубопроводы не прокладываются через жилые и служебные помещения, а также под зашивкой. Исключение составляют топливный трубопровод аварийного дизель-генератора и трубопроводы приема топлива, которые допускается прокладывать через санитарные помещения при использовании труб толщиной не менее 5 мм и отсутствии разъемных соединений.</w:t>
      </w:r>
    </w:p>
    <w:bookmarkEnd w:id="9274"/>
    <w:bookmarkStart w:name="z9319" w:id="9275"/>
    <w:p>
      <w:pPr>
        <w:spacing w:after="0"/>
        <w:ind w:left="0"/>
        <w:jc w:val="both"/>
      </w:pPr>
      <w:r>
        <w:rPr>
          <w:rFonts w:ascii="Times New Roman"/>
          <w:b w:val="false"/>
          <w:i w:val="false"/>
          <w:color w:val="000000"/>
          <w:sz w:val="28"/>
        </w:rPr>
        <w:t>
      3189. Трубопроводы, имеющие большую протяженность вдоль судна, а также проводящие горячие среды оборудуются компенсаторами или имеют достаточное число погибов, обеспечивающих самокомпенсацию трубопровода.</w:t>
      </w:r>
    </w:p>
    <w:bookmarkEnd w:id="9275"/>
    <w:bookmarkStart w:name="z9320" w:id="9276"/>
    <w:p>
      <w:pPr>
        <w:spacing w:after="0"/>
        <w:ind w:left="0"/>
        <w:jc w:val="both"/>
      </w:pPr>
      <w:r>
        <w:rPr>
          <w:rFonts w:ascii="Times New Roman"/>
          <w:b w:val="false"/>
          <w:i w:val="false"/>
          <w:color w:val="000000"/>
          <w:sz w:val="28"/>
        </w:rPr>
        <w:t>
      Компенсаторы теплового расширения устанавливаются с целью поглощения осевых и поперечных перемещений и не допускается использовать для исправления несносности трубопроводов. Трубопроводы имеют соответствующие опоры. Кронштейны и подвески не используются для создания усилий по обеспечению соосности труб или элементов.</w:t>
      </w:r>
    </w:p>
    <w:bookmarkEnd w:id="9276"/>
    <w:bookmarkStart w:name="z9321" w:id="9277"/>
    <w:p>
      <w:pPr>
        <w:spacing w:after="0"/>
        <w:ind w:left="0"/>
        <w:jc w:val="both"/>
      </w:pPr>
      <w:r>
        <w:rPr>
          <w:rFonts w:ascii="Times New Roman"/>
          <w:b w:val="false"/>
          <w:i w:val="false"/>
          <w:color w:val="000000"/>
          <w:sz w:val="28"/>
        </w:rPr>
        <w:t>
      Необходимо чтобы радиусы погибов отвечали требованиям пункта 3028 настоящих Правил.</w:t>
      </w:r>
    </w:p>
    <w:bookmarkEnd w:id="9277"/>
    <w:bookmarkStart w:name="z9322" w:id="9278"/>
    <w:p>
      <w:pPr>
        <w:spacing w:after="0"/>
        <w:ind w:left="0"/>
        <w:jc w:val="both"/>
      </w:pPr>
      <w:r>
        <w:rPr>
          <w:rFonts w:ascii="Times New Roman"/>
          <w:b w:val="false"/>
          <w:i w:val="false"/>
          <w:color w:val="000000"/>
          <w:sz w:val="28"/>
        </w:rPr>
        <w:t>
      3190. Трубопроводы систем и вентиляционные каналы в необходимых случаях имеют устройства для спуска или продувания рабочей среды или влаги.</w:t>
      </w:r>
    </w:p>
    <w:bookmarkEnd w:id="9278"/>
    <w:bookmarkStart w:name="z9323" w:id="9279"/>
    <w:p>
      <w:pPr>
        <w:spacing w:after="0"/>
        <w:ind w:left="0"/>
        <w:jc w:val="both"/>
      </w:pPr>
      <w:r>
        <w:rPr>
          <w:rFonts w:ascii="Times New Roman"/>
          <w:b w:val="false"/>
          <w:i w:val="false"/>
          <w:color w:val="000000"/>
          <w:sz w:val="28"/>
        </w:rPr>
        <w:t>
      Предусматриваются конструктивные меры, предотвращающие разрушающее воздействие продуктов продувки на конструкции корпуса и оборудования.</w:t>
      </w:r>
    </w:p>
    <w:bookmarkEnd w:id="9279"/>
    <w:bookmarkStart w:name="z9324" w:id="9280"/>
    <w:p>
      <w:pPr>
        <w:spacing w:after="0"/>
        <w:ind w:left="0"/>
        <w:jc w:val="both"/>
      </w:pPr>
      <w:r>
        <w:rPr>
          <w:rFonts w:ascii="Times New Roman"/>
          <w:b w:val="false"/>
          <w:i w:val="false"/>
          <w:color w:val="000000"/>
          <w:sz w:val="28"/>
        </w:rPr>
        <w:t>
      3191. Необходимо чтобы прокладка трубопроводов систем пожаротушения отвечала требованиям пункта 2277 настоящих Правил.</w:t>
      </w:r>
    </w:p>
    <w:bookmarkEnd w:id="9280"/>
    <w:bookmarkStart w:name="z9325" w:id="9281"/>
    <w:p>
      <w:pPr>
        <w:spacing w:after="0"/>
        <w:ind w:left="0"/>
        <w:jc w:val="both"/>
      </w:pPr>
      <w:r>
        <w:rPr>
          <w:rFonts w:ascii="Times New Roman"/>
          <w:b w:val="false"/>
          <w:i w:val="false"/>
          <w:color w:val="000000"/>
          <w:sz w:val="28"/>
        </w:rPr>
        <w:t>
      3192. Прокладка трубопроводов холодильных агентов I и II групп через жилые и служебные помещения осуществляется в соответствии с пунктом 6027 настоящих Правил.</w:t>
      </w:r>
    </w:p>
    <w:bookmarkEnd w:id="9281"/>
    <w:bookmarkStart w:name="z9326" w:id="9282"/>
    <w:p>
      <w:pPr>
        <w:spacing w:after="0"/>
        <w:ind w:left="0"/>
        <w:jc w:val="left"/>
      </w:pPr>
      <w:r>
        <w:rPr>
          <w:rFonts w:ascii="Times New Roman"/>
          <w:b/>
          <w:i w:val="false"/>
          <w:color w:val="000000"/>
        </w:rPr>
        <w:t xml:space="preserve"> Глава 249. Прокладка трубопроводов в охлаждаемых помещениях, вблизи электро- и радиооборудования</w:t>
      </w:r>
    </w:p>
    <w:bookmarkEnd w:id="9282"/>
    <w:p>
      <w:pPr>
        <w:spacing w:after="0"/>
        <w:ind w:left="0"/>
        <w:jc w:val="both"/>
      </w:pPr>
      <w:r>
        <w:rPr>
          <w:rFonts w:ascii="Times New Roman"/>
          <w:b w:val="false"/>
          <w:i w:val="false"/>
          <w:color w:val="ff0000"/>
          <w:sz w:val="28"/>
        </w:rPr>
        <w:t xml:space="preserve">
      Сноска. Заголовок главы 249 -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27" w:id="9283"/>
    <w:p>
      <w:pPr>
        <w:spacing w:after="0"/>
        <w:ind w:left="0"/>
        <w:jc w:val="both"/>
      </w:pPr>
      <w:r>
        <w:rPr>
          <w:rFonts w:ascii="Times New Roman"/>
          <w:b w:val="false"/>
          <w:i w:val="false"/>
          <w:color w:val="000000"/>
          <w:sz w:val="28"/>
        </w:rPr>
        <w:t>
      3193. Через охлаждаемые помещения не рекомендуется прокладывать трубопроводы, не предназначенные для обслуживания этих помещений. Если прокладка таких трубопроводов является необходимой, они изолируются. Это требование относится в равной мере к воздушным и измерительным трубам. В этих помещениях трубопроводы имеют участки, в которых собирается и замерзает вода.</w:t>
      </w:r>
    </w:p>
    <w:bookmarkEnd w:id="9283"/>
    <w:bookmarkStart w:name="z9328" w:id="9284"/>
    <w:p>
      <w:pPr>
        <w:spacing w:after="0"/>
        <w:ind w:left="0"/>
        <w:jc w:val="both"/>
      </w:pPr>
      <w:r>
        <w:rPr>
          <w:rFonts w:ascii="Times New Roman"/>
          <w:b w:val="false"/>
          <w:i w:val="false"/>
          <w:color w:val="000000"/>
          <w:sz w:val="28"/>
        </w:rPr>
        <w:t>
      3194. Над и за главными и аварийными распределительными щитами, а также пультами управления ответственными устройствами и механизмами прокладка трубопроводов, находящихся под давлением, не допускается.</w:t>
      </w:r>
    </w:p>
    <w:bookmarkEnd w:id="9284"/>
    <w:bookmarkStart w:name="z9329" w:id="9285"/>
    <w:p>
      <w:pPr>
        <w:spacing w:after="0"/>
        <w:ind w:left="0"/>
        <w:jc w:val="both"/>
      </w:pPr>
      <w:r>
        <w:rPr>
          <w:rFonts w:ascii="Times New Roman"/>
          <w:b w:val="false"/>
          <w:i w:val="false"/>
          <w:color w:val="000000"/>
          <w:sz w:val="28"/>
        </w:rPr>
        <w:t>
      С лицевой и боковой сторон этих распределительных щитов и пультов управления такие трубопроводы допускается прокладывать на расстоянии не менее 500 мм при условии, что на расстоянии до 1500 мм от щитов и пультов управления на всем протяжении от них они не будут иметь разъемных соединений, или на фланцевых соединениях будут установлены оградительные кожухи.</w:t>
      </w:r>
    </w:p>
    <w:bookmarkEnd w:id="9285"/>
    <w:bookmarkStart w:name="z9330" w:id="9286"/>
    <w:p>
      <w:pPr>
        <w:spacing w:after="0"/>
        <w:ind w:left="0"/>
        <w:jc w:val="both"/>
      </w:pPr>
      <w:r>
        <w:rPr>
          <w:rFonts w:ascii="Times New Roman"/>
          <w:b w:val="false"/>
          <w:i w:val="false"/>
          <w:color w:val="000000"/>
          <w:sz w:val="28"/>
        </w:rPr>
        <w:t>
      3195. Прокладка трубопроводов через специальные электрические помещения (глава 439 настоящих Правил), а также через аккумуляторные не допускается, за исключением трубопроводов объемного тушения и трубопровода сжатого воздуха, а также трубопроводов, обслуживающих установленное в этих помещениях электрическое оборудование.</w:t>
      </w:r>
    </w:p>
    <w:bookmarkEnd w:id="9286"/>
    <w:bookmarkStart w:name="z9331" w:id="9287"/>
    <w:p>
      <w:pPr>
        <w:spacing w:after="0"/>
        <w:ind w:left="0"/>
        <w:jc w:val="both"/>
      </w:pPr>
      <w:r>
        <w:rPr>
          <w:rFonts w:ascii="Times New Roman"/>
          <w:b w:val="false"/>
          <w:i w:val="false"/>
          <w:color w:val="000000"/>
          <w:sz w:val="28"/>
        </w:rPr>
        <w:t>
      3196. Прокладка трубопроводов через помещение, где установлен гирокомпас, не допускается, за исключением трубопровода системы охлаждения гирокомпаса.</w:t>
      </w:r>
    </w:p>
    <w:bookmarkEnd w:id="9287"/>
    <w:bookmarkStart w:name="z9332" w:id="9288"/>
    <w:p>
      <w:pPr>
        <w:spacing w:after="0"/>
        <w:ind w:left="0"/>
        <w:jc w:val="both"/>
      </w:pPr>
      <w:r>
        <w:rPr>
          <w:rFonts w:ascii="Times New Roman"/>
          <w:b w:val="false"/>
          <w:i w:val="false"/>
          <w:color w:val="000000"/>
          <w:sz w:val="28"/>
        </w:rPr>
        <w:t>
      3197. Прокладка трубопроводов через помещения радиорубки не допускается.</w:t>
      </w:r>
    </w:p>
    <w:bookmarkEnd w:id="9288"/>
    <w:bookmarkStart w:name="z9333" w:id="9289"/>
    <w:p>
      <w:pPr>
        <w:spacing w:after="0"/>
        <w:ind w:left="0"/>
        <w:jc w:val="left"/>
      </w:pPr>
      <w:r>
        <w:rPr>
          <w:rFonts w:ascii="Times New Roman"/>
          <w:b/>
          <w:i w:val="false"/>
          <w:color w:val="000000"/>
        </w:rPr>
        <w:t xml:space="preserve"> Глава 250. Прокладка трубопроводов в безвахтенных машинных помещениях, на судах катамаранного типа</w:t>
      </w:r>
    </w:p>
    <w:bookmarkEnd w:id="9289"/>
    <w:p>
      <w:pPr>
        <w:spacing w:after="0"/>
        <w:ind w:left="0"/>
        <w:jc w:val="both"/>
      </w:pPr>
      <w:r>
        <w:rPr>
          <w:rFonts w:ascii="Times New Roman"/>
          <w:b w:val="false"/>
          <w:i w:val="false"/>
          <w:color w:val="ff0000"/>
          <w:sz w:val="28"/>
        </w:rPr>
        <w:t xml:space="preserve">
      Сноска. Заголовок главы 250 -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34" w:id="9290"/>
    <w:p>
      <w:pPr>
        <w:spacing w:after="0"/>
        <w:ind w:left="0"/>
        <w:jc w:val="both"/>
      </w:pPr>
      <w:r>
        <w:rPr>
          <w:rFonts w:ascii="Times New Roman"/>
          <w:b w:val="false"/>
          <w:i w:val="false"/>
          <w:color w:val="000000"/>
          <w:sz w:val="28"/>
        </w:rPr>
        <w:t>
      3198. Соединения трубопроводов класса I, проводящих топливо и масло, должны быть сварными. Допускается применение разъемных соединений, однако их число должно быть минимальным; при этом в местах, где они установлены, при необходимости, предусматриваются защитные кожухи.</w:t>
      </w:r>
    </w:p>
    <w:bookmarkEnd w:id="9290"/>
    <w:bookmarkStart w:name="z9335" w:id="9291"/>
    <w:p>
      <w:pPr>
        <w:spacing w:after="0"/>
        <w:ind w:left="0"/>
        <w:jc w:val="both"/>
      </w:pPr>
      <w:r>
        <w:rPr>
          <w:rFonts w:ascii="Times New Roman"/>
          <w:b w:val="false"/>
          <w:i w:val="false"/>
          <w:color w:val="000000"/>
          <w:sz w:val="28"/>
        </w:rPr>
        <w:t>
      3199. Трубопроводы, соединяющие одноименные системы каждого из корпусов судна, при прокладке по общей верхней палубе в надлежащих местах снабжают компенсаторами и защищают от повреждений.</w:t>
      </w:r>
    </w:p>
    <w:bookmarkEnd w:id="9291"/>
    <w:bookmarkStart w:name="z9336" w:id="9292"/>
    <w:p>
      <w:pPr>
        <w:spacing w:after="0"/>
        <w:ind w:left="0"/>
        <w:jc w:val="both"/>
      </w:pPr>
      <w:r>
        <w:rPr>
          <w:rFonts w:ascii="Times New Roman"/>
          <w:b w:val="false"/>
          <w:i w:val="false"/>
          <w:color w:val="000000"/>
          <w:sz w:val="28"/>
        </w:rPr>
        <w:t>
      Повреждение этих трубопроводов не должно приводить к нарушению работы систем, которые они соединяют.</w:t>
      </w:r>
    </w:p>
    <w:bookmarkEnd w:id="9292"/>
    <w:bookmarkStart w:name="z9337" w:id="9293"/>
    <w:p>
      <w:pPr>
        <w:spacing w:after="0"/>
        <w:ind w:left="0"/>
        <w:jc w:val="left"/>
      </w:pPr>
      <w:r>
        <w:rPr>
          <w:rFonts w:ascii="Times New Roman"/>
          <w:b/>
          <w:i w:val="false"/>
          <w:color w:val="000000"/>
        </w:rPr>
        <w:t xml:space="preserve"> Глава 251. Трубопроводы с электрообогревом</w:t>
      </w:r>
    </w:p>
    <w:bookmarkEnd w:id="9293"/>
    <w:p>
      <w:pPr>
        <w:spacing w:after="0"/>
        <w:ind w:left="0"/>
        <w:jc w:val="both"/>
      </w:pPr>
      <w:r>
        <w:rPr>
          <w:rFonts w:ascii="Times New Roman"/>
          <w:b w:val="false"/>
          <w:i w:val="false"/>
          <w:color w:val="ff0000"/>
          <w:sz w:val="28"/>
        </w:rPr>
        <w:t xml:space="preserve">
      Сноска. Заголовок главы 251 -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38" w:id="9294"/>
    <w:p>
      <w:pPr>
        <w:spacing w:after="0"/>
        <w:ind w:left="0"/>
        <w:jc w:val="both"/>
      </w:pPr>
      <w:r>
        <w:rPr>
          <w:rFonts w:ascii="Times New Roman"/>
          <w:b w:val="false"/>
          <w:i w:val="false"/>
          <w:color w:val="000000"/>
          <w:sz w:val="28"/>
        </w:rPr>
        <w:t>
      3200. Необходимо чтобы трубопроводы, оборудованные электрообогревном, отвечали требованиям пунктов 5408 – 5411 настоящих Правил.</w:t>
      </w:r>
    </w:p>
    <w:bookmarkEnd w:id="9294"/>
    <w:bookmarkStart w:name="z9339" w:id="9295"/>
    <w:p>
      <w:pPr>
        <w:spacing w:after="0"/>
        <w:ind w:left="0"/>
        <w:jc w:val="both"/>
      </w:pPr>
      <w:r>
        <w:rPr>
          <w:rFonts w:ascii="Times New Roman"/>
          <w:b w:val="false"/>
          <w:i w:val="false"/>
          <w:color w:val="000000"/>
          <w:sz w:val="28"/>
        </w:rPr>
        <w:t>
      3201. Кабели и приборы управления систем электрообогрева трубопроводов, расположенных во взрывоопасных помещениях, применяют взрывобезопасного исполнения.</w:t>
      </w:r>
    </w:p>
    <w:bookmarkEnd w:id="9295"/>
    <w:bookmarkStart w:name="z9340" w:id="9296"/>
    <w:p>
      <w:pPr>
        <w:spacing w:after="0"/>
        <w:ind w:left="0"/>
        <w:jc w:val="both"/>
      </w:pPr>
      <w:r>
        <w:rPr>
          <w:rFonts w:ascii="Times New Roman"/>
          <w:b w:val="false"/>
          <w:i w:val="false"/>
          <w:color w:val="000000"/>
          <w:sz w:val="28"/>
        </w:rPr>
        <w:t>
      3202. Монтаж греющего кабеля выполняется после проведения гидравлических испытаний трубопроводов и нанесения антикоррозионного покрытия с соблюдением технологии изготовителя, одобренной Регистром судоходства.</w:t>
      </w:r>
    </w:p>
    <w:bookmarkEnd w:id="9296"/>
    <w:bookmarkStart w:name="z9341" w:id="9297"/>
    <w:p>
      <w:pPr>
        <w:spacing w:after="0"/>
        <w:ind w:left="0"/>
        <w:jc w:val="both"/>
      </w:pPr>
      <w:r>
        <w:rPr>
          <w:rFonts w:ascii="Times New Roman"/>
          <w:b w:val="false"/>
          <w:i w:val="false"/>
          <w:color w:val="000000"/>
          <w:sz w:val="28"/>
        </w:rPr>
        <w:t>
      3203. В необходимых случаях, трубопроводы, оборудованные электрообогревом, закрывают поверх изоляции защитным кожухом, предотвращающим механические повреждения греющих кабелей.</w:t>
      </w:r>
    </w:p>
    <w:bookmarkEnd w:id="9297"/>
    <w:bookmarkStart w:name="z9342" w:id="9298"/>
    <w:p>
      <w:pPr>
        <w:spacing w:after="0"/>
        <w:ind w:left="0"/>
        <w:jc w:val="both"/>
      </w:pPr>
      <w:r>
        <w:rPr>
          <w:rFonts w:ascii="Times New Roman"/>
          <w:b w:val="false"/>
          <w:i w:val="false"/>
          <w:color w:val="000000"/>
          <w:sz w:val="28"/>
        </w:rPr>
        <w:t>
      3204. При монтаже греющего кабеля, в местах разборных соединений трубопровода, следует предусматривать наличие петель, обеспечивающих демонтаж трубопровода без нарушения целостности греющего кабеля.</w:t>
      </w:r>
    </w:p>
    <w:bookmarkEnd w:id="9298"/>
    <w:bookmarkStart w:name="z9343" w:id="9299"/>
    <w:p>
      <w:pPr>
        <w:spacing w:after="0"/>
        <w:ind w:left="0"/>
        <w:jc w:val="both"/>
      </w:pPr>
      <w:r>
        <w:rPr>
          <w:rFonts w:ascii="Times New Roman"/>
          <w:b w:val="false"/>
          <w:i w:val="false"/>
          <w:color w:val="000000"/>
          <w:sz w:val="28"/>
        </w:rPr>
        <w:t>
      3205. На трубопроводы и арматуру с электрообогревом наносятся предупредительные надписи "Осторожно, электрообогрев". Надписи располагаются в хорошо видимых местах на расстоянии 3 м по длине трубопровода.</w:t>
      </w:r>
    </w:p>
    <w:bookmarkEnd w:id="9299"/>
    <w:bookmarkStart w:name="z9344" w:id="9300"/>
    <w:p>
      <w:pPr>
        <w:spacing w:after="0"/>
        <w:ind w:left="0"/>
        <w:jc w:val="left"/>
      </w:pPr>
      <w:r>
        <w:rPr>
          <w:rFonts w:ascii="Times New Roman"/>
          <w:b/>
          <w:i w:val="false"/>
          <w:color w:val="000000"/>
        </w:rPr>
        <w:t xml:space="preserve"> Подраздел 6. Судовые шланги</w:t>
      </w:r>
      <w:r>
        <w:br/>
      </w:r>
      <w:r>
        <w:rPr>
          <w:rFonts w:ascii="Times New Roman"/>
          <w:b/>
          <w:i w:val="false"/>
          <w:color w:val="000000"/>
        </w:rPr>
        <w:t>Глава 252. Конструкция шлангов</w:t>
      </w:r>
    </w:p>
    <w:bookmarkEnd w:id="9300"/>
    <w:p>
      <w:pPr>
        <w:spacing w:after="0"/>
        <w:ind w:left="0"/>
        <w:jc w:val="both"/>
      </w:pPr>
      <w:r>
        <w:rPr>
          <w:rFonts w:ascii="Times New Roman"/>
          <w:b w:val="false"/>
          <w:i w:val="false"/>
          <w:color w:val="ff0000"/>
          <w:sz w:val="28"/>
        </w:rPr>
        <w:t xml:space="preserve">
      Сноска. Заголовок главы 252 -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46" w:id="9301"/>
    <w:p>
      <w:pPr>
        <w:spacing w:after="0"/>
        <w:ind w:left="0"/>
        <w:jc w:val="both"/>
      </w:pPr>
      <w:r>
        <w:rPr>
          <w:rFonts w:ascii="Times New Roman"/>
          <w:b w:val="false"/>
          <w:i w:val="false"/>
          <w:color w:val="000000"/>
          <w:sz w:val="28"/>
        </w:rPr>
        <w:t>
      3206. Требования настоящего подраздела распространяются на судовые шланги для приема и передачи жидких грузов, топлива, масла, льяльных и загрязненных балластных вод и передачи паров груза.</w:t>
      </w:r>
    </w:p>
    <w:bookmarkEnd w:id="9301"/>
    <w:bookmarkStart w:name="z9347" w:id="9302"/>
    <w:p>
      <w:pPr>
        <w:spacing w:after="0"/>
        <w:ind w:left="0"/>
        <w:jc w:val="both"/>
      </w:pPr>
      <w:r>
        <w:rPr>
          <w:rFonts w:ascii="Times New Roman"/>
          <w:b w:val="false"/>
          <w:i w:val="false"/>
          <w:color w:val="000000"/>
          <w:sz w:val="28"/>
        </w:rPr>
        <w:t>
      3207. На судах допускается применять шланги только в виде готовых изделий, состоящих из рукавов и концевых деталей (патрубков с фланцами, штуцерами или другими соединениями).</w:t>
      </w:r>
    </w:p>
    <w:bookmarkEnd w:id="9302"/>
    <w:bookmarkStart w:name="z9348" w:id="9303"/>
    <w:p>
      <w:pPr>
        <w:spacing w:after="0"/>
        <w:ind w:left="0"/>
        <w:jc w:val="both"/>
      </w:pPr>
      <w:r>
        <w:rPr>
          <w:rFonts w:ascii="Times New Roman"/>
          <w:b w:val="false"/>
          <w:i w:val="false"/>
          <w:color w:val="000000"/>
          <w:sz w:val="28"/>
        </w:rPr>
        <w:t>
      3208. Рукав шланга изготавливается, как правило, из резины, армированной тканью, текстильным кордом или кордом из стальной проволоки. Допускается чтобы рукав шланга был армирован дополнительно одним или несколькими слоями проволочной спирали, кольцами или другим способом. Применение других материалов и конструкций является в каждом случае предметом специального рассмотрения Регистром судоходства.</w:t>
      </w:r>
    </w:p>
    <w:bookmarkEnd w:id="9303"/>
    <w:bookmarkStart w:name="z9349" w:id="9304"/>
    <w:p>
      <w:pPr>
        <w:spacing w:after="0"/>
        <w:ind w:left="0"/>
        <w:jc w:val="both"/>
      </w:pPr>
      <w:r>
        <w:rPr>
          <w:rFonts w:ascii="Times New Roman"/>
          <w:b w:val="false"/>
          <w:i w:val="false"/>
          <w:color w:val="000000"/>
          <w:sz w:val="28"/>
        </w:rPr>
        <w:t>
      Материал рукава применяют стойким к воздействию проводимой среды во всем диапазоне рабочих температур, для чего допускается специальное покрытие внутренней поверхности.</w:t>
      </w:r>
    </w:p>
    <w:bookmarkEnd w:id="9304"/>
    <w:bookmarkStart w:name="z9350" w:id="9305"/>
    <w:p>
      <w:pPr>
        <w:spacing w:after="0"/>
        <w:ind w:left="0"/>
        <w:jc w:val="both"/>
      </w:pPr>
      <w:r>
        <w:rPr>
          <w:rFonts w:ascii="Times New Roman"/>
          <w:b w:val="false"/>
          <w:i w:val="false"/>
          <w:color w:val="000000"/>
          <w:sz w:val="28"/>
        </w:rPr>
        <w:t>
      Наружная поверхность должна быть устойчива к износу, истиранию, воздействию солнечных лучей, атмосферы и быть непроницаемой для морской воды и груза. Допускается чтобы наружная поверхность имела покрытие из полиуретана или другого материала, обеспечивающего плавучесть. Такое покрытие обладает аналогичными свойствами по отношению к внешним воздействиям.</w:t>
      </w:r>
    </w:p>
    <w:bookmarkEnd w:id="9305"/>
    <w:bookmarkStart w:name="z9351" w:id="9306"/>
    <w:p>
      <w:pPr>
        <w:spacing w:after="0"/>
        <w:ind w:left="0"/>
        <w:jc w:val="both"/>
      </w:pPr>
      <w:r>
        <w:rPr>
          <w:rFonts w:ascii="Times New Roman"/>
          <w:b w:val="false"/>
          <w:i w:val="false"/>
          <w:color w:val="000000"/>
          <w:sz w:val="28"/>
        </w:rPr>
        <w:t>
      Конструкция и материал рукавов и шлангов, предназначенных для передачи сжиженных газов, является в каждом случае предметом специального рассмотрения Регистром судоходства.</w:t>
      </w:r>
    </w:p>
    <w:bookmarkEnd w:id="9306"/>
    <w:bookmarkStart w:name="z9352" w:id="9307"/>
    <w:p>
      <w:pPr>
        <w:spacing w:after="0"/>
        <w:ind w:left="0"/>
        <w:jc w:val="both"/>
      </w:pPr>
      <w:r>
        <w:rPr>
          <w:rFonts w:ascii="Times New Roman"/>
          <w:b w:val="false"/>
          <w:i w:val="false"/>
          <w:color w:val="000000"/>
          <w:sz w:val="28"/>
        </w:rPr>
        <w:t>
      3209. Концевые детали подсоединяют к рукаву шланга механическим или химическим способом. Соединять рукава с концевыми деталями с помощью хомутов допускается только по согласованию с Регистром судоходства.</w:t>
      </w:r>
    </w:p>
    <w:bookmarkEnd w:id="9307"/>
    <w:bookmarkStart w:name="z9353" w:id="9308"/>
    <w:p>
      <w:pPr>
        <w:spacing w:after="0"/>
        <w:ind w:left="0"/>
        <w:jc w:val="both"/>
      </w:pPr>
      <w:r>
        <w:rPr>
          <w:rFonts w:ascii="Times New Roman"/>
          <w:b w:val="false"/>
          <w:i w:val="false"/>
          <w:color w:val="000000"/>
          <w:sz w:val="28"/>
        </w:rPr>
        <w:t>
      3210 Если в конструкции концевых деталей используется сварка, она производится аттестованными сварщиками и подвергаться 100-процентной проверке методами неразрушающего контроля.</w:t>
      </w:r>
    </w:p>
    <w:bookmarkEnd w:id="9308"/>
    <w:bookmarkStart w:name="z9354" w:id="9309"/>
    <w:p>
      <w:pPr>
        <w:spacing w:after="0"/>
        <w:ind w:left="0"/>
        <w:jc w:val="both"/>
      </w:pPr>
      <w:r>
        <w:rPr>
          <w:rFonts w:ascii="Times New Roman"/>
          <w:b w:val="false"/>
          <w:i w:val="false"/>
          <w:color w:val="000000"/>
          <w:sz w:val="28"/>
        </w:rPr>
        <w:t>
      3211. Материал концевых деталей и фланцев исключает возможность искрообразования при взаимодействии с корпусом судна. Поверхности концевых деталей защищают от коррозионного воздействия морской воды и передаваемой среды.</w:t>
      </w:r>
    </w:p>
    <w:bookmarkEnd w:id="9309"/>
    <w:bookmarkStart w:name="z9355" w:id="9310"/>
    <w:p>
      <w:pPr>
        <w:spacing w:after="0"/>
        <w:ind w:left="0"/>
        <w:jc w:val="both"/>
      </w:pPr>
      <w:r>
        <w:rPr>
          <w:rFonts w:ascii="Times New Roman"/>
          <w:b w:val="false"/>
          <w:i w:val="false"/>
          <w:color w:val="000000"/>
          <w:sz w:val="28"/>
        </w:rPr>
        <w:t>
      3212. Шланг считается плавучим, если его запас плавучести в состоянии, когда шланг полностью погружен в морскую воду и полностью заполнен ею, составляет не менее 20 %. Запас плавучести шланга рассчитывается по формуле</w:t>
      </w:r>
    </w:p>
    <w:bookmarkEnd w:id="93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3"/>
                    <a:stretch>
                      <a:fillRect/>
                    </a:stretch>
                  </pic:blipFill>
                  <pic:spPr>
                    <a:xfrm>
                      <a:off x="0" y="0"/>
                      <a:ext cx="2159000" cy="546100"/>
                    </a:xfrm>
                    <a:prstGeom prst="rect">
                      <a:avLst/>
                    </a:prstGeom>
                  </pic:spPr>
                </pic:pic>
              </a:graphicData>
            </a:graphic>
          </wp:inline>
        </w:drawing>
      </w:r>
    </w:p>
    <w:p>
      <w:pPr>
        <w:spacing w:after="0"/>
        <w:ind w:left="0"/>
        <w:jc w:val="left"/>
      </w:pPr>
      <w:r>
        <w:rPr>
          <w:rFonts w:ascii="Times New Roman"/>
          <w:b w:val="false"/>
          <w:i w:val="false"/>
          <w:color w:val="000000"/>
          <w:sz w:val="28"/>
        </w:rPr>
        <w:t>,                    (765)</w:t>
      </w:r>
      <w:r>
        <w:br/>
      </w:r>
      <w:r>
        <w:rPr>
          <w:rFonts w:ascii="Times New Roman"/>
          <w:b w:val="false"/>
          <w:i w:val="false"/>
          <w:color w:val="000000"/>
          <w:sz w:val="28"/>
        </w:rPr>
        <w:t>
</w:t>
      </w:r>
    </w:p>
    <w:bookmarkStart w:name="z9356" w:id="9311"/>
    <w:p>
      <w:pPr>
        <w:spacing w:after="0"/>
        <w:ind w:left="0"/>
        <w:jc w:val="both"/>
      </w:pPr>
      <w:r>
        <w:rPr>
          <w:rFonts w:ascii="Times New Roman"/>
          <w:b w:val="false"/>
          <w:i w:val="false"/>
          <w:color w:val="000000"/>
          <w:sz w:val="28"/>
        </w:rPr>
        <w:t xml:space="preserve">
      где </w:t>
      </w:r>
      <w:r>
        <w:rPr>
          <w:rFonts w:ascii="Times New Roman"/>
          <w:b w:val="false"/>
          <w:i/>
          <w:color w:val="000000"/>
          <w:sz w:val="28"/>
        </w:rPr>
        <w:t>К</w:t>
      </w:r>
      <w:r>
        <w:rPr>
          <w:rFonts w:ascii="Times New Roman"/>
          <w:b w:val="false"/>
          <w:i w:val="false"/>
          <w:color w:val="000000"/>
          <w:sz w:val="28"/>
        </w:rPr>
        <w:t>—запас плавучести, %;</w:t>
      </w:r>
    </w:p>
    <w:bookmarkEnd w:id="9311"/>
    <w:bookmarkStart w:name="z9357" w:id="9312"/>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масса морской воды, вытесненной шлангом при его полном погружении, включая массу морской воды, вытесненной материалами, обеспечивающими плавучесть, и массу морской воды, находящейся внутри шланга, кг;</w:t>
      </w:r>
    </w:p>
    <w:bookmarkEnd w:id="9312"/>
    <w:bookmarkStart w:name="z9358" w:id="931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w</w:t>
      </w:r>
      <w:r>
        <w:rPr>
          <w:rFonts w:ascii="Times New Roman"/>
          <w:b w:val="false"/>
          <w:i w:val="false"/>
          <w:color w:val="000000"/>
          <w:sz w:val="28"/>
        </w:rPr>
        <w:t xml:space="preserve"> — масса морской воды внутри шланга, кг;</w:t>
      </w:r>
    </w:p>
    <w:bookmarkEnd w:id="9313"/>
    <w:bookmarkStart w:name="z9359" w:id="9314"/>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h</w:t>
      </w:r>
      <w:r>
        <w:rPr>
          <w:rFonts w:ascii="Times New Roman"/>
          <w:b w:val="false"/>
          <w:i w:val="false"/>
          <w:color w:val="000000"/>
          <w:sz w:val="28"/>
        </w:rPr>
        <w:t xml:space="preserve"> — масса пустого шланга в воздухе, включая массу материалов, обеспечивающих плавучесть, кг.</w:t>
      </w:r>
    </w:p>
    <w:bookmarkEnd w:id="9314"/>
    <w:bookmarkStart w:name="z9360" w:id="9315"/>
    <w:p>
      <w:pPr>
        <w:spacing w:after="0"/>
        <w:ind w:left="0"/>
        <w:jc w:val="both"/>
      </w:pPr>
      <w:r>
        <w:rPr>
          <w:rFonts w:ascii="Times New Roman"/>
          <w:b w:val="false"/>
          <w:i w:val="false"/>
          <w:color w:val="000000"/>
          <w:sz w:val="28"/>
        </w:rPr>
        <w:t>
      Материалы, используемые для обеспечения плавучести, надежно закреплеяют.</w:t>
      </w:r>
    </w:p>
    <w:bookmarkEnd w:id="9315"/>
    <w:bookmarkStart w:name="z9361" w:id="9316"/>
    <w:p>
      <w:pPr>
        <w:spacing w:after="0"/>
        <w:ind w:left="0"/>
        <w:jc w:val="both"/>
      </w:pPr>
      <w:r>
        <w:rPr>
          <w:rFonts w:ascii="Times New Roman"/>
          <w:b w:val="false"/>
          <w:i w:val="false"/>
          <w:color w:val="000000"/>
          <w:sz w:val="28"/>
        </w:rPr>
        <w:t>
      3213. Плавучие шланги применяют оранжевого цвета, либо на них наносится полоса оранжевого цвета в виде спирали. Ширина полосы — 100 мм, шаг спирали — 450 мм. Полоса соединяется с наружным покрытием в процессе вулканизации.</w:t>
      </w:r>
    </w:p>
    <w:bookmarkEnd w:id="9316"/>
    <w:bookmarkStart w:name="z9362" w:id="9317"/>
    <w:p>
      <w:pPr>
        <w:spacing w:after="0"/>
        <w:ind w:left="0"/>
        <w:jc w:val="both"/>
      </w:pPr>
      <w:r>
        <w:rPr>
          <w:rFonts w:ascii="Times New Roman"/>
          <w:b w:val="false"/>
          <w:i w:val="false"/>
          <w:color w:val="000000"/>
          <w:sz w:val="28"/>
        </w:rPr>
        <w:t>
      3214. Для передачи груза в море с одного судна на другое и при производстве грузовых операций с использованием выносных точечных причалов, как правило, используются плавучие шланги, а в составе шланговых линий предусматривается быстродействующее устройство для аварийного отсоединения.</w:t>
      </w:r>
    </w:p>
    <w:bookmarkEnd w:id="9317"/>
    <w:bookmarkStart w:name="z9363" w:id="9318"/>
    <w:p>
      <w:pPr>
        <w:spacing w:after="0"/>
        <w:ind w:left="0"/>
        <w:jc w:val="both"/>
      </w:pPr>
      <w:r>
        <w:rPr>
          <w:rFonts w:ascii="Times New Roman"/>
          <w:b w:val="false"/>
          <w:i w:val="false"/>
          <w:color w:val="000000"/>
          <w:sz w:val="28"/>
        </w:rPr>
        <w:t>
      Конструкция такого устройства является в каждом случае предметом специального рассмотрения Регистром судоходства. При использовании шланговых линий, имеющих в своем составе быстродействующее устройство аварийного отсоединения, следует учитывать гидравлические удары, которые могут возникнуть при его срабатывании, и при необходимости ограничить скорость потока жидкости.</w:t>
      </w:r>
    </w:p>
    <w:bookmarkEnd w:id="9318"/>
    <w:bookmarkStart w:name="z9364" w:id="9319"/>
    <w:p>
      <w:pPr>
        <w:spacing w:after="0"/>
        <w:ind w:left="0"/>
        <w:jc w:val="both"/>
      </w:pPr>
      <w:r>
        <w:rPr>
          <w:rFonts w:ascii="Times New Roman"/>
          <w:b w:val="false"/>
          <w:i w:val="false"/>
          <w:color w:val="000000"/>
          <w:sz w:val="28"/>
        </w:rPr>
        <w:t>
      Шланги устройств для производства грузовых и бункеровочных операций на ходу судна являются в каждом случае предметом специального рассмотрения Регистром судоходства.</w:t>
      </w:r>
    </w:p>
    <w:bookmarkEnd w:id="9319"/>
    <w:bookmarkStart w:name="z9365" w:id="9320"/>
    <w:p>
      <w:pPr>
        <w:spacing w:after="0"/>
        <w:ind w:left="0"/>
        <w:jc w:val="both"/>
      </w:pPr>
      <w:r>
        <w:rPr>
          <w:rFonts w:ascii="Times New Roman"/>
          <w:b w:val="false"/>
          <w:i w:val="false"/>
          <w:color w:val="000000"/>
          <w:sz w:val="28"/>
        </w:rPr>
        <w:t>
      3215. На обоих концах шланга наносится отчетливая маркировка. В документах на шланг указывается:</w:t>
      </w:r>
    </w:p>
    <w:bookmarkEnd w:id="9320"/>
    <w:bookmarkStart w:name="z9366" w:id="9321"/>
    <w:p>
      <w:pPr>
        <w:spacing w:after="0"/>
        <w:ind w:left="0"/>
        <w:jc w:val="both"/>
      </w:pPr>
      <w:r>
        <w:rPr>
          <w:rFonts w:ascii="Times New Roman"/>
          <w:b w:val="false"/>
          <w:i w:val="false"/>
          <w:color w:val="000000"/>
          <w:sz w:val="28"/>
        </w:rPr>
        <w:t>
      наименование изготовителя или торговая марка; порядковый номер шланга по данным изготовителя;</w:t>
      </w:r>
    </w:p>
    <w:bookmarkEnd w:id="9321"/>
    <w:bookmarkStart w:name="z9367" w:id="9322"/>
    <w:p>
      <w:pPr>
        <w:spacing w:after="0"/>
        <w:ind w:left="0"/>
        <w:jc w:val="both"/>
      </w:pPr>
      <w:r>
        <w:rPr>
          <w:rFonts w:ascii="Times New Roman"/>
          <w:b w:val="false"/>
          <w:i w:val="false"/>
          <w:color w:val="000000"/>
          <w:sz w:val="28"/>
        </w:rPr>
        <w:t>
      месяц и год изготовления шланга;</w:t>
      </w:r>
    </w:p>
    <w:bookmarkEnd w:id="9322"/>
    <w:bookmarkStart w:name="z9368" w:id="9323"/>
    <w:p>
      <w:pPr>
        <w:spacing w:after="0"/>
        <w:ind w:left="0"/>
        <w:jc w:val="both"/>
      </w:pPr>
      <w:r>
        <w:rPr>
          <w:rFonts w:ascii="Times New Roman"/>
          <w:b w:val="false"/>
          <w:i w:val="false"/>
          <w:color w:val="000000"/>
          <w:sz w:val="28"/>
        </w:rPr>
        <w:t>
      допустимое рабочее давление; указание об электропроводимости.</w:t>
      </w:r>
    </w:p>
    <w:bookmarkEnd w:id="9323"/>
    <w:bookmarkStart w:name="z9369" w:id="9324"/>
    <w:p>
      <w:pPr>
        <w:spacing w:after="0"/>
        <w:ind w:left="0"/>
        <w:jc w:val="both"/>
      </w:pPr>
      <w:r>
        <w:rPr>
          <w:rFonts w:ascii="Times New Roman"/>
          <w:b w:val="false"/>
          <w:i w:val="false"/>
          <w:color w:val="000000"/>
          <w:sz w:val="28"/>
        </w:rPr>
        <w:t>
      3216. Шланги хранятся на судне в защищенном от прямых солнечных лучей месте и укладываются с учетом минимального радиуса изгиба и в соответствии с рекомендациями изготовителя шлангов. Предусматривают конструктивные меры для слива и удаления остатков груза из шлангов. Предусматриваются конструктивные меры для предотвращения перетирания шлангов при их перемещении и работе по прямому назначению.</w:t>
      </w:r>
    </w:p>
    <w:bookmarkEnd w:id="9324"/>
    <w:bookmarkStart w:name="z9370" w:id="9325"/>
    <w:p>
      <w:pPr>
        <w:spacing w:after="0"/>
        <w:ind w:left="0"/>
        <w:jc w:val="both"/>
      </w:pPr>
      <w:r>
        <w:rPr>
          <w:rFonts w:ascii="Times New Roman"/>
          <w:b w:val="false"/>
          <w:i w:val="false"/>
          <w:color w:val="000000"/>
          <w:sz w:val="28"/>
        </w:rPr>
        <w:t>
      3217 Для выдачи паров груза используются шланги с допустимым номинальным давлением не менее 0,2 МПа и вакуумом не менее 0,014 МПа. Разрывное давление шланга допускается не менее 5-кратного рабочего давления шланга. Последний метр с каждого конца шланга окрашивают в соответствии с приложением 346 настоящих Правил и пишут надпись "пары" ("vapour"), выполненную черными буквами высотой не менее 50 мм. Каждый фланец имеет дополнительное отверстие на линии соединительных болтов, позволяющее подсоединять фланец к подсоединительному патрубку выдачи паров (приложение 349 настоящих Правил). В системах выдачи паров на берег применяются только электропроводящие шланги.</w:t>
      </w:r>
    </w:p>
    <w:bookmarkEnd w:id="9325"/>
    <w:bookmarkStart w:name="z9371" w:id="9326"/>
    <w:p>
      <w:pPr>
        <w:spacing w:after="0"/>
        <w:ind w:left="0"/>
        <w:jc w:val="left"/>
      </w:pPr>
      <w:r>
        <w:rPr>
          <w:rFonts w:ascii="Times New Roman"/>
          <w:b/>
          <w:i w:val="false"/>
          <w:color w:val="000000"/>
        </w:rPr>
        <w:t xml:space="preserve"> Глава 253. Испытания шлангов</w:t>
      </w:r>
    </w:p>
    <w:bookmarkEnd w:id="9326"/>
    <w:p>
      <w:pPr>
        <w:spacing w:after="0"/>
        <w:ind w:left="0"/>
        <w:jc w:val="both"/>
      </w:pPr>
      <w:r>
        <w:rPr>
          <w:rFonts w:ascii="Times New Roman"/>
          <w:b w:val="false"/>
          <w:i w:val="false"/>
          <w:color w:val="ff0000"/>
          <w:sz w:val="28"/>
        </w:rPr>
        <w:t xml:space="preserve">
      Сноска. Заголовок главы 253 -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72" w:id="9327"/>
    <w:p>
      <w:pPr>
        <w:spacing w:after="0"/>
        <w:ind w:left="0"/>
        <w:jc w:val="both"/>
      </w:pPr>
      <w:r>
        <w:rPr>
          <w:rFonts w:ascii="Times New Roman"/>
          <w:b w:val="false"/>
          <w:i w:val="false"/>
          <w:color w:val="000000"/>
          <w:sz w:val="28"/>
        </w:rPr>
        <w:t>
      3218. Каждый тип рукава, используемый для производства шлангов должен пройти типовые испытания согласно пунктов 3219 – 3222, 3224, 3225 настоящих Правил. Каждый тип шланга проходит типовые испытания согласно пунктам 3219, 3223, 3224, 3225 настоящих Правил. Типовые испытания шлангов допускается совмещать с типовыми испытаниями рукавов. Каждый шланг после изготовления испытывают в соответствии с пунктом 3223 настоящих Правил.</w:t>
      </w:r>
    </w:p>
    <w:bookmarkEnd w:id="9327"/>
    <w:bookmarkStart w:name="z9373" w:id="9328"/>
    <w:p>
      <w:pPr>
        <w:spacing w:after="0"/>
        <w:ind w:left="0"/>
        <w:jc w:val="both"/>
      </w:pPr>
      <w:r>
        <w:rPr>
          <w:rFonts w:ascii="Times New Roman"/>
          <w:b w:val="false"/>
          <w:i w:val="false"/>
          <w:color w:val="000000"/>
          <w:sz w:val="28"/>
        </w:rPr>
        <w:t xml:space="preserve">
      3219. Допустимое рабочее давление </w:t>
      </w:r>
      <w:r>
        <w:rPr>
          <w:rFonts w:ascii="Times New Roman"/>
          <w:b w:val="false"/>
          <w:i/>
          <w:color w:val="000000"/>
          <w:sz w:val="28"/>
        </w:rPr>
        <w:t>Р</w:t>
      </w:r>
      <w:r>
        <w:rPr>
          <w:rFonts w:ascii="Times New Roman"/>
          <w:b w:val="false"/>
          <w:i w:val="false"/>
          <w:color w:val="000000"/>
          <w:vertAlign w:val="subscript"/>
        </w:rPr>
        <w:t>раб</w:t>
      </w:r>
      <w:r>
        <w:rPr>
          <w:rFonts w:ascii="Times New Roman"/>
          <w:b w:val="false"/>
          <w:i w:val="false"/>
          <w:color w:val="000000"/>
          <w:sz w:val="28"/>
        </w:rPr>
        <w:t xml:space="preserve"> определяется как:</w:t>
      </w:r>
    </w:p>
    <w:bookmarkEnd w:id="932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раб</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разр</w:t>
      </w:r>
      <w:r>
        <w:rPr>
          <w:rFonts w:ascii="Times New Roman"/>
          <w:b w:val="false"/>
          <w:i w:val="false"/>
          <w:color w:val="000000"/>
          <w:sz w:val="28"/>
        </w:rPr>
        <w:t>/</w:t>
      </w:r>
      <w:r>
        <w:rPr>
          <w:rFonts w:ascii="Times New Roman"/>
          <w:b w:val="false"/>
          <w:i/>
          <w:color w:val="000000"/>
          <w:sz w:val="28"/>
        </w:rPr>
        <w:t>К</w:t>
      </w:r>
      <w:r>
        <w:rPr>
          <w:rFonts w:ascii="Times New Roman"/>
          <w:b w:val="false"/>
          <w:i w:val="false"/>
          <w:color w:val="000000"/>
          <w:sz w:val="28"/>
        </w:rPr>
        <w:t>,                       (766)</w:t>
      </w:r>
    </w:p>
    <w:bookmarkStart w:name="z9374" w:id="9329"/>
    <w:p>
      <w:pPr>
        <w:spacing w:after="0"/>
        <w:ind w:left="0"/>
        <w:jc w:val="both"/>
      </w:pPr>
      <w:r>
        <w:rPr>
          <w:rFonts w:ascii="Times New Roman"/>
          <w:b w:val="false"/>
          <w:i w:val="false"/>
          <w:color w:val="000000"/>
          <w:sz w:val="28"/>
        </w:rPr>
        <w:t>
      где -</w:t>
      </w:r>
      <w:r>
        <w:rPr>
          <w:rFonts w:ascii="Times New Roman"/>
          <w:b w:val="false"/>
          <w:i/>
          <w:color w:val="000000"/>
          <w:sz w:val="28"/>
        </w:rPr>
        <w:t>Р</w:t>
      </w:r>
      <w:r>
        <w:rPr>
          <w:rFonts w:ascii="Times New Roman"/>
          <w:b w:val="false"/>
          <w:i w:val="false"/>
          <w:color w:val="000000"/>
          <w:vertAlign w:val="subscript"/>
        </w:rPr>
        <w:t>разр</w:t>
      </w:r>
      <w:r>
        <w:rPr>
          <w:rFonts w:ascii="Times New Roman"/>
          <w:b w:val="false"/>
          <w:i w:val="false"/>
          <w:color w:val="000000"/>
          <w:sz w:val="28"/>
        </w:rPr>
        <w:t xml:space="preserve"> — давление, при котором происходит нарушение плотности шланга или концевого соединения;</w:t>
      </w:r>
    </w:p>
    <w:bookmarkEnd w:id="9329"/>
    <w:bookmarkStart w:name="z9375" w:id="9330"/>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коэффициент, принимаемый равным:</w:t>
      </w:r>
    </w:p>
    <w:bookmarkEnd w:id="9330"/>
    <w:bookmarkStart w:name="z9376" w:id="9331"/>
    <w:p>
      <w:pPr>
        <w:spacing w:after="0"/>
        <w:ind w:left="0"/>
        <w:jc w:val="both"/>
      </w:pPr>
      <w:r>
        <w:rPr>
          <w:rFonts w:ascii="Times New Roman"/>
          <w:b w:val="false"/>
          <w:i w:val="false"/>
          <w:color w:val="000000"/>
          <w:sz w:val="28"/>
        </w:rPr>
        <w:t>
      4 — для передачи сырой нефти и нефтепродуктов, льяльных и загрязнҰнных балластных вод;</w:t>
      </w:r>
    </w:p>
    <w:bookmarkEnd w:id="9331"/>
    <w:bookmarkStart w:name="z9377" w:id="9332"/>
    <w:p>
      <w:pPr>
        <w:spacing w:after="0"/>
        <w:ind w:left="0"/>
        <w:jc w:val="both"/>
      </w:pPr>
      <w:r>
        <w:rPr>
          <w:rFonts w:ascii="Times New Roman"/>
          <w:b w:val="false"/>
          <w:i w:val="false"/>
          <w:color w:val="000000"/>
          <w:sz w:val="28"/>
        </w:rPr>
        <w:t>
      5 — для передачи химических грузов, сжиженных газов и паров груза.</w:t>
      </w:r>
    </w:p>
    <w:bookmarkEnd w:id="9332"/>
    <w:bookmarkStart w:name="z9378" w:id="9333"/>
    <w:p>
      <w:pPr>
        <w:spacing w:after="0"/>
        <w:ind w:left="0"/>
        <w:jc w:val="both"/>
      </w:pPr>
      <w:r>
        <w:rPr>
          <w:rFonts w:ascii="Times New Roman"/>
          <w:b w:val="false"/>
          <w:i w:val="false"/>
          <w:color w:val="000000"/>
          <w:sz w:val="28"/>
        </w:rPr>
        <w:t>
      Допустимое рабочее давление шланга должно быть не менее 1,0 МПа, за исключением указанных в пункте 3217 настоящих Правил.</w:t>
      </w:r>
    </w:p>
    <w:bookmarkEnd w:id="9333"/>
    <w:bookmarkStart w:name="z9379" w:id="9334"/>
    <w:p>
      <w:pPr>
        <w:spacing w:after="0"/>
        <w:ind w:left="0"/>
        <w:jc w:val="both"/>
      </w:pPr>
      <w:r>
        <w:rPr>
          <w:rFonts w:ascii="Times New Roman"/>
          <w:b w:val="false"/>
          <w:i w:val="false"/>
          <w:color w:val="000000"/>
          <w:sz w:val="28"/>
        </w:rPr>
        <w:t>
      Для испытаний разрывным давлением допускаются образцы длиной не менее 10 номинальных диаметров, но не менее 1 м.</w:t>
      </w:r>
    </w:p>
    <w:bookmarkEnd w:id="9334"/>
    <w:bookmarkStart w:name="z9380" w:id="9335"/>
    <w:p>
      <w:pPr>
        <w:spacing w:after="0"/>
        <w:ind w:left="0"/>
        <w:jc w:val="both"/>
      </w:pPr>
      <w:r>
        <w:rPr>
          <w:rFonts w:ascii="Times New Roman"/>
          <w:b w:val="false"/>
          <w:i w:val="false"/>
          <w:color w:val="000000"/>
          <w:sz w:val="28"/>
        </w:rPr>
        <w:t xml:space="preserve">
      3220. Рукава для грузовых и топливных шлангов судов, имеющих ледовый класс, проходят типовые испытания на морозоустойчивость. Для проведения испытаний образцы рукавов выдерживают в течение 4 часов при температуре — 40 </w:t>
      </w:r>
      <w:r>
        <w:rPr>
          <w:rFonts w:ascii="Times New Roman"/>
          <w:b w:val="false"/>
          <w:i w:val="false"/>
          <w:color w:val="000000"/>
          <w:vertAlign w:val="superscript"/>
        </w:rPr>
        <w:t>о</w:t>
      </w:r>
      <w:r>
        <w:rPr>
          <w:rFonts w:ascii="Times New Roman"/>
          <w:b w:val="false"/>
          <w:i w:val="false"/>
          <w:color w:val="000000"/>
          <w:sz w:val="28"/>
        </w:rPr>
        <w:t>С. По истечение 4 часов образец проверяется на эластичность путем изгиба на 180</w:t>
      </w:r>
      <w:r>
        <w:rPr>
          <w:rFonts w:ascii="Times New Roman"/>
          <w:b w:val="false"/>
          <w:i w:val="false"/>
          <w:color w:val="000000"/>
          <w:vertAlign w:val="superscript"/>
        </w:rPr>
        <w:t>о</w:t>
      </w:r>
      <w:r>
        <w:rPr>
          <w:rFonts w:ascii="Times New Roman"/>
          <w:b w:val="false"/>
          <w:i w:val="false"/>
          <w:color w:val="000000"/>
          <w:sz w:val="28"/>
        </w:rPr>
        <w:t xml:space="preserve"> два раза в противоположных направлениях вокруг оправки диаметром </w:t>
      </w:r>
      <w:r>
        <w:rPr>
          <w:rFonts w:ascii="Times New Roman"/>
          <w:b w:val="false"/>
          <w:i/>
          <w:color w:val="000000"/>
          <w:sz w:val="28"/>
        </w:rPr>
        <w:t>R</w:t>
      </w: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 минимальный радиус изгиба, после чего производится внешний осмотр. После замораживания и изгиба на внутренней и внешней поверхностях образца не должно быть трещин. При необходимости для осмотра внутренней поверхности образец разрезают вдоль оси.</w:t>
      </w:r>
    </w:p>
    <w:bookmarkEnd w:id="9335"/>
    <w:bookmarkStart w:name="z9381" w:id="9336"/>
    <w:p>
      <w:pPr>
        <w:spacing w:after="0"/>
        <w:ind w:left="0"/>
        <w:jc w:val="both"/>
      </w:pPr>
      <w:r>
        <w:rPr>
          <w:rFonts w:ascii="Times New Roman"/>
          <w:b w:val="false"/>
          <w:i w:val="false"/>
          <w:color w:val="000000"/>
          <w:sz w:val="28"/>
        </w:rPr>
        <w:t>
      По согласованию с Регистром судоходства допустимо применять другой способ проверки на морозоустойчивость с учетом особенностей конструкции.</w:t>
      </w:r>
    </w:p>
    <w:bookmarkEnd w:id="9336"/>
    <w:bookmarkStart w:name="z9382" w:id="9337"/>
    <w:p>
      <w:pPr>
        <w:spacing w:after="0"/>
        <w:ind w:left="0"/>
        <w:jc w:val="both"/>
      </w:pPr>
      <w:r>
        <w:rPr>
          <w:rFonts w:ascii="Times New Roman"/>
          <w:b w:val="false"/>
          <w:i w:val="false"/>
          <w:color w:val="000000"/>
          <w:sz w:val="28"/>
        </w:rPr>
        <w:t>
      3221. Рукава шлангов, предназначенных для работы в условиях наружного давления проходят испытания вакуумом с разряжением 85 кПа в течение 10 мин. После испытаний шланг осматривается и бракуется в случае обнаружения деформации и сплющивания.</w:t>
      </w:r>
    </w:p>
    <w:bookmarkEnd w:id="9337"/>
    <w:bookmarkStart w:name="z9383" w:id="9338"/>
    <w:p>
      <w:pPr>
        <w:spacing w:after="0"/>
        <w:ind w:left="0"/>
        <w:jc w:val="both"/>
      </w:pPr>
      <w:r>
        <w:rPr>
          <w:rFonts w:ascii="Times New Roman"/>
          <w:b w:val="false"/>
          <w:i w:val="false"/>
          <w:color w:val="000000"/>
          <w:sz w:val="28"/>
        </w:rPr>
        <w:t xml:space="preserve">
      3222. Испытаниям на прочность сцепления всех резиновых слоев подвергаются образцы, изготовленные в виде полосок по методике, одобренной Регистром судоходства (приложение 347 настоящих Правил). Прочность сцепления контактирующих поверхностей из резины определяется как отношение среднего усилия </w:t>
      </w:r>
      <w:r>
        <w:rPr>
          <w:rFonts w:ascii="Times New Roman"/>
          <w:b w:val="false"/>
          <w:i/>
          <w:color w:val="000000"/>
          <w:sz w:val="28"/>
        </w:rPr>
        <w:t>F</w:t>
      </w:r>
      <w:r>
        <w:rPr>
          <w:rFonts w:ascii="Times New Roman"/>
          <w:b w:val="false"/>
          <w:i w:val="false"/>
          <w:color w:val="000000"/>
          <w:sz w:val="28"/>
        </w:rPr>
        <w:t>, возникающего при отрыве, деленного на ширину полосы и должна быть не менее 3 Н/мм.</w:t>
      </w:r>
    </w:p>
    <w:bookmarkEnd w:id="9338"/>
    <w:bookmarkStart w:name="z9384" w:id="9339"/>
    <w:p>
      <w:pPr>
        <w:spacing w:after="0"/>
        <w:ind w:left="0"/>
        <w:jc w:val="both"/>
      </w:pPr>
      <w:r>
        <w:rPr>
          <w:rFonts w:ascii="Times New Roman"/>
          <w:b w:val="false"/>
          <w:i w:val="false"/>
          <w:color w:val="000000"/>
          <w:sz w:val="28"/>
        </w:rPr>
        <w:t>
      3223. Каждый шланг после изготовления проходит следующие испытания:</w:t>
      </w:r>
    </w:p>
    <w:bookmarkEnd w:id="9339"/>
    <w:bookmarkStart w:name="z9385" w:id="9340"/>
    <w:p>
      <w:pPr>
        <w:spacing w:after="0"/>
        <w:ind w:left="0"/>
        <w:jc w:val="both"/>
      </w:pPr>
      <w:r>
        <w:rPr>
          <w:rFonts w:ascii="Times New Roman"/>
          <w:b w:val="false"/>
          <w:i w:val="false"/>
          <w:color w:val="000000"/>
          <w:sz w:val="28"/>
        </w:rPr>
        <w:t>
      1) определение массы. После взвешивания вес шланга заносится в сертификат. Для плавучих шлангов определяется запас плавучести согласно пункту 3439 настоящих Правил;</w:t>
      </w:r>
    </w:p>
    <w:bookmarkEnd w:id="9340"/>
    <w:bookmarkStart w:name="z9386" w:id="9341"/>
    <w:p>
      <w:pPr>
        <w:spacing w:after="0"/>
        <w:ind w:left="0"/>
        <w:jc w:val="both"/>
      </w:pPr>
      <w:r>
        <w:rPr>
          <w:rFonts w:ascii="Times New Roman"/>
          <w:b w:val="false"/>
          <w:i w:val="false"/>
          <w:color w:val="000000"/>
          <w:sz w:val="28"/>
        </w:rPr>
        <w:t>
      2) гидростатические испытания давлением 1,5 рабочего;</w:t>
      </w:r>
    </w:p>
    <w:bookmarkEnd w:id="9341"/>
    <w:bookmarkStart w:name="z9387" w:id="9342"/>
    <w:p>
      <w:pPr>
        <w:spacing w:after="0"/>
        <w:ind w:left="0"/>
        <w:jc w:val="both"/>
      </w:pPr>
      <w:r>
        <w:rPr>
          <w:rFonts w:ascii="Times New Roman"/>
          <w:b w:val="false"/>
          <w:i w:val="false"/>
          <w:color w:val="000000"/>
          <w:sz w:val="28"/>
        </w:rPr>
        <w:t>
      3) электротехнические испытания, включающие в себя:</w:t>
      </w:r>
    </w:p>
    <w:bookmarkEnd w:id="9342"/>
    <w:bookmarkStart w:name="z9388" w:id="9343"/>
    <w:p>
      <w:pPr>
        <w:spacing w:after="0"/>
        <w:ind w:left="0"/>
        <w:jc w:val="both"/>
      </w:pPr>
      <w:r>
        <w:rPr>
          <w:rFonts w:ascii="Times New Roman"/>
          <w:b w:val="false"/>
          <w:i w:val="false"/>
          <w:color w:val="000000"/>
          <w:sz w:val="28"/>
        </w:rPr>
        <w:t>
      замер сопротивления между фланцами шланга, не обладающего электропроводимостью (сопротивление должно быть не менее 25000 Ом и не более 10</w:t>
      </w:r>
      <w:r>
        <w:rPr>
          <w:rFonts w:ascii="Times New Roman"/>
          <w:b w:val="false"/>
          <w:i w:val="false"/>
          <w:color w:val="000000"/>
          <w:vertAlign w:val="superscript"/>
        </w:rPr>
        <w:t>6</w:t>
      </w:r>
      <w:r>
        <w:rPr>
          <w:rFonts w:ascii="Times New Roman"/>
          <w:b w:val="false"/>
          <w:i w:val="false"/>
          <w:color w:val="000000"/>
          <w:sz w:val="28"/>
        </w:rPr>
        <w:t xml:space="preserve"> Ом);</w:t>
      </w:r>
    </w:p>
    <w:bookmarkEnd w:id="9343"/>
    <w:bookmarkStart w:name="z9389" w:id="9344"/>
    <w:p>
      <w:pPr>
        <w:spacing w:after="0"/>
        <w:ind w:left="0"/>
        <w:jc w:val="both"/>
      </w:pPr>
      <w:r>
        <w:rPr>
          <w:rFonts w:ascii="Times New Roman"/>
          <w:b w:val="false"/>
          <w:i w:val="false"/>
          <w:color w:val="000000"/>
          <w:sz w:val="28"/>
        </w:rPr>
        <w:t>
      проверку проводимости для электропроводящих шлангов напряжением 4,5 В и лампочкой для тестирования.</w:t>
      </w:r>
    </w:p>
    <w:bookmarkEnd w:id="9344"/>
    <w:bookmarkStart w:name="z9390" w:id="9345"/>
    <w:p>
      <w:pPr>
        <w:spacing w:after="0"/>
        <w:ind w:left="0"/>
        <w:jc w:val="both"/>
      </w:pPr>
      <w:r>
        <w:rPr>
          <w:rFonts w:ascii="Times New Roman"/>
          <w:b w:val="false"/>
          <w:i w:val="false"/>
          <w:color w:val="000000"/>
          <w:sz w:val="28"/>
        </w:rPr>
        <w:t>
      3224. Грузовые шланги нефтеналивных судов и шланги для приема топлива и масла проходят типовые испытания при нормальной температуре 15 циклов подъема давления от 0 до полуторного максимально допустимого рабочего давления. После 15 циклов образец подвергают испытаниям на прочность разрывным давлением согласно пункту 3219 настоящих Правил.</w:t>
      </w:r>
    </w:p>
    <w:bookmarkEnd w:id="9345"/>
    <w:bookmarkStart w:name="z9391" w:id="9346"/>
    <w:p>
      <w:pPr>
        <w:spacing w:after="0"/>
        <w:ind w:left="0"/>
        <w:jc w:val="both"/>
      </w:pPr>
      <w:r>
        <w:rPr>
          <w:rFonts w:ascii="Times New Roman"/>
          <w:b w:val="false"/>
          <w:i w:val="false"/>
          <w:color w:val="000000"/>
          <w:sz w:val="28"/>
        </w:rPr>
        <w:t>
      3225. Грузовые шланги для передачи химических грузов и сжиженных газов проходят типовые испытания при нормальной температуре 200 циклов подъема давления от 0 до двойного максимально допустимого рабочего давления. После 200 циклов образец подвергают испытаниям на прочность разрывным давлением согласно пункту 219 настоящих Правил.</w:t>
      </w:r>
    </w:p>
    <w:bookmarkEnd w:id="9346"/>
    <w:bookmarkStart w:name="z9392" w:id="9347"/>
    <w:p>
      <w:pPr>
        <w:spacing w:after="0"/>
        <w:ind w:left="0"/>
        <w:jc w:val="left"/>
      </w:pPr>
      <w:r>
        <w:rPr>
          <w:rFonts w:ascii="Times New Roman"/>
          <w:b/>
          <w:i w:val="false"/>
          <w:color w:val="000000"/>
        </w:rPr>
        <w:t xml:space="preserve"> Подраздел 7. Осушительная система</w:t>
      </w:r>
      <w:r>
        <w:br/>
      </w:r>
      <w:r>
        <w:rPr>
          <w:rFonts w:ascii="Times New Roman"/>
          <w:b/>
          <w:i w:val="false"/>
          <w:color w:val="000000"/>
        </w:rPr>
        <w:t>Глава 254. Насосы</w:t>
      </w:r>
    </w:p>
    <w:bookmarkEnd w:id="9347"/>
    <w:p>
      <w:pPr>
        <w:spacing w:after="0"/>
        <w:ind w:left="0"/>
        <w:jc w:val="both"/>
      </w:pPr>
      <w:r>
        <w:rPr>
          <w:rFonts w:ascii="Times New Roman"/>
          <w:b w:val="false"/>
          <w:i w:val="false"/>
          <w:color w:val="ff0000"/>
          <w:sz w:val="28"/>
        </w:rPr>
        <w:t xml:space="preserve">
      Сноска. Заголовок главы 254 -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94" w:id="9348"/>
    <w:p>
      <w:pPr>
        <w:spacing w:after="0"/>
        <w:ind w:left="0"/>
        <w:jc w:val="both"/>
      </w:pPr>
      <w:r>
        <w:rPr>
          <w:rFonts w:ascii="Times New Roman"/>
          <w:b w:val="false"/>
          <w:i w:val="false"/>
          <w:color w:val="000000"/>
          <w:sz w:val="28"/>
        </w:rPr>
        <w:t>
      3226. На каждом самоходном судне следует предусматривать не менее двух осушительных насосов с механическим приводом.</w:t>
      </w:r>
    </w:p>
    <w:bookmarkEnd w:id="9348"/>
    <w:bookmarkStart w:name="z9395" w:id="9349"/>
    <w:p>
      <w:pPr>
        <w:spacing w:after="0"/>
        <w:ind w:left="0"/>
        <w:jc w:val="both"/>
      </w:pPr>
      <w:r>
        <w:rPr>
          <w:rFonts w:ascii="Times New Roman"/>
          <w:b w:val="false"/>
          <w:i w:val="false"/>
          <w:color w:val="000000"/>
          <w:sz w:val="28"/>
        </w:rPr>
        <w:t>
      В качестве осушительных допускается применять независимые балластные, санитарные или насосы общесудового назначения достаточной подачей, причем на судах длиной до 91,5 м, включая суда специального назначения, имеющие на борту специальный персонал не более 50 человек, в качестве одного из осушительных насосов может быть использован насос, приводимый в действие главным механизмом, водоструйный или пароструйный эжектор, если паровой котел находится постоянно в действии.</w:t>
      </w:r>
    </w:p>
    <w:bookmarkEnd w:id="9349"/>
    <w:bookmarkStart w:name="z9396" w:id="9350"/>
    <w:p>
      <w:pPr>
        <w:spacing w:after="0"/>
        <w:ind w:left="0"/>
        <w:jc w:val="both"/>
      </w:pPr>
      <w:r>
        <w:rPr>
          <w:rFonts w:ascii="Times New Roman"/>
          <w:b w:val="false"/>
          <w:i w:val="false"/>
          <w:color w:val="000000"/>
          <w:sz w:val="28"/>
        </w:rPr>
        <w:t>
      Если в качестве осушительных насосов применяются пожарные насосы, должно быть выполнено требование пункта 2301 настоящих Правил.</w:t>
      </w:r>
    </w:p>
    <w:bookmarkEnd w:id="9350"/>
    <w:bookmarkStart w:name="z9397" w:id="9351"/>
    <w:p>
      <w:pPr>
        <w:spacing w:after="0"/>
        <w:ind w:left="0"/>
        <w:jc w:val="both"/>
      </w:pPr>
      <w:r>
        <w:rPr>
          <w:rFonts w:ascii="Times New Roman"/>
          <w:b w:val="false"/>
          <w:i w:val="false"/>
          <w:color w:val="000000"/>
          <w:sz w:val="28"/>
        </w:rPr>
        <w:t>
      На грузовых судах валовой вместимостью менее 500 ограниченных районов плавания R2, R2-RSN, R3-RSN и R3 допускается чтобы один из насосов был приводным от главного двигателя, а в качестве второго допускается применять эжектор или ручной насос.</w:t>
      </w:r>
    </w:p>
    <w:bookmarkEnd w:id="9351"/>
    <w:bookmarkStart w:name="z9398" w:id="9352"/>
    <w:p>
      <w:pPr>
        <w:spacing w:after="0"/>
        <w:ind w:left="0"/>
        <w:jc w:val="both"/>
      </w:pPr>
      <w:r>
        <w:rPr>
          <w:rFonts w:ascii="Times New Roman"/>
          <w:b w:val="false"/>
          <w:i w:val="false"/>
          <w:color w:val="000000"/>
          <w:sz w:val="28"/>
        </w:rPr>
        <w:t xml:space="preserve">
      На судах специального назначения и других судах, получающих в символе класса знак деления на отсеки </w:t>
      </w:r>
    </w:p>
    <w:bookmarkEnd w:id="9352"/>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4"/>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и более (раздел 7 настоящих Правил), число осушительных насосов и их рание являются в каждом случае предметом специального рассмотрения Регистром судоходства.</w:t>
      </w:r>
      <w:r>
        <w:br/>
      </w:r>
      <w:r>
        <w:rPr>
          <w:rFonts w:ascii="Times New Roman"/>
          <w:b w:val="false"/>
          <w:i w:val="false"/>
          <w:color w:val="000000"/>
          <w:sz w:val="28"/>
        </w:rPr>
        <w:t>
</w:t>
      </w:r>
    </w:p>
    <w:bookmarkStart w:name="z9399" w:id="9353"/>
    <w:p>
      <w:pPr>
        <w:spacing w:after="0"/>
        <w:ind w:left="0"/>
        <w:jc w:val="both"/>
      </w:pPr>
      <w:r>
        <w:rPr>
          <w:rFonts w:ascii="Times New Roman"/>
          <w:b w:val="false"/>
          <w:i w:val="false"/>
          <w:color w:val="000000"/>
          <w:sz w:val="28"/>
        </w:rPr>
        <w:t>
      3227. Пассажирские суда и суда специального назначения, имеющие на борту более 50 человек специального персонала, имеют не менее трех насосов с механическим приводом, присоединенных к осушительной магистрали;</w:t>
      </w:r>
    </w:p>
    <w:bookmarkEnd w:id="9353"/>
    <w:bookmarkStart w:name="z9400" w:id="9354"/>
    <w:p>
      <w:pPr>
        <w:spacing w:after="0"/>
        <w:ind w:left="0"/>
        <w:jc w:val="both"/>
      </w:pPr>
      <w:r>
        <w:rPr>
          <w:rFonts w:ascii="Times New Roman"/>
          <w:b w:val="false"/>
          <w:i w:val="false"/>
          <w:color w:val="000000"/>
          <w:sz w:val="28"/>
        </w:rPr>
        <w:t>
      при этом допускается чтобы один из этих насосов приводился в действие от главного механизма.</w:t>
      </w:r>
    </w:p>
    <w:bookmarkEnd w:id="9354"/>
    <w:bookmarkStart w:name="z9401" w:id="9355"/>
    <w:p>
      <w:pPr>
        <w:spacing w:after="0"/>
        <w:ind w:left="0"/>
        <w:jc w:val="both"/>
      </w:pPr>
      <w:r>
        <w:rPr>
          <w:rFonts w:ascii="Times New Roman"/>
          <w:b w:val="false"/>
          <w:i w:val="false"/>
          <w:color w:val="000000"/>
          <w:sz w:val="28"/>
        </w:rPr>
        <w:t xml:space="preserve">
      Если индекс деления на отсеки </w:t>
      </w:r>
      <w:r>
        <w:rPr>
          <w:rFonts w:ascii="Times New Roman"/>
          <w:b w:val="false"/>
          <w:i/>
          <w:color w:val="000000"/>
          <w:sz w:val="28"/>
        </w:rPr>
        <w:t>R</w:t>
      </w:r>
      <w:r>
        <w:rPr>
          <w:rFonts w:ascii="Times New Roman"/>
          <w:b w:val="false"/>
          <w:i w:val="false"/>
          <w:color w:val="000000"/>
          <w:sz w:val="28"/>
        </w:rPr>
        <w:t>, определенный по формуле, приведенной в пункте 1814 и подпункте 3) пункта 1988 настоящих Правил, равен или более 0,5, таких насосов должно быть не менее четырех.</w:t>
      </w:r>
    </w:p>
    <w:bookmarkEnd w:id="9355"/>
    <w:bookmarkStart w:name="z9402" w:id="9356"/>
    <w:p>
      <w:pPr>
        <w:spacing w:after="0"/>
        <w:ind w:left="0"/>
        <w:jc w:val="both"/>
      </w:pPr>
      <w:r>
        <w:rPr>
          <w:rFonts w:ascii="Times New Roman"/>
          <w:b w:val="false"/>
          <w:i w:val="false"/>
          <w:color w:val="000000"/>
          <w:sz w:val="28"/>
        </w:rPr>
        <w:t>
      В качестве осушительных допускается применять независимые балластные, санитарные или насосы общесудового назначения с достаточной подачей.</w:t>
      </w:r>
    </w:p>
    <w:bookmarkEnd w:id="9356"/>
    <w:bookmarkStart w:name="z9403" w:id="9357"/>
    <w:p>
      <w:pPr>
        <w:spacing w:after="0"/>
        <w:ind w:left="0"/>
        <w:jc w:val="both"/>
      </w:pPr>
      <w:r>
        <w:rPr>
          <w:rFonts w:ascii="Times New Roman"/>
          <w:b w:val="false"/>
          <w:i w:val="false"/>
          <w:color w:val="000000"/>
          <w:sz w:val="28"/>
        </w:rPr>
        <w:t>
      Если на судах, предназначенных для перевозки автотранспорта, применяется система водораспыления пожаротушения, то в необходимых случаях Регистр судоходства требует повышения подачи или увеличения числа осушительных насосов.</w:t>
      </w:r>
    </w:p>
    <w:bookmarkEnd w:id="9357"/>
    <w:bookmarkStart w:name="z9404" w:id="9358"/>
    <w:p>
      <w:pPr>
        <w:spacing w:after="0"/>
        <w:ind w:left="0"/>
        <w:jc w:val="both"/>
      </w:pPr>
      <w:r>
        <w:rPr>
          <w:rFonts w:ascii="Times New Roman"/>
          <w:b w:val="false"/>
          <w:i w:val="false"/>
          <w:color w:val="000000"/>
          <w:sz w:val="28"/>
        </w:rPr>
        <w:t>
      3228. Необходимо чтобы осушительные центробежные насосы были самовсасывающими, или система оборудуется воздухоотсасывающим устройством.</w:t>
      </w:r>
    </w:p>
    <w:bookmarkEnd w:id="9358"/>
    <w:bookmarkStart w:name="z9405" w:id="9359"/>
    <w:p>
      <w:pPr>
        <w:spacing w:after="0"/>
        <w:ind w:left="0"/>
        <w:jc w:val="both"/>
      </w:pPr>
      <w:r>
        <w:rPr>
          <w:rFonts w:ascii="Times New Roman"/>
          <w:b w:val="false"/>
          <w:i w:val="false"/>
          <w:color w:val="000000"/>
          <w:sz w:val="28"/>
        </w:rPr>
        <w:t>
      Рекомендуется установка одного из насосов поршневого типа.</w:t>
      </w:r>
    </w:p>
    <w:bookmarkEnd w:id="9359"/>
    <w:bookmarkStart w:name="z9406" w:id="9360"/>
    <w:p>
      <w:pPr>
        <w:spacing w:after="0"/>
        <w:ind w:left="0"/>
        <w:jc w:val="both"/>
      </w:pPr>
      <w:r>
        <w:rPr>
          <w:rFonts w:ascii="Times New Roman"/>
          <w:b w:val="false"/>
          <w:i w:val="false"/>
          <w:color w:val="000000"/>
          <w:sz w:val="28"/>
        </w:rPr>
        <w:t xml:space="preserve">
      3229. На пассажирских судах, имеющих длину 91,5 м и более или индекс деления на отсеки </w:t>
      </w:r>
      <w:r>
        <w:rPr>
          <w:rFonts w:ascii="Times New Roman"/>
          <w:b w:val="false"/>
          <w:i/>
          <w:color w:val="000000"/>
          <w:sz w:val="28"/>
        </w:rPr>
        <w:t>R</w:t>
      </w:r>
      <w:r>
        <w:rPr>
          <w:rFonts w:ascii="Times New Roman"/>
          <w:b w:val="false"/>
          <w:i w:val="false"/>
          <w:color w:val="000000"/>
          <w:sz w:val="28"/>
        </w:rPr>
        <w:t xml:space="preserve"> более 0,5, а также на судах специального назначения (со специальным персоналом на борту более 50 человек), имеющих длину 91,5 м и более или индекс деления на отсеки R более 0,5 (пункте 1814 и подпункте 3) пункта 1988 настоящих Правил), осушительные насосы размещаются таким образом, чтобы при любом возможном затоплении отсеков по крайней мере один из осушительных насосов был пригоден к действию. Это требование считается выполненным, если один из насосов является надежным насосом погружного типа и источник питания его находится выше палубы переборок или если насосы и источники их питания расположены в разных водонепроницаемых отсеках таким образом, что при любом допускаемом для данного судна затоплении отсеков по крайней мере один насос будет находиться в неповрежденном отсеке и будет в состоянии действовать.</w:t>
      </w:r>
    </w:p>
    <w:bookmarkEnd w:id="9360"/>
    <w:bookmarkStart w:name="z9407" w:id="9361"/>
    <w:p>
      <w:pPr>
        <w:spacing w:after="0"/>
        <w:ind w:left="0"/>
        <w:jc w:val="both"/>
      </w:pPr>
      <w:r>
        <w:rPr>
          <w:rFonts w:ascii="Times New Roman"/>
          <w:b w:val="false"/>
          <w:i w:val="false"/>
          <w:color w:val="000000"/>
          <w:sz w:val="28"/>
        </w:rPr>
        <w:t>
      3230. На пассажирских судах и судах специального назначения, не указанных в пункте 3229 настоящих Правил, а также на судах, которые имеют в символе класса знак деления на отсеки, там, где это практически возможно, осушительные насосы рекомендуется размещать в разных водонепроницаемых отсеках;</w:t>
      </w:r>
    </w:p>
    <w:bookmarkEnd w:id="9361"/>
    <w:bookmarkStart w:name="z9408" w:id="9362"/>
    <w:p>
      <w:pPr>
        <w:spacing w:after="0"/>
        <w:ind w:left="0"/>
        <w:jc w:val="both"/>
      </w:pPr>
      <w:r>
        <w:rPr>
          <w:rFonts w:ascii="Times New Roman"/>
          <w:b w:val="false"/>
          <w:i w:val="false"/>
          <w:color w:val="000000"/>
          <w:sz w:val="28"/>
        </w:rPr>
        <w:t>
      при этом необходимо чтобы система соответствовала требованиям пункта 3247 настоящих Правил.</w:t>
      </w:r>
    </w:p>
    <w:bookmarkEnd w:id="9362"/>
    <w:bookmarkStart w:name="z9409" w:id="9363"/>
    <w:p>
      <w:pPr>
        <w:spacing w:after="0"/>
        <w:ind w:left="0"/>
        <w:jc w:val="both"/>
      </w:pPr>
      <w:r>
        <w:rPr>
          <w:rFonts w:ascii="Times New Roman"/>
          <w:b w:val="false"/>
          <w:i w:val="false"/>
          <w:color w:val="000000"/>
          <w:sz w:val="28"/>
        </w:rPr>
        <w:t xml:space="preserve">
      3231. Каждый осушительный насос, требуемый пунктами 3226 и 3227 настоящих Правил, имеет подачу </w:t>
      </w:r>
    </w:p>
    <w:bookmarkEnd w:id="9363"/>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5"/>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/час, не менее определенной по формуле:</w:t>
      </w:r>
      <w:r>
        <w:br/>
      </w:r>
      <w:r>
        <w:rPr>
          <w:rFonts w:ascii="Times New Roman"/>
          <w:b w:val="false"/>
          <w:i w:val="false"/>
          <w:color w:val="000000"/>
          <w:sz w:val="28"/>
        </w:rPr>
        <w:t>
</w:t>
      </w:r>
      <w:r>
        <w:br/>
      </w:r>
    </w:p>
    <w:p>
      <w:pPr>
        <w:spacing w:after="0"/>
        <w:ind w:left="0"/>
        <w:jc w:val="both"/>
      </w:pPr>
      <w:r>
        <w:drawing>
          <wp:inline distT="0" distB="0" distL="0" distR="0">
            <wp:extent cx="162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6"/>
                    <a:stretch>
                      <a:fillRect/>
                    </a:stretch>
                  </pic:blipFill>
                  <pic:spPr>
                    <a:xfrm>
                      <a:off x="0" y="0"/>
                      <a:ext cx="1625600" cy="292100"/>
                    </a:xfrm>
                    <a:prstGeom prst="rect">
                      <a:avLst/>
                    </a:prstGeom>
                  </pic:spPr>
                </pic:pic>
              </a:graphicData>
            </a:graphic>
          </wp:inline>
        </w:drawing>
      </w:r>
    </w:p>
    <w:p>
      <w:pPr>
        <w:spacing w:after="0"/>
        <w:ind w:left="0"/>
        <w:jc w:val="left"/>
      </w:pPr>
      <w:r>
        <w:rPr>
          <w:rFonts w:ascii="Times New Roman"/>
          <w:b w:val="false"/>
          <w:i w:val="false"/>
          <w:color w:val="000000"/>
          <w:sz w:val="28"/>
        </w:rPr>
        <w:t>,                    (767)</w:t>
      </w:r>
      <w:r>
        <w:br/>
      </w:r>
      <w:r>
        <w:rPr>
          <w:rFonts w:ascii="Times New Roman"/>
          <w:b w:val="false"/>
          <w:i w:val="false"/>
          <w:color w:val="000000"/>
          <w:sz w:val="28"/>
        </w:rPr>
        <w:t>
</w:t>
      </w:r>
    </w:p>
    <w:bookmarkStart w:name="z9410" w:id="9364"/>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внутренний диаметр магистрали, определенный согласно пункту 3236 настоящих Правил, мм.</w:t>
      </w:r>
    </w:p>
    <w:bookmarkEnd w:id="9364"/>
    <w:bookmarkStart w:name="z9411" w:id="9365"/>
    <w:p>
      <w:pPr>
        <w:spacing w:after="0"/>
        <w:ind w:left="0"/>
        <w:jc w:val="both"/>
      </w:pPr>
      <w:r>
        <w:rPr>
          <w:rFonts w:ascii="Times New Roman"/>
          <w:b w:val="false"/>
          <w:i w:val="false"/>
          <w:color w:val="000000"/>
          <w:sz w:val="28"/>
        </w:rPr>
        <w:t>
      Осушительный насос возможно заменить двумя насосами, общая подача которых должна быть не менее указанной. Для пассажирских судов каждый осушительный насос имеет подачу, определенную из условия, что расчетная скорость воды через требуемый пунктом 3236 настоящих Правил внутренний диаметр должна быть не менее 2 м/с.</w:t>
      </w:r>
    </w:p>
    <w:bookmarkEnd w:id="9365"/>
    <w:bookmarkStart w:name="z9412" w:id="9366"/>
    <w:p>
      <w:pPr>
        <w:spacing w:after="0"/>
        <w:ind w:left="0"/>
        <w:jc w:val="both"/>
      </w:pPr>
      <w:r>
        <w:rPr>
          <w:rFonts w:ascii="Times New Roman"/>
          <w:b w:val="false"/>
          <w:i w:val="false"/>
          <w:color w:val="000000"/>
          <w:sz w:val="28"/>
        </w:rPr>
        <w:t>
      3232. Для осушения несамоходных судов, не имеющих механизмов с механическим приводом, устанавливают по крайней мере два ручных насоса поршневого типа суммарной подачей не менее указанной в приложении 348 настоящих Правил.</w:t>
      </w:r>
    </w:p>
    <w:bookmarkEnd w:id="9366"/>
    <w:bookmarkStart w:name="z9413" w:id="9367"/>
    <w:p>
      <w:pPr>
        <w:spacing w:after="0"/>
        <w:ind w:left="0"/>
        <w:jc w:val="both"/>
      </w:pPr>
      <w:r>
        <w:rPr>
          <w:rFonts w:ascii="Times New Roman"/>
          <w:b w:val="false"/>
          <w:i w:val="false"/>
          <w:color w:val="000000"/>
          <w:sz w:val="28"/>
        </w:rPr>
        <w:t xml:space="preserve">
      При этом </w:t>
      </w:r>
      <w:r>
        <w:rPr>
          <w:rFonts w:ascii="Times New Roman"/>
          <w:b w:val="false"/>
          <w:i/>
          <w:color w:val="000000"/>
          <w:sz w:val="28"/>
        </w:rPr>
        <w:t>D</w:t>
      </w:r>
      <w:r>
        <w:rPr>
          <w:rFonts w:ascii="Times New Roman"/>
          <w:b w:val="false"/>
          <w:i w:val="false"/>
          <w:color w:val="000000"/>
          <w:sz w:val="28"/>
        </w:rPr>
        <w:t xml:space="preserve"> измеряется в каждом случае только до палубы переборок.</w:t>
      </w:r>
    </w:p>
    <w:bookmarkEnd w:id="9367"/>
    <w:bookmarkStart w:name="z9414" w:id="9368"/>
    <w:p>
      <w:pPr>
        <w:spacing w:after="0"/>
        <w:ind w:left="0"/>
        <w:jc w:val="both"/>
      </w:pPr>
      <w:r>
        <w:rPr>
          <w:rFonts w:ascii="Times New Roman"/>
          <w:b w:val="false"/>
          <w:i w:val="false"/>
          <w:color w:val="000000"/>
          <w:sz w:val="28"/>
        </w:rPr>
        <w:t xml:space="preserve">
      Для судов, имеющих на палубе переборок закрытое грузовое помещение, осушаемое в соответствии с пунктом 3274 настоящих Правил и простирающееся на всю длину судна, </w:t>
      </w:r>
      <w:r>
        <w:rPr>
          <w:rFonts w:ascii="Times New Roman"/>
          <w:b w:val="false"/>
          <w:i/>
          <w:color w:val="000000"/>
          <w:sz w:val="28"/>
        </w:rPr>
        <w:t>D</w:t>
      </w:r>
      <w:r>
        <w:rPr>
          <w:rFonts w:ascii="Times New Roman"/>
          <w:b w:val="false"/>
          <w:i w:val="false"/>
          <w:color w:val="000000"/>
          <w:sz w:val="28"/>
        </w:rPr>
        <w:t xml:space="preserve"> измеряются до следующей палубы, расположенной над палубой переборок.</w:t>
      </w:r>
    </w:p>
    <w:bookmarkEnd w:id="9368"/>
    <w:bookmarkStart w:name="z9415" w:id="9369"/>
    <w:p>
      <w:pPr>
        <w:spacing w:after="0"/>
        <w:ind w:left="0"/>
        <w:jc w:val="both"/>
      </w:pPr>
      <w:r>
        <w:rPr>
          <w:rFonts w:ascii="Times New Roman"/>
          <w:b w:val="false"/>
          <w:i w:val="false"/>
          <w:color w:val="000000"/>
          <w:sz w:val="28"/>
        </w:rPr>
        <w:t xml:space="preserve">
      Если закрытые грузовые помещения простираются не на всю длину судна, </w:t>
      </w:r>
      <w:r>
        <w:rPr>
          <w:rFonts w:ascii="Times New Roman"/>
          <w:b w:val="false"/>
          <w:i/>
          <w:color w:val="000000"/>
          <w:sz w:val="28"/>
        </w:rPr>
        <w:t>D</w:t>
      </w:r>
      <w:r>
        <w:rPr>
          <w:rFonts w:ascii="Times New Roman"/>
          <w:b w:val="false"/>
          <w:i w:val="false"/>
          <w:color w:val="000000"/>
          <w:sz w:val="28"/>
        </w:rPr>
        <w:t xml:space="preserve"> принимается как высота борта судна до палубы переборок плюс </w:t>
      </w:r>
      <w:r>
        <w:rPr>
          <w:rFonts w:ascii="Times New Roman"/>
          <w:b w:val="false"/>
          <w:i/>
          <w:color w:val="000000"/>
          <w:sz w:val="28"/>
        </w:rPr>
        <w:t>lh/L</w:t>
      </w: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и </w:t>
      </w:r>
      <w:r>
        <w:rPr>
          <w:rFonts w:ascii="Times New Roman"/>
          <w:b w:val="false"/>
          <w:i/>
          <w:color w:val="000000"/>
          <w:sz w:val="28"/>
        </w:rPr>
        <w:t>h</w:t>
      </w:r>
      <w:r>
        <w:rPr>
          <w:rFonts w:ascii="Times New Roman"/>
          <w:b w:val="false"/>
          <w:i w:val="false"/>
          <w:color w:val="000000"/>
          <w:sz w:val="28"/>
        </w:rPr>
        <w:t xml:space="preserve"> — соответственно, общая длина и высота закрытых грузовых помещений.</w:t>
      </w:r>
    </w:p>
    <w:bookmarkEnd w:id="9369"/>
    <w:bookmarkStart w:name="z9416" w:id="9370"/>
    <w:p>
      <w:pPr>
        <w:spacing w:after="0"/>
        <w:ind w:left="0"/>
        <w:jc w:val="both"/>
      </w:pPr>
      <w:r>
        <w:rPr>
          <w:rFonts w:ascii="Times New Roman"/>
          <w:b w:val="false"/>
          <w:i w:val="false"/>
          <w:color w:val="000000"/>
          <w:sz w:val="28"/>
        </w:rPr>
        <w:t>
      Насосы располагают выше палубы переборок и имеют достаточную высоту всасывания.</w:t>
      </w:r>
    </w:p>
    <w:bookmarkEnd w:id="9370"/>
    <w:bookmarkStart w:name="z9417" w:id="9371"/>
    <w:p>
      <w:pPr>
        <w:spacing w:after="0"/>
        <w:ind w:left="0"/>
        <w:jc w:val="both"/>
      </w:pPr>
      <w:r>
        <w:rPr>
          <w:rFonts w:ascii="Times New Roman"/>
          <w:b w:val="false"/>
          <w:i w:val="false"/>
          <w:color w:val="000000"/>
          <w:sz w:val="28"/>
        </w:rPr>
        <w:t>
      На несамоходных судах, оборудованных источником энергии, рекомендуется устанавливать насосы с механическим приводом, число и подача которых соответствует требованиям, предъявляемым к ручным насосам.</w:t>
      </w:r>
    </w:p>
    <w:bookmarkEnd w:id="9371"/>
    <w:bookmarkStart w:name="z9418" w:id="9372"/>
    <w:p>
      <w:pPr>
        <w:spacing w:after="0"/>
        <w:ind w:left="0"/>
        <w:jc w:val="both"/>
      </w:pPr>
      <w:r>
        <w:rPr>
          <w:rFonts w:ascii="Times New Roman"/>
          <w:b w:val="false"/>
          <w:i w:val="false"/>
          <w:color w:val="000000"/>
          <w:sz w:val="28"/>
        </w:rPr>
        <w:t>
      3233. На судах катамаранного типа каждый корпус оборудоваются автономной осушительной системой, соответствующей требованиям настоящей главы.</w:t>
      </w:r>
    </w:p>
    <w:bookmarkEnd w:id="9372"/>
    <w:bookmarkStart w:name="z9419" w:id="9373"/>
    <w:p>
      <w:pPr>
        <w:spacing w:after="0"/>
        <w:ind w:left="0"/>
        <w:jc w:val="both"/>
      </w:pPr>
      <w:r>
        <w:rPr>
          <w:rFonts w:ascii="Times New Roman"/>
          <w:b w:val="false"/>
          <w:i w:val="false"/>
          <w:color w:val="000000"/>
          <w:sz w:val="28"/>
        </w:rPr>
        <w:t>
      3234. На стоечных судах устанавлиывают не менее двух осушительных насосов с механическим приводом, подача каждого из которых должна быть не менее 11,0 м</w:t>
      </w:r>
      <w:r>
        <w:rPr>
          <w:rFonts w:ascii="Times New Roman"/>
          <w:b w:val="false"/>
          <w:i w:val="false"/>
          <w:color w:val="000000"/>
          <w:vertAlign w:val="superscript"/>
        </w:rPr>
        <w:t>3</w:t>
      </w:r>
      <w:r>
        <w:rPr>
          <w:rFonts w:ascii="Times New Roman"/>
          <w:b w:val="false"/>
          <w:i w:val="false"/>
          <w:color w:val="000000"/>
          <w:sz w:val="28"/>
        </w:rPr>
        <w:t>/ч. При этом расчетная скорость воды в приемной осушительной магистрали в нормальных эксплуатационных условиях должна быть не менее 2 м/с.</w:t>
      </w:r>
    </w:p>
    <w:bookmarkEnd w:id="9373"/>
    <w:bookmarkStart w:name="z9420" w:id="9374"/>
    <w:p>
      <w:pPr>
        <w:spacing w:after="0"/>
        <w:ind w:left="0"/>
        <w:jc w:val="both"/>
      </w:pPr>
      <w:r>
        <w:rPr>
          <w:rFonts w:ascii="Times New Roman"/>
          <w:b w:val="false"/>
          <w:i w:val="false"/>
          <w:color w:val="000000"/>
          <w:sz w:val="28"/>
        </w:rPr>
        <w:t>
      Насосы обеспечивают осушение любого помещения, расположенного ниже палубы переборок; при этом их приводы следует так размещать по длине судна, чтобы, по крайней мере, один из насосов, находящихся в неповрежденном отсеке, мог осушать затопленное помещение.</w:t>
      </w:r>
    </w:p>
    <w:bookmarkEnd w:id="9374"/>
    <w:bookmarkStart w:name="z9421" w:id="9375"/>
    <w:p>
      <w:pPr>
        <w:spacing w:after="0"/>
        <w:ind w:left="0"/>
        <w:jc w:val="both"/>
      </w:pPr>
      <w:r>
        <w:rPr>
          <w:rFonts w:ascii="Times New Roman"/>
          <w:b w:val="false"/>
          <w:i w:val="false"/>
          <w:color w:val="000000"/>
          <w:sz w:val="28"/>
        </w:rPr>
        <w:t>
      3235. Суда со знаками FF1, FF1WS, FF2, FF2WS в символе класса имеют осушительные средства для откачки воды из затопленных отсеков аварийных судов.</w:t>
      </w:r>
    </w:p>
    <w:bookmarkEnd w:id="9375"/>
    <w:bookmarkStart w:name="z9422" w:id="9376"/>
    <w:p>
      <w:pPr>
        <w:spacing w:after="0"/>
        <w:ind w:left="0"/>
        <w:jc w:val="both"/>
      </w:pPr>
      <w:r>
        <w:rPr>
          <w:rFonts w:ascii="Times New Roman"/>
          <w:b w:val="false"/>
          <w:i w:val="false"/>
          <w:color w:val="000000"/>
          <w:sz w:val="28"/>
        </w:rPr>
        <w:t>
      В состав этих средств могут входить насосы (стационарные и/или переносные) и эжекторы.</w:t>
      </w:r>
    </w:p>
    <w:bookmarkEnd w:id="9376"/>
    <w:bookmarkStart w:name="z9423" w:id="9377"/>
    <w:p>
      <w:pPr>
        <w:spacing w:after="0"/>
        <w:ind w:left="0"/>
        <w:jc w:val="both"/>
      </w:pPr>
      <w:r>
        <w:rPr>
          <w:rFonts w:ascii="Times New Roman"/>
          <w:b w:val="false"/>
          <w:i w:val="false"/>
          <w:color w:val="000000"/>
          <w:sz w:val="28"/>
        </w:rPr>
        <w:t>
      Тип, число и подача насосов определяется проектантом и согласовывается с Регистром судоходства.</w:t>
      </w:r>
    </w:p>
    <w:bookmarkEnd w:id="9377"/>
    <w:bookmarkStart w:name="z9424" w:id="9378"/>
    <w:p>
      <w:pPr>
        <w:spacing w:after="0"/>
        <w:ind w:left="0"/>
        <w:jc w:val="left"/>
      </w:pPr>
      <w:r>
        <w:rPr>
          <w:rFonts w:ascii="Times New Roman"/>
          <w:b/>
          <w:i w:val="false"/>
          <w:color w:val="000000"/>
        </w:rPr>
        <w:t xml:space="preserve"> Глава 255. Диаметры трубопроводов</w:t>
      </w:r>
    </w:p>
    <w:bookmarkEnd w:id="9378"/>
    <w:p>
      <w:pPr>
        <w:spacing w:after="0"/>
        <w:ind w:left="0"/>
        <w:jc w:val="both"/>
      </w:pPr>
      <w:r>
        <w:rPr>
          <w:rFonts w:ascii="Times New Roman"/>
          <w:b w:val="false"/>
          <w:i w:val="false"/>
          <w:color w:val="ff0000"/>
          <w:sz w:val="28"/>
        </w:rPr>
        <w:t xml:space="preserve">
      Сноска. Заголовок главы 255 -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25" w:id="9379"/>
    <w:p>
      <w:pPr>
        <w:spacing w:after="0"/>
        <w:ind w:left="0"/>
        <w:jc w:val="both"/>
      </w:pPr>
      <w:r>
        <w:rPr>
          <w:rFonts w:ascii="Times New Roman"/>
          <w:b w:val="false"/>
          <w:i w:val="false"/>
          <w:color w:val="000000"/>
          <w:sz w:val="28"/>
        </w:rPr>
        <w:t xml:space="preserve">
      3236. Внутренний диаметр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мм, осушительной магистрали и приемных отростков, непосредственно присоединяемых к насосу, за исключением случая, указанного в пункте 3238 настоящих Правил, определяется по формуле:</w:t>
      </w:r>
    </w:p>
    <w:bookmarkEnd w:id="9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7"/>
                    <a:stretch>
                      <a:fillRect/>
                    </a:stretch>
                  </pic:blipFill>
                  <pic:spPr>
                    <a:xfrm>
                      <a:off x="0" y="0"/>
                      <a:ext cx="2032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(768)</w:t>
      </w:r>
      <w:r>
        <w:br/>
      </w:r>
      <w:r>
        <w:rPr>
          <w:rFonts w:ascii="Times New Roman"/>
          <w:b w:val="false"/>
          <w:i w:val="false"/>
          <w:color w:val="000000"/>
          <w:sz w:val="28"/>
        </w:rPr>
        <w:t>
</w:t>
      </w:r>
    </w:p>
    <w:bookmarkStart w:name="z9426" w:id="9380"/>
    <w:p>
      <w:pPr>
        <w:spacing w:after="0"/>
        <w:ind w:left="0"/>
        <w:jc w:val="both"/>
      </w:pPr>
      <w:r>
        <w:rPr>
          <w:rFonts w:ascii="Times New Roman"/>
          <w:b w:val="false"/>
          <w:i w:val="false"/>
          <w:color w:val="000000"/>
          <w:sz w:val="28"/>
        </w:rPr>
        <w:t>
      Для судов технического флота, имеющих грунтовый трюм, внутренний диаметр осушительной магистрали и приемных отростков, непосредственно присоединяемых к насосу, определяется по формуле</w:t>
      </w:r>
    </w:p>
    <w:bookmarkEnd w:id="93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8"/>
                    <a:stretch>
                      <a:fillRect/>
                    </a:stretch>
                  </pic:blipFill>
                  <pic:spPr>
                    <a:xfrm>
                      <a:off x="0" y="0"/>
                      <a:ext cx="2895600" cy="317500"/>
                    </a:xfrm>
                    <a:prstGeom prst="rect">
                      <a:avLst/>
                    </a:prstGeom>
                  </pic:spPr>
                </pic:pic>
              </a:graphicData>
            </a:graphic>
          </wp:inline>
        </w:drawing>
      </w:r>
    </w:p>
    <w:p>
      <w:pPr>
        <w:spacing w:after="0"/>
        <w:ind w:left="0"/>
        <w:jc w:val="left"/>
      </w:pPr>
      <w:r>
        <w:rPr>
          <w:rFonts w:ascii="Times New Roman"/>
          <w:b w:val="false"/>
          <w:i w:val="false"/>
          <w:color w:val="000000"/>
          <w:sz w:val="28"/>
        </w:rPr>
        <w:t>,                (769)</w:t>
      </w:r>
      <w:r>
        <w:br/>
      </w:r>
      <w:r>
        <w:rPr>
          <w:rFonts w:ascii="Times New Roman"/>
          <w:b w:val="false"/>
          <w:i w:val="false"/>
          <w:color w:val="000000"/>
          <w:sz w:val="28"/>
        </w:rPr>
        <w:t>
</w:t>
      </w:r>
    </w:p>
    <w:bookmarkStart w:name="z9427" w:id="9381"/>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длина грунтового трюма;</w:t>
      </w:r>
    </w:p>
    <w:bookmarkEnd w:id="9381"/>
    <w:bookmarkStart w:name="z9428" w:id="938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средняя ширина грунтового трюма;</w:t>
      </w:r>
    </w:p>
    <w:bookmarkEnd w:id="9382"/>
    <w:bookmarkStart w:name="z9429" w:id="938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пункт 3232 настоящих Правил.</w:t>
      </w:r>
    </w:p>
    <w:bookmarkEnd w:id="9383"/>
    <w:bookmarkStart w:name="z9430" w:id="9384"/>
    <w:p>
      <w:pPr>
        <w:spacing w:after="0"/>
        <w:ind w:left="0"/>
        <w:jc w:val="both"/>
      </w:pPr>
      <w:r>
        <w:rPr>
          <w:rFonts w:ascii="Times New Roman"/>
          <w:b w:val="false"/>
          <w:i w:val="false"/>
          <w:color w:val="000000"/>
          <w:sz w:val="28"/>
        </w:rPr>
        <w:t>
      Для грузовых судов валовой вместимостью менее 500 ограниченных районов плавания R2, R2-RSN, R3-RSN и R3 внутренний диаметр осушительной магистрали и приемных отростков, непосредственно присоединяемых к насосу, определяется по формуле</w:t>
      </w:r>
    </w:p>
    <w:bookmarkEnd w:id="93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9"/>
                    <a:stretch>
                      <a:fillRect/>
                    </a:stretch>
                  </pic:blipFill>
                  <pic:spPr>
                    <a:xfrm>
                      <a:off x="0" y="0"/>
                      <a:ext cx="1866900" cy="317500"/>
                    </a:xfrm>
                    <a:prstGeom prst="rect">
                      <a:avLst/>
                    </a:prstGeom>
                  </pic:spPr>
                </pic:pic>
              </a:graphicData>
            </a:graphic>
          </wp:inline>
        </w:drawing>
      </w:r>
    </w:p>
    <w:p>
      <w:pPr>
        <w:spacing w:after="0"/>
        <w:ind w:left="0"/>
        <w:jc w:val="left"/>
      </w:pPr>
      <w:r>
        <w:rPr>
          <w:rFonts w:ascii="Times New Roman"/>
          <w:b w:val="false"/>
          <w:i w:val="false"/>
          <w:color w:val="000000"/>
          <w:sz w:val="28"/>
        </w:rPr>
        <w:t>,                      (770)</w:t>
      </w:r>
      <w:r>
        <w:br/>
      </w:r>
      <w:r>
        <w:rPr>
          <w:rFonts w:ascii="Times New Roman"/>
          <w:b w:val="false"/>
          <w:i w:val="false"/>
          <w:color w:val="000000"/>
          <w:sz w:val="28"/>
        </w:rPr>
        <w:t>
</w:t>
      </w:r>
    </w:p>
    <w:bookmarkStart w:name="z9431" w:id="9385"/>
    <w:p>
      <w:pPr>
        <w:spacing w:after="0"/>
        <w:ind w:left="0"/>
        <w:jc w:val="both"/>
      </w:pPr>
      <w:r>
        <w:rPr>
          <w:rFonts w:ascii="Times New Roman"/>
          <w:b w:val="false"/>
          <w:i w:val="false"/>
          <w:color w:val="000000"/>
          <w:sz w:val="28"/>
        </w:rPr>
        <w:t xml:space="preserve">
      3237. Внутренний диаметр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мм, приемных отростков, присоединяемых к магистрали, а также диаметр приемного трубопровода ручного насоса определяются по формуле</w:t>
      </w:r>
    </w:p>
    <w:bookmarkEnd w:id="93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0"/>
                    <a:stretch>
                      <a:fillRect/>
                    </a:stretch>
                  </pic:blipFill>
                  <pic:spPr>
                    <a:xfrm>
                      <a:off x="0" y="0"/>
                      <a:ext cx="199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(771)</w:t>
      </w:r>
      <w:r>
        <w:br/>
      </w:r>
      <w:r>
        <w:rPr>
          <w:rFonts w:ascii="Times New Roman"/>
          <w:b w:val="false"/>
          <w:i w:val="false"/>
          <w:color w:val="000000"/>
          <w:sz w:val="28"/>
        </w:rPr>
        <w:t>
</w:t>
      </w:r>
    </w:p>
    <w:bookmarkStart w:name="z9432" w:id="9386"/>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длина осушаемого отсека, измеренная по его днищу м;</w:t>
      </w:r>
    </w:p>
    <w:bookmarkEnd w:id="9386"/>
    <w:bookmarkStart w:name="z9433" w:id="9387"/>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пункт 3232 настоящих Правил, при этом для судов катамаранного типа за ширину В принимается ширина одного корпуса.</w:t>
      </w:r>
    </w:p>
    <w:bookmarkEnd w:id="9387"/>
    <w:bookmarkStart w:name="z9434" w:id="9388"/>
    <w:p>
      <w:pPr>
        <w:spacing w:after="0"/>
        <w:ind w:left="0"/>
        <w:jc w:val="both"/>
      </w:pPr>
      <w:r>
        <w:rPr>
          <w:rFonts w:ascii="Times New Roman"/>
          <w:b w:val="false"/>
          <w:i w:val="false"/>
          <w:color w:val="000000"/>
          <w:sz w:val="28"/>
        </w:rPr>
        <w:t>
      Для грузовых судов валовой вместимостью менее 500 ограниченных районов плавания R2, R2-RSN, R3-RSN и R3 внутренний диаметр приемных отростков, присоединяемых к магистрали, а также диаметр приемного трубопровода ручного насоса, определяется по формуле</w:t>
      </w:r>
    </w:p>
    <w:bookmarkEnd w:id="93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1"/>
                    <a:stretch>
                      <a:fillRect/>
                    </a:stretch>
                  </pic:blipFill>
                  <pic:spPr>
                    <a:xfrm>
                      <a:off x="0" y="0"/>
                      <a:ext cx="189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(772)</w:t>
      </w:r>
      <w:r>
        <w:br/>
      </w:r>
      <w:r>
        <w:rPr>
          <w:rFonts w:ascii="Times New Roman"/>
          <w:b w:val="false"/>
          <w:i w:val="false"/>
          <w:color w:val="000000"/>
          <w:sz w:val="28"/>
        </w:rPr>
        <w:t>
</w:t>
      </w:r>
    </w:p>
    <w:bookmarkStart w:name="z9435" w:id="9389"/>
    <w:p>
      <w:pPr>
        <w:spacing w:after="0"/>
        <w:ind w:left="0"/>
        <w:jc w:val="both"/>
      </w:pPr>
      <w:r>
        <w:rPr>
          <w:rFonts w:ascii="Times New Roman"/>
          <w:b w:val="false"/>
          <w:i w:val="false"/>
          <w:color w:val="000000"/>
          <w:sz w:val="28"/>
        </w:rPr>
        <w:t>
      3238. Внутренний диаметр магистрали и приемных отростков, определяемых по формулам (768), (771) настоящих Правил, должен быть не менее 50 мм, а определяемых по формуле (770) и (772) настоящих Правил должен быть не менее 40 мм. Внутренний диаметр труб, непосредственно присоединяемых к насосу, во всех случаях должен быть не менее диаметра патрубка осушительного насоса.</w:t>
      </w:r>
    </w:p>
    <w:bookmarkEnd w:id="9389"/>
    <w:bookmarkStart w:name="z9436" w:id="9390"/>
    <w:p>
      <w:pPr>
        <w:spacing w:after="0"/>
        <w:ind w:left="0"/>
        <w:jc w:val="both"/>
      </w:pPr>
      <w:r>
        <w:rPr>
          <w:rFonts w:ascii="Times New Roman"/>
          <w:b w:val="false"/>
          <w:i w:val="false"/>
          <w:color w:val="000000"/>
          <w:sz w:val="28"/>
        </w:rPr>
        <w:t>
      3239. Площадь сечения трубопровода, соединяющего распределительную приемную коробку с осушительной магистралью, должна быть не менее суммарной площади сечения двух наибольших отростков, присоединяемых к этой коробке, но не более площади сечения магистрального трубопровода.</w:t>
      </w:r>
    </w:p>
    <w:bookmarkEnd w:id="9390"/>
    <w:bookmarkStart w:name="z9437" w:id="9391"/>
    <w:p>
      <w:pPr>
        <w:spacing w:after="0"/>
        <w:ind w:left="0"/>
        <w:jc w:val="both"/>
      </w:pPr>
      <w:r>
        <w:rPr>
          <w:rFonts w:ascii="Times New Roman"/>
          <w:b w:val="false"/>
          <w:i w:val="false"/>
          <w:color w:val="000000"/>
          <w:sz w:val="28"/>
        </w:rPr>
        <w:t>
      3240. На нефтеналивных и других судах, на которых осушительные насосы предназначены для осушения только машинного отделения, площадь сечения осушительной магистрали должна быть не менее удвоенной площади сечения отростка, определяемого по формуле (771) настоящих Правил.</w:t>
      </w:r>
    </w:p>
    <w:bookmarkEnd w:id="9391"/>
    <w:bookmarkStart w:name="z9438" w:id="9392"/>
    <w:p>
      <w:pPr>
        <w:spacing w:after="0"/>
        <w:ind w:left="0"/>
        <w:jc w:val="both"/>
      </w:pPr>
      <w:r>
        <w:rPr>
          <w:rFonts w:ascii="Times New Roman"/>
          <w:b w:val="false"/>
          <w:i w:val="false"/>
          <w:color w:val="000000"/>
          <w:sz w:val="28"/>
        </w:rPr>
        <w:t>
      3241. Диаметр отростка для аварийного осушения машинного отделения определяется согласно пункту 3249 настоящих Правил.</w:t>
      </w:r>
    </w:p>
    <w:bookmarkEnd w:id="9392"/>
    <w:bookmarkStart w:name="z9439" w:id="9393"/>
    <w:p>
      <w:pPr>
        <w:spacing w:after="0"/>
        <w:ind w:left="0"/>
        <w:jc w:val="left"/>
      </w:pPr>
      <w:r>
        <w:rPr>
          <w:rFonts w:ascii="Times New Roman"/>
          <w:b/>
          <w:i w:val="false"/>
          <w:color w:val="000000"/>
        </w:rPr>
        <w:t xml:space="preserve"> Глава 256. Прокладка трубопроводов</w:t>
      </w:r>
    </w:p>
    <w:bookmarkEnd w:id="9393"/>
    <w:p>
      <w:pPr>
        <w:spacing w:after="0"/>
        <w:ind w:left="0"/>
        <w:jc w:val="both"/>
      </w:pPr>
      <w:r>
        <w:rPr>
          <w:rFonts w:ascii="Times New Roman"/>
          <w:b w:val="false"/>
          <w:i w:val="false"/>
          <w:color w:val="ff0000"/>
          <w:sz w:val="28"/>
        </w:rPr>
        <w:t xml:space="preserve">
      Сноска. Заголовок главы 256 -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40" w:id="9394"/>
    <w:p>
      <w:pPr>
        <w:spacing w:after="0"/>
        <w:ind w:left="0"/>
        <w:jc w:val="both"/>
      </w:pPr>
      <w:r>
        <w:rPr>
          <w:rFonts w:ascii="Times New Roman"/>
          <w:b w:val="false"/>
          <w:i w:val="false"/>
          <w:color w:val="000000"/>
          <w:sz w:val="28"/>
        </w:rPr>
        <w:t>
      3242. Расположение осушительных трубопроводов, а также их приемных отростков должно быть таким, чтобы обеспечивалась возможность осушения любого водонепроницаемого отсека любым из насосов, требуемых в пунктах 3226 и 3227 настоящих Правил. Это требование не относится к помещениям аммиачных холодильных машин, пикам, насосным помещениям и коффердамам нефтеналивных судов, осушаемых отдельными насосами, а также к цистернам, предназначенным только для хранения жидкостей.</w:t>
      </w:r>
    </w:p>
    <w:bookmarkEnd w:id="9394"/>
    <w:bookmarkStart w:name="z9441" w:id="9395"/>
    <w:p>
      <w:pPr>
        <w:spacing w:after="0"/>
        <w:ind w:left="0"/>
        <w:jc w:val="both"/>
      </w:pPr>
      <w:r>
        <w:rPr>
          <w:rFonts w:ascii="Times New Roman"/>
          <w:b w:val="false"/>
          <w:i w:val="false"/>
          <w:color w:val="000000"/>
          <w:sz w:val="28"/>
        </w:rPr>
        <w:t>
      Осушение помещений, не подключенных к осушительной системе, осуществляется отводом в осушаемые помещения или ручными насосами, при этом выполняются также требования пункта 3294 настоящих Правил.</w:t>
      </w:r>
    </w:p>
    <w:bookmarkEnd w:id="9395"/>
    <w:bookmarkStart w:name="z9442" w:id="9396"/>
    <w:p>
      <w:pPr>
        <w:spacing w:after="0"/>
        <w:ind w:left="0"/>
        <w:jc w:val="both"/>
      </w:pPr>
      <w:r>
        <w:rPr>
          <w:rFonts w:ascii="Times New Roman"/>
          <w:b w:val="false"/>
          <w:i w:val="false"/>
          <w:color w:val="000000"/>
          <w:sz w:val="28"/>
        </w:rPr>
        <w:t>
      3243. Система устраивается так, чтобы исключалась возможность поступления забортной воды внутрь судна, а также воды из одного водонепроницаемого отсека в другой в случае разрыва трубы или иного ее повреждения в любом другом отсеке вследствие столкновения или посадки на мель. Для этого приемные клапаны открытых концов осушительных трубопроводов, присоединяемых непосредственно к коробкам, должны быть невозвратного типа. Если имеется только одна общая система трубопроводов для всех насосов, то предусматривается возможность управления необходимыми клапанами, обслуживающими приемные патрубки, с мест, расположенных выше палубы переборок. Допускаются также другие эквивалентные устройства.</w:t>
      </w:r>
    </w:p>
    <w:bookmarkEnd w:id="9396"/>
    <w:bookmarkStart w:name="z9443" w:id="9397"/>
    <w:p>
      <w:pPr>
        <w:spacing w:after="0"/>
        <w:ind w:left="0"/>
        <w:jc w:val="both"/>
      </w:pPr>
      <w:r>
        <w:rPr>
          <w:rFonts w:ascii="Times New Roman"/>
          <w:b w:val="false"/>
          <w:i w:val="false"/>
          <w:color w:val="000000"/>
          <w:sz w:val="28"/>
        </w:rPr>
        <w:t>
      3244. Расположение трубопроводов должно быть таким, чтобы обеспечивалась возможность осушения машинных отделений через приемные отростки, непосредственно присоединенные к насосу, при одновременном осушении остальных отсеков другими насосами.</w:t>
      </w:r>
    </w:p>
    <w:bookmarkEnd w:id="9397"/>
    <w:bookmarkStart w:name="z9444" w:id="9398"/>
    <w:p>
      <w:pPr>
        <w:spacing w:after="0"/>
        <w:ind w:left="0"/>
        <w:jc w:val="both"/>
      </w:pPr>
      <w:r>
        <w:rPr>
          <w:rFonts w:ascii="Times New Roman"/>
          <w:b w:val="false"/>
          <w:i w:val="false"/>
          <w:color w:val="000000"/>
          <w:sz w:val="28"/>
        </w:rPr>
        <w:t>
      3245. Расположение осушительных трубопроводов обеспечивает возможность работы одного из насосов в случаях, когда остальные насосы неработоспособны или используются для других целей.</w:t>
      </w:r>
    </w:p>
    <w:bookmarkEnd w:id="9398"/>
    <w:bookmarkStart w:name="z9445" w:id="9399"/>
    <w:p>
      <w:pPr>
        <w:spacing w:after="0"/>
        <w:ind w:left="0"/>
        <w:jc w:val="both"/>
      </w:pPr>
      <w:r>
        <w:rPr>
          <w:rFonts w:ascii="Times New Roman"/>
          <w:b w:val="false"/>
          <w:i w:val="false"/>
          <w:color w:val="000000"/>
          <w:sz w:val="28"/>
        </w:rPr>
        <w:t>
      3246. Осушительные трубопроводы, проходящие в какой-либо своей части на расстоянии от борта менее 1/5 ширины судна (измеренной под прямым углом к диаметральной плоскости на уровне самой высокой грузовой ватерлинии деления судна на отсеки), а также проходящие в коробчатом киле или междудонном пространстве, на приемных отростках в каждом водонепроницаемом отсеке имеют невозвратные клапаны.</w:t>
      </w:r>
    </w:p>
    <w:bookmarkEnd w:id="9399"/>
    <w:p>
      <w:pPr>
        <w:spacing w:after="0"/>
        <w:ind w:left="0"/>
        <w:jc w:val="both"/>
      </w:pPr>
      <w:r>
        <w:rPr>
          <w:rFonts w:ascii="Times New Roman"/>
          <w:b w:val="false"/>
          <w:i w:val="false"/>
          <w:color w:val="000000"/>
          <w:sz w:val="28"/>
        </w:rPr>
        <w:t xml:space="preserve">
      3247. На пассажирских судах длиной более 91,5 м, судах специального назначения, имеющих на борту специальный персонал более 50 человек, а также на пассажирских судах, имеющих индекс деления на отсеки </w:t>
      </w:r>
      <w:r>
        <w:rPr>
          <w:rFonts w:ascii="Times New Roman"/>
          <w:b w:val="false"/>
          <w:i/>
          <w:color w:val="000000"/>
          <w:sz w:val="28"/>
        </w:rPr>
        <w:t>R</w:t>
      </w:r>
      <w:r>
        <w:rPr>
          <w:rFonts w:ascii="Times New Roman"/>
          <w:b w:val="false"/>
          <w:i w:val="false"/>
          <w:color w:val="000000"/>
          <w:sz w:val="28"/>
        </w:rPr>
        <w:t xml:space="preserve"> более 0,5, все клапанные коробки, краны и клапаны, связанные с осушительной системой, размещаются таким образом, чтобы в случае затопления один из осушительных насосов мог осушать любой затопленный отсек. Кроме того, повреждение насоса или трубопровода, связывающего его с магистральным осушительным трубопроводом, в случае, если они находятся на расстоянии от борта менее 1/5 ширины судна, не должно выводить систему из строя.</w:t>
      </w:r>
    </w:p>
    <w:bookmarkStart w:name="z9446" w:id="9400"/>
    <w:p>
      <w:pPr>
        <w:spacing w:after="0"/>
        <w:ind w:left="0"/>
        <w:jc w:val="both"/>
      </w:pPr>
      <w:r>
        <w:rPr>
          <w:rFonts w:ascii="Times New Roman"/>
          <w:b w:val="false"/>
          <w:i w:val="false"/>
          <w:color w:val="000000"/>
          <w:sz w:val="28"/>
        </w:rPr>
        <w:t>
      Если имеется только одна общая система трубопроводов, связывающая все насосы, то необходимые краны и клапаны приемных патрубков приспосабливают для управления ими с мест, расположенных выше палубы переборок.</w:t>
      </w:r>
    </w:p>
    <w:bookmarkEnd w:id="9400"/>
    <w:bookmarkStart w:name="z9447" w:id="9401"/>
    <w:p>
      <w:pPr>
        <w:spacing w:after="0"/>
        <w:ind w:left="0"/>
        <w:jc w:val="both"/>
      </w:pPr>
      <w:r>
        <w:rPr>
          <w:rFonts w:ascii="Times New Roman"/>
          <w:b w:val="false"/>
          <w:i w:val="false"/>
          <w:color w:val="000000"/>
          <w:sz w:val="28"/>
        </w:rPr>
        <w:t>
      В местах установки они имеют органы управления с четким указанием их назначения и снабжаются индикаторами, указывающими, открыты они или закрыты.</w:t>
      </w:r>
    </w:p>
    <w:bookmarkEnd w:id="9401"/>
    <w:bookmarkStart w:name="z9448" w:id="9402"/>
    <w:p>
      <w:pPr>
        <w:spacing w:after="0"/>
        <w:ind w:left="0"/>
        <w:jc w:val="both"/>
      </w:pPr>
      <w:r>
        <w:rPr>
          <w:rFonts w:ascii="Times New Roman"/>
          <w:b w:val="false"/>
          <w:i w:val="false"/>
          <w:color w:val="000000"/>
          <w:sz w:val="28"/>
        </w:rPr>
        <w:t>
      Если в дополнение к осушительной системе имеется аварийная водоотливная система, она должна быть независима от осушительной системы и расположена таким образом, чтобы при затоплении насос мог отливать воду из любого отсека. В этом случае только краны и клапаны, необходимые для управления этой аварийной системой, приспосабливают для управления с мест, находящихся выше палубы переборок, а насос и связанные с ним приемные трубопроводы располагают от борта на расстоянии более 1/5 ширины судна.</w:t>
      </w:r>
    </w:p>
    <w:bookmarkEnd w:id="9402"/>
    <w:bookmarkStart w:name="z9449" w:id="9403"/>
    <w:p>
      <w:pPr>
        <w:spacing w:after="0"/>
        <w:ind w:left="0"/>
        <w:jc w:val="both"/>
      </w:pPr>
      <w:r>
        <w:rPr>
          <w:rFonts w:ascii="Times New Roman"/>
          <w:b w:val="false"/>
          <w:i w:val="false"/>
          <w:color w:val="000000"/>
          <w:sz w:val="28"/>
        </w:rPr>
        <w:t>
      3248. Осушительные трубопроводы, как правило, прокладываются вне междудонного пространства. При необходимости прокладки этих трубопроводов через цистерны топлива, масла, питательной и питьевой воды они должны отвечать требованиям пункта 3182 настоящих Правил.</w:t>
      </w:r>
    </w:p>
    <w:bookmarkEnd w:id="9403"/>
    <w:bookmarkStart w:name="z9450" w:id="9404"/>
    <w:p>
      <w:pPr>
        <w:spacing w:after="0"/>
        <w:ind w:left="0"/>
        <w:jc w:val="both"/>
      </w:pPr>
      <w:r>
        <w:rPr>
          <w:rFonts w:ascii="Times New Roman"/>
          <w:b w:val="false"/>
          <w:i w:val="false"/>
          <w:color w:val="000000"/>
          <w:sz w:val="28"/>
        </w:rPr>
        <w:t>
      Если трубопровод прокладывается в междудонном пространстве, на приемных отростках в каждом водонепроницаемом отсеке устанавливаются невозвратные клапаны.</w:t>
      </w:r>
    </w:p>
    <w:bookmarkEnd w:id="9404"/>
    <w:bookmarkStart w:name="z9451" w:id="9405"/>
    <w:p>
      <w:pPr>
        <w:spacing w:after="0"/>
        <w:ind w:left="0"/>
        <w:jc w:val="both"/>
      </w:pPr>
      <w:r>
        <w:rPr>
          <w:rFonts w:ascii="Times New Roman"/>
          <w:b w:val="false"/>
          <w:i w:val="false"/>
          <w:color w:val="000000"/>
          <w:sz w:val="28"/>
        </w:rPr>
        <w:t>
      3249. Применяются устройства для очистки от нефтепродуктов откачиваемой за борт воды. Установка и работа устройств для очистки воды не должны препятствовать нормальной работе осушительной и балластной систем в случае, предусмотренном в пункте 3668 настоящих Правил.</w:t>
      </w:r>
    </w:p>
    <w:bookmarkEnd w:id="9405"/>
    <w:bookmarkStart w:name="z9452" w:id="9406"/>
    <w:p>
      <w:pPr>
        <w:spacing w:after="0"/>
        <w:ind w:left="0"/>
        <w:jc w:val="left"/>
      </w:pPr>
      <w:r>
        <w:rPr>
          <w:rFonts w:ascii="Times New Roman"/>
          <w:b/>
          <w:i w:val="false"/>
          <w:color w:val="000000"/>
        </w:rPr>
        <w:t xml:space="preserve"> Глава 257. Осушение машинных помещений, туннелей</w:t>
      </w:r>
    </w:p>
    <w:bookmarkEnd w:id="9406"/>
    <w:p>
      <w:pPr>
        <w:spacing w:after="0"/>
        <w:ind w:left="0"/>
        <w:jc w:val="both"/>
      </w:pPr>
      <w:r>
        <w:rPr>
          <w:rFonts w:ascii="Times New Roman"/>
          <w:b w:val="false"/>
          <w:i w:val="false"/>
          <w:color w:val="ff0000"/>
          <w:sz w:val="28"/>
        </w:rPr>
        <w:t xml:space="preserve">
      Сноска. Заголовок главы 257 -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53" w:id="9407"/>
    <w:p>
      <w:pPr>
        <w:spacing w:after="0"/>
        <w:ind w:left="0"/>
        <w:jc w:val="both"/>
      </w:pPr>
      <w:r>
        <w:rPr>
          <w:rFonts w:ascii="Times New Roman"/>
          <w:b w:val="false"/>
          <w:i w:val="false"/>
          <w:color w:val="000000"/>
          <w:sz w:val="28"/>
        </w:rPr>
        <w:t>
      3250. Машинное и котельное отделения, расположенные в общем отсеке, имеющем на всем протяжении двойное дно, образующее льяла или простирающееся до бортов, имеют в отсеке с каждого борта у переборок два приемных отростка, один из которых следует присоединять непосредственно к независимому осушительному насосу.</w:t>
      </w:r>
    </w:p>
    <w:bookmarkEnd w:id="9407"/>
    <w:bookmarkStart w:name="z9454" w:id="9408"/>
    <w:p>
      <w:pPr>
        <w:spacing w:after="0"/>
        <w:ind w:left="0"/>
        <w:jc w:val="both"/>
      </w:pPr>
      <w:r>
        <w:rPr>
          <w:rFonts w:ascii="Times New Roman"/>
          <w:b w:val="false"/>
          <w:i w:val="false"/>
          <w:color w:val="000000"/>
          <w:sz w:val="28"/>
        </w:rPr>
        <w:t>
      3251. Машинное и котельное отделения, расположенные в общем отсеке без двойного дна при уклоне днища не менее 5</w:t>
      </w:r>
      <w:r>
        <w:rPr>
          <w:rFonts w:ascii="Times New Roman"/>
          <w:b w:val="false"/>
          <w:i w:val="false"/>
          <w:color w:val="000000"/>
          <w:vertAlign w:val="superscript"/>
        </w:rPr>
        <w:t>о</w:t>
      </w:r>
      <w:r>
        <w:rPr>
          <w:rFonts w:ascii="Times New Roman"/>
          <w:b w:val="false"/>
          <w:i w:val="false"/>
          <w:color w:val="000000"/>
          <w:sz w:val="28"/>
        </w:rPr>
        <w:t>, имеют два осушительных приемных отростка, один из которых следует присоединять непосредственно к независимому осушительному насосу; при уклоне днища менее 5</w:t>
      </w:r>
      <w:r>
        <w:rPr>
          <w:rFonts w:ascii="Times New Roman"/>
          <w:b w:val="false"/>
          <w:i w:val="false"/>
          <w:color w:val="000000"/>
          <w:vertAlign w:val="superscript"/>
        </w:rPr>
        <w:t>о</w:t>
      </w:r>
      <w:r>
        <w:rPr>
          <w:rFonts w:ascii="Times New Roman"/>
          <w:b w:val="false"/>
          <w:i w:val="false"/>
          <w:color w:val="000000"/>
          <w:sz w:val="28"/>
        </w:rPr>
        <w:t xml:space="preserve"> у бортов устанавливают по одному дополнительному приемному отростку, присоединенному к магистрали осушительной системы.</w:t>
      </w:r>
    </w:p>
    <w:bookmarkEnd w:id="9408"/>
    <w:bookmarkStart w:name="z9455" w:id="9409"/>
    <w:p>
      <w:pPr>
        <w:spacing w:after="0"/>
        <w:ind w:left="0"/>
        <w:jc w:val="both"/>
      </w:pPr>
      <w:r>
        <w:rPr>
          <w:rFonts w:ascii="Times New Roman"/>
          <w:b w:val="false"/>
          <w:i w:val="false"/>
          <w:color w:val="000000"/>
          <w:sz w:val="28"/>
        </w:rPr>
        <w:t>
      3252. Когда машинное и котельное отделения, а также отделения вспомогательных механизмов и гребных электродвигателей расположены в отдельных водонепроницаемых отсеках, число и расположение приемных отростков в них принимается согласно главы 258 настоящих Правил. На судах, получающих в символе класса знак деления на отсеки, в каждом из этих отсеков следует установить дополнительно приемный отросток, непосредственно присоединенный к осушительному насосу.</w:t>
      </w:r>
    </w:p>
    <w:bookmarkEnd w:id="9409"/>
    <w:bookmarkStart w:name="z9456" w:id="9410"/>
    <w:p>
      <w:pPr>
        <w:spacing w:after="0"/>
        <w:ind w:left="0"/>
        <w:jc w:val="both"/>
      </w:pPr>
      <w:r>
        <w:rPr>
          <w:rFonts w:ascii="Times New Roman"/>
          <w:b w:val="false"/>
          <w:i w:val="false"/>
          <w:color w:val="000000"/>
          <w:sz w:val="28"/>
        </w:rPr>
        <w:t>
      На пассажирских судах каждый из независимых насосов, расположенных в машинных отделениях, имеет непосредственные приемные отростки в этих отделениях. Установка более двух таких отростков в этих отделениях не требуется. Когда устанавливается два или более отростка, то по меньшей мере один из них должен быть у левого борта, а другой — у правого. Не связанные друг с другом осушительные насосы, расположенные в других помещениях, могут иметь непосредственные приемные отростки в этих помещениях.</w:t>
      </w:r>
    </w:p>
    <w:bookmarkEnd w:id="9410"/>
    <w:bookmarkStart w:name="z9457" w:id="9411"/>
    <w:p>
      <w:pPr>
        <w:spacing w:after="0"/>
        <w:ind w:left="0"/>
        <w:jc w:val="both"/>
      </w:pPr>
      <w:r>
        <w:rPr>
          <w:rFonts w:ascii="Times New Roman"/>
          <w:b w:val="false"/>
          <w:i w:val="false"/>
          <w:color w:val="000000"/>
          <w:sz w:val="28"/>
        </w:rPr>
        <w:t>
      3253. Если машинное отделение расположено в кормовой части судна, приемные отростки устанавливаются по обоим бортам в носовой части этого отделения. При этом в зависимости от формы обводов в кормовой части по согласованию с Регистром судоходства устанавливаются один или два приемных отростка.</w:t>
      </w:r>
    </w:p>
    <w:bookmarkEnd w:id="9411"/>
    <w:bookmarkStart w:name="z9458" w:id="9412"/>
    <w:p>
      <w:pPr>
        <w:spacing w:after="0"/>
        <w:ind w:left="0"/>
        <w:jc w:val="both"/>
      </w:pPr>
      <w:r>
        <w:rPr>
          <w:rFonts w:ascii="Times New Roman"/>
          <w:b w:val="false"/>
          <w:i w:val="false"/>
          <w:color w:val="000000"/>
          <w:sz w:val="28"/>
        </w:rPr>
        <w:t>
      3254. На приемных отростках осушения машинных отделений и туннелей устанавливаются легкодоступные грязевые коробки. Необходимо чтобы трубы между грязевыми коробками и льялами были по возможности прямыми. На нижних концах этих труб не устанавливаются приемники с сетками. Грязевые коробки имеют легкооткрываемые крышки.</w:t>
      </w:r>
    </w:p>
    <w:bookmarkEnd w:id="9412"/>
    <w:bookmarkStart w:name="z9459" w:id="9413"/>
    <w:p>
      <w:pPr>
        <w:spacing w:after="0"/>
        <w:ind w:left="0"/>
        <w:jc w:val="both"/>
      </w:pPr>
      <w:r>
        <w:rPr>
          <w:rFonts w:ascii="Times New Roman"/>
          <w:b w:val="false"/>
          <w:i w:val="false"/>
          <w:color w:val="000000"/>
          <w:sz w:val="28"/>
        </w:rPr>
        <w:t>
      На маломерных судах вместо грязевых коробок допускается применять приемники с сетками в тех случаях, когда к ним имеется доступ для очистки.</w:t>
      </w:r>
    </w:p>
    <w:bookmarkEnd w:id="9413"/>
    <w:bookmarkStart w:name="z9460" w:id="9414"/>
    <w:p>
      <w:pPr>
        <w:spacing w:after="0"/>
        <w:ind w:left="0"/>
        <w:jc w:val="both"/>
      </w:pPr>
      <w:r>
        <w:rPr>
          <w:rFonts w:ascii="Times New Roman"/>
          <w:b w:val="false"/>
          <w:i w:val="false"/>
          <w:color w:val="000000"/>
          <w:sz w:val="28"/>
        </w:rPr>
        <w:t>
      3255. На всех самоходных судах помимо приемных отростков, требуемых пунктами 3250 – 3253 настоящих Правил, предусмотривается аварийное осушение машинных отделений. Для этого на пароходах один из главных циркуляционных насосов, а на теплоходах наибольший по подаче насос охлаждающей воды должен иметь непосредственный приемный отросток с невозвратно-запорным клапаном, расположенный на уровне, обеспечивающем осушение машинного отделения. Диаметр отростка составляет не менее 2/3 диаметра приемного патрубка насоса на пароходах и равняется диаметру приемного патрубка насоса на теплоходах.</w:t>
      </w:r>
    </w:p>
    <w:bookmarkEnd w:id="9414"/>
    <w:bookmarkStart w:name="z9461" w:id="9415"/>
    <w:p>
      <w:pPr>
        <w:spacing w:after="0"/>
        <w:ind w:left="0"/>
        <w:jc w:val="both"/>
      </w:pPr>
      <w:r>
        <w:rPr>
          <w:rFonts w:ascii="Times New Roman"/>
          <w:b w:val="false"/>
          <w:i w:val="false"/>
          <w:color w:val="000000"/>
          <w:sz w:val="28"/>
        </w:rPr>
        <w:t>
      На отростке для аварийного осушения не устанавливаются приемные сетки и фильтры.</w:t>
      </w:r>
    </w:p>
    <w:bookmarkEnd w:id="9415"/>
    <w:bookmarkStart w:name="z9462" w:id="9416"/>
    <w:p>
      <w:pPr>
        <w:spacing w:after="0"/>
        <w:ind w:left="0"/>
        <w:jc w:val="both"/>
      </w:pPr>
      <w:r>
        <w:rPr>
          <w:rFonts w:ascii="Times New Roman"/>
          <w:b w:val="false"/>
          <w:i w:val="false"/>
          <w:color w:val="000000"/>
          <w:sz w:val="28"/>
        </w:rPr>
        <w:t>
      Если упомянутые выше насосы непригодны для присоединения отростка для аварийного осушения машинного отделения, то такой отросток предусматривают у наибольшего по подаче насоса с механическим приводом, не предназначенного для осушения. Подача насоса превышает требуемую в пункте 3231 настоящих Правил на величину, признанную Регистром судоходства достаточной. Диаметр отростка следует принимать не менее диаметра приемного патрубка насоса.</w:t>
      </w:r>
    </w:p>
    <w:bookmarkEnd w:id="9416"/>
    <w:bookmarkStart w:name="z9463" w:id="9417"/>
    <w:p>
      <w:pPr>
        <w:spacing w:after="0"/>
        <w:ind w:left="0"/>
        <w:jc w:val="both"/>
      </w:pPr>
      <w:r>
        <w:rPr>
          <w:rFonts w:ascii="Times New Roman"/>
          <w:b w:val="false"/>
          <w:i w:val="false"/>
          <w:color w:val="000000"/>
          <w:sz w:val="28"/>
        </w:rPr>
        <w:t>
      Приводные штоки невозвратно-запорных клапанов, устанавливаемых на приемных отростках, выводятся на достаточную высоту над настилом машинного отделения и имеют надпись: "Только для аварийного осушения".</w:t>
      </w:r>
    </w:p>
    <w:bookmarkEnd w:id="9417"/>
    <w:bookmarkStart w:name="z9464" w:id="9418"/>
    <w:p>
      <w:pPr>
        <w:spacing w:after="0"/>
        <w:ind w:left="0"/>
        <w:jc w:val="both"/>
      </w:pPr>
      <w:r>
        <w:rPr>
          <w:rFonts w:ascii="Times New Roman"/>
          <w:b w:val="false"/>
          <w:i w:val="false"/>
          <w:color w:val="000000"/>
          <w:sz w:val="28"/>
        </w:rPr>
        <w:t>
      Использование пожарных насосов для аварийного осушения машинных отделений выполняется согласно пункту 2301 настоящих Правил.</w:t>
      </w:r>
    </w:p>
    <w:bookmarkEnd w:id="9418"/>
    <w:bookmarkStart w:name="z9465" w:id="9419"/>
    <w:p>
      <w:pPr>
        <w:spacing w:after="0"/>
        <w:ind w:left="0"/>
        <w:jc w:val="both"/>
      </w:pPr>
      <w:r>
        <w:rPr>
          <w:rFonts w:ascii="Times New Roman"/>
          <w:b w:val="false"/>
          <w:i w:val="false"/>
          <w:color w:val="000000"/>
          <w:sz w:val="28"/>
        </w:rPr>
        <w:t>
      На грузовых судах валовой вместимостью менее 500 ограниченных районов плавания R2, R2-RSN, R3-RSN и R3, не имеющих автономного насоса, подача которого превышает подачу осушительного насоса, аварийное осушение машинных отделений допускается предусматривать от навешенного насоса охлаждения забортной водой.</w:t>
      </w:r>
    </w:p>
    <w:bookmarkEnd w:id="9419"/>
    <w:bookmarkStart w:name="z9466" w:id="9420"/>
    <w:p>
      <w:pPr>
        <w:spacing w:after="0"/>
        <w:ind w:left="0"/>
        <w:jc w:val="both"/>
      </w:pPr>
      <w:r>
        <w:rPr>
          <w:rFonts w:ascii="Times New Roman"/>
          <w:b w:val="false"/>
          <w:i w:val="false"/>
          <w:color w:val="000000"/>
          <w:sz w:val="28"/>
        </w:rPr>
        <w:t>
      3256. Машинные отделения с двойным дном оборудуются сточными колодцами вместимостью не менее 0,2 м</w:t>
      </w:r>
      <w:r>
        <w:rPr>
          <w:rFonts w:ascii="Times New Roman"/>
          <w:b w:val="false"/>
          <w:i w:val="false"/>
          <w:color w:val="000000"/>
          <w:vertAlign w:val="superscript"/>
        </w:rPr>
        <w:t>3</w:t>
      </w:r>
      <w:r>
        <w:rPr>
          <w:rFonts w:ascii="Times New Roman"/>
          <w:b w:val="false"/>
          <w:i w:val="false"/>
          <w:color w:val="000000"/>
          <w:sz w:val="28"/>
        </w:rPr>
        <w:t>.</w:t>
      </w:r>
    </w:p>
    <w:bookmarkEnd w:id="9420"/>
    <w:bookmarkStart w:name="z9467" w:id="9421"/>
    <w:p>
      <w:pPr>
        <w:spacing w:after="0"/>
        <w:ind w:left="0"/>
        <w:jc w:val="both"/>
      </w:pPr>
      <w:r>
        <w:rPr>
          <w:rFonts w:ascii="Times New Roman"/>
          <w:b w:val="false"/>
          <w:i w:val="false"/>
          <w:color w:val="000000"/>
          <w:sz w:val="28"/>
        </w:rPr>
        <w:t>
      3257. Дополнительные приемные отростки следует устанавливать внутри шахт лага и эхолота, а также в колодцах двойного дна под механизмами и в иных местах, где может собираться вода.</w:t>
      </w:r>
    </w:p>
    <w:bookmarkEnd w:id="9421"/>
    <w:bookmarkStart w:name="z9468" w:id="9422"/>
    <w:p>
      <w:pPr>
        <w:spacing w:after="0"/>
        <w:ind w:left="0"/>
        <w:jc w:val="both"/>
      </w:pPr>
      <w:r>
        <w:rPr>
          <w:rFonts w:ascii="Times New Roman"/>
          <w:b w:val="false"/>
          <w:i w:val="false"/>
          <w:color w:val="000000"/>
          <w:sz w:val="28"/>
        </w:rPr>
        <w:t>
      3258. На судах с электрической гребной установкой предусматривается осушение колодцев под гребными электрическими двигателями, а также автоматическое сигнализирующее устройство, срабатывающее, когда вода в этих колодцах превысит допустимый уровень.</w:t>
      </w:r>
    </w:p>
    <w:bookmarkEnd w:id="9422"/>
    <w:bookmarkStart w:name="z9469" w:id="9423"/>
    <w:p>
      <w:pPr>
        <w:spacing w:after="0"/>
        <w:ind w:left="0"/>
        <w:jc w:val="both"/>
      </w:pPr>
      <w:r>
        <w:rPr>
          <w:rFonts w:ascii="Times New Roman"/>
          <w:b w:val="false"/>
          <w:i w:val="false"/>
          <w:color w:val="000000"/>
          <w:sz w:val="28"/>
        </w:rPr>
        <w:t>
      Рекомендуется предусматривать автоматическое осушение колодцев.</w:t>
      </w:r>
    </w:p>
    <w:bookmarkEnd w:id="9423"/>
    <w:bookmarkStart w:name="z9470" w:id="9424"/>
    <w:p>
      <w:pPr>
        <w:spacing w:after="0"/>
        <w:ind w:left="0"/>
        <w:jc w:val="both"/>
      </w:pPr>
      <w:r>
        <w:rPr>
          <w:rFonts w:ascii="Times New Roman"/>
          <w:b w:val="false"/>
          <w:i w:val="false"/>
          <w:color w:val="000000"/>
          <w:sz w:val="28"/>
        </w:rPr>
        <w:t>
      3259. Помещение аммиачных холодильных машин имеет автономную систему осушения. Если предусмотрено орошение этого помещения, то подача осушительного насоса должна быть не менее расхода воды на орошение. Отливной трубопровод осушительной системы выводят непосредственно за борт.</w:t>
      </w:r>
    </w:p>
    <w:bookmarkEnd w:id="9424"/>
    <w:bookmarkStart w:name="z9471" w:id="9425"/>
    <w:p>
      <w:pPr>
        <w:spacing w:after="0"/>
        <w:ind w:left="0"/>
        <w:jc w:val="both"/>
      </w:pPr>
      <w:r>
        <w:rPr>
          <w:rFonts w:ascii="Times New Roman"/>
          <w:b w:val="false"/>
          <w:i w:val="false"/>
          <w:color w:val="000000"/>
          <w:sz w:val="28"/>
        </w:rPr>
        <w:t>
      Помещение хладоновых холодильных машин допускается осушать общесудовой системой осушения.</w:t>
      </w:r>
    </w:p>
    <w:bookmarkEnd w:id="9425"/>
    <w:bookmarkStart w:name="z9472" w:id="9426"/>
    <w:p>
      <w:pPr>
        <w:spacing w:after="0"/>
        <w:ind w:left="0"/>
        <w:jc w:val="both"/>
      </w:pPr>
      <w:r>
        <w:rPr>
          <w:rFonts w:ascii="Times New Roman"/>
          <w:b w:val="false"/>
          <w:i w:val="false"/>
          <w:color w:val="000000"/>
          <w:sz w:val="28"/>
        </w:rPr>
        <w:t>
      3260. Каждый туннель валопровода и посещаемый туннель трубопроводов осушаются отростком, расположенным в кормовой части туннеля.</w:t>
      </w:r>
    </w:p>
    <w:bookmarkEnd w:id="9426"/>
    <w:bookmarkStart w:name="z9473" w:id="9427"/>
    <w:p>
      <w:pPr>
        <w:spacing w:after="0"/>
        <w:ind w:left="0"/>
        <w:jc w:val="both"/>
      </w:pPr>
      <w:r>
        <w:rPr>
          <w:rFonts w:ascii="Times New Roman"/>
          <w:b w:val="false"/>
          <w:i w:val="false"/>
          <w:color w:val="000000"/>
          <w:sz w:val="28"/>
        </w:rPr>
        <w:t>
      В необходимых случаях дополнительные осушительные отростки следует предусматривать в носовой части туннеля. Отростки для осушения туннеля валопровода выполняются в соответствии с требованиями пункта 3254 настоящих Правил.</w:t>
      </w:r>
    </w:p>
    <w:bookmarkEnd w:id="9427"/>
    <w:bookmarkStart w:name="z9474" w:id="9428"/>
    <w:p>
      <w:pPr>
        <w:spacing w:after="0"/>
        <w:ind w:left="0"/>
        <w:jc w:val="left"/>
      </w:pPr>
      <w:r>
        <w:rPr>
          <w:rFonts w:ascii="Times New Roman"/>
          <w:b/>
          <w:i w:val="false"/>
          <w:color w:val="000000"/>
        </w:rPr>
        <w:t xml:space="preserve"> Глава 258. Осушение грузовых помещений</w:t>
      </w:r>
    </w:p>
    <w:bookmarkEnd w:id="9428"/>
    <w:p>
      <w:pPr>
        <w:spacing w:after="0"/>
        <w:ind w:left="0"/>
        <w:jc w:val="both"/>
      </w:pPr>
      <w:r>
        <w:rPr>
          <w:rFonts w:ascii="Times New Roman"/>
          <w:b w:val="false"/>
          <w:i w:val="false"/>
          <w:color w:val="ff0000"/>
          <w:sz w:val="28"/>
        </w:rPr>
        <w:t xml:space="preserve">
      Сноска. Заголовок главы 258 -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475" w:id="9429"/>
    <w:p>
      <w:pPr>
        <w:spacing w:after="0"/>
        <w:ind w:left="0"/>
        <w:jc w:val="both"/>
      </w:pPr>
      <w:r>
        <w:rPr>
          <w:rFonts w:ascii="Times New Roman"/>
          <w:b w:val="false"/>
          <w:i w:val="false"/>
          <w:color w:val="000000"/>
          <w:sz w:val="28"/>
        </w:rPr>
        <w:t>
      3261. В каждом грузовом помещении с двойным дном, образующим бортовые льяла, должно устанавливаться с каждого борта, как минимум, по одному приемному отростку в кормовой части трюма.</w:t>
      </w:r>
    </w:p>
    <w:bookmarkEnd w:id="9429"/>
    <w:bookmarkStart w:name="z9476" w:id="9430"/>
    <w:p>
      <w:pPr>
        <w:spacing w:after="0"/>
        <w:ind w:left="0"/>
        <w:jc w:val="both"/>
      </w:pPr>
      <w:r>
        <w:rPr>
          <w:rFonts w:ascii="Times New Roman"/>
          <w:b w:val="false"/>
          <w:i w:val="false"/>
          <w:color w:val="000000"/>
          <w:sz w:val="28"/>
        </w:rPr>
        <w:t>
      3262. Если в пределах грузового помещения имеется двойное дно, простирающееся по всей его ширине, то по обоим бортам следует предусматривать по одному сточному колодцу, расположенному в кормовой части трюма.</w:t>
      </w:r>
    </w:p>
    <w:bookmarkEnd w:id="9430"/>
    <w:bookmarkStart w:name="z9477" w:id="9431"/>
    <w:p>
      <w:pPr>
        <w:spacing w:after="0"/>
        <w:ind w:left="0"/>
        <w:jc w:val="both"/>
      </w:pPr>
      <w:r>
        <w:rPr>
          <w:rFonts w:ascii="Times New Roman"/>
          <w:b w:val="false"/>
          <w:i w:val="false"/>
          <w:color w:val="000000"/>
          <w:sz w:val="28"/>
        </w:rPr>
        <w:t>
      Необходимо чтобы вместимость сточных колодцев отвечала требованиям пункта 3483 настоящих Правил.</w:t>
      </w:r>
    </w:p>
    <w:bookmarkEnd w:id="9431"/>
    <w:bookmarkStart w:name="z9478" w:id="9432"/>
    <w:p>
      <w:pPr>
        <w:spacing w:after="0"/>
        <w:ind w:left="0"/>
        <w:jc w:val="both"/>
      </w:pPr>
      <w:r>
        <w:rPr>
          <w:rFonts w:ascii="Times New Roman"/>
          <w:b w:val="false"/>
          <w:i w:val="false"/>
          <w:color w:val="000000"/>
          <w:sz w:val="28"/>
        </w:rPr>
        <w:t>
      3263. В помещениях с двойным дном, имеющим уклон к диаметральной плоскости, кроме бортовых отростков предусматривают также приемные отростки, расположенные в диаметральной плоскости судна. Если сточный колодец простирается по всей ширине трюма и уклон второго дна более 5</w:t>
      </w:r>
      <w:r>
        <w:rPr>
          <w:rFonts w:ascii="Times New Roman"/>
          <w:b w:val="false"/>
          <w:i w:val="false"/>
          <w:color w:val="000000"/>
          <w:vertAlign w:val="superscript"/>
        </w:rPr>
        <w:t>о</w:t>
      </w:r>
      <w:r>
        <w:rPr>
          <w:rFonts w:ascii="Times New Roman"/>
          <w:b w:val="false"/>
          <w:i w:val="false"/>
          <w:color w:val="000000"/>
          <w:sz w:val="28"/>
        </w:rPr>
        <w:t>, к колодцу может быть подведен один приемный отросток.</w:t>
      </w:r>
    </w:p>
    <w:bookmarkEnd w:id="9432"/>
    <w:bookmarkStart w:name="z9479" w:id="9433"/>
    <w:p>
      <w:pPr>
        <w:spacing w:after="0"/>
        <w:ind w:left="0"/>
        <w:jc w:val="both"/>
      </w:pPr>
      <w:r>
        <w:rPr>
          <w:rFonts w:ascii="Times New Roman"/>
          <w:b w:val="false"/>
          <w:i w:val="false"/>
          <w:color w:val="000000"/>
          <w:sz w:val="28"/>
        </w:rPr>
        <w:t>
      3264. Горловина, установленная на сточном колодце, размещается как можно ближе к приемнику осушительного отростка.</w:t>
      </w:r>
    </w:p>
    <w:bookmarkEnd w:id="9433"/>
    <w:bookmarkStart w:name="z9480" w:id="9434"/>
    <w:p>
      <w:pPr>
        <w:spacing w:after="0"/>
        <w:ind w:left="0"/>
        <w:jc w:val="both"/>
      </w:pPr>
      <w:r>
        <w:rPr>
          <w:rFonts w:ascii="Times New Roman"/>
          <w:b w:val="false"/>
          <w:i w:val="false"/>
          <w:color w:val="000000"/>
          <w:sz w:val="28"/>
        </w:rPr>
        <w:t>
      3265. Грузовые помещения без двойного дна, имеющие подъем днища более 5</w:t>
      </w:r>
      <w:r>
        <w:rPr>
          <w:rFonts w:ascii="Times New Roman"/>
          <w:b w:val="false"/>
          <w:i w:val="false"/>
          <w:color w:val="000000"/>
          <w:vertAlign w:val="superscript"/>
        </w:rPr>
        <w:t>о</w:t>
      </w:r>
      <w:r>
        <w:rPr>
          <w:rFonts w:ascii="Times New Roman"/>
          <w:b w:val="false"/>
          <w:i w:val="false"/>
          <w:color w:val="000000"/>
          <w:sz w:val="28"/>
        </w:rPr>
        <w:t>, допускается оборудовать одним приемным отростком, расположенным вблизи диаметральной плоскости. При подъеме днища менее 5</w:t>
      </w:r>
      <w:r>
        <w:rPr>
          <w:rFonts w:ascii="Times New Roman"/>
          <w:b w:val="false"/>
          <w:i w:val="false"/>
          <w:color w:val="000000"/>
          <w:vertAlign w:val="superscript"/>
        </w:rPr>
        <w:t>о</w:t>
      </w:r>
      <w:r>
        <w:rPr>
          <w:rFonts w:ascii="Times New Roman"/>
          <w:b w:val="false"/>
          <w:i w:val="false"/>
          <w:color w:val="000000"/>
          <w:sz w:val="28"/>
        </w:rPr>
        <w:t xml:space="preserve"> требуется устанавливать не менее двух отростков по бортам.</w:t>
      </w:r>
    </w:p>
    <w:bookmarkEnd w:id="9434"/>
    <w:bookmarkStart w:name="z9481" w:id="9435"/>
    <w:p>
      <w:pPr>
        <w:spacing w:after="0"/>
        <w:ind w:left="0"/>
        <w:jc w:val="both"/>
      </w:pPr>
      <w:r>
        <w:rPr>
          <w:rFonts w:ascii="Times New Roman"/>
          <w:b w:val="false"/>
          <w:i w:val="false"/>
          <w:color w:val="000000"/>
          <w:sz w:val="28"/>
        </w:rPr>
        <w:t>
      3266. При длине трюма более 35 м следует устанавливать приемные отростки в носовой и кормовой частях этого трюма; при этом необходимо чтобы были выполнены требования пункта 3261 – 3265 настоящих Правил.</w:t>
      </w:r>
    </w:p>
    <w:bookmarkEnd w:id="9435"/>
    <w:bookmarkStart w:name="z9482" w:id="9436"/>
    <w:p>
      <w:pPr>
        <w:spacing w:after="0"/>
        <w:ind w:left="0"/>
        <w:jc w:val="both"/>
      </w:pPr>
      <w:r>
        <w:rPr>
          <w:rFonts w:ascii="Times New Roman"/>
          <w:b w:val="false"/>
          <w:i w:val="false"/>
          <w:color w:val="000000"/>
          <w:sz w:val="28"/>
        </w:rPr>
        <w:t>
      3267. В узких оконечностях грузовых помещений возможен допуск установки одного приемного отростка.</w:t>
      </w:r>
    </w:p>
    <w:bookmarkEnd w:id="9436"/>
    <w:bookmarkStart w:name="z9483" w:id="9437"/>
    <w:p>
      <w:pPr>
        <w:spacing w:after="0"/>
        <w:ind w:left="0"/>
        <w:jc w:val="both"/>
      </w:pPr>
      <w:r>
        <w:rPr>
          <w:rFonts w:ascii="Times New Roman"/>
          <w:b w:val="false"/>
          <w:i w:val="false"/>
          <w:color w:val="000000"/>
          <w:sz w:val="28"/>
        </w:rPr>
        <w:t>
      3268. В льяла грузового помещения возможно отвести сточные трубы из сообщающихся с ним помещений данного отсека, расположенных ниже палубы переборок.</w:t>
      </w:r>
    </w:p>
    <w:bookmarkEnd w:id="9437"/>
    <w:bookmarkStart w:name="z9484" w:id="9438"/>
    <w:p>
      <w:pPr>
        <w:spacing w:after="0"/>
        <w:ind w:left="0"/>
        <w:jc w:val="both"/>
      </w:pPr>
      <w:r>
        <w:rPr>
          <w:rFonts w:ascii="Times New Roman"/>
          <w:b w:val="false"/>
          <w:i w:val="false"/>
          <w:color w:val="000000"/>
          <w:sz w:val="28"/>
        </w:rPr>
        <w:t>
      Отвод сточных вод в льяла грузовых помещений из помещений, расположенных в других водонепроницаемых отсеках ниже палубы переборок, не допускается.</w:t>
      </w:r>
    </w:p>
    <w:bookmarkEnd w:id="9438"/>
    <w:bookmarkStart w:name="z9485" w:id="9439"/>
    <w:p>
      <w:pPr>
        <w:spacing w:after="0"/>
        <w:ind w:left="0"/>
        <w:jc w:val="both"/>
      </w:pPr>
      <w:r>
        <w:rPr>
          <w:rFonts w:ascii="Times New Roman"/>
          <w:b w:val="false"/>
          <w:i w:val="false"/>
          <w:color w:val="000000"/>
          <w:sz w:val="28"/>
        </w:rPr>
        <w:t>
      Требования к отводу сточной воды в охлаждаемые помещения изложены в главе 274 настоящих Правил.</w:t>
      </w:r>
    </w:p>
    <w:bookmarkEnd w:id="9439"/>
    <w:bookmarkStart w:name="z9486" w:id="9440"/>
    <w:p>
      <w:pPr>
        <w:spacing w:after="0"/>
        <w:ind w:left="0"/>
        <w:jc w:val="both"/>
      </w:pPr>
      <w:r>
        <w:rPr>
          <w:rFonts w:ascii="Times New Roman"/>
          <w:b w:val="false"/>
          <w:i w:val="false"/>
          <w:color w:val="000000"/>
          <w:sz w:val="28"/>
        </w:rPr>
        <w:t>
      3269. В грузовых помещениях, имеющих над льялами или колодцами деревянный настил или съемные крышки, предусматривается свободный сток воды в льяла или колодцы.</w:t>
      </w:r>
    </w:p>
    <w:bookmarkEnd w:id="9440"/>
    <w:bookmarkStart w:name="z9487" w:id="9441"/>
    <w:p>
      <w:pPr>
        <w:spacing w:after="0"/>
        <w:ind w:left="0"/>
        <w:jc w:val="both"/>
      </w:pPr>
      <w:r>
        <w:rPr>
          <w:rFonts w:ascii="Times New Roman"/>
          <w:b w:val="false"/>
          <w:i w:val="false"/>
          <w:color w:val="000000"/>
          <w:sz w:val="28"/>
        </w:rPr>
        <w:t>
      3270. Приемные осушительные отростки снабжаются приемными коробками или сетками с отверстиями диаметром 8—10 мм. Суммарная площадь сечения отверстий должна быть не менее удвоенной площади проходного сечения данного отростка.</w:t>
      </w:r>
    </w:p>
    <w:bookmarkEnd w:id="9441"/>
    <w:bookmarkStart w:name="z9488" w:id="9442"/>
    <w:p>
      <w:pPr>
        <w:spacing w:after="0"/>
        <w:ind w:left="0"/>
        <w:jc w:val="both"/>
      </w:pPr>
      <w:r>
        <w:rPr>
          <w:rFonts w:ascii="Times New Roman"/>
          <w:b w:val="false"/>
          <w:i w:val="false"/>
          <w:color w:val="000000"/>
          <w:sz w:val="28"/>
        </w:rPr>
        <w:t>
      Коробки и сетки должны быть съемными или обеспечивать их чистку без разборки приемного отростка.</w:t>
      </w:r>
    </w:p>
    <w:bookmarkEnd w:id="9442"/>
    <w:bookmarkStart w:name="z9489" w:id="9443"/>
    <w:p>
      <w:pPr>
        <w:spacing w:after="0"/>
        <w:ind w:left="0"/>
        <w:jc w:val="both"/>
      </w:pPr>
      <w:r>
        <w:rPr>
          <w:rFonts w:ascii="Times New Roman"/>
          <w:b w:val="false"/>
          <w:i w:val="false"/>
          <w:color w:val="000000"/>
          <w:sz w:val="28"/>
        </w:rPr>
        <w:t>
      3271. В грузовых помещениях судов для навалочных грузов осушительная система имеет такую конструкцию, чтобы при перевозке сыпучих грузов она сохраняла свою работоспособность.</w:t>
      </w:r>
    </w:p>
    <w:bookmarkEnd w:id="9443"/>
    <w:bookmarkStart w:name="z9490" w:id="9444"/>
    <w:p>
      <w:pPr>
        <w:spacing w:after="0"/>
        <w:ind w:left="0"/>
        <w:jc w:val="both"/>
      </w:pPr>
      <w:r>
        <w:rPr>
          <w:rFonts w:ascii="Times New Roman"/>
          <w:b w:val="false"/>
          <w:i w:val="false"/>
          <w:color w:val="000000"/>
          <w:sz w:val="28"/>
        </w:rPr>
        <w:t>
      3272. Для осушения закрытых грузовых помещений, расположенных на палубе переборок пассажирских судов и грузовых судов, получающих в символе класса знак деления на отсеки, а также на палубе надводного борта других грузовых судов, предусматриваются устройства, указанные в 3273 и 3274 настоящих Правил.</w:t>
      </w:r>
    </w:p>
    <w:bookmarkEnd w:id="9444"/>
    <w:bookmarkStart w:name="z9491" w:id="9445"/>
    <w:p>
      <w:pPr>
        <w:spacing w:after="0"/>
        <w:ind w:left="0"/>
        <w:jc w:val="both"/>
      </w:pPr>
      <w:r>
        <w:rPr>
          <w:rFonts w:ascii="Times New Roman"/>
          <w:b w:val="false"/>
          <w:i w:val="false"/>
          <w:color w:val="000000"/>
          <w:sz w:val="28"/>
        </w:rPr>
        <w:t>
      3273. Если высота надводного борта до палубы переборок или палубы надводного борта такова, что кромка палубы погружается в воду при крене судна более 5</w:t>
      </w:r>
      <w:r>
        <w:rPr>
          <w:rFonts w:ascii="Times New Roman"/>
          <w:b w:val="false"/>
          <w:i w:val="false"/>
          <w:color w:val="000000"/>
          <w:vertAlign w:val="superscript"/>
        </w:rPr>
        <w:t>о</w:t>
      </w:r>
      <w:r>
        <w:rPr>
          <w:rFonts w:ascii="Times New Roman"/>
          <w:b w:val="false"/>
          <w:i w:val="false"/>
          <w:color w:val="000000"/>
          <w:sz w:val="28"/>
        </w:rPr>
        <w:t>, осушение выполняется посредством шпигатов, позволяющих производить слив воды непосредственно за борт.</w:t>
      </w:r>
    </w:p>
    <w:bookmarkEnd w:id="9445"/>
    <w:bookmarkStart w:name="z9492" w:id="9446"/>
    <w:p>
      <w:pPr>
        <w:spacing w:after="0"/>
        <w:ind w:left="0"/>
        <w:jc w:val="both"/>
      </w:pPr>
      <w:r>
        <w:rPr>
          <w:rFonts w:ascii="Times New Roman"/>
          <w:b w:val="false"/>
          <w:i w:val="false"/>
          <w:color w:val="000000"/>
          <w:sz w:val="28"/>
        </w:rPr>
        <w:t>
      Шпигаты и сточные трубы располагаются и оборудуются согласно пункту 3155 настоящих Правил.</w:t>
      </w:r>
    </w:p>
    <w:bookmarkEnd w:id="9446"/>
    <w:bookmarkStart w:name="z9493" w:id="9447"/>
    <w:p>
      <w:pPr>
        <w:spacing w:after="0"/>
        <w:ind w:left="0"/>
        <w:jc w:val="both"/>
      </w:pPr>
      <w:r>
        <w:rPr>
          <w:rFonts w:ascii="Times New Roman"/>
          <w:b w:val="false"/>
          <w:i w:val="false"/>
          <w:color w:val="000000"/>
          <w:sz w:val="28"/>
        </w:rPr>
        <w:t>
      3274. Если высота надводного борта такова, что кромка палубы погружается в воду при крене судна 5</w:t>
      </w:r>
      <w:r>
        <w:rPr>
          <w:rFonts w:ascii="Times New Roman"/>
          <w:b w:val="false"/>
          <w:i w:val="false"/>
          <w:color w:val="000000"/>
          <w:vertAlign w:val="superscript"/>
        </w:rPr>
        <w:t>о</w:t>
      </w:r>
      <w:r>
        <w:rPr>
          <w:rFonts w:ascii="Times New Roman"/>
          <w:b w:val="false"/>
          <w:i w:val="false"/>
          <w:color w:val="000000"/>
          <w:sz w:val="28"/>
        </w:rPr>
        <w:t xml:space="preserve"> или менее, осушение закрытых грузовых помещений, расположенных на этой палубе, производится в пространства достаточной вместимости, пригодные для этой цели, оборудованные сигнализацией по высокому уровню воды и устройствами для откачки воды за борт. При этом принимают во внимание следующее:</w:t>
      </w:r>
    </w:p>
    <w:bookmarkEnd w:id="9447"/>
    <w:bookmarkStart w:name="z9494" w:id="9448"/>
    <w:p>
      <w:pPr>
        <w:spacing w:after="0"/>
        <w:ind w:left="0"/>
        <w:jc w:val="both"/>
      </w:pPr>
      <w:r>
        <w:rPr>
          <w:rFonts w:ascii="Times New Roman"/>
          <w:b w:val="false"/>
          <w:i w:val="false"/>
          <w:color w:val="000000"/>
          <w:sz w:val="28"/>
        </w:rPr>
        <w:t>
      1) число, размер и расположение шпигатов должно быть таким, чтобы предотвращалось скопление чрезмерного количества свободно переливающейся воды;</w:t>
      </w:r>
    </w:p>
    <w:bookmarkEnd w:id="9448"/>
    <w:bookmarkStart w:name="z9495" w:id="9449"/>
    <w:p>
      <w:pPr>
        <w:spacing w:after="0"/>
        <w:ind w:left="0"/>
        <w:jc w:val="both"/>
      </w:pPr>
      <w:r>
        <w:rPr>
          <w:rFonts w:ascii="Times New Roman"/>
          <w:b w:val="false"/>
          <w:i w:val="false"/>
          <w:color w:val="000000"/>
          <w:sz w:val="28"/>
        </w:rPr>
        <w:t>
      2) устройства осушения грузовых помещений, упомянутые выше, обеспечивают отвод воды при использовании любых стационарных систем водяного пожаротушения, включая системы водораспыления, требуемых, соответственно, для пассажирских и грузовых судов.</w:t>
      </w:r>
    </w:p>
    <w:bookmarkEnd w:id="9449"/>
    <w:bookmarkStart w:name="z9496" w:id="9450"/>
    <w:p>
      <w:pPr>
        <w:spacing w:after="0"/>
        <w:ind w:left="0"/>
        <w:jc w:val="both"/>
      </w:pPr>
      <w:r>
        <w:rPr>
          <w:rFonts w:ascii="Times New Roman"/>
          <w:b w:val="false"/>
          <w:i w:val="false"/>
          <w:color w:val="000000"/>
          <w:sz w:val="28"/>
        </w:rPr>
        <w:t>
      Система осушения (глава 254 настоящих Правил) имеет производительность не менее 125 % от суммарной производительности насосов системы водораспыления и водопожарной системы с учетом необходимого числа пожарных стволов;</w:t>
      </w:r>
    </w:p>
    <w:bookmarkEnd w:id="9450"/>
    <w:bookmarkStart w:name="z9497" w:id="9451"/>
    <w:p>
      <w:pPr>
        <w:spacing w:after="0"/>
        <w:ind w:left="0"/>
        <w:jc w:val="both"/>
      </w:pPr>
      <w:r>
        <w:rPr>
          <w:rFonts w:ascii="Times New Roman"/>
          <w:b w:val="false"/>
          <w:i w:val="false"/>
          <w:color w:val="000000"/>
          <w:sz w:val="28"/>
        </w:rPr>
        <w:t>
      3) клапаны средств осушения управляются с места вне защищаемого помещения, поблизости от средств управления системой водяного орошения. Трюмные колодцы имеют достаточную емкость и размещаются около бортовой обшивки судна на расстоянии друг от друга не более 40 м в каждом водонепроницаемом отсеке. Не допускается чтобы вода, загрязненная бензином или другими опасными веществами, сливались в машинные или другие помещения, в которых находятся источники воспламенения;</w:t>
      </w:r>
    </w:p>
    <w:bookmarkEnd w:id="9451"/>
    <w:bookmarkStart w:name="z9498" w:id="9452"/>
    <w:p>
      <w:pPr>
        <w:spacing w:after="0"/>
        <w:ind w:left="0"/>
        <w:jc w:val="both"/>
      </w:pPr>
      <w:r>
        <w:rPr>
          <w:rFonts w:ascii="Times New Roman"/>
          <w:b w:val="false"/>
          <w:i w:val="false"/>
          <w:color w:val="000000"/>
          <w:sz w:val="28"/>
        </w:rPr>
        <w:t>
      4) если закрытое грузовое помещение защищается объемным пожаротушением, палубные шпигаты снабжаются устройствами, предотвращающими утечку газа.</w:t>
      </w:r>
    </w:p>
    <w:bookmarkEnd w:id="9452"/>
    <w:bookmarkStart w:name="z9499" w:id="9453"/>
    <w:p>
      <w:pPr>
        <w:spacing w:after="0"/>
        <w:ind w:left="0"/>
        <w:jc w:val="both"/>
      </w:pPr>
      <w:r>
        <w:rPr>
          <w:rFonts w:ascii="Times New Roman"/>
          <w:b w:val="false"/>
          <w:i w:val="false"/>
          <w:color w:val="000000"/>
          <w:sz w:val="28"/>
        </w:rPr>
        <w:t>
      3275. Осушительная система грузовых трюмов с брызгопроницаемыми закрытиями, расположенными над палубой надстройки вне районов 1 и 2 (пункт 1179 настоящих Правил и пункт 72 Правил о грузовой марке) имеет насосы с увеличенной подачей с учетом дополнительного поступления воды:</w:t>
      </w:r>
    </w:p>
    <w:bookmarkEnd w:id="9453"/>
    <w:bookmarkStart w:name="z9500" w:id="9454"/>
    <w:p>
      <w:pPr>
        <w:spacing w:after="0"/>
        <w:ind w:left="0"/>
        <w:jc w:val="both"/>
      </w:pPr>
      <w:r>
        <w:rPr>
          <w:rFonts w:ascii="Times New Roman"/>
          <w:b w:val="false"/>
          <w:i w:val="false"/>
          <w:color w:val="000000"/>
          <w:sz w:val="28"/>
        </w:rPr>
        <w:t>
      1) от устойчивого количества осадков, равного 100 мм/ч, попадающих через общую площадь зазоров между панелями закрытий, либо;</w:t>
      </w:r>
    </w:p>
    <w:bookmarkEnd w:id="9454"/>
    <w:bookmarkStart w:name="z9501" w:id="9455"/>
    <w:p>
      <w:pPr>
        <w:spacing w:after="0"/>
        <w:ind w:left="0"/>
        <w:jc w:val="both"/>
      </w:pPr>
      <w:r>
        <w:rPr>
          <w:rFonts w:ascii="Times New Roman"/>
          <w:b w:val="false"/>
          <w:i w:val="false"/>
          <w:color w:val="000000"/>
          <w:sz w:val="28"/>
        </w:rPr>
        <w:t>
      2) от расхода воды спринклерной системой, если такая установлена, смотря по тому, что больше.</w:t>
      </w:r>
    </w:p>
    <w:bookmarkEnd w:id="9455"/>
    <w:bookmarkStart w:name="z9502" w:id="9456"/>
    <w:p>
      <w:pPr>
        <w:spacing w:after="0"/>
        <w:ind w:left="0"/>
        <w:jc w:val="both"/>
      </w:pPr>
      <w:r>
        <w:rPr>
          <w:rFonts w:ascii="Times New Roman"/>
          <w:b w:val="false"/>
          <w:i w:val="false"/>
          <w:color w:val="000000"/>
          <w:sz w:val="28"/>
        </w:rPr>
        <w:t>
      Внутренний диаметр осушительной магистрали увеличивают в соответствии с увеличенной подачей насосов.</w:t>
      </w:r>
    </w:p>
    <w:bookmarkEnd w:id="9456"/>
    <w:bookmarkStart w:name="z9503" w:id="9457"/>
    <w:p>
      <w:pPr>
        <w:spacing w:after="0"/>
        <w:ind w:left="0"/>
        <w:jc w:val="both"/>
      </w:pPr>
      <w:r>
        <w:rPr>
          <w:rFonts w:ascii="Times New Roman"/>
          <w:b w:val="false"/>
          <w:i w:val="false"/>
          <w:color w:val="000000"/>
          <w:sz w:val="28"/>
        </w:rPr>
        <w:t>
      Каждый грузовой трюм оборудуют сигнализацией по предельно допустимому уровню воды в сточных колодцах.</w:t>
      </w:r>
    </w:p>
    <w:bookmarkEnd w:id="9457"/>
    <w:bookmarkStart w:name="z9504" w:id="9458"/>
    <w:p>
      <w:pPr>
        <w:spacing w:after="0"/>
        <w:ind w:left="0"/>
        <w:jc w:val="both"/>
      </w:pPr>
      <w:r>
        <w:rPr>
          <w:rFonts w:ascii="Times New Roman"/>
          <w:b w:val="false"/>
          <w:i w:val="false"/>
          <w:color w:val="000000"/>
          <w:sz w:val="28"/>
        </w:rPr>
        <w:t>
      3276. На контейнерных судах трюма, оборудованные брызгопроницаемыми закрытиями и предназначенные для перевозки опасных грузов, рассматриваются как контейнерные трюма открытого типа в соответствии с пунктами 10 и 11 циркуляра Комитета по безопасности на море ИМО MSC/Circ.608/Rev.l.</w:t>
      </w:r>
    </w:p>
    <w:bookmarkEnd w:id="9458"/>
    <w:bookmarkStart w:name="z9505" w:id="9459"/>
    <w:p>
      <w:pPr>
        <w:spacing w:after="0"/>
        <w:ind w:left="0"/>
        <w:jc w:val="left"/>
      </w:pPr>
      <w:r>
        <w:rPr>
          <w:rFonts w:ascii="Times New Roman"/>
          <w:b/>
          <w:i w:val="false"/>
          <w:color w:val="000000"/>
        </w:rPr>
        <w:t xml:space="preserve"> Глава 259. Осушение грузовых насосных помещений нефтеналивных судов и охлаждаемых помещений</w:t>
      </w:r>
    </w:p>
    <w:bookmarkEnd w:id="9459"/>
    <w:p>
      <w:pPr>
        <w:spacing w:after="0"/>
        <w:ind w:left="0"/>
        <w:jc w:val="both"/>
      </w:pPr>
      <w:r>
        <w:rPr>
          <w:rFonts w:ascii="Times New Roman"/>
          <w:b w:val="false"/>
          <w:i w:val="false"/>
          <w:color w:val="ff0000"/>
          <w:sz w:val="28"/>
        </w:rPr>
        <w:t xml:space="preserve">
      Сноска. Заголовок главы 259 -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06" w:id="9460"/>
    <w:p>
      <w:pPr>
        <w:spacing w:after="0"/>
        <w:ind w:left="0"/>
        <w:jc w:val="both"/>
      </w:pPr>
      <w:r>
        <w:rPr>
          <w:rFonts w:ascii="Times New Roman"/>
          <w:b w:val="false"/>
          <w:i w:val="false"/>
          <w:color w:val="000000"/>
          <w:sz w:val="28"/>
        </w:rPr>
        <w:t>
      3277. Грузовые насосные помещения на нефтеналивных судах осушаются отдельными насосами или эжекторами, расположенными в самих насосных помещениях. Допускается использование зачистного насоса при условии установки невозвратно-запорных клапанов на открытых концах приемных отростков и запорного клапана на трубопроводе, соединяющем клапанную коробку осушения с зачистным насосом.</w:t>
      </w:r>
    </w:p>
    <w:bookmarkEnd w:id="9460"/>
    <w:bookmarkStart w:name="z9507" w:id="9461"/>
    <w:p>
      <w:pPr>
        <w:spacing w:after="0"/>
        <w:ind w:left="0"/>
        <w:jc w:val="both"/>
      </w:pPr>
      <w:r>
        <w:rPr>
          <w:rFonts w:ascii="Times New Roman"/>
          <w:b w:val="false"/>
          <w:i w:val="false"/>
          <w:color w:val="000000"/>
          <w:sz w:val="28"/>
        </w:rPr>
        <w:t>
      Насосные помещения нефтеналивных судов валовой вместимостью до 500 допускается осушать ручными насосами.</w:t>
      </w:r>
    </w:p>
    <w:bookmarkEnd w:id="9461"/>
    <w:bookmarkStart w:name="z9508" w:id="9462"/>
    <w:p>
      <w:pPr>
        <w:spacing w:after="0"/>
        <w:ind w:left="0"/>
        <w:jc w:val="both"/>
      </w:pPr>
      <w:r>
        <w:rPr>
          <w:rFonts w:ascii="Times New Roman"/>
          <w:b w:val="false"/>
          <w:i w:val="false"/>
          <w:color w:val="000000"/>
          <w:sz w:val="28"/>
        </w:rPr>
        <w:t>
      Конструкция насосов должна в максимальной степени исключать возможность искрообразования.</w:t>
      </w:r>
    </w:p>
    <w:bookmarkEnd w:id="9462"/>
    <w:bookmarkStart w:name="z9509" w:id="9463"/>
    <w:p>
      <w:pPr>
        <w:spacing w:after="0"/>
        <w:ind w:left="0"/>
        <w:jc w:val="both"/>
      </w:pPr>
      <w:r>
        <w:rPr>
          <w:rFonts w:ascii="Times New Roman"/>
          <w:b w:val="false"/>
          <w:i w:val="false"/>
          <w:color w:val="000000"/>
          <w:sz w:val="28"/>
        </w:rPr>
        <w:t>
      Необходимо чтобы расположение приводов насосов отвечало требованиям пункта 2733 настоящих Правил.</w:t>
      </w:r>
    </w:p>
    <w:bookmarkEnd w:id="9463"/>
    <w:bookmarkStart w:name="z9510" w:id="9464"/>
    <w:p>
      <w:pPr>
        <w:spacing w:after="0"/>
        <w:ind w:left="0"/>
        <w:jc w:val="both"/>
      </w:pPr>
      <w:r>
        <w:rPr>
          <w:rFonts w:ascii="Times New Roman"/>
          <w:b w:val="false"/>
          <w:i w:val="false"/>
          <w:color w:val="000000"/>
          <w:sz w:val="28"/>
        </w:rPr>
        <w:t>
      Грузовые насосные помещения оборудуются системой световой и звуковой сигнализации по высокому уровню в сточных колодцах, выведенной в пост управления грузовыми операциями и ходовой мостик.</w:t>
      </w:r>
    </w:p>
    <w:bookmarkEnd w:id="9464"/>
    <w:bookmarkStart w:name="z9511" w:id="9465"/>
    <w:p>
      <w:pPr>
        <w:spacing w:after="0"/>
        <w:ind w:left="0"/>
        <w:jc w:val="both"/>
      </w:pPr>
      <w:r>
        <w:rPr>
          <w:rFonts w:ascii="Times New Roman"/>
          <w:b w:val="false"/>
          <w:i w:val="false"/>
          <w:color w:val="000000"/>
          <w:sz w:val="28"/>
        </w:rPr>
        <w:t>
      3278. Предусматривается осушение всех помещений, поддонов, желобов и других мест, где возможно скопление воды.</w:t>
      </w:r>
    </w:p>
    <w:bookmarkEnd w:id="9465"/>
    <w:bookmarkStart w:name="z9512" w:id="9466"/>
    <w:p>
      <w:pPr>
        <w:spacing w:after="0"/>
        <w:ind w:left="0"/>
        <w:jc w:val="both"/>
      </w:pPr>
      <w:r>
        <w:rPr>
          <w:rFonts w:ascii="Times New Roman"/>
          <w:b w:val="false"/>
          <w:i w:val="false"/>
          <w:color w:val="000000"/>
          <w:sz w:val="28"/>
        </w:rPr>
        <w:t>
      3279. Вывод сточных труб из неохлаждаемых отсеков в льяла охлаждаемых помещений не допускается.</w:t>
      </w:r>
    </w:p>
    <w:bookmarkEnd w:id="9466"/>
    <w:bookmarkStart w:name="z9513" w:id="9467"/>
    <w:p>
      <w:pPr>
        <w:spacing w:after="0"/>
        <w:ind w:left="0"/>
        <w:jc w:val="both"/>
      </w:pPr>
      <w:r>
        <w:rPr>
          <w:rFonts w:ascii="Times New Roman"/>
          <w:b w:val="false"/>
          <w:i w:val="false"/>
          <w:color w:val="000000"/>
          <w:sz w:val="28"/>
        </w:rPr>
        <w:t>
      3280. Каждый сточный трубопровод из охлаждаемых помещений снабжается гидравлическим затвором или равноценным ему устройством. Высота жидкости в гидравлическом затворе обеспечивает безотказность его работы в любых условиях эксплуатации.</w:t>
      </w:r>
    </w:p>
    <w:bookmarkEnd w:id="9467"/>
    <w:bookmarkStart w:name="z9514" w:id="9468"/>
    <w:p>
      <w:pPr>
        <w:spacing w:after="0"/>
        <w:ind w:left="0"/>
        <w:jc w:val="both"/>
      </w:pPr>
      <w:r>
        <w:rPr>
          <w:rFonts w:ascii="Times New Roman"/>
          <w:b w:val="false"/>
          <w:i w:val="false"/>
          <w:color w:val="000000"/>
          <w:sz w:val="28"/>
        </w:rPr>
        <w:t>
      Гидравлические затворы помещаются вне изоляции в доступном месте. При отводе сточных труб из твиндеков и трюмов в общий колодец на концах сточных труб из трюмов устанавливаются невозвратные клапаны.</w:t>
      </w:r>
    </w:p>
    <w:bookmarkEnd w:id="9468"/>
    <w:bookmarkStart w:name="z9515" w:id="9469"/>
    <w:p>
      <w:pPr>
        <w:spacing w:after="0"/>
        <w:ind w:left="0"/>
        <w:jc w:val="both"/>
      </w:pPr>
      <w:r>
        <w:rPr>
          <w:rFonts w:ascii="Times New Roman"/>
          <w:b w:val="false"/>
          <w:i w:val="false"/>
          <w:color w:val="000000"/>
          <w:sz w:val="28"/>
        </w:rPr>
        <w:t>
      3281. На сточных трубах из охлаждаемых помещений не устанавливаются запорные клапаны.</w:t>
      </w:r>
    </w:p>
    <w:bookmarkEnd w:id="9469"/>
    <w:bookmarkStart w:name="z9516" w:id="9470"/>
    <w:p>
      <w:pPr>
        <w:spacing w:after="0"/>
        <w:ind w:left="0"/>
        <w:jc w:val="left"/>
      </w:pPr>
      <w:r>
        <w:rPr>
          <w:rFonts w:ascii="Times New Roman"/>
          <w:b/>
          <w:i w:val="false"/>
          <w:color w:val="000000"/>
        </w:rPr>
        <w:t xml:space="preserve"> Глава 260. Осушение носовых помещений навалочных судов</w:t>
      </w:r>
    </w:p>
    <w:bookmarkEnd w:id="9470"/>
    <w:p>
      <w:pPr>
        <w:spacing w:after="0"/>
        <w:ind w:left="0"/>
        <w:jc w:val="both"/>
      </w:pPr>
      <w:r>
        <w:rPr>
          <w:rFonts w:ascii="Times New Roman"/>
          <w:b w:val="false"/>
          <w:i w:val="false"/>
          <w:color w:val="ff0000"/>
          <w:sz w:val="28"/>
        </w:rPr>
        <w:t xml:space="preserve">
      Сноска. Заголовок главы 260 -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17" w:id="9471"/>
    <w:p>
      <w:pPr>
        <w:spacing w:after="0"/>
        <w:ind w:left="0"/>
        <w:jc w:val="both"/>
      </w:pPr>
      <w:r>
        <w:rPr>
          <w:rFonts w:ascii="Times New Roman"/>
          <w:b w:val="false"/>
          <w:i w:val="false"/>
          <w:color w:val="000000"/>
          <w:sz w:val="28"/>
        </w:rPr>
        <w:t>
      3282. Настоящие требования распространяются на средства осушения и заполнения расположенных в нос от таранной переборки балластных танков и средства осушения сухих помещений, любая часть которых простирается в нос от первого носового трюма, за исключением закрытых помещений, объем которых не превышает 0,1 % от максимального объемного водоизмещения судна и цепных ящиков.</w:t>
      </w:r>
    </w:p>
    <w:bookmarkEnd w:id="9471"/>
    <w:bookmarkStart w:name="z9518" w:id="9472"/>
    <w:p>
      <w:pPr>
        <w:spacing w:after="0"/>
        <w:ind w:left="0"/>
        <w:jc w:val="both"/>
      </w:pPr>
      <w:r>
        <w:rPr>
          <w:rFonts w:ascii="Times New Roman"/>
          <w:b w:val="false"/>
          <w:i w:val="false"/>
          <w:color w:val="000000"/>
          <w:sz w:val="28"/>
        </w:rPr>
        <w:t>
      3283. Средства осушения и заполнения расположенных в нос от таранной переборки балластных танков и льял сухих помещений, любая часть которых простирается в нос от носового трюма, имеют возможность приведения в действие с ходового мостика или поста управления энергетической установкой или из легкодоступного закрытого помещения, доступ в которое с ходового мостика или поста управления энергетической установкой осуществляется без прохода через открытые для непогоды палубы надводного борта или надстройки. Трубный тоннель или другое подобное средство доступа не рассматривается как "легкодоступное закрытое помещение".</w:t>
      </w:r>
    </w:p>
    <w:bookmarkEnd w:id="9472"/>
    <w:bookmarkStart w:name="z9519" w:id="9473"/>
    <w:p>
      <w:pPr>
        <w:spacing w:after="0"/>
        <w:ind w:left="0"/>
        <w:jc w:val="both"/>
      </w:pPr>
      <w:r>
        <w:rPr>
          <w:rFonts w:ascii="Times New Roman"/>
          <w:b w:val="false"/>
          <w:i w:val="false"/>
          <w:color w:val="000000"/>
          <w:sz w:val="28"/>
        </w:rPr>
        <w:t>
      3284. Средства осушения должны быть такими, чтобы во время их работы другие системы ответственного назначения, включая водопожарную и осушительную системы, оставались бы работоспособными и готовыми к немедленному использованию.</w:t>
      </w:r>
    </w:p>
    <w:bookmarkEnd w:id="9473"/>
    <w:bookmarkStart w:name="z9520" w:id="9474"/>
    <w:p>
      <w:pPr>
        <w:spacing w:after="0"/>
        <w:ind w:left="0"/>
        <w:jc w:val="both"/>
      </w:pPr>
      <w:r>
        <w:rPr>
          <w:rFonts w:ascii="Times New Roman"/>
          <w:b w:val="false"/>
          <w:i w:val="false"/>
          <w:color w:val="000000"/>
          <w:sz w:val="28"/>
        </w:rPr>
        <w:t>
      Системы, обеспечивающие электроснабжение, движение и управление судном, не должны испытывать влияния от работы системы осушения.</w:t>
      </w:r>
    </w:p>
    <w:bookmarkEnd w:id="9474"/>
    <w:bookmarkStart w:name="z9521" w:id="9475"/>
    <w:p>
      <w:pPr>
        <w:spacing w:after="0"/>
        <w:ind w:left="0"/>
        <w:jc w:val="both"/>
      </w:pPr>
      <w:r>
        <w:rPr>
          <w:rFonts w:ascii="Times New Roman"/>
          <w:b w:val="false"/>
          <w:i w:val="false"/>
          <w:color w:val="000000"/>
          <w:sz w:val="28"/>
        </w:rPr>
        <w:t>
      Также обеспечивается возможность немедленного пуска пожарных насосов и готовность подачи воды, а также готовность использования судовой осушительной системы для любого помещения.</w:t>
      </w:r>
    </w:p>
    <w:bookmarkEnd w:id="9475"/>
    <w:bookmarkStart w:name="z9522" w:id="9476"/>
    <w:p>
      <w:pPr>
        <w:spacing w:after="0"/>
        <w:ind w:left="0"/>
        <w:jc w:val="both"/>
      </w:pPr>
      <w:r>
        <w:rPr>
          <w:rFonts w:ascii="Times New Roman"/>
          <w:b w:val="false"/>
          <w:i w:val="false"/>
          <w:color w:val="000000"/>
          <w:sz w:val="28"/>
        </w:rPr>
        <w:t>
      3285. Средства осушения обеспечивают удаление любой скопившейся воды непосредственно насосом или эжектором. Осушительные средства проектируют на удаление воды в количестве не менее 320-А, м</w:t>
      </w:r>
      <w:r>
        <w:rPr>
          <w:rFonts w:ascii="Times New Roman"/>
          <w:b w:val="false"/>
          <w:i w:val="false"/>
          <w:color w:val="000000"/>
          <w:vertAlign w:val="superscript"/>
        </w:rPr>
        <w:t>3</w:t>
      </w:r>
      <w:r>
        <w:rPr>
          <w:rFonts w:ascii="Times New Roman"/>
          <w:b w:val="false"/>
          <w:i w:val="false"/>
          <w:color w:val="000000"/>
          <w:sz w:val="28"/>
        </w:rPr>
        <w:t>/ч, где А – площадь сечения, м</w:t>
      </w:r>
      <w:r>
        <w:rPr>
          <w:rFonts w:ascii="Times New Roman"/>
          <w:b w:val="false"/>
          <w:i w:val="false"/>
          <w:color w:val="000000"/>
          <w:vertAlign w:val="superscript"/>
        </w:rPr>
        <w:t>2</w:t>
      </w:r>
      <w:r>
        <w:rPr>
          <w:rFonts w:ascii="Times New Roman"/>
          <w:b w:val="false"/>
          <w:i w:val="false"/>
          <w:color w:val="000000"/>
          <w:sz w:val="28"/>
        </w:rPr>
        <w:t>, наибольшей воздушной или вентиляционной трубы, ведущей в это помещение с открытой части палубы.</w:t>
      </w:r>
    </w:p>
    <w:bookmarkEnd w:id="9476"/>
    <w:bookmarkStart w:name="z9523" w:id="9477"/>
    <w:p>
      <w:pPr>
        <w:spacing w:after="0"/>
        <w:ind w:left="0"/>
        <w:jc w:val="both"/>
      </w:pPr>
      <w:r>
        <w:rPr>
          <w:rFonts w:ascii="Times New Roman"/>
          <w:b w:val="false"/>
          <w:i w:val="false"/>
          <w:color w:val="000000"/>
          <w:sz w:val="28"/>
        </w:rPr>
        <w:t>
      3286. Осушительные колодцы обеспечивают приемными решетками или фильтрами для исключения блокировки системы осушения отложениями.</w:t>
      </w:r>
    </w:p>
    <w:bookmarkEnd w:id="9477"/>
    <w:bookmarkStart w:name="z9524" w:id="9478"/>
    <w:p>
      <w:pPr>
        <w:spacing w:after="0"/>
        <w:ind w:left="0"/>
        <w:jc w:val="both"/>
      </w:pPr>
      <w:r>
        <w:rPr>
          <w:rFonts w:ascii="Times New Roman"/>
          <w:b w:val="false"/>
          <w:i w:val="false"/>
          <w:color w:val="000000"/>
          <w:sz w:val="28"/>
        </w:rPr>
        <w:t>
      3287. Если трубопроводы, обслуживающие упомянутые в пункте 3283 настоящих Правил танки или льяла, проходят через таранную переборку, в качестве альтернативы управления клапаном, указанным в пункте 3176 настоящих Правил, допускается управление клапаном с помощью дистанционного сервопривода; при этом местоположение средств управления клапаном должно отвечать требованиюпункта 3288 настоящих Правил.</w:t>
      </w:r>
    </w:p>
    <w:bookmarkEnd w:id="9478"/>
    <w:bookmarkStart w:name="z9525" w:id="9479"/>
    <w:p>
      <w:pPr>
        <w:spacing w:after="0"/>
        <w:ind w:left="0"/>
        <w:jc w:val="both"/>
      </w:pPr>
      <w:r>
        <w:rPr>
          <w:rFonts w:ascii="Times New Roman"/>
          <w:b w:val="false"/>
          <w:i w:val="false"/>
          <w:color w:val="000000"/>
          <w:sz w:val="28"/>
        </w:rPr>
        <w:t>
      3288. Если трубопровод системы осушения закрытых помещений объединен с трубопроводом осушения балластных танков, предусматривают два невозвратных клапана, предотвращающих поступление воды из балластных танков в сухие помещения. Один из них должен быть невозвратно-запорного типа. Невозвратные клапаны располагаются в легкодоступном месте. Необходимо чтобы местоположение средствами управления невозвратно-запорными клапанами отвечали требованиям пункта 3283 настоящих Правил.</w:t>
      </w:r>
    </w:p>
    <w:bookmarkEnd w:id="9479"/>
    <w:bookmarkStart w:name="z9526" w:id="9480"/>
    <w:p>
      <w:pPr>
        <w:spacing w:after="0"/>
        <w:ind w:left="0"/>
        <w:jc w:val="both"/>
      </w:pPr>
      <w:r>
        <w:rPr>
          <w:rFonts w:ascii="Times New Roman"/>
          <w:b w:val="false"/>
          <w:i w:val="false"/>
          <w:color w:val="000000"/>
          <w:sz w:val="28"/>
        </w:rPr>
        <w:t>
      Кроме того, клапан должен отвечать требованиям пунктов 3132 и 3137 настоящих Правил.</w:t>
      </w:r>
    </w:p>
    <w:bookmarkEnd w:id="9480"/>
    <w:bookmarkStart w:name="z9527" w:id="9481"/>
    <w:p>
      <w:pPr>
        <w:spacing w:after="0"/>
        <w:ind w:left="0"/>
        <w:jc w:val="both"/>
      </w:pPr>
      <w:r>
        <w:rPr>
          <w:rFonts w:ascii="Times New Roman"/>
          <w:b w:val="false"/>
          <w:i w:val="false"/>
          <w:color w:val="000000"/>
          <w:sz w:val="28"/>
        </w:rPr>
        <w:t>
      3289. Любые сухие отсеки или коффердамы объемом более 0,1 % от максимального объемного водоизмещения судна, за исключением цепного ящика, полностью или частично расположенные перед носовым грузовым трюмом, оборудуются датчиками поступления воды, подающими звуковой и световой сигналы при уровне воды над палубой помещения в 0,1 м.</w:t>
      </w:r>
    </w:p>
    <w:bookmarkEnd w:id="9481"/>
    <w:bookmarkStart w:name="z9528" w:id="9482"/>
    <w:p>
      <w:pPr>
        <w:spacing w:after="0"/>
        <w:ind w:left="0"/>
        <w:jc w:val="both"/>
      </w:pPr>
      <w:r>
        <w:rPr>
          <w:rFonts w:ascii="Times New Roman"/>
          <w:b w:val="false"/>
          <w:i w:val="false"/>
          <w:color w:val="000000"/>
          <w:sz w:val="28"/>
        </w:rPr>
        <w:t>
      3290. Грузовые помещения навалочных судов оборудуют аварийно-предупредительной сигнализацией, отвечающей требованиям главы 664 и выведенной на ходовой мостик, а также главы 466 настоящих Правил.</w:t>
      </w:r>
    </w:p>
    <w:bookmarkEnd w:id="9482"/>
    <w:p>
      <w:pPr>
        <w:spacing w:after="0"/>
        <w:ind w:left="0"/>
        <w:jc w:val="both"/>
      </w:pPr>
      <w:r>
        <w:rPr>
          <w:rFonts w:ascii="Times New Roman"/>
          <w:b w:val="false"/>
          <w:i w:val="false"/>
          <w:color w:val="000000"/>
          <w:sz w:val="28"/>
        </w:rPr>
        <w:t>
      Световые сигналы каждого грузового помещения, а также уровня четко различаются.</w:t>
      </w:r>
    </w:p>
    <w:p>
      <w:pPr>
        <w:spacing w:after="0"/>
        <w:ind w:left="0"/>
        <w:jc w:val="both"/>
      </w:pPr>
      <w:r>
        <w:rPr>
          <w:rFonts w:ascii="Times New Roman"/>
          <w:b w:val="false"/>
          <w:i w:val="false"/>
          <w:color w:val="000000"/>
          <w:sz w:val="28"/>
        </w:rPr>
        <w:t>
      Датчики системы АПС размещают в двух уровнях:</w:t>
      </w:r>
    </w:p>
    <w:p>
      <w:pPr>
        <w:spacing w:after="0"/>
        <w:ind w:left="0"/>
        <w:jc w:val="both"/>
      </w:pPr>
      <w:r>
        <w:rPr>
          <w:rFonts w:ascii="Times New Roman"/>
          <w:b w:val="false"/>
          <w:i w:val="false"/>
          <w:color w:val="000000"/>
          <w:sz w:val="28"/>
        </w:rPr>
        <w:t>
      на 0,5 метров выше второго дна;</w:t>
      </w:r>
    </w:p>
    <w:p>
      <w:pPr>
        <w:spacing w:after="0"/>
        <w:ind w:left="0"/>
        <w:jc w:val="both"/>
      </w:pPr>
      <w:r>
        <w:rPr>
          <w:rFonts w:ascii="Times New Roman"/>
          <w:b w:val="false"/>
          <w:i w:val="false"/>
          <w:color w:val="000000"/>
          <w:sz w:val="28"/>
        </w:rPr>
        <w:t>
      на 15 % высоты грузового помещения, но не выше двух метров от второго дна.</w:t>
      </w:r>
    </w:p>
    <w:p>
      <w:pPr>
        <w:spacing w:after="0"/>
        <w:ind w:left="0"/>
        <w:jc w:val="both"/>
      </w:pPr>
      <w:r>
        <w:rPr>
          <w:rFonts w:ascii="Times New Roman"/>
          <w:b w:val="false"/>
          <w:i w:val="false"/>
          <w:color w:val="000000"/>
          <w:sz w:val="28"/>
        </w:rPr>
        <w:t>
      Аварийно-предупредительную сигнализацию в грузовых помещениях допускается отключать при приеме в них балласта.</w:t>
      </w:r>
    </w:p>
    <w:p>
      <w:pPr>
        <w:spacing w:after="0"/>
        <w:ind w:left="0"/>
        <w:jc w:val="both"/>
      </w:pPr>
      <w:r>
        <w:rPr>
          <w:rFonts w:ascii="Times New Roman"/>
          <w:b w:val="false"/>
          <w:i w:val="false"/>
          <w:color w:val="000000"/>
          <w:sz w:val="28"/>
        </w:rPr>
        <w:t>
      Балластные цистерны, расположенные в нос от таранной переборки, оборудуют АПС с датчиками о заполнении их до уровня 10 % от вместимости цистерны. АПС этих цистерн допускается отключать при приеме в них балласта.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3290 -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35" w:id="9483"/>
    <w:p>
      <w:pPr>
        <w:spacing w:after="0"/>
        <w:ind w:left="0"/>
        <w:jc w:val="left"/>
      </w:pPr>
      <w:r>
        <w:rPr>
          <w:rFonts w:ascii="Times New Roman"/>
          <w:b/>
          <w:i w:val="false"/>
          <w:color w:val="000000"/>
        </w:rPr>
        <w:t xml:space="preserve"> Глава 261. Осушение коффердамов, пиков</w:t>
      </w:r>
    </w:p>
    <w:bookmarkEnd w:id="9483"/>
    <w:p>
      <w:pPr>
        <w:spacing w:after="0"/>
        <w:ind w:left="0"/>
        <w:jc w:val="both"/>
      </w:pPr>
      <w:r>
        <w:rPr>
          <w:rFonts w:ascii="Times New Roman"/>
          <w:b w:val="false"/>
          <w:i w:val="false"/>
          <w:color w:val="ff0000"/>
          <w:sz w:val="28"/>
        </w:rPr>
        <w:t xml:space="preserve">
      Сноска. Заголовок главы 261 -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36" w:id="9484"/>
    <w:p>
      <w:pPr>
        <w:spacing w:after="0"/>
        <w:ind w:left="0"/>
        <w:jc w:val="both"/>
      </w:pPr>
      <w:r>
        <w:rPr>
          <w:rFonts w:ascii="Times New Roman"/>
          <w:b w:val="false"/>
          <w:i w:val="false"/>
          <w:color w:val="000000"/>
          <w:sz w:val="28"/>
        </w:rPr>
        <w:t>
      3291. Коффердамы, заполняемые водой, оборудуются устройствами для осушения. Расположение приемных отростков должно отвечать требованиям главы 273 настоящих Правил. На нефтеналивных и комбинированных судах коффердамы, заполняемые водой и граничащие с грузовыми и отстойными цистернами, осушаются автономными средствами.</w:t>
      </w:r>
    </w:p>
    <w:bookmarkEnd w:id="9484"/>
    <w:bookmarkStart w:name="z9537" w:id="9485"/>
    <w:p>
      <w:pPr>
        <w:spacing w:after="0"/>
        <w:ind w:left="0"/>
        <w:jc w:val="both"/>
      </w:pPr>
      <w:r>
        <w:rPr>
          <w:rFonts w:ascii="Times New Roman"/>
          <w:b w:val="false"/>
          <w:i w:val="false"/>
          <w:color w:val="000000"/>
          <w:sz w:val="28"/>
        </w:rPr>
        <w:t>
      3292. Пики, которые не используются в качестве балластных или других цистерн, допускается иметь автономное осушение ручными насосами или водяными эжекторами.</w:t>
      </w:r>
    </w:p>
    <w:bookmarkEnd w:id="9485"/>
    <w:bookmarkStart w:name="z9538" w:id="9486"/>
    <w:p>
      <w:pPr>
        <w:spacing w:after="0"/>
        <w:ind w:left="0"/>
        <w:jc w:val="both"/>
      </w:pPr>
      <w:r>
        <w:rPr>
          <w:rFonts w:ascii="Times New Roman"/>
          <w:b w:val="false"/>
          <w:i w:val="false"/>
          <w:color w:val="000000"/>
          <w:sz w:val="28"/>
        </w:rPr>
        <w:t>
      Для осушения носовых негрузовых отсеков нефтеналивных судов устанавливают отдельный насос или эжектор, который возможно также использовать для заполнения и опорожнения цистерн, предназначенных исключительно для балластной воды.</w:t>
      </w:r>
    </w:p>
    <w:bookmarkEnd w:id="9486"/>
    <w:bookmarkStart w:name="z9539" w:id="9487"/>
    <w:p>
      <w:pPr>
        <w:spacing w:after="0"/>
        <w:ind w:left="0"/>
        <w:jc w:val="left"/>
      </w:pPr>
      <w:r>
        <w:rPr>
          <w:rFonts w:ascii="Times New Roman"/>
          <w:b/>
          <w:i w:val="false"/>
          <w:color w:val="000000"/>
        </w:rPr>
        <w:t xml:space="preserve"> Глава 262. Осушение других помещений, отсеков плавучих доков</w:t>
      </w:r>
    </w:p>
    <w:bookmarkEnd w:id="9487"/>
    <w:p>
      <w:pPr>
        <w:spacing w:after="0"/>
        <w:ind w:left="0"/>
        <w:jc w:val="both"/>
      </w:pPr>
      <w:r>
        <w:rPr>
          <w:rFonts w:ascii="Times New Roman"/>
          <w:b w:val="false"/>
          <w:i w:val="false"/>
          <w:color w:val="ff0000"/>
          <w:sz w:val="28"/>
        </w:rPr>
        <w:t xml:space="preserve">
      Сноска. Заголовок главы 262 -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40" w:id="9488"/>
    <w:p>
      <w:pPr>
        <w:spacing w:after="0"/>
        <w:ind w:left="0"/>
        <w:jc w:val="both"/>
      </w:pPr>
      <w:r>
        <w:rPr>
          <w:rFonts w:ascii="Times New Roman"/>
          <w:b w:val="false"/>
          <w:i w:val="false"/>
          <w:color w:val="000000"/>
          <w:sz w:val="28"/>
        </w:rPr>
        <w:t>
      3293. Осушение цепных ящиков и шкиперских допускается осуществлять ручными насосами, водяными эжекторами или другими средствами.</w:t>
      </w:r>
    </w:p>
    <w:bookmarkEnd w:id="9488"/>
    <w:bookmarkStart w:name="z9541" w:id="9489"/>
    <w:p>
      <w:pPr>
        <w:spacing w:after="0"/>
        <w:ind w:left="0"/>
        <w:jc w:val="both"/>
      </w:pPr>
      <w:r>
        <w:rPr>
          <w:rFonts w:ascii="Times New Roman"/>
          <w:b w:val="false"/>
          <w:i w:val="false"/>
          <w:color w:val="000000"/>
          <w:sz w:val="28"/>
        </w:rPr>
        <w:t>
      3294. Осушение помещений рулевых машин и других отсеков, расположенных над ахтерпиком, допускается осуществлять ручными насосами или водяными эжекторами, а также при помощи сточных труб, выведенных в льяла туннеля валопровода или машинного отделения. Сточные трубы снабжаются легкодоступными самозапорными клапанами и внутренний диаметр их должен быть не менее 39 мм.</w:t>
      </w:r>
    </w:p>
    <w:bookmarkEnd w:id="9489"/>
    <w:bookmarkStart w:name="z9542" w:id="9490"/>
    <w:p>
      <w:pPr>
        <w:spacing w:after="0"/>
        <w:ind w:left="0"/>
        <w:jc w:val="both"/>
      </w:pPr>
      <w:r>
        <w:rPr>
          <w:rFonts w:ascii="Times New Roman"/>
          <w:b w:val="false"/>
          <w:i w:val="false"/>
          <w:color w:val="000000"/>
          <w:sz w:val="28"/>
        </w:rPr>
        <w:t>
      Осушение указанных помещений при помощи сточных труб на пассажирских судах не допускается.</w:t>
      </w:r>
    </w:p>
    <w:bookmarkEnd w:id="9490"/>
    <w:bookmarkStart w:name="z9543" w:id="9491"/>
    <w:p>
      <w:pPr>
        <w:spacing w:after="0"/>
        <w:ind w:left="0"/>
        <w:jc w:val="both"/>
      </w:pPr>
      <w:r>
        <w:rPr>
          <w:rFonts w:ascii="Times New Roman"/>
          <w:b w:val="false"/>
          <w:i w:val="false"/>
          <w:color w:val="000000"/>
          <w:sz w:val="28"/>
        </w:rPr>
        <w:t>
      3295. Вывод сточных труб в льяла машинных отделений и туннелей валопроводов из помещений, расположенных в других водонепроницаемых отсеках ниже палубы переборок (за исключением случаев, предусмотренных пунктом 3521 настоящих Правил), не допускается.</w:t>
      </w:r>
    </w:p>
    <w:bookmarkEnd w:id="9491"/>
    <w:bookmarkStart w:name="z9544" w:id="9492"/>
    <w:p>
      <w:pPr>
        <w:spacing w:after="0"/>
        <w:ind w:left="0"/>
        <w:jc w:val="both"/>
      </w:pPr>
      <w:r>
        <w:rPr>
          <w:rFonts w:ascii="Times New Roman"/>
          <w:b w:val="false"/>
          <w:i w:val="false"/>
          <w:color w:val="000000"/>
          <w:sz w:val="28"/>
        </w:rPr>
        <w:t>
      Отвод сточных труб из этих помещений в машинные отделения и туннели валопроводов допускается только в закрытые сточные цистерны.</w:t>
      </w:r>
    </w:p>
    <w:bookmarkEnd w:id="9492"/>
    <w:bookmarkStart w:name="z9545" w:id="9493"/>
    <w:p>
      <w:pPr>
        <w:spacing w:after="0"/>
        <w:ind w:left="0"/>
        <w:jc w:val="both"/>
      </w:pPr>
      <w:r>
        <w:rPr>
          <w:rFonts w:ascii="Times New Roman"/>
          <w:b w:val="false"/>
          <w:i w:val="false"/>
          <w:color w:val="000000"/>
          <w:sz w:val="28"/>
        </w:rPr>
        <w:t>
      Если сточная цистерна является общей для нескольких водонепроницаемых отсеков, и возможен перелив воды из одного затопленного отсека в другой, сточные трубы снабжают невозвратными клапанами.</w:t>
      </w:r>
    </w:p>
    <w:bookmarkEnd w:id="9493"/>
    <w:bookmarkStart w:name="z9546" w:id="9494"/>
    <w:p>
      <w:pPr>
        <w:spacing w:after="0"/>
        <w:ind w:left="0"/>
        <w:jc w:val="both"/>
      </w:pPr>
      <w:r>
        <w:rPr>
          <w:rFonts w:ascii="Times New Roman"/>
          <w:b w:val="false"/>
          <w:i w:val="false"/>
          <w:color w:val="000000"/>
          <w:sz w:val="28"/>
        </w:rPr>
        <w:t>
      Осушение такой цистерны допускается производить через осушительную магистраль; при этом на осушительном отростке или в приемной клапанной коробке предусматривается невозвратный клапан.</w:t>
      </w:r>
    </w:p>
    <w:bookmarkEnd w:id="9494"/>
    <w:bookmarkStart w:name="z9547" w:id="9495"/>
    <w:p>
      <w:pPr>
        <w:spacing w:after="0"/>
        <w:ind w:left="0"/>
        <w:jc w:val="both"/>
      </w:pPr>
      <w:r>
        <w:rPr>
          <w:rFonts w:ascii="Times New Roman"/>
          <w:b w:val="false"/>
          <w:i w:val="false"/>
          <w:color w:val="000000"/>
          <w:sz w:val="28"/>
        </w:rPr>
        <w:t>
      3296. Сточные трубы для осушения помещений закрытых надстроек и рубок допускается отводить в льяла (колодцы) машинного отделения или трюмов.</w:t>
      </w:r>
    </w:p>
    <w:bookmarkEnd w:id="9495"/>
    <w:bookmarkStart w:name="z9548" w:id="9496"/>
    <w:p>
      <w:pPr>
        <w:spacing w:after="0"/>
        <w:ind w:left="0"/>
        <w:jc w:val="both"/>
      </w:pPr>
      <w:r>
        <w:rPr>
          <w:rFonts w:ascii="Times New Roman"/>
          <w:b w:val="false"/>
          <w:i w:val="false"/>
          <w:color w:val="000000"/>
          <w:sz w:val="28"/>
        </w:rPr>
        <w:t>
      На судах, которые в символе класса имеют знак деления на отсеки, на этих трубах устанавливаются клапаны, управляемые с места выше палубы переборок, если при затоплении машинного отделения или трюма возможно проникновение воды в указанные помещения.</w:t>
      </w:r>
    </w:p>
    <w:bookmarkEnd w:id="9496"/>
    <w:bookmarkStart w:name="z9549" w:id="9497"/>
    <w:p>
      <w:pPr>
        <w:spacing w:after="0"/>
        <w:ind w:left="0"/>
        <w:jc w:val="both"/>
      </w:pPr>
      <w:r>
        <w:rPr>
          <w:rFonts w:ascii="Times New Roman"/>
          <w:b w:val="false"/>
          <w:i w:val="false"/>
          <w:color w:val="000000"/>
          <w:sz w:val="28"/>
        </w:rPr>
        <w:t>
      3297. Сточные трубы кладовых взрывчатых веществ снабжаются клапанами, управляемыми из мест, расположенных вне этих кладовых.</w:t>
      </w:r>
    </w:p>
    <w:bookmarkEnd w:id="9497"/>
    <w:bookmarkStart w:name="z9550" w:id="9498"/>
    <w:p>
      <w:pPr>
        <w:spacing w:after="0"/>
        <w:ind w:left="0"/>
        <w:jc w:val="both"/>
      </w:pPr>
      <w:r>
        <w:rPr>
          <w:rFonts w:ascii="Times New Roman"/>
          <w:b w:val="false"/>
          <w:i w:val="false"/>
          <w:color w:val="000000"/>
          <w:sz w:val="28"/>
        </w:rPr>
        <w:t>
      3298. Дренажные устройства вертолетных палуб изготавливаются из стали и выводятся непосредственно за борт, независимо от других судовых систем. Не допускается чтобы стоки попадали в какие-либо другие судовые помещения.</w:t>
      </w:r>
    </w:p>
    <w:bookmarkEnd w:id="9498"/>
    <w:bookmarkStart w:name="z9551" w:id="9499"/>
    <w:p>
      <w:pPr>
        <w:spacing w:after="0"/>
        <w:ind w:left="0"/>
        <w:jc w:val="both"/>
      </w:pPr>
      <w:r>
        <w:rPr>
          <w:rFonts w:ascii="Times New Roman"/>
          <w:b w:val="false"/>
          <w:i w:val="false"/>
          <w:color w:val="000000"/>
          <w:sz w:val="28"/>
        </w:rPr>
        <w:t>
      3299. Машинные помещения и сухие отсеки оборудуют средствами осушения. При этом требования настоящего раздела, за исключением пунктов 3470 и 3511 настоящих Правил, не распространяются на осушительную систему доков.</w:t>
      </w:r>
    </w:p>
    <w:bookmarkEnd w:id="9499"/>
    <w:bookmarkStart w:name="z9552" w:id="9500"/>
    <w:p>
      <w:pPr>
        <w:spacing w:after="0"/>
        <w:ind w:left="0"/>
        <w:jc w:val="left"/>
      </w:pPr>
      <w:r>
        <w:rPr>
          <w:rFonts w:ascii="Times New Roman"/>
          <w:b/>
          <w:i w:val="false"/>
          <w:color w:val="000000"/>
        </w:rPr>
        <w:t xml:space="preserve"> Глав 263. Осушение помещений, предназначенных для перевозки опасных грузов</w:t>
      </w:r>
    </w:p>
    <w:bookmarkEnd w:id="9500"/>
    <w:p>
      <w:pPr>
        <w:spacing w:after="0"/>
        <w:ind w:left="0"/>
        <w:jc w:val="both"/>
      </w:pPr>
      <w:r>
        <w:rPr>
          <w:rFonts w:ascii="Times New Roman"/>
          <w:b w:val="false"/>
          <w:i w:val="false"/>
          <w:color w:val="ff0000"/>
          <w:sz w:val="28"/>
        </w:rPr>
        <w:t xml:space="preserve">
      Сноска. Заголовок главы 263 -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53" w:id="9501"/>
    <w:p>
      <w:pPr>
        <w:spacing w:after="0"/>
        <w:ind w:left="0"/>
        <w:jc w:val="both"/>
      </w:pPr>
      <w:r>
        <w:rPr>
          <w:rFonts w:ascii="Times New Roman"/>
          <w:b w:val="false"/>
          <w:i w:val="false"/>
          <w:color w:val="000000"/>
          <w:sz w:val="28"/>
        </w:rPr>
        <w:t xml:space="preserve">
      3300. Закрытые грузовые помещения и грузовые помещения контейнерных судов открытого типа, предназначенные для перевозки легковоспламеняющихся жидкостей с температурой вспышки менее 23 </w:t>
      </w:r>
      <w:r>
        <w:rPr>
          <w:rFonts w:ascii="Times New Roman"/>
          <w:b w:val="false"/>
          <w:i w:val="false"/>
          <w:color w:val="000000"/>
          <w:vertAlign w:val="superscript"/>
        </w:rPr>
        <w:t>о</w:t>
      </w:r>
      <w:r>
        <w:rPr>
          <w:rFonts w:ascii="Times New Roman"/>
          <w:b w:val="false"/>
          <w:i w:val="false"/>
          <w:color w:val="000000"/>
          <w:sz w:val="28"/>
        </w:rPr>
        <w:t>С или токсичных жидкостей подкласса 6.1, указанных в пункте 2628 и приложении 286 настоящих Правил, оборудуют стационарной системой осушения, расположенной вне машинного помещения. Автономная система осушения должна отвечать следующим требованиям:</w:t>
      </w:r>
    </w:p>
    <w:bookmarkEnd w:id="9501"/>
    <w:bookmarkStart w:name="z9554" w:id="9502"/>
    <w:p>
      <w:pPr>
        <w:spacing w:after="0"/>
        <w:ind w:left="0"/>
        <w:jc w:val="both"/>
      </w:pPr>
      <w:r>
        <w:rPr>
          <w:rFonts w:ascii="Times New Roman"/>
          <w:b w:val="false"/>
          <w:i w:val="false"/>
          <w:color w:val="000000"/>
          <w:sz w:val="28"/>
        </w:rPr>
        <w:t>
      1) производительность автономной осушительной системы должна быть не менее 10 м</w:t>
      </w:r>
      <w:r>
        <w:rPr>
          <w:rFonts w:ascii="Times New Roman"/>
          <w:b w:val="false"/>
          <w:i w:val="false"/>
          <w:color w:val="000000"/>
          <w:vertAlign w:val="superscript"/>
        </w:rPr>
        <w:t>3</w:t>
      </w:r>
      <w:r>
        <w:rPr>
          <w:rFonts w:ascii="Times New Roman"/>
          <w:b w:val="false"/>
          <w:i w:val="false"/>
          <w:color w:val="000000"/>
          <w:sz w:val="28"/>
        </w:rPr>
        <w:t>/ч при обслуживании одного помещения и не менее 25 м</w:t>
      </w:r>
      <w:r>
        <w:rPr>
          <w:rFonts w:ascii="Times New Roman"/>
          <w:b w:val="false"/>
          <w:i w:val="false"/>
          <w:color w:val="000000"/>
          <w:vertAlign w:val="superscript"/>
        </w:rPr>
        <w:t>3</w:t>
      </w:r>
      <w:r>
        <w:rPr>
          <w:rFonts w:ascii="Times New Roman"/>
          <w:b w:val="false"/>
          <w:i w:val="false"/>
          <w:color w:val="000000"/>
          <w:sz w:val="28"/>
        </w:rPr>
        <w:t>/ч при обслуживании двух и более помещений;</w:t>
      </w:r>
    </w:p>
    <w:bookmarkEnd w:id="9502"/>
    <w:bookmarkStart w:name="z9555" w:id="9503"/>
    <w:p>
      <w:pPr>
        <w:spacing w:after="0"/>
        <w:ind w:left="0"/>
        <w:jc w:val="both"/>
      </w:pPr>
      <w:r>
        <w:rPr>
          <w:rFonts w:ascii="Times New Roman"/>
          <w:b w:val="false"/>
          <w:i w:val="false"/>
          <w:color w:val="000000"/>
          <w:sz w:val="28"/>
        </w:rPr>
        <w:t>
      2) допускается использование трубопроводов общесудовой системы осушения, расположенных в этих помещениях, если будут приняты меры, исключающие перекачку легковоспламеняющихся или токсичных жидкостей через трубопроводы и насосы машинного отделения путем установки глухого фланца или запираемого на замок клапана;</w:t>
      </w:r>
    </w:p>
    <w:bookmarkEnd w:id="9503"/>
    <w:bookmarkStart w:name="z9556" w:id="9504"/>
    <w:p>
      <w:pPr>
        <w:spacing w:after="0"/>
        <w:ind w:left="0"/>
        <w:jc w:val="both"/>
      </w:pPr>
      <w:r>
        <w:rPr>
          <w:rFonts w:ascii="Times New Roman"/>
          <w:b w:val="false"/>
          <w:i w:val="false"/>
          <w:color w:val="000000"/>
          <w:sz w:val="28"/>
        </w:rPr>
        <w:t>
      3) допускается осушение грузовых помещений дренажом за борт или в закрытую сточную цистерну, расположенную вне машинного отделения. Воздушная труба сточной цистерны должна быть выведена в безопасное место на открытой палубе и оборудована пламяпрерывающей сеткой;</w:t>
      </w:r>
    </w:p>
    <w:bookmarkEnd w:id="9504"/>
    <w:bookmarkStart w:name="z9557" w:id="9505"/>
    <w:p>
      <w:pPr>
        <w:spacing w:after="0"/>
        <w:ind w:left="0"/>
        <w:jc w:val="both"/>
      </w:pPr>
      <w:r>
        <w:rPr>
          <w:rFonts w:ascii="Times New Roman"/>
          <w:b w:val="false"/>
          <w:i w:val="false"/>
          <w:color w:val="000000"/>
          <w:sz w:val="28"/>
        </w:rPr>
        <w:t>
      4) допускается дренаж грузовых помещений в сточные колодцы расположенных ниже помещений для перевозки опасных грузов;</w:t>
      </w:r>
    </w:p>
    <w:bookmarkEnd w:id="9505"/>
    <w:bookmarkStart w:name="z9558" w:id="9506"/>
    <w:p>
      <w:pPr>
        <w:spacing w:after="0"/>
        <w:ind w:left="0"/>
        <w:jc w:val="both"/>
      </w:pPr>
      <w:r>
        <w:rPr>
          <w:rFonts w:ascii="Times New Roman"/>
          <w:b w:val="false"/>
          <w:i w:val="false"/>
          <w:color w:val="000000"/>
          <w:sz w:val="28"/>
        </w:rPr>
        <w:t>
      5) выгороженные помещения с насосами автономной системы осушения должны оборудоваться средствами вентиляции, отвечающими требованиям пункта 3863 настоящих Правил.</w:t>
      </w:r>
    </w:p>
    <w:bookmarkEnd w:id="9506"/>
    <w:bookmarkStart w:name="z9559" w:id="9507"/>
    <w:p>
      <w:pPr>
        <w:spacing w:after="0"/>
        <w:ind w:left="0"/>
        <w:jc w:val="both"/>
      </w:pPr>
      <w:r>
        <w:rPr>
          <w:rFonts w:ascii="Times New Roman"/>
          <w:b w:val="false"/>
          <w:i w:val="false"/>
          <w:color w:val="000000"/>
          <w:sz w:val="28"/>
        </w:rPr>
        <w:t>
      3301. Средства судовой осушительной системы, обслуживающие помещения, предназначенные для перевозки взрывчатых веществ, должны предотвращать образование свободных поверхностей воды при использовании системы пожаротушения.</w:t>
      </w:r>
    </w:p>
    <w:bookmarkEnd w:id="9507"/>
    <w:bookmarkStart w:name="z9560" w:id="9508"/>
    <w:p>
      <w:pPr>
        <w:spacing w:after="0"/>
        <w:ind w:left="0"/>
        <w:jc w:val="both"/>
      </w:pPr>
      <w:r>
        <w:rPr>
          <w:rFonts w:ascii="Times New Roman"/>
          <w:b w:val="false"/>
          <w:i w:val="false"/>
          <w:color w:val="000000"/>
          <w:sz w:val="28"/>
        </w:rPr>
        <w:t>
      Производительность системы осушения должна в 1,25 раза превосходить поступление воды от работы системы водораспыления и пожарных стволов, предусмотренных подпунктом 2) пункта 2629 настоящих Правил.</w:t>
      </w:r>
    </w:p>
    <w:bookmarkEnd w:id="9508"/>
    <w:bookmarkStart w:name="z9561" w:id="9509"/>
    <w:p>
      <w:pPr>
        <w:spacing w:after="0"/>
        <w:ind w:left="0"/>
        <w:jc w:val="both"/>
      </w:pPr>
      <w:r>
        <w:rPr>
          <w:rFonts w:ascii="Times New Roman"/>
          <w:b w:val="false"/>
          <w:i w:val="false"/>
          <w:color w:val="000000"/>
          <w:sz w:val="28"/>
        </w:rPr>
        <w:t>
      Средства управления клапанами системы осушения располагаются за пределами защищаемого помещения в непосредственной близости от места управления клапанами системы пожаротушения.</w:t>
      </w:r>
    </w:p>
    <w:bookmarkEnd w:id="9509"/>
    <w:bookmarkStart w:name="z9562" w:id="9510"/>
    <w:p>
      <w:pPr>
        <w:spacing w:after="0"/>
        <w:ind w:left="0"/>
        <w:jc w:val="left"/>
      </w:pPr>
      <w:r>
        <w:rPr>
          <w:rFonts w:ascii="Times New Roman"/>
          <w:b/>
          <w:i w:val="false"/>
          <w:color w:val="000000"/>
        </w:rPr>
        <w:t xml:space="preserve"> Подраздел 8. Балластная, креновая и дифферентная системы</w:t>
      </w:r>
      <w:r>
        <w:br/>
      </w:r>
      <w:r>
        <w:rPr>
          <w:rFonts w:ascii="Times New Roman"/>
          <w:b/>
          <w:i w:val="false"/>
          <w:color w:val="000000"/>
        </w:rPr>
        <w:t>Глава 264. Насосы</w:t>
      </w:r>
    </w:p>
    <w:bookmarkEnd w:id="9510"/>
    <w:p>
      <w:pPr>
        <w:spacing w:after="0"/>
        <w:ind w:left="0"/>
        <w:jc w:val="both"/>
      </w:pPr>
      <w:r>
        <w:rPr>
          <w:rFonts w:ascii="Times New Roman"/>
          <w:b w:val="false"/>
          <w:i w:val="false"/>
          <w:color w:val="ff0000"/>
          <w:sz w:val="28"/>
        </w:rPr>
        <w:t xml:space="preserve">
      Сноска. Заголовок главы 264 -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64" w:id="9511"/>
    <w:p>
      <w:pPr>
        <w:spacing w:after="0"/>
        <w:ind w:left="0"/>
        <w:jc w:val="both"/>
      </w:pPr>
      <w:r>
        <w:rPr>
          <w:rFonts w:ascii="Times New Roman"/>
          <w:b w:val="false"/>
          <w:i w:val="false"/>
          <w:color w:val="000000"/>
          <w:sz w:val="28"/>
        </w:rPr>
        <w:t>
      3302. Балластная система обслуживается по крайней мере одним насосом. Подачу балластного насоса рекомендуется определять, исходя из условия обеспечения скорости воды не менее 2 м/с при диаметре приемного трубопровода, вычисленном по формуле (773) настоящих Правил для наибольшей балластной цистерны.</w:t>
      </w:r>
    </w:p>
    <w:bookmarkEnd w:id="9511"/>
    <w:bookmarkStart w:name="z9565" w:id="9512"/>
    <w:p>
      <w:pPr>
        <w:spacing w:after="0"/>
        <w:ind w:left="0"/>
        <w:jc w:val="both"/>
      </w:pPr>
      <w:r>
        <w:rPr>
          <w:rFonts w:ascii="Times New Roman"/>
          <w:b w:val="false"/>
          <w:i w:val="false"/>
          <w:color w:val="000000"/>
          <w:sz w:val="28"/>
        </w:rPr>
        <w:t>
      Каждый корпус судна катамаранного типа оборудуют автономной балластной системой.</w:t>
      </w:r>
    </w:p>
    <w:bookmarkEnd w:id="9512"/>
    <w:bookmarkStart w:name="z9566" w:id="9513"/>
    <w:p>
      <w:pPr>
        <w:spacing w:after="0"/>
        <w:ind w:left="0"/>
        <w:jc w:val="both"/>
      </w:pPr>
      <w:r>
        <w:rPr>
          <w:rFonts w:ascii="Times New Roman"/>
          <w:b w:val="false"/>
          <w:i w:val="false"/>
          <w:color w:val="000000"/>
          <w:sz w:val="28"/>
        </w:rPr>
        <w:t>
      3303. В качестве балластных насосов допускается использовать насосы общесудового назначения достаточной подачей, в том числе осушительный, пожарный или резервный насос охлаждающей воды (пункт 3304 настоящих Правил).</w:t>
      </w:r>
    </w:p>
    <w:bookmarkEnd w:id="9513"/>
    <w:bookmarkStart w:name="z9567" w:id="9514"/>
    <w:p>
      <w:pPr>
        <w:spacing w:after="0"/>
        <w:ind w:left="0"/>
        <w:jc w:val="both"/>
      </w:pPr>
      <w:r>
        <w:rPr>
          <w:rFonts w:ascii="Times New Roman"/>
          <w:b w:val="false"/>
          <w:i w:val="false"/>
          <w:color w:val="000000"/>
          <w:sz w:val="28"/>
        </w:rPr>
        <w:t>
      Применение пожарных насосов допускается при условии выполнения требований пунктов 2301 и 2303 настоящих Правил.</w:t>
      </w:r>
    </w:p>
    <w:bookmarkEnd w:id="9514"/>
    <w:bookmarkStart w:name="z9568" w:id="9515"/>
    <w:p>
      <w:pPr>
        <w:spacing w:after="0"/>
        <w:ind w:left="0"/>
        <w:jc w:val="both"/>
      </w:pPr>
      <w:r>
        <w:rPr>
          <w:rFonts w:ascii="Times New Roman"/>
          <w:b w:val="false"/>
          <w:i w:val="false"/>
          <w:color w:val="000000"/>
          <w:sz w:val="28"/>
        </w:rPr>
        <w:t>
      3304. Если топливные цистерны систематически используются в качестве балластных цистерн, то применение резервного насоса охлаждающей воды или пожарного насоса в качестве балластного, так же как балластного насоса в качестве резервного охлаждающего или пожарного насоса, не допускается.</w:t>
      </w:r>
    </w:p>
    <w:bookmarkEnd w:id="9515"/>
    <w:bookmarkStart w:name="z9569" w:id="9516"/>
    <w:p>
      <w:pPr>
        <w:spacing w:after="0"/>
        <w:ind w:left="0"/>
        <w:jc w:val="both"/>
      </w:pPr>
      <w:r>
        <w:rPr>
          <w:rFonts w:ascii="Times New Roman"/>
          <w:b w:val="false"/>
          <w:i w:val="false"/>
          <w:color w:val="000000"/>
          <w:sz w:val="28"/>
        </w:rPr>
        <w:t>
      3305. Насосы, применяемые для откачки балластной воды из цистерн двойного дна, должны быть самовсасывающими и соответствовать параграфу 3 главы 373 настоящих Правил.</w:t>
      </w:r>
    </w:p>
    <w:bookmarkEnd w:id="9516"/>
    <w:bookmarkStart w:name="z9570" w:id="9517"/>
    <w:p>
      <w:pPr>
        <w:spacing w:after="0"/>
        <w:ind w:left="0"/>
        <w:jc w:val="both"/>
      </w:pPr>
      <w:r>
        <w:rPr>
          <w:rFonts w:ascii="Times New Roman"/>
          <w:b w:val="false"/>
          <w:i w:val="false"/>
          <w:color w:val="000000"/>
          <w:sz w:val="28"/>
        </w:rPr>
        <w:t>
      3306. На пассажирских судах балластные цистерны, как правило, не предназначаются для перевозки топлива. Возможные отступления от этого требования в каждом случае являются предметом специального рассмотрения Регистром судоходства (пункт 3668 настоящих Правил).</w:t>
      </w:r>
    </w:p>
    <w:bookmarkEnd w:id="9517"/>
    <w:bookmarkStart w:name="z9571" w:id="9518"/>
    <w:p>
      <w:pPr>
        <w:spacing w:after="0"/>
        <w:ind w:left="0"/>
        <w:jc w:val="both"/>
      </w:pPr>
      <w:r>
        <w:rPr>
          <w:rFonts w:ascii="Times New Roman"/>
          <w:b w:val="false"/>
          <w:i w:val="false"/>
          <w:color w:val="000000"/>
          <w:sz w:val="28"/>
        </w:rPr>
        <w:t>
      3307. На нефтеналивных судах допускается аварийная откачка балласта грузовыми или зачистными насосами, при условии выполнения требований пункта 3409 настоящих Правил.</w:t>
      </w:r>
    </w:p>
    <w:bookmarkEnd w:id="9518"/>
    <w:bookmarkStart w:name="z9572" w:id="9519"/>
    <w:p>
      <w:pPr>
        <w:spacing w:after="0"/>
        <w:ind w:left="0"/>
        <w:jc w:val="left"/>
      </w:pPr>
      <w:r>
        <w:rPr>
          <w:rFonts w:ascii="Times New Roman"/>
          <w:b/>
          <w:i w:val="false"/>
          <w:color w:val="000000"/>
        </w:rPr>
        <w:t xml:space="preserve"> Глава 265. Диаметры трубопроводов, прокладка трубопроводов</w:t>
      </w:r>
    </w:p>
    <w:bookmarkEnd w:id="9519"/>
    <w:p>
      <w:pPr>
        <w:spacing w:after="0"/>
        <w:ind w:left="0"/>
        <w:jc w:val="both"/>
      </w:pPr>
      <w:r>
        <w:rPr>
          <w:rFonts w:ascii="Times New Roman"/>
          <w:b w:val="false"/>
          <w:i w:val="false"/>
          <w:color w:val="ff0000"/>
          <w:sz w:val="28"/>
        </w:rPr>
        <w:t xml:space="preserve">
      Сноска. Заголовок главы 265 -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73" w:id="9520"/>
    <w:p>
      <w:pPr>
        <w:spacing w:after="0"/>
        <w:ind w:left="0"/>
        <w:jc w:val="both"/>
      </w:pPr>
      <w:r>
        <w:rPr>
          <w:rFonts w:ascii="Times New Roman"/>
          <w:b w:val="false"/>
          <w:i w:val="false"/>
          <w:color w:val="000000"/>
          <w:sz w:val="28"/>
        </w:rPr>
        <w:t xml:space="preserve">
      3308. Внутренний диаметр отростков балластных трубопроводов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val="false"/>
          <w:color w:val="000000"/>
          <w:sz w:val="28"/>
        </w:rPr>
        <w:t>, мм, для отдельных цистерн определяется по формуле</w:t>
      </w:r>
    </w:p>
    <w:bookmarkEnd w:id="95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2"/>
                    <a:stretch>
                      <a:fillRect/>
                    </a:stretch>
                  </pic:blipFill>
                  <pic:spPr>
                    <a:xfrm>
                      <a:off x="0" y="0"/>
                      <a:ext cx="914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(7733)</w:t>
      </w:r>
      <w:r>
        <w:br/>
      </w:r>
      <w:r>
        <w:rPr>
          <w:rFonts w:ascii="Times New Roman"/>
          <w:b w:val="false"/>
          <w:i w:val="false"/>
          <w:color w:val="000000"/>
          <w:sz w:val="28"/>
        </w:rPr>
        <w:t>
</w:t>
      </w:r>
    </w:p>
    <w:bookmarkStart w:name="z9574" w:id="9521"/>
    <w:p>
      <w:pPr>
        <w:spacing w:after="0"/>
        <w:ind w:left="0"/>
        <w:jc w:val="both"/>
      </w:pPr>
      <w:r>
        <w:rPr>
          <w:rFonts w:ascii="Times New Roman"/>
          <w:b w:val="false"/>
          <w:i w:val="false"/>
          <w:color w:val="000000"/>
          <w:sz w:val="28"/>
        </w:rPr>
        <w:t xml:space="preserve">
      где </w:t>
      </w:r>
      <w:r>
        <w:rPr>
          <w:rFonts w:ascii="Times New Roman"/>
          <w:b w:val="false"/>
          <w:i/>
          <w:color w:val="000000"/>
          <w:sz w:val="28"/>
        </w:rPr>
        <w:t>v</w:t>
      </w:r>
      <w:r>
        <w:rPr>
          <w:rFonts w:ascii="Times New Roman"/>
          <w:b w:val="false"/>
          <w:i w:val="false"/>
          <w:color w:val="000000"/>
          <w:sz w:val="28"/>
        </w:rPr>
        <w:t xml:space="preserve"> — вместимость балластной цистерны, м</w:t>
      </w:r>
      <w:r>
        <w:rPr>
          <w:rFonts w:ascii="Times New Roman"/>
          <w:b w:val="false"/>
          <w:i w:val="false"/>
          <w:color w:val="000000"/>
          <w:vertAlign w:val="superscript"/>
        </w:rPr>
        <w:t>3</w:t>
      </w:r>
      <w:r>
        <w:rPr>
          <w:rFonts w:ascii="Times New Roman"/>
          <w:b w:val="false"/>
          <w:i w:val="false"/>
          <w:color w:val="000000"/>
          <w:sz w:val="28"/>
        </w:rPr>
        <w:t>.</w:t>
      </w:r>
    </w:p>
    <w:bookmarkEnd w:id="9521"/>
    <w:bookmarkStart w:name="z9575" w:id="9522"/>
    <w:p>
      <w:pPr>
        <w:spacing w:after="0"/>
        <w:ind w:left="0"/>
        <w:jc w:val="both"/>
      </w:pPr>
      <w:r>
        <w:rPr>
          <w:rFonts w:ascii="Times New Roman"/>
          <w:b w:val="false"/>
          <w:i w:val="false"/>
          <w:color w:val="000000"/>
          <w:sz w:val="28"/>
        </w:rPr>
        <w:t>
      Диаметр допускается принимать по ближайшему стандартному размеру.</w:t>
      </w:r>
    </w:p>
    <w:bookmarkEnd w:id="9522"/>
    <w:bookmarkStart w:name="z9576" w:id="9523"/>
    <w:p>
      <w:pPr>
        <w:spacing w:after="0"/>
        <w:ind w:left="0"/>
        <w:jc w:val="both"/>
      </w:pPr>
      <w:r>
        <w:rPr>
          <w:rFonts w:ascii="Times New Roman"/>
          <w:b w:val="false"/>
          <w:i w:val="false"/>
          <w:color w:val="000000"/>
          <w:sz w:val="28"/>
        </w:rPr>
        <w:t>
      3309. Диаметр балластной магистрали следует принимать не менее наибольшего диаметра приемного отростка, определяемого по формуле (773) настоящих Правил.</w:t>
      </w:r>
    </w:p>
    <w:bookmarkEnd w:id="9523"/>
    <w:bookmarkStart w:name="z9577" w:id="9524"/>
    <w:p>
      <w:pPr>
        <w:spacing w:after="0"/>
        <w:ind w:left="0"/>
        <w:jc w:val="both"/>
      </w:pPr>
      <w:r>
        <w:rPr>
          <w:rFonts w:ascii="Times New Roman"/>
          <w:b w:val="false"/>
          <w:i w:val="false"/>
          <w:color w:val="000000"/>
          <w:sz w:val="28"/>
        </w:rPr>
        <w:t>
      3310. Расположение приемных отростков должно быть таким, чтобы обеспечивалась откачка воды из любой балластной цистерны, когда судно находится на ровном киле или имеет крен 5</w:t>
      </w:r>
      <w:r>
        <w:rPr>
          <w:rFonts w:ascii="Times New Roman"/>
          <w:b w:val="false"/>
          <w:i w:val="false"/>
          <w:color w:val="000000"/>
          <w:vertAlign w:val="superscript"/>
        </w:rPr>
        <w:t>о</w:t>
      </w:r>
      <w:r>
        <w:rPr>
          <w:rFonts w:ascii="Times New Roman"/>
          <w:b w:val="false"/>
          <w:i w:val="false"/>
          <w:color w:val="000000"/>
          <w:sz w:val="28"/>
        </w:rPr>
        <w:t>.</w:t>
      </w:r>
    </w:p>
    <w:bookmarkEnd w:id="9524"/>
    <w:bookmarkStart w:name="z9578" w:id="9525"/>
    <w:p>
      <w:pPr>
        <w:spacing w:after="0"/>
        <w:ind w:left="0"/>
        <w:jc w:val="both"/>
      </w:pPr>
      <w:r>
        <w:rPr>
          <w:rFonts w:ascii="Times New Roman"/>
          <w:b w:val="false"/>
          <w:i w:val="false"/>
          <w:color w:val="000000"/>
          <w:sz w:val="28"/>
        </w:rPr>
        <w:t>
      3311. На ледоколах и судах с ледовыми усилениями категорий Агс4 — Агс5 форпик, ахтерпик и бортовые цистерны в составе корпуса, предназначенные для воды и расположенные выше ватерлинии, а также в районе грузовых трюмов, оборудуются обогревом. Рекомендуется обогрев междудонных балластных цистерн, расположенных в районе грузовых трюмов.</w:t>
      </w:r>
    </w:p>
    <w:bookmarkEnd w:id="9525"/>
    <w:bookmarkStart w:name="z9579" w:id="9526"/>
    <w:p>
      <w:pPr>
        <w:spacing w:after="0"/>
        <w:ind w:left="0"/>
        <w:jc w:val="both"/>
      </w:pPr>
      <w:r>
        <w:rPr>
          <w:rFonts w:ascii="Times New Roman"/>
          <w:b w:val="false"/>
          <w:i w:val="false"/>
          <w:color w:val="000000"/>
          <w:sz w:val="28"/>
        </w:rPr>
        <w:t>
      3312. Приемные и отливные трубопроводы цистерн изолированного балласта не присоединяются к кингстонным ящикам и другим трубопроводам, обслуживающим грузовые танки.</w:t>
      </w:r>
    </w:p>
    <w:bookmarkEnd w:id="9526"/>
    <w:bookmarkStart w:name="z9580" w:id="9527"/>
    <w:p>
      <w:pPr>
        <w:spacing w:after="0"/>
        <w:ind w:left="0"/>
        <w:jc w:val="left"/>
      </w:pPr>
      <w:r>
        <w:rPr>
          <w:rFonts w:ascii="Times New Roman"/>
          <w:b/>
          <w:i w:val="false"/>
          <w:color w:val="000000"/>
        </w:rPr>
        <w:t xml:space="preserve"> Глава 266. Балластная система плавучих доков, креновая и дифферентная системы, балластная система навалочных судов</w:t>
      </w:r>
    </w:p>
    <w:bookmarkEnd w:id="9527"/>
    <w:p>
      <w:pPr>
        <w:spacing w:after="0"/>
        <w:ind w:left="0"/>
        <w:jc w:val="both"/>
      </w:pPr>
      <w:r>
        <w:rPr>
          <w:rFonts w:ascii="Times New Roman"/>
          <w:b w:val="false"/>
          <w:i w:val="false"/>
          <w:color w:val="ff0000"/>
          <w:sz w:val="28"/>
        </w:rPr>
        <w:t xml:space="preserve">
      Сноска. Заголовок главы 266 -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81" w:id="9528"/>
    <w:p>
      <w:pPr>
        <w:spacing w:after="0"/>
        <w:ind w:left="0"/>
        <w:jc w:val="both"/>
      </w:pPr>
      <w:r>
        <w:rPr>
          <w:rFonts w:ascii="Times New Roman"/>
          <w:b w:val="false"/>
          <w:i w:val="false"/>
          <w:color w:val="000000"/>
          <w:sz w:val="28"/>
        </w:rPr>
        <w:t>
      3313. Балластная система выполняется так, чтобы любой балластный отсек возможно было осушить не менее чем двумя насосами.</w:t>
      </w:r>
    </w:p>
    <w:bookmarkEnd w:id="9528"/>
    <w:bookmarkStart w:name="z9582" w:id="9529"/>
    <w:p>
      <w:pPr>
        <w:spacing w:after="0"/>
        <w:ind w:left="0"/>
        <w:jc w:val="both"/>
      </w:pPr>
      <w:r>
        <w:rPr>
          <w:rFonts w:ascii="Times New Roman"/>
          <w:b w:val="false"/>
          <w:i w:val="false"/>
          <w:color w:val="000000"/>
          <w:sz w:val="28"/>
        </w:rPr>
        <w:t>
      3314. На доках, которые допускается эксплуатировать при минусовых температурах, насосы и арматуру располагают в отапливаемых отсеках дока или имеет местный обогрев.</w:t>
      </w:r>
    </w:p>
    <w:bookmarkEnd w:id="9529"/>
    <w:bookmarkStart w:name="z9583" w:id="9530"/>
    <w:p>
      <w:pPr>
        <w:spacing w:after="0"/>
        <w:ind w:left="0"/>
        <w:jc w:val="both"/>
      </w:pPr>
      <w:r>
        <w:rPr>
          <w:rFonts w:ascii="Times New Roman"/>
          <w:b w:val="false"/>
          <w:i w:val="false"/>
          <w:color w:val="000000"/>
          <w:sz w:val="28"/>
        </w:rPr>
        <w:t>
      3315. Если управление арматурой балластной системы осуществляется от источника энергии, бортовая приемная и отливная арматура имеют аварийный ручной привод, выведенный выше палубы безопасности. При этом распределительную арматуру рекомендуется оборудовать устройством, автоматически закрывающим эту арматуру в случае прекращения питания от источника энергии.</w:t>
      </w:r>
    </w:p>
    <w:bookmarkEnd w:id="9530"/>
    <w:bookmarkStart w:name="z9584" w:id="9531"/>
    <w:p>
      <w:pPr>
        <w:spacing w:after="0"/>
        <w:ind w:left="0"/>
        <w:jc w:val="both"/>
      </w:pPr>
      <w:r>
        <w:rPr>
          <w:rFonts w:ascii="Times New Roman"/>
          <w:b w:val="false"/>
          <w:i w:val="false"/>
          <w:color w:val="000000"/>
          <w:sz w:val="28"/>
        </w:rPr>
        <w:t>
      3316. Указанные системы должны отвечать требованиям пунктов 3311 и 3312 настоящих Правил.</w:t>
      </w:r>
    </w:p>
    <w:bookmarkEnd w:id="9531"/>
    <w:bookmarkStart w:name="z9585" w:id="9532"/>
    <w:p>
      <w:pPr>
        <w:spacing w:after="0"/>
        <w:ind w:left="0"/>
        <w:jc w:val="both"/>
      </w:pPr>
      <w:r>
        <w:rPr>
          <w:rFonts w:ascii="Times New Roman"/>
          <w:b w:val="false"/>
          <w:i w:val="false"/>
          <w:color w:val="000000"/>
          <w:sz w:val="28"/>
        </w:rPr>
        <w:t>
      3317. В каждом балластном танке, расположенном в нос от таранной переборки, устанавливают датчик поступления воды, подающий звуковой и световой сигналы при уровне воды в танке, не превышающем 10 % его вместимости.</w:t>
      </w:r>
    </w:p>
    <w:bookmarkEnd w:id="9532"/>
    <w:bookmarkStart w:name="z9586" w:id="9533"/>
    <w:p>
      <w:pPr>
        <w:spacing w:after="0"/>
        <w:ind w:left="0"/>
        <w:jc w:val="both"/>
      </w:pPr>
      <w:r>
        <w:rPr>
          <w:rFonts w:ascii="Times New Roman"/>
          <w:b w:val="false"/>
          <w:i w:val="false"/>
          <w:color w:val="000000"/>
          <w:sz w:val="28"/>
        </w:rPr>
        <w:t>
      3318. На навалочных судах средства заполнения и осушения балластных танков, расположенных в нос от таранной переборки, должны отвечать требованиям главы 266 настоящих Правил.</w:t>
      </w:r>
    </w:p>
    <w:bookmarkEnd w:id="9533"/>
    <w:bookmarkStart w:name="z9587" w:id="9534"/>
    <w:p>
      <w:pPr>
        <w:spacing w:after="0"/>
        <w:ind w:left="0"/>
        <w:jc w:val="left"/>
      </w:pPr>
      <w:r>
        <w:rPr>
          <w:rFonts w:ascii="Times New Roman"/>
          <w:b/>
          <w:i w:val="false"/>
          <w:color w:val="000000"/>
        </w:rPr>
        <w:t xml:space="preserve"> Глава 267. Балластные системы для замены балласта в море</w:t>
      </w:r>
    </w:p>
    <w:bookmarkEnd w:id="9534"/>
    <w:p>
      <w:pPr>
        <w:spacing w:after="0"/>
        <w:ind w:left="0"/>
        <w:jc w:val="both"/>
      </w:pPr>
      <w:r>
        <w:rPr>
          <w:rFonts w:ascii="Times New Roman"/>
          <w:b w:val="false"/>
          <w:i w:val="false"/>
          <w:color w:val="ff0000"/>
          <w:sz w:val="28"/>
        </w:rPr>
        <w:t xml:space="preserve">
      Сноска. Заголовок главы 267 -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88" w:id="9535"/>
    <w:p>
      <w:pPr>
        <w:spacing w:after="0"/>
        <w:ind w:left="0"/>
        <w:jc w:val="both"/>
      </w:pPr>
      <w:r>
        <w:rPr>
          <w:rFonts w:ascii="Times New Roman"/>
          <w:b w:val="false"/>
          <w:i w:val="false"/>
          <w:color w:val="000000"/>
          <w:sz w:val="28"/>
        </w:rPr>
        <w:t>
      3319. Требования настоящей главы являются обязательными для судов, имеющих судовое Руководство по безопасной замене балласта в море.</w:t>
      </w:r>
    </w:p>
    <w:bookmarkEnd w:id="9535"/>
    <w:bookmarkStart w:name="z9589" w:id="9536"/>
    <w:p>
      <w:pPr>
        <w:spacing w:after="0"/>
        <w:ind w:left="0"/>
        <w:jc w:val="both"/>
      </w:pPr>
      <w:r>
        <w:rPr>
          <w:rFonts w:ascii="Times New Roman"/>
          <w:b w:val="false"/>
          <w:i w:val="false"/>
          <w:color w:val="000000"/>
          <w:sz w:val="28"/>
        </w:rPr>
        <w:t>
      Допускаемые методы замены балласта в море:</w:t>
      </w:r>
    </w:p>
    <w:bookmarkEnd w:id="9536"/>
    <w:bookmarkStart w:name="z9590" w:id="9537"/>
    <w:p>
      <w:pPr>
        <w:spacing w:after="0"/>
        <w:ind w:left="0"/>
        <w:jc w:val="both"/>
      </w:pPr>
      <w:r>
        <w:rPr>
          <w:rFonts w:ascii="Times New Roman"/>
          <w:b w:val="false"/>
          <w:i w:val="false"/>
          <w:color w:val="000000"/>
          <w:sz w:val="28"/>
        </w:rPr>
        <w:t>
      1) метод последовательного замещения — метод, при котором балластный танк или другое заполняемое балластом пространство сначала опорожняется не менее чем на 95 % его объема, а затем заполняется повторно с заменой балластной воды;</w:t>
      </w:r>
    </w:p>
    <w:bookmarkEnd w:id="9537"/>
    <w:bookmarkStart w:name="z9591" w:id="9538"/>
    <w:p>
      <w:pPr>
        <w:spacing w:after="0"/>
        <w:ind w:left="0"/>
        <w:jc w:val="both"/>
      </w:pPr>
      <w:r>
        <w:rPr>
          <w:rFonts w:ascii="Times New Roman"/>
          <w:b w:val="false"/>
          <w:i w:val="false"/>
          <w:color w:val="000000"/>
          <w:sz w:val="28"/>
        </w:rPr>
        <w:t>
      2) метод прокачки — метод, при котором балластная вода прокачивается через балластный танк или другое заполняемое балластом пространство путем перелива или через другое специальное устройство. При этом объем прокаченной через танк воды должен быть не менее чем в 3 раза больше объема танка;</w:t>
      </w:r>
    </w:p>
    <w:bookmarkEnd w:id="9538"/>
    <w:bookmarkStart w:name="z9592" w:id="9539"/>
    <w:p>
      <w:pPr>
        <w:spacing w:after="0"/>
        <w:ind w:left="0"/>
        <w:jc w:val="both"/>
      </w:pPr>
      <w:r>
        <w:rPr>
          <w:rFonts w:ascii="Times New Roman"/>
          <w:b w:val="false"/>
          <w:i w:val="false"/>
          <w:color w:val="000000"/>
          <w:sz w:val="28"/>
        </w:rPr>
        <w:t>
      3) метод разбавления — метод, при котором балластная вода поступает в балластный танк или другое заполняемое балластом пространство через верхнюю часть с одновременной откачкой за борт такого же количества воды с сохранением постоянного уровня. При этом объем прокаченной через танк воды должен быть не менее чем в 3 раза больше объема танка.</w:t>
      </w:r>
    </w:p>
    <w:bookmarkEnd w:id="9539"/>
    <w:bookmarkStart w:name="z9593" w:id="9540"/>
    <w:p>
      <w:pPr>
        <w:spacing w:after="0"/>
        <w:ind w:left="0"/>
        <w:jc w:val="both"/>
      </w:pPr>
      <w:r>
        <w:rPr>
          <w:rFonts w:ascii="Times New Roman"/>
          <w:b w:val="false"/>
          <w:i w:val="false"/>
          <w:color w:val="000000"/>
          <w:sz w:val="28"/>
        </w:rPr>
        <w:t>
      3320. Балластная система судна обеспечивает заполнение и опорожнение любого балластного танка или любого заполняемого балластом пространства в любых погодных условиях, предусмотренных судовым Руководством по безопасной замене балласта в море.</w:t>
      </w:r>
    </w:p>
    <w:bookmarkEnd w:id="9540"/>
    <w:bookmarkStart w:name="z9594" w:id="9541"/>
    <w:p>
      <w:pPr>
        <w:spacing w:after="0"/>
        <w:ind w:left="0"/>
        <w:jc w:val="both"/>
      </w:pPr>
      <w:r>
        <w:rPr>
          <w:rFonts w:ascii="Times New Roman"/>
          <w:b w:val="false"/>
          <w:i w:val="false"/>
          <w:color w:val="000000"/>
          <w:sz w:val="28"/>
        </w:rPr>
        <w:t>
      3321. При использовании проточного метода исключается повышение давления в балластном танке или заполняемом балластом пространстве выше расчетного для этого танка или пространства при максимальной подаче балластного насоса.</w:t>
      </w:r>
    </w:p>
    <w:bookmarkEnd w:id="9541"/>
    <w:bookmarkStart w:name="z9595" w:id="9542"/>
    <w:p>
      <w:pPr>
        <w:spacing w:after="0"/>
        <w:ind w:left="0"/>
        <w:jc w:val="both"/>
      </w:pPr>
      <w:r>
        <w:rPr>
          <w:rFonts w:ascii="Times New Roman"/>
          <w:b w:val="false"/>
          <w:i w:val="false"/>
          <w:color w:val="000000"/>
          <w:sz w:val="28"/>
        </w:rPr>
        <w:t>
      3322. Каждый балластный танк или любое заполняемое балластом пространство оборудуют отсечным запорным клапаном для заполнения и опорожнения.</w:t>
      </w:r>
    </w:p>
    <w:bookmarkEnd w:id="9542"/>
    <w:bookmarkStart w:name="z9596" w:id="9543"/>
    <w:p>
      <w:pPr>
        <w:spacing w:after="0"/>
        <w:ind w:left="0"/>
        <w:jc w:val="both"/>
      </w:pPr>
      <w:r>
        <w:rPr>
          <w:rFonts w:ascii="Times New Roman"/>
          <w:b w:val="false"/>
          <w:i w:val="false"/>
          <w:color w:val="000000"/>
          <w:sz w:val="28"/>
        </w:rPr>
        <w:t>
      3323. Во избежание несанкционированного перетекания балласта отсечные клапаны балластных танков или любых заполняемых балластом пространств находятся в постоянно закрытом положении за исключением времени производства балластных операций. Как правило, отсечные клапаны должны быть самозапорными пружинного типа или эквивалентные им.</w:t>
      </w:r>
    </w:p>
    <w:bookmarkEnd w:id="9543"/>
    <w:bookmarkStart w:name="z9597" w:id="9544"/>
    <w:p>
      <w:pPr>
        <w:spacing w:after="0"/>
        <w:ind w:left="0"/>
        <w:jc w:val="both"/>
      </w:pPr>
      <w:r>
        <w:rPr>
          <w:rFonts w:ascii="Times New Roman"/>
          <w:b w:val="false"/>
          <w:i w:val="false"/>
          <w:color w:val="000000"/>
          <w:sz w:val="28"/>
        </w:rPr>
        <w:t>
      3324. Взаимное расположение приемных и выпускных отверстий в балластных танках должно быть таким, что бы уменьшить, на сколько это возможно, смешивание принимаемой балластной воды с водой удаляемой за борт.</w:t>
      </w:r>
    </w:p>
    <w:bookmarkEnd w:id="9544"/>
    <w:bookmarkStart w:name="z9598" w:id="9545"/>
    <w:p>
      <w:pPr>
        <w:spacing w:after="0"/>
        <w:ind w:left="0"/>
        <w:jc w:val="both"/>
      </w:pPr>
      <w:r>
        <w:rPr>
          <w:rFonts w:ascii="Times New Roman"/>
          <w:b w:val="false"/>
          <w:i w:val="false"/>
          <w:color w:val="000000"/>
          <w:sz w:val="28"/>
        </w:rPr>
        <w:t>
      3325. Балластная система, предназначенная для замены балласта в море, обслуживается по крайней мере двумя насосами. Если судовым Руководством по безопасной замене балласта в море допущен метод последовательного замещения, то каждый насос способен произвести замену воды наибольшего назначенного балластного танка или группы танков, которые допущены судовым Руководством по безопасной замене балласта в море для одновременной замены в течении 3 часов.</w:t>
      </w:r>
    </w:p>
    <w:bookmarkEnd w:id="9545"/>
    <w:bookmarkStart w:name="z9599" w:id="9546"/>
    <w:p>
      <w:pPr>
        <w:spacing w:after="0"/>
        <w:ind w:left="0"/>
        <w:jc w:val="both"/>
      </w:pPr>
      <w:r>
        <w:rPr>
          <w:rFonts w:ascii="Times New Roman"/>
          <w:b w:val="false"/>
          <w:i w:val="false"/>
          <w:color w:val="000000"/>
          <w:sz w:val="28"/>
        </w:rPr>
        <w:t>
      3326. Замена балластной воды в грузовых трюмах, используемых для перевозки балласта допускается производить за большее время, но не более чем за 24 часа одним насосом.</w:t>
      </w:r>
    </w:p>
    <w:bookmarkEnd w:id="9546"/>
    <w:bookmarkStart w:name="z9600" w:id="9547"/>
    <w:p>
      <w:pPr>
        <w:spacing w:after="0"/>
        <w:ind w:left="0"/>
        <w:jc w:val="both"/>
      </w:pPr>
      <w:r>
        <w:rPr>
          <w:rFonts w:ascii="Times New Roman"/>
          <w:b w:val="false"/>
          <w:i w:val="false"/>
          <w:color w:val="000000"/>
          <w:sz w:val="28"/>
        </w:rPr>
        <w:t>
      3327. Конструкция балластной системы позволяет производить замену балласта с минимальным количеством операционных режимов.</w:t>
      </w:r>
    </w:p>
    <w:bookmarkEnd w:id="9547"/>
    <w:bookmarkStart w:name="z9601" w:id="9548"/>
    <w:p>
      <w:pPr>
        <w:spacing w:after="0"/>
        <w:ind w:left="0"/>
        <w:jc w:val="both"/>
      </w:pPr>
      <w:r>
        <w:rPr>
          <w:rFonts w:ascii="Times New Roman"/>
          <w:b w:val="false"/>
          <w:i w:val="false"/>
          <w:color w:val="000000"/>
          <w:sz w:val="28"/>
        </w:rPr>
        <w:t>
      3328. Внутреннее устройство балластных танков, приемных и выпускных патрубков балластной системы позволяют полную замену балластной воды и очистку от любых отложений.</w:t>
      </w:r>
    </w:p>
    <w:bookmarkEnd w:id="9548"/>
    <w:bookmarkStart w:name="z9602" w:id="9549"/>
    <w:p>
      <w:pPr>
        <w:spacing w:after="0"/>
        <w:ind w:left="0"/>
        <w:jc w:val="both"/>
      </w:pPr>
      <w:r>
        <w:rPr>
          <w:rFonts w:ascii="Times New Roman"/>
          <w:b w:val="false"/>
          <w:i w:val="false"/>
          <w:color w:val="000000"/>
          <w:sz w:val="28"/>
        </w:rPr>
        <w:t>
      3329. Конструкция приемных фильтров забортной воды позволяет их очистку без прекращения балластных операций.</w:t>
      </w:r>
    </w:p>
    <w:bookmarkEnd w:id="9549"/>
    <w:bookmarkStart w:name="z9603" w:id="9550"/>
    <w:p>
      <w:pPr>
        <w:spacing w:after="0"/>
        <w:ind w:left="0"/>
        <w:jc w:val="both"/>
      </w:pPr>
      <w:r>
        <w:rPr>
          <w:rFonts w:ascii="Times New Roman"/>
          <w:b w:val="false"/>
          <w:i w:val="false"/>
          <w:color w:val="000000"/>
          <w:sz w:val="28"/>
        </w:rPr>
        <w:t>
      3330. Балластные насосы и арматура, которые задействованы во время замены балласта, имеют дистанционное управление с центрального пульта управления балластными операциями. Помимо дистанционного балластные насосы оборудуют местным управлением.</w:t>
      </w:r>
    </w:p>
    <w:bookmarkEnd w:id="9550"/>
    <w:bookmarkStart w:name="z9604" w:id="9551"/>
    <w:p>
      <w:pPr>
        <w:spacing w:after="0"/>
        <w:ind w:left="0"/>
        <w:jc w:val="both"/>
      </w:pPr>
      <w:r>
        <w:rPr>
          <w:rFonts w:ascii="Times New Roman"/>
          <w:b w:val="false"/>
          <w:i w:val="false"/>
          <w:color w:val="000000"/>
          <w:sz w:val="28"/>
        </w:rPr>
        <w:t>
      3331. На случай выхода из строя централизованной дистанционной системы управления арматура имеет аварийное независимое ручное управление. Если арматура располагается внутри танков или труднодоступных помещений аварийное независимое ручное управление допускается осуществлять с помощью соединений к линии управления конкретным клапаном.</w:t>
      </w:r>
    </w:p>
    <w:bookmarkEnd w:id="9551"/>
    <w:bookmarkStart w:name="z9605" w:id="9552"/>
    <w:p>
      <w:pPr>
        <w:spacing w:after="0"/>
        <w:ind w:left="0"/>
        <w:jc w:val="both"/>
      </w:pPr>
      <w:r>
        <w:rPr>
          <w:rFonts w:ascii="Times New Roman"/>
          <w:b w:val="false"/>
          <w:i w:val="false"/>
          <w:color w:val="000000"/>
          <w:sz w:val="28"/>
        </w:rPr>
        <w:t>
      3332. Централизованная система управлением балластными операциями осуществляет следующие функции:</w:t>
      </w:r>
    </w:p>
    <w:bookmarkEnd w:id="9552"/>
    <w:bookmarkStart w:name="z9606" w:id="9553"/>
    <w:p>
      <w:pPr>
        <w:spacing w:after="0"/>
        <w:ind w:left="0"/>
        <w:jc w:val="both"/>
      </w:pPr>
      <w:r>
        <w:rPr>
          <w:rFonts w:ascii="Times New Roman"/>
          <w:b w:val="false"/>
          <w:i w:val="false"/>
          <w:color w:val="000000"/>
          <w:sz w:val="28"/>
        </w:rPr>
        <w:t>
      показывает положение арматуры;</w:t>
      </w:r>
    </w:p>
    <w:bookmarkEnd w:id="9553"/>
    <w:bookmarkStart w:name="z9607" w:id="9554"/>
    <w:p>
      <w:pPr>
        <w:spacing w:after="0"/>
        <w:ind w:left="0"/>
        <w:jc w:val="both"/>
      </w:pPr>
      <w:r>
        <w:rPr>
          <w:rFonts w:ascii="Times New Roman"/>
          <w:b w:val="false"/>
          <w:i w:val="false"/>
          <w:color w:val="000000"/>
          <w:sz w:val="28"/>
        </w:rPr>
        <w:t>
      показывает текущий уровень воды в балластных танках;</w:t>
      </w:r>
    </w:p>
    <w:bookmarkEnd w:id="9554"/>
    <w:bookmarkStart w:name="z9608" w:id="9555"/>
    <w:p>
      <w:pPr>
        <w:spacing w:after="0"/>
        <w:ind w:left="0"/>
        <w:jc w:val="both"/>
      </w:pPr>
      <w:r>
        <w:rPr>
          <w:rFonts w:ascii="Times New Roman"/>
          <w:b w:val="false"/>
          <w:i w:val="false"/>
          <w:color w:val="000000"/>
          <w:sz w:val="28"/>
        </w:rPr>
        <w:t>
      показывает осадку судна;</w:t>
      </w:r>
    </w:p>
    <w:bookmarkEnd w:id="9555"/>
    <w:bookmarkStart w:name="z9609" w:id="9556"/>
    <w:p>
      <w:pPr>
        <w:spacing w:after="0"/>
        <w:ind w:left="0"/>
        <w:jc w:val="both"/>
      </w:pPr>
      <w:r>
        <w:rPr>
          <w:rFonts w:ascii="Times New Roman"/>
          <w:b w:val="false"/>
          <w:i w:val="false"/>
          <w:color w:val="000000"/>
          <w:sz w:val="28"/>
        </w:rPr>
        <w:t>
      предусматривают средства связи между пультом управления балластными операциями и местами, из которых осуществляется местное управление насосами и аварийное управление арматурой.</w:t>
      </w:r>
    </w:p>
    <w:bookmarkEnd w:id="9556"/>
    <w:bookmarkStart w:name="z9610" w:id="9557"/>
    <w:p>
      <w:pPr>
        <w:spacing w:after="0"/>
        <w:ind w:left="0"/>
        <w:jc w:val="both"/>
      </w:pPr>
      <w:r>
        <w:rPr>
          <w:rFonts w:ascii="Times New Roman"/>
          <w:b w:val="false"/>
          <w:i w:val="false"/>
          <w:color w:val="000000"/>
          <w:sz w:val="28"/>
        </w:rPr>
        <w:t>
      3333. Централизованная дистанционная система управления устраивается так, что бы единичный отказ любого ее элемента не должен служить причиной отказа насосов, арматуры или других систем.</w:t>
      </w:r>
    </w:p>
    <w:bookmarkEnd w:id="9557"/>
    <w:bookmarkStart w:name="z9611" w:id="9558"/>
    <w:p>
      <w:pPr>
        <w:spacing w:after="0"/>
        <w:ind w:left="0"/>
        <w:jc w:val="both"/>
      </w:pPr>
      <w:r>
        <w:rPr>
          <w:rFonts w:ascii="Times New Roman"/>
          <w:b w:val="false"/>
          <w:i w:val="false"/>
          <w:color w:val="000000"/>
          <w:sz w:val="28"/>
        </w:rPr>
        <w:t>
      3334. Конструкция балластных танков позволяет при необходимости производить забор проб воды и осадка. Для этих целей рекомендуется в дополнение к обычному лазу оборудовать специальную крышку. Необходимо чтобы пространства непосредственно под любым отверстием в танк были свободны от препятствий для производства отбора проб или свободного доступа.</w:t>
      </w:r>
    </w:p>
    <w:bookmarkEnd w:id="9558"/>
    <w:bookmarkStart w:name="z9612" w:id="9559"/>
    <w:p>
      <w:pPr>
        <w:spacing w:after="0"/>
        <w:ind w:left="0"/>
        <w:jc w:val="both"/>
      </w:pPr>
      <w:r>
        <w:rPr>
          <w:rFonts w:ascii="Times New Roman"/>
          <w:b w:val="false"/>
          <w:i w:val="false"/>
          <w:color w:val="000000"/>
          <w:sz w:val="28"/>
        </w:rPr>
        <w:t>
      3335. Возможность балластной системы производить замену балласта проточным методом без риска возникновения избыточного давления в балластных танках подтверждается расчетом и испытанием на борту судна.</w:t>
      </w:r>
    </w:p>
    <w:bookmarkEnd w:id="9559"/>
    <w:bookmarkStart w:name="z9613" w:id="9560"/>
    <w:p>
      <w:pPr>
        <w:spacing w:after="0"/>
        <w:ind w:left="0"/>
        <w:jc w:val="both"/>
      </w:pPr>
      <w:r>
        <w:rPr>
          <w:rFonts w:ascii="Times New Roman"/>
          <w:b w:val="false"/>
          <w:i w:val="false"/>
          <w:color w:val="000000"/>
          <w:sz w:val="28"/>
        </w:rPr>
        <w:t>
      3336. Использование замены балласта проточным методом путем перелива на верхнюю палубу не допускается. Устройство сборных трубопроводов, внутренних переливных труб или внутренних соединительных труб или каналов, устроенных между танками допускается использовать для предотвращения потока балластной воды по верхней палубе.</w:t>
      </w:r>
    </w:p>
    <w:bookmarkEnd w:id="9560"/>
    <w:bookmarkStart w:name="z9614" w:id="9561"/>
    <w:p>
      <w:pPr>
        <w:spacing w:after="0"/>
        <w:ind w:left="0"/>
        <w:jc w:val="both"/>
      </w:pPr>
      <w:r>
        <w:rPr>
          <w:rFonts w:ascii="Times New Roman"/>
          <w:b w:val="false"/>
          <w:i w:val="false"/>
          <w:color w:val="000000"/>
          <w:sz w:val="28"/>
        </w:rPr>
        <w:t>
      3337. В случае использования для замены балласта метода разбавления предусматриваются:</w:t>
      </w:r>
    </w:p>
    <w:bookmarkEnd w:id="9561"/>
    <w:bookmarkStart w:name="z9615" w:id="9562"/>
    <w:p>
      <w:pPr>
        <w:spacing w:after="0"/>
        <w:ind w:left="0"/>
        <w:jc w:val="both"/>
      </w:pPr>
      <w:r>
        <w:rPr>
          <w:rFonts w:ascii="Times New Roman"/>
          <w:b w:val="false"/>
          <w:i w:val="false"/>
          <w:color w:val="000000"/>
          <w:sz w:val="28"/>
        </w:rPr>
        <w:t>
      специальные устройства, автоматически поддерживающие уровень балластной воды на постоянном уровне. Эти устройства предусматривают ручную аварийную остановку балластных насосов в случае выхода из строя арматуры или сбоя управления;</w:t>
      </w:r>
    </w:p>
    <w:bookmarkEnd w:id="9562"/>
    <w:bookmarkStart w:name="z9616" w:id="9563"/>
    <w:p>
      <w:pPr>
        <w:spacing w:after="0"/>
        <w:ind w:left="0"/>
        <w:jc w:val="both"/>
      </w:pPr>
      <w:r>
        <w:rPr>
          <w:rFonts w:ascii="Times New Roman"/>
          <w:b w:val="false"/>
          <w:i w:val="false"/>
          <w:color w:val="000000"/>
          <w:sz w:val="28"/>
        </w:rPr>
        <w:t>
      сигнализация по верхнему и нижнему уровню в танках, в случае если уровень балластной воды изменится существенно для безопасности судна во время балластных операций.</w:t>
      </w:r>
    </w:p>
    <w:bookmarkEnd w:id="9563"/>
    <w:bookmarkStart w:name="z9617" w:id="9564"/>
    <w:p>
      <w:pPr>
        <w:spacing w:after="0"/>
        <w:ind w:left="0"/>
        <w:jc w:val="left"/>
      </w:pPr>
      <w:r>
        <w:rPr>
          <w:rFonts w:ascii="Times New Roman"/>
          <w:b/>
          <w:i w:val="false"/>
          <w:color w:val="000000"/>
        </w:rPr>
        <w:t xml:space="preserve"> Подраздел 9. Специальные системы наливных и</w:t>
      </w:r>
      <w:r>
        <w:br/>
      </w:r>
      <w:r>
        <w:rPr>
          <w:rFonts w:ascii="Times New Roman"/>
          <w:b/>
          <w:i w:val="false"/>
          <w:color w:val="000000"/>
        </w:rPr>
        <w:t>комбинированных судов</w:t>
      </w:r>
      <w:r>
        <w:br/>
      </w:r>
      <w:r>
        <w:rPr>
          <w:rFonts w:ascii="Times New Roman"/>
          <w:b/>
          <w:i w:val="false"/>
          <w:color w:val="000000"/>
        </w:rPr>
        <w:t>Глава 268. Область применения и общие требования к трубопроводам в грузовой зоне</w:t>
      </w:r>
    </w:p>
    <w:bookmarkEnd w:id="9564"/>
    <w:p>
      <w:pPr>
        <w:spacing w:after="0"/>
        <w:ind w:left="0"/>
        <w:jc w:val="both"/>
      </w:pPr>
      <w:r>
        <w:rPr>
          <w:rFonts w:ascii="Times New Roman"/>
          <w:b w:val="false"/>
          <w:i w:val="false"/>
          <w:color w:val="ff0000"/>
          <w:sz w:val="28"/>
        </w:rPr>
        <w:t xml:space="preserve">
      Сноска. Заголовок главы 268 -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19" w:id="9565"/>
    <w:p>
      <w:pPr>
        <w:spacing w:after="0"/>
        <w:ind w:left="0"/>
        <w:jc w:val="both"/>
      </w:pPr>
      <w:r>
        <w:rPr>
          <w:rFonts w:ascii="Times New Roman"/>
          <w:b w:val="false"/>
          <w:i w:val="false"/>
          <w:color w:val="000000"/>
          <w:sz w:val="28"/>
        </w:rPr>
        <w:t xml:space="preserve">
      3338. Требования настоящего подраздела распространяются на суда, имеющие словесную характеристику "Oil tanker". Для судов, имеющих словесную характеристику "Oil tanker (&gt;60 </w:t>
      </w:r>
      <w:r>
        <w:rPr>
          <w:rFonts w:ascii="Times New Roman"/>
          <w:b w:val="false"/>
          <w:i w:val="false"/>
          <w:color w:val="000000"/>
          <w:vertAlign w:val="superscript"/>
        </w:rPr>
        <w:t>о</w:t>
      </w:r>
      <w:r>
        <w:rPr>
          <w:rFonts w:ascii="Times New Roman"/>
          <w:b w:val="false"/>
          <w:i w:val="false"/>
          <w:color w:val="000000"/>
          <w:sz w:val="28"/>
        </w:rPr>
        <w:t>C)" и "Bilge water removing ship", обязательным является выполнение требований пунктов 3339 – 3346, 3349 – 3351, 3353, 3354, 3356, 3359, 3360, 3362, 3363, 3367, 3375 — 3377, 3379, 3381, 3383, 3387, 3389, 3391, 3408, 3409, главы 272 настоящих Правил. Остальные пункты настоящего подраздела для таких судов являются рекомендательными.</w:t>
      </w:r>
    </w:p>
    <w:bookmarkEnd w:id="9565"/>
    <w:bookmarkStart w:name="z9620" w:id="9566"/>
    <w:p>
      <w:pPr>
        <w:spacing w:after="0"/>
        <w:ind w:left="0"/>
        <w:jc w:val="both"/>
      </w:pPr>
      <w:r>
        <w:rPr>
          <w:rFonts w:ascii="Times New Roman"/>
          <w:b w:val="false"/>
          <w:i w:val="false"/>
          <w:color w:val="000000"/>
          <w:sz w:val="28"/>
        </w:rPr>
        <w:t>
      3339. Дистанционно управляемая арматура должна отвечать требованиям пунктов 3132 – 3135 настоящих Правил.</w:t>
      </w:r>
    </w:p>
    <w:bookmarkEnd w:id="9566"/>
    <w:bookmarkStart w:name="z9621" w:id="9567"/>
    <w:p>
      <w:pPr>
        <w:spacing w:after="0"/>
        <w:ind w:left="0"/>
        <w:jc w:val="both"/>
      </w:pPr>
      <w:r>
        <w:rPr>
          <w:rFonts w:ascii="Times New Roman"/>
          <w:b w:val="false"/>
          <w:i w:val="false"/>
          <w:color w:val="000000"/>
          <w:sz w:val="28"/>
        </w:rPr>
        <w:t>
      3340. Валиковые приводы для управления клапанами, расположенными внутри грузовых танков, выводятся на открытую палубу через газонепроницаемые уплотнения. Замена уплотнений производится с открытой палубы. Приводы оборудуются устройствами, указывающими, открыт или закрыт клапан. Конструкция приводов исключает скопление в них остатков жидкого груза. Трущиеся части приводов, проходящие внутри грузовых танков и коффердамов, а также на грузовой палубе, исключают возможность искрообразования.</w:t>
      </w:r>
    </w:p>
    <w:bookmarkEnd w:id="9567"/>
    <w:bookmarkStart w:name="z9622" w:id="9568"/>
    <w:p>
      <w:pPr>
        <w:spacing w:after="0"/>
        <w:ind w:left="0"/>
        <w:jc w:val="both"/>
      </w:pPr>
      <w:r>
        <w:rPr>
          <w:rFonts w:ascii="Times New Roman"/>
          <w:b w:val="false"/>
          <w:i w:val="false"/>
          <w:color w:val="000000"/>
          <w:sz w:val="28"/>
        </w:rPr>
        <w:t xml:space="preserve">
      3341. Температура пара или греющей среды в закрытых пространствах внутри грузовой зоны не превышает 220 </w:t>
      </w:r>
      <w:r>
        <w:rPr>
          <w:rFonts w:ascii="Times New Roman"/>
          <w:b w:val="false"/>
          <w:i w:val="false"/>
          <w:color w:val="000000"/>
          <w:vertAlign w:val="superscript"/>
        </w:rPr>
        <w:t>о</w:t>
      </w:r>
      <w:r>
        <w:rPr>
          <w:rFonts w:ascii="Times New Roman"/>
          <w:b w:val="false"/>
          <w:i w:val="false"/>
          <w:color w:val="000000"/>
          <w:sz w:val="28"/>
        </w:rPr>
        <w:t>С.</w:t>
      </w:r>
    </w:p>
    <w:bookmarkEnd w:id="9568"/>
    <w:bookmarkStart w:name="z9623" w:id="9569"/>
    <w:p>
      <w:pPr>
        <w:spacing w:after="0"/>
        <w:ind w:left="0"/>
        <w:jc w:val="both"/>
      </w:pPr>
      <w:r>
        <w:rPr>
          <w:rFonts w:ascii="Times New Roman"/>
          <w:b w:val="false"/>
          <w:i w:val="false"/>
          <w:color w:val="000000"/>
          <w:sz w:val="28"/>
        </w:rPr>
        <w:t>
      3342. Фланцы и крепеж на трубопроводах, предназначенных для присоединения шлангов с берега, выполняются из материалов, исключающих возможность искрообразования.</w:t>
      </w:r>
    </w:p>
    <w:bookmarkEnd w:id="9569"/>
    <w:bookmarkStart w:name="z9624" w:id="9570"/>
    <w:p>
      <w:pPr>
        <w:spacing w:after="0"/>
        <w:ind w:left="0"/>
        <w:jc w:val="both"/>
      </w:pPr>
      <w:r>
        <w:rPr>
          <w:rFonts w:ascii="Times New Roman"/>
          <w:b w:val="false"/>
          <w:i w:val="false"/>
          <w:color w:val="000000"/>
          <w:sz w:val="28"/>
        </w:rPr>
        <w:t>
      3343. Трубопроводы на палубе и в грузовых танках надежно закрепляют и снабжают компенсаторами. Если компенсация тепловых расширений осуществляется погибами самих труб, радиусы погибов должны отвечают требованиям главы 233 настоящих Правил.</w:t>
      </w:r>
    </w:p>
    <w:bookmarkEnd w:id="9570"/>
    <w:bookmarkStart w:name="z9625" w:id="9571"/>
    <w:p>
      <w:pPr>
        <w:spacing w:after="0"/>
        <w:ind w:left="0"/>
        <w:jc w:val="both"/>
      </w:pPr>
      <w:r>
        <w:rPr>
          <w:rFonts w:ascii="Times New Roman"/>
          <w:b w:val="false"/>
          <w:i w:val="false"/>
          <w:color w:val="000000"/>
          <w:sz w:val="28"/>
        </w:rPr>
        <w:t>
      3344. Все участки трубопроводов, соединенные между собой фланцами, имеет надежное электрическое соединение. По крайней мере в одном месте выполняют электрическое соединение с корпусом судна (аналогично требованиям главы 430 настоящих Правил).</w:t>
      </w:r>
    </w:p>
    <w:bookmarkEnd w:id="9571"/>
    <w:bookmarkStart w:name="z9626" w:id="9572"/>
    <w:p>
      <w:pPr>
        <w:spacing w:after="0"/>
        <w:ind w:left="0"/>
        <w:jc w:val="both"/>
      </w:pPr>
      <w:r>
        <w:rPr>
          <w:rFonts w:ascii="Times New Roman"/>
          <w:b w:val="false"/>
          <w:i w:val="false"/>
          <w:color w:val="000000"/>
          <w:sz w:val="28"/>
        </w:rPr>
        <w:t>
      3345. В целях предотвращения распространения огня на груз в конструкции арматуры грузовых трубопроводов и газоотводных устройств, крышек грузовых танков не применяются материалы, легко теряющие свои свойства при нагреве.</w:t>
      </w:r>
    </w:p>
    <w:bookmarkEnd w:id="9572"/>
    <w:bookmarkStart w:name="z9627" w:id="9573"/>
    <w:p>
      <w:pPr>
        <w:spacing w:after="0"/>
        <w:ind w:left="0"/>
        <w:jc w:val="both"/>
      </w:pPr>
      <w:r>
        <w:rPr>
          <w:rFonts w:ascii="Times New Roman"/>
          <w:b w:val="false"/>
          <w:i w:val="false"/>
          <w:color w:val="000000"/>
          <w:sz w:val="28"/>
        </w:rPr>
        <w:t>
      3346. На комбинированных судах предусматриваются устройства в виде заглушек для изоляции отстойных танков от грузовых.</w:t>
      </w:r>
    </w:p>
    <w:bookmarkEnd w:id="9573"/>
    <w:bookmarkStart w:name="z9628" w:id="9574"/>
    <w:p>
      <w:pPr>
        <w:spacing w:after="0"/>
        <w:ind w:left="0"/>
        <w:jc w:val="both"/>
      </w:pPr>
      <w:r>
        <w:rPr>
          <w:rFonts w:ascii="Times New Roman"/>
          <w:b w:val="false"/>
          <w:i w:val="false"/>
          <w:color w:val="000000"/>
          <w:sz w:val="28"/>
        </w:rPr>
        <w:t>
      3347. Если на судне предусмотрены системы, через трубопроводы которых возможно сообщение свободных от жидкости пространств грузовых танков, на каждом таком трубопроводе устанавливается огнепреградитель.</w:t>
      </w:r>
    </w:p>
    <w:bookmarkEnd w:id="9574"/>
    <w:bookmarkStart w:name="z9629" w:id="9575"/>
    <w:p>
      <w:pPr>
        <w:spacing w:after="0"/>
        <w:ind w:left="0"/>
        <w:jc w:val="both"/>
      </w:pPr>
      <w:r>
        <w:rPr>
          <w:rFonts w:ascii="Times New Roman"/>
          <w:b w:val="false"/>
          <w:i w:val="false"/>
          <w:color w:val="000000"/>
          <w:sz w:val="28"/>
        </w:rPr>
        <w:t>
      3348. Для предотвращения попадания пролитого груза за пределы грузовой зоны на верхней палубе предусматривается непрерывный комингс высотой не менее 300 мм, простирающийся от борта до борта.</w:t>
      </w:r>
    </w:p>
    <w:bookmarkEnd w:id="9575"/>
    <w:bookmarkStart w:name="z9630" w:id="9576"/>
    <w:p>
      <w:pPr>
        <w:spacing w:after="0"/>
        <w:ind w:left="0"/>
        <w:jc w:val="left"/>
      </w:pPr>
      <w:r>
        <w:rPr>
          <w:rFonts w:ascii="Times New Roman"/>
          <w:b/>
          <w:i w:val="false"/>
          <w:color w:val="000000"/>
        </w:rPr>
        <w:t xml:space="preserve"> Глава 269. Грузовая система</w:t>
      </w:r>
    </w:p>
    <w:bookmarkEnd w:id="9576"/>
    <w:p>
      <w:pPr>
        <w:spacing w:after="0"/>
        <w:ind w:left="0"/>
        <w:jc w:val="both"/>
      </w:pPr>
      <w:r>
        <w:rPr>
          <w:rFonts w:ascii="Times New Roman"/>
          <w:b w:val="false"/>
          <w:i w:val="false"/>
          <w:color w:val="ff0000"/>
          <w:sz w:val="28"/>
        </w:rPr>
        <w:t xml:space="preserve">
      Сноска. Заголовок главы 269 -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31" w:id="9577"/>
    <w:p>
      <w:pPr>
        <w:spacing w:after="0"/>
        <w:ind w:left="0"/>
        <w:jc w:val="both"/>
      </w:pPr>
      <w:r>
        <w:rPr>
          <w:rFonts w:ascii="Times New Roman"/>
          <w:b w:val="false"/>
          <w:i w:val="false"/>
          <w:color w:val="000000"/>
          <w:sz w:val="28"/>
        </w:rPr>
        <w:t>
      3349. Грузовые трубопроводы не проходят через цистерны, не предназначенные для хранения груза, и не соединяются с другими цистернами или трубопроводами, в том числе с топливными трубопроводами силовой установки.</w:t>
      </w:r>
    </w:p>
    <w:bookmarkEnd w:id="9577"/>
    <w:bookmarkStart w:name="z9632" w:id="9578"/>
    <w:p>
      <w:pPr>
        <w:spacing w:after="0"/>
        <w:ind w:left="0"/>
        <w:jc w:val="both"/>
      </w:pPr>
      <w:r>
        <w:rPr>
          <w:rFonts w:ascii="Times New Roman"/>
          <w:b w:val="false"/>
          <w:i w:val="false"/>
          <w:color w:val="000000"/>
          <w:sz w:val="28"/>
        </w:rPr>
        <w:t>
      Коффердамы не имеют никаких соединений с грузовыми танками. Установка перепускных клапанов в коффердамах не допускается.</w:t>
      </w:r>
    </w:p>
    <w:bookmarkEnd w:id="9578"/>
    <w:bookmarkStart w:name="z9633" w:id="9579"/>
    <w:p>
      <w:pPr>
        <w:spacing w:after="0"/>
        <w:ind w:left="0"/>
        <w:jc w:val="both"/>
      </w:pPr>
      <w:r>
        <w:rPr>
          <w:rFonts w:ascii="Times New Roman"/>
          <w:b w:val="false"/>
          <w:i w:val="false"/>
          <w:color w:val="000000"/>
          <w:sz w:val="28"/>
        </w:rPr>
        <w:t>
      Трубопроводы, в которых имеется опасность смешения разных сортов грузов или обводнения его, имеют двойную запорную арматуру.</w:t>
      </w:r>
    </w:p>
    <w:bookmarkEnd w:id="9579"/>
    <w:bookmarkStart w:name="z9634" w:id="9580"/>
    <w:p>
      <w:pPr>
        <w:spacing w:after="0"/>
        <w:ind w:left="0"/>
        <w:jc w:val="both"/>
      </w:pPr>
      <w:r>
        <w:rPr>
          <w:rFonts w:ascii="Times New Roman"/>
          <w:b w:val="false"/>
          <w:i w:val="false"/>
          <w:color w:val="000000"/>
          <w:sz w:val="28"/>
        </w:rPr>
        <w:t>
      3350. Концы наполнительных труб грузовых танков доводят, насколько возможно, на самое близкое расстояние до днища танков, но не ближе 1/4 внутреннего диаметра трубы.</w:t>
      </w:r>
    </w:p>
    <w:bookmarkEnd w:id="9580"/>
    <w:bookmarkStart w:name="z9635" w:id="9581"/>
    <w:p>
      <w:pPr>
        <w:spacing w:after="0"/>
        <w:ind w:left="0"/>
        <w:jc w:val="both"/>
      </w:pPr>
      <w:r>
        <w:rPr>
          <w:rFonts w:ascii="Times New Roman"/>
          <w:b w:val="false"/>
          <w:i w:val="false"/>
          <w:color w:val="000000"/>
          <w:sz w:val="28"/>
        </w:rPr>
        <w:t>
      3351. Отстойные танки на нефтеналивных судах, как правило, обслуживаются независимой системой трубопроводов. Если такая система не предусматривается, все приемные и отливные трубопроводы отстойных цистерн оборудуют переходными фланцами-заглушками или другими блокировочными устройствами.</w:t>
      </w:r>
    </w:p>
    <w:bookmarkEnd w:id="9581"/>
    <w:bookmarkStart w:name="z9636" w:id="9582"/>
    <w:p>
      <w:pPr>
        <w:spacing w:after="0"/>
        <w:ind w:left="0"/>
        <w:jc w:val="both"/>
      </w:pPr>
      <w:r>
        <w:rPr>
          <w:rFonts w:ascii="Times New Roman"/>
          <w:b w:val="false"/>
          <w:i w:val="false"/>
          <w:color w:val="000000"/>
          <w:sz w:val="28"/>
        </w:rPr>
        <w:t>
      3352. На комбинированных судах предусматривают надежные средства для отсечения трубопровода отстойных танков от насосного помещения.</w:t>
      </w:r>
    </w:p>
    <w:bookmarkEnd w:id="9582"/>
    <w:bookmarkStart w:name="z9637" w:id="9583"/>
    <w:p>
      <w:pPr>
        <w:spacing w:after="0"/>
        <w:ind w:left="0"/>
        <w:jc w:val="both"/>
      </w:pPr>
      <w:r>
        <w:rPr>
          <w:rFonts w:ascii="Times New Roman"/>
          <w:b w:val="false"/>
          <w:i w:val="false"/>
          <w:color w:val="000000"/>
          <w:sz w:val="28"/>
        </w:rPr>
        <w:t>
      В качестве средства отключения служит клапан с установленным за ним переходным фланцем с заглушкой или съемный патрубок с соответствующими глухими фланцами. Это средство располагается вблизи отстойных танков, но если это окажется нецелесообразным или практически неосуществимым, допускается располагать в насосном отделении непосредственно за тем местом, где трубопровод проходит через переборку.</w:t>
      </w:r>
    </w:p>
    <w:bookmarkEnd w:id="9583"/>
    <w:bookmarkStart w:name="z9638" w:id="9584"/>
    <w:p>
      <w:pPr>
        <w:spacing w:after="0"/>
        <w:ind w:left="0"/>
        <w:jc w:val="both"/>
      </w:pPr>
      <w:r>
        <w:rPr>
          <w:rFonts w:ascii="Times New Roman"/>
          <w:b w:val="false"/>
          <w:i w:val="false"/>
          <w:color w:val="000000"/>
          <w:sz w:val="28"/>
        </w:rPr>
        <w:t>
      3353. На комбинированных судах, когда судно занято перевозкой сухих грузов, предусматривается стационарная система для перекачки нефтеостатков из отстойных цистерн на открытую палубу. Эта система, как правило, не соединяется с другими системами. Соединение системы перекачки нефтеостатков из отстойных цистерн с другими системами при помощи съемных патрубков является в каждом случае предметом специального рассмотрения Регистром судоходства.</w:t>
      </w:r>
    </w:p>
    <w:bookmarkEnd w:id="9584"/>
    <w:bookmarkStart w:name="z9639" w:id="9585"/>
    <w:p>
      <w:pPr>
        <w:spacing w:after="0"/>
        <w:ind w:left="0"/>
        <w:jc w:val="both"/>
      </w:pPr>
      <w:r>
        <w:rPr>
          <w:rFonts w:ascii="Times New Roman"/>
          <w:b w:val="false"/>
          <w:i w:val="false"/>
          <w:color w:val="000000"/>
          <w:sz w:val="28"/>
        </w:rPr>
        <w:t>
      Коллектор для перекачки нефтеостатков из отстойных цистерн, устанавливаемый на открытой палубе, снабжается запорным клапаном и глухим фланцем.</w:t>
      </w:r>
    </w:p>
    <w:bookmarkEnd w:id="9585"/>
    <w:bookmarkStart w:name="z9640" w:id="9586"/>
    <w:p>
      <w:pPr>
        <w:spacing w:after="0"/>
        <w:ind w:left="0"/>
        <w:jc w:val="both"/>
      </w:pPr>
      <w:r>
        <w:rPr>
          <w:rFonts w:ascii="Times New Roman"/>
          <w:b w:val="false"/>
          <w:i w:val="false"/>
          <w:color w:val="000000"/>
          <w:sz w:val="28"/>
        </w:rPr>
        <w:t>
      3354. В местах подсоединения грузовых шлангов к грузовым манифольдам предусматривается поддон для сбора остатков груза.</w:t>
      </w:r>
    </w:p>
    <w:bookmarkEnd w:id="9586"/>
    <w:bookmarkStart w:name="z9641" w:id="9587"/>
    <w:p>
      <w:pPr>
        <w:spacing w:after="0"/>
        <w:ind w:left="0"/>
        <w:jc w:val="both"/>
      </w:pPr>
      <w:r>
        <w:rPr>
          <w:rFonts w:ascii="Times New Roman"/>
          <w:b w:val="false"/>
          <w:i w:val="false"/>
          <w:color w:val="000000"/>
          <w:sz w:val="28"/>
        </w:rPr>
        <w:t>
      3355. На трубопроводах любого назначения, расположенных во взрывоопасных зонах и предназначенных для присоединения шлангов с берега или с другого судна, предусматривают следующие средства обеспечения гальванической искробезопасности:</w:t>
      </w:r>
    </w:p>
    <w:bookmarkEnd w:id="9587"/>
    <w:bookmarkStart w:name="z9642" w:id="9588"/>
    <w:p>
      <w:pPr>
        <w:spacing w:after="0"/>
        <w:ind w:left="0"/>
        <w:jc w:val="both"/>
      </w:pPr>
      <w:r>
        <w:rPr>
          <w:rFonts w:ascii="Times New Roman"/>
          <w:b w:val="false"/>
          <w:i w:val="false"/>
          <w:color w:val="000000"/>
          <w:sz w:val="28"/>
        </w:rPr>
        <w:t>
      1) электроизолирующие фланцевые соединения или непроводящие участки трубопровода;</w:t>
      </w:r>
    </w:p>
    <w:bookmarkEnd w:id="9588"/>
    <w:bookmarkStart w:name="z9643" w:id="9589"/>
    <w:p>
      <w:pPr>
        <w:spacing w:after="0"/>
        <w:ind w:left="0"/>
        <w:jc w:val="both"/>
      </w:pPr>
      <w:r>
        <w:rPr>
          <w:rFonts w:ascii="Times New Roman"/>
          <w:b w:val="false"/>
          <w:i w:val="false"/>
          <w:color w:val="000000"/>
          <w:sz w:val="28"/>
        </w:rPr>
        <w:t>
      2) электроизолирующие маты, подкладки и ограждения для предотвращения контакта металлических деталей шлангов с корпусом судна.</w:t>
      </w:r>
    </w:p>
    <w:bookmarkEnd w:id="9589"/>
    <w:bookmarkStart w:name="z9644" w:id="9590"/>
    <w:p>
      <w:pPr>
        <w:spacing w:after="0"/>
        <w:ind w:left="0"/>
        <w:jc w:val="both"/>
      </w:pPr>
      <w:r>
        <w:rPr>
          <w:rFonts w:ascii="Times New Roman"/>
          <w:b w:val="false"/>
          <w:i w:val="false"/>
          <w:color w:val="000000"/>
          <w:sz w:val="28"/>
        </w:rPr>
        <w:t>
      Измеренная величина сопротивления между металлическими частями шлангов и корпусом судна должна быть не менее 25 кОм.</w:t>
      </w:r>
    </w:p>
    <w:bookmarkEnd w:id="9590"/>
    <w:bookmarkStart w:name="z9645" w:id="9591"/>
    <w:p>
      <w:pPr>
        <w:spacing w:after="0"/>
        <w:ind w:left="0"/>
        <w:jc w:val="left"/>
      </w:pPr>
      <w:r>
        <w:rPr>
          <w:rFonts w:ascii="Times New Roman"/>
          <w:b/>
          <w:i w:val="false"/>
          <w:color w:val="000000"/>
        </w:rPr>
        <w:t xml:space="preserve"> Глава 270. Грузовые насосы</w:t>
      </w:r>
    </w:p>
    <w:bookmarkEnd w:id="9591"/>
    <w:p>
      <w:pPr>
        <w:spacing w:after="0"/>
        <w:ind w:left="0"/>
        <w:jc w:val="both"/>
      </w:pPr>
      <w:r>
        <w:rPr>
          <w:rFonts w:ascii="Times New Roman"/>
          <w:b w:val="false"/>
          <w:i w:val="false"/>
          <w:color w:val="ff0000"/>
          <w:sz w:val="28"/>
        </w:rPr>
        <w:t xml:space="preserve">
      Сноска. Заголовок главы 270 -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46" w:id="9592"/>
    <w:p>
      <w:pPr>
        <w:spacing w:after="0"/>
        <w:ind w:left="0"/>
        <w:jc w:val="both"/>
      </w:pPr>
      <w:r>
        <w:rPr>
          <w:rFonts w:ascii="Times New Roman"/>
          <w:b w:val="false"/>
          <w:i w:val="false"/>
          <w:color w:val="000000"/>
          <w:sz w:val="28"/>
        </w:rPr>
        <w:t>
      3356. Грузовые и зачистные насосы используются только по прямому назначению, за исключением случаев, указанных в пунктах 3277 и 3408 настоящих Правил. Эти насосы не сообщаются с другими, не грузовыми танками.</w:t>
      </w:r>
    </w:p>
    <w:bookmarkEnd w:id="9592"/>
    <w:bookmarkStart w:name="z9647" w:id="9593"/>
    <w:p>
      <w:pPr>
        <w:spacing w:after="0"/>
        <w:ind w:left="0"/>
        <w:jc w:val="both"/>
      </w:pPr>
      <w:r>
        <w:rPr>
          <w:rFonts w:ascii="Times New Roman"/>
          <w:b w:val="false"/>
          <w:i w:val="false"/>
          <w:color w:val="000000"/>
          <w:sz w:val="28"/>
        </w:rPr>
        <w:t>
      Грузовые и зачистные насосы размещаются в отдельном помещении или быть погружными.</w:t>
      </w:r>
    </w:p>
    <w:bookmarkEnd w:id="9593"/>
    <w:bookmarkStart w:name="z9648" w:id="9594"/>
    <w:p>
      <w:pPr>
        <w:spacing w:after="0"/>
        <w:ind w:left="0"/>
        <w:jc w:val="both"/>
      </w:pPr>
      <w:r>
        <w:rPr>
          <w:rFonts w:ascii="Times New Roman"/>
          <w:b w:val="false"/>
          <w:i w:val="false"/>
          <w:color w:val="000000"/>
          <w:sz w:val="28"/>
        </w:rPr>
        <w:t>
      3357. Расположение приводных двигателей грузовых и зачистных насосов должно отвечать требованиям пункта 2733 настоящих Правил.</w:t>
      </w:r>
    </w:p>
    <w:bookmarkEnd w:id="9594"/>
    <w:bookmarkStart w:name="z9649" w:id="9595"/>
    <w:p>
      <w:pPr>
        <w:spacing w:after="0"/>
        <w:ind w:left="0"/>
        <w:jc w:val="both"/>
      </w:pPr>
      <w:r>
        <w:rPr>
          <w:rFonts w:ascii="Times New Roman"/>
          <w:b w:val="false"/>
          <w:i w:val="false"/>
          <w:color w:val="000000"/>
          <w:sz w:val="28"/>
        </w:rPr>
        <w:t>
      3358. Конструкция насосов, арматуры и их приводов в максимальной степени исключает возможность искрообразования. Принимаются конструктивные меры по ограничению времени работы погружных грузовых насосов в режиме нулевой подачи.</w:t>
      </w:r>
    </w:p>
    <w:bookmarkEnd w:id="9595"/>
    <w:bookmarkStart w:name="z9650" w:id="9596"/>
    <w:p>
      <w:pPr>
        <w:spacing w:after="0"/>
        <w:ind w:left="0"/>
        <w:jc w:val="both"/>
      </w:pPr>
      <w:r>
        <w:rPr>
          <w:rFonts w:ascii="Times New Roman"/>
          <w:b w:val="false"/>
          <w:i w:val="false"/>
          <w:color w:val="000000"/>
          <w:sz w:val="28"/>
        </w:rPr>
        <w:t>
      3359. Предусматриваются устройства для остановки грузовых и зачистных насосов с верхней площадки насосного помещения, находящейся на уровне главной палубы, или из легко доступного места на палубе.</w:t>
      </w:r>
    </w:p>
    <w:bookmarkEnd w:id="9596"/>
    <w:bookmarkStart w:name="z9651" w:id="9597"/>
    <w:p>
      <w:pPr>
        <w:spacing w:after="0"/>
        <w:ind w:left="0"/>
        <w:jc w:val="both"/>
      </w:pPr>
      <w:r>
        <w:rPr>
          <w:rFonts w:ascii="Times New Roman"/>
          <w:b w:val="false"/>
          <w:i w:val="false"/>
          <w:color w:val="000000"/>
          <w:sz w:val="28"/>
        </w:rPr>
        <w:t>
      При наличии центрального поста управления грузовыми операциями устройства остановки насосов предусматриваются и в посту управления грузовыми операциями.</w:t>
      </w:r>
    </w:p>
    <w:bookmarkEnd w:id="9597"/>
    <w:bookmarkStart w:name="z9652" w:id="9598"/>
    <w:p>
      <w:pPr>
        <w:spacing w:after="0"/>
        <w:ind w:left="0"/>
        <w:jc w:val="both"/>
      </w:pPr>
      <w:r>
        <w:rPr>
          <w:rFonts w:ascii="Times New Roman"/>
          <w:b w:val="false"/>
          <w:i w:val="false"/>
          <w:color w:val="000000"/>
          <w:sz w:val="28"/>
        </w:rPr>
        <w:t>
      Устройства для остановки насосов с электроприводом должны отвечать требованиям пункта 5760 настоящих Правил.</w:t>
      </w:r>
    </w:p>
    <w:bookmarkEnd w:id="9598"/>
    <w:bookmarkStart w:name="z9653" w:id="9599"/>
    <w:p>
      <w:pPr>
        <w:spacing w:after="0"/>
        <w:ind w:left="0"/>
        <w:jc w:val="both"/>
      </w:pPr>
      <w:r>
        <w:rPr>
          <w:rFonts w:ascii="Times New Roman"/>
          <w:b w:val="false"/>
          <w:i w:val="false"/>
          <w:color w:val="000000"/>
          <w:sz w:val="28"/>
        </w:rPr>
        <w:t>
      3360. Манометры на напорных магистральных грузовых и зачистных трубопроводах устанавливаются у насосов, а также на верхней площадке насосного помещения или в центральном посту управления грузовыми операциями.</w:t>
      </w:r>
    </w:p>
    <w:bookmarkEnd w:id="9599"/>
    <w:bookmarkStart w:name="z9654" w:id="9600"/>
    <w:p>
      <w:pPr>
        <w:spacing w:after="0"/>
        <w:ind w:left="0"/>
        <w:jc w:val="both"/>
      </w:pPr>
      <w:r>
        <w:rPr>
          <w:rFonts w:ascii="Times New Roman"/>
          <w:b w:val="false"/>
          <w:i w:val="false"/>
          <w:color w:val="000000"/>
          <w:sz w:val="28"/>
        </w:rPr>
        <w:t>
      3361. При объединении приводов грузовых и балластных насосов (как электрических, так и гидравлических), а также систем питания и управления насосами и арматурой грузовой и балластной систем, выполняются требования параграфа 6 главы 532 настоящих Правил.</w:t>
      </w:r>
    </w:p>
    <w:bookmarkEnd w:id="9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3361 -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55" w:id="9601"/>
    <w:p>
      <w:pPr>
        <w:spacing w:after="0"/>
        <w:ind w:left="0"/>
        <w:jc w:val="left"/>
      </w:pPr>
      <w:r>
        <w:rPr>
          <w:rFonts w:ascii="Times New Roman"/>
          <w:b/>
          <w:i w:val="false"/>
          <w:color w:val="000000"/>
        </w:rPr>
        <w:t xml:space="preserve"> Глава 271. Носовые и кормовые устройства погрузки и выгрузки</w:t>
      </w:r>
    </w:p>
    <w:bookmarkEnd w:id="9601"/>
    <w:p>
      <w:pPr>
        <w:spacing w:after="0"/>
        <w:ind w:left="0"/>
        <w:jc w:val="both"/>
      </w:pPr>
      <w:r>
        <w:rPr>
          <w:rFonts w:ascii="Times New Roman"/>
          <w:b w:val="false"/>
          <w:i w:val="false"/>
          <w:color w:val="ff0000"/>
          <w:sz w:val="28"/>
        </w:rPr>
        <w:t xml:space="preserve">
      Сноска. Заголовок главы 271 -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56" w:id="9602"/>
    <w:p>
      <w:pPr>
        <w:spacing w:after="0"/>
        <w:ind w:left="0"/>
        <w:jc w:val="both"/>
      </w:pPr>
      <w:r>
        <w:rPr>
          <w:rFonts w:ascii="Times New Roman"/>
          <w:b w:val="false"/>
          <w:i w:val="false"/>
          <w:color w:val="000000"/>
          <w:sz w:val="28"/>
        </w:rPr>
        <w:t>
      3362. Грузовой трубопровод для проведения грузовых операций с носовой или кормовой оконечности нефтеналивного судна, устанавливается стационарно. При необходимости присоединительные устройства этих трубопроводов могут быть съемными.</w:t>
      </w:r>
    </w:p>
    <w:bookmarkEnd w:id="9602"/>
    <w:bookmarkStart w:name="z9657" w:id="9603"/>
    <w:p>
      <w:pPr>
        <w:spacing w:after="0"/>
        <w:ind w:left="0"/>
        <w:jc w:val="both"/>
      </w:pPr>
      <w:r>
        <w:rPr>
          <w:rFonts w:ascii="Times New Roman"/>
          <w:b w:val="false"/>
          <w:i w:val="false"/>
          <w:color w:val="000000"/>
          <w:sz w:val="28"/>
        </w:rPr>
        <w:t>
      3363. Трубопроводы для носовой и кормовой погрузки и выгрузки прокладываются вне жилых и служебных помещений, а также вне машинных помещений, расположенных в районе жилых помещений или постов управления.</w:t>
      </w:r>
    </w:p>
    <w:bookmarkEnd w:id="9603"/>
    <w:bookmarkStart w:name="z9658" w:id="9604"/>
    <w:p>
      <w:pPr>
        <w:spacing w:after="0"/>
        <w:ind w:left="0"/>
        <w:jc w:val="both"/>
      </w:pPr>
      <w:r>
        <w:rPr>
          <w:rFonts w:ascii="Times New Roman"/>
          <w:b w:val="false"/>
          <w:i w:val="false"/>
          <w:color w:val="000000"/>
          <w:sz w:val="28"/>
        </w:rPr>
        <w:t>
      3364. Соединения грузовых трубопроводов для грузовых операций с носа или кормы, должны быть сварными. При необходимости допускается использовать компенсаторы. Трубопроводы, расположенные в пределах взрывоопасной зоны, могут иметь разъемные соединения.</w:t>
      </w:r>
    </w:p>
    <w:bookmarkEnd w:id="9604"/>
    <w:bookmarkStart w:name="z9659" w:id="9605"/>
    <w:p>
      <w:pPr>
        <w:spacing w:after="0"/>
        <w:ind w:left="0"/>
        <w:jc w:val="both"/>
      </w:pPr>
      <w:r>
        <w:rPr>
          <w:rFonts w:ascii="Times New Roman"/>
          <w:b w:val="false"/>
          <w:i w:val="false"/>
          <w:color w:val="000000"/>
          <w:sz w:val="28"/>
        </w:rPr>
        <w:t>
      Для соединения трубопроводов с клапанами допускается применяться фланцевые соединения, указанные в главе 235 настоящих Правил. Такие грузовые трубопроводы маркируются. Предусматривается возможность их отключения от основной грузовой магистрали либо двумя клапанами, расположенными в грузовой зоне и имеющими устройства для опломбирования в закрытом положении, либо одним клапаном, применяемым совместно со съемным патрубком или перекидным фланцем.</w:t>
      </w:r>
    </w:p>
    <w:bookmarkEnd w:id="9605"/>
    <w:bookmarkStart w:name="z9660" w:id="9606"/>
    <w:p>
      <w:pPr>
        <w:spacing w:after="0"/>
        <w:ind w:left="0"/>
        <w:jc w:val="both"/>
      </w:pPr>
      <w:r>
        <w:rPr>
          <w:rFonts w:ascii="Times New Roman"/>
          <w:b w:val="false"/>
          <w:i w:val="false"/>
          <w:color w:val="000000"/>
          <w:sz w:val="28"/>
        </w:rPr>
        <w:t>
      3365. Участок трубопровода, используемый для подсоединения с береговой магистралью, оборудуется отсечным клапаном и глухим фланцем, а также снабжается поддоном. При использовании специальной соединительной муфты глухой фланец допускается не предусматривать. Пространство в пределах 3 м от манифольдов рассматривается как взрывоопасная зона категории 1 (параграф 2 главы 536 настоящих Правил).</w:t>
      </w:r>
    </w:p>
    <w:bookmarkEnd w:id="9606"/>
    <w:bookmarkStart w:name="z9661" w:id="9607"/>
    <w:p>
      <w:pPr>
        <w:spacing w:after="0"/>
        <w:ind w:left="0"/>
        <w:jc w:val="both"/>
      </w:pPr>
      <w:r>
        <w:rPr>
          <w:rFonts w:ascii="Times New Roman"/>
          <w:b w:val="false"/>
          <w:i w:val="false"/>
          <w:color w:val="000000"/>
          <w:sz w:val="28"/>
        </w:rPr>
        <w:t>
      3366. На грузовом трубопроводе предусматривается устройства для слива остатков груза. Грузовой трубопровод, расположенный вне взрывоопасной зоны, оборудуется устройствами для удаления груза и продувки этого трубопровода инертным газом. Между грузовым трубопроводом и системой инертных газов предусматривается устройство для их разобщения.</w:t>
      </w:r>
    </w:p>
    <w:bookmarkEnd w:id="9607"/>
    <w:bookmarkStart w:name="z9662" w:id="9608"/>
    <w:p>
      <w:pPr>
        <w:spacing w:after="0"/>
        <w:ind w:left="0"/>
        <w:jc w:val="both"/>
      </w:pPr>
      <w:r>
        <w:rPr>
          <w:rFonts w:ascii="Times New Roman"/>
          <w:b w:val="false"/>
          <w:i w:val="false"/>
          <w:color w:val="000000"/>
          <w:sz w:val="28"/>
        </w:rPr>
        <w:t>
      3367. На нефтеналивных судах, имеющих носовое грузовое устройство и предназначенных для проведения грузовых операций с выносными точечными причалами, предусматривается аварийное быстродействующее устройство для отсоединения грузового шланга. Конструкция и расположение такого устройства являются в каждом случае предметом специального рассмотрения Регистром судоходства.</w:t>
      </w:r>
    </w:p>
    <w:bookmarkEnd w:id="9608"/>
    <w:bookmarkStart w:name="z9663" w:id="9609"/>
    <w:p>
      <w:pPr>
        <w:spacing w:after="0"/>
        <w:ind w:left="0"/>
        <w:jc w:val="left"/>
      </w:pPr>
      <w:r>
        <w:rPr>
          <w:rFonts w:ascii="Times New Roman"/>
          <w:b/>
          <w:i w:val="false"/>
          <w:color w:val="000000"/>
        </w:rPr>
        <w:t xml:space="preserve"> Глава 272. Система подогрева груза</w:t>
      </w:r>
    </w:p>
    <w:bookmarkEnd w:id="9609"/>
    <w:p>
      <w:pPr>
        <w:spacing w:after="0"/>
        <w:ind w:left="0"/>
        <w:jc w:val="both"/>
      </w:pPr>
      <w:r>
        <w:rPr>
          <w:rFonts w:ascii="Times New Roman"/>
          <w:b w:val="false"/>
          <w:i w:val="false"/>
          <w:color w:val="ff0000"/>
          <w:sz w:val="28"/>
        </w:rPr>
        <w:t xml:space="preserve">
      Сноска. Заголовок главы 272 -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64" w:id="9610"/>
    <w:p>
      <w:pPr>
        <w:spacing w:after="0"/>
        <w:ind w:left="0"/>
        <w:jc w:val="both"/>
      </w:pPr>
      <w:r>
        <w:rPr>
          <w:rFonts w:ascii="Times New Roman"/>
          <w:b w:val="false"/>
          <w:i w:val="false"/>
          <w:color w:val="000000"/>
          <w:sz w:val="28"/>
        </w:rPr>
        <w:t>
      3368. В качестве греющей среды для подогрева груза в танках допускается применение пара, горячей воды и органических теплоносителей.</w:t>
      </w:r>
    </w:p>
    <w:bookmarkEnd w:id="9610"/>
    <w:bookmarkStart w:name="z9665" w:id="9611"/>
    <w:p>
      <w:pPr>
        <w:spacing w:after="0"/>
        <w:ind w:left="0"/>
        <w:jc w:val="both"/>
      </w:pPr>
      <w:r>
        <w:rPr>
          <w:rFonts w:ascii="Times New Roman"/>
          <w:b w:val="false"/>
          <w:i w:val="false"/>
          <w:color w:val="000000"/>
          <w:sz w:val="28"/>
        </w:rPr>
        <w:t>
      Применение других теплоносителей является в каждом случае предметом специального рассмотрения Регистром судоходства.</w:t>
      </w:r>
    </w:p>
    <w:bookmarkEnd w:id="9611"/>
    <w:bookmarkStart w:name="z9666" w:id="9612"/>
    <w:p>
      <w:pPr>
        <w:spacing w:after="0"/>
        <w:ind w:left="0"/>
        <w:jc w:val="both"/>
      </w:pPr>
      <w:r>
        <w:rPr>
          <w:rFonts w:ascii="Times New Roman"/>
          <w:b w:val="false"/>
          <w:i w:val="false"/>
          <w:color w:val="000000"/>
          <w:sz w:val="28"/>
        </w:rPr>
        <w:t>
      3369. Перед каждым паровым змеевиком подогрева устанавливается невозвратно-запорный клапан, а перед запорной арматурой на выходе пробный кран для возможности проверки качества конденсата.</w:t>
      </w:r>
    </w:p>
    <w:bookmarkEnd w:id="9612"/>
    <w:bookmarkStart w:name="z9667" w:id="9613"/>
    <w:p>
      <w:pPr>
        <w:spacing w:after="0"/>
        <w:ind w:left="0"/>
        <w:jc w:val="both"/>
      </w:pPr>
      <w:r>
        <w:rPr>
          <w:rFonts w:ascii="Times New Roman"/>
          <w:b w:val="false"/>
          <w:i w:val="false"/>
          <w:color w:val="000000"/>
          <w:sz w:val="28"/>
        </w:rPr>
        <w:t>
      3370. Возврат конденсата из паровой системы подогрева выполняется через контрольную цистерну.</w:t>
      </w:r>
    </w:p>
    <w:bookmarkEnd w:id="9613"/>
    <w:bookmarkStart w:name="z9668" w:id="9614"/>
    <w:p>
      <w:pPr>
        <w:spacing w:after="0"/>
        <w:ind w:left="0"/>
        <w:jc w:val="both"/>
      </w:pPr>
      <w:r>
        <w:rPr>
          <w:rFonts w:ascii="Times New Roman"/>
          <w:b w:val="false"/>
          <w:i w:val="false"/>
          <w:color w:val="000000"/>
          <w:sz w:val="28"/>
        </w:rPr>
        <w:t xml:space="preserve">
      Воздушные трубы контрольных цистерн конденсата от грузовых танков, содержащих груз с температурой вспышки ниже 60 </w:t>
      </w:r>
      <w:r>
        <w:rPr>
          <w:rFonts w:ascii="Times New Roman"/>
          <w:b w:val="false"/>
          <w:i w:val="false"/>
          <w:color w:val="000000"/>
          <w:vertAlign w:val="superscript"/>
        </w:rPr>
        <w:t>о</w:t>
      </w:r>
      <w:r>
        <w:rPr>
          <w:rFonts w:ascii="Times New Roman"/>
          <w:b w:val="false"/>
          <w:i w:val="false"/>
          <w:color w:val="000000"/>
          <w:sz w:val="28"/>
        </w:rPr>
        <w:t>С, оборудуются пламепрерывающими устройствами и выводится в безопасное место.</w:t>
      </w:r>
    </w:p>
    <w:bookmarkEnd w:id="9614"/>
    <w:bookmarkStart w:name="z9669" w:id="9615"/>
    <w:p>
      <w:pPr>
        <w:spacing w:after="0"/>
        <w:ind w:left="0"/>
        <w:jc w:val="both"/>
      </w:pPr>
      <w:r>
        <w:rPr>
          <w:rFonts w:ascii="Times New Roman"/>
          <w:b w:val="false"/>
          <w:i w:val="false"/>
          <w:color w:val="000000"/>
          <w:sz w:val="28"/>
        </w:rPr>
        <w:t>
      3371. Использование систем с органическим теплоносителем для подогрева груза выполняется с учетом требований главы 338 настоящих Правил.</w:t>
      </w:r>
    </w:p>
    <w:bookmarkEnd w:id="9615"/>
    <w:bookmarkStart w:name="z9670" w:id="9616"/>
    <w:p>
      <w:pPr>
        <w:spacing w:after="0"/>
        <w:ind w:left="0"/>
        <w:jc w:val="both"/>
      </w:pPr>
      <w:r>
        <w:rPr>
          <w:rFonts w:ascii="Times New Roman"/>
          <w:b w:val="false"/>
          <w:i w:val="false"/>
          <w:color w:val="000000"/>
          <w:sz w:val="28"/>
        </w:rPr>
        <w:t xml:space="preserve">
      3372. На судах, имеющих в символе класса словесные характеристики "Oil tanker (&gt;60 </w:t>
      </w:r>
      <w:r>
        <w:rPr>
          <w:rFonts w:ascii="Times New Roman"/>
          <w:b w:val="false"/>
          <w:i w:val="false"/>
          <w:color w:val="000000"/>
          <w:vertAlign w:val="superscript"/>
        </w:rPr>
        <w:t>о</w:t>
      </w:r>
      <w:r>
        <w:rPr>
          <w:rFonts w:ascii="Times New Roman"/>
          <w:b w:val="false"/>
          <w:i w:val="false"/>
          <w:color w:val="000000"/>
          <w:sz w:val="28"/>
        </w:rPr>
        <w:t xml:space="preserve">C)" и "Oil/ore carrier (&gt; 60 </w:t>
      </w:r>
      <w:r>
        <w:rPr>
          <w:rFonts w:ascii="Times New Roman"/>
          <w:b w:val="false"/>
          <w:i w:val="false"/>
          <w:color w:val="000000"/>
          <w:vertAlign w:val="superscript"/>
        </w:rPr>
        <w:t>о</w:t>
      </w:r>
      <w:r>
        <w:rPr>
          <w:rFonts w:ascii="Times New Roman"/>
          <w:b w:val="false"/>
          <w:i w:val="false"/>
          <w:color w:val="000000"/>
          <w:sz w:val="28"/>
        </w:rPr>
        <w:t xml:space="preserve">С)", максимальная температура подогрева должна быть ниже температуры вспышки перевозимого груза, как минимум, на 15 </w:t>
      </w:r>
      <w:r>
        <w:rPr>
          <w:rFonts w:ascii="Times New Roman"/>
          <w:b w:val="false"/>
          <w:i w:val="false"/>
          <w:color w:val="000000"/>
          <w:vertAlign w:val="superscript"/>
        </w:rPr>
        <w:t>о</w:t>
      </w:r>
      <w:r>
        <w:rPr>
          <w:rFonts w:ascii="Times New Roman"/>
          <w:b w:val="false"/>
          <w:i w:val="false"/>
          <w:color w:val="000000"/>
          <w:sz w:val="28"/>
        </w:rPr>
        <w:t>С.</w:t>
      </w:r>
    </w:p>
    <w:bookmarkEnd w:id="9616"/>
    <w:bookmarkStart w:name="z9671" w:id="9617"/>
    <w:p>
      <w:pPr>
        <w:spacing w:after="0"/>
        <w:ind w:left="0"/>
        <w:jc w:val="both"/>
      </w:pPr>
      <w:r>
        <w:rPr>
          <w:rFonts w:ascii="Times New Roman"/>
          <w:b w:val="false"/>
          <w:i w:val="false"/>
          <w:color w:val="000000"/>
          <w:sz w:val="28"/>
        </w:rPr>
        <w:t>
      3373. Система подогрева груза оборудуется средствами регулирования температуры груза в танках. Обеспечивается контроль температуры в танках, а также световая и звуковая сигнализация о превышении максимально допустимой температуры груза или падении скорости потока груза при прокачке через подогреватели.</w:t>
      </w:r>
    </w:p>
    <w:bookmarkEnd w:id="9617"/>
    <w:bookmarkStart w:name="z9672" w:id="9618"/>
    <w:p>
      <w:pPr>
        <w:spacing w:after="0"/>
        <w:ind w:left="0"/>
        <w:jc w:val="both"/>
      </w:pPr>
      <w:r>
        <w:rPr>
          <w:rFonts w:ascii="Times New Roman"/>
          <w:b w:val="false"/>
          <w:i w:val="false"/>
          <w:color w:val="000000"/>
          <w:sz w:val="28"/>
        </w:rPr>
        <w:t xml:space="preserve">
      3374.Температура пара в системе обогрева грузовых насосных отделений не должна превышать 220 </w:t>
      </w:r>
      <w:r>
        <w:rPr>
          <w:rFonts w:ascii="Times New Roman"/>
          <w:b w:val="false"/>
          <w:i w:val="false"/>
          <w:color w:val="000000"/>
          <w:vertAlign w:val="superscript"/>
        </w:rPr>
        <w:t>о</w:t>
      </w:r>
      <w:r>
        <w:rPr>
          <w:rFonts w:ascii="Times New Roman"/>
          <w:b w:val="false"/>
          <w:i w:val="false"/>
          <w:color w:val="000000"/>
          <w:sz w:val="28"/>
        </w:rPr>
        <w:t>С.</w:t>
      </w:r>
    </w:p>
    <w:bookmarkEnd w:id="9618"/>
    <w:bookmarkStart w:name="z9673" w:id="9619"/>
    <w:p>
      <w:pPr>
        <w:spacing w:after="0"/>
        <w:ind w:left="0"/>
        <w:jc w:val="left"/>
      </w:pPr>
      <w:r>
        <w:rPr>
          <w:rFonts w:ascii="Times New Roman"/>
          <w:b/>
          <w:i w:val="false"/>
          <w:color w:val="000000"/>
        </w:rPr>
        <w:t xml:space="preserve"> Глава 273. Газоотводная система</w:t>
      </w:r>
    </w:p>
    <w:bookmarkEnd w:id="9619"/>
    <w:p>
      <w:pPr>
        <w:spacing w:after="0"/>
        <w:ind w:left="0"/>
        <w:jc w:val="both"/>
      </w:pPr>
      <w:r>
        <w:rPr>
          <w:rFonts w:ascii="Times New Roman"/>
          <w:b w:val="false"/>
          <w:i w:val="false"/>
          <w:color w:val="ff0000"/>
          <w:sz w:val="28"/>
        </w:rPr>
        <w:t xml:space="preserve">
      Сноска. Заголовок главы 273 -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74" w:id="9620"/>
    <w:p>
      <w:pPr>
        <w:spacing w:after="0"/>
        <w:ind w:left="0"/>
        <w:jc w:val="both"/>
      </w:pPr>
      <w:r>
        <w:rPr>
          <w:rFonts w:ascii="Times New Roman"/>
          <w:b w:val="false"/>
          <w:i w:val="false"/>
          <w:color w:val="000000"/>
          <w:sz w:val="28"/>
        </w:rPr>
        <w:t>
      3375. Газоотводная система обеспечивает газообмен и поддержание безопасного давления в грузовых танках в процессе погрузки, выгрузки и перевозки жидких грузов. Для этого в системе устанавливается одно или более устройств, ограничивающих:</w:t>
      </w:r>
    </w:p>
    <w:bookmarkEnd w:id="9620"/>
    <w:bookmarkStart w:name="z9675" w:id="9621"/>
    <w:p>
      <w:pPr>
        <w:spacing w:after="0"/>
        <w:ind w:left="0"/>
        <w:jc w:val="both"/>
      </w:pPr>
      <w:r>
        <w:rPr>
          <w:rFonts w:ascii="Times New Roman"/>
          <w:b w:val="false"/>
          <w:i w:val="false"/>
          <w:color w:val="000000"/>
          <w:sz w:val="28"/>
        </w:rPr>
        <w:t>
      1) рост избыточного давления свыше испытательного давления грузового танка при погрузке или балластировке с максимальной предусмотренной производительностью;</w:t>
      </w:r>
    </w:p>
    <w:bookmarkEnd w:id="9621"/>
    <w:bookmarkStart w:name="z9676" w:id="9622"/>
    <w:p>
      <w:pPr>
        <w:spacing w:after="0"/>
        <w:ind w:left="0"/>
        <w:jc w:val="both"/>
      </w:pPr>
      <w:r>
        <w:rPr>
          <w:rFonts w:ascii="Times New Roman"/>
          <w:b w:val="false"/>
          <w:i w:val="false"/>
          <w:color w:val="000000"/>
          <w:sz w:val="28"/>
        </w:rPr>
        <w:t>
      2) падение давления ниже 7 кПа при выгрузке с максимальной подачей грузовых насосов.</w:t>
      </w:r>
    </w:p>
    <w:bookmarkEnd w:id="9622"/>
    <w:bookmarkStart w:name="z9677" w:id="9623"/>
    <w:p>
      <w:pPr>
        <w:spacing w:after="0"/>
        <w:ind w:left="0"/>
        <w:jc w:val="both"/>
      </w:pPr>
      <w:r>
        <w:rPr>
          <w:rFonts w:ascii="Times New Roman"/>
          <w:b w:val="false"/>
          <w:i w:val="false"/>
          <w:color w:val="000000"/>
          <w:sz w:val="28"/>
        </w:rPr>
        <w:t>
      3376. Газоотводные системы грузовых танков полностью независимы от воздушных труб, обслуживающих другие помещения.</w:t>
      </w:r>
    </w:p>
    <w:bookmarkEnd w:id="9623"/>
    <w:bookmarkStart w:name="z9678" w:id="9624"/>
    <w:p>
      <w:pPr>
        <w:spacing w:after="0"/>
        <w:ind w:left="0"/>
        <w:jc w:val="both"/>
      </w:pPr>
      <w:r>
        <w:rPr>
          <w:rFonts w:ascii="Times New Roman"/>
          <w:b w:val="false"/>
          <w:i w:val="false"/>
          <w:color w:val="000000"/>
          <w:sz w:val="28"/>
        </w:rPr>
        <w:t>
      Конструкция и расположение выходных отверстий газовыпускных устройств сводит к минимуму возможность проникновения воспламеняющихся паров в закрытые помещения, содержащие источники воспламенения, или скопление паров вблизи палубных механизмов и оборудования.</w:t>
      </w:r>
    </w:p>
    <w:bookmarkEnd w:id="9624"/>
    <w:bookmarkStart w:name="z9679" w:id="9625"/>
    <w:p>
      <w:pPr>
        <w:spacing w:after="0"/>
        <w:ind w:left="0"/>
        <w:jc w:val="both"/>
      </w:pPr>
      <w:r>
        <w:rPr>
          <w:rFonts w:ascii="Times New Roman"/>
          <w:b w:val="false"/>
          <w:i w:val="false"/>
          <w:color w:val="000000"/>
          <w:sz w:val="28"/>
        </w:rPr>
        <w:t>
      3377. Газоотводная система снабжается устройствами, обеспечивающими:</w:t>
      </w:r>
    </w:p>
    <w:bookmarkEnd w:id="9625"/>
    <w:bookmarkStart w:name="z9680" w:id="9626"/>
    <w:p>
      <w:pPr>
        <w:spacing w:after="0"/>
        <w:ind w:left="0"/>
        <w:jc w:val="both"/>
      </w:pPr>
      <w:r>
        <w:rPr>
          <w:rFonts w:ascii="Times New Roman"/>
          <w:b w:val="false"/>
          <w:i w:val="false"/>
          <w:color w:val="000000"/>
          <w:sz w:val="28"/>
        </w:rPr>
        <w:t>
      1) свободный проход небольших объемов смесей паров, воздуха или инертного газа при изменениях температуры в грузовом танке;</w:t>
      </w:r>
    </w:p>
    <w:bookmarkEnd w:id="9626"/>
    <w:bookmarkStart w:name="z9681" w:id="9627"/>
    <w:p>
      <w:pPr>
        <w:spacing w:after="0"/>
        <w:ind w:left="0"/>
        <w:jc w:val="both"/>
      </w:pPr>
      <w:r>
        <w:rPr>
          <w:rFonts w:ascii="Times New Roman"/>
          <w:b w:val="false"/>
          <w:i w:val="false"/>
          <w:color w:val="000000"/>
          <w:sz w:val="28"/>
        </w:rPr>
        <w:t>
      2) свободный проход больших объемов смесей паров, воздуха или инертного газа в ходе грузовых операций или балластировки.</w:t>
      </w:r>
    </w:p>
    <w:bookmarkEnd w:id="9627"/>
    <w:bookmarkStart w:name="z9682" w:id="9628"/>
    <w:p>
      <w:pPr>
        <w:spacing w:after="0"/>
        <w:ind w:left="0"/>
        <w:jc w:val="both"/>
      </w:pPr>
      <w:r>
        <w:rPr>
          <w:rFonts w:ascii="Times New Roman"/>
          <w:b w:val="false"/>
          <w:i w:val="false"/>
          <w:color w:val="000000"/>
          <w:sz w:val="28"/>
        </w:rPr>
        <w:t>
      3378. Выходные отверстия "дыхательных" трубопроводов, предназначенных для компенсации температурных изменений давления, располагают:</w:t>
      </w:r>
    </w:p>
    <w:bookmarkEnd w:id="9628"/>
    <w:bookmarkStart w:name="z9683" w:id="9629"/>
    <w:p>
      <w:pPr>
        <w:spacing w:after="0"/>
        <w:ind w:left="0"/>
        <w:jc w:val="both"/>
      </w:pPr>
      <w:r>
        <w:rPr>
          <w:rFonts w:ascii="Times New Roman"/>
          <w:b w:val="false"/>
          <w:i w:val="false"/>
          <w:color w:val="000000"/>
          <w:sz w:val="28"/>
        </w:rPr>
        <w:t>
      1) на высоте не менее 2 м от палубы грузовых танков;</w:t>
      </w:r>
    </w:p>
    <w:bookmarkEnd w:id="9629"/>
    <w:bookmarkStart w:name="z9684" w:id="9630"/>
    <w:p>
      <w:pPr>
        <w:spacing w:after="0"/>
        <w:ind w:left="0"/>
        <w:jc w:val="both"/>
      </w:pPr>
      <w:r>
        <w:rPr>
          <w:rFonts w:ascii="Times New Roman"/>
          <w:b w:val="false"/>
          <w:i w:val="false"/>
          <w:color w:val="000000"/>
          <w:sz w:val="28"/>
        </w:rPr>
        <w:t>
      2) на расстоянии не менее 5 м от ближайших воздухозаборников и отверстий, ведущих в закрытые помещения, содержащие источники воспламенения, а также от палубных механизмов и оборудования, которые могут создавать опасность воспламенения, включая брашпили и клюзы цепных ящиков.</w:t>
      </w:r>
    </w:p>
    <w:bookmarkEnd w:id="9630"/>
    <w:bookmarkStart w:name="z9685" w:id="9631"/>
    <w:p>
      <w:pPr>
        <w:spacing w:after="0"/>
        <w:ind w:left="0"/>
        <w:jc w:val="both"/>
      </w:pPr>
      <w:r>
        <w:rPr>
          <w:rFonts w:ascii="Times New Roman"/>
          <w:b w:val="false"/>
          <w:i w:val="false"/>
          <w:color w:val="000000"/>
          <w:sz w:val="28"/>
        </w:rPr>
        <w:t>
      3379. Допускается чтобы газоотводные устройства были как независимыми для каждого танка, так и объединенными для нескольких грузовых танков. Для объединения газоотводных систем допускается использование системы инертного газа. При объединении газоотводной системы с системой инертного газа дыхательные клапаны допускается устанавливать на главном трубопроводе инертного газа.</w:t>
      </w:r>
    </w:p>
    <w:bookmarkEnd w:id="9631"/>
    <w:bookmarkStart w:name="z9686" w:id="9632"/>
    <w:p>
      <w:pPr>
        <w:spacing w:after="0"/>
        <w:ind w:left="0"/>
        <w:jc w:val="both"/>
      </w:pPr>
      <w:r>
        <w:rPr>
          <w:rFonts w:ascii="Times New Roman"/>
          <w:b w:val="false"/>
          <w:i w:val="false"/>
          <w:color w:val="000000"/>
          <w:sz w:val="28"/>
        </w:rPr>
        <w:t>
      3380. При объединенной газоотводной системе для отключения каждого танка предусматривается запорный клапан и огнепреградитель. Клапан снабжают запирающим устройством, находящимся под контролем ответственного лица командного состава судна. Обеспечивается четкая визуальная индикация действительного положения отсечных клапанов. Если танки были отключены от газоотводного устройства, то до начала грузовых операций или балластировки этих танков обеспечивают открытие соответствующих запорных клапанов.</w:t>
      </w:r>
    </w:p>
    <w:bookmarkEnd w:id="9632"/>
    <w:bookmarkStart w:name="z9687" w:id="9633"/>
    <w:p>
      <w:pPr>
        <w:spacing w:after="0"/>
        <w:ind w:left="0"/>
        <w:jc w:val="both"/>
      </w:pPr>
      <w:r>
        <w:rPr>
          <w:rFonts w:ascii="Times New Roman"/>
          <w:b w:val="false"/>
          <w:i w:val="false"/>
          <w:color w:val="000000"/>
          <w:sz w:val="28"/>
        </w:rPr>
        <w:t>
      Огнепреградители располагаются в местах, исключающих возможность попадания в них жидкого груза при любых условиях плавания судна, включая качку.</w:t>
      </w:r>
    </w:p>
    <w:bookmarkEnd w:id="9633"/>
    <w:bookmarkStart w:name="z9688" w:id="9634"/>
    <w:p>
      <w:pPr>
        <w:spacing w:after="0"/>
        <w:ind w:left="0"/>
        <w:jc w:val="both"/>
      </w:pPr>
      <w:r>
        <w:rPr>
          <w:rFonts w:ascii="Times New Roman"/>
          <w:b w:val="false"/>
          <w:i w:val="false"/>
          <w:color w:val="000000"/>
          <w:sz w:val="28"/>
        </w:rPr>
        <w:t>
      3381. Никакое отключение газоотводных устройств не должно прекращать прохождения газов для компенсации изменения давления, связанного с температурными колебаниями в грузовом танке, в соответствии с подпунктом 1) пункта 3377 настоящих Правил.</w:t>
      </w:r>
    </w:p>
    <w:bookmarkEnd w:id="9634"/>
    <w:bookmarkStart w:name="z9689" w:id="9635"/>
    <w:p>
      <w:pPr>
        <w:spacing w:after="0"/>
        <w:ind w:left="0"/>
        <w:jc w:val="both"/>
      </w:pPr>
      <w:r>
        <w:rPr>
          <w:rFonts w:ascii="Times New Roman"/>
          <w:b w:val="false"/>
          <w:i w:val="false"/>
          <w:color w:val="000000"/>
          <w:sz w:val="28"/>
        </w:rPr>
        <w:t>
      3382. В состав газоотводной системы для отвода газов во время погрузки, выгрузки и балластировки входит одна или несколько мачт или необходимое число высокоскоростных клапанов, обеспечивающих выход смеси паров со скоростью не менее 30 м/с. Смесь паров выбрасывается вертикально вверх.</w:t>
      </w:r>
    </w:p>
    <w:bookmarkEnd w:id="9635"/>
    <w:bookmarkStart w:name="z9690" w:id="9636"/>
    <w:p>
      <w:pPr>
        <w:spacing w:after="0"/>
        <w:ind w:left="0"/>
        <w:jc w:val="both"/>
      </w:pPr>
      <w:r>
        <w:rPr>
          <w:rFonts w:ascii="Times New Roman"/>
          <w:b w:val="false"/>
          <w:i w:val="false"/>
          <w:color w:val="000000"/>
          <w:sz w:val="28"/>
        </w:rPr>
        <w:t>
      3383. Проходное сечение трубопроводов, предназначенных для выполнения требований подпункта 2) пункта 3377 настоящих Правил, должно быть не менее чем в 1,25 раза больше площади сечения, определенной, исходя из максимальной расчетной скорости погрузки.</w:t>
      </w:r>
    </w:p>
    <w:bookmarkEnd w:id="9636"/>
    <w:bookmarkStart w:name="z9691" w:id="9637"/>
    <w:p>
      <w:pPr>
        <w:spacing w:after="0"/>
        <w:ind w:left="0"/>
        <w:jc w:val="both"/>
      </w:pPr>
      <w:r>
        <w:rPr>
          <w:rFonts w:ascii="Times New Roman"/>
          <w:b w:val="false"/>
          <w:i w:val="false"/>
          <w:color w:val="000000"/>
          <w:sz w:val="28"/>
        </w:rPr>
        <w:t>
      При расчете пропускной способности газоотводных систем, оборудованных пламепрерывающими устройствами, учитывается падение давления при проходе газов через огнепреградитель. В любом случае принимаемая величина падения давления должна быть на 50 % выше величины падения давления на огнепреградителе, находящемся в чистом состоянии.</w:t>
      </w:r>
    </w:p>
    <w:bookmarkEnd w:id="9637"/>
    <w:bookmarkStart w:name="z9692" w:id="9638"/>
    <w:p>
      <w:pPr>
        <w:spacing w:after="0"/>
        <w:ind w:left="0"/>
        <w:jc w:val="both"/>
      </w:pPr>
      <w:r>
        <w:rPr>
          <w:rFonts w:ascii="Times New Roman"/>
          <w:b w:val="false"/>
          <w:i w:val="false"/>
          <w:color w:val="000000"/>
          <w:sz w:val="28"/>
        </w:rPr>
        <w:t>
      Внутренний диаметр отдельных газоотводных труб должен быть не менее 80 мм, а магистральных трубопроводов — не менее 100 мм.</w:t>
      </w:r>
    </w:p>
    <w:bookmarkEnd w:id="9638"/>
    <w:bookmarkStart w:name="z9693" w:id="9639"/>
    <w:p>
      <w:pPr>
        <w:spacing w:after="0"/>
        <w:ind w:left="0"/>
        <w:jc w:val="both"/>
      </w:pPr>
      <w:r>
        <w:rPr>
          <w:rFonts w:ascii="Times New Roman"/>
          <w:b w:val="false"/>
          <w:i w:val="false"/>
          <w:color w:val="000000"/>
          <w:sz w:val="28"/>
        </w:rPr>
        <w:t>
      3384. При свободном выходе газов выходные отверстия располагаются на высоте не менее 6 м от палубы грузовых танков или от переходного мостика, если они находятся в пределах 4 м от этого мостика, и на расстоянии не менее 10 м по горизонтали от ближайших воздухозаборников и отверстий, ведущих в закрытые помещения, содержащие источники воспламенения, а также от палубных механизмов, включая брашпили и клюзы цепного ящика или другого оборудования, которое может создавать опасность воспламенения.</w:t>
      </w:r>
    </w:p>
    <w:bookmarkEnd w:id="9639"/>
    <w:bookmarkStart w:name="z9694" w:id="9640"/>
    <w:p>
      <w:pPr>
        <w:spacing w:after="0"/>
        <w:ind w:left="0"/>
        <w:jc w:val="both"/>
      </w:pPr>
      <w:r>
        <w:rPr>
          <w:rFonts w:ascii="Times New Roman"/>
          <w:b w:val="false"/>
          <w:i w:val="false"/>
          <w:color w:val="000000"/>
          <w:sz w:val="28"/>
        </w:rPr>
        <w:t>
      3385. Выходные отверстия высокоскоростных газоотводных устройств располагаются на высоте не менее 2 м от палубы грузовых танков, на расстоянии не менее 10 м по горизонтали от ближайших воздухозаборников и отверстий, ведущих в закрытые помещения, содержащие источники воспламенения, а также от палубных механизмов, которые могут включать брашпиль и клюзы цепного ящика, и оборудования, которое может создавать опасность воспламенения.</w:t>
      </w:r>
    </w:p>
    <w:bookmarkEnd w:id="9640"/>
    <w:bookmarkStart w:name="z9695" w:id="9641"/>
    <w:p>
      <w:pPr>
        <w:spacing w:after="0"/>
        <w:ind w:left="0"/>
        <w:jc w:val="both"/>
      </w:pPr>
      <w:r>
        <w:rPr>
          <w:rFonts w:ascii="Times New Roman"/>
          <w:b w:val="false"/>
          <w:i w:val="false"/>
          <w:color w:val="000000"/>
          <w:sz w:val="28"/>
        </w:rPr>
        <w:t>
      3386. Для каждого грузового танка предусматривается вторичное средство свободного истечения смесей паров, воздуха или инертного газа для предотвращения избыточного давления или вакуума в случае отказа оговоренных в подпункте 2) пункта 3377 настоящих Правил устройств.</w:t>
      </w:r>
    </w:p>
    <w:bookmarkEnd w:id="9641"/>
    <w:bookmarkStart w:name="z9696" w:id="9642"/>
    <w:p>
      <w:pPr>
        <w:spacing w:after="0"/>
        <w:ind w:left="0"/>
        <w:jc w:val="both"/>
      </w:pPr>
      <w:r>
        <w:rPr>
          <w:rFonts w:ascii="Times New Roman"/>
          <w:b w:val="false"/>
          <w:i w:val="false"/>
          <w:color w:val="000000"/>
          <w:sz w:val="28"/>
        </w:rPr>
        <w:t>
      В качестве альтернативы в каждом танке допускается устанавливать датчики давления с постоянной индикацией в посту управления грузовыми операциями. При этом также обеспечивается аварийно-предупредительная сигнализация по избыточному давлению или вакууму в танке.</w:t>
      </w:r>
    </w:p>
    <w:bookmarkEnd w:id="9642"/>
    <w:bookmarkStart w:name="z9697" w:id="9643"/>
    <w:p>
      <w:pPr>
        <w:spacing w:after="0"/>
        <w:ind w:left="0"/>
        <w:jc w:val="both"/>
      </w:pPr>
      <w:r>
        <w:rPr>
          <w:rFonts w:ascii="Times New Roman"/>
          <w:b w:val="false"/>
          <w:i w:val="false"/>
          <w:color w:val="000000"/>
          <w:sz w:val="28"/>
        </w:rPr>
        <w:t>
      Устройства, ограничивающие рост давления вакуума, установленные в системе инертного газа, могут служить в качестве вторичных средств выпуска смесей паров, воздуха и инертного газа.</w:t>
      </w:r>
    </w:p>
    <w:bookmarkEnd w:id="9643"/>
    <w:bookmarkStart w:name="z9698" w:id="9644"/>
    <w:p>
      <w:pPr>
        <w:spacing w:after="0"/>
        <w:ind w:left="0"/>
        <w:jc w:val="both"/>
      </w:pPr>
      <w:r>
        <w:rPr>
          <w:rFonts w:ascii="Times New Roman"/>
          <w:b w:val="false"/>
          <w:i w:val="false"/>
          <w:color w:val="000000"/>
          <w:sz w:val="28"/>
        </w:rPr>
        <w:t>
      3387. Предусматривается постоянное осушение газоотводных устройств и газоотводных трубопроводов в грузовой танк.</w:t>
      </w:r>
    </w:p>
    <w:bookmarkEnd w:id="9644"/>
    <w:bookmarkStart w:name="z9699" w:id="9645"/>
    <w:p>
      <w:pPr>
        <w:spacing w:after="0"/>
        <w:ind w:left="0"/>
        <w:jc w:val="both"/>
      </w:pPr>
      <w:r>
        <w:rPr>
          <w:rFonts w:ascii="Times New Roman"/>
          <w:b w:val="false"/>
          <w:i w:val="false"/>
          <w:color w:val="000000"/>
          <w:sz w:val="28"/>
        </w:rPr>
        <w:t>
      3388. Газоотводные системы оборудуют средствами предотвращения прохождения пламени в грузовые танки.</w:t>
      </w:r>
    </w:p>
    <w:bookmarkEnd w:id="9645"/>
    <w:bookmarkStart w:name="z9700" w:id="9646"/>
    <w:p>
      <w:pPr>
        <w:spacing w:after="0"/>
        <w:ind w:left="0"/>
        <w:jc w:val="both"/>
      </w:pPr>
      <w:r>
        <w:rPr>
          <w:rFonts w:ascii="Times New Roman"/>
          <w:b w:val="false"/>
          <w:i w:val="false"/>
          <w:color w:val="000000"/>
          <w:sz w:val="28"/>
        </w:rPr>
        <w:t>
      Конструкция, расположение и методы испытаний высокоскоростных устройств и огнепреградителей должны отвечать требованиям стандарта ИСО 15364, циркуляров ИМО MSC/Circ. 450 и 677.</w:t>
      </w:r>
    </w:p>
    <w:bookmarkEnd w:id="9646"/>
    <w:bookmarkStart w:name="z9701" w:id="9647"/>
    <w:p>
      <w:pPr>
        <w:spacing w:after="0"/>
        <w:ind w:left="0"/>
        <w:jc w:val="both"/>
      </w:pPr>
      <w:r>
        <w:rPr>
          <w:rFonts w:ascii="Times New Roman"/>
          <w:b w:val="false"/>
          <w:i w:val="false"/>
          <w:color w:val="000000"/>
          <w:sz w:val="28"/>
        </w:rPr>
        <w:t>
      3389. Лючки и другие отверстия в грузовых танках, используемые для измерения температуры, уровня, отбора проб, газоанализа (за исключением отверстий для стационарно установленных приборов), снабжаются самозакрывающимися крышками или клапанами. На них не требуется устанавливать пламепрерыватели или сетки. Указанные отверстия не допускается использовать для выравнивания давления в образующихся над грузом пространствах.</w:t>
      </w:r>
    </w:p>
    <w:bookmarkEnd w:id="9647"/>
    <w:bookmarkStart w:name="z9702" w:id="9648"/>
    <w:p>
      <w:pPr>
        <w:spacing w:after="0"/>
        <w:ind w:left="0"/>
        <w:jc w:val="both"/>
      </w:pPr>
      <w:r>
        <w:rPr>
          <w:rFonts w:ascii="Times New Roman"/>
          <w:b w:val="false"/>
          <w:i w:val="false"/>
          <w:color w:val="000000"/>
          <w:sz w:val="28"/>
        </w:rPr>
        <w:t>
      3390. Устройства, требуемые в подпункте 1) пункта 3375 настоящих Правил, если они расположены на газоотводной магистрали или мачте, допускается снабжать перепускным устройством. В случае установки такого устройства предусматриваются соответствующие указатели, показывающие, открыто оно или закрыто.</w:t>
      </w:r>
    </w:p>
    <w:bookmarkEnd w:id="9648"/>
    <w:bookmarkStart w:name="z9703" w:id="9649"/>
    <w:p>
      <w:pPr>
        <w:spacing w:after="0"/>
        <w:ind w:left="0"/>
        <w:jc w:val="both"/>
      </w:pPr>
      <w:r>
        <w:rPr>
          <w:rFonts w:ascii="Times New Roman"/>
          <w:b w:val="false"/>
          <w:i w:val="false"/>
          <w:color w:val="000000"/>
          <w:sz w:val="28"/>
        </w:rPr>
        <w:t>
      3391. На комбинированных судах для изоляции газоотводной системы отстойных танков, содержащих нефть или нефтяные остатки, от других грузовых танков используются глухие фланцы, устанавливаемые на весь период времени, когда перевозятся грузы, иные чем жидкие.</w:t>
      </w:r>
    </w:p>
    <w:bookmarkEnd w:id="9649"/>
    <w:bookmarkStart w:name="z9704" w:id="9650"/>
    <w:p>
      <w:pPr>
        <w:spacing w:after="0"/>
        <w:ind w:left="0"/>
        <w:jc w:val="both"/>
      </w:pPr>
      <w:r>
        <w:rPr>
          <w:rFonts w:ascii="Times New Roman"/>
          <w:b w:val="false"/>
          <w:i w:val="false"/>
          <w:color w:val="000000"/>
          <w:sz w:val="28"/>
        </w:rPr>
        <w:t>
      3392. Газоотводные системы нефтеналивных судов для перевозки кипящих нефтепродуктов, давление паров которых по Рейду выше атмосферного, подлежат специальному рассмотрению Регистром судоходства</w:t>
      </w:r>
    </w:p>
    <w:bookmarkEnd w:id="9650"/>
    <w:bookmarkStart w:name="z9705" w:id="9651"/>
    <w:p>
      <w:pPr>
        <w:spacing w:after="0"/>
        <w:ind w:left="0"/>
        <w:jc w:val="left"/>
      </w:pPr>
      <w:r>
        <w:rPr>
          <w:rFonts w:ascii="Times New Roman"/>
          <w:b/>
          <w:i w:val="false"/>
          <w:color w:val="000000"/>
        </w:rPr>
        <w:t xml:space="preserve"> Глава 274. Продувка и дегазация грузовых танков</w:t>
      </w:r>
    </w:p>
    <w:bookmarkEnd w:id="9651"/>
    <w:p>
      <w:pPr>
        <w:spacing w:after="0"/>
        <w:ind w:left="0"/>
        <w:jc w:val="both"/>
      </w:pPr>
      <w:r>
        <w:rPr>
          <w:rFonts w:ascii="Times New Roman"/>
          <w:b w:val="false"/>
          <w:i w:val="false"/>
          <w:color w:val="ff0000"/>
          <w:sz w:val="28"/>
        </w:rPr>
        <w:t xml:space="preserve">
      Сноска. Заголовок главы 274 -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06" w:id="9652"/>
    <w:p>
      <w:pPr>
        <w:spacing w:after="0"/>
        <w:ind w:left="0"/>
        <w:jc w:val="both"/>
      </w:pPr>
      <w:r>
        <w:rPr>
          <w:rFonts w:ascii="Times New Roman"/>
          <w:b w:val="false"/>
          <w:i w:val="false"/>
          <w:color w:val="000000"/>
          <w:sz w:val="28"/>
        </w:rPr>
        <w:t>
      3393. На судах, оборудованных системой инертных газов, для отвода газов при продувке и дегазации порожних грузовых танков, помимо газовыпускных устройств, указанных в пунктах 3384 и 3385 настоящих Правил, допускается предусматривать устройства, обеспечивающие при одновременной подаче инертного газа в любые три танка поддержание скорости газа на выходе в вертикальном направлении не менее 20 м/с.</w:t>
      </w:r>
    </w:p>
    <w:bookmarkEnd w:id="9652"/>
    <w:bookmarkStart w:name="z9707" w:id="9653"/>
    <w:p>
      <w:pPr>
        <w:spacing w:after="0"/>
        <w:ind w:left="0"/>
        <w:jc w:val="both"/>
      </w:pPr>
      <w:r>
        <w:rPr>
          <w:rFonts w:ascii="Times New Roman"/>
          <w:b w:val="false"/>
          <w:i w:val="false"/>
          <w:color w:val="000000"/>
          <w:sz w:val="28"/>
        </w:rPr>
        <w:t>
      Выходные отверстия продувочных труб отстоят на высоте не менее 2 м от палубы.</w:t>
      </w:r>
    </w:p>
    <w:bookmarkEnd w:id="9653"/>
    <w:bookmarkStart w:name="z9708" w:id="9654"/>
    <w:p>
      <w:pPr>
        <w:spacing w:after="0"/>
        <w:ind w:left="0"/>
        <w:jc w:val="both"/>
      </w:pPr>
      <w:r>
        <w:rPr>
          <w:rFonts w:ascii="Times New Roman"/>
          <w:b w:val="false"/>
          <w:i w:val="false"/>
          <w:color w:val="000000"/>
          <w:sz w:val="28"/>
        </w:rPr>
        <w:t>
      3394. На судах, не оборудованных системой инертных газов, для отвода газов при продувке и дегазации грузовых порожних танков предусматривают специальные вентиляторы, которые могут быть переносными.</w:t>
      </w:r>
    </w:p>
    <w:bookmarkEnd w:id="9654"/>
    <w:bookmarkStart w:name="z9709" w:id="9655"/>
    <w:p>
      <w:pPr>
        <w:spacing w:after="0"/>
        <w:ind w:left="0"/>
        <w:jc w:val="both"/>
      </w:pPr>
      <w:r>
        <w:rPr>
          <w:rFonts w:ascii="Times New Roman"/>
          <w:b w:val="false"/>
          <w:i w:val="false"/>
          <w:color w:val="000000"/>
          <w:sz w:val="28"/>
        </w:rPr>
        <w:t>
      При проведении дегазации, помимо устройств, упомянутых в пунктах 3384 и 3385 настоящих Правил, пары углеводородов допускается отводить через специальные продувочные трубы, которые отвечают следующим требованиям:</w:t>
      </w:r>
    </w:p>
    <w:bookmarkEnd w:id="9655"/>
    <w:bookmarkStart w:name="z9710" w:id="9656"/>
    <w:p>
      <w:pPr>
        <w:spacing w:after="0"/>
        <w:ind w:left="0"/>
        <w:jc w:val="both"/>
      </w:pPr>
      <w:r>
        <w:rPr>
          <w:rFonts w:ascii="Times New Roman"/>
          <w:b w:val="false"/>
          <w:i w:val="false"/>
          <w:color w:val="000000"/>
          <w:sz w:val="28"/>
        </w:rPr>
        <w:t>
      1) выходные отверстия продувочных труб располагают на высоте не менее 2 м от палубы;</w:t>
      </w:r>
    </w:p>
    <w:bookmarkEnd w:id="9656"/>
    <w:bookmarkStart w:name="z9711" w:id="9657"/>
    <w:p>
      <w:pPr>
        <w:spacing w:after="0"/>
        <w:ind w:left="0"/>
        <w:jc w:val="both"/>
      </w:pPr>
      <w:r>
        <w:rPr>
          <w:rFonts w:ascii="Times New Roman"/>
          <w:b w:val="false"/>
          <w:i w:val="false"/>
          <w:color w:val="000000"/>
          <w:sz w:val="28"/>
        </w:rPr>
        <w:t>
      2) скорость газа на выходе в вертикальном направлении должна быть не менее 30 м/с;</w:t>
      </w:r>
    </w:p>
    <w:bookmarkEnd w:id="9657"/>
    <w:bookmarkStart w:name="z9712" w:id="9658"/>
    <w:p>
      <w:pPr>
        <w:spacing w:after="0"/>
        <w:ind w:left="0"/>
        <w:jc w:val="both"/>
      </w:pPr>
      <w:r>
        <w:rPr>
          <w:rFonts w:ascii="Times New Roman"/>
          <w:b w:val="false"/>
          <w:i w:val="false"/>
          <w:color w:val="000000"/>
          <w:sz w:val="28"/>
        </w:rPr>
        <w:t>
      3) выходные отверстия труб располагают на расстоянии не менее 10 м по горизонтали от отверстий, ведущих в закрытые помещения, содержащие источники воспламенения, воздухозаборников, палубных механизмов и другого оборудования, которое может представлять опасность воспламенения.</w:t>
      </w:r>
    </w:p>
    <w:bookmarkEnd w:id="9658"/>
    <w:bookmarkStart w:name="z9713" w:id="9659"/>
    <w:p>
      <w:pPr>
        <w:spacing w:after="0"/>
        <w:ind w:left="0"/>
        <w:jc w:val="both"/>
      </w:pPr>
      <w:r>
        <w:rPr>
          <w:rFonts w:ascii="Times New Roman"/>
          <w:b w:val="false"/>
          <w:i w:val="false"/>
          <w:color w:val="000000"/>
          <w:sz w:val="28"/>
        </w:rPr>
        <w:t>
      Скорость выхода газов возможно уменьшить до 20 м/с при установке устройства предотвращения прохождения пламени, отвечающего требованиям пункта 3388 настоящих Правил.</w:t>
      </w:r>
    </w:p>
    <w:bookmarkEnd w:id="9659"/>
    <w:bookmarkStart w:name="z9714" w:id="9660"/>
    <w:p>
      <w:pPr>
        <w:spacing w:after="0"/>
        <w:ind w:left="0"/>
        <w:jc w:val="both"/>
      </w:pPr>
      <w:r>
        <w:rPr>
          <w:rFonts w:ascii="Times New Roman"/>
          <w:b w:val="false"/>
          <w:i w:val="false"/>
          <w:color w:val="000000"/>
          <w:sz w:val="28"/>
        </w:rPr>
        <w:t>
      3395. Продувочные трубы отдельных танков размещаются как можно дальше от входных отверстий подачи инертного газа/воздуха. Входные отверстия продувочных труб допускается располагать либо на уровне палубы, либо на высоте не более 1 м от днища танка.</w:t>
      </w:r>
    </w:p>
    <w:bookmarkEnd w:id="9660"/>
    <w:bookmarkStart w:name="z9715" w:id="9661"/>
    <w:p>
      <w:pPr>
        <w:spacing w:after="0"/>
        <w:ind w:left="0"/>
        <w:jc w:val="both"/>
      </w:pPr>
      <w:r>
        <w:rPr>
          <w:rFonts w:ascii="Times New Roman"/>
          <w:b w:val="false"/>
          <w:i w:val="false"/>
          <w:color w:val="000000"/>
          <w:sz w:val="28"/>
        </w:rPr>
        <w:t>
      3396. Продувочные трубы оборудуют устройствами для закрытия.</w:t>
      </w:r>
    </w:p>
    <w:bookmarkEnd w:id="9661"/>
    <w:bookmarkStart w:name="z9716" w:id="9662"/>
    <w:p>
      <w:pPr>
        <w:spacing w:after="0"/>
        <w:ind w:left="0"/>
        <w:jc w:val="left"/>
      </w:pPr>
      <w:r>
        <w:rPr>
          <w:rFonts w:ascii="Times New Roman"/>
          <w:b/>
          <w:i w:val="false"/>
          <w:color w:val="000000"/>
        </w:rPr>
        <w:t xml:space="preserve"> Глава 275. Система выдачи паров груза</w:t>
      </w:r>
    </w:p>
    <w:bookmarkEnd w:id="9662"/>
    <w:p>
      <w:pPr>
        <w:spacing w:after="0"/>
        <w:ind w:left="0"/>
        <w:jc w:val="both"/>
      </w:pPr>
      <w:r>
        <w:rPr>
          <w:rFonts w:ascii="Times New Roman"/>
          <w:b w:val="false"/>
          <w:i w:val="false"/>
          <w:color w:val="ff0000"/>
          <w:sz w:val="28"/>
        </w:rPr>
        <w:t xml:space="preserve">
      Сноска. Заголовок главы 275 -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17" w:id="9663"/>
    <w:p>
      <w:pPr>
        <w:spacing w:after="0"/>
        <w:ind w:left="0"/>
        <w:jc w:val="both"/>
      </w:pPr>
      <w:r>
        <w:rPr>
          <w:rFonts w:ascii="Times New Roman"/>
          <w:b w:val="false"/>
          <w:i w:val="false"/>
          <w:color w:val="000000"/>
          <w:sz w:val="28"/>
        </w:rPr>
        <w:t>
      3397. Если судно оборудовано системой выдачи паров груза, то к основному символу класса судна допускается добавлять знак VCS. Кроме требований настоящей главы, для присвоения судну знака VCS выполняются требования по предотвращению перелива и контролю уровня в грузовых танках, изложенных в пункте 3413 настоящих Правил, а система замера уровня должна быть закрытой, как это говорится в пункте 3414 настоящих Правил. Выполнение указанных требований и присвоение указанного знака подтверждает соответствие системы требованиям резолюции ИМО MSC/Circ.585.</w:t>
      </w:r>
    </w:p>
    <w:bookmarkEnd w:id="9663"/>
    <w:bookmarkStart w:name="z9718" w:id="9664"/>
    <w:p>
      <w:pPr>
        <w:spacing w:after="0"/>
        <w:ind w:left="0"/>
        <w:jc w:val="both"/>
      </w:pPr>
      <w:r>
        <w:rPr>
          <w:rFonts w:ascii="Times New Roman"/>
          <w:b w:val="false"/>
          <w:i w:val="false"/>
          <w:color w:val="000000"/>
          <w:sz w:val="28"/>
        </w:rPr>
        <w:t>
      3398. Система выдачи паров груза устаривается таким образом, чтобы она не могла препятствовать нормальной работе газоотводной системы.</w:t>
      </w:r>
    </w:p>
    <w:bookmarkEnd w:id="9664"/>
    <w:bookmarkStart w:name="z9719" w:id="9665"/>
    <w:p>
      <w:pPr>
        <w:spacing w:after="0"/>
        <w:ind w:left="0"/>
        <w:jc w:val="both"/>
      </w:pPr>
      <w:r>
        <w:rPr>
          <w:rFonts w:ascii="Times New Roman"/>
          <w:b w:val="false"/>
          <w:i w:val="false"/>
          <w:color w:val="000000"/>
          <w:sz w:val="28"/>
        </w:rPr>
        <w:t>
      Система выдачи паров груза проектируется, исходя из максимальной производительности погрузки. При этом падение давления в трубопроводе выдачи паров груза, полученное путем гидравлического расчета, не должно превышать 80 % давления открытия любого из клапанов газоотводной системы, указанных в подпункте 1) пункта 3375 настоящих Правил.</w:t>
      </w:r>
    </w:p>
    <w:bookmarkEnd w:id="9665"/>
    <w:bookmarkStart w:name="z9720" w:id="9666"/>
    <w:p>
      <w:pPr>
        <w:spacing w:after="0"/>
        <w:ind w:left="0"/>
        <w:jc w:val="both"/>
      </w:pPr>
      <w:r>
        <w:rPr>
          <w:rFonts w:ascii="Times New Roman"/>
          <w:b w:val="false"/>
          <w:i w:val="false"/>
          <w:color w:val="000000"/>
          <w:sz w:val="28"/>
        </w:rPr>
        <w:t>
      3399. На судне постоянно находится одобренная инструкция, по которой определяют допустимую скорость погрузки различных грузов с учетом выполнения требований пунктов 3397 и 3398 настоящих Правил.</w:t>
      </w:r>
    </w:p>
    <w:bookmarkEnd w:id="9666"/>
    <w:bookmarkStart w:name="z9721" w:id="9667"/>
    <w:p>
      <w:pPr>
        <w:spacing w:after="0"/>
        <w:ind w:left="0"/>
        <w:jc w:val="both"/>
      </w:pPr>
      <w:r>
        <w:rPr>
          <w:rFonts w:ascii="Times New Roman"/>
          <w:b w:val="false"/>
          <w:i w:val="false"/>
          <w:color w:val="000000"/>
          <w:sz w:val="28"/>
        </w:rPr>
        <w:t>
      3400. Пары несовместимых грузов не смешиваются при прохождении системы выдачи паров груза.</w:t>
      </w:r>
    </w:p>
    <w:bookmarkEnd w:id="9667"/>
    <w:bookmarkStart w:name="z9722" w:id="9668"/>
    <w:p>
      <w:pPr>
        <w:spacing w:after="0"/>
        <w:ind w:left="0"/>
        <w:jc w:val="both"/>
      </w:pPr>
      <w:r>
        <w:rPr>
          <w:rFonts w:ascii="Times New Roman"/>
          <w:b w:val="false"/>
          <w:i w:val="false"/>
          <w:color w:val="000000"/>
          <w:sz w:val="28"/>
        </w:rPr>
        <w:t>
      3401. Если распределительный трубопровод инертного газа используется для сбора паров грузапредусматриваются меры для изоляции труб с инертным газом от системы выдачи паров груза.</w:t>
      </w:r>
    </w:p>
    <w:bookmarkEnd w:id="9668"/>
    <w:bookmarkStart w:name="z9723" w:id="9669"/>
    <w:p>
      <w:pPr>
        <w:spacing w:after="0"/>
        <w:ind w:left="0"/>
        <w:jc w:val="both"/>
      </w:pPr>
      <w:r>
        <w:rPr>
          <w:rFonts w:ascii="Times New Roman"/>
          <w:b w:val="false"/>
          <w:i w:val="false"/>
          <w:color w:val="000000"/>
          <w:sz w:val="28"/>
        </w:rPr>
        <w:t>
      3402. Предусматриваются средства для удаления конденсата, который накапливается в системе.</w:t>
      </w:r>
    </w:p>
    <w:bookmarkEnd w:id="9669"/>
    <w:bookmarkStart w:name="z9724" w:id="9670"/>
    <w:p>
      <w:pPr>
        <w:spacing w:after="0"/>
        <w:ind w:left="0"/>
        <w:jc w:val="both"/>
      </w:pPr>
      <w:r>
        <w:rPr>
          <w:rFonts w:ascii="Times New Roman"/>
          <w:b w:val="false"/>
          <w:i w:val="false"/>
          <w:color w:val="000000"/>
          <w:sz w:val="28"/>
        </w:rPr>
        <w:t>
      3403. Трубопроводы системы должны быть электрически непрерывны и надежно заземлены.</w:t>
      </w:r>
    </w:p>
    <w:bookmarkEnd w:id="9670"/>
    <w:bookmarkStart w:name="z9725" w:id="9671"/>
    <w:p>
      <w:pPr>
        <w:spacing w:after="0"/>
        <w:ind w:left="0"/>
        <w:jc w:val="both"/>
      </w:pPr>
      <w:r>
        <w:rPr>
          <w:rFonts w:ascii="Times New Roman"/>
          <w:b w:val="false"/>
          <w:i w:val="false"/>
          <w:color w:val="000000"/>
          <w:sz w:val="28"/>
        </w:rPr>
        <w:t>
      3404. Манифольды выдачи паров груза оборудуют датчиком давления и сигнализацией, подающей аварийно-предупредительный сигнал по высокому давлению (не выше давления, при котором срабатывает высокоскоростное газоотводное устройство) и по вакууму (не ниже давления, при котором срабатывает вакуумный клапан).</w:t>
      </w:r>
    </w:p>
    <w:bookmarkEnd w:id="9671"/>
    <w:bookmarkStart w:name="z9726" w:id="9672"/>
    <w:p>
      <w:pPr>
        <w:spacing w:after="0"/>
        <w:ind w:left="0"/>
        <w:jc w:val="both"/>
      </w:pPr>
      <w:r>
        <w:rPr>
          <w:rFonts w:ascii="Times New Roman"/>
          <w:b w:val="false"/>
          <w:i w:val="false"/>
          <w:color w:val="000000"/>
          <w:sz w:val="28"/>
        </w:rPr>
        <w:t>
      Настоящее требование допускается не выполнять, если в каждом грузовом танке установлен датчик избыточного давления/вакуума, в соответствии с пунктом 3386 настоящих Правил.</w:t>
      </w:r>
    </w:p>
    <w:bookmarkEnd w:id="9672"/>
    <w:bookmarkStart w:name="z9727" w:id="9673"/>
    <w:p>
      <w:pPr>
        <w:spacing w:after="0"/>
        <w:ind w:left="0"/>
        <w:jc w:val="both"/>
      </w:pPr>
      <w:r>
        <w:rPr>
          <w:rFonts w:ascii="Times New Roman"/>
          <w:b w:val="false"/>
          <w:i w:val="false"/>
          <w:color w:val="000000"/>
          <w:sz w:val="28"/>
        </w:rPr>
        <w:t>
      3405. В районе соединительных патрубков манифольда выдачи паров груза устанавливается легко доступный запорный клапан с ручным управлением.</w:t>
      </w:r>
    </w:p>
    <w:bookmarkEnd w:id="9673"/>
    <w:bookmarkStart w:name="z9728" w:id="9674"/>
    <w:p>
      <w:pPr>
        <w:spacing w:after="0"/>
        <w:ind w:left="0"/>
        <w:jc w:val="both"/>
      </w:pPr>
      <w:r>
        <w:rPr>
          <w:rFonts w:ascii="Times New Roman"/>
          <w:b w:val="false"/>
          <w:i w:val="false"/>
          <w:color w:val="000000"/>
          <w:sz w:val="28"/>
        </w:rPr>
        <w:t>
      3406. Шланги, используемые в системе выдачи паров, должны отвечать требованиям пункта 3217 настоящих Правил.</w:t>
      </w:r>
    </w:p>
    <w:bookmarkEnd w:id="9674"/>
    <w:bookmarkStart w:name="z9729" w:id="9675"/>
    <w:p>
      <w:pPr>
        <w:spacing w:after="0"/>
        <w:ind w:left="0"/>
        <w:jc w:val="both"/>
      </w:pPr>
      <w:r>
        <w:rPr>
          <w:rFonts w:ascii="Times New Roman"/>
          <w:b w:val="false"/>
          <w:i w:val="false"/>
          <w:color w:val="000000"/>
          <w:sz w:val="28"/>
        </w:rPr>
        <w:t>
      3407. Для исключения ошибочного подсоединения трубопровода выдачи паров груза с трубопроводом жидкого груза берегового терминала необходимо на подсоединительных фланцах отвода паров установить штифты диаметром 12,7 мм и длиной не менее 25,4 мм в самой верхней точке на линии соединительных болтов, как это показано в приложении 349 настоящих Правил. Маркировка манифольда выдачи паров груза соответствует приложению 350 настоящих правил.</w:t>
      </w:r>
    </w:p>
    <w:bookmarkEnd w:id="9675"/>
    <w:bookmarkStart w:name="z9730" w:id="9676"/>
    <w:p>
      <w:pPr>
        <w:spacing w:after="0"/>
        <w:ind w:left="0"/>
        <w:jc w:val="left"/>
      </w:pPr>
      <w:r>
        <w:rPr>
          <w:rFonts w:ascii="Times New Roman"/>
          <w:b/>
          <w:i w:val="false"/>
          <w:color w:val="000000"/>
        </w:rPr>
        <w:t xml:space="preserve"> Глава 276. Общесудовые системы в грузовой зоне</w:t>
      </w:r>
    </w:p>
    <w:bookmarkEnd w:id="9676"/>
    <w:p>
      <w:pPr>
        <w:spacing w:after="0"/>
        <w:ind w:left="0"/>
        <w:jc w:val="both"/>
      </w:pPr>
      <w:r>
        <w:rPr>
          <w:rFonts w:ascii="Times New Roman"/>
          <w:b w:val="false"/>
          <w:i w:val="false"/>
          <w:color w:val="ff0000"/>
          <w:sz w:val="28"/>
        </w:rPr>
        <w:t xml:space="preserve">
      Сноска. Заголовок главы 276 -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31" w:id="9677"/>
    <w:p>
      <w:pPr>
        <w:spacing w:after="0"/>
        <w:ind w:left="0"/>
        <w:jc w:val="both"/>
      </w:pPr>
      <w:r>
        <w:rPr>
          <w:rFonts w:ascii="Times New Roman"/>
          <w:b w:val="false"/>
          <w:i w:val="false"/>
          <w:color w:val="000000"/>
          <w:sz w:val="28"/>
        </w:rPr>
        <w:t>
      3408. Не допускается чтобы балластные, измерительные и воздушные трубопроводы танков изолированного балласта проходили через грузовые танки. Грузовые и другие трубопроводы, предназначенные для обслуживания грузовых и отстойных танков, не прокладываются через танки изолированного балласта. Отступление от этого требования допускается для коротких трубопроводов при условии, что они будут цельносварными или эквивалентной конструкции с утолщенными фланцевыми соединениями, число которых должно быть сведено к минимуму. Компенсация тепловых расширений таких трубопроводов осуществляется погибами самих труб. Необходимо чтобы радиусы погибов отвечали требованиям пункта 3028 настоящих Правил. В приложении 351 настоящих Правил в качестве примера приведена рекомендуемая конструкция для воздушной трубы.</w:t>
      </w:r>
    </w:p>
    <w:bookmarkEnd w:id="9677"/>
    <w:bookmarkStart w:name="z9732" w:id="9678"/>
    <w:p>
      <w:pPr>
        <w:spacing w:after="0"/>
        <w:ind w:left="0"/>
        <w:jc w:val="both"/>
      </w:pPr>
      <w:r>
        <w:rPr>
          <w:rFonts w:ascii="Times New Roman"/>
          <w:b w:val="false"/>
          <w:i w:val="false"/>
          <w:color w:val="000000"/>
          <w:sz w:val="28"/>
        </w:rPr>
        <w:t>
      Трубы должны быть стальными бесшовными. При этом толщина стенок таких труб должна быть не менее значений, указанных в приложении 352 настоящих Правил. Использование труб из другого материала является в каждом случае предметом специального рассмотрения Регистром судоходства.</w:t>
      </w:r>
    </w:p>
    <w:bookmarkEnd w:id="9678"/>
    <w:bookmarkStart w:name="z9733" w:id="9679"/>
    <w:p>
      <w:pPr>
        <w:spacing w:after="0"/>
        <w:ind w:left="0"/>
        <w:jc w:val="both"/>
      </w:pPr>
      <w:r>
        <w:rPr>
          <w:rFonts w:ascii="Times New Roman"/>
          <w:b w:val="false"/>
          <w:i w:val="false"/>
          <w:color w:val="000000"/>
          <w:sz w:val="28"/>
        </w:rPr>
        <w:t>
      3409. Для аварийного удаления балласта допускается присоединение балластного трубопровода к грузовому насосу через съемный патрубок. Съемный патрубок монтируется в заметном, легко доступном месте в насосном помещении. На трубопроводе, соединяющем грузовую и балластную системы, устанавливают невозвратный клапан для предотвращения попадания нефтепродуктов в балластные танки. Балластный насос находится в грузовом насосном помещении или другом помещении с уровнем безопасности, эквивалентным уровню безопасности грузового насосного помещения, не содержащего источников воспламенения.</w:t>
      </w:r>
    </w:p>
    <w:bookmarkEnd w:id="9679"/>
    <w:bookmarkStart w:name="z9734" w:id="9680"/>
    <w:p>
      <w:pPr>
        <w:spacing w:after="0"/>
        <w:ind w:left="0"/>
        <w:jc w:val="both"/>
      </w:pPr>
      <w:r>
        <w:rPr>
          <w:rFonts w:ascii="Times New Roman"/>
          <w:b w:val="false"/>
          <w:i w:val="false"/>
          <w:color w:val="000000"/>
          <w:sz w:val="28"/>
        </w:rPr>
        <w:t>
      3410. На нефтеналивных судах для перекачки балласта из форпика допускается применять балластную систему, обслуживающую балластные танки внутри грузовой зоны, при условии, что:</w:t>
      </w:r>
    </w:p>
    <w:bookmarkEnd w:id="9680"/>
    <w:bookmarkStart w:name="z9735" w:id="9681"/>
    <w:p>
      <w:pPr>
        <w:spacing w:after="0"/>
        <w:ind w:left="0"/>
        <w:jc w:val="both"/>
      </w:pPr>
      <w:r>
        <w:rPr>
          <w:rFonts w:ascii="Times New Roman"/>
          <w:b w:val="false"/>
          <w:i w:val="false"/>
          <w:color w:val="000000"/>
          <w:sz w:val="28"/>
        </w:rPr>
        <w:t>
      1) этот танк рассматривается как взрывоопасная зона;</w:t>
      </w:r>
    </w:p>
    <w:bookmarkEnd w:id="9681"/>
    <w:bookmarkStart w:name="z9736" w:id="9682"/>
    <w:p>
      <w:pPr>
        <w:spacing w:after="0"/>
        <w:ind w:left="0"/>
        <w:jc w:val="both"/>
      </w:pPr>
      <w:r>
        <w:rPr>
          <w:rFonts w:ascii="Times New Roman"/>
          <w:b w:val="false"/>
          <w:i w:val="false"/>
          <w:color w:val="000000"/>
          <w:sz w:val="28"/>
        </w:rPr>
        <w:t>
      2) открытые концы его воздушных труб на открытой палубе расположены в 3 м от источников воспламенения;</w:t>
      </w:r>
    </w:p>
    <w:bookmarkEnd w:id="9682"/>
    <w:bookmarkStart w:name="z9737" w:id="9683"/>
    <w:p>
      <w:pPr>
        <w:spacing w:after="0"/>
        <w:ind w:left="0"/>
        <w:jc w:val="both"/>
      </w:pPr>
      <w:r>
        <w:rPr>
          <w:rFonts w:ascii="Times New Roman"/>
          <w:b w:val="false"/>
          <w:i w:val="false"/>
          <w:color w:val="000000"/>
          <w:sz w:val="28"/>
        </w:rPr>
        <w:t>
      3) предусмотрены меры, обеспечивающие замер концентрации взрывоопасных газов в танке с верхней палубы переносными приборами;</w:t>
      </w:r>
    </w:p>
    <w:bookmarkEnd w:id="9683"/>
    <w:bookmarkStart w:name="z9738" w:id="9684"/>
    <w:p>
      <w:pPr>
        <w:spacing w:after="0"/>
        <w:ind w:left="0"/>
        <w:jc w:val="both"/>
      </w:pPr>
      <w:r>
        <w:rPr>
          <w:rFonts w:ascii="Times New Roman"/>
          <w:b w:val="false"/>
          <w:i w:val="false"/>
          <w:color w:val="000000"/>
          <w:sz w:val="28"/>
        </w:rPr>
        <w:t>
      4) с верхней палубы обеспечен доступ и возможность замера уровня в танке.</w:t>
      </w:r>
    </w:p>
    <w:bookmarkEnd w:id="9684"/>
    <w:bookmarkStart w:name="z9739" w:id="9685"/>
    <w:p>
      <w:pPr>
        <w:spacing w:after="0"/>
        <w:ind w:left="0"/>
        <w:jc w:val="both"/>
      </w:pPr>
      <w:r>
        <w:rPr>
          <w:rFonts w:ascii="Times New Roman"/>
          <w:b w:val="false"/>
          <w:i w:val="false"/>
          <w:color w:val="000000"/>
          <w:sz w:val="28"/>
        </w:rPr>
        <w:t>
      При наличии коффердама между грузовыми танками и форпиком доступ в танк допускается обеспечивать через газоплотный лаз, расположенный на открытой палубе. В этом случае на крышке лаза предусматривается предупреждающая надпись о том, что танк допускается вскрывать только после его проверки на отсутствие газа или после отключения электрического оборудования, которое может быть опасным в закрытом пространстве.</w:t>
      </w:r>
    </w:p>
    <w:bookmarkEnd w:id="9685"/>
    <w:bookmarkStart w:name="z9740" w:id="9686"/>
    <w:p>
      <w:pPr>
        <w:spacing w:after="0"/>
        <w:ind w:left="0"/>
        <w:jc w:val="both"/>
      </w:pPr>
      <w:r>
        <w:rPr>
          <w:rFonts w:ascii="Times New Roman"/>
          <w:b w:val="false"/>
          <w:i w:val="false"/>
          <w:color w:val="000000"/>
          <w:sz w:val="28"/>
        </w:rPr>
        <w:t>
      3411. На нефтеналивных судах открытые концы воздушных труб коффердамов, топливных и масляных цистерн, примыкающих непосредственно к грузовым и отстойным танкам, выводятся на открытую палубу в места, где выходящие из указанных цистерн пары не представляют пожарной опасности и защищены пламепрерывающей арматурой одобренного Регистром судоходства типа. Проходное сечение этой арматуры должно быть не менее площади воздушных труб.</w:t>
      </w:r>
    </w:p>
    <w:bookmarkEnd w:id="9686"/>
    <w:bookmarkStart w:name="z9741" w:id="9687"/>
    <w:p>
      <w:pPr>
        <w:spacing w:after="0"/>
        <w:ind w:left="0"/>
        <w:jc w:val="both"/>
      </w:pPr>
      <w:r>
        <w:rPr>
          <w:rFonts w:ascii="Times New Roman"/>
          <w:b w:val="false"/>
          <w:i w:val="false"/>
          <w:color w:val="000000"/>
          <w:sz w:val="28"/>
        </w:rPr>
        <w:t>
      3412. На трубопроводах пропаривания грузовых танков устанавливают невозвратно-запорные клапаны.</w:t>
      </w:r>
    </w:p>
    <w:bookmarkEnd w:id="9687"/>
    <w:bookmarkStart w:name="z9742" w:id="9688"/>
    <w:p>
      <w:pPr>
        <w:spacing w:after="0"/>
        <w:ind w:left="0"/>
        <w:jc w:val="left"/>
      </w:pPr>
      <w:r>
        <w:rPr>
          <w:rFonts w:ascii="Times New Roman"/>
          <w:b/>
          <w:i w:val="false"/>
          <w:color w:val="000000"/>
        </w:rPr>
        <w:t xml:space="preserve"> Глава 277. Контроль уровня в грузовых танках и предотвращения перелива</w:t>
      </w:r>
    </w:p>
    <w:bookmarkEnd w:id="9688"/>
    <w:p>
      <w:pPr>
        <w:spacing w:after="0"/>
        <w:ind w:left="0"/>
        <w:jc w:val="both"/>
      </w:pPr>
      <w:r>
        <w:rPr>
          <w:rFonts w:ascii="Times New Roman"/>
          <w:b w:val="false"/>
          <w:i w:val="false"/>
          <w:color w:val="ff0000"/>
          <w:sz w:val="28"/>
        </w:rPr>
        <w:t xml:space="preserve">
      Сноска. Заголовок главы 277 -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43" w:id="9689"/>
    <w:p>
      <w:pPr>
        <w:spacing w:after="0"/>
        <w:ind w:left="0"/>
        <w:jc w:val="both"/>
      </w:pPr>
      <w:r>
        <w:rPr>
          <w:rFonts w:ascii="Times New Roman"/>
          <w:b w:val="false"/>
          <w:i w:val="false"/>
          <w:color w:val="000000"/>
          <w:sz w:val="28"/>
        </w:rPr>
        <w:t>
      3413. Предусматриваются меры для недопущения подъема жидкости в газоотводной системе танков на высоту, которая превысила бы проектную величину давления в грузовых танках. Это требование выполняется посредством установки системы контроля за переливом и аварийно-предупредительной сигнализации. Необходимо чтобы система контроля за переливом была двухуровневой и независимой от устройств замера уровня в грузовых танках, должна подавать световой и звуковой сигналы при достижении верхнего и предельного уровней в танках судовому оператору и в ПУГО (при его наличии), подавать сигнал при обесточивании системы или датчиков уровня и иметь возможность проверки цепи сигнализации перед началом грузовых операций. Для целей данного правила переливные клапаны не рассматриваются как равноценная замена системы предотвращения переполнения танков.</w:t>
      </w:r>
    </w:p>
    <w:bookmarkEnd w:id="9689"/>
    <w:bookmarkStart w:name="z9744" w:id="9690"/>
    <w:p>
      <w:pPr>
        <w:spacing w:after="0"/>
        <w:ind w:left="0"/>
        <w:jc w:val="both"/>
      </w:pPr>
      <w:r>
        <w:rPr>
          <w:rFonts w:ascii="Times New Roman"/>
          <w:b w:val="false"/>
          <w:i w:val="false"/>
          <w:color w:val="000000"/>
          <w:sz w:val="28"/>
        </w:rPr>
        <w:t xml:space="preserve">
      3414. Каждое нефтеналивное судно, оборудованное стационарной системой инертных газов, снабжают закрытой системой замера уровня жидкости в грузовых и отстойных танках. На нефтеналивных судах применяется полуоткрытая или закрытая система измерения уровня жидкости в грузовых и отстойных танках. Замер уровня жидкости открытым способом допускается на нефтеналивных судах со словесной характеристикой "Oil tanker (&gt;60 </w:t>
      </w:r>
      <w:r>
        <w:rPr>
          <w:rFonts w:ascii="Times New Roman"/>
          <w:b w:val="false"/>
          <w:i w:val="false"/>
          <w:color w:val="000000"/>
          <w:vertAlign w:val="superscript"/>
        </w:rPr>
        <w:t>о</w:t>
      </w:r>
      <w:r>
        <w:rPr>
          <w:rFonts w:ascii="Times New Roman"/>
          <w:b w:val="false"/>
          <w:i w:val="false"/>
          <w:color w:val="000000"/>
          <w:sz w:val="28"/>
        </w:rPr>
        <w:t>C)" и в качестве резервного на судах, не оборудованных системой инертных газов.</w:t>
      </w:r>
    </w:p>
    <w:bookmarkEnd w:id="9690"/>
    <w:bookmarkStart w:name="z9745" w:id="9691"/>
    <w:p>
      <w:pPr>
        <w:spacing w:after="0"/>
        <w:ind w:left="0"/>
        <w:jc w:val="both"/>
      </w:pPr>
      <w:r>
        <w:rPr>
          <w:rFonts w:ascii="Times New Roman"/>
          <w:b w:val="false"/>
          <w:i w:val="false"/>
          <w:color w:val="000000"/>
          <w:sz w:val="28"/>
        </w:rPr>
        <w:t>
      3415. Измерительные трубы грузовых танков снабжаются герметичными самозапирающимися клапанами, установленными на трубах, выведенных на открытую палубу, при этом высота трубы, выведенной на палубу исключает выход груза на палубу при проведении измерений.</w:t>
      </w:r>
    </w:p>
    <w:bookmarkEnd w:id="9691"/>
    <w:bookmarkStart w:name="z9746" w:id="9692"/>
    <w:p>
      <w:pPr>
        <w:spacing w:after="0"/>
        <w:ind w:left="0"/>
        <w:jc w:val="both"/>
      </w:pPr>
      <w:r>
        <w:rPr>
          <w:rFonts w:ascii="Times New Roman"/>
          <w:b w:val="false"/>
          <w:i w:val="false"/>
          <w:color w:val="000000"/>
          <w:sz w:val="28"/>
        </w:rPr>
        <w:t xml:space="preserve">
      3416. На нефтеналивных судах, предназначенных для перевозки грузов с температурой вспышки менее 60 </w:t>
      </w:r>
      <w:r>
        <w:rPr>
          <w:rFonts w:ascii="Times New Roman"/>
          <w:b w:val="false"/>
          <w:i w:val="false"/>
          <w:color w:val="000000"/>
          <w:vertAlign w:val="superscript"/>
        </w:rPr>
        <w:t>о</w:t>
      </w:r>
      <w:r>
        <w:rPr>
          <w:rFonts w:ascii="Times New Roman"/>
          <w:b w:val="false"/>
          <w:i w:val="false"/>
          <w:color w:val="000000"/>
          <w:sz w:val="28"/>
        </w:rPr>
        <w:t>С, футштоки изготавливают из материала, исключающего искрообразование.</w:t>
      </w:r>
    </w:p>
    <w:bookmarkEnd w:id="9692"/>
    <w:bookmarkStart w:name="z9747" w:id="9693"/>
    <w:p>
      <w:pPr>
        <w:spacing w:after="0"/>
        <w:ind w:left="0"/>
        <w:jc w:val="left"/>
      </w:pPr>
      <w:r>
        <w:rPr>
          <w:rFonts w:ascii="Times New Roman"/>
          <w:b/>
          <w:i w:val="false"/>
          <w:color w:val="000000"/>
        </w:rPr>
        <w:t xml:space="preserve"> Глава 278. Система мойки грузовых танков</w:t>
      </w:r>
    </w:p>
    <w:bookmarkEnd w:id="9693"/>
    <w:p>
      <w:pPr>
        <w:spacing w:after="0"/>
        <w:ind w:left="0"/>
        <w:jc w:val="both"/>
      </w:pPr>
      <w:r>
        <w:rPr>
          <w:rFonts w:ascii="Times New Roman"/>
          <w:b w:val="false"/>
          <w:i w:val="false"/>
          <w:color w:val="ff0000"/>
          <w:sz w:val="28"/>
        </w:rPr>
        <w:t xml:space="preserve">
      Сноска. Заголовок главы 278 -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48" w:id="9694"/>
    <w:p>
      <w:pPr>
        <w:spacing w:after="0"/>
        <w:ind w:left="0"/>
        <w:jc w:val="both"/>
      </w:pPr>
      <w:r>
        <w:rPr>
          <w:rFonts w:ascii="Times New Roman"/>
          <w:b w:val="false"/>
          <w:i w:val="false"/>
          <w:color w:val="000000"/>
          <w:sz w:val="28"/>
        </w:rPr>
        <w:t>
      3417. Необходимо чтобы стационарные моечные машинки грузовых танков отвечали следующим требованиям:</w:t>
      </w:r>
    </w:p>
    <w:bookmarkEnd w:id="9694"/>
    <w:bookmarkStart w:name="z9749" w:id="9695"/>
    <w:p>
      <w:pPr>
        <w:spacing w:after="0"/>
        <w:ind w:left="0"/>
        <w:jc w:val="both"/>
      </w:pPr>
      <w:r>
        <w:rPr>
          <w:rFonts w:ascii="Times New Roman"/>
          <w:b w:val="false"/>
          <w:i w:val="false"/>
          <w:color w:val="000000"/>
          <w:sz w:val="28"/>
        </w:rPr>
        <w:t>
      1) напряжения, возникающие в трубопроводах или палубных соединениях при работе моечных машинок или при их погружении в жидкость, не должны превышать допустимые;</w:t>
      </w:r>
    </w:p>
    <w:bookmarkEnd w:id="9695"/>
    <w:bookmarkStart w:name="z9750" w:id="9696"/>
    <w:p>
      <w:pPr>
        <w:spacing w:after="0"/>
        <w:ind w:left="0"/>
        <w:jc w:val="both"/>
      </w:pPr>
      <w:r>
        <w:rPr>
          <w:rFonts w:ascii="Times New Roman"/>
          <w:b w:val="false"/>
          <w:i w:val="false"/>
          <w:color w:val="000000"/>
          <w:sz w:val="28"/>
        </w:rPr>
        <w:t>
      2) тип крепления и фундаменты моечных машинок должны быть одобрены Регистром судоходства;</w:t>
      </w:r>
    </w:p>
    <w:bookmarkEnd w:id="9696"/>
    <w:bookmarkStart w:name="z9751" w:id="9697"/>
    <w:p>
      <w:pPr>
        <w:spacing w:after="0"/>
        <w:ind w:left="0"/>
        <w:jc w:val="both"/>
      </w:pPr>
      <w:r>
        <w:rPr>
          <w:rFonts w:ascii="Times New Roman"/>
          <w:b w:val="false"/>
          <w:i w:val="false"/>
          <w:color w:val="000000"/>
          <w:sz w:val="28"/>
        </w:rPr>
        <w:t>
      3) машинки изготавливают из стали или других материалов, не склонных к искрообразованию при трении в большей степени, чем сталь;</w:t>
      </w:r>
    </w:p>
    <w:bookmarkEnd w:id="9697"/>
    <w:bookmarkStart w:name="z9752" w:id="9698"/>
    <w:p>
      <w:pPr>
        <w:spacing w:after="0"/>
        <w:ind w:left="0"/>
        <w:jc w:val="both"/>
      </w:pPr>
      <w:r>
        <w:rPr>
          <w:rFonts w:ascii="Times New Roman"/>
          <w:b w:val="false"/>
          <w:i w:val="false"/>
          <w:color w:val="000000"/>
          <w:sz w:val="28"/>
        </w:rPr>
        <w:t>
      4) установка в сборе должна быть постоянно заземлена на корпус судна.</w:t>
      </w:r>
    </w:p>
    <w:bookmarkEnd w:id="9698"/>
    <w:bookmarkStart w:name="z9753" w:id="9699"/>
    <w:p>
      <w:pPr>
        <w:spacing w:after="0"/>
        <w:ind w:left="0"/>
        <w:jc w:val="both"/>
      </w:pPr>
      <w:r>
        <w:rPr>
          <w:rFonts w:ascii="Times New Roman"/>
          <w:b w:val="false"/>
          <w:i w:val="false"/>
          <w:color w:val="000000"/>
          <w:sz w:val="28"/>
        </w:rPr>
        <w:t>
      3418. Корпуса переносных моечных машинок изготавливают из материала, который при контакте с конструкциями грузовых танков не вызывает искрения. Обеспечивается надежная электропроводная связь между машинкой для мойки танка, шлангом и стационарной линией подачи воды для мойки. Шланги для мойки переносными моечными машинками армируют проволокой.</w:t>
      </w:r>
    </w:p>
    <w:bookmarkEnd w:id="9699"/>
    <w:bookmarkStart w:name="z9754" w:id="9700"/>
    <w:p>
      <w:pPr>
        <w:spacing w:after="0"/>
        <w:ind w:left="0"/>
        <w:jc w:val="both"/>
      </w:pPr>
      <w:r>
        <w:rPr>
          <w:rFonts w:ascii="Times New Roman"/>
          <w:b w:val="false"/>
          <w:i w:val="false"/>
          <w:color w:val="000000"/>
          <w:sz w:val="28"/>
        </w:rPr>
        <w:t>
      3419. Поступление воды в отстойный танк после мойки осуществляется через отверстие, расположенное ниже уровня жидкости не менее, чем на 1м. Свободное падение жидкости в отстойный танк, содержащий моечную воду и нефтеостаток, должно быть исключено. Требования настоящего пункта допускается не выполнять, если отстойные и грузовые танки инертизированы.</w:t>
      </w:r>
    </w:p>
    <w:bookmarkEnd w:id="9700"/>
    <w:bookmarkStart w:name="z9755" w:id="9701"/>
    <w:p>
      <w:pPr>
        <w:spacing w:after="0"/>
        <w:ind w:left="0"/>
        <w:jc w:val="both"/>
      </w:pPr>
      <w:r>
        <w:rPr>
          <w:rFonts w:ascii="Times New Roman"/>
          <w:b w:val="false"/>
          <w:i w:val="false"/>
          <w:color w:val="000000"/>
          <w:sz w:val="28"/>
        </w:rPr>
        <w:t>
      3420. Каждый танкер для перевозки сырой нефти дедвейтом 20000 т и более, оборудуют системой мойки сырой нефтью. Эта система должна полностью отвечать требованиям правила 33 Приложения 1 к МАРПОЛ 73/78 с поправками. Если судно оборудовано системой мойки сырой нефтью, соответствующей требованиям указанного правила, то вне зависимости от дедвейта к основному символу класса судна добавляется знак COW (параграф 10 главы 2 настоящих Правил). При наличии системы мойки сырой нефтью, судно оборудуется системой инертных газов, отвечающей требованиям главы 282 настоящих Правил. Система трубопроводов мойки сырой нефтью, связанное с ней оборудование и устройства (трубопроводы, моечные машинки, насосы, зачистная система) должны соответствовать Техническим требованиям к конструкции, эксплуатации и проверке систем мойки сырой нефтью в соответствии с положениями Резолюции ИМО А.446(ХI), измененной Резолюциями А.497(ХII) и А.897(21). Система мойки танков сырой нефтью должна состоять из стационарных трубопроводов и должна быть независимой от других систем. Участки грузовой системы могут входить в систему мойки танков сырой нефтью при условии, что они удовлетворяют требованиям, предъявляемым к трубопроводам системы мойки танков сырой нефтью.</w:t>
      </w:r>
    </w:p>
    <w:bookmarkEnd w:id="9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3420 в редакции приказа Министра по инвестициям и развитию РК от 28.03.2018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6" w:id="9702"/>
    <w:p>
      <w:pPr>
        <w:spacing w:after="0"/>
        <w:ind w:left="0"/>
        <w:jc w:val="both"/>
      </w:pPr>
      <w:r>
        <w:rPr>
          <w:rFonts w:ascii="Times New Roman"/>
          <w:b w:val="false"/>
          <w:i w:val="false"/>
          <w:color w:val="000000"/>
          <w:sz w:val="28"/>
        </w:rPr>
        <w:t>
      3421. Трубопроводы и арматура, входящие в систему мойки танков сырой нефтью, должны быть изготовлены из стали или эквивалентного материала и должны обладать прочностью при рабочем давлении как для трубопроводов, указанных в пункте 3909 настоящих Правил. Трубопроводы имеют надежные соединения и крепления. Система мойки танков сырой нефтью после установки на судне испытывается пробным гидравлическим давлением, равным 1,5 рабочего давления.</w:t>
      </w:r>
    </w:p>
    <w:bookmarkEnd w:id="9702"/>
    <w:bookmarkStart w:name="z9757" w:id="9703"/>
    <w:p>
      <w:pPr>
        <w:spacing w:after="0"/>
        <w:ind w:left="0"/>
        <w:jc w:val="both"/>
      </w:pPr>
      <w:r>
        <w:rPr>
          <w:rFonts w:ascii="Times New Roman"/>
          <w:b w:val="false"/>
          <w:i w:val="false"/>
          <w:color w:val="000000"/>
          <w:sz w:val="28"/>
        </w:rPr>
        <w:t>
      3422. Нагреватель моечной воды располагают вне машинного отделения, если он имеет постоянное трубное соединение с системой мойки сырой нефтью. Если нагреватель и источник подачи моечной воды находится в машинном отделении и устроен так, что может быть подключен к системе мойки танков только когда система полностью и безошибочно отсоединена от грузовой системы, тогда нагреватель и источник питания не считаются частью системы мойки сырой нефтью. Приспособления для присоединения к системе мойки танков находятся в районе грузовых танков.</w:t>
      </w:r>
    </w:p>
    <w:bookmarkEnd w:id="9703"/>
    <w:bookmarkStart w:name="z9758" w:id="9704"/>
    <w:p>
      <w:pPr>
        <w:spacing w:after="0"/>
        <w:ind w:left="0"/>
        <w:jc w:val="both"/>
      </w:pPr>
      <w:r>
        <w:rPr>
          <w:rFonts w:ascii="Times New Roman"/>
          <w:b w:val="false"/>
          <w:i w:val="false"/>
          <w:color w:val="000000"/>
          <w:sz w:val="28"/>
        </w:rPr>
        <w:t>
      3423. В качестве насосов, подающих сырую нефть к моечным машинкам грузовых танков, допускается использовать грузовые насосы или насосы, специально предусмотренные для этой цели. Необходимо чтобы конструкция насосов отвечала требованиям глав 268 и 367 настоящих Правил. Подача насосов должна быть достаточной для обеспечения необходимого расхода при заданном давлении для наибольшего числа моечных машинок, которые должны работать одновременно. Если для зачистки танков установлены эжекторы, дополнительно к указанному требованию насосы должны обеспечивать подачу рабочей жидкости на эжекторы. Подача насосов должна быть такой, чтобы обеспечивать эффективную мойку грузовых танков при выходе из строя одного из насосов.</w:t>
      </w:r>
    </w:p>
    <w:bookmarkEnd w:id="9704"/>
    <w:bookmarkStart w:name="z9759" w:id="9705"/>
    <w:p>
      <w:pPr>
        <w:spacing w:after="0"/>
        <w:ind w:left="0"/>
        <w:jc w:val="both"/>
      </w:pPr>
      <w:r>
        <w:rPr>
          <w:rFonts w:ascii="Times New Roman"/>
          <w:b w:val="false"/>
          <w:i w:val="false"/>
          <w:color w:val="000000"/>
          <w:sz w:val="28"/>
        </w:rPr>
        <w:t>
      3424. Трубопроводы зачистной системы оборудуются клапанами или другими запорными средствами, позволяющими отключать любые танки, которые не подвергаются в данное время зачистке. Зачистная система должна быть способна удалять нефть с интенсивностью в 1,25 раза большей, чем расход всех моечных машинок, которые при мойке должны работать одновременно. Если зачистная система оборудована насосами, то приборы для контроля их работы имеют указатель расхода или счетчик числа ходов поршня или частоты вращения в зависимости от типа насоса, а также манометры на всасывающих и нагнетательных патрубках или эквивалентные устройства. Если зачистная система оборудована эжекторами, то приборы для контроля их работы контролируют давление на входе и выходе рабочей жидкости и на всасывающем трубопроводе. Контрольные приборы имеют средства дистанционного контроля параметров из ПУГО или иного места, имеющего свободный доступ для персонала, ответственного за операции по мойке сырой нефтью.</w:t>
      </w:r>
    </w:p>
    <w:bookmarkEnd w:id="9705"/>
    <w:bookmarkStart w:name="z9760" w:id="9706"/>
    <w:p>
      <w:pPr>
        <w:spacing w:after="0"/>
        <w:ind w:left="0"/>
        <w:jc w:val="both"/>
      </w:pPr>
      <w:r>
        <w:rPr>
          <w:rFonts w:ascii="Times New Roman"/>
          <w:b w:val="false"/>
          <w:i w:val="false"/>
          <w:color w:val="000000"/>
          <w:sz w:val="28"/>
        </w:rPr>
        <w:t>
      3425. Предусматривается возможность опорожнения грузовых насосов и трубопроводов с помощью зачистной системы в грузовые или отстойные танки или в приемные сооружения. Для опорожнения любых грузовых насосов и трубопроводов в приемные сооружения предусматривается специальный трубопровод небольшого диаметра, присоединенный к сливной стороне клапанов приемно-отливных патрубков обоих бортов в соответствии с приложением 353 настоящих Правил. Площадь поперечного сечения трубопровода небольшого диаметра не превышает 10 % площади сечения главной грузовой магистрали.</w:t>
      </w:r>
    </w:p>
    <w:bookmarkEnd w:id="9706"/>
    <w:bookmarkStart w:name="z9761" w:id="9707"/>
    <w:p>
      <w:pPr>
        <w:spacing w:after="0"/>
        <w:ind w:left="0"/>
        <w:jc w:val="both"/>
      </w:pPr>
      <w:r>
        <w:rPr>
          <w:rFonts w:ascii="Times New Roman"/>
          <w:b w:val="false"/>
          <w:i w:val="false"/>
          <w:color w:val="000000"/>
          <w:sz w:val="28"/>
        </w:rPr>
        <w:t>
      3426. На нефтеналивных судах, имеющих в каждом танке индивидуальные грузовые насосы с автономной системой трубопроводов, а также установку с погружным грузовым насосом, предусматривающую систему удаления сохраненной нефти, специальный трубопровод небольшого диаметра может не устанавливаться, если общее количество нефти, оставшееся в танке после зачистки, и нефти в трубопроводах между приемно-отливным патрубком и танком меньше 0,00085 вместимости грузового танка.</w:t>
      </w:r>
    </w:p>
    <w:bookmarkEnd w:id="9707"/>
    <w:bookmarkStart w:name="z9762" w:id="9708"/>
    <w:p>
      <w:pPr>
        <w:spacing w:after="0"/>
        <w:ind w:left="0"/>
        <w:jc w:val="left"/>
      </w:pPr>
      <w:r>
        <w:rPr>
          <w:rFonts w:ascii="Times New Roman"/>
          <w:b/>
          <w:i w:val="false"/>
          <w:color w:val="000000"/>
        </w:rPr>
        <w:t xml:space="preserve"> Глава 279. Защита от статического электричества</w:t>
      </w:r>
    </w:p>
    <w:bookmarkEnd w:id="9708"/>
    <w:p>
      <w:pPr>
        <w:spacing w:after="0"/>
        <w:ind w:left="0"/>
        <w:jc w:val="both"/>
      </w:pPr>
      <w:r>
        <w:rPr>
          <w:rFonts w:ascii="Times New Roman"/>
          <w:b w:val="false"/>
          <w:i w:val="false"/>
          <w:color w:val="ff0000"/>
          <w:sz w:val="28"/>
        </w:rPr>
        <w:t xml:space="preserve">
      Сноска. Заголовок главы 279 -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63" w:id="9709"/>
    <w:p>
      <w:pPr>
        <w:spacing w:after="0"/>
        <w:ind w:left="0"/>
        <w:jc w:val="both"/>
      </w:pPr>
      <w:r>
        <w:rPr>
          <w:rFonts w:ascii="Times New Roman"/>
          <w:b w:val="false"/>
          <w:i w:val="false"/>
          <w:color w:val="000000"/>
          <w:sz w:val="28"/>
        </w:rPr>
        <w:t>
      3427. Грузовые шланги, шланги для сжатого воздуха, шланги для мойки танков и другие шланги, которые используются в грузовой зоне, должны отвечать требованиям подраздела 6 раздела 10 настоящих Правил, быть электропроводными по всей длине, включая их соединения и фланцы (за исключением береговых соединений), и должны быть заземлены в целях снятия электростатических зарядов.</w:t>
      </w:r>
    </w:p>
    <w:bookmarkEnd w:id="9709"/>
    <w:bookmarkStart w:name="z9764" w:id="9710"/>
    <w:p>
      <w:pPr>
        <w:spacing w:after="0"/>
        <w:ind w:left="0"/>
        <w:jc w:val="both"/>
      </w:pPr>
      <w:r>
        <w:rPr>
          <w:rFonts w:ascii="Times New Roman"/>
          <w:b w:val="false"/>
          <w:i w:val="false"/>
          <w:color w:val="000000"/>
          <w:sz w:val="28"/>
        </w:rPr>
        <w:t>
      3428. Переносные насосы и вентиляторы для использования в грузовой зоне имеют устройства для электростатического заземления перед началом эксплуатации.</w:t>
      </w:r>
    </w:p>
    <w:bookmarkEnd w:id="9710"/>
    <w:bookmarkStart w:name="z9765" w:id="9711"/>
    <w:p>
      <w:pPr>
        <w:spacing w:after="0"/>
        <w:ind w:left="0"/>
        <w:jc w:val="both"/>
      </w:pPr>
      <w:r>
        <w:rPr>
          <w:rFonts w:ascii="Times New Roman"/>
          <w:b w:val="false"/>
          <w:i w:val="false"/>
          <w:color w:val="000000"/>
          <w:sz w:val="28"/>
        </w:rPr>
        <w:t>
      3429. Грузовая система должна позволять регулировать интенсивность загрузки каждого отдельного танка так, чтобы в начальной стадии погрузки скорость потока на выходе приемного трубопровода в танке не превышала 1 м/с. Указанную скорость потока возможно увеличивать при оборудовании грузовых танков специальными приемными колодцами, снижающими уровень электризации среды в танке, конструкция которых представляется Регистру судоходства для одобрения. Скорость потока при максимальной интенсивности погрузки не должна превышать 7 м/с. Требования настоящего пункта допускается не выполнять, если грузовые танки инертизируются при проведении грузовых операций.</w:t>
      </w:r>
    </w:p>
    <w:bookmarkEnd w:id="9711"/>
    <w:bookmarkStart w:name="z9766" w:id="9712"/>
    <w:p>
      <w:pPr>
        <w:spacing w:after="0"/>
        <w:ind w:left="0"/>
        <w:jc w:val="left"/>
      </w:pPr>
      <w:r>
        <w:rPr>
          <w:rFonts w:ascii="Times New Roman"/>
          <w:b/>
          <w:i w:val="false"/>
          <w:color w:val="000000"/>
        </w:rPr>
        <w:t xml:space="preserve"> Глава 280. Контроль состава атмосферы в грузовой зоне</w:t>
      </w:r>
    </w:p>
    <w:bookmarkEnd w:id="9712"/>
    <w:p>
      <w:pPr>
        <w:spacing w:after="0"/>
        <w:ind w:left="0"/>
        <w:jc w:val="both"/>
      </w:pPr>
      <w:r>
        <w:rPr>
          <w:rFonts w:ascii="Times New Roman"/>
          <w:b w:val="false"/>
          <w:i w:val="false"/>
          <w:color w:val="ff0000"/>
          <w:sz w:val="28"/>
        </w:rPr>
        <w:t xml:space="preserve">
      Сноска. Заголовок главы 280 -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67" w:id="9713"/>
    <w:p>
      <w:pPr>
        <w:spacing w:after="0"/>
        <w:ind w:left="0"/>
        <w:jc w:val="both"/>
      </w:pPr>
      <w:r>
        <w:rPr>
          <w:rFonts w:ascii="Times New Roman"/>
          <w:b w:val="false"/>
          <w:i w:val="false"/>
          <w:color w:val="000000"/>
          <w:sz w:val="28"/>
        </w:rPr>
        <w:t>
      3430. На нефтеналивных и комбинированных судах должно быть не менее двух переносных приборов для измерения концентрации кислорода и воспламеняющихся паров (пункт 15 приложения 279 настоящих Правил).</w:t>
      </w:r>
    </w:p>
    <w:bookmarkEnd w:id="9713"/>
    <w:bookmarkStart w:name="z9768" w:id="9714"/>
    <w:p>
      <w:pPr>
        <w:spacing w:after="0"/>
        <w:ind w:left="0"/>
        <w:jc w:val="both"/>
      </w:pPr>
      <w:r>
        <w:rPr>
          <w:rFonts w:ascii="Times New Roman"/>
          <w:b w:val="false"/>
          <w:i w:val="false"/>
          <w:color w:val="000000"/>
          <w:sz w:val="28"/>
        </w:rPr>
        <w:t>
      3431. Предусматриваются конструктивные меры для облегчения замера концентрации воспламеняющихся паров во всех помещениях, расположенных в грузовой зоне. Проведение таких замеров должно быть возможным с открытой палубы или легкодоступных мест. Если состояние атмосферы в пространствах двойного корпуса не может быть достоверно замерено с использованием гибких шлангов отбора проб, такие пространства оборудуются постоянными трубопроводами отбора проб газа. Если используются трубы из пластмасс, они должны быть электропроводны.</w:t>
      </w:r>
    </w:p>
    <w:bookmarkEnd w:id="9714"/>
    <w:bookmarkStart w:name="z9769" w:id="9715"/>
    <w:p>
      <w:pPr>
        <w:spacing w:after="0"/>
        <w:ind w:left="0"/>
        <w:jc w:val="both"/>
      </w:pPr>
      <w:r>
        <w:rPr>
          <w:rFonts w:ascii="Times New Roman"/>
          <w:b w:val="false"/>
          <w:i w:val="false"/>
          <w:color w:val="000000"/>
          <w:sz w:val="28"/>
        </w:rPr>
        <w:t>
      3432. В грузовых насосных отделениях, а также в балластных насосных отделениях, если в них установлено оборудование, содержащее груз, устанавливается система непрерывного замера концентрации паров углеводородов. Заборы проб атмосферы для анализа должны быть последовательными (включая канал вытяжной вентиляции). Время между замерами должно быть по возможности короче. Чувствительные элементы приборов газоанализа располагаются в зонах, где циркуляция воздуха ограничена (в нишах и удаленных углах). Если концентрация паров углеводородов достигает предусмотренного уровня, который не должен превышать 10 % от нижнего предела воспламеняемости, автоматически подается непрерывный звуковой и световой сигналы аварийно-предупредительной сигнализации в насосном отделении, ЦПУ, ПУГО и на ходовом мостике с целью привлечения внимания к потенциальной опасности.</w:t>
      </w:r>
    </w:p>
    <w:bookmarkEnd w:id="9715"/>
    <w:bookmarkStart w:name="z9770" w:id="9716"/>
    <w:p>
      <w:pPr>
        <w:spacing w:after="0"/>
        <w:ind w:left="0"/>
        <w:jc w:val="both"/>
      </w:pPr>
      <w:r>
        <w:rPr>
          <w:rFonts w:ascii="Times New Roman"/>
          <w:b w:val="false"/>
          <w:i w:val="false"/>
          <w:color w:val="000000"/>
          <w:sz w:val="28"/>
        </w:rPr>
        <w:t>
      На комбинированных судах такая система помимо грузовых насосных отделений устанавливается в смежных со сливными цистернами коффердамах и туннелях трубопроводов.</w:t>
      </w:r>
    </w:p>
    <w:bookmarkEnd w:id="9716"/>
    <w:bookmarkStart w:name="z9771" w:id="9717"/>
    <w:p>
      <w:pPr>
        <w:spacing w:after="0"/>
        <w:ind w:left="0"/>
        <w:jc w:val="both"/>
      </w:pPr>
      <w:r>
        <w:rPr>
          <w:rFonts w:ascii="Times New Roman"/>
          <w:b w:val="false"/>
          <w:i w:val="false"/>
          <w:color w:val="000000"/>
          <w:sz w:val="28"/>
        </w:rPr>
        <w:t>
      3433. Если стационарные газоанализаторы установлены за пределами грузовой зоны, выполняются следующие условия:</w:t>
      </w:r>
    </w:p>
    <w:bookmarkEnd w:id="9717"/>
    <w:bookmarkStart w:name="z9772" w:id="9718"/>
    <w:p>
      <w:pPr>
        <w:spacing w:after="0"/>
        <w:ind w:left="0"/>
        <w:jc w:val="both"/>
      </w:pPr>
      <w:r>
        <w:rPr>
          <w:rFonts w:ascii="Times New Roman"/>
          <w:b w:val="false"/>
          <w:i w:val="false"/>
          <w:color w:val="000000"/>
          <w:sz w:val="28"/>
        </w:rPr>
        <w:t>
      1) трубопроводы отбора проб оборудуются огнегасителями, пробный газ уходит в атмосферу через специальную выпускную трубу, расположенную в безопасном месте;</w:t>
      </w:r>
    </w:p>
    <w:bookmarkEnd w:id="9718"/>
    <w:bookmarkStart w:name="z9773" w:id="9719"/>
    <w:p>
      <w:pPr>
        <w:spacing w:after="0"/>
        <w:ind w:left="0"/>
        <w:jc w:val="both"/>
      </w:pPr>
      <w:r>
        <w:rPr>
          <w:rFonts w:ascii="Times New Roman"/>
          <w:b w:val="false"/>
          <w:i w:val="false"/>
          <w:color w:val="000000"/>
          <w:sz w:val="28"/>
        </w:rPr>
        <w:t>
      2) узлы прохода трубопроводов отбора проб через газонепроницаемые переборки должны быть одобренного типа и иметь такую же огнестойкость, как переборка;</w:t>
      </w:r>
    </w:p>
    <w:bookmarkEnd w:id="9719"/>
    <w:bookmarkStart w:name="z9774" w:id="9720"/>
    <w:p>
      <w:pPr>
        <w:spacing w:after="0"/>
        <w:ind w:left="0"/>
        <w:jc w:val="both"/>
      </w:pPr>
      <w:r>
        <w:rPr>
          <w:rFonts w:ascii="Times New Roman"/>
          <w:b w:val="false"/>
          <w:i w:val="false"/>
          <w:color w:val="000000"/>
          <w:sz w:val="28"/>
        </w:rPr>
        <w:t>
      3) каждый трубопровод отбора проб оборудуют ручным изолирующим клапаном, установленным на газонепроницаемой переборке с газобезопасной стороны;</w:t>
      </w:r>
    </w:p>
    <w:bookmarkEnd w:id="9720"/>
    <w:bookmarkStart w:name="z9775" w:id="9721"/>
    <w:p>
      <w:pPr>
        <w:spacing w:after="0"/>
        <w:ind w:left="0"/>
        <w:jc w:val="both"/>
      </w:pPr>
      <w:r>
        <w:rPr>
          <w:rFonts w:ascii="Times New Roman"/>
          <w:b w:val="false"/>
          <w:i w:val="false"/>
          <w:color w:val="000000"/>
          <w:sz w:val="28"/>
        </w:rPr>
        <w:t>
      4) приборы и оборудование для газоанализа располагают в специальном герметичном стальном шкафу. Одна из точек замера располагается внутри шкафа. При достижении внутри шкафа концентрации опасных газов 30 % от нижнего предела воспламеняемости подвод газа к газоанализатору автоматически прекращается;</w:t>
      </w:r>
    </w:p>
    <w:bookmarkEnd w:id="9721"/>
    <w:bookmarkStart w:name="z9776" w:id="9722"/>
    <w:p>
      <w:pPr>
        <w:spacing w:after="0"/>
        <w:ind w:left="0"/>
        <w:jc w:val="both"/>
      </w:pPr>
      <w:r>
        <w:rPr>
          <w:rFonts w:ascii="Times New Roman"/>
          <w:b w:val="false"/>
          <w:i w:val="false"/>
          <w:color w:val="000000"/>
          <w:sz w:val="28"/>
        </w:rPr>
        <w:t>
      5) трубопроводы отбора проб, как правило, не прокладываются через помещения вне газоопасной зоны. Если нет возможности разместить шкаф для газоанализа на газонепроницаемой переборке, то трубопроводы отбора проб должны быть как можно более короткие, выполнены из стали или эквивалентного ей материала и не иметь разъемных соединений, за исключением соединений со шкафом газоанализа и изолирующими клапанами на газонепроницаемой переборке.</w:t>
      </w:r>
    </w:p>
    <w:bookmarkEnd w:id="9722"/>
    <w:bookmarkStart w:name="z9777" w:id="9723"/>
    <w:p>
      <w:pPr>
        <w:spacing w:after="0"/>
        <w:ind w:left="0"/>
        <w:jc w:val="both"/>
      </w:pPr>
      <w:r>
        <w:rPr>
          <w:rFonts w:ascii="Times New Roman"/>
          <w:b w:val="false"/>
          <w:i w:val="false"/>
          <w:color w:val="000000"/>
          <w:sz w:val="28"/>
        </w:rPr>
        <w:t>
      3434. На нефтесборных судах и сборщиках льяльных вод пробоотборные устройства или датчики системы контроля воздушной среды устанавливаются в следующих местах:</w:t>
      </w:r>
    </w:p>
    <w:bookmarkEnd w:id="9723"/>
    <w:bookmarkStart w:name="z9778" w:id="9724"/>
    <w:p>
      <w:pPr>
        <w:spacing w:after="0"/>
        <w:ind w:left="0"/>
        <w:jc w:val="both"/>
      </w:pPr>
      <w:r>
        <w:rPr>
          <w:rFonts w:ascii="Times New Roman"/>
          <w:b w:val="false"/>
          <w:i w:val="false"/>
          <w:color w:val="000000"/>
          <w:sz w:val="28"/>
        </w:rPr>
        <w:t>
      1) вблизи отверстий приточной вентиляции;</w:t>
      </w:r>
    </w:p>
    <w:bookmarkEnd w:id="9724"/>
    <w:bookmarkStart w:name="z9779" w:id="9725"/>
    <w:p>
      <w:pPr>
        <w:spacing w:after="0"/>
        <w:ind w:left="0"/>
        <w:jc w:val="both"/>
      </w:pPr>
      <w:r>
        <w:rPr>
          <w:rFonts w:ascii="Times New Roman"/>
          <w:b w:val="false"/>
          <w:i w:val="false"/>
          <w:color w:val="000000"/>
          <w:sz w:val="28"/>
        </w:rPr>
        <w:t>
      2) по крайней мере, в двух местах на открытой палубе на высоте не более 1 м от нее;</w:t>
      </w:r>
    </w:p>
    <w:bookmarkEnd w:id="9725"/>
    <w:bookmarkStart w:name="z9780" w:id="9726"/>
    <w:p>
      <w:pPr>
        <w:spacing w:after="0"/>
        <w:ind w:left="0"/>
        <w:jc w:val="both"/>
      </w:pPr>
      <w:r>
        <w:rPr>
          <w:rFonts w:ascii="Times New Roman"/>
          <w:b w:val="false"/>
          <w:i w:val="false"/>
          <w:color w:val="000000"/>
          <w:sz w:val="28"/>
        </w:rPr>
        <w:t>
      3) в машинном помещении категории А;</w:t>
      </w:r>
    </w:p>
    <w:bookmarkEnd w:id="9726"/>
    <w:bookmarkStart w:name="z9781" w:id="9727"/>
    <w:p>
      <w:pPr>
        <w:spacing w:after="0"/>
        <w:ind w:left="0"/>
        <w:jc w:val="both"/>
      </w:pPr>
      <w:r>
        <w:rPr>
          <w:rFonts w:ascii="Times New Roman"/>
          <w:b w:val="false"/>
          <w:i w:val="false"/>
          <w:color w:val="000000"/>
          <w:sz w:val="28"/>
        </w:rPr>
        <w:t>
      4) в воздушных тамбурах;</w:t>
      </w:r>
    </w:p>
    <w:bookmarkEnd w:id="9727"/>
    <w:bookmarkStart w:name="z9782" w:id="9728"/>
    <w:p>
      <w:pPr>
        <w:spacing w:after="0"/>
        <w:ind w:left="0"/>
        <w:jc w:val="both"/>
      </w:pPr>
      <w:r>
        <w:rPr>
          <w:rFonts w:ascii="Times New Roman"/>
          <w:b w:val="false"/>
          <w:i w:val="false"/>
          <w:color w:val="000000"/>
          <w:sz w:val="28"/>
        </w:rPr>
        <w:t>
      5) в коффердамах, примыкающих к грузовым танкам.</w:t>
      </w:r>
    </w:p>
    <w:bookmarkEnd w:id="9728"/>
    <w:bookmarkStart w:name="z9783" w:id="9729"/>
    <w:p>
      <w:pPr>
        <w:spacing w:after="0"/>
        <w:ind w:left="0"/>
        <w:jc w:val="left"/>
      </w:pPr>
      <w:r>
        <w:rPr>
          <w:rFonts w:ascii="Times New Roman"/>
          <w:b/>
          <w:i w:val="false"/>
          <w:color w:val="000000"/>
        </w:rPr>
        <w:t xml:space="preserve"> Глава 281. Система сбора нефти нефтесборных судов</w:t>
      </w:r>
    </w:p>
    <w:bookmarkEnd w:id="9729"/>
    <w:p>
      <w:pPr>
        <w:spacing w:after="0"/>
        <w:ind w:left="0"/>
        <w:jc w:val="both"/>
      </w:pPr>
      <w:r>
        <w:rPr>
          <w:rFonts w:ascii="Times New Roman"/>
          <w:b w:val="false"/>
          <w:i w:val="false"/>
          <w:color w:val="ff0000"/>
          <w:sz w:val="28"/>
        </w:rPr>
        <w:t xml:space="preserve">
      Сноска. Заголовок главы 281 -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84" w:id="9730"/>
    <w:p>
      <w:pPr>
        <w:spacing w:after="0"/>
        <w:ind w:left="0"/>
        <w:jc w:val="both"/>
      </w:pPr>
      <w:r>
        <w:rPr>
          <w:rFonts w:ascii="Times New Roman"/>
          <w:b w:val="false"/>
          <w:i w:val="false"/>
          <w:color w:val="000000"/>
          <w:sz w:val="28"/>
        </w:rPr>
        <w:t>
      3435. Система и устройства для сбора и перекачки нефти размещаются вне машинных и жилых помещений.</w:t>
      </w:r>
    </w:p>
    <w:bookmarkEnd w:id="9730"/>
    <w:bookmarkStart w:name="z9785" w:id="9731"/>
    <w:p>
      <w:pPr>
        <w:spacing w:after="0"/>
        <w:ind w:left="0"/>
        <w:jc w:val="both"/>
      </w:pPr>
      <w:r>
        <w:rPr>
          <w:rFonts w:ascii="Times New Roman"/>
          <w:b w:val="false"/>
          <w:i w:val="false"/>
          <w:color w:val="000000"/>
          <w:sz w:val="28"/>
        </w:rPr>
        <w:t>
      3436. Система обеспечивает сбор и перекачку собранной нефти.</w:t>
      </w:r>
    </w:p>
    <w:bookmarkEnd w:id="9731"/>
    <w:bookmarkStart w:name="z9786" w:id="9732"/>
    <w:p>
      <w:pPr>
        <w:spacing w:after="0"/>
        <w:ind w:left="0"/>
        <w:jc w:val="both"/>
      </w:pPr>
      <w:r>
        <w:rPr>
          <w:rFonts w:ascii="Times New Roman"/>
          <w:b w:val="false"/>
          <w:i w:val="false"/>
          <w:color w:val="000000"/>
          <w:sz w:val="28"/>
        </w:rPr>
        <w:t>
      3437. В случае, когда на судах многоцелевого назначения стационарная система сбора нефти не совместима с грузом штатной грузовой системы, предусматриваются соответствующие разобщающие устройства.</w:t>
      </w:r>
    </w:p>
    <w:bookmarkEnd w:id="9732"/>
    <w:bookmarkStart w:name="z9787" w:id="9733"/>
    <w:p>
      <w:pPr>
        <w:spacing w:after="0"/>
        <w:ind w:left="0"/>
        <w:jc w:val="both"/>
      </w:pPr>
      <w:r>
        <w:rPr>
          <w:rFonts w:ascii="Times New Roman"/>
          <w:b w:val="false"/>
          <w:i w:val="false"/>
          <w:color w:val="000000"/>
          <w:sz w:val="28"/>
        </w:rPr>
        <w:t>
      3438. Если судно снабжается переносным нефтесборным оборудованием, то для подсоединения отливных шлангов нефтесборного оборудования на верхней палубе предусматривается не более двух приемных патрубков, соединенных трубопроводами со всеми танками для сбора нефти.</w:t>
      </w:r>
    </w:p>
    <w:bookmarkEnd w:id="9733"/>
    <w:bookmarkStart w:name="z9788" w:id="9734"/>
    <w:p>
      <w:pPr>
        <w:spacing w:after="0"/>
        <w:ind w:left="0"/>
        <w:jc w:val="both"/>
      </w:pPr>
      <w:r>
        <w:rPr>
          <w:rFonts w:ascii="Times New Roman"/>
          <w:b w:val="false"/>
          <w:i w:val="false"/>
          <w:color w:val="000000"/>
          <w:sz w:val="28"/>
        </w:rPr>
        <w:t>
      Расположение приемных патрубков на верхней палубе обеспечивает возможность одновременного подключения двух нефтесборных систем, установленных по разным бортам нефтесборного судна.</w:t>
      </w:r>
    </w:p>
    <w:bookmarkEnd w:id="9734"/>
    <w:bookmarkStart w:name="z9789" w:id="9735"/>
    <w:p>
      <w:pPr>
        <w:spacing w:after="0"/>
        <w:ind w:left="0"/>
        <w:jc w:val="both"/>
      </w:pPr>
      <w:r>
        <w:rPr>
          <w:rFonts w:ascii="Times New Roman"/>
          <w:b w:val="false"/>
          <w:i w:val="false"/>
          <w:color w:val="000000"/>
          <w:sz w:val="28"/>
        </w:rPr>
        <w:t>
      Трубопроводы, соединяющие приемные патрубки с танками, не прокладываются через жилые и служебные помещения, расположенные на уровне открытой палубы.</w:t>
      </w:r>
    </w:p>
    <w:bookmarkEnd w:id="9735"/>
    <w:bookmarkStart w:name="z9790" w:id="9736"/>
    <w:p>
      <w:pPr>
        <w:spacing w:after="0"/>
        <w:ind w:left="0"/>
        <w:jc w:val="both"/>
      </w:pPr>
      <w:r>
        <w:rPr>
          <w:rFonts w:ascii="Times New Roman"/>
          <w:b w:val="false"/>
          <w:i w:val="false"/>
          <w:color w:val="000000"/>
          <w:sz w:val="28"/>
        </w:rPr>
        <w:t>
      Прокладка трубопроводов через закрытые взрывобезопасные помещения (пункт 5755 настоящих Правил) является в каждом случае предметом специального рассмотрения Регистром судоходства.</w:t>
      </w:r>
    </w:p>
    <w:bookmarkEnd w:id="9736"/>
    <w:bookmarkStart w:name="z9791" w:id="9737"/>
    <w:p>
      <w:pPr>
        <w:spacing w:after="0"/>
        <w:ind w:left="0"/>
        <w:jc w:val="left"/>
      </w:pPr>
      <w:r>
        <w:rPr>
          <w:rFonts w:ascii="Times New Roman"/>
          <w:b/>
          <w:i w:val="false"/>
          <w:color w:val="000000"/>
        </w:rPr>
        <w:t xml:space="preserve"> Глава 282. Система инертных газов</w:t>
      </w:r>
    </w:p>
    <w:bookmarkEnd w:id="9737"/>
    <w:p>
      <w:pPr>
        <w:spacing w:after="0"/>
        <w:ind w:left="0"/>
        <w:jc w:val="both"/>
      </w:pPr>
      <w:r>
        <w:rPr>
          <w:rFonts w:ascii="Times New Roman"/>
          <w:b w:val="false"/>
          <w:i w:val="false"/>
          <w:color w:val="ff0000"/>
          <w:sz w:val="28"/>
        </w:rPr>
        <w:t xml:space="preserve">
      Сноска. Заголовок главы 282 -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92" w:id="9738"/>
    <w:p>
      <w:pPr>
        <w:spacing w:after="0"/>
        <w:ind w:left="0"/>
        <w:jc w:val="left"/>
      </w:pPr>
      <w:r>
        <w:rPr>
          <w:rFonts w:ascii="Times New Roman"/>
          <w:b/>
          <w:i w:val="false"/>
          <w:color w:val="000000"/>
        </w:rPr>
        <w:t xml:space="preserve"> Параграф 1. Общие требования</w:t>
      </w:r>
    </w:p>
    <w:bookmarkEnd w:id="9738"/>
    <w:bookmarkStart w:name="z9793" w:id="9739"/>
    <w:p>
      <w:pPr>
        <w:spacing w:after="0"/>
        <w:ind w:left="0"/>
        <w:jc w:val="both"/>
      </w:pPr>
      <w:r>
        <w:rPr>
          <w:rFonts w:ascii="Times New Roman"/>
          <w:b w:val="false"/>
          <w:i w:val="false"/>
          <w:color w:val="000000"/>
          <w:sz w:val="28"/>
        </w:rPr>
        <w:t xml:space="preserve">
      3439. Нефтеналивные суда, дедвейтом 20000 и более, предназначенные для перевозки горючих жидкостей с температурой вспышки 60 </w:t>
      </w:r>
      <w:r>
        <w:rPr>
          <w:rFonts w:ascii="Times New Roman"/>
          <w:b w:val="false"/>
          <w:i w:val="false"/>
          <w:color w:val="000000"/>
          <w:vertAlign w:val="superscript"/>
        </w:rPr>
        <w:t>о</w:t>
      </w:r>
      <w:r>
        <w:rPr>
          <w:rFonts w:ascii="Times New Roman"/>
          <w:b w:val="false"/>
          <w:i w:val="false"/>
          <w:color w:val="000000"/>
          <w:sz w:val="28"/>
        </w:rPr>
        <w:t>С и ниже, а так же любые нефтеналивные суда оборудованные системой мойки грузовых танков сырой нефтью, оборудуются стационарной системой инертных газов, отвечающей требованиям параграфов 8, 9 или 12 настоящей главы, производительностью, указанной в параграфе 2 настоящей главы. Если судно оборудовано системой инертного газа, соответствующей требованиям настоящей главы, то к основному символу класса судна добавляется специальный знак IGS-IG, IGS-NG или IGS-Pad, как это указано в параграфе 9 главы 2 настоящих Правил.</w:t>
      </w:r>
    </w:p>
    <w:bookmarkEnd w:id="9739"/>
    <w:bookmarkStart w:name="z9794" w:id="9740"/>
    <w:p>
      <w:pPr>
        <w:spacing w:after="0"/>
        <w:ind w:left="0"/>
        <w:jc w:val="both"/>
      </w:pPr>
      <w:r>
        <w:rPr>
          <w:rFonts w:ascii="Times New Roman"/>
          <w:b w:val="false"/>
          <w:i w:val="false"/>
          <w:color w:val="000000"/>
          <w:sz w:val="28"/>
        </w:rPr>
        <w:t>
      3440. Систему инертных газов допускается применять в качестве средства, предупреждающего возникновение пожара путем создания и постоянного поддержания в грузовых танках невоспламеняющейся атмосферы, кроме случая, когда необходимо провести их дегазацию.</w:t>
      </w:r>
    </w:p>
    <w:bookmarkEnd w:id="9740"/>
    <w:bookmarkStart w:name="z9795" w:id="9741"/>
    <w:p>
      <w:pPr>
        <w:spacing w:after="0"/>
        <w:ind w:left="0"/>
        <w:jc w:val="both"/>
      </w:pPr>
      <w:r>
        <w:rPr>
          <w:rFonts w:ascii="Times New Roman"/>
          <w:b w:val="false"/>
          <w:i w:val="false"/>
          <w:color w:val="000000"/>
          <w:sz w:val="28"/>
        </w:rPr>
        <w:t>
      Система обеспечивает:</w:t>
      </w:r>
    </w:p>
    <w:bookmarkEnd w:id="9741"/>
    <w:bookmarkStart w:name="z9796" w:id="9742"/>
    <w:p>
      <w:pPr>
        <w:spacing w:after="0"/>
        <w:ind w:left="0"/>
        <w:jc w:val="both"/>
      </w:pPr>
      <w:r>
        <w:rPr>
          <w:rFonts w:ascii="Times New Roman"/>
          <w:b w:val="false"/>
          <w:i w:val="false"/>
          <w:color w:val="000000"/>
          <w:sz w:val="28"/>
        </w:rPr>
        <w:t>
      1) поддержание в любой части грузового танка атмосферы с содержанием кислорода не более 8 % по объему и избыточного давления в любое время нахождения судна в порту и в море, за исключением периода проведения дегазации такого танка; поддержание в любой части трюма атмосферы с содержанием кислорода не более 14 % по объему;</w:t>
      </w:r>
    </w:p>
    <w:bookmarkEnd w:id="9742"/>
    <w:bookmarkStart w:name="z9797" w:id="9743"/>
    <w:p>
      <w:pPr>
        <w:spacing w:after="0"/>
        <w:ind w:left="0"/>
        <w:jc w:val="both"/>
      </w:pPr>
      <w:r>
        <w:rPr>
          <w:rFonts w:ascii="Times New Roman"/>
          <w:b w:val="false"/>
          <w:i w:val="false"/>
          <w:color w:val="000000"/>
          <w:sz w:val="28"/>
        </w:rPr>
        <w:t>
      2) исключение необходимости подачи воздуха в танк при обычных операциях, кроме случаев проведения дегазации такого танка;</w:t>
      </w:r>
    </w:p>
    <w:bookmarkEnd w:id="9743"/>
    <w:bookmarkStart w:name="z9798" w:id="9744"/>
    <w:p>
      <w:pPr>
        <w:spacing w:after="0"/>
        <w:ind w:left="0"/>
        <w:jc w:val="both"/>
      </w:pPr>
      <w:r>
        <w:rPr>
          <w:rFonts w:ascii="Times New Roman"/>
          <w:b w:val="false"/>
          <w:i w:val="false"/>
          <w:color w:val="000000"/>
          <w:sz w:val="28"/>
        </w:rPr>
        <w:t>
      3) продувку порожних грузовых танков инертным газом и воздухом.</w:t>
      </w:r>
    </w:p>
    <w:bookmarkEnd w:id="9744"/>
    <w:bookmarkStart w:name="z9799" w:id="9745"/>
    <w:p>
      <w:pPr>
        <w:spacing w:after="0"/>
        <w:ind w:left="0"/>
        <w:jc w:val="both"/>
      </w:pPr>
      <w:r>
        <w:rPr>
          <w:rFonts w:ascii="Times New Roman"/>
          <w:b w:val="false"/>
          <w:i w:val="false"/>
          <w:color w:val="000000"/>
          <w:sz w:val="28"/>
        </w:rPr>
        <w:t>
      3441. В грузовые танки подается инертный газ с содержанием кислорода не более 5 % по объему.</w:t>
      </w:r>
    </w:p>
    <w:bookmarkEnd w:id="9745"/>
    <w:bookmarkStart w:name="z9800" w:id="9746"/>
    <w:p>
      <w:pPr>
        <w:spacing w:after="0"/>
        <w:ind w:left="0"/>
        <w:jc w:val="both"/>
      </w:pPr>
      <w:r>
        <w:rPr>
          <w:rFonts w:ascii="Times New Roman"/>
          <w:b w:val="false"/>
          <w:i w:val="false"/>
          <w:color w:val="000000"/>
          <w:sz w:val="28"/>
        </w:rPr>
        <w:t>
      3442. Температура газа, поступающего в защищаемое помещение, должна быть:</w:t>
      </w:r>
    </w:p>
    <w:bookmarkEnd w:id="9746"/>
    <w:bookmarkStart w:name="z9801" w:id="9747"/>
    <w:p>
      <w:pPr>
        <w:spacing w:after="0"/>
        <w:ind w:left="0"/>
        <w:jc w:val="both"/>
      </w:pPr>
      <w:r>
        <w:rPr>
          <w:rFonts w:ascii="Times New Roman"/>
          <w:b w:val="false"/>
          <w:i w:val="false"/>
          <w:color w:val="000000"/>
          <w:sz w:val="28"/>
        </w:rPr>
        <w:t xml:space="preserve">
      1) для грузовых танков — не более 65 </w:t>
      </w:r>
      <w:r>
        <w:rPr>
          <w:rFonts w:ascii="Times New Roman"/>
          <w:b w:val="false"/>
          <w:i w:val="false"/>
          <w:color w:val="000000"/>
          <w:vertAlign w:val="superscript"/>
        </w:rPr>
        <w:t>о</w:t>
      </w:r>
      <w:r>
        <w:rPr>
          <w:rFonts w:ascii="Times New Roman"/>
          <w:b w:val="false"/>
          <w:i w:val="false"/>
          <w:color w:val="000000"/>
          <w:sz w:val="28"/>
        </w:rPr>
        <w:t>С;</w:t>
      </w:r>
    </w:p>
    <w:bookmarkEnd w:id="9747"/>
    <w:bookmarkStart w:name="z9802" w:id="9748"/>
    <w:p>
      <w:pPr>
        <w:spacing w:after="0"/>
        <w:ind w:left="0"/>
        <w:jc w:val="both"/>
      </w:pPr>
      <w:r>
        <w:rPr>
          <w:rFonts w:ascii="Times New Roman"/>
          <w:b w:val="false"/>
          <w:i w:val="false"/>
          <w:color w:val="000000"/>
          <w:sz w:val="28"/>
        </w:rPr>
        <w:t xml:space="preserve">
      2) для сухогрузных трюмов — не более 50 </w:t>
      </w:r>
      <w:r>
        <w:rPr>
          <w:rFonts w:ascii="Times New Roman"/>
          <w:b w:val="false"/>
          <w:i w:val="false"/>
          <w:color w:val="000000"/>
          <w:vertAlign w:val="superscript"/>
        </w:rPr>
        <w:t>о</w:t>
      </w:r>
      <w:r>
        <w:rPr>
          <w:rFonts w:ascii="Times New Roman"/>
          <w:b w:val="false"/>
          <w:i w:val="false"/>
          <w:color w:val="000000"/>
          <w:sz w:val="28"/>
        </w:rPr>
        <w:t>С.</w:t>
      </w:r>
    </w:p>
    <w:bookmarkEnd w:id="9748"/>
    <w:bookmarkStart w:name="z9803" w:id="9749"/>
    <w:p>
      <w:pPr>
        <w:spacing w:after="0"/>
        <w:ind w:left="0"/>
        <w:jc w:val="both"/>
      </w:pPr>
      <w:r>
        <w:rPr>
          <w:rFonts w:ascii="Times New Roman"/>
          <w:b w:val="false"/>
          <w:i w:val="false"/>
          <w:color w:val="000000"/>
          <w:sz w:val="28"/>
        </w:rPr>
        <w:t>
      3443. В качестве инертного газа допускается использовать прошедшие обработку дымовые газы главных или вспомогательных котлов или от специально установленных генераторов. Регистр судоходства допускает применение систем, использующих другие источники инертных газов или любое сочетание таких источников при условии обеспечения равного уровня безопасности. Каждый из источников оборудуется автоматическим регулятором горения, обеспечивающим выполнение требования пункта 3441 настоящих Правил.</w:t>
      </w:r>
    </w:p>
    <w:bookmarkEnd w:id="9749"/>
    <w:bookmarkStart w:name="z9804" w:id="9750"/>
    <w:p>
      <w:pPr>
        <w:spacing w:after="0"/>
        <w:ind w:left="0"/>
        <w:jc w:val="both"/>
      </w:pPr>
      <w:r>
        <w:rPr>
          <w:rFonts w:ascii="Times New Roman"/>
          <w:b w:val="false"/>
          <w:i w:val="false"/>
          <w:color w:val="000000"/>
          <w:sz w:val="28"/>
        </w:rPr>
        <w:t>
      Система углекислотного тушения из-за опасности воспламенения смеси паров легковоспламеняющихся жидкостей с воздухом от разрядов статического электричества, образующегося при подаче углекислого газа, не используется для целей инертизации.</w:t>
      </w:r>
    </w:p>
    <w:bookmarkEnd w:id="9750"/>
    <w:bookmarkStart w:name="z9805" w:id="9751"/>
    <w:p>
      <w:pPr>
        <w:spacing w:after="0"/>
        <w:ind w:left="0"/>
        <w:jc w:val="left"/>
      </w:pPr>
      <w:r>
        <w:rPr>
          <w:rFonts w:ascii="Times New Roman"/>
          <w:b/>
          <w:i w:val="false"/>
          <w:color w:val="000000"/>
        </w:rPr>
        <w:t xml:space="preserve"> Параграф 2. Производительность</w:t>
      </w:r>
    </w:p>
    <w:bookmarkEnd w:id="9751"/>
    <w:bookmarkStart w:name="z9806" w:id="9752"/>
    <w:p>
      <w:pPr>
        <w:spacing w:after="0"/>
        <w:ind w:left="0"/>
        <w:jc w:val="both"/>
      </w:pPr>
      <w:r>
        <w:rPr>
          <w:rFonts w:ascii="Times New Roman"/>
          <w:b w:val="false"/>
          <w:i w:val="false"/>
          <w:color w:val="000000"/>
          <w:sz w:val="28"/>
        </w:rPr>
        <w:t>
      3444. Для судов, указанных в пункте 3439 настоящих Правил, а так же имеющих специальный знак IGS-IG или IGS-NG, система инертных газов имеет производительность не менее 125 % максимальной суммарной подачи грузовых насосов при разгрузке судна.</w:t>
      </w:r>
    </w:p>
    <w:bookmarkEnd w:id="9752"/>
    <w:bookmarkStart w:name="z9807" w:id="9753"/>
    <w:p>
      <w:pPr>
        <w:spacing w:after="0"/>
        <w:ind w:left="0"/>
        <w:jc w:val="both"/>
      </w:pPr>
      <w:r>
        <w:rPr>
          <w:rFonts w:ascii="Times New Roman"/>
          <w:b w:val="false"/>
          <w:i w:val="false"/>
          <w:color w:val="000000"/>
          <w:sz w:val="28"/>
        </w:rPr>
        <w:t>
      3445. Для судов, не указанных в пункте 3439 настоящих Правил, а так же имеющих специальный знак IGS-Pad, система инертных газов имеет производительность, достаточную для создания изолирующего слоя в грузовых танках, инертизации, при необходимости, помещений, смежных с грузовыми танками, и восполнения потерь инертного газа во время рейса, или соответствующий запас газа в баллонах.</w:t>
      </w:r>
    </w:p>
    <w:bookmarkEnd w:id="9753"/>
    <w:bookmarkStart w:name="z9808" w:id="9754"/>
    <w:p>
      <w:pPr>
        <w:spacing w:after="0"/>
        <w:ind w:left="0"/>
        <w:jc w:val="left"/>
      </w:pPr>
      <w:r>
        <w:rPr>
          <w:rFonts w:ascii="Times New Roman"/>
          <w:b/>
          <w:i w:val="false"/>
          <w:color w:val="000000"/>
        </w:rPr>
        <w:t xml:space="preserve"> Параграф 3. Оборудование</w:t>
      </w:r>
    </w:p>
    <w:bookmarkEnd w:id="9754"/>
    <w:bookmarkStart w:name="z9809" w:id="9755"/>
    <w:p>
      <w:pPr>
        <w:spacing w:after="0"/>
        <w:ind w:left="0"/>
        <w:jc w:val="both"/>
      </w:pPr>
      <w:r>
        <w:rPr>
          <w:rFonts w:ascii="Times New Roman"/>
          <w:b w:val="false"/>
          <w:i w:val="false"/>
          <w:color w:val="000000"/>
          <w:sz w:val="28"/>
        </w:rPr>
        <w:t>
      3446. Для эффективного охлаждения и очистки газа от твердых частиц и сернистых соединений устанавливается скруббер. Вода подается от автономного насоса. Необходимо предусмотреть подачу охлаждающей воды от резервного насоса без ущерба для других ответственных потребителей.</w:t>
      </w:r>
    </w:p>
    <w:bookmarkEnd w:id="9755"/>
    <w:bookmarkStart w:name="z9810" w:id="9756"/>
    <w:p>
      <w:pPr>
        <w:spacing w:after="0"/>
        <w:ind w:left="0"/>
        <w:jc w:val="both"/>
      </w:pPr>
      <w:r>
        <w:rPr>
          <w:rFonts w:ascii="Times New Roman"/>
          <w:b w:val="false"/>
          <w:i w:val="false"/>
          <w:color w:val="000000"/>
          <w:sz w:val="28"/>
        </w:rPr>
        <w:t xml:space="preserve">
      3447. Конструкция скруббера обеспечивает падение производительности не более чем на 3 % и увеличение температуры газа на выходе не более чем на 3 </w:t>
      </w:r>
      <w:r>
        <w:rPr>
          <w:rFonts w:ascii="Times New Roman"/>
          <w:b w:val="false"/>
          <w:i w:val="false"/>
          <w:color w:val="000000"/>
          <w:vertAlign w:val="superscript"/>
        </w:rPr>
        <w:t>о</w:t>
      </w:r>
      <w:r>
        <w:rPr>
          <w:rFonts w:ascii="Times New Roman"/>
          <w:b w:val="false"/>
          <w:i w:val="false"/>
          <w:color w:val="000000"/>
          <w:sz w:val="28"/>
        </w:rPr>
        <w:t>С по сравнению с расчетными величинами при нормальных условиях крена и дифферента.</w:t>
      </w:r>
    </w:p>
    <w:bookmarkEnd w:id="9756"/>
    <w:bookmarkStart w:name="z9811" w:id="9757"/>
    <w:p>
      <w:pPr>
        <w:spacing w:after="0"/>
        <w:ind w:left="0"/>
        <w:jc w:val="both"/>
      </w:pPr>
      <w:r>
        <w:rPr>
          <w:rFonts w:ascii="Times New Roman"/>
          <w:b w:val="false"/>
          <w:i w:val="false"/>
          <w:color w:val="000000"/>
          <w:sz w:val="28"/>
        </w:rPr>
        <w:t>
      3448. В корпусе скруббера предусматриваются отверстия и смотровые ударотермостойкие стекла для проведения осмотров и профилактики.</w:t>
      </w:r>
    </w:p>
    <w:bookmarkEnd w:id="9757"/>
    <w:bookmarkStart w:name="z9812" w:id="9758"/>
    <w:p>
      <w:pPr>
        <w:spacing w:after="0"/>
        <w:ind w:left="0"/>
        <w:jc w:val="both"/>
      </w:pPr>
      <w:r>
        <w:rPr>
          <w:rFonts w:ascii="Times New Roman"/>
          <w:b w:val="false"/>
          <w:i w:val="false"/>
          <w:color w:val="000000"/>
          <w:sz w:val="28"/>
        </w:rPr>
        <w:t>
      3449. Предусматривается не менее двух вентиляторов, способных вместе подавать газ в количестве не менее указанного в параграфе 2 настоящей главы; при этом обеспечивается по возможности одинаковая подача для каждого вентилятора, однако в любом случае она не должна быть для каждого из них меньше 1/3 общей требуемой подачи.</w:t>
      </w:r>
    </w:p>
    <w:bookmarkEnd w:id="9758"/>
    <w:bookmarkStart w:name="z9813" w:id="9759"/>
    <w:p>
      <w:pPr>
        <w:spacing w:after="0"/>
        <w:ind w:left="0"/>
        <w:jc w:val="both"/>
      </w:pPr>
      <w:r>
        <w:rPr>
          <w:rFonts w:ascii="Times New Roman"/>
          <w:b w:val="false"/>
          <w:i w:val="false"/>
          <w:color w:val="000000"/>
          <w:sz w:val="28"/>
        </w:rPr>
        <w:t>
      3450. В корпусе вентилятора предусматривают устройства для осмотров.</w:t>
      </w:r>
    </w:p>
    <w:bookmarkEnd w:id="9759"/>
    <w:bookmarkStart w:name="z9814" w:id="9760"/>
    <w:p>
      <w:pPr>
        <w:spacing w:after="0"/>
        <w:ind w:left="0"/>
        <w:jc w:val="both"/>
      </w:pPr>
      <w:r>
        <w:rPr>
          <w:rFonts w:ascii="Times New Roman"/>
          <w:b w:val="false"/>
          <w:i w:val="false"/>
          <w:color w:val="000000"/>
          <w:sz w:val="28"/>
        </w:rPr>
        <w:t>
      3451. Внутренние поверхности скруббера и вентилятора изготавливают из коррозионностойких материалов или имеют защитное покрытие против коррозионного воздействия газа.</w:t>
      </w:r>
    </w:p>
    <w:bookmarkEnd w:id="9760"/>
    <w:bookmarkStart w:name="z9815" w:id="9761"/>
    <w:p>
      <w:pPr>
        <w:spacing w:after="0"/>
        <w:ind w:left="0"/>
        <w:jc w:val="both"/>
      </w:pPr>
      <w:r>
        <w:rPr>
          <w:rFonts w:ascii="Times New Roman"/>
          <w:b w:val="false"/>
          <w:i w:val="false"/>
          <w:color w:val="000000"/>
          <w:sz w:val="28"/>
        </w:rPr>
        <w:t>
      3452. Для того, чтобы захватываемое количество воды и твердых частиц было сведено к минимуму, устанавливают фильтры или эквивалентные устройства.</w:t>
      </w:r>
    </w:p>
    <w:bookmarkEnd w:id="9761"/>
    <w:bookmarkStart w:name="z9816" w:id="9762"/>
    <w:p>
      <w:pPr>
        <w:spacing w:after="0"/>
        <w:ind w:left="0"/>
        <w:jc w:val="left"/>
      </w:pPr>
      <w:r>
        <w:rPr>
          <w:rFonts w:ascii="Times New Roman"/>
          <w:b/>
          <w:i w:val="false"/>
          <w:color w:val="000000"/>
        </w:rPr>
        <w:t xml:space="preserve"> Параграф 4. Защита танков от давления/вакуума</w:t>
      </w:r>
    </w:p>
    <w:bookmarkEnd w:id="9762"/>
    <w:bookmarkStart w:name="z9817" w:id="9763"/>
    <w:p>
      <w:pPr>
        <w:spacing w:after="0"/>
        <w:ind w:left="0"/>
        <w:jc w:val="both"/>
      </w:pPr>
      <w:r>
        <w:rPr>
          <w:rFonts w:ascii="Times New Roman"/>
          <w:b w:val="false"/>
          <w:i w:val="false"/>
          <w:color w:val="000000"/>
          <w:sz w:val="28"/>
        </w:rPr>
        <w:t>
      3453. Система инертного газа проектируется так, чтобы не превышалось пробное давление любого грузового танка.</w:t>
      </w:r>
    </w:p>
    <w:bookmarkEnd w:id="9763"/>
    <w:bookmarkStart w:name="z9818" w:id="9764"/>
    <w:p>
      <w:pPr>
        <w:spacing w:after="0"/>
        <w:ind w:left="0"/>
        <w:jc w:val="both"/>
      </w:pPr>
      <w:r>
        <w:rPr>
          <w:rFonts w:ascii="Times New Roman"/>
          <w:b w:val="false"/>
          <w:i w:val="false"/>
          <w:color w:val="000000"/>
          <w:sz w:val="28"/>
        </w:rPr>
        <w:t>
      3454. Одно или несколько устройств, ограничивающих рост давления/вакуума в грузовых танках, устанавливают на магистрали подачи инертного газа, если они отсутствуют в газоотводной системе или на каждом танке. Регулировка и расположение этих устройств должно отвечать требованиям главы 273 настоящих Правил.</w:t>
      </w:r>
    </w:p>
    <w:bookmarkEnd w:id="9764"/>
    <w:bookmarkStart w:name="z9819" w:id="9765"/>
    <w:p>
      <w:pPr>
        <w:spacing w:after="0"/>
        <w:ind w:left="0"/>
        <w:jc w:val="both"/>
      </w:pPr>
      <w:r>
        <w:rPr>
          <w:rFonts w:ascii="Times New Roman"/>
          <w:b w:val="false"/>
          <w:i w:val="false"/>
          <w:color w:val="000000"/>
          <w:sz w:val="28"/>
        </w:rPr>
        <w:t>
      3455. При нормальных условиях работы, когда грузовые танки наполняются или наполнены инертным газом, в них поддерживается избыточное давление, не превышающее 21 кПа.</w:t>
      </w:r>
    </w:p>
    <w:bookmarkEnd w:id="9765"/>
    <w:bookmarkStart w:name="z9820" w:id="9766"/>
    <w:p>
      <w:pPr>
        <w:spacing w:after="0"/>
        <w:ind w:left="0"/>
        <w:jc w:val="left"/>
      </w:pPr>
      <w:r>
        <w:rPr>
          <w:rFonts w:ascii="Times New Roman"/>
          <w:b/>
          <w:i w:val="false"/>
          <w:color w:val="000000"/>
        </w:rPr>
        <w:t xml:space="preserve"> Параграф 5. Невозвратные устройства</w:t>
      </w:r>
    </w:p>
    <w:bookmarkEnd w:id="9766"/>
    <w:bookmarkStart w:name="z9821" w:id="9767"/>
    <w:p>
      <w:pPr>
        <w:spacing w:after="0"/>
        <w:ind w:left="0"/>
        <w:jc w:val="both"/>
      </w:pPr>
      <w:r>
        <w:rPr>
          <w:rFonts w:ascii="Times New Roman"/>
          <w:b w:val="false"/>
          <w:i w:val="false"/>
          <w:color w:val="000000"/>
          <w:sz w:val="28"/>
        </w:rPr>
        <w:t>
      3456. В магистрали подачи инертного газа на палубе в зоне грузовых танков устанавливают по меньшей мере два невозвратных устройства, одним из которых должен быть палубный водяной затвор, а другим — невозвратный клапан или эквивалентное устройство, устанавливаемое в нос от палубного водяного затвора. Они располагаются между автоматическим клапаном, указанным в пункте 3468 настоящих Правил, и ближайшим к корме соединением к любому грузовому танку или грузовому трубопроводу.</w:t>
      </w:r>
    </w:p>
    <w:bookmarkEnd w:id="9767"/>
    <w:bookmarkStart w:name="z9822" w:id="9768"/>
    <w:p>
      <w:pPr>
        <w:spacing w:after="0"/>
        <w:ind w:left="0"/>
        <w:jc w:val="both"/>
      </w:pPr>
      <w:r>
        <w:rPr>
          <w:rFonts w:ascii="Times New Roman"/>
          <w:b w:val="false"/>
          <w:i w:val="false"/>
          <w:color w:val="000000"/>
          <w:sz w:val="28"/>
        </w:rPr>
        <w:t>
      3457. Питание палубного водяного затвора осуществляется от двух отдельных насосов, каждый из которых обеспечивает требуемую подачу, а также автоматическое включение каждого насоса, питающего палубный водяной затвор, и автоматическое заполнение водой затвора при прекращении подачи газа (для затворов "полусухого" и "сухого" типов).</w:t>
      </w:r>
    </w:p>
    <w:bookmarkEnd w:id="9768"/>
    <w:bookmarkStart w:name="z9823" w:id="9769"/>
    <w:p>
      <w:pPr>
        <w:spacing w:after="0"/>
        <w:ind w:left="0"/>
        <w:jc w:val="both"/>
      </w:pPr>
      <w:r>
        <w:rPr>
          <w:rFonts w:ascii="Times New Roman"/>
          <w:b w:val="false"/>
          <w:i w:val="false"/>
          <w:color w:val="000000"/>
          <w:sz w:val="28"/>
        </w:rPr>
        <w:t>
      Трубопровод осушения палубного водяного затвора не должен проходить через машинные помещения. Сточные трубы выводятся непосредственно за борт.</w:t>
      </w:r>
    </w:p>
    <w:bookmarkEnd w:id="9769"/>
    <w:bookmarkStart w:name="z9824" w:id="9770"/>
    <w:p>
      <w:pPr>
        <w:spacing w:after="0"/>
        <w:ind w:left="0"/>
        <w:jc w:val="both"/>
      </w:pPr>
      <w:r>
        <w:rPr>
          <w:rFonts w:ascii="Times New Roman"/>
          <w:b w:val="false"/>
          <w:i w:val="false"/>
          <w:color w:val="000000"/>
          <w:sz w:val="28"/>
        </w:rPr>
        <w:t>
      3458. Предусматривается защита палубного водяного затвора от замерзания, однако перегрев не должен ухудшать его непроницаемости.</w:t>
      </w:r>
    </w:p>
    <w:bookmarkEnd w:id="9770"/>
    <w:bookmarkStart w:name="z9825" w:id="9771"/>
    <w:p>
      <w:pPr>
        <w:spacing w:after="0"/>
        <w:ind w:left="0"/>
        <w:jc w:val="both"/>
      </w:pPr>
      <w:r>
        <w:rPr>
          <w:rFonts w:ascii="Times New Roman"/>
          <w:b w:val="false"/>
          <w:i w:val="false"/>
          <w:color w:val="000000"/>
          <w:sz w:val="28"/>
        </w:rPr>
        <w:t>
      3459. Палубный водяной затвор и все гидравлические затворы предотвращают обратный поток паров углеводородов до давления, равного давлению испытания грузовых танков.</w:t>
      </w:r>
    </w:p>
    <w:bookmarkEnd w:id="9771"/>
    <w:bookmarkStart w:name="z9826" w:id="9772"/>
    <w:p>
      <w:pPr>
        <w:spacing w:after="0"/>
        <w:ind w:left="0"/>
        <w:jc w:val="both"/>
      </w:pPr>
      <w:r>
        <w:rPr>
          <w:rFonts w:ascii="Times New Roman"/>
          <w:b w:val="false"/>
          <w:i w:val="false"/>
          <w:color w:val="000000"/>
          <w:sz w:val="28"/>
        </w:rPr>
        <w:t>
      3460. Невозвратный клапан (пункт 3456 настоящих Правил) может быть невозвратно-запорного типа или невозвратного типа с дополнительно установленным на магистрали в нос от него запорным клапаном.</w:t>
      </w:r>
    </w:p>
    <w:bookmarkEnd w:id="9772"/>
    <w:bookmarkStart w:name="z9827" w:id="9773"/>
    <w:p>
      <w:pPr>
        <w:spacing w:after="0"/>
        <w:ind w:left="0"/>
        <w:jc w:val="both"/>
      </w:pPr>
      <w:r>
        <w:rPr>
          <w:rFonts w:ascii="Times New Roman"/>
          <w:b w:val="false"/>
          <w:i w:val="false"/>
          <w:color w:val="000000"/>
          <w:sz w:val="28"/>
        </w:rPr>
        <w:t>
      3461. На всех трубопроводах, связанных с подачей воды и осушением, и на всех газоотводных трубопроводах и трубопроводах измерения давления, ведущих в газобезопасные помещения</w:t>
      </w:r>
      <w:r>
        <w:rPr>
          <w:rFonts w:ascii="Times New Roman"/>
          <w:b w:val="false"/>
          <w:i w:val="false"/>
          <w:color w:val="000000"/>
          <w:vertAlign w:val="superscript"/>
        </w:rPr>
        <w:t>1</w:t>
      </w:r>
      <w:r>
        <w:rPr>
          <w:rFonts w:ascii="Times New Roman"/>
          <w:b w:val="false"/>
          <w:i w:val="false"/>
          <w:color w:val="000000"/>
          <w:sz w:val="28"/>
        </w:rPr>
        <w:t>, предусматривается гидравлический затвор или другое одобренное устройство, а также средства предотвращения осушения этих затворов вакуумом.</w:t>
      </w:r>
    </w:p>
    <w:bookmarkEnd w:id="9773"/>
    <w:bookmarkStart w:name="z9828" w:id="97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Газобезопасным считается помещение, в котором поступление паров углеводородов может создать опасность воспламененич или токсичности.</w:t>
      </w:r>
    </w:p>
    <w:bookmarkEnd w:id="9774"/>
    <w:p>
      <w:pPr>
        <w:spacing w:after="0"/>
        <w:ind w:left="0"/>
        <w:jc w:val="both"/>
      </w:pPr>
      <w:r>
        <w:rPr>
          <w:rFonts w:ascii="Times New Roman"/>
          <w:b w:val="false"/>
          <w:i w:val="false"/>
          <w:color w:val="000000"/>
          <w:sz w:val="28"/>
        </w:rPr>
        <w:t>
      3462. На палубном затворе необходимо предусмотреть смотровые отверстия и стекла для контроля за уровнем воды и обеспечения осмотров.</w:t>
      </w:r>
    </w:p>
    <w:bookmarkStart w:name="z9829" w:id="9775"/>
    <w:p>
      <w:pPr>
        <w:spacing w:after="0"/>
        <w:ind w:left="0"/>
        <w:jc w:val="both"/>
      </w:pPr>
      <w:r>
        <w:rPr>
          <w:rFonts w:ascii="Times New Roman"/>
          <w:b w:val="false"/>
          <w:i w:val="false"/>
          <w:color w:val="000000"/>
          <w:sz w:val="28"/>
        </w:rPr>
        <w:t>
      3463. Материал, применяемый в конструкции невозвратных устройств, должен быть стойким к воздействию кислот, образующихся в трубопроводах при охлаждении, очистке и прохождении газов.</w:t>
      </w:r>
    </w:p>
    <w:bookmarkEnd w:id="9775"/>
    <w:bookmarkStart w:name="z9830" w:id="9776"/>
    <w:p>
      <w:pPr>
        <w:spacing w:after="0"/>
        <w:ind w:left="0"/>
        <w:jc w:val="left"/>
      </w:pPr>
      <w:r>
        <w:rPr>
          <w:rFonts w:ascii="Times New Roman"/>
          <w:b/>
          <w:i w:val="false"/>
          <w:color w:val="000000"/>
        </w:rPr>
        <w:t xml:space="preserve"> Параграф 6. Трубопроводы</w:t>
      </w:r>
    </w:p>
    <w:bookmarkEnd w:id="9776"/>
    <w:bookmarkStart w:name="z9831" w:id="9777"/>
    <w:p>
      <w:pPr>
        <w:spacing w:after="0"/>
        <w:ind w:left="0"/>
        <w:jc w:val="both"/>
      </w:pPr>
      <w:r>
        <w:rPr>
          <w:rFonts w:ascii="Times New Roman"/>
          <w:b w:val="false"/>
          <w:i w:val="false"/>
          <w:color w:val="000000"/>
          <w:sz w:val="28"/>
        </w:rPr>
        <w:t>
      3464. Главную магистраль инертного газа допускается разделить на два или большее число распределительных трубопроводов в нос от невозвратных устройств, требуемых пунктом 3456 настоящих Правил.</w:t>
      </w:r>
    </w:p>
    <w:bookmarkEnd w:id="9777"/>
    <w:bookmarkStart w:name="z9832" w:id="9778"/>
    <w:p>
      <w:pPr>
        <w:spacing w:after="0"/>
        <w:ind w:left="0"/>
        <w:jc w:val="both"/>
      </w:pPr>
      <w:r>
        <w:rPr>
          <w:rFonts w:ascii="Times New Roman"/>
          <w:b w:val="false"/>
          <w:i w:val="false"/>
          <w:color w:val="000000"/>
          <w:sz w:val="28"/>
        </w:rPr>
        <w:t>
      3465. Распределительные трубопроводы подачи инертного газа имеет патрубки, идущие к каждому грузовому танку. Патрубок инертного газа оборудуют запорными клапанами или эквивалентными устройствами для отключения каждого танка от системы инертного газа.</w:t>
      </w:r>
    </w:p>
    <w:bookmarkEnd w:id="9778"/>
    <w:bookmarkStart w:name="z9833" w:id="9779"/>
    <w:p>
      <w:pPr>
        <w:spacing w:after="0"/>
        <w:ind w:left="0"/>
        <w:jc w:val="both"/>
      </w:pPr>
      <w:r>
        <w:rPr>
          <w:rFonts w:ascii="Times New Roman"/>
          <w:b w:val="false"/>
          <w:i w:val="false"/>
          <w:color w:val="000000"/>
          <w:sz w:val="28"/>
        </w:rPr>
        <w:t>
      Запорный клапан снабжают устройством, исключающим возможность управления клапаном посторонним лицом.</w:t>
      </w:r>
    </w:p>
    <w:bookmarkEnd w:id="9779"/>
    <w:bookmarkStart w:name="z9834" w:id="9780"/>
    <w:p>
      <w:pPr>
        <w:spacing w:after="0"/>
        <w:ind w:left="0"/>
        <w:jc w:val="both"/>
      </w:pPr>
      <w:r>
        <w:rPr>
          <w:rFonts w:ascii="Times New Roman"/>
          <w:b w:val="false"/>
          <w:i w:val="false"/>
          <w:color w:val="000000"/>
          <w:sz w:val="28"/>
        </w:rPr>
        <w:t>
      Обеспечивается индикация действительного положения запорных клапанов.</w:t>
      </w:r>
    </w:p>
    <w:bookmarkEnd w:id="9780"/>
    <w:bookmarkStart w:name="z9835" w:id="9781"/>
    <w:p>
      <w:pPr>
        <w:spacing w:after="0"/>
        <w:ind w:left="0"/>
        <w:jc w:val="both"/>
      </w:pPr>
      <w:r>
        <w:rPr>
          <w:rFonts w:ascii="Times New Roman"/>
          <w:b w:val="false"/>
          <w:i w:val="false"/>
          <w:color w:val="000000"/>
          <w:sz w:val="28"/>
        </w:rPr>
        <w:t>
      3466. На комбинированных судах в качестве устройства для отключения сливных цистерн, содержащих нефть или нефтяные остатки, от других танков в системе инертного газа предусматриваются глухие фланцы.</w:t>
      </w:r>
    </w:p>
    <w:bookmarkEnd w:id="9781"/>
    <w:bookmarkStart w:name="z9836" w:id="9782"/>
    <w:p>
      <w:pPr>
        <w:spacing w:after="0"/>
        <w:ind w:left="0"/>
        <w:jc w:val="both"/>
      </w:pPr>
      <w:r>
        <w:rPr>
          <w:rFonts w:ascii="Times New Roman"/>
          <w:b w:val="false"/>
          <w:i w:val="false"/>
          <w:color w:val="000000"/>
          <w:sz w:val="28"/>
        </w:rPr>
        <w:t>
      3467. Вводы трубопроводов подачи инертного газа в сухогрузные трюмы располагаются в нижней части защищаемых помещений. Такие трюмы объемом 500 м и более имеют два ввода, размещенные в противоположных частях помещения. Вводы в грузовые танки располагаются в их верхней части.</w:t>
      </w:r>
    </w:p>
    <w:bookmarkEnd w:id="9782"/>
    <w:bookmarkStart w:name="z9837" w:id="9783"/>
    <w:p>
      <w:pPr>
        <w:spacing w:after="0"/>
        <w:ind w:left="0"/>
        <w:jc w:val="both"/>
      </w:pPr>
      <w:r>
        <w:rPr>
          <w:rFonts w:ascii="Times New Roman"/>
          <w:b w:val="false"/>
          <w:i w:val="false"/>
          <w:color w:val="000000"/>
          <w:sz w:val="28"/>
        </w:rPr>
        <w:t>
      3468. На главной магистрали инертного газа устанавливают клапан, регулирующий подачу газа и обеспечивающий автоматическое регулирование подачи инертного газа в грузовые танки согласно пункту 3493 настоящих Правил, если не предусмотрены средства автоматического контроля частоты вращения вентиляторов инертного газа.</w:t>
      </w:r>
    </w:p>
    <w:bookmarkEnd w:id="9783"/>
    <w:bookmarkStart w:name="z9838" w:id="9784"/>
    <w:p>
      <w:pPr>
        <w:spacing w:after="0"/>
        <w:ind w:left="0"/>
        <w:jc w:val="both"/>
      </w:pPr>
      <w:r>
        <w:rPr>
          <w:rFonts w:ascii="Times New Roman"/>
          <w:b w:val="false"/>
          <w:i w:val="false"/>
          <w:color w:val="000000"/>
          <w:sz w:val="28"/>
        </w:rPr>
        <w:t>
      3469. Если между главной магистралью инертного газа и системой грузового трубопровода установлено соединение, предусматриваются устройства для обеспечения их эффективного разъединения с учетом высоких перепадов давления, которые могут иметь место между системами. Это устройство состоит из двух запорных клапанов; при этом клапан у грузовой магистрали должен быть невозвратным и иметь приспособление для вентиляции пространства между клапанами безопасным способом или представлять собой устройство, состоящее из съемного патрубка с соответствующими заглушками.</w:t>
      </w:r>
    </w:p>
    <w:bookmarkEnd w:id="9784"/>
    <w:bookmarkStart w:name="z9839" w:id="9785"/>
    <w:p>
      <w:pPr>
        <w:spacing w:after="0"/>
        <w:ind w:left="0"/>
        <w:jc w:val="both"/>
      </w:pPr>
      <w:r>
        <w:rPr>
          <w:rFonts w:ascii="Times New Roman"/>
          <w:b w:val="false"/>
          <w:i w:val="false"/>
          <w:color w:val="000000"/>
          <w:sz w:val="28"/>
        </w:rPr>
        <w:t>
      3470. Клапан, отделяющий главную магистраль подачи инертного газа от грузовой и расположенный на стороне грузовой магистрали, должен быть невозвратно-запорным.</w:t>
      </w:r>
    </w:p>
    <w:bookmarkEnd w:id="9785"/>
    <w:bookmarkStart w:name="z9840" w:id="9786"/>
    <w:p>
      <w:pPr>
        <w:spacing w:after="0"/>
        <w:ind w:left="0"/>
        <w:jc w:val="both"/>
      </w:pPr>
      <w:r>
        <w:rPr>
          <w:rFonts w:ascii="Times New Roman"/>
          <w:b w:val="false"/>
          <w:i w:val="false"/>
          <w:color w:val="000000"/>
          <w:sz w:val="28"/>
        </w:rPr>
        <w:t>
      3471. Прокладка трубопроводов исключает скопление груза или воды в них при нормальных условиях эксплуатации.</w:t>
      </w:r>
    </w:p>
    <w:bookmarkEnd w:id="9786"/>
    <w:bookmarkStart w:name="z9841" w:id="9787"/>
    <w:p>
      <w:pPr>
        <w:spacing w:after="0"/>
        <w:ind w:left="0"/>
        <w:jc w:val="both"/>
      </w:pPr>
      <w:r>
        <w:rPr>
          <w:rFonts w:ascii="Times New Roman"/>
          <w:b w:val="false"/>
          <w:i w:val="false"/>
          <w:color w:val="000000"/>
          <w:sz w:val="28"/>
        </w:rPr>
        <w:t>
      3472. Предусматриваются устройства для вентиляции части трубопровода между клапанами, указанными в пунктах 3460 и 3468 настоящих Правил, в случае, когда первый из них закрыт.</w:t>
      </w:r>
    </w:p>
    <w:bookmarkEnd w:id="9787"/>
    <w:bookmarkStart w:name="z9842" w:id="9788"/>
    <w:p>
      <w:pPr>
        <w:spacing w:after="0"/>
        <w:ind w:left="0"/>
        <w:jc w:val="both"/>
      </w:pPr>
      <w:r>
        <w:rPr>
          <w:rFonts w:ascii="Times New Roman"/>
          <w:b w:val="false"/>
          <w:i w:val="false"/>
          <w:color w:val="000000"/>
          <w:sz w:val="28"/>
        </w:rPr>
        <w:t>
      3473. Диаметр трубопроводов должен быть таким, чтобы скорость движения газа на любом участке не превышала 40 м/с.</w:t>
      </w:r>
    </w:p>
    <w:bookmarkEnd w:id="9788"/>
    <w:bookmarkStart w:name="z9843" w:id="9789"/>
    <w:p>
      <w:pPr>
        <w:spacing w:after="0"/>
        <w:ind w:left="0"/>
        <w:jc w:val="both"/>
      </w:pPr>
      <w:r>
        <w:rPr>
          <w:rFonts w:ascii="Times New Roman"/>
          <w:b w:val="false"/>
          <w:i w:val="false"/>
          <w:color w:val="000000"/>
          <w:sz w:val="28"/>
        </w:rPr>
        <w:t>
      3474. Трубопровод от скруббера к вентиляторам и линиям рециркуляции, а также отливной трубопровод системы очистки и охлаждения газов имеет антикоррозионное покрытие.</w:t>
      </w:r>
    </w:p>
    <w:bookmarkEnd w:id="9789"/>
    <w:bookmarkStart w:name="z9844" w:id="9790"/>
    <w:p>
      <w:pPr>
        <w:spacing w:after="0"/>
        <w:ind w:left="0"/>
        <w:jc w:val="both"/>
      </w:pPr>
      <w:r>
        <w:rPr>
          <w:rFonts w:ascii="Times New Roman"/>
          <w:b w:val="false"/>
          <w:i w:val="false"/>
          <w:color w:val="000000"/>
          <w:sz w:val="28"/>
        </w:rPr>
        <w:t>
      3475. Предусматривается устройство для подключения магистрали к внешнему источнику инертного газа. Устройство состоит из фланцевого соединения для 250 мм трубопровода, устанавливаемого перед невозвратным клапаном, указанным в пункте 3468 настоящих Правил.</w:t>
      </w:r>
    </w:p>
    <w:bookmarkEnd w:id="9790"/>
    <w:bookmarkStart w:name="z9845" w:id="9791"/>
    <w:p>
      <w:pPr>
        <w:spacing w:after="0"/>
        <w:ind w:left="0"/>
        <w:jc w:val="both"/>
      </w:pPr>
      <w:r>
        <w:rPr>
          <w:rFonts w:ascii="Times New Roman"/>
          <w:b w:val="false"/>
          <w:i w:val="false"/>
          <w:color w:val="000000"/>
          <w:sz w:val="28"/>
        </w:rPr>
        <w:t>
      Конструкция фланца должна отвечать требованиям параграфа 1 главы 235 настоящих Правил.</w:t>
      </w:r>
    </w:p>
    <w:bookmarkEnd w:id="9791"/>
    <w:bookmarkStart w:name="z9846" w:id="9792"/>
    <w:p>
      <w:pPr>
        <w:spacing w:after="0"/>
        <w:ind w:left="0"/>
        <w:jc w:val="both"/>
      </w:pPr>
      <w:r>
        <w:rPr>
          <w:rFonts w:ascii="Times New Roman"/>
          <w:b w:val="false"/>
          <w:i w:val="false"/>
          <w:color w:val="000000"/>
          <w:sz w:val="28"/>
        </w:rPr>
        <w:t>
      3476. Магистраль инертного газа допускается использовать для вентиляции грузовых танков.</w:t>
      </w:r>
    </w:p>
    <w:bookmarkEnd w:id="9792"/>
    <w:bookmarkStart w:name="z9847" w:id="9793"/>
    <w:p>
      <w:pPr>
        <w:spacing w:after="0"/>
        <w:ind w:left="0"/>
        <w:jc w:val="left"/>
      </w:pPr>
      <w:r>
        <w:rPr>
          <w:rFonts w:ascii="Times New Roman"/>
          <w:b/>
          <w:i w:val="false"/>
          <w:color w:val="000000"/>
        </w:rPr>
        <w:t xml:space="preserve"> Параграф 7. Устройства контроля и сигнализации</w:t>
      </w:r>
    </w:p>
    <w:bookmarkEnd w:id="9793"/>
    <w:bookmarkStart w:name="z9848" w:id="9794"/>
    <w:p>
      <w:pPr>
        <w:spacing w:after="0"/>
        <w:ind w:left="0"/>
        <w:jc w:val="both"/>
      </w:pPr>
      <w:r>
        <w:rPr>
          <w:rFonts w:ascii="Times New Roman"/>
          <w:b w:val="false"/>
          <w:i w:val="false"/>
          <w:color w:val="000000"/>
          <w:sz w:val="28"/>
        </w:rPr>
        <w:t>
      3477. На напорной стороне вентиляторов предусматриваются средства для постоянного показания температуры и давления инертного газа во время их работы.</w:t>
      </w:r>
    </w:p>
    <w:bookmarkEnd w:id="9794"/>
    <w:bookmarkStart w:name="z9849" w:id="9795"/>
    <w:p>
      <w:pPr>
        <w:spacing w:after="0"/>
        <w:ind w:left="0"/>
        <w:jc w:val="both"/>
      </w:pPr>
      <w:r>
        <w:rPr>
          <w:rFonts w:ascii="Times New Roman"/>
          <w:b w:val="false"/>
          <w:i w:val="false"/>
          <w:color w:val="000000"/>
          <w:sz w:val="28"/>
        </w:rPr>
        <w:t>
      3478. При подаче инертного газа устанавливаются приборы постоянного контроля и регистрации:</w:t>
      </w:r>
    </w:p>
    <w:bookmarkEnd w:id="9795"/>
    <w:bookmarkStart w:name="z9850" w:id="9796"/>
    <w:p>
      <w:pPr>
        <w:spacing w:after="0"/>
        <w:ind w:left="0"/>
        <w:jc w:val="both"/>
      </w:pPr>
      <w:r>
        <w:rPr>
          <w:rFonts w:ascii="Times New Roman"/>
          <w:b w:val="false"/>
          <w:i w:val="false"/>
          <w:color w:val="000000"/>
          <w:sz w:val="28"/>
        </w:rPr>
        <w:t>
      1) давления в магистрали инертного газа, расположенной в нос от невозвратных устройств, требуемых пунктом 3456 настоящих Правил;</w:t>
      </w:r>
    </w:p>
    <w:bookmarkEnd w:id="9796"/>
    <w:bookmarkStart w:name="z9851" w:id="9797"/>
    <w:p>
      <w:pPr>
        <w:spacing w:after="0"/>
        <w:ind w:left="0"/>
        <w:jc w:val="both"/>
      </w:pPr>
      <w:r>
        <w:rPr>
          <w:rFonts w:ascii="Times New Roman"/>
          <w:b w:val="false"/>
          <w:i w:val="false"/>
          <w:color w:val="000000"/>
          <w:sz w:val="28"/>
        </w:rPr>
        <w:t>
      2) содержания кислорода в инертном газе в магистрали инертного газа на напорной стороне вентиляторов.</w:t>
      </w:r>
    </w:p>
    <w:bookmarkEnd w:id="9797"/>
    <w:bookmarkStart w:name="z9852" w:id="9798"/>
    <w:p>
      <w:pPr>
        <w:spacing w:after="0"/>
        <w:ind w:left="0"/>
        <w:jc w:val="both"/>
      </w:pPr>
      <w:r>
        <w:rPr>
          <w:rFonts w:ascii="Times New Roman"/>
          <w:b w:val="false"/>
          <w:i w:val="false"/>
          <w:color w:val="000000"/>
          <w:sz w:val="28"/>
        </w:rPr>
        <w:t>
      Эти приборы располагаются в посту управления грузовыми операциями. Если пост управления грузовыми операциями отсутствует, приборы размещаются в легкодоступном месте для лица, ответственного за проведение грузовых операций.</w:t>
      </w:r>
    </w:p>
    <w:bookmarkEnd w:id="9798"/>
    <w:bookmarkStart w:name="z9853" w:id="9799"/>
    <w:p>
      <w:pPr>
        <w:spacing w:after="0"/>
        <w:ind w:left="0"/>
        <w:jc w:val="both"/>
      </w:pPr>
      <w:r>
        <w:rPr>
          <w:rFonts w:ascii="Times New Roman"/>
          <w:b w:val="false"/>
          <w:i w:val="false"/>
          <w:color w:val="000000"/>
          <w:sz w:val="28"/>
        </w:rPr>
        <w:t>
      3479. В дополнение к требованиям пункта 3478 настоящих Правил устанавливают измерительные приборы:</w:t>
      </w:r>
    </w:p>
    <w:bookmarkEnd w:id="9799"/>
    <w:bookmarkStart w:name="z9854" w:id="9800"/>
    <w:p>
      <w:pPr>
        <w:spacing w:after="0"/>
        <w:ind w:left="0"/>
        <w:jc w:val="both"/>
      </w:pPr>
      <w:r>
        <w:rPr>
          <w:rFonts w:ascii="Times New Roman"/>
          <w:b w:val="false"/>
          <w:i w:val="false"/>
          <w:color w:val="000000"/>
          <w:sz w:val="28"/>
        </w:rPr>
        <w:t>
      1) на ходовом мостике — для постоянного показания давления (подпункт 1) пункта 3478 настоящих Правил) и давления в сливных цистернах комбинированных судов, когда система инертного газа в эти танки перекрыта, и</w:t>
      </w:r>
    </w:p>
    <w:bookmarkEnd w:id="9800"/>
    <w:bookmarkStart w:name="z9855" w:id="9801"/>
    <w:p>
      <w:pPr>
        <w:spacing w:after="0"/>
        <w:ind w:left="0"/>
        <w:jc w:val="both"/>
      </w:pPr>
      <w:r>
        <w:rPr>
          <w:rFonts w:ascii="Times New Roman"/>
          <w:b w:val="false"/>
          <w:i w:val="false"/>
          <w:color w:val="000000"/>
          <w:sz w:val="28"/>
        </w:rPr>
        <w:t>
      2) в центральном посту управления или в машинном помещении — для показания содержания кислорода (подпункт 2) пункта 3478 настоящих Правил).</w:t>
      </w:r>
    </w:p>
    <w:bookmarkEnd w:id="9801"/>
    <w:bookmarkStart w:name="z9856" w:id="9802"/>
    <w:p>
      <w:pPr>
        <w:spacing w:after="0"/>
        <w:ind w:left="0"/>
        <w:jc w:val="both"/>
      </w:pPr>
      <w:r>
        <w:rPr>
          <w:rFonts w:ascii="Times New Roman"/>
          <w:b w:val="false"/>
          <w:i w:val="false"/>
          <w:color w:val="000000"/>
          <w:sz w:val="28"/>
        </w:rPr>
        <w:t>
      3480. На каждом грузовом танке предусматриваются устройства для забора воздуха переносными газоанализаторами кислорода и углеводородов.</w:t>
      </w:r>
    </w:p>
    <w:bookmarkEnd w:id="9802"/>
    <w:bookmarkStart w:name="z9857" w:id="9803"/>
    <w:p>
      <w:pPr>
        <w:spacing w:after="0"/>
        <w:ind w:left="0"/>
        <w:jc w:val="both"/>
      </w:pPr>
      <w:r>
        <w:rPr>
          <w:rFonts w:ascii="Times New Roman"/>
          <w:b w:val="false"/>
          <w:i w:val="false"/>
          <w:color w:val="000000"/>
          <w:sz w:val="28"/>
        </w:rPr>
        <w:t>
      3481. Для калибровки нулевого положения и по диапазону стационарных и ручных приборов для измерения концентрации газа согласно требованиям пункта 3478 настоящих Правил и пункта 15 приложения 279 настоящих Правил предусматриваются соответствующие средства.</w:t>
      </w:r>
    </w:p>
    <w:bookmarkEnd w:id="9803"/>
    <w:bookmarkStart w:name="z9858" w:id="9804"/>
    <w:p>
      <w:pPr>
        <w:spacing w:after="0"/>
        <w:ind w:left="0"/>
        <w:jc w:val="both"/>
      </w:pPr>
      <w:r>
        <w:rPr>
          <w:rFonts w:ascii="Times New Roman"/>
          <w:b w:val="false"/>
          <w:i w:val="false"/>
          <w:color w:val="000000"/>
          <w:sz w:val="28"/>
        </w:rPr>
        <w:t>
      3482. Предусматривается звуковая и световая сигнализация для указания:</w:t>
      </w:r>
    </w:p>
    <w:bookmarkEnd w:id="9804"/>
    <w:bookmarkStart w:name="z9859" w:id="9805"/>
    <w:p>
      <w:pPr>
        <w:spacing w:after="0"/>
        <w:ind w:left="0"/>
        <w:jc w:val="both"/>
      </w:pPr>
      <w:r>
        <w:rPr>
          <w:rFonts w:ascii="Times New Roman"/>
          <w:b w:val="false"/>
          <w:i w:val="false"/>
          <w:color w:val="000000"/>
          <w:sz w:val="28"/>
        </w:rPr>
        <w:t>
      1) низкого давления воды или низкой скорости потока воды к скрубберу;</w:t>
      </w:r>
    </w:p>
    <w:bookmarkEnd w:id="9805"/>
    <w:bookmarkStart w:name="z9860" w:id="9806"/>
    <w:p>
      <w:pPr>
        <w:spacing w:after="0"/>
        <w:ind w:left="0"/>
        <w:jc w:val="both"/>
      </w:pPr>
      <w:r>
        <w:rPr>
          <w:rFonts w:ascii="Times New Roman"/>
          <w:b w:val="false"/>
          <w:i w:val="false"/>
          <w:color w:val="000000"/>
          <w:sz w:val="28"/>
        </w:rPr>
        <w:t>
      2) достижения высокого уровня воды в скруббере;</w:t>
      </w:r>
    </w:p>
    <w:bookmarkEnd w:id="9806"/>
    <w:bookmarkStart w:name="z9861" w:id="9807"/>
    <w:p>
      <w:pPr>
        <w:spacing w:after="0"/>
        <w:ind w:left="0"/>
        <w:jc w:val="both"/>
      </w:pPr>
      <w:r>
        <w:rPr>
          <w:rFonts w:ascii="Times New Roman"/>
          <w:b w:val="false"/>
          <w:i w:val="false"/>
          <w:color w:val="000000"/>
          <w:sz w:val="28"/>
        </w:rPr>
        <w:t>
      3) повышения температуры газа; при этом сигнал должен подаваться при достижении температур, указанных в пункте 3442 настоящих Правил;</w:t>
      </w:r>
    </w:p>
    <w:bookmarkEnd w:id="9807"/>
    <w:bookmarkStart w:name="z9862" w:id="9808"/>
    <w:p>
      <w:pPr>
        <w:spacing w:after="0"/>
        <w:ind w:left="0"/>
        <w:jc w:val="both"/>
      </w:pPr>
      <w:r>
        <w:rPr>
          <w:rFonts w:ascii="Times New Roman"/>
          <w:b w:val="false"/>
          <w:i w:val="false"/>
          <w:color w:val="000000"/>
          <w:sz w:val="28"/>
        </w:rPr>
        <w:t>
      4) неисправности вентиляторов инертного газа;</w:t>
      </w:r>
    </w:p>
    <w:bookmarkEnd w:id="9808"/>
    <w:bookmarkStart w:name="z9863" w:id="9809"/>
    <w:p>
      <w:pPr>
        <w:spacing w:after="0"/>
        <w:ind w:left="0"/>
        <w:jc w:val="both"/>
      </w:pPr>
      <w:r>
        <w:rPr>
          <w:rFonts w:ascii="Times New Roman"/>
          <w:b w:val="false"/>
          <w:i w:val="false"/>
          <w:color w:val="000000"/>
          <w:sz w:val="28"/>
        </w:rPr>
        <w:t>
      5) содержания кислорода более 14 % по объему в грузовых трюмах;</w:t>
      </w:r>
    </w:p>
    <w:bookmarkEnd w:id="9809"/>
    <w:bookmarkStart w:name="z9864" w:id="9810"/>
    <w:p>
      <w:pPr>
        <w:spacing w:after="0"/>
        <w:ind w:left="0"/>
        <w:jc w:val="both"/>
      </w:pPr>
      <w:r>
        <w:rPr>
          <w:rFonts w:ascii="Times New Roman"/>
          <w:b w:val="false"/>
          <w:i w:val="false"/>
          <w:color w:val="000000"/>
          <w:sz w:val="28"/>
        </w:rPr>
        <w:t>
      6) содержания кислорода в магистрали инертного газа более 8 % по объему;</w:t>
      </w:r>
    </w:p>
    <w:bookmarkEnd w:id="9810"/>
    <w:bookmarkStart w:name="z9865" w:id="9811"/>
    <w:p>
      <w:pPr>
        <w:spacing w:after="0"/>
        <w:ind w:left="0"/>
        <w:jc w:val="both"/>
      </w:pPr>
      <w:r>
        <w:rPr>
          <w:rFonts w:ascii="Times New Roman"/>
          <w:b w:val="false"/>
          <w:i w:val="false"/>
          <w:color w:val="000000"/>
          <w:sz w:val="28"/>
        </w:rPr>
        <w:t>
      7) неисправности в подаче электроэнергии к системе автоматического управления клапана, регулирующего подачу газа, и к контрольным приборам, указанным в пункте 3478 настоящих Правил;</w:t>
      </w:r>
    </w:p>
    <w:bookmarkEnd w:id="9811"/>
    <w:bookmarkStart w:name="z9866" w:id="9812"/>
    <w:p>
      <w:pPr>
        <w:spacing w:after="0"/>
        <w:ind w:left="0"/>
        <w:jc w:val="both"/>
      </w:pPr>
      <w:r>
        <w:rPr>
          <w:rFonts w:ascii="Times New Roman"/>
          <w:b w:val="false"/>
          <w:i w:val="false"/>
          <w:color w:val="000000"/>
          <w:sz w:val="28"/>
        </w:rPr>
        <w:t>
      8) низкого уровня воды в палубном водяном затворе, указанном в пункте 3684 настоящих Правил;</w:t>
      </w:r>
    </w:p>
    <w:bookmarkEnd w:id="9812"/>
    <w:bookmarkStart w:name="z9867" w:id="9813"/>
    <w:p>
      <w:pPr>
        <w:spacing w:after="0"/>
        <w:ind w:left="0"/>
        <w:jc w:val="both"/>
      </w:pPr>
      <w:r>
        <w:rPr>
          <w:rFonts w:ascii="Times New Roman"/>
          <w:b w:val="false"/>
          <w:i w:val="false"/>
          <w:color w:val="000000"/>
          <w:sz w:val="28"/>
        </w:rPr>
        <w:t>
      9) давления в магистрали инертного газа менее 1 кПа. Сигнальное устройство обеспечивает в любое время контроль давления в сливных цистернах на комбинированных судах;</w:t>
      </w:r>
    </w:p>
    <w:bookmarkEnd w:id="9813"/>
    <w:bookmarkStart w:name="z9868" w:id="9814"/>
    <w:p>
      <w:pPr>
        <w:spacing w:after="0"/>
        <w:ind w:left="0"/>
        <w:jc w:val="both"/>
      </w:pPr>
      <w:r>
        <w:rPr>
          <w:rFonts w:ascii="Times New Roman"/>
          <w:b w:val="false"/>
          <w:i w:val="false"/>
          <w:color w:val="000000"/>
          <w:sz w:val="28"/>
        </w:rPr>
        <w:t>
      10) высокого давления газа при достижении 10 кПа;</w:t>
      </w:r>
    </w:p>
    <w:bookmarkEnd w:id="9814"/>
    <w:bookmarkStart w:name="z9869" w:id="9815"/>
    <w:p>
      <w:pPr>
        <w:spacing w:after="0"/>
        <w:ind w:left="0"/>
        <w:jc w:val="both"/>
      </w:pPr>
      <w:r>
        <w:rPr>
          <w:rFonts w:ascii="Times New Roman"/>
          <w:b w:val="false"/>
          <w:i w:val="false"/>
          <w:color w:val="000000"/>
          <w:sz w:val="28"/>
        </w:rPr>
        <w:t>
      11) недостаточной подачи топлива (при наличии генераторов инертного газа);</w:t>
      </w:r>
    </w:p>
    <w:bookmarkEnd w:id="9815"/>
    <w:bookmarkStart w:name="z9870" w:id="9816"/>
    <w:p>
      <w:pPr>
        <w:spacing w:after="0"/>
        <w:ind w:left="0"/>
        <w:jc w:val="both"/>
      </w:pPr>
      <w:r>
        <w:rPr>
          <w:rFonts w:ascii="Times New Roman"/>
          <w:b w:val="false"/>
          <w:i w:val="false"/>
          <w:color w:val="000000"/>
          <w:sz w:val="28"/>
        </w:rPr>
        <w:t>
      12) прекращения подачи энергии к генератору (при наличии генераторов инертного газа);</w:t>
      </w:r>
    </w:p>
    <w:bookmarkEnd w:id="9816"/>
    <w:bookmarkStart w:name="z9871" w:id="9817"/>
    <w:p>
      <w:pPr>
        <w:spacing w:after="0"/>
        <w:ind w:left="0"/>
        <w:jc w:val="both"/>
      </w:pPr>
      <w:r>
        <w:rPr>
          <w:rFonts w:ascii="Times New Roman"/>
          <w:b w:val="false"/>
          <w:i w:val="false"/>
          <w:color w:val="000000"/>
          <w:sz w:val="28"/>
        </w:rPr>
        <w:t>
      13) прекращения подачи энергии к системе автоматического управления генератором (при наличии генераторов инертного газа).</w:t>
      </w:r>
    </w:p>
    <w:bookmarkEnd w:id="9817"/>
    <w:bookmarkStart w:name="z9872" w:id="9818"/>
    <w:p>
      <w:pPr>
        <w:spacing w:after="0"/>
        <w:ind w:left="0"/>
        <w:jc w:val="both"/>
      </w:pPr>
      <w:r>
        <w:rPr>
          <w:rFonts w:ascii="Times New Roman"/>
          <w:b w:val="false"/>
          <w:i w:val="false"/>
          <w:color w:val="000000"/>
          <w:sz w:val="28"/>
        </w:rPr>
        <w:t>
      3483. Приемное устройство сигнализации, требуемой подпунктами 3), 4), 6) пункта 3482 и пункта 3485 настоящих Правил, предусматривается в машинном помещении и в посту управления грузовыми операциями, если такой пост имеется, но в любом случае в таком месте, чтобы обеспечивалось немедленное получение сигнала ответственными лицами команды.</w:t>
      </w:r>
    </w:p>
    <w:bookmarkEnd w:id="9818"/>
    <w:bookmarkStart w:name="z9873" w:id="9819"/>
    <w:p>
      <w:pPr>
        <w:spacing w:after="0"/>
        <w:ind w:left="0"/>
        <w:jc w:val="both"/>
      </w:pPr>
      <w:r>
        <w:rPr>
          <w:rFonts w:ascii="Times New Roman"/>
          <w:b w:val="false"/>
          <w:i w:val="false"/>
          <w:color w:val="000000"/>
          <w:sz w:val="28"/>
        </w:rPr>
        <w:t>
      3484. Звуковая и световая сигнализация низкого уровня воды в палубном водяном затворе сухого или полусухого типа срабатывает при отстутствии подачи инертного газа.</w:t>
      </w:r>
    </w:p>
    <w:bookmarkEnd w:id="9819"/>
    <w:bookmarkStart w:name="z9874" w:id="9820"/>
    <w:p>
      <w:pPr>
        <w:spacing w:after="0"/>
        <w:ind w:left="0"/>
        <w:jc w:val="both"/>
      </w:pPr>
      <w:r>
        <w:rPr>
          <w:rFonts w:ascii="Times New Roman"/>
          <w:b w:val="false"/>
          <w:i w:val="false"/>
          <w:color w:val="000000"/>
          <w:sz w:val="28"/>
        </w:rPr>
        <w:t>
      3485. Предусматривается дополнительная система звуковой сигнализации, независимая от системы, требуемой подпунктом 9) пункта 3482 настоящих Правил, или автоматическое отключение грузовых насосов, срабатывающее при падении давления в магистрали до 0,5 кПа.</w:t>
      </w:r>
    </w:p>
    <w:bookmarkEnd w:id="9820"/>
    <w:bookmarkStart w:name="z9875" w:id="9821"/>
    <w:p>
      <w:pPr>
        <w:spacing w:after="0"/>
        <w:ind w:left="0"/>
        <w:jc w:val="left"/>
      </w:pPr>
      <w:r>
        <w:rPr>
          <w:rFonts w:ascii="Times New Roman"/>
          <w:b/>
          <w:i w:val="false"/>
          <w:color w:val="000000"/>
        </w:rPr>
        <w:t xml:space="preserve"> Параграф 8. Система с использованием дымовых газов котлов</w:t>
      </w:r>
    </w:p>
    <w:bookmarkEnd w:id="9821"/>
    <w:bookmarkStart w:name="z9876" w:id="9822"/>
    <w:p>
      <w:pPr>
        <w:spacing w:after="0"/>
        <w:ind w:left="0"/>
        <w:jc w:val="both"/>
      </w:pPr>
      <w:r>
        <w:rPr>
          <w:rFonts w:ascii="Times New Roman"/>
          <w:b w:val="false"/>
          <w:i w:val="false"/>
          <w:color w:val="000000"/>
          <w:sz w:val="28"/>
        </w:rPr>
        <w:t>
      3486. Настоящие требования дополняют изложенные требования в параграфах 1 – 7 настоящей главы.</w:t>
      </w:r>
    </w:p>
    <w:bookmarkEnd w:id="9822"/>
    <w:bookmarkStart w:name="z9877" w:id="9823"/>
    <w:p>
      <w:pPr>
        <w:spacing w:after="0"/>
        <w:ind w:left="0"/>
        <w:jc w:val="both"/>
      </w:pPr>
      <w:r>
        <w:rPr>
          <w:rFonts w:ascii="Times New Roman"/>
          <w:b w:val="false"/>
          <w:i w:val="false"/>
          <w:color w:val="000000"/>
          <w:sz w:val="28"/>
        </w:rPr>
        <w:t>
      Скруббер и вентиляторы располагаются в корму от всех грузовых танков, помещений для грузовых насосов и коффердамов, отделяющих эти помещения от машинных помещений категории А.</w:t>
      </w:r>
    </w:p>
    <w:bookmarkEnd w:id="9823"/>
    <w:bookmarkStart w:name="z9878" w:id="9824"/>
    <w:p>
      <w:pPr>
        <w:spacing w:after="0"/>
        <w:ind w:left="0"/>
        <w:jc w:val="both"/>
      </w:pPr>
      <w:r>
        <w:rPr>
          <w:rFonts w:ascii="Times New Roman"/>
          <w:b w:val="false"/>
          <w:i w:val="false"/>
          <w:color w:val="000000"/>
          <w:sz w:val="28"/>
        </w:rPr>
        <w:t>
      Конструкция и расположение скруббера и вентиляторов с относящимися к ним трубопроводами и арматурой предотвращает утечку дымового газа в закрытые помещения.</w:t>
      </w:r>
    </w:p>
    <w:bookmarkEnd w:id="9824"/>
    <w:bookmarkStart w:name="z9879" w:id="9825"/>
    <w:p>
      <w:pPr>
        <w:spacing w:after="0"/>
        <w:ind w:left="0"/>
        <w:jc w:val="both"/>
      </w:pPr>
      <w:r>
        <w:rPr>
          <w:rFonts w:ascii="Times New Roman"/>
          <w:b w:val="false"/>
          <w:i w:val="false"/>
          <w:color w:val="000000"/>
          <w:sz w:val="28"/>
        </w:rPr>
        <w:t>
      3487. Выходной и приемный патрубки вентиляторов имеют запорные устройства. Также предусматриваются устройства, обеспечивающие устойчивую работу установки инертного газа до начала выгрузки груза.</w:t>
      </w:r>
    </w:p>
    <w:bookmarkEnd w:id="9825"/>
    <w:bookmarkStart w:name="z9880" w:id="9826"/>
    <w:p>
      <w:pPr>
        <w:spacing w:after="0"/>
        <w:ind w:left="0"/>
        <w:jc w:val="both"/>
      </w:pPr>
      <w:r>
        <w:rPr>
          <w:rFonts w:ascii="Times New Roman"/>
          <w:b w:val="false"/>
          <w:i w:val="false"/>
          <w:color w:val="000000"/>
          <w:sz w:val="28"/>
        </w:rPr>
        <w:t>
      3488. На магистрали подачи инертного газа между дымоходом котла и скруббером предусматривается запорный клапан с индикатором, показывающим, закрыт клапан или открыт. Предусматриваются также меры для поддержания газонепроницаемости клапанов и по предотвращению загрязнения седел клапанов сажей.</w:t>
      </w:r>
    </w:p>
    <w:bookmarkEnd w:id="9826"/>
    <w:bookmarkStart w:name="z9881" w:id="9827"/>
    <w:p>
      <w:pPr>
        <w:spacing w:after="0"/>
        <w:ind w:left="0"/>
        <w:jc w:val="both"/>
      </w:pPr>
      <w:r>
        <w:rPr>
          <w:rFonts w:ascii="Times New Roman"/>
          <w:b w:val="false"/>
          <w:i w:val="false"/>
          <w:color w:val="000000"/>
          <w:sz w:val="28"/>
        </w:rPr>
        <w:t>
      Необходимо принять меры, исключающие срабатывание сажеобдувочного устройства котлов при открытом клапане.</w:t>
      </w:r>
    </w:p>
    <w:bookmarkEnd w:id="9827"/>
    <w:bookmarkStart w:name="z9882" w:id="9828"/>
    <w:p>
      <w:pPr>
        <w:spacing w:after="0"/>
        <w:ind w:left="0"/>
        <w:jc w:val="both"/>
      </w:pPr>
      <w:r>
        <w:rPr>
          <w:rFonts w:ascii="Times New Roman"/>
          <w:b w:val="false"/>
          <w:i w:val="false"/>
          <w:color w:val="000000"/>
          <w:sz w:val="28"/>
        </w:rPr>
        <w:t>
      3489. Если предусматривается использование вентиляторов для дегазации, их воздухозаборники снабжают заглушками.</w:t>
      </w:r>
    </w:p>
    <w:bookmarkEnd w:id="9828"/>
    <w:bookmarkStart w:name="z9883" w:id="9829"/>
    <w:p>
      <w:pPr>
        <w:spacing w:after="0"/>
        <w:ind w:left="0"/>
        <w:jc w:val="both"/>
      </w:pPr>
      <w:r>
        <w:rPr>
          <w:rFonts w:ascii="Times New Roman"/>
          <w:b w:val="false"/>
          <w:i w:val="false"/>
          <w:color w:val="000000"/>
          <w:sz w:val="28"/>
        </w:rPr>
        <w:t>
      3490. Запорный клапан (пункт 3488 настоящих Правил) изготавливают из материалов, способных выдерживать температуру дымовых газов и устойчивых к их коррозионному воздействию.</w:t>
      </w:r>
    </w:p>
    <w:bookmarkEnd w:id="9829"/>
    <w:bookmarkStart w:name="z9884" w:id="9830"/>
    <w:p>
      <w:pPr>
        <w:spacing w:after="0"/>
        <w:ind w:left="0"/>
        <w:jc w:val="both"/>
      </w:pPr>
      <w:r>
        <w:rPr>
          <w:rFonts w:ascii="Times New Roman"/>
          <w:b w:val="false"/>
          <w:i w:val="false"/>
          <w:color w:val="000000"/>
          <w:sz w:val="28"/>
        </w:rPr>
        <w:t>
      3491. Трубопроводы между запорным клапаном и скруббером изготавливают из коррозионно-стойкой стали.</w:t>
      </w:r>
    </w:p>
    <w:bookmarkEnd w:id="9830"/>
    <w:bookmarkStart w:name="z9885" w:id="9831"/>
    <w:p>
      <w:pPr>
        <w:spacing w:after="0"/>
        <w:ind w:left="0"/>
        <w:jc w:val="both"/>
      </w:pPr>
      <w:r>
        <w:rPr>
          <w:rFonts w:ascii="Times New Roman"/>
          <w:b w:val="false"/>
          <w:i w:val="false"/>
          <w:color w:val="000000"/>
          <w:sz w:val="28"/>
        </w:rPr>
        <w:t>
      3492. Между запорными клапанами (пункт 3488 настоящих Правил) и скруббером или на входе газа в скруббер предусматривается дополнительный водяной затвор или другие эффективные средства предотвращения утечки дымового газа.</w:t>
      </w:r>
    </w:p>
    <w:bookmarkEnd w:id="9831"/>
    <w:bookmarkStart w:name="z9886" w:id="9832"/>
    <w:p>
      <w:pPr>
        <w:spacing w:after="0"/>
        <w:ind w:left="0"/>
        <w:jc w:val="both"/>
      </w:pPr>
      <w:r>
        <w:rPr>
          <w:rFonts w:ascii="Times New Roman"/>
          <w:b w:val="false"/>
          <w:i w:val="false"/>
          <w:color w:val="000000"/>
          <w:sz w:val="28"/>
        </w:rPr>
        <w:t>
      3493. Клапан, требуемый пунктом 3468 настоящих Правил, располагается на носовой переборке самого переднего газобезопасного помещения, через которое проходит магистраль подачи инертного газа.</w:t>
      </w:r>
    </w:p>
    <w:bookmarkEnd w:id="9832"/>
    <w:bookmarkStart w:name="z9887" w:id="9833"/>
    <w:p>
      <w:pPr>
        <w:spacing w:after="0"/>
        <w:ind w:left="0"/>
        <w:jc w:val="both"/>
      </w:pPr>
      <w:r>
        <w:rPr>
          <w:rFonts w:ascii="Times New Roman"/>
          <w:b w:val="false"/>
          <w:i w:val="false"/>
          <w:color w:val="000000"/>
          <w:sz w:val="28"/>
        </w:rPr>
        <w:t>
      3494. Автоматическое выключение вентиляторов инертного газа и клапана регулирования подачи газа осуществляется при достижении пределов, указанных в подпунктах 1), 2) и 8) пункта 3482 настоящих Правил. Клапан, регулирующий подачу газа, должен автоматически выключаться также при неисправности вентиляторов.</w:t>
      </w:r>
    </w:p>
    <w:bookmarkEnd w:id="9833"/>
    <w:bookmarkStart w:name="z9888" w:id="9834"/>
    <w:p>
      <w:pPr>
        <w:spacing w:after="0"/>
        <w:ind w:left="0"/>
        <w:jc w:val="left"/>
      </w:pPr>
      <w:r>
        <w:rPr>
          <w:rFonts w:ascii="Times New Roman"/>
          <w:b/>
          <w:i w:val="false"/>
          <w:color w:val="000000"/>
        </w:rPr>
        <w:t xml:space="preserve"> Параграф 9. Система с генератором (генераторами) инертных газов</w:t>
      </w:r>
    </w:p>
    <w:bookmarkEnd w:id="9834"/>
    <w:bookmarkStart w:name="z9889" w:id="9835"/>
    <w:p>
      <w:pPr>
        <w:spacing w:after="0"/>
        <w:ind w:left="0"/>
        <w:jc w:val="both"/>
      </w:pPr>
      <w:r>
        <w:rPr>
          <w:rFonts w:ascii="Times New Roman"/>
          <w:b w:val="false"/>
          <w:i w:val="false"/>
          <w:color w:val="000000"/>
          <w:sz w:val="28"/>
        </w:rPr>
        <w:t>
      3495. Требования к указанной системе, кроме приведенных ниже, перечислены также в параграфах 1 – 7 настоящей главы.</w:t>
      </w:r>
    </w:p>
    <w:bookmarkEnd w:id="9835"/>
    <w:bookmarkStart w:name="z9890" w:id="9836"/>
    <w:p>
      <w:pPr>
        <w:spacing w:after="0"/>
        <w:ind w:left="0"/>
        <w:jc w:val="both"/>
      </w:pPr>
      <w:r>
        <w:rPr>
          <w:rFonts w:ascii="Times New Roman"/>
          <w:b w:val="false"/>
          <w:i w:val="false"/>
          <w:color w:val="000000"/>
          <w:sz w:val="28"/>
        </w:rPr>
        <w:t>
      Для генераторов (комплекс оборудования, включающий в себя вентиляторы, камеру сгорания, скруббер, топливные насосы, форсунку, приборы автоматики и контроля) предусматривается топливо, отвечающее требованиям пункта 2667 настоящих Правил.</w:t>
      </w:r>
    </w:p>
    <w:bookmarkEnd w:id="9836"/>
    <w:bookmarkStart w:name="z9891" w:id="9837"/>
    <w:p>
      <w:pPr>
        <w:spacing w:after="0"/>
        <w:ind w:left="0"/>
        <w:jc w:val="both"/>
      </w:pPr>
      <w:r>
        <w:rPr>
          <w:rFonts w:ascii="Times New Roman"/>
          <w:b w:val="false"/>
          <w:i w:val="false"/>
          <w:color w:val="000000"/>
          <w:sz w:val="28"/>
        </w:rPr>
        <w:t>
      3496. Генераторы размещаются в помещении, относящемся к машинным помещениям категории А.</w:t>
      </w:r>
    </w:p>
    <w:bookmarkEnd w:id="9837"/>
    <w:bookmarkStart w:name="z9892" w:id="9838"/>
    <w:p>
      <w:pPr>
        <w:spacing w:after="0"/>
        <w:ind w:left="0"/>
        <w:jc w:val="both"/>
      </w:pPr>
      <w:r>
        <w:rPr>
          <w:rFonts w:ascii="Times New Roman"/>
          <w:b w:val="false"/>
          <w:i w:val="false"/>
          <w:color w:val="000000"/>
          <w:sz w:val="28"/>
        </w:rPr>
        <w:t>
      3497. На судах, в танках которых могут перевозиться ядовитые грузы, генераторы размещаются вне машинных помещений и грузовых зон в специальном помещении, предназначенном исключительно для оборудования системы инертного газа и расположенном в соответствии с требованиями пункта 3476 настоящих Правил. Это помещение отделяют от машинных помещений по крайней мере газонепроницаемыми стальными конструкциями, не имеющими дверей или других отверстий в эти помещения, а от жилых помещений или района грузовых танков — открытыми палубами, коффердамами или аналогичными помещениями. Это помещение снабжается приточной вентиляцией и имеет вход с открытой палубы за пределами района грузовых танков. Вход в помещение оборудуется в кормовой переборке надстройки или рубки, не обращенной к району грузовых танков, и/или в боковой стенке надстройки или рубки на расстоянии не менее L/25, но не менее 3 м от лобовой переборки надстройки или рубки.</w:t>
      </w:r>
    </w:p>
    <w:bookmarkEnd w:id="9838"/>
    <w:bookmarkStart w:name="z9893" w:id="9839"/>
    <w:p>
      <w:pPr>
        <w:spacing w:after="0"/>
        <w:ind w:left="0"/>
        <w:jc w:val="both"/>
      </w:pPr>
      <w:r>
        <w:rPr>
          <w:rFonts w:ascii="Times New Roman"/>
          <w:b w:val="false"/>
          <w:i w:val="false"/>
          <w:color w:val="000000"/>
          <w:sz w:val="28"/>
        </w:rPr>
        <w:t>
      Магистраль подачи инертных газов не располагается в машинных, жилых и служебных помещениях и связана с системами, расположенными в них.</w:t>
      </w:r>
    </w:p>
    <w:bookmarkEnd w:id="9839"/>
    <w:bookmarkStart w:name="z9894" w:id="9840"/>
    <w:p>
      <w:pPr>
        <w:spacing w:after="0"/>
        <w:ind w:left="0"/>
        <w:jc w:val="both"/>
      </w:pPr>
      <w:r>
        <w:rPr>
          <w:rFonts w:ascii="Times New Roman"/>
          <w:b w:val="false"/>
          <w:i w:val="false"/>
          <w:color w:val="000000"/>
          <w:sz w:val="28"/>
        </w:rPr>
        <w:t>
      3498. Несмотря на указание пункта 3449 настоящих Правил, Регистр судоходства допускает наличие только одного вентилятора, если он в состоянии подавать в защищаемые танки полное количество газа согласно параграфу 2 настоящей главы; при этом на судне должен быть достаточный резерв запасных частей к вентилятору и его приводу для их ремонта силами экипажа.</w:t>
      </w:r>
    </w:p>
    <w:bookmarkEnd w:id="9840"/>
    <w:bookmarkStart w:name="z9895" w:id="9841"/>
    <w:p>
      <w:pPr>
        <w:spacing w:after="0"/>
        <w:ind w:left="0"/>
        <w:jc w:val="both"/>
      </w:pPr>
      <w:r>
        <w:rPr>
          <w:rFonts w:ascii="Times New Roman"/>
          <w:b w:val="false"/>
          <w:i w:val="false"/>
          <w:color w:val="000000"/>
          <w:sz w:val="28"/>
        </w:rPr>
        <w:t>
      3499. Генератор имеет два топливных насоса. Регистр судоходства допускает наличие одного насоса при условии, что на судне имеется достаточный резерв запасных частей для насоса и его привода для их ремонта силами экипажа.</w:t>
      </w:r>
    </w:p>
    <w:bookmarkEnd w:id="9841"/>
    <w:bookmarkStart w:name="z9896" w:id="9842"/>
    <w:p>
      <w:pPr>
        <w:spacing w:after="0"/>
        <w:ind w:left="0"/>
        <w:jc w:val="both"/>
      </w:pPr>
      <w:r>
        <w:rPr>
          <w:rFonts w:ascii="Times New Roman"/>
          <w:b w:val="false"/>
          <w:i w:val="false"/>
          <w:color w:val="000000"/>
          <w:sz w:val="28"/>
        </w:rPr>
        <w:t>
      3500. Если предусматривается более одного генератора, на выпускном патрубке каждого из них предусматривается соответствующее запорное устройство.</w:t>
      </w:r>
    </w:p>
    <w:bookmarkEnd w:id="9842"/>
    <w:bookmarkStart w:name="z9897" w:id="9843"/>
    <w:p>
      <w:pPr>
        <w:spacing w:after="0"/>
        <w:ind w:left="0"/>
        <w:jc w:val="both"/>
      </w:pPr>
      <w:r>
        <w:rPr>
          <w:rFonts w:ascii="Times New Roman"/>
          <w:b w:val="false"/>
          <w:i w:val="false"/>
          <w:color w:val="000000"/>
          <w:sz w:val="28"/>
        </w:rPr>
        <w:t>
      3501. На судне предусматриваются устройства для выпуска инертного газа в атмосферу при подготовке системы к пуску или при аварии.</w:t>
      </w:r>
    </w:p>
    <w:bookmarkEnd w:id="9843"/>
    <w:bookmarkStart w:name="z9898" w:id="9844"/>
    <w:p>
      <w:pPr>
        <w:spacing w:after="0"/>
        <w:ind w:left="0"/>
        <w:jc w:val="both"/>
      </w:pPr>
      <w:r>
        <w:rPr>
          <w:rFonts w:ascii="Times New Roman"/>
          <w:b w:val="false"/>
          <w:i w:val="false"/>
          <w:color w:val="000000"/>
          <w:sz w:val="28"/>
        </w:rPr>
        <w:t>
      3502. Если генератор инертных газов обслуживается объемным вентилятором, на его напорной стороне предусматриваются предохранительные устройства для предотвращения избыточного давления.</w:t>
      </w:r>
    </w:p>
    <w:bookmarkEnd w:id="9844"/>
    <w:bookmarkStart w:name="z9899" w:id="9845"/>
    <w:p>
      <w:pPr>
        <w:spacing w:after="0"/>
        <w:ind w:left="0"/>
        <w:jc w:val="both"/>
      </w:pPr>
      <w:r>
        <w:rPr>
          <w:rFonts w:ascii="Times New Roman"/>
          <w:b w:val="false"/>
          <w:i w:val="false"/>
          <w:color w:val="000000"/>
          <w:sz w:val="28"/>
        </w:rPr>
        <w:t>
      3503. На судне предусматривается звуковая и световая сигнализация, показывающая:</w:t>
      </w:r>
    </w:p>
    <w:bookmarkEnd w:id="9845"/>
    <w:bookmarkStart w:name="z9900" w:id="9846"/>
    <w:p>
      <w:pPr>
        <w:spacing w:after="0"/>
        <w:ind w:left="0"/>
        <w:jc w:val="both"/>
      </w:pPr>
      <w:r>
        <w:rPr>
          <w:rFonts w:ascii="Times New Roman"/>
          <w:b w:val="false"/>
          <w:i w:val="false"/>
          <w:color w:val="000000"/>
          <w:sz w:val="28"/>
        </w:rPr>
        <w:t>
      1) недостаточную подачу топлива;</w:t>
      </w:r>
    </w:p>
    <w:bookmarkEnd w:id="9846"/>
    <w:bookmarkStart w:name="z9901" w:id="9847"/>
    <w:p>
      <w:pPr>
        <w:spacing w:after="0"/>
        <w:ind w:left="0"/>
        <w:jc w:val="both"/>
      </w:pPr>
      <w:r>
        <w:rPr>
          <w:rFonts w:ascii="Times New Roman"/>
          <w:b w:val="false"/>
          <w:i w:val="false"/>
          <w:color w:val="000000"/>
          <w:sz w:val="28"/>
        </w:rPr>
        <w:t>
      2) прекращение подачи энергии к генератору;</w:t>
      </w:r>
    </w:p>
    <w:bookmarkEnd w:id="9847"/>
    <w:bookmarkStart w:name="z9902" w:id="9848"/>
    <w:p>
      <w:pPr>
        <w:spacing w:after="0"/>
        <w:ind w:left="0"/>
        <w:jc w:val="both"/>
      </w:pPr>
      <w:r>
        <w:rPr>
          <w:rFonts w:ascii="Times New Roman"/>
          <w:b w:val="false"/>
          <w:i w:val="false"/>
          <w:color w:val="000000"/>
          <w:sz w:val="28"/>
        </w:rPr>
        <w:t>
      3) прекращение подачи энергии к системам автоматического управления генератором.</w:t>
      </w:r>
    </w:p>
    <w:bookmarkEnd w:id="9848"/>
    <w:bookmarkStart w:name="z9903" w:id="9849"/>
    <w:p>
      <w:pPr>
        <w:spacing w:after="0"/>
        <w:ind w:left="0"/>
        <w:jc w:val="both"/>
      </w:pPr>
      <w:r>
        <w:rPr>
          <w:rFonts w:ascii="Times New Roman"/>
          <w:b w:val="false"/>
          <w:i w:val="false"/>
          <w:color w:val="000000"/>
          <w:sz w:val="28"/>
        </w:rPr>
        <w:t>
      3504. Газорегулирующий клапан автоматически закрывается и прекращает подачу топлива к генератору при достижении предельных параметров, указанных в подпунктах 1) и 2) пункта 3482 настоящих Правил.</w:t>
      </w:r>
    </w:p>
    <w:bookmarkEnd w:id="9849"/>
    <w:bookmarkStart w:name="z9904" w:id="9850"/>
    <w:p>
      <w:pPr>
        <w:spacing w:after="0"/>
        <w:ind w:left="0"/>
        <w:jc w:val="both"/>
      </w:pPr>
      <w:r>
        <w:rPr>
          <w:rFonts w:ascii="Times New Roman"/>
          <w:b w:val="false"/>
          <w:i w:val="false"/>
          <w:color w:val="000000"/>
          <w:sz w:val="28"/>
        </w:rPr>
        <w:t>
      Автоматическое закрытие газорегулирующего клапана производится также в случае, указанном в подпункте 2) пункта 3503 настоящих Правил.</w:t>
      </w:r>
    </w:p>
    <w:bookmarkEnd w:id="9850"/>
    <w:bookmarkStart w:name="z9905" w:id="9851"/>
    <w:p>
      <w:pPr>
        <w:spacing w:after="0"/>
        <w:ind w:left="0"/>
        <w:jc w:val="left"/>
      </w:pPr>
      <w:r>
        <w:rPr>
          <w:rFonts w:ascii="Times New Roman"/>
          <w:b/>
          <w:i w:val="false"/>
          <w:color w:val="000000"/>
        </w:rPr>
        <w:t xml:space="preserve"> Параграф 10. Система инертных газов для нефтеналивных судов</w:t>
      </w:r>
      <w:r>
        <w:br/>
      </w:r>
      <w:r>
        <w:rPr>
          <w:rFonts w:ascii="Times New Roman"/>
          <w:b/>
          <w:i w:val="false"/>
          <w:color w:val="000000"/>
        </w:rPr>
        <w:t>с двойным корпусом и двойным дном</w:t>
      </w:r>
    </w:p>
    <w:bookmarkEnd w:id="9851"/>
    <w:bookmarkStart w:name="z9906" w:id="9852"/>
    <w:p>
      <w:pPr>
        <w:spacing w:after="0"/>
        <w:ind w:left="0"/>
        <w:jc w:val="both"/>
      </w:pPr>
      <w:r>
        <w:rPr>
          <w:rFonts w:ascii="Times New Roman"/>
          <w:b w:val="false"/>
          <w:i w:val="false"/>
          <w:color w:val="000000"/>
          <w:sz w:val="28"/>
        </w:rPr>
        <w:t>
      3505. На нефтеналивных судах, где требуется система инертных газов, обеспечение инертизации пространства двойного корпуса допускается выполнять через съемные патрубки, соединенные с системой инертного газа грузовых танков или посредством стационарных трубопроводов.</w:t>
      </w:r>
    </w:p>
    <w:bookmarkEnd w:id="9852"/>
    <w:bookmarkStart w:name="z9907" w:id="9853"/>
    <w:p>
      <w:pPr>
        <w:spacing w:after="0"/>
        <w:ind w:left="0"/>
        <w:jc w:val="both"/>
      </w:pPr>
      <w:r>
        <w:rPr>
          <w:rFonts w:ascii="Times New Roman"/>
          <w:b w:val="false"/>
          <w:i w:val="false"/>
          <w:color w:val="000000"/>
          <w:sz w:val="28"/>
        </w:rPr>
        <w:t>
      3506. При использовании съемных патрубков на магистрали системы предусматриваются устройства для их подсоединения.</w:t>
      </w:r>
    </w:p>
    <w:bookmarkEnd w:id="9853"/>
    <w:bookmarkStart w:name="z9908" w:id="9854"/>
    <w:p>
      <w:pPr>
        <w:spacing w:after="0"/>
        <w:ind w:left="0"/>
        <w:jc w:val="both"/>
      </w:pPr>
      <w:r>
        <w:rPr>
          <w:rFonts w:ascii="Times New Roman"/>
          <w:b w:val="false"/>
          <w:i w:val="false"/>
          <w:color w:val="000000"/>
          <w:sz w:val="28"/>
        </w:rPr>
        <w:t>
      3507. При использовании стационарных трубопроводов предусматривается отдельный палубный затвор и невозвратный клапан.</w:t>
      </w:r>
    </w:p>
    <w:bookmarkEnd w:id="9854"/>
    <w:bookmarkStart w:name="z9909" w:id="9855"/>
    <w:p>
      <w:pPr>
        <w:spacing w:after="0"/>
        <w:ind w:left="0"/>
        <w:jc w:val="left"/>
      </w:pPr>
      <w:r>
        <w:rPr>
          <w:rFonts w:ascii="Times New Roman"/>
          <w:b/>
          <w:i w:val="false"/>
          <w:color w:val="000000"/>
        </w:rPr>
        <w:t xml:space="preserve"> Параграф 11. Система для создания изолирующего</w:t>
      </w:r>
      <w:r>
        <w:br/>
      </w:r>
      <w:r>
        <w:rPr>
          <w:rFonts w:ascii="Times New Roman"/>
          <w:b/>
          <w:i w:val="false"/>
          <w:color w:val="000000"/>
        </w:rPr>
        <w:t>слоя в грузовых танках</w:t>
      </w:r>
    </w:p>
    <w:bookmarkEnd w:id="9855"/>
    <w:bookmarkStart w:name="z9910" w:id="9856"/>
    <w:p>
      <w:pPr>
        <w:spacing w:after="0"/>
        <w:ind w:left="0"/>
        <w:jc w:val="both"/>
      </w:pPr>
      <w:r>
        <w:rPr>
          <w:rFonts w:ascii="Times New Roman"/>
          <w:b w:val="false"/>
          <w:i w:val="false"/>
          <w:color w:val="000000"/>
          <w:sz w:val="28"/>
        </w:rPr>
        <w:t>
      3508. Для создания изолирующего слоя в грузовых танках допускается использовать систему с подачей инертного газа из баллонов, а так же систему с использованием генераторов инертных газов и азотных генераторов, если их производительность меньше указанной в подпункте 2) пункта 3444 настоящих Правил. Запас газа в баллонах должен быть достаточен для создания изолирующего слоя в грузовых танках, инертизации, при необходимости, помещений, смежных с грузовыми танками, и восполнения потерь инертного газа во время рейса.</w:t>
      </w:r>
    </w:p>
    <w:bookmarkEnd w:id="9856"/>
    <w:bookmarkStart w:name="z9911" w:id="9857"/>
    <w:p>
      <w:pPr>
        <w:spacing w:after="0"/>
        <w:ind w:left="0"/>
        <w:jc w:val="both"/>
      </w:pPr>
      <w:r>
        <w:rPr>
          <w:rFonts w:ascii="Times New Roman"/>
          <w:b w:val="false"/>
          <w:i w:val="false"/>
          <w:color w:val="000000"/>
          <w:sz w:val="28"/>
        </w:rPr>
        <w:t>
      3509. Инертный газ хранится в специальных баллонах или сосудах под давлением, отвечающим требованиям раздела 12 настоящих Правил. Сосуды под давлением допускается устанавливать на открытой палубе в грузовой зоне или в специальном помещении, отвечающем требованиям пункта 2271 настоящих Правил, расположенном в корму от таранной переборки и имеющем вентиляцию, отвечающую требованиям главы 295 настоящих Правил.</w:t>
      </w:r>
    </w:p>
    <w:bookmarkEnd w:id="9857"/>
    <w:bookmarkStart w:name="z9912" w:id="9858"/>
    <w:p>
      <w:pPr>
        <w:spacing w:after="0"/>
        <w:ind w:left="0"/>
        <w:jc w:val="both"/>
      </w:pPr>
      <w:r>
        <w:rPr>
          <w:rFonts w:ascii="Times New Roman"/>
          <w:b w:val="false"/>
          <w:i w:val="false"/>
          <w:color w:val="000000"/>
          <w:sz w:val="28"/>
        </w:rPr>
        <w:t>
      3510. Трубопроводы от сосудов под давлением и от каждой группы баллонов оборудуются редукционной арматурой, после которой предусматриваются предохранительные клапаны. Кроме того, в таких трубопроводах предусматриваются два последовательных невозвратных устройства. В противном случае, в них предусматривают съемные элементы. Перед и за этими элементами предусматривается запорная арматура.</w:t>
      </w:r>
    </w:p>
    <w:bookmarkEnd w:id="9858"/>
    <w:bookmarkStart w:name="z9913" w:id="9859"/>
    <w:p>
      <w:pPr>
        <w:spacing w:after="0"/>
        <w:ind w:left="0"/>
        <w:jc w:val="both"/>
      </w:pPr>
      <w:r>
        <w:rPr>
          <w:rFonts w:ascii="Times New Roman"/>
          <w:b w:val="false"/>
          <w:i w:val="false"/>
          <w:color w:val="000000"/>
          <w:sz w:val="28"/>
        </w:rPr>
        <w:t>
      3511. Инертизируемые помещения оборудуют устройствами для контроля давления и атмосферы танка, а так же предохранительными устройствами давления/вакуума.</w:t>
      </w:r>
    </w:p>
    <w:bookmarkEnd w:id="9859"/>
    <w:bookmarkStart w:name="z9914" w:id="9860"/>
    <w:p>
      <w:pPr>
        <w:spacing w:after="0"/>
        <w:ind w:left="0"/>
        <w:jc w:val="left"/>
      </w:pPr>
      <w:r>
        <w:rPr>
          <w:rFonts w:ascii="Times New Roman"/>
          <w:b/>
          <w:i w:val="false"/>
          <w:color w:val="000000"/>
        </w:rPr>
        <w:t xml:space="preserve"> Параграф 12. Система с азотным генератором</w:t>
      </w:r>
    </w:p>
    <w:bookmarkEnd w:id="9860"/>
    <w:bookmarkStart w:name="z9915" w:id="9861"/>
    <w:p>
      <w:pPr>
        <w:spacing w:after="0"/>
        <w:ind w:left="0"/>
        <w:jc w:val="both"/>
      </w:pPr>
      <w:r>
        <w:rPr>
          <w:rFonts w:ascii="Times New Roman"/>
          <w:b w:val="false"/>
          <w:i w:val="false"/>
          <w:color w:val="000000"/>
          <w:sz w:val="28"/>
        </w:rPr>
        <w:t>
      3512. Настоящие требования распространяются на систему, в которой инертный газ (азот) получается при разделении сжатого воздуха на составляющие газы при проходе через азотный генератор (группу пустотелых волокон полупроницаемых мембран или адсорбирующий материал, размещенный в герметичном корпусе). Помимо требований настоящего пункта необходимо чтобы система отвечала также требованиям пункта 3444, параграфа 4 настоящего пункта, пунктов 3464 – 3466, 3475 (применительно к пункту 3519), 3480, 3481, 3485 (применительно к подпункту 7) пункта 3525) и 3493 (применительно к пункту 3519), настоящих Правил.</w:t>
      </w:r>
    </w:p>
    <w:bookmarkEnd w:id="9861"/>
    <w:bookmarkStart w:name="z9916" w:id="9862"/>
    <w:p>
      <w:pPr>
        <w:spacing w:after="0"/>
        <w:ind w:left="0"/>
        <w:jc w:val="both"/>
      </w:pPr>
      <w:r>
        <w:rPr>
          <w:rFonts w:ascii="Times New Roman"/>
          <w:b w:val="false"/>
          <w:i w:val="false"/>
          <w:color w:val="000000"/>
          <w:sz w:val="28"/>
        </w:rPr>
        <w:t>
      3513. Воздушный компрессор и азотный генератор размещаются в машинном отделении или в отдельном помещении, которое в этом случае относится к прочим машинным помещениям (пункт 2235 настоящих Правил). Оно располагается вне грузовой зоны и из него не должно быть непосредственного входа в жилые, служебные помещения и посты управления.</w:t>
      </w:r>
    </w:p>
    <w:bookmarkEnd w:id="9862"/>
    <w:bookmarkStart w:name="z9917" w:id="9863"/>
    <w:p>
      <w:pPr>
        <w:spacing w:after="0"/>
        <w:ind w:left="0"/>
        <w:jc w:val="both"/>
      </w:pPr>
      <w:r>
        <w:rPr>
          <w:rFonts w:ascii="Times New Roman"/>
          <w:b w:val="false"/>
          <w:i w:val="false"/>
          <w:color w:val="000000"/>
          <w:sz w:val="28"/>
        </w:rPr>
        <w:t>
      3514. Система производит инертный газ с содержанием азота не менее 95 % и кислорода не более 5 %. Система снабжается автоматическим устройством, обеспечивающим выпуск газа в атмосферу при подготовке к выводу системы на спецификационный режим и при его нарушениях.</w:t>
      </w:r>
    </w:p>
    <w:bookmarkEnd w:id="9863"/>
    <w:bookmarkStart w:name="z9918" w:id="9864"/>
    <w:p>
      <w:pPr>
        <w:spacing w:after="0"/>
        <w:ind w:left="0"/>
        <w:jc w:val="both"/>
      </w:pPr>
      <w:r>
        <w:rPr>
          <w:rFonts w:ascii="Times New Roman"/>
          <w:b w:val="false"/>
          <w:i w:val="false"/>
          <w:color w:val="000000"/>
          <w:sz w:val="28"/>
        </w:rPr>
        <w:t>
      3515. Система имеет два воздушных компрессора одинаковой производительности. Система может иметь один компрессор при условии, что на борту имеется для него достаточное количество запасных частей, чтобы обеспечить ремонт силами экипажа.</w:t>
      </w:r>
    </w:p>
    <w:bookmarkEnd w:id="9864"/>
    <w:bookmarkStart w:name="z9919" w:id="9865"/>
    <w:p>
      <w:pPr>
        <w:spacing w:after="0"/>
        <w:ind w:left="0"/>
        <w:jc w:val="both"/>
      </w:pPr>
      <w:r>
        <w:rPr>
          <w:rFonts w:ascii="Times New Roman"/>
          <w:b w:val="false"/>
          <w:i w:val="false"/>
          <w:color w:val="000000"/>
          <w:sz w:val="28"/>
        </w:rPr>
        <w:t>
      3516. Оборудование для обработки, поступающего в генератор воздуха (воздухоохладитель, подогреватель, сепаратор, фильтры) обеспечивает удаление из него влаги, частиц и следов масла и поддерживать его спецификационную температуру.</w:t>
      </w:r>
    </w:p>
    <w:bookmarkEnd w:id="9865"/>
    <w:bookmarkStart w:name="z9920" w:id="9866"/>
    <w:p>
      <w:pPr>
        <w:spacing w:after="0"/>
        <w:ind w:left="0"/>
        <w:jc w:val="both"/>
      </w:pPr>
      <w:r>
        <w:rPr>
          <w:rFonts w:ascii="Times New Roman"/>
          <w:b w:val="false"/>
          <w:i w:val="false"/>
          <w:color w:val="000000"/>
          <w:sz w:val="28"/>
        </w:rPr>
        <w:t>
      3517. Азотный ресивер устанавливается в грузовой зоне. Помещение, в котором он установлен, должно иметь вход с открытой палубы с дверью, открываемой наружу.</w:t>
      </w:r>
    </w:p>
    <w:bookmarkEnd w:id="9866"/>
    <w:bookmarkStart w:name="z9921" w:id="9867"/>
    <w:p>
      <w:pPr>
        <w:spacing w:after="0"/>
        <w:ind w:left="0"/>
        <w:jc w:val="both"/>
      </w:pPr>
      <w:r>
        <w:rPr>
          <w:rFonts w:ascii="Times New Roman"/>
          <w:b w:val="false"/>
          <w:i w:val="false"/>
          <w:color w:val="000000"/>
          <w:sz w:val="28"/>
        </w:rPr>
        <w:t>
      3518. Отвод обогащенного кислородом воздуха из азотного генератора и отвод азота от предохранительных устройств азотного ресивера производится за пределы помещений в места, удаленные от входов, воздухозаборников и отверстий выгороженных помещений.</w:t>
      </w:r>
    </w:p>
    <w:bookmarkEnd w:id="9867"/>
    <w:bookmarkStart w:name="z9922" w:id="9868"/>
    <w:p>
      <w:pPr>
        <w:spacing w:after="0"/>
        <w:ind w:left="0"/>
        <w:jc w:val="both"/>
      </w:pPr>
      <w:r>
        <w:rPr>
          <w:rFonts w:ascii="Times New Roman"/>
          <w:b w:val="false"/>
          <w:i w:val="false"/>
          <w:color w:val="000000"/>
          <w:sz w:val="28"/>
        </w:rPr>
        <w:t>
      3519. На выходе из азотного генератора устанавливают устройства, поддерживающие в системе постоянное давление инертного газа.</w:t>
      </w:r>
    </w:p>
    <w:bookmarkEnd w:id="9868"/>
    <w:bookmarkStart w:name="z9923" w:id="9869"/>
    <w:p>
      <w:pPr>
        <w:spacing w:after="0"/>
        <w:ind w:left="0"/>
        <w:jc w:val="both"/>
      </w:pPr>
      <w:r>
        <w:rPr>
          <w:rFonts w:ascii="Times New Roman"/>
          <w:b w:val="false"/>
          <w:i w:val="false"/>
          <w:color w:val="000000"/>
          <w:sz w:val="28"/>
        </w:rPr>
        <w:t>
      3520. Между азотным генератором и ресивером устанавливается запорный клапан.</w:t>
      </w:r>
    </w:p>
    <w:bookmarkEnd w:id="9869"/>
    <w:bookmarkStart w:name="z9924" w:id="9870"/>
    <w:p>
      <w:pPr>
        <w:spacing w:after="0"/>
        <w:ind w:left="0"/>
        <w:jc w:val="both"/>
      </w:pPr>
      <w:r>
        <w:rPr>
          <w:rFonts w:ascii="Times New Roman"/>
          <w:b w:val="false"/>
          <w:i w:val="false"/>
          <w:color w:val="000000"/>
          <w:sz w:val="28"/>
        </w:rPr>
        <w:t>
      3521. По крайней мере, два невозвратно-запорные устройства устанавливают в системе инертного газа, одно из которых должно быть с двойной блокировкой и продувочным устройством, а второе с местным средством закрытия. Они устанавливаются на магистрали в грузовой зоне до патрубков, указанных в пункте 3465 настоящих Правил.</w:t>
      </w:r>
    </w:p>
    <w:bookmarkEnd w:id="9870"/>
    <w:bookmarkStart w:name="z9925" w:id="9871"/>
    <w:p>
      <w:pPr>
        <w:spacing w:after="0"/>
        <w:ind w:left="0"/>
        <w:jc w:val="both"/>
      </w:pPr>
      <w:r>
        <w:rPr>
          <w:rFonts w:ascii="Times New Roman"/>
          <w:b w:val="false"/>
          <w:i w:val="false"/>
          <w:color w:val="000000"/>
          <w:sz w:val="28"/>
        </w:rPr>
        <w:t>
      3522. Предусматриваются приборы для постоянного показания температуры и давления: на напорной стороне компрессора; на входящей стороне азотного генератора.</w:t>
      </w:r>
    </w:p>
    <w:bookmarkEnd w:id="9871"/>
    <w:bookmarkStart w:name="z9926" w:id="9872"/>
    <w:p>
      <w:pPr>
        <w:spacing w:after="0"/>
        <w:ind w:left="0"/>
        <w:jc w:val="both"/>
      </w:pPr>
      <w:r>
        <w:rPr>
          <w:rFonts w:ascii="Times New Roman"/>
          <w:b w:val="false"/>
          <w:i w:val="false"/>
          <w:color w:val="000000"/>
          <w:sz w:val="28"/>
        </w:rPr>
        <w:t>
      3523. Устанавливают приборы для постоянного показания и регистрации во время работы системы:</w:t>
      </w:r>
    </w:p>
    <w:bookmarkEnd w:id="9872"/>
    <w:bookmarkStart w:name="z9927" w:id="9873"/>
    <w:p>
      <w:pPr>
        <w:spacing w:after="0"/>
        <w:ind w:left="0"/>
        <w:jc w:val="both"/>
      </w:pPr>
      <w:r>
        <w:rPr>
          <w:rFonts w:ascii="Times New Roman"/>
          <w:b w:val="false"/>
          <w:i w:val="false"/>
          <w:color w:val="000000"/>
          <w:sz w:val="28"/>
        </w:rPr>
        <w:t>
      1) содержания кислорода в инертном газе на выходе из азотного генератора;</w:t>
      </w:r>
    </w:p>
    <w:bookmarkEnd w:id="9873"/>
    <w:bookmarkStart w:name="z9928" w:id="9874"/>
    <w:p>
      <w:pPr>
        <w:spacing w:after="0"/>
        <w:ind w:left="0"/>
        <w:jc w:val="both"/>
      </w:pPr>
      <w:r>
        <w:rPr>
          <w:rFonts w:ascii="Times New Roman"/>
          <w:b w:val="false"/>
          <w:i w:val="false"/>
          <w:color w:val="000000"/>
          <w:sz w:val="28"/>
        </w:rPr>
        <w:t>
      2) давления в магистрали перед невозвратно – запорными клапанами, требуемыми пунктом 3521 настоящих Правил.</w:t>
      </w:r>
    </w:p>
    <w:bookmarkEnd w:id="9874"/>
    <w:bookmarkStart w:name="z9929" w:id="9875"/>
    <w:p>
      <w:pPr>
        <w:spacing w:after="0"/>
        <w:ind w:left="0"/>
        <w:jc w:val="both"/>
      </w:pPr>
      <w:r>
        <w:rPr>
          <w:rFonts w:ascii="Times New Roman"/>
          <w:b w:val="false"/>
          <w:i w:val="false"/>
          <w:color w:val="000000"/>
          <w:sz w:val="28"/>
        </w:rPr>
        <w:t>
      3524. Приборы, указанные в пункте 3523 настоящих Правил, устанавливают в ПУГО, если он предусмотрен на судне. Если ПУГО на судне отсутствует, то их следует установить в таком месте, чтобы обеспечить получение сигнала ответственными за проведение грузовых операций лицами команды.</w:t>
      </w:r>
    </w:p>
    <w:bookmarkEnd w:id="9875"/>
    <w:bookmarkStart w:name="z9930" w:id="9876"/>
    <w:p>
      <w:pPr>
        <w:spacing w:after="0"/>
        <w:ind w:left="0"/>
        <w:jc w:val="both"/>
      </w:pPr>
      <w:r>
        <w:rPr>
          <w:rFonts w:ascii="Times New Roman"/>
          <w:b w:val="false"/>
          <w:i w:val="false"/>
          <w:color w:val="000000"/>
          <w:sz w:val="28"/>
        </w:rPr>
        <w:t>
      3525. Световая и звуковая сигнализация предусматривается для указания на:</w:t>
      </w:r>
    </w:p>
    <w:bookmarkEnd w:id="9876"/>
    <w:bookmarkStart w:name="z9931" w:id="9877"/>
    <w:p>
      <w:pPr>
        <w:spacing w:after="0"/>
        <w:ind w:left="0"/>
        <w:jc w:val="both"/>
      </w:pPr>
      <w:r>
        <w:rPr>
          <w:rFonts w:ascii="Times New Roman"/>
          <w:b w:val="false"/>
          <w:i w:val="false"/>
          <w:color w:val="000000"/>
          <w:sz w:val="28"/>
        </w:rPr>
        <w:t>
      1) низкое давление воздуха компрессора, указанное в пункте 3522 настоящих Правил;</w:t>
      </w:r>
    </w:p>
    <w:bookmarkEnd w:id="9877"/>
    <w:bookmarkStart w:name="z9932" w:id="9878"/>
    <w:p>
      <w:pPr>
        <w:spacing w:after="0"/>
        <w:ind w:left="0"/>
        <w:jc w:val="both"/>
      </w:pPr>
      <w:r>
        <w:rPr>
          <w:rFonts w:ascii="Times New Roman"/>
          <w:b w:val="false"/>
          <w:i w:val="false"/>
          <w:color w:val="000000"/>
          <w:sz w:val="28"/>
        </w:rPr>
        <w:t>
      2) высокую температуру воздуха, указанную в пункте 3522 настоящих Правил;</w:t>
      </w:r>
    </w:p>
    <w:bookmarkEnd w:id="9878"/>
    <w:bookmarkStart w:name="z9933" w:id="9879"/>
    <w:p>
      <w:pPr>
        <w:spacing w:after="0"/>
        <w:ind w:left="0"/>
        <w:jc w:val="both"/>
      </w:pPr>
      <w:r>
        <w:rPr>
          <w:rFonts w:ascii="Times New Roman"/>
          <w:b w:val="false"/>
          <w:i w:val="false"/>
          <w:color w:val="000000"/>
          <w:sz w:val="28"/>
        </w:rPr>
        <w:t>
      3) высокий уровень воды в сепараторе, указанном в пункте 3516 настоящих Правил;</w:t>
      </w:r>
    </w:p>
    <w:bookmarkEnd w:id="9879"/>
    <w:bookmarkStart w:name="z9934" w:id="9880"/>
    <w:p>
      <w:pPr>
        <w:spacing w:after="0"/>
        <w:ind w:left="0"/>
        <w:jc w:val="both"/>
      </w:pPr>
      <w:r>
        <w:rPr>
          <w:rFonts w:ascii="Times New Roman"/>
          <w:b w:val="false"/>
          <w:i w:val="false"/>
          <w:color w:val="000000"/>
          <w:sz w:val="28"/>
        </w:rPr>
        <w:t>
      4) выход из строя электрического подогревателя (если установлен), указанном в пункте 3516 настоящих Правил;</w:t>
      </w:r>
    </w:p>
    <w:bookmarkEnd w:id="9880"/>
    <w:bookmarkStart w:name="z9935" w:id="9881"/>
    <w:p>
      <w:pPr>
        <w:spacing w:after="0"/>
        <w:ind w:left="0"/>
        <w:jc w:val="both"/>
      </w:pPr>
      <w:r>
        <w:rPr>
          <w:rFonts w:ascii="Times New Roman"/>
          <w:b w:val="false"/>
          <w:i w:val="false"/>
          <w:color w:val="000000"/>
          <w:sz w:val="28"/>
        </w:rPr>
        <w:t>
      5) высокое содержание кислорода, указанное в пунктах 3514 и в 3523 настоящих Правил;</w:t>
      </w:r>
    </w:p>
    <w:bookmarkEnd w:id="9881"/>
    <w:bookmarkStart w:name="z9936" w:id="9882"/>
    <w:p>
      <w:pPr>
        <w:spacing w:after="0"/>
        <w:ind w:left="0"/>
        <w:jc w:val="both"/>
      </w:pPr>
      <w:r>
        <w:rPr>
          <w:rFonts w:ascii="Times New Roman"/>
          <w:b w:val="false"/>
          <w:i w:val="false"/>
          <w:color w:val="000000"/>
          <w:sz w:val="28"/>
        </w:rPr>
        <w:t>
      6) прекращение подачи энергии к приборам, указанным в пункте 3523 настоящих Правил;</w:t>
      </w:r>
    </w:p>
    <w:bookmarkEnd w:id="9882"/>
    <w:bookmarkStart w:name="z9937" w:id="9883"/>
    <w:p>
      <w:pPr>
        <w:spacing w:after="0"/>
        <w:ind w:left="0"/>
        <w:jc w:val="both"/>
      </w:pPr>
      <w:r>
        <w:rPr>
          <w:rFonts w:ascii="Times New Roman"/>
          <w:b w:val="false"/>
          <w:i w:val="false"/>
          <w:color w:val="000000"/>
          <w:sz w:val="28"/>
        </w:rPr>
        <w:t>
      7) понижение давления газа, упомянутого в пункте 3523 настоящих Правил;</w:t>
      </w:r>
    </w:p>
    <w:bookmarkEnd w:id="9883"/>
    <w:bookmarkStart w:name="z9938" w:id="9884"/>
    <w:p>
      <w:pPr>
        <w:spacing w:after="0"/>
        <w:ind w:left="0"/>
        <w:jc w:val="both"/>
      </w:pPr>
      <w:r>
        <w:rPr>
          <w:rFonts w:ascii="Times New Roman"/>
          <w:b w:val="false"/>
          <w:i w:val="false"/>
          <w:color w:val="000000"/>
          <w:sz w:val="28"/>
        </w:rPr>
        <w:t>
      8) повышение давления газа, упомянутого в пункте 3523 настоящих Правил.</w:t>
      </w:r>
    </w:p>
    <w:bookmarkEnd w:id="9884"/>
    <w:bookmarkStart w:name="z9939" w:id="9885"/>
    <w:p>
      <w:pPr>
        <w:spacing w:after="0"/>
        <w:ind w:left="0"/>
        <w:jc w:val="both"/>
      </w:pPr>
      <w:r>
        <w:rPr>
          <w:rFonts w:ascii="Times New Roman"/>
          <w:b w:val="false"/>
          <w:i w:val="false"/>
          <w:color w:val="000000"/>
          <w:sz w:val="28"/>
        </w:rPr>
        <w:t>
      3526. Автоматическая остановка компрессора происходит при работе сигнализации в случаях, указанных в подпунктах 1) – 5) и 8) пункта 3525 настоящих Правил. Автоматическая защита компрессора отвечает требованиям главы 679 настоящих Правил.</w:t>
      </w:r>
    </w:p>
    <w:bookmarkEnd w:id="9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3526 -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40" w:id="9886"/>
    <w:p>
      <w:pPr>
        <w:spacing w:after="0"/>
        <w:ind w:left="0"/>
        <w:jc w:val="both"/>
      </w:pPr>
      <w:r>
        <w:rPr>
          <w:rFonts w:ascii="Times New Roman"/>
          <w:b w:val="false"/>
          <w:i w:val="false"/>
          <w:color w:val="000000"/>
          <w:sz w:val="28"/>
        </w:rPr>
        <w:t>
      3527. Автоматическое закрытие устройств, указанных в пункте 3519 настоящих Правил, происходит при прекращении подачи энергии к компрессору.</w:t>
      </w:r>
    </w:p>
    <w:bookmarkEnd w:id="9886"/>
    <w:bookmarkStart w:name="z9941" w:id="9887"/>
    <w:p>
      <w:pPr>
        <w:spacing w:after="0"/>
        <w:ind w:left="0"/>
        <w:jc w:val="both"/>
      </w:pPr>
      <w:r>
        <w:rPr>
          <w:rFonts w:ascii="Times New Roman"/>
          <w:b w:val="false"/>
          <w:i w:val="false"/>
          <w:color w:val="000000"/>
          <w:sz w:val="28"/>
        </w:rPr>
        <w:t>
      3528. Сигнализация, требуемая в пункте 3525 настоящих Правил, устанавливается в машинном отделении и посту управления грузовыми операциями, если этот пост предусмотрен, но в любом случае в таком помещении, где она может быть незамедлительно воспринята ответственным членом экипажа.</w:t>
      </w:r>
    </w:p>
    <w:bookmarkEnd w:id="9887"/>
    <w:bookmarkStart w:name="z9942" w:id="9888"/>
    <w:p>
      <w:pPr>
        <w:spacing w:after="0"/>
        <w:ind w:left="0"/>
        <w:jc w:val="left"/>
      </w:pPr>
      <w:r>
        <w:rPr>
          <w:rFonts w:ascii="Times New Roman"/>
          <w:b/>
          <w:i w:val="false"/>
          <w:color w:val="000000"/>
        </w:rPr>
        <w:t xml:space="preserve"> Подраздел 10. Системы воздушных, переливных и измерительных трубопроводов</w:t>
      </w:r>
    </w:p>
    <w:bookmarkEnd w:id="9888"/>
    <w:p>
      <w:pPr>
        <w:spacing w:after="0"/>
        <w:ind w:left="0"/>
        <w:jc w:val="both"/>
      </w:pPr>
      <w:r>
        <w:rPr>
          <w:rFonts w:ascii="Times New Roman"/>
          <w:b w:val="false"/>
          <w:i w:val="false"/>
          <w:color w:val="ff0000"/>
          <w:sz w:val="28"/>
        </w:rPr>
        <w:t xml:space="preserve">
      Сноска. Заголовок подраздела 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43" w:id="9889"/>
    <w:p>
      <w:pPr>
        <w:spacing w:after="0"/>
        <w:ind w:left="0"/>
        <w:jc w:val="left"/>
      </w:pPr>
      <w:r>
        <w:rPr>
          <w:rFonts w:ascii="Times New Roman"/>
          <w:b/>
          <w:i w:val="false"/>
          <w:color w:val="000000"/>
        </w:rPr>
        <w:t xml:space="preserve"> Глава 283. Воздушные трубы</w:t>
      </w:r>
    </w:p>
    <w:bookmarkEnd w:id="9889"/>
    <w:p>
      <w:pPr>
        <w:spacing w:after="0"/>
        <w:ind w:left="0"/>
        <w:jc w:val="both"/>
      </w:pPr>
      <w:r>
        <w:rPr>
          <w:rFonts w:ascii="Times New Roman"/>
          <w:b w:val="false"/>
          <w:i w:val="false"/>
          <w:color w:val="ff0000"/>
          <w:sz w:val="28"/>
        </w:rPr>
        <w:t xml:space="preserve">
      Сноска. Заголовок главы 283 -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44" w:id="9890"/>
    <w:p>
      <w:pPr>
        <w:spacing w:after="0"/>
        <w:ind w:left="0"/>
        <w:jc w:val="both"/>
      </w:pPr>
      <w:r>
        <w:rPr>
          <w:rFonts w:ascii="Times New Roman"/>
          <w:b w:val="false"/>
          <w:i w:val="false"/>
          <w:color w:val="000000"/>
          <w:sz w:val="28"/>
        </w:rPr>
        <w:t>
      3529. Каждая цистерна, предназначенная для хранения жидкости, каждый заполняемый коффердам, а также ледовые и кингстонные ящики оборудуются воздушными трубами.</w:t>
      </w:r>
    </w:p>
    <w:bookmarkEnd w:id="9890"/>
    <w:bookmarkStart w:name="z9945" w:id="9891"/>
    <w:p>
      <w:pPr>
        <w:spacing w:after="0"/>
        <w:ind w:left="0"/>
        <w:jc w:val="both"/>
      </w:pPr>
      <w:r>
        <w:rPr>
          <w:rFonts w:ascii="Times New Roman"/>
          <w:b w:val="false"/>
          <w:i w:val="false"/>
          <w:color w:val="000000"/>
          <w:sz w:val="28"/>
        </w:rPr>
        <w:t>
      Воздушные трубы ледовых и кингстонных ящиков оборудуются запорными клапанами, установленными непосредственно на ящиках.</w:t>
      </w:r>
    </w:p>
    <w:bookmarkEnd w:id="9891"/>
    <w:bookmarkStart w:name="z9946" w:id="9892"/>
    <w:p>
      <w:pPr>
        <w:spacing w:after="0"/>
        <w:ind w:left="0"/>
        <w:jc w:val="both"/>
      </w:pPr>
      <w:r>
        <w:rPr>
          <w:rFonts w:ascii="Times New Roman"/>
          <w:b w:val="false"/>
          <w:i w:val="false"/>
          <w:color w:val="000000"/>
          <w:sz w:val="28"/>
        </w:rPr>
        <w:t>
      Воздушные трубы цистерн второго дна и цистерн, стенками которых является наружная обшивка корпуса, а также ледовых и кингстонных ящиков выводят выше палубы переборок.</w:t>
      </w:r>
    </w:p>
    <w:bookmarkEnd w:id="9892"/>
    <w:bookmarkStart w:name="z9947" w:id="9893"/>
    <w:p>
      <w:pPr>
        <w:spacing w:after="0"/>
        <w:ind w:left="0"/>
        <w:jc w:val="both"/>
      </w:pPr>
      <w:r>
        <w:rPr>
          <w:rFonts w:ascii="Times New Roman"/>
          <w:b w:val="false"/>
          <w:i w:val="false"/>
          <w:color w:val="000000"/>
          <w:sz w:val="28"/>
        </w:rPr>
        <w:t>
      3530. Воздушные трубы цистерны выводят из верхней ее части, как правило, из места, наиболее удаленного от наполнительного трубопровода. Число и расположение труб выбирается в зависимости от формы и размера цистерны и исключает образование воздушных мешков.</w:t>
      </w:r>
    </w:p>
    <w:bookmarkEnd w:id="9893"/>
    <w:bookmarkStart w:name="z9948" w:id="9894"/>
    <w:p>
      <w:pPr>
        <w:spacing w:after="0"/>
        <w:ind w:left="0"/>
        <w:jc w:val="both"/>
      </w:pPr>
      <w:r>
        <w:rPr>
          <w:rFonts w:ascii="Times New Roman"/>
          <w:b w:val="false"/>
          <w:i w:val="false"/>
          <w:color w:val="000000"/>
          <w:sz w:val="28"/>
        </w:rPr>
        <w:t>
      Если воздушные трубы топливных цистерн используются в качестве переливных (воздушно-переливные трубы), то требования пункта 3552 настоящих Правил.</w:t>
      </w:r>
    </w:p>
    <w:bookmarkEnd w:id="9894"/>
    <w:bookmarkStart w:name="z9949" w:id="9895"/>
    <w:p>
      <w:pPr>
        <w:spacing w:after="0"/>
        <w:ind w:left="0"/>
        <w:jc w:val="both"/>
      </w:pPr>
      <w:r>
        <w:rPr>
          <w:rFonts w:ascii="Times New Roman"/>
          <w:b w:val="false"/>
          <w:i w:val="false"/>
          <w:color w:val="000000"/>
          <w:sz w:val="28"/>
        </w:rPr>
        <w:t>
      3531. Цистерны, простирающиеся от борта до борта, оборудуются воздушными трубами у обоих бортов. Воздушные трубы не должны использоваться в качестве наполнительных, за исключением случаев, когда цистерна оборудована более чем одной воздушной трубой.</w:t>
      </w:r>
    </w:p>
    <w:bookmarkEnd w:id="9895"/>
    <w:bookmarkStart w:name="z9950" w:id="9896"/>
    <w:p>
      <w:pPr>
        <w:spacing w:after="0"/>
        <w:ind w:left="0"/>
        <w:jc w:val="both"/>
      </w:pPr>
      <w:r>
        <w:rPr>
          <w:rFonts w:ascii="Times New Roman"/>
          <w:b w:val="false"/>
          <w:i w:val="false"/>
          <w:color w:val="000000"/>
          <w:sz w:val="28"/>
        </w:rPr>
        <w:t>
      Объединение воздушных труб цистерн с неоднородными жидкостями не допускается.</w:t>
      </w:r>
    </w:p>
    <w:bookmarkEnd w:id="9896"/>
    <w:bookmarkStart w:name="z9951" w:id="9897"/>
    <w:p>
      <w:pPr>
        <w:spacing w:after="0"/>
        <w:ind w:left="0"/>
        <w:jc w:val="both"/>
      </w:pPr>
      <w:r>
        <w:rPr>
          <w:rFonts w:ascii="Times New Roman"/>
          <w:b w:val="false"/>
          <w:i w:val="false"/>
          <w:color w:val="000000"/>
          <w:sz w:val="28"/>
        </w:rPr>
        <w:t>
      3532. Высота воздушных труб, выведенных на открытую палубу, измеряемая от палубы до уровня жидкости в трубе при ее заполнении, должна составлять не менее 760 мм на палубах надводного борта и не менее 450 мм на палубах надстройки.</w:t>
      </w:r>
    </w:p>
    <w:bookmarkEnd w:id="9897"/>
    <w:bookmarkStart w:name="z9952" w:id="9898"/>
    <w:p>
      <w:pPr>
        <w:spacing w:after="0"/>
        <w:ind w:left="0"/>
        <w:jc w:val="both"/>
      </w:pPr>
      <w:r>
        <w:rPr>
          <w:rFonts w:ascii="Times New Roman"/>
          <w:b w:val="false"/>
          <w:i w:val="false"/>
          <w:color w:val="000000"/>
          <w:sz w:val="28"/>
        </w:rPr>
        <w:t>
      Если такая высота будет мешать работам на судне, одобряется меньшая высота при условии, что закрывающие устройства, а также наличие других обстоятельств оправдывают принятие такой высоты. Кроме того, на судах ограниченных районов плавания R2, R2-RSN, R3-RSN и R3 указанные выше высоты труб допускается уменьшать по согласованию с Регистром судоходства, однако они должны быть не менее 600 и 380 мм, соответственно.</w:t>
      </w:r>
    </w:p>
    <w:bookmarkEnd w:id="9898"/>
    <w:bookmarkStart w:name="z9953" w:id="9899"/>
    <w:p>
      <w:pPr>
        <w:spacing w:after="0"/>
        <w:ind w:left="0"/>
        <w:jc w:val="both"/>
      </w:pPr>
      <w:r>
        <w:rPr>
          <w:rFonts w:ascii="Times New Roman"/>
          <w:b w:val="false"/>
          <w:i w:val="false"/>
          <w:color w:val="000000"/>
          <w:sz w:val="28"/>
        </w:rPr>
        <w:t>
      Минимальные толщины стенок воздушных труб над палубой должны быть:</w:t>
      </w:r>
    </w:p>
    <w:bookmarkEnd w:id="9899"/>
    <w:bookmarkStart w:name="z9954" w:id="9900"/>
    <w:p>
      <w:pPr>
        <w:spacing w:after="0"/>
        <w:ind w:left="0"/>
        <w:jc w:val="both"/>
      </w:pPr>
      <w:r>
        <w:rPr>
          <w:rFonts w:ascii="Times New Roman"/>
          <w:b w:val="false"/>
          <w:i w:val="false"/>
          <w:color w:val="000000"/>
          <w:sz w:val="28"/>
        </w:rPr>
        <w:t xml:space="preserve">
      для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80 мм — 6 мм,</w:t>
      </w:r>
    </w:p>
    <w:bookmarkEnd w:id="9900"/>
    <w:bookmarkStart w:name="z9955" w:id="9901"/>
    <w:p>
      <w:pPr>
        <w:spacing w:after="0"/>
        <w:ind w:left="0"/>
        <w:jc w:val="both"/>
      </w:pPr>
      <w:r>
        <w:rPr>
          <w:rFonts w:ascii="Times New Roman"/>
          <w:b w:val="false"/>
          <w:i w:val="false"/>
          <w:color w:val="000000"/>
          <w:sz w:val="28"/>
        </w:rPr>
        <w:t xml:space="preserve">
      для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165 — 8,5 мм.</w:t>
      </w:r>
    </w:p>
    <w:bookmarkEnd w:id="9901"/>
    <w:bookmarkStart w:name="z9956" w:id="9902"/>
    <w:p>
      <w:pPr>
        <w:spacing w:after="0"/>
        <w:ind w:left="0"/>
        <w:jc w:val="both"/>
      </w:pPr>
      <w:r>
        <w:rPr>
          <w:rFonts w:ascii="Times New Roman"/>
          <w:b w:val="false"/>
          <w:i w:val="false"/>
          <w:color w:val="000000"/>
          <w:sz w:val="28"/>
        </w:rPr>
        <w:t>
      Промежуточные значения определяются интерполяцией.</w:t>
      </w:r>
    </w:p>
    <w:bookmarkEnd w:id="9902"/>
    <w:bookmarkStart w:name="z9957" w:id="9903"/>
    <w:p>
      <w:pPr>
        <w:spacing w:after="0"/>
        <w:ind w:left="0"/>
        <w:jc w:val="both"/>
      </w:pPr>
      <w:r>
        <w:rPr>
          <w:rFonts w:ascii="Times New Roman"/>
          <w:b w:val="false"/>
          <w:i w:val="false"/>
          <w:color w:val="000000"/>
          <w:sz w:val="28"/>
        </w:rPr>
        <w:t>
      Воздушные трубы располагаются в защищенных местах, где исключается возможность их повреждения во время грузовых операций.</w:t>
      </w:r>
    </w:p>
    <w:bookmarkEnd w:id="9903"/>
    <w:bookmarkStart w:name="z9958" w:id="9904"/>
    <w:p>
      <w:pPr>
        <w:spacing w:after="0"/>
        <w:ind w:left="0"/>
        <w:jc w:val="both"/>
      </w:pPr>
      <w:r>
        <w:rPr>
          <w:rFonts w:ascii="Times New Roman"/>
          <w:b w:val="false"/>
          <w:i w:val="false"/>
          <w:color w:val="000000"/>
          <w:sz w:val="28"/>
        </w:rPr>
        <w:t>
      Расположение и устройство воздушных труб расходных и отстойных топливных цистерн и цистерн смазочного масла должно быть таким, чтобы исключалось попадание дождевой или морской воды в цистерны в случае их поломки.</w:t>
      </w:r>
    </w:p>
    <w:bookmarkEnd w:id="9904"/>
    <w:bookmarkStart w:name="z9959" w:id="9905"/>
    <w:p>
      <w:pPr>
        <w:spacing w:after="0"/>
        <w:ind w:left="0"/>
        <w:jc w:val="both"/>
      </w:pPr>
      <w:r>
        <w:rPr>
          <w:rFonts w:ascii="Times New Roman"/>
          <w:b w:val="false"/>
          <w:i w:val="false"/>
          <w:color w:val="000000"/>
          <w:sz w:val="28"/>
        </w:rPr>
        <w:t>
      3533. Выходной конец воздушной трубы выполняется в виде колена, обращенного отверстием вниз, или имеет другую конструкцию, согласованную с Регистром судоходства.</w:t>
      </w:r>
    </w:p>
    <w:bookmarkEnd w:id="9905"/>
    <w:bookmarkStart w:name="z9960" w:id="9906"/>
    <w:p>
      <w:pPr>
        <w:spacing w:after="0"/>
        <w:ind w:left="0"/>
        <w:jc w:val="both"/>
      </w:pPr>
      <w:r>
        <w:rPr>
          <w:rFonts w:ascii="Times New Roman"/>
          <w:b w:val="false"/>
          <w:i w:val="false"/>
          <w:color w:val="000000"/>
          <w:sz w:val="28"/>
        </w:rPr>
        <w:t>
      3534. Открытые концы воздушных труб топливных и масляных цистерн выводятся на открытую палубу в места, где выходящие из указанных цистерн пары не представляют пожарной опасности.</w:t>
      </w:r>
    </w:p>
    <w:bookmarkEnd w:id="9906"/>
    <w:bookmarkStart w:name="z9961" w:id="9907"/>
    <w:p>
      <w:pPr>
        <w:spacing w:after="0"/>
        <w:ind w:left="0"/>
        <w:jc w:val="both"/>
      </w:pPr>
      <w:r>
        <w:rPr>
          <w:rFonts w:ascii="Times New Roman"/>
          <w:b w:val="false"/>
          <w:i w:val="false"/>
          <w:color w:val="000000"/>
          <w:sz w:val="28"/>
        </w:rPr>
        <w:t>
      Воздушные трубы топливных цистерн с подогревом должны отвечать требованиям пункта 3679 настоящих Правил.</w:t>
      </w:r>
    </w:p>
    <w:bookmarkEnd w:id="9907"/>
    <w:bookmarkStart w:name="z9962" w:id="9908"/>
    <w:p>
      <w:pPr>
        <w:spacing w:after="0"/>
        <w:ind w:left="0"/>
        <w:jc w:val="both"/>
      </w:pPr>
      <w:r>
        <w:rPr>
          <w:rFonts w:ascii="Times New Roman"/>
          <w:b w:val="false"/>
          <w:i w:val="false"/>
          <w:color w:val="000000"/>
          <w:sz w:val="28"/>
        </w:rPr>
        <w:t>
      3535. Воздушные трубы вкладных масляных цистерн, не оборудованных подогревом, допускается выводить в помещения, в которых установлены цистерны; при этом в случае переполнения цистерн исключается возможность попадания масла на электрическое оборудование и нагретые поверхности.</w:t>
      </w:r>
    </w:p>
    <w:bookmarkEnd w:id="9908"/>
    <w:bookmarkStart w:name="z9963" w:id="9909"/>
    <w:p>
      <w:pPr>
        <w:spacing w:after="0"/>
        <w:ind w:left="0"/>
        <w:jc w:val="both"/>
      </w:pPr>
      <w:r>
        <w:rPr>
          <w:rFonts w:ascii="Times New Roman"/>
          <w:b w:val="false"/>
          <w:i w:val="false"/>
          <w:color w:val="000000"/>
          <w:sz w:val="28"/>
        </w:rPr>
        <w:t>
      3536. Выходные концы воздушных труб, расположенных на открытых палубах надводного борта и палубах надстроек первого яруса (параграф 4 главы 41 настоящих Правил), а также расположенных выше этих палуб в пределах зоны, ограниченной углом заливания (главы 89 настоящих Правил), оборудуются постоянно прикрепленными автоматически действующими закрытиями, обеспечивающими свободный проход воздуха и жидкости и исключающими возможность проникновения воды в цистерны. Закрытия должны отвечать требованиям главы 245 настоящих Правил.</w:t>
      </w:r>
    </w:p>
    <w:bookmarkEnd w:id="9909"/>
    <w:bookmarkStart w:name="z9964" w:id="9910"/>
    <w:p>
      <w:pPr>
        <w:spacing w:after="0"/>
        <w:ind w:left="0"/>
        <w:jc w:val="both"/>
      </w:pPr>
      <w:r>
        <w:rPr>
          <w:rFonts w:ascii="Times New Roman"/>
          <w:b w:val="false"/>
          <w:i w:val="false"/>
          <w:color w:val="000000"/>
          <w:sz w:val="28"/>
        </w:rPr>
        <w:t>
      3537. Суммарная площадь сечения воздушных труб цистерны, наполнение которой производится гравитационным способом, должна быть не менее суммарной площади сечения наполнительных труб этой цистерны.</w:t>
      </w:r>
    </w:p>
    <w:bookmarkEnd w:id="9910"/>
    <w:bookmarkStart w:name="z9965" w:id="9911"/>
    <w:p>
      <w:pPr>
        <w:spacing w:after="0"/>
        <w:ind w:left="0"/>
        <w:jc w:val="both"/>
      </w:pPr>
      <w:r>
        <w:rPr>
          <w:rFonts w:ascii="Times New Roman"/>
          <w:b w:val="false"/>
          <w:i w:val="false"/>
          <w:color w:val="000000"/>
          <w:sz w:val="28"/>
        </w:rPr>
        <w:t>
      3538. Суммарная площадь сечения воздушных труб цистерны, заполняемой судовыми или береговыми насосами, составляет не менее 1,25 площади сечения наполнительных трубопроводов цистерны.</w:t>
      </w:r>
    </w:p>
    <w:bookmarkEnd w:id="9911"/>
    <w:bookmarkStart w:name="z9966" w:id="9912"/>
    <w:p>
      <w:pPr>
        <w:spacing w:after="0"/>
        <w:ind w:left="0"/>
        <w:jc w:val="both"/>
      </w:pPr>
      <w:r>
        <w:rPr>
          <w:rFonts w:ascii="Times New Roman"/>
          <w:b w:val="false"/>
          <w:i w:val="false"/>
          <w:color w:val="000000"/>
          <w:sz w:val="28"/>
        </w:rPr>
        <w:t>
      Площадь сечения общей воздушной трубы от нескольких цистерн составляет не менее 1,25 площади общего наполнительного трубопровода этих цистерн; при этом выполняются требования пункта 3551 настоящих Правил.</w:t>
      </w:r>
    </w:p>
    <w:bookmarkEnd w:id="9912"/>
    <w:bookmarkStart w:name="z9967" w:id="9913"/>
    <w:p>
      <w:pPr>
        <w:spacing w:after="0"/>
        <w:ind w:left="0"/>
        <w:jc w:val="both"/>
      </w:pPr>
      <w:r>
        <w:rPr>
          <w:rFonts w:ascii="Times New Roman"/>
          <w:b w:val="false"/>
          <w:i w:val="false"/>
          <w:color w:val="000000"/>
          <w:sz w:val="28"/>
        </w:rPr>
        <w:t>
      3539. Если цистерна, заполняемая судовыми или береговыми насосами, оборудована переливной трубой, суммарная площадь сечения воздушных труб цистерны должна быть не менее 1/3 площади сечения наполнительного трубопровода.</w:t>
      </w:r>
    </w:p>
    <w:bookmarkEnd w:id="9913"/>
    <w:bookmarkStart w:name="z9968" w:id="9914"/>
    <w:p>
      <w:pPr>
        <w:spacing w:after="0"/>
        <w:ind w:left="0"/>
        <w:jc w:val="both"/>
      </w:pPr>
      <w:r>
        <w:rPr>
          <w:rFonts w:ascii="Times New Roman"/>
          <w:b w:val="false"/>
          <w:i w:val="false"/>
          <w:color w:val="000000"/>
          <w:sz w:val="28"/>
        </w:rPr>
        <w:t>
      При объединении воздушных труб от нескольких цистерн, оборудованных переливными трубами, площадь сечения общей воздушной трубы должна быть не менее 1/3 площади сечения общей наполнительной трубы этих цистерн; при этом выполняются требования пункта 3551 настоящих Правил.</w:t>
      </w:r>
    </w:p>
    <w:bookmarkEnd w:id="9914"/>
    <w:bookmarkStart w:name="z9969" w:id="9915"/>
    <w:p>
      <w:pPr>
        <w:spacing w:after="0"/>
        <w:ind w:left="0"/>
        <w:jc w:val="both"/>
      </w:pPr>
      <w:r>
        <w:rPr>
          <w:rFonts w:ascii="Times New Roman"/>
          <w:b w:val="false"/>
          <w:i w:val="false"/>
          <w:color w:val="000000"/>
          <w:sz w:val="28"/>
        </w:rPr>
        <w:t>
      3540. Внутренний диаметр воздушной трубы во всех случаях должен быть не менее 50 мм. Настоящее требование не применяется к воздушным трубам, указанным в пункте 3537 настоящих Правил.</w:t>
      </w:r>
    </w:p>
    <w:bookmarkEnd w:id="9915"/>
    <w:bookmarkStart w:name="z9970" w:id="9916"/>
    <w:p>
      <w:pPr>
        <w:spacing w:after="0"/>
        <w:ind w:left="0"/>
        <w:jc w:val="both"/>
      </w:pPr>
      <w:r>
        <w:rPr>
          <w:rFonts w:ascii="Times New Roman"/>
          <w:b w:val="false"/>
          <w:i w:val="false"/>
          <w:color w:val="000000"/>
          <w:sz w:val="28"/>
        </w:rPr>
        <w:t>
      3541. Расположение воздушных труб должно исключать возможность образования гидравлических затворов в трубах.</w:t>
      </w:r>
    </w:p>
    <w:bookmarkEnd w:id="9916"/>
    <w:bookmarkStart w:name="z9971" w:id="9917"/>
    <w:p>
      <w:pPr>
        <w:spacing w:after="0"/>
        <w:ind w:left="0"/>
        <w:jc w:val="both"/>
      </w:pPr>
      <w:r>
        <w:rPr>
          <w:rFonts w:ascii="Times New Roman"/>
          <w:b w:val="false"/>
          <w:i w:val="false"/>
          <w:color w:val="000000"/>
          <w:sz w:val="28"/>
        </w:rPr>
        <w:t>
      3542. Воздушные трубы топливных и масляных цистерн в районе жилых и охлаждаемых помещений не должны иметь разъемных соединений.</w:t>
      </w:r>
    </w:p>
    <w:bookmarkEnd w:id="9917"/>
    <w:bookmarkStart w:name="z9972" w:id="9918"/>
    <w:p>
      <w:pPr>
        <w:spacing w:after="0"/>
        <w:ind w:left="0"/>
        <w:jc w:val="both"/>
      </w:pPr>
      <w:r>
        <w:rPr>
          <w:rFonts w:ascii="Times New Roman"/>
          <w:b w:val="false"/>
          <w:i w:val="false"/>
          <w:color w:val="000000"/>
          <w:sz w:val="28"/>
        </w:rPr>
        <w:t>
      3543. Выходные концы воздушных труб снабжаются планками с отличительной надписью.</w:t>
      </w:r>
    </w:p>
    <w:bookmarkEnd w:id="9918"/>
    <w:bookmarkStart w:name="z9973" w:id="9919"/>
    <w:p>
      <w:pPr>
        <w:spacing w:after="0"/>
        <w:ind w:left="0"/>
        <w:jc w:val="both"/>
      </w:pPr>
      <w:r>
        <w:rPr>
          <w:rFonts w:ascii="Times New Roman"/>
          <w:b w:val="false"/>
          <w:i w:val="false"/>
          <w:color w:val="000000"/>
          <w:sz w:val="28"/>
        </w:rPr>
        <w:t>
      3544. Воздушные трубы картеров двигателей внутреннего сгорания должны отвечать требованиям пунктов 3984 и 3579 настоящих Правил.</w:t>
      </w:r>
    </w:p>
    <w:bookmarkEnd w:id="9919"/>
    <w:bookmarkStart w:name="z9974" w:id="9920"/>
    <w:p>
      <w:pPr>
        <w:spacing w:after="0"/>
        <w:ind w:left="0"/>
        <w:jc w:val="both"/>
      </w:pPr>
      <w:r>
        <w:rPr>
          <w:rFonts w:ascii="Times New Roman"/>
          <w:b w:val="false"/>
          <w:i w:val="false"/>
          <w:color w:val="000000"/>
          <w:sz w:val="28"/>
        </w:rPr>
        <w:t>
      3545. Воздушные трубы балластных отсеков плавучих доков выводятся выше предельной линии погружения не менее чем на 300 мм.</w:t>
      </w:r>
    </w:p>
    <w:bookmarkEnd w:id="9920"/>
    <w:bookmarkStart w:name="z9975" w:id="9921"/>
    <w:p>
      <w:pPr>
        <w:spacing w:after="0"/>
        <w:ind w:left="0"/>
        <w:jc w:val="both"/>
      </w:pPr>
      <w:r>
        <w:rPr>
          <w:rFonts w:ascii="Times New Roman"/>
          <w:b w:val="false"/>
          <w:i w:val="false"/>
          <w:color w:val="000000"/>
          <w:sz w:val="28"/>
        </w:rPr>
        <w:t>
      Допускается вывод воздушных труб через бортовую обшивку башен доков.</w:t>
      </w:r>
    </w:p>
    <w:bookmarkEnd w:id="9921"/>
    <w:bookmarkStart w:name="z9976" w:id="9922"/>
    <w:p>
      <w:pPr>
        <w:spacing w:after="0"/>
        <w:ind w:left="0"/>
        <w:jc w:val="both"/>
      </w:pPr>
      <w:r>
        <w:rPr>
          <w:rFonts w:ascii="Times New Roman"/>
          <w:b w:val="false"/>
          <w:i w:val="false"/>
          <w:color w:val="000000"/>
          <w:sz w:val="28"/>
        </w:rPr>
        <w:t>
      Остальные требования настоящей главы не распространяются на воздушные трубы балластных отсеков плавучих доков.</w:t>
      </w:r>
    </w:p>
    <w:bookmarkEnd w:id="9922"/>
    <w:bookmarkStart w:name="z9977" w:id="9923"/>
    <w:p>
      <w:pPr>
        <w:spacing w:after="0"/>
        <w:ind w:left="0"/>
        <w:jc w:val="both"/>
      </w:pPr>
      <w:r>
        <w:rPr>
          <w:rFonts w:ascii="Times New Roman"/>
          <w:b w:val="false"/>
          <w:i w:val="false"/>
          <w:color w:val="000000"/>
          <w:sz w:val="28"/>
        </w:rPr>
        <w:t>
      3546. На пассажирских судах расположение открытых концов воздушных труб, заканчивающихся в надстройке, должно быть на один метр выше ватерлинии судна, накрененного до угла 15</w:t>
      </w:r>
      <w:r>
        <w:rPr>
          <w:rFonts w:ascii="Times New Roman"/>
          <w:b w:val="false"/>
          <w:i w:val="false"/>
          <w:color w:val="000000"/>
          <w:vertAlign w:val="superscript"/>
        </w:rPr>
        <w:t>o</w:t>
      </w:r>
      <w:r>
        <w:rPr>
          <w:rFonts w:ascii="Times New Roman"/>
          <w:b w:val="false"/>
          <w:i w:val="false"/>
          <w:color w:val="000000"/>
          <w:sz w:val="28"/>
        </w:rPr>
        <w:t>, или максимального угла крена, определенного расчетом, при промежуточных стадиях затопления в зависимости от того, что больше.</w:t>
      </w:r>
    </w:p>
    <w:bookmarkEnd w:id="9923"/>
    <w:bookmarkStart w:name="z9978" w:id="9924"/>
    <w:p>
      <w:pPr>
        <w:spacing w:after="0"/>
        <w:ind w:left="0"/>
        <w:jc w:val="both"/>
      </w:pPr>
      <w:r>
        <w:rPr>
          <w:rFonts w:ascii="Times New Roman"/>
          <w:b w:val="false"/>
          <w:i w:val="false"/>
          <w:color w:val="000000"/>
          <w:sz w:val="28"/>
        </w:rPr>
        <w:t>
      Как альтернатива, допускается проход воздушных труб танков, за исключением нефтяных, через борт надстройки.</w:t>
      </w:r>
    </w:p>
    <w:bookmarkEnd w:id="9924"/>
    <w:bookmarkStart w:name="z9979" w:id="9925"/>
    <w:p>
      <w:pPr>
        <w:spacing w:after="0"/>
        <w:ind w:left="0"/>
        <w:jc w:val="both"/>
      </w:pPr>
      <w:r>
        <w:rPr>
          <w:rFonts w:ascii="Times New Roman"/>
          <w:b w:val="false"/>
          <w:i w:val="false"/>
          <w:color w:val="000000"/>
          <w:sz w:val="28"/>
        </w:rPr>
        <w:t>
      3547. Открытые концы воздушных труб грузовых танков нефтесборных судов выводятся на открытую палубу в места, где выходящие пары не представляют пожарной опасности, и защищаются пламепрерывающей арматурой.</w:t>
      </w:r>
    </w:p>
    <w:bookmarkEnd w:id="9925"/>
    <w:bookmarkStart w:name="z9980" w:id="9926"/>
    <w:p>
      <w:pPr>
        <w:spacing w:after="0"/>
        <w:ind w:left="0"/>
        <w:jc w:val="both"/>
      </w:pPr>
      <w:r>
        <w:rPr>
          <w:rFonts w:ascii="Times New Roman"/>
          <w:b w:val="false"/>
          <w:i w:val="false"/>
          <w:color w:val="000000"/>
          <w:sz w:val="28"/>
        </w:rPr>
        <w:t>
      Проходное сечение арматуры должно быть не менее площади проходного сечения воздушной трубы.</w:t>
      </w:r>
    </w:p>
    <w:bookmarkEnd w:id="9926"/>
    <w:bookmarkStart w:name="z9981" w:id="9927"/>
    <w:p>
      <w:pPr>
        <w:spacing w:after="0"/>
        <w:ind w:left="0"/>
        <w:jc w:val="both"/>
      </w:pPr>
      <w:r>
        <w:rPr>
          <w:rFonts w:ascii="Times New Roman"/>
          <w:b w:val="false"/>
          <w:i w:val="false"/>
          <w:color w:val="000000"/>
          <w:sz w:val="28"/>
        </w:rPr>
        <w:t>
      3548. Воздушные трубы контрольных цистерн конденсата системы подогрева груза должны отвечать требованиям пункта 3370 настоящих Правил.</w:t>
      </w:r>
    </w:p>
    <w:bookmarkEnd w:id="9927"/>
    <w:bookmarkStart w:name="z9982" w:id="9928"/>
    <w:p>
      <w:pPr>
        <w:spacing w:after="0"/>
        <w:ind w:left="0"/>
        <w:jc w:val="left"/>
      </w:pPr>
      <w:r>
        <w:rPr>
          <w:rFonts w:ascii="Times New Roman"/>
          <w:b/>
          <w:i w:val="false"/>
          <w:color w:val="000000"/>
        </w:rPr>
        <w:t xml:space="preserve"> Глава 284. Переливные трубы, цистерны</w:t>
      </w:r>
    </w:p>
    <w:bookmarkEnd w:id="9928"/>
    <w:p>
      <w:pPr>
        <w:spacing w:after="0"/>
        <w:ind w:left="0"/>
        <w:jc w:val="both"/>
      </w:pPr>
      <w:r>
        <w:rPr>
          <w:rFonts w:ascii="Times New Roman"/>
          <w:b w:val="false"/>
          <w:i w:val="false"/>
          <w:color w:val="ff0000"/>
          <w:sz w:val="28"/>
        </w:rPr>
        <w:t xml:space="preserve">
      Сноска. Заголовок главы 284 -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83" w:id="9929"/>
    <w:p>
      <w:pPr>
        <w:spacing w:after="0"/>
        <w:ind w:left="0"/>
        <w:jc w:val="both"/>
      </w:pPr>
      <w:r>
        <w:rPr>
          <w:rFonts w:ascii="Times New Roman"/>
          <w:b w:val="false"/>
          <w:i w:val="false"/>
          <w:color w:val="000000"/>
          <w:sz w:val="28"/>
        </w:rPr>
        <w:t>
      3549. Топливные цистерны оборудуются переливными трубами, направляющими топливо в переливную цистерну или в цистерну запаса, вместимость которой должна быть не менее вместимости переливной цистерны в соответствии с пунктом 3558 настоящих Правил, оборудованной согласно пункту 3559 настоящих Правил.</w:t>
      </w:r>
    </w:p>
    <w:bookmarkEnd w:id="9929"/>
    <w:bookmarkStart w:name="z9984" w:id="9930"/>
    <w:p>
      <w:pPr>
        <w:spacing w:after="0"/>
        <w:ind w:left="0"/>
        <w:jc w:val="both"/>
      </w:pPr>
      <w:r>
        <w:rPr>
          <w:rFonts w:ascii="Times New Roman"/>
          <w:b w:val="false"/>
          <w:i w:val="false"/>
          <w:color w:val="000000"/>
          <w:sz w:val="28"/>
        </w:rPr>
        <w:t>
      Переливные трубы допускается не устанавливать, если устройство топливной системы исключает возможность перелива топлива за борт при приеме и перекачке топлива. Помимо топливных цистерн, переливными трубами оборудуются масляные цистерны, указанные в пунктах 3787 и 3895 настоящих Правил.</w:t>
      </w:r>
    </w:p>
    <w:bookmarkEnd w:id="9930"/>
    <w:bookmarkStart w:name="z9985" w:id="9931"/>
    <w:p>
      <w:pPr>
        <w:spacing w:after="0"/>
        <w:ind w:left="0"/>
        <w:jc w:val="both"/>
      </w:pPr>
      <w:r>
        <w:rPr>
          <w:rFonts w:ascii="Times New Roman"/>
          <w:b w:val="false"/>
          <w:i w:val="false"/>
          <w:color w:val="000000"/>
          <w:sz w:val="28"/>
        </w:rPr>
        <w:t>
      3550. Площадь сечения переливных труб должна быть не менее 1,25 площади наполнительного трубопровода. Площадь сечения общей переливной трубы от нескольких цистерн должна быть не менее 1,25 площади общего наполнительного трубопровода.</w:t>
      </w:r>
    </w:p>
    <w:bookmarkEnd w:id="9931"/>
    <w:bookmarkStart w:name="z9986" w:id="9932"/>
    <w:p>
      <w:pPr>
        <w:spacing w:after="0"/>
        <w:ind w:left="0"/>
        <w:jc w:val="both"/>
      </w:pPr>
      <w:r>
        <w:rPr>
          <w:rFonts w:ascii="Times New Roman"/>
          <w:b w:val="false"/>
          <w:i w:val="false"/>
          <w:color w:val="000000"/>
          <w:sz w:val="28"/>
        </w:rPr>
        <w:t>
      3551. Объединение переливных труб из нескольких цистерн, встроенных в корпус и расположенных в разных водонепроницаемых отсеках, в общий коллектор или трубу выполняется выше самой высокой аварийной ватерлинии на судах, имеющих в символе класса знак деления на отсеки, и выше самой высокой грузовой ватерлинии — на прочих судах.</w:t>
      </w:r>
    </w:p>
    <w:bookmarkEnd w:id="9932"/>
    <w:bookmarkStart w:name="z9987" w:id="9933"/>
    <w:p>
      <w:pPr>
        <w:spacing w:after="0"/>
        <w:ind w:left="0"/>
        <w:jc w:val="both"/>
      </w:pPr>
      <w:r>
        <w:rPr>
          <w:rFonts w:ascii="Times New Roman"/>
          <w:b w:val="false"/>
          <w:i w:val="false"/>
          <w:color w:val="000000"/>
          <w:sz w:val="28"/>
        </w:rPr>
        <w:t>
      3552. Воздушные трубы, которые одновременно являются и переливными, не присоединяются к воздушной трубе переливной цистерны. В этом случае переливные трубы или общая переливная труба присоединяются непосредственно к цистерне.</w:t>
      </w:r>
    </w:p>
    <w:bookmarkEnd w:id="9933"/>
    <w:bookmarkStart w:name="z9988" w:id="9934"/>
    <w:p>
      <w:pPr>
        <w:spacing w:after="0"/>
        <w:ind w:left="0"/>
        <w:jc w:val="both"/>
      </w:pPr>
      <w:r>
        <w:rPr>
          <w:rFonts w:ascii="Times New Roman"/>
          <w:b w:val="false"/>
          <w:i w:val="false"/>
          <w:color w:val="000000"/>
          <w:sz w:val="28"/>
        </w:rPr>
        <w:t>
      3553. Если цистерна попеременно служит для перевозки топлива, балластной воды, а также жидкого или сухого груза, при общей системе переливные трубы устраивают таким образом, чтобы исключалась возможность перелива жидкости из одной цистерны в другую, а также попадания паров жидкости из других цистерн в цистерну с сухим грузом. В этих случаях по согласованию с Регистром судоходства на переливных трубах допускается установка запорных клапанов при условии, что эти трубы не будут использоваться в качестве воздушных.</w:t>
      </w:r>
    </w:p>
    <w:bookmarkEnd w:id="9934"/>
    <w:bookmarkStart w:name="z9989" w:id="9935"/>
    <w:p>
      <w:pPr>
        <w:spacing w:after="0"/>
        <w:ind w:left="0"/>
        <w:jc w:val="both"/>
      </w:pPr>
      <w:r>
        <w:rPr>
          <w:rFonts w:ascii="Times New Roman"/>
          <w:b w:val="false"/>
          <w:i w:val="false"/>
          <w:color w:val="000000"/>
          <w:sz w:val="28"/>
        </w:rPr>
        <w:t>
      3554. Переливные трубы расходных и отстойных топливных и масляных цистерн проводятся в цистерны, расположенные ниже указанных цистерн.</w:t>
      </w:r>
    </w:p>
    <w:bookmarkEnd w:id="9935"/>
    <w:bookmarkStart w:name="z9990" w:id="9936"/>
    <w:p>
      <w:pPr>
        <w:spacing w:after="0"/>
        <w:ind w:left="0"/>
        <w:jc w:val="both"/>
      </w:pPr>
      <w:r>
        <w:rPr>
          <w:rFonts w:ascii="Times New Roman"/>
          <w:b w:val="false"/>
          <w:i w:val="false"/>
          <w:color w:val="000000"/>
          <w:sz w:val="28"/>
        </w:rPr>
        <w:t>
      3555. На вертикальных участках переливных труб в хорошо видимом и легкодоступном месте устанавливается смотровое стекло или устройство, сигнализирующее о переливе топлива (пункт 3559 настоящих Правил).</w:t>
      </w:r>
    </w:p>
    <w:bookmarkEnd w:id="9936"/>
    <w:bookmarkStart w:name="z9991" w:id="9937"/>
    <w:p>
      <w:pPr>
        <w:spacing w:after="0"/>
        <w:ind w:left="0"/>
        <w:jc w:val="both"/>
      </w:pPr>
      <w:r>
        <w:rPr>
          <w:rFonts w:ascii="Times New Roman"/>
          <w:b w:val="false"/>
          <w:i w:val="false"/>
          <w:color w:val="000000"/>
          <w:sz w:val="28"/>
        </w:rPr>
        <w:t>
      3556. Внутренний диаметр переливных труб должен быть не менее 50 мм.</w:t>
      </w:r>
    </w:p>
    <w:bookmarkEnd w:id="9937"/>
    <w:bookmarkStart w:name="z9992" w:id="9938"/>
    <w:p>
      <w:pPr>
        <w:spacing w:after="0"/>
        <w:ind w:left="0"/>
        <w:jc w:val="both"/>
      </w:pPr>
      <w:r>
        <w:rPr>
          <w:rFonts w:ascii="Times New Roman"/>
          <w:b w:val="false"/>
          <w:i w:val="false"/>
          <w:color w:val="000000"/>
          <w:sz w:val="28"/>
        </w:rPr>
        <w:t>
      3557. Переливные трубы выводятся до днища переливных цистерн с минимальным зазором. При этом площадь проходного сечения в зазоре должна быть не менее площади сечения переливной трубы.</w:t>
      </w:r>
    </w:p>
    <w:bookmarkEnd w:id="9938"/>
    <w:bookmarkStart w:name="z9993" w:id="9939"/>
    <w:p>
      <w:pPr>
        <w:spacing w:after="0"/>
        <w:ind w:left="0"/>
        <w:jc w:val="both"/>
      </w:pPr>
      <w:r>
        <w:rPr>
          <w:rFonts w:ascii="Times New Roman"/>
          <w:b w:val="false"/>
          <w:i w:val="false"/>
          <w:color w:val="000000"/>
          <w:sz w:val="28"/>
        </w:rPr>
        <w:t>
      3558. Вместимость переливной топливной цистерны должна быть не менее 10-минутной максимально допустимой пропускной способности системы приема и перекачки топлива.</w:t>
      </w:r>
    </w:p>
    <w:bookmarkEnd w:id="9939"/>
    <w:bookmarkStart w:name="z10710" w:id="9940"/>
    <w:p>
      <w:pPr>
        <w:spacing w:after="0"/>
        <w:ind w:left="0"/>
        <w:jc w:val="both"/>
      </w:pPr>
      <w:r>
        <w:rPr>
          <w:rFonts w:ascii="Times New Roman"/>
          <w:b w:val="false"/>
          <w:i w:val="false"/>
          <w:color w:val="000000"/>
          <w:sz w:val="28"/>
        </w:rPr>
        <w:t>
      3588-1. Вентиляторы располагаются так, чтобы отсутствовала вероятность, воспламенения легковоспламеняющихся смесей газа и воздуха. Приемные и выпускные вентиляционные отверстия снабжаются защитными проволочными сетками. Вытяжные каналы выводятся в безопасное место. У входов в помещения вывешиваются надписи "Не курить".</w:t>
      </w:r>
    </w:p>
    <w:bookmarkEnd w:id="9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3588-1 в соответствии с приказом Министра по инвестициям и развитию РК от 30.11.2017 </w:t>
      </w:r>
      <w:r>
        <w:rPr>
          <w:rFonts w:ascii="Times New Roman"/>
          <w:b w:val="false"/>
          <w:i w:val="false"/>
          <w:color w:val="000000"/>
          <w:sz w:val="28"/>
        </w:rPr>
        <w:t>№ 829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94" w:id="9941"/>
    <w:p>
      <w:pPr>
        <w:spacing w:after="0"/>
        <w:ind w:left="0"/>
        <w:jc w:val="both"/>
      </w:pPr>
      <w:r>
        <w:rPr>
          <w:rFonts w:ascii="Times New Roman"/>
          <w:b w:val="false"/>
          <w:i w:val="false"/>
          <w:color w:val="000000"/>
          <w:sz w:val="28"/>
        </w:rPr>
        <w:t>
      3559. Переливная цистерна оборудуется световой и звуковой сигнализацией, срабатывающей при заполнении ее объема на 75 %.</w:t>
      </w:r>
    </w:p>
    <w:bookmarkEnd w:id="9941"/>
    <w:bookmarkStart w:name="z9995" w:id="9942"/>
    <w:p>
      <w:pPr>
        <w:spacing w:after="0"/>
        <w:ind w:left="0"/>
        <w:jc w:val="left"/>
      </w:pPr>
      <w:r>
        <w:rPr>
          <w:rFonts w:ascii="Times New Roman"/>
          <w:b/>
          <w:i w:val="false"/>
          <w:color w:val="000000"/>
        </w:rPr>
        <w:t xml:space="preserve"> Глава 285. Измерительные устройства</w:t>
      </w:r>
    </w:p>
    <w:bookmarkEnd w:id="9942"/>
    <w:p>
      <w:pPr>
        <w:spacing w:after="0"/>
        <w:ind w:left="0"/>
        <w:jc w:val="both"/>
      </w:pPr>
      <w:r>
        <w:rPr>
          <w:rFonts w:ascii="Times New Roman"/>
          <w:b w:val="false"/>
          <w:i w:val="false"/>
          <w:color w:val="ff0000"/>
          <w:sz w:val="28"/>
        </w:rPr>
        <w:t xml:space="preserve">
      Сноска. Заголовок главы 285 -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96" w:id="9943"/>
    <w:p>
      <w:pPr>
        <w:spacing w:after="0"/>
        <w:ind w:left="0"/>
        <w:jc w:val="both"/>
      </w:pPr>
      <w:r>
        <w:rPr>
          <w:rFonts w:ascii="Times New Roman"/>
          <w:b w:val="false"/>
          <w:i w:val="false"/>
          <w:color w:val="000000"/>
          <w:sz w:val="28"/>
        </w:rPr>
        <w:t>
      3560. Каждая цистерна, предназначенная для хранения жидкости, коффердамы и сухие отсеки, имеющие осушение, а также льяла и колодцы, не имеющие свободного доступа, оборудуются измерительными трубами для измерения уровня, как правило, выводимыми на открытые палубы. Для цистерн допускается применение других измерительных устройств одобренной Регистром судоходства конструкции.</w:t>
      </w:r>
    </w:p>
    <w:bookmarkEnd w:id="9943"/>
    <w:bookmarkStart w:name="z9997" w:id="9944"/>
    <w:p>
      <w:pPr>
        <w:spacing w:after="0"/>
        <w:ind w:left="0"/>
        <w:jc w:val="both"/>
      </w:pPr>
      <w:r>
        <w:rPr>
          <w:rFonts w:ascii="Times New Roman"/>
          <w:b w:val="false"/>
          <w:i w:val="false"/>
          <w:color w:val="000000"/>
          <w:sz w:val="28"/>
        </w:rPr>
        <w:t>
      Вывод измерительных труб вкладных цистерн на открытую палубу не является обязательным.</w:t>
      </w:r>
    </w:p>
    <w:bookmarkEnd w:id="9944"/>
    <w:bookmarkStart w:name="z9998" w:id="9945"/>
    <w:p>
      <w:pPr>
        <w:spacing w:after="0"/>
        <w:ind w:left="0"/>
        <w:jc w:val="both"/>
      </w:pPr>
      <w:r>
        <w:rPr>
          <w:rFonts w:ascii="Times New Roman"/>
          <w:b w:val="false"/>
          <w:i w:val="false"/>
          <w:color w:val="000000"/>
          <w:sz w:val="28"/>
        </w:rPr>
        <w:t>
      Выходные концы измерительных труб топливных и масляных цистерн не выводятся в помещения, где может возникнуть опасность воспламенения утечек из измерительных труб. Запрещается выводить измерительные трубы топливных цистерн в жилые и служебные помещения.</w:t>
      </w:r>
    </w:p>
    <w:bookmarkEnd w:id="9945"/>
    <w:bookmarkStart w:name="z9999" w:id="9946"/>
    <w:p>
      <w:pPr>
        <w:spacing w:after="0"/>
        <w:ind w:left="0"/>
        <w:jc w:val="both"/>
      </w:pPr>
      <w:r>
        <w:rPr>
          <w:rFonts w:ascii="Times New Roman"/>
          <w:b w:val="false"/>
          <w:i w:val="false"/>
          <w:color w:val="000000"/>
          <w:sz w:val="28"/>
        </w:rPr>
        <w:t>
      3561. Вместо измерительных труб допускается использование других средств измерения уровня топлива в цистернах при условии их соответствия следующим требованиям:</w:t>
      </w:r>
    </w:p>
    <w:bookmarkEnd w:id="9946"/>
    <w:bookmarkStart w:name="z10000" w:id="9947"/>
    <w:p>
      <w:pPr>
        <w:spacing w:after="0"/>
        <w:ind w:left="0"/>
        <w:jc w:val="both"/>
      </w:pPr>
      <w:r>
        <w:rPr>
          <w:rFonts w:ascii="Times New Roman"/>
          <w:b w:val="false"/>
          <w:i w:val="false"/>
          <w:color w:val="000000"/>
          <w:sz w:val="28"/>
        </w:rPr>
        <w:t>
      1) на пассажирских судах установка таких средств не должна требовать наличия отверстий ниже верхней плоскости цистерны, а их повреждение или перелив цистерны не должны приводить к утечке топлива;</w:t>
      </w:r>
    </w:p>
    <w:bookmarkEnd w:id="9947"/>
    <w:bookmarkStart w:name="z10001" w:id="9948"/>
    <w:p>
      <w:pPr>
        <w:spacing w:after="0"/>
        <w:ind w:left="0"/>
        <w:jc w:val="both"/>
      </w:pPr>
      <w:r>
        <w:rPr>
          <w:rFonts w:ascii="Times New Roman"/>
          <w:b w:val="false"/>
          <w:i w:val="false"/>
          <w:color w:val="000000"/>
          <w:sz w:val="28"/>
        </w:rPr>
        <w:t>
      2) на грузовых судах повреждение или перелив вышеуказанных средств измерения не должны приводить к утечке топлива. Допускается применять указатели уровня с плоскими стеклами и самозапорными кранами, устанавливаемыми между указателями и топливными цистернами. При подключении верхней части указателя к верхней плоскости цистерны верхний самозапорный клапан допускается не устанавливать. Применение стеклянных трубок в указателях уровня не допускается.</w:t>
      </w:r>
    </w:p>
    <w:bookmarkEnd w:id="9948"/>
    <w:bookmarkStart w:name="z10002" w:id="9949"/>
    <w:p>
      <w:pPr>
        <w:spacing w:after="0"/>
        <w:ind w:left="0"/>
        <w:jc w:val="both"/>
      </w:pPr>
      <w:r>
        <w:rPr>
          <w:rFonts w:ascii="Times New Roman"/>
          <w:b w:val="false"/>
          <w:i w:val="false"/>
          <w:color w:val="000000"/>
          <w:sz w:val="28"/>
        </w:rPr>
        <w:t>
      3562. Если двойное дно образует бортовые льяла, или судно имеет плоское днище, то измерительные трубы устанавливаются на каждом борту. Эти трубы выводятся выше палубы переборок в места, всегда доступные для замера. Измерительные трубы должны быть по возможности прямыми и не препятствовать замеру футштоком.</w:t>
      </w:r>
    </w:p>
    <w:bookmarkEnd w:id="9949"/>
    <w:bookmarkStart w:name="z10003" w:id="9950"/>
    <w:p>
      <w:pPr>
        <w:spacing w:after="0"/>
        <w:ind w:left="0"/>
        <w:jc w:val="both"/>
      </w:pPr>
      <w:r>
        <w:rPr>
          <w:rFonts w:ascii="Times New Roman"/>
          <w:b w:val="false"/>
          <w:i w:val="false"/>
          <w:color w:val="000000"/>
          <w:sz w:val="28"/>
        </w:rPr>
        <w:t>
      3563. Как правило, верхние концы измерительных труб топливных и масляных цистерн не выводятся в машинные помещения. Если это требование практически не выполнимо, такая установка труб допускается при соблюдении следующих условий:</w:t>
      </w:r>
    </w:p>
    <w:bookmarkEnd w:id="9950"/>
    <w:bookmarkStart w:name="z10004" w:id="9951"/>
    <w:p>
      <w:pPr>
        <w:spacing w:after="0"/>
        <w:ind w:left="0"/>
        <w:jc w:val="both"/>
      </w:pPr>
      <w:r>
        <w:rPr>
          <w:rFonts w:ascii="Times New Roman"/>
          <w:b w:val="false"/>
          <w:i w:val="false"/>
          <w:color w:val="000000"/>
          <w:sz w:val="28"/>
        </w:rPr>
        <w:t>
      1) на пассажирских судах такая труба не вводится ниже верхней плоскости цистерны, и ее повреждение или перелив цистерны не должны приводить к утечке топлива;</w:t>
      </w:r>
    </w:p>
    <w:bookmarkEnd w:id="9951"/>
    <w:bookmarkStart w:name="z10005" w:id="9952"/>
    <w:p>
      <w:pPr>
        <w:spacing w:after="0"/>
        <w:ind w:left="0"/>
        <w:jc w:val="both"/>
      </w:pPr>
      <w:r>
        <w:rPr>
          <w:rFonts w:ascii="Times New Roman"/>
          <w:b w:val="false"/>
          <w:i w:val="false"/>
          <w:color w:val="000000"/>
          <w:sz w:val="28"/>
        </w:rPr>
        <w:t>
      2) на грузовых судах ее повреждение или перелив цистерны не должны приводить к утечке топлива;</w:t>
      </w:r>
    </w:p>
    <w:bookmarkEnd w:id="9952"/>
    <w:bookmarkStart w:name="z10006" w:id="9953"/>
    <w:p>
      <w:pPr>
        <w:spacing w:after="0"/>
        <w:ind w:left="0"/>
        <w:jc w:val="both"/>
      </w:pPr>
      <w:r>
        <w:rPr>
          <w:rFonts w:ascii="Times New Roman"/>
          <w:b w:val="false"/>
          <w:i w:val="false"/>
          <w:color w:val="000000"/>
          <w:sz w:val="28"/>
        </w:rPr>
        <w:t>
      3) концы измерительных труб должны быть в достаточной степени удалены от возможных источников воспламенения или экранированы;</w:t>
      </w:r>
    </w:p>
    <w:bookmarkEnd w:id="9953"/>
    <w:bookmarkStart w:name="z10007" w:id="9954"/>
    <w:p>
      <w:pPr>
        <w:spacing w:after="0"/>
        <w:ind w:left="0"/>
        <w:jc w:val="both"/>
      </w:pPr>
      <w:r>
        <w:rPr>
          <w:rFonts w:ascii="Times New Roman"/>
          <w:b w:val="false"/>
          <w:i w:val="false"/>
          <w:color w:val="000000"/>
          <w:sz w:val="28"/>
        </w:rPr>
        <w:t>
      4) верхние концы измерительных труб снабжают самозапорными кранами, ниже которых предусматривают самозапорные пробные краны;</w:t>
      </w:r>
    </w:p>
    <w:bookmarkEnd w:id="9954"/>
    <w:bookmarkStart w:name="z10008" w:id="9955"/>
    <w:p>
      <w:pPr>
        <w:spacing w:after="0"/>
        <w:ind w:left="0"/>
        <w:jc w:val="both"/>
      </w:pPr>
      <w:r>
        <w:rPr>
          <w:rFonts w:ascii="Times New Roman"/>
          <w:b w:val="false"/>
          <w:i w:val="false"/>
          <w:color w:val="000000"/>
          <w:sz w:val="28"/>
        </w:rPr>
        <w:t>
      5) предусматривают конструктивные меры, предотвращающие попадание топлива или масла на горячие поверхности при утечке через пробный кран;</w:t>
      </w:r>
    </w:p>
    <w:bookmarkEnd w:id="9955"/>
    <w:bookmarkStart w:name="z10009" w:id="9956"/>
    <w:p>
      <w:pPr>
        <w:spacing w:after="0"/>
        <w:ind w:left="0"/>
        <w:jc w:val="both"/>
      </w:pPr>
      <w:r>
        <w:rPr>
          <w:rFonts w:ascii="Times New Roman"/>
          <w:b w:val="false"/>
          <w:i w:val="false"/>
          <w:color w:val="000000"/>
          <w:sz w:val="28"/>
        </w:rPr>
        <w:t>
      6) высота труб над настилом должна быть не менее 0,5 м.</w:t>
      </w:r>
    </w:p>
    <w:bookmarkEnd w:id="9956"/>
    <w:bookmarkStart w:name="z10010" w:id="9957"/>
    <w:p>
      <w:pPr>
        <w:spacing w:after="0"/>
        <w:ind w:left="0"/>
        <w:jc w:val="both"/>
      </w:pPr>
      <w:r>
        <w:rPr>
          <w:rFonts w:ascii="Times New Roman"/>
          <w:b w:val="false"/>
          <w:i w:val="false"/>
          <w:color w:val="000000"/>
          <w:sz w:val="28"/>
        </w:rPr>
        <w:t>
      3564. Измерительные трубы междудонных водяных цистерн допускается выводить в расположенные над ними помещения ниже палубы переборок, к которым имеется постоянный доступ. Такие трубы не используются в качестве воздушных и оборудуются самозапорными кранами.</w:t>
      </w:r>
    </w:p>
    <w:bookmarkEnd w:id="9957"/>
    <w:bookmarkStart w:name="z10011" w:id="9958"/>
    <w:p>
      <w:pPr>
        <w:spacing w:after="0"/>
        <w:ind w:left="0"/>
        <w:jc w:val="both"/>
      </w:pPr>
      <w:r>
        <w:rPr>
          <w:rFonts w:ascii="Times New Roman"/>
          <w:b w:val="false"/>
          <w:i w:val="false"/>
          <w:color w:val="000000"/>
          <w:sz w:val="28"/>
        </w:rPr>
        <w:t>
      3565. Под открытыми концами измерительных труб предусматриваются приварные накладные планки или другое усиление, предохраняющее обшивку (днище) от повреждений футштоком.</w:t>
      </w:r>
    </w:p>
    <w:bookmarkEnd w:id="9958"/>
    <w:bookmarkStart w:name="z10012" w:id="9959"/>
    <w:p>
      <w:pPr>
        <w:spacing w:after="0"/>
        <w:ind w:left="0"/>
        <w:jc w:val="both"/>
      </w:pPr>
      <w:r>
        <w:rPr>
          <w:rFonts w:ascii="Times New Roman"/>
          <w:b w:val="false"/>
          <w:i w:val="false"/>
          <w:color w:val="000000"/>
          <w:sz w:val="28"/>
        </w:rPr>
        <w:t>
      При закрытых нижних концах измерительных труб, имеющих вырезы, подобное усиление предусматривается в заглушке трубы.</w:t>
      </w:r>
    </w:p>
    <w:bookmarkEnd w:id="9959"/>
    <w:bookmarkStart w:name="z10013" w:id="9960"/>
    <w:p>
      <w:pPr>
        <w:spacing w:after="0"/>
        <w:ind w:left="0"/>
        <w:jc w:val="both"/>
      </w:pPr>
      <w:r>
        <w:rPr>
          <w:rFonts w:ascii="Times New Roman"/>
          <w:b w:val="false"/>
          <w:i w:val="false"/>
          <w:color w:val="000000"/>
          <w:sz w:val="28"/>
        </w:rPr>
        <w:t xml:space="preserve">
      3566. Внутренний диаметр измерительных труб должен быть не менее 32 мм, а для судов ограниченного района плавания R3-RSN — не менее 25 мм. Внутренний диаметр труб, проходящих через охлаждаемые помещения, в которых возможно понижение температуры до 0 </w:t>
      </w:r>
      <w:r>
        <w:rPr>
          <w:rFonts w:ascii="Times New Roman"/>
          <w:b w:val="false"/>
          <w:i w:val="false"/>
          <w:color w:val="000000"/>
          <w:vertAlign w:val="superscript"/>
        </w:rPr>
        <w:t>o</w:t>
      </w:r>
      <w:r>
        <w:rPr>
          <w:rFonts w:ascii="Times New Roman"/>
          <w:b w:val="false"/>
          <w:i w:val="false"/>
          <w:color w:val="000000"/>
          <w:sz w:val="28"/>
        </w:rPr>
        <w:t>С и ниже, и измерительных труб танков для сбора нефти нефтесборных судов должен быть не менее 50 мм.</w:t>
      </w:r>
    </w:p>
    <w:bookmarkEnd w:id="9960"/>
    <w:bookmarkStart w:name="z10014" w:id="9961"/>
    <w:p>
      <w:pPr>
        <w:spacing w:after="0"/>
        <w:ind w:left="0"/>
        <w:jc w:val="both"/>
      </w:pPr>
      <w:r>
        <w:rPr>
          <w:rFonts w:ascii="Times New Roman"/>
          <w:b w:val="false"/>
          <w:i w:val="false"/>
          <w:color w:val="000000"/>
          <w:sz w:val="28"/>
        </w:rPr>
        <w:t>
      3567. Выходные концы измерительных труб снабжаются планками с отличительной надписью.</w:t>
      </w:r>
    </w:p>
    <w:bookmarkEnd w:id="9961"/>
    <w:bookmarkStart w:name="z10015" w:id="9962"/>
    <w:p>
      <w:pPr>
        <w:spacing w:after="0"/>
        <w:ind w:left="0"/>
        <w:jc w:val="both"/>
      </w:pPr>
      <w:r>
        <w:rPr>
          <w:rFonts w:ascii="Times New Roman"/>
          <w:b w:val="false"/>
          <w:i w:val="false"/>
          <w:color w:val="000000"/>
          <w:sz w:val="28"/>
        </w:rPr>
        <w:t>
      3568. На нефтеналивных судах каждый грузовой танк снабжают системой предотвращения перелива, которая должна отвечать следующим требованиям:</w:t>
      </w:r>
    </w:p>
    <w:bookmarkEnd w:id="9962"/>
    <w:bookmarkStart w:name="z10016" w:id="9963"/>
    <w:p>
      <w:pPr>
        <w:spacing w:after="0"/>
        <w:ind w:left="0"/>
        <w:jc w:val="both"/>
      </w:pPr>
      <w:r>
        <w:rPr>
          <w:rFonts w:ascii="Times New Roman"/>
          <w:b w:val="false"/>
          <w:i w:val="false"/>
          <w:color w:val="000000"/>
          <w:sz w:val="28"/>
        </w:rPr>
        <w:t>
      1) быть независимой от измерительной системы грузовых танков;</w:t>
      </w:r>
    </w:p>
    <w:bookmarkEnd w:id="9963"/>
    <w:bookmarkStart w:name="z10017" w:id="9964"/>
    <w:p>
      <w:pPr>
        <w:spacing w:after="0"/>
        <w:ind w:left="0"/>
        <w:jc w:val="both"/>
      </w:pPr>
      <w:r>
        <w:rPr>
          <w:rFonts w:ascii="Times New Roman"/>
          <w:b w:val="false"/>
          <w:i w:val="false"/>
          <w:color w:val="000000"/>
          <w:sz w:val="28"/>
        </w:rPr>
        <w:t>
      2) подавать световой и звуковой сигнал при достижении верхнего и предельного уровней в танках судовому оператору и в ПУГО (при его наличии);</w:t>
      </w:r>
    </w:p>
    <w:bookmarkEnd w:id="9964"/>
    <w:bookmarkStart w:name="z10018" w:id="9965"/>
    <w:p>
      <w:pPr>
        <w:spacing w:after="0"/>
        <w:ind w:left="0"/>
        <w:jc w:val="both"/>
      </w:pPr>
      <w:r>
        <w:rPr>
          <w:rFonts w:ascii="Times New Roman"/>
          <w:b w:val="false"/>
          <w:i w:val="false"/>
          <w:color w:val="000000"/>
          <w:sz w:val="28"/>
        </w:rPr>
        <w:t>
      3) подавать сигнал при обесточивании системы или датчиков уровня;</w:t>
      </w:r>
    </w:p>
    <w:bookmarkEnd w:id="9965"/>
    <w:bookmarkStart w:name="z10019" w:id="9966"/>
    <w:p>
      <w:pPr>
        <w:spacing w:after="0"/>
        <w:ind w:left="0"/>
        <w:jc w:val="both"/>
      </w:pPr>
      <w:r>
        <w:rPr>
          <w:rFonts w:ascii="Times New Roman"/>
          <w:b w:val="false"/>
          <w:i w:val="false"/>
          <w:color w:val="000000"/>
          <w:sz w:val="28"/>
        </w:rPr>
        <w:t>
      4) иметь возможность проверки цепи сигнализации перед началом грузовых операций;</w:t>
      </w:r>
    </w:p>
    <w:bookmarkEnd w:id="9966"/>
    <w:bookmarkStart w:name="z10020" w:id="9967"/>
    <w:p>
      <w:pPr>
        <w:spacing w:after="0"/>
        <w:ind w:left="0"/>
        <w:jc w:val="both"/>
      </w:pPr>
      <w:r>
        <w:rPr>
          <w:rFonts w:ascii="Times New Roman"/>
          <w:b w:val="false"/>
          <w:i w:val="false"/>
          <w:color w:val="000000"/>
          <w:sz w:val="28"/>
        </w:rPr>
        <w:t>
      5) подавать условный сигнал для последовательного отключения береговых насосов или клапанов, или того и другого и клапанов на судне. Сигналы, насосы и клапаны должны отключаться судовыми операторами. Применение судовых автоматически закрывающихся клапанов допускается только при наличии разрешения и по согласованию с администрацией порта.</w:t>
      </w:r>
    </w:p>
    <w:bookmarkEnd w:id="9967"/>
    <w:bookmarkStart w:name="z10021" w:id="9968"/>
    <w:p>
      <w:pPr>
        <w:spacing w:after="0"/>
        <w:ind w:left="0"/>
        <w:jc w:val="both"/>
      </w:pPr>
      <w:r>
        <w:rPr>
          <w:rFonts w:ascii="Times New Roman"/>
          <w:b w:val="false"/>
          <w:i w:val="false"/>
          <w:color w:val="000000"/>
          <w:sz w:val="28"/>
        </w:rPr>
        <w:t>
      3569. Концы измерительных труб, выведенных на открытые палубы, снабжаются плотными пробками, отвечающими требованиям пункта 3026 настоящих Правил.</w:t>
      </w:r>
    </w:p>
    <w:bookmarkEnd w:id="9968"/>
    <w:bookmarkStart w:name="z10022" w:id="9969"/>
    <w:p>
      <w:pPr>
        <w:spacing w:after="0"/>
        <w:ind w:left="0"/>
        <w:jc w:val="both"/>
      </w:pPr>
      <w:r>
        <w:rPr>
          <w:rFonts w:ascii="Times New Roman"/>
          <w:b w:val="false"/>
          <w:i w:val="false"/>
          <w:color w:val="000000"/>
          <w:sz w:val="28"/>
        </w:rPr>
        <w:t>
      Применение закрытий иных типов является в каждом случае предметом специального рассмотрения Регистром судоходства.</w:t>
      </w:r>
    </w:p>
    <w:bookmarkEnd w:id="9969"/>
    <w:bookmarkStart w:name="z10023" w:id="9970"/>
    <w:p>
      <w:pPr>
        <w:spacing w:after="0"/>
        <w:ind w:left="0"/>
        <w:jc w:val="both"/>
      </w:pPr>
      <w:r>
        <w:rPr>
          <w:rFonts w:ascii="Times New Roman"/>
          <w:b w:val="false"/>
          <w:i w:val="false"/>
          <w:color w:val="000000"/>
          <w:sz w:val="28"/>
        </w:rPr>
        <w:t>
      Если измерительные трубы возвышаются над открытыми палубами, они располагаются в местах, исключающих возможность их повреждения, или иметь соответствующие ограждения.</w:t>
      </w:r>
    </w:p>
    <w:bookmarkEnd w:id="9970"/>
    <w:bookmarkStart w:name="z10024" w:id="9971"/>
    <w:p>
      <w:pPr>
        <w:spacing w:after="0"/>
        <w:ind w:left="0"/>
        <w:jc w:val="both"/>
      </w:pPr>
      <w:r>
        <w:rPr>
          <w:rFonts w:ascii="Times New Roman"/>
          <w:b w:val="false"/>
          <w:i w:val="false"/>
          <w:color w:val="000000"/>
          <w:sz w:val="28"/>
        </w:rPr>
        <w:t>
      3570. Измерительные трубы балластных отсеков плавучих доков выводятся на топ-палубу башен.</w:t>
      </w:r>
    </w:p>
    <w:bookmarkEnd w:id="9971"/>
    <w:bookmarkStart w:name="z10025" w:id="9972"/>
    <w:p>
      <w:pPr>
        <w:spacing w:after="0"/>
        <w:ind w:left="0"/>
        <w:jc w:val="left"/>
      </w:pPr>
      <w:r>
        <w:rPr>
          <w:rFonts w:ascii="Times New Roman"/>
          <w:b/>
          <w:i w:val="false"/>
          <w:color w:val="000000"/>
        </w:rPr>
        <w:t xml:space="preserve"> Подраздел 53. Газовыпускная система</w:t>
      </w:r>
      <w:r>
        <w:br/>
      </w:r>
      <w:r>
        <w:rPr>
          <w:rFonts w:ascii="Times New Roman"/>
          <w:b/>
          <w:i w:val="false"/>
          <w:color w:val="000000"/>
        </w:rPr>
        <w:t>Глава 286. Газовыпускные трубопроводы</w:t>
      </w:r>
    </w:p>
    <w:bookmarkEnd w:id="9972"/>
    <w:p>
      <w:pPr>
        <w:spacing w:after="0"/>
        <w:ind w:left="0"/>
        <w:jc w:val="both"/>
      </w:pPr>
      <w:r>
        <w:rPr>
          <w:rFonts w:ascii="Times New Roman"/>
          <w:b w:val="false"/>
          <w:i w:val="false"/>
          <w:color w:val="ff0000"/>
          <w:sz w:val="28"/>
        </w:rPr>
        <w:t xml:space="preserve">
      Сноска. Заголовок главы 286 -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27" w:id="9973"/>
    <w:p>
      <w:pPr>
        <w:spacing w:after="0"/>
        <w:ind w:left="0"/>
        <w:jc w:val="both"/>
      </w:pPr>
      <w:r>
        <w:rPr>
          <w:rFonts w:ascii="Times New Roman"/>
          <w:b w:val="false"/>
          <w:i w:val="false"/>
          <w:color w:val="000000"/>
          <w:sz w:val="28"/>
        </w:rPr>
        <w:t>
      3571. Газовыпускные трубопроводы выводятся, как правило, на открытые палубы.</w:t>
      </w:r>
    </w:p>
    <w:bookmarkEnd w:id="9973"/>
    <w:bookmarkStart w:name="z10028" w:id="9974"/>
    <w:p>
      <w:pPr>
        <w:spacing w:after="0"/>
        <w:ind w:left="0"/>
        <w:jc w:val="both"/>
      </w:pPr>
      <w:r>
        <w:rPr>
          <w:rFonts w:ascii="Times New Roman"/>
          <w:b w:val="false"/>
          <w:i w:val="false"/>
          <w:color w:val="000000"/>
          <w:sz w:val="28"/>
        </w:rPr>
        <w:t>
      3572. Если газовыпускные трубопроводы выводятся через бортовую обшивку вблизи от грузовой ватерлинии или ниже нее, предусматриваются устройства, предотвращающие возможность попадания забортной воды в двигатель.</w:t>
      </w:r>
    </w:p>
    <w:bookmarkEnd w:id="9974"/>
    <w:bookmarkStart w:name="z10029" w:id="9975"/>
    <w:p>
      <w:pPr>
        <w:spacing w:after="0"/>
        <w:ind w:left="0"/>
        <w:jc w:val="both"/>
      </w:pPr>
      <w:r>
        <w:rPr>
          <w:rFonts w:ascii="Times New Roman"/>
          <w:b w:val="false"/>
          <w:i w:val="false"/>
          <w:color w:val="000000"/>
          <w:sz w:val="28"/>
        </w:rPr>
        <w:t>
      3573. На нефтеналивных и нефтесборных судах, судах обеспечения, судах, приспособленных для перевозки взрыво- и пожароопасных грузов, и на судах, обслуживающих или буксирующих эти суда, дымоходы котлов, газовыпускных труб главных и вспомогательных двигателей, инсинераторов оборудуют искрогасителями или искроуловителями одобренной Регистром судоходства конструкции.</w:t>
      </w:r>
    </w:p>
    <w:bookmarkEnd w:id="9975"/>
    <w:bookmarkStart w:name="z10030" w:id="9976"/>
    <w:p>
      <w:pPr>
        <w:spacing w:after="0"/>
        <w:ind w:left="0"/>
        <w:jc w:val="both"/>
      </w:pPr>
      <w:r>
        <w:rPr>
          <w:rFonts w:ascii="Times New Roman"/>
          <w:b w:val="false"/>
          <w:i w:val="false"/>
          <w:color w:val="000000"/>
          <w:sz w:val="28"/>
        </w:rPr>
        <w:t>
      3574. Газовыпускные трубопроводы прокладываются на расстоянии не менее 450 мм от топливных цистерн.</w:t>
      </w:r>
    </w:p>
    <w:bookmarkEnd w:id="9976"/>
    <w:bookmarkStart w:name="z10031" w:id="9977"/>
    <w:p>
      <w:pPr>
        <w:spacing w:after="0"/>
        <w:ind w:left="0"/>
        <w:jc w:val="both"/>
      </w:pPr>
      <w:r>
        <w:rPr>
          <w:rFonts w:ascii="Times New Roman"/>
          <w:b w:val="false"/>
          <w:i w:val="false"/>
          <w:color w:val="000000"/>
          <w:sz w:val="28"/>
        </w:rPr>
        <w:t>
      3575. Каждый главный двигатель имеет отдельный газовыпускной трубопровод. В необходимых случаях допускаются отступления, которые являются предметом специального рассмотрения Регистром судоходства.</w:t>
      </w:r>
    </w:p>
    <w:bookmarkEnd w:id="9977"/>
    <w:bookmarkStart w:name="z10032" w:id="9978"/>
    <w:p>
      <w:pPr>
        <w:spacing w:after="0"/>
        <w:ind w:left="0"/>
        <w:jc w:val="both"/>
      </w:pPr>
      <w:r>
        <w:rPr>
          <w:rFonts w:ascii="Times New Roman"/>
          <w:b w:val="false"/>
          <w:i w:val="false"/>
          <w:color w:val="000000"/>
          <w:sz w:val="28"/>
        </w:rPr>
        <w:t>
      Газовыпускные трубопроводы трех и более дизель-генераторов допускается объединять в общий газовыпускной трубопровод при условии, что наибольший по мощности двигатель будет иметь автономный газовыпускной трубопровод. При этом общий газовыпускной трубопровод имеет надежно действующие устройства, предотвращающие поступление газов из общего трубопровода в трубопроводы неработающих двигателей, а также повреждение любого двигателя при его пуске.</w:t>
      </w:r>
    </w:p>
    <w:bookmarkEnd w:id="9978"/>
    <w:bookmarkStart w:name="z10033" w:id="9979"/>
    <w:p>
      <w:pPr>
        <w:spacing w:after="0"/>
        <w:ind w:left="0"/>
        <w:jc w:val="both"/>
      </w:pPr>
      <w:r>
        <w:rPr>
          <w:rFonts w:ascii="Times New Roman"/>
          <w:b w:val="false"/>
          <w:i w:val="false"/>
          <w:color w:val="000000"/>
          <w:sz w:val="28"/>
        </w:rPr>
        <w:t>
      На судах ограниченных районов плавания R2, R2-RSN, R3-RSN и R3 допускается объединение трубопроводов главных и вспомогательных двигателей, если соблюдены указанные выше защитные меры. Газовыпускные трубопроводы двухтопливных двигателей должны соответствовать пункту 4406 настоящих Правил.</w:t>
      </w:r>
    </w:p>
    <w:bookmarkEnd w:id="9979"/>
    <w:bookmarkStart w:name="z10034" w:id="9980"/>
    <w:p>
      <w:pPr>
        <w:spacing w:after="0"/>
        <w:ind w:left="0"/>
        <w:jc w:val="both"/>
      </w:pPr>
      <w:r>
        <w:rPr>
          <w:rFonts w:ascii="Times New Roman"/>
          <w:b w:val="false"/>
          <w:i w:val="false"/>
          <w:color w:val="000000"/>
          <w:sz w:val="28"/>
        </w:rPr>
        <w:t>
      3576. В утилизационных и комбинированных котлах, которые по своей конструкции не могут находиться без воды при обогреве их выхлопными газами, а также в котлах, указанных в 4582 настоящих Правил, предусматриваются обводные трубопроводы с перепускными заслонками, отключающими котлы от выхлопных газов.</w:t>
      </w:r>
    </w:p>
    <w:bookmarkEnd w:id="9980"/>
    <w:bookmarkStart w:name="z10035" w:id="9981"/>
    <w:p>
      <w:pPr>
        <w:spacing w:after="0"/>
        <w:ind w:left="0"/>
        <w:jc w:val="both"/>
      </w:pPr>
      <w:r>
        <w:rPr>
          <w:rFonts w:ascii="Times New Roman"/>
          <w:b w:val="false"/>
          <w:i w:val="false"/>
          <w:color w:val="000000"/>
          <w:sz w:val="28"/>
        </w:rPr>
        <w:t>
      3577. Газовыпускные трубопроводы котлов, инсинераторов и двигателей внутреннего сгорания теплоизолируют изолирующим материалом, двойными стенками или экраном.</w:t>
      </w:r>
    </w:p>
    <w:bookmarkEnd w:id="9981"/>
    <w:bookmarkStart w:name="z10036" w:id="9982"/>
    <w:p>
      <w:pPr>
        <w:spacing w:after="0"/>
        <w:ind w:left="0"/>
        <w:jc w:val="both"/>
      </w:pPr>
      <w:r>
        <w:rPr>
          <w:rFonts w:ascii="Times New Roman"/>
          <w:b w:val="false"/>
          <w:i w:val="false"/>
          <w:color w:val="000000"/>
          <w:sz w:val="28"/>
        </w:rPr>
        <w:t>
      В случае использования для теплоизоляции изолирующего материала учитываются требования пункта 2159 настоящих Правил.</w:t>
      </w:r>
    </w:p>
    <w:bookmarkEnd w:id="9982"/>
    <w:bookmarkStart w:name="z10037" w:id="9983"/>
    <w:p>
      <w:pPr>
        <w:spacing w:after="0"/>
        <w:ind w:left="0"/>
        <w:jc w:val="both"/>
      </w:pPr>
      <w:r>
        <w:rPr>
          <w:rFonts w:ascii="Times New Roman"/>
          <w:b w:val="false"/>
          <w:i w:val="false"/>
          <w:color w:val="000000"/>
          <w:sz w:val="28"/>
        </w:rPr>
        <w:t>
      Применение двойных стенок или экранов не требуется только в таких местах, где полностью исключается попадание на них топлива и масла в случае протечек.</w:t>
      </w:r>
    </w:p>
    <w:bookmarkEnd w:id="9983"/>
    <w:bookmarkStart w:name="z10038" w:id="9984"/>
    <w:p>
      <w:pPr>
        <w:spacing w:after="0"/>
        <w:ind w:left="0"/>
        <w:jc w:val="both"/>
      </w:pPr>
      <w:r>
        <w:rPr>
          <w:rFonts w:ascii="Times New Roman"/>
          <w:b w:val="false"/>
          <w:i w:val="false"/>
          <w:color w:val="000000"/>
          <w:sz w:val="28"/>
        </w:rPr>
        <w:t>
      3578. При объединении дымоходов главных и вспомогательных котлов допускается установка заслонок, оборудованных устройством для крепления их в открытом состоянии. Для осмотра и очистки дымоходов и воздухопроводов котла в необходимых местах предусматриваются лазы и скоб-трапы.</w:t>
      </w:r>
    </w:p>
    <w:bookmarkEnd w:id="9984"/>
    <w:bookmarkStart w:name="z10039" w:id="9985"/>
    <w:p>
      <w:pPr>
        <w:spacing w:after="0"/>
        <w:ind w:left="0"/>
        <w:jc w:val="both"/>
      </w:pPr>
      <w:r>
        <w:rPr>
          <w:rFonts w:ascii="Times New Roman"/>
          <w:b w:val="false"/>
          <w:i w:val="false"/>
          <w:color w:val="000000"/>
          <w:sz w:val="28"/>
        </w:rPr>
        <w:t>
      3579. На нефтесборных судах выходные отверстия газовыпускных трубопроводов главных и вспомогательных двигателей, дымоходов котлов, инсинераторов и другого оборудования, в котором имеются источники воспламенения, а также отверстия воздушных труб картеров двигателей внутреннего сгорания располагаются по крайней мере на 6 метров выше самой высокой ватерлинии, но в любом случае они располагаются за пределами опасных зон, указанных в параграфе 2 главы 532 настоящих Правил.</w:t>
      </w:r>
    </w:p>
    <w:bookmarkEnd w:id="9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3579 -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40" w:id="9986"/>
    <w:p>
      <w:pPr>
        <w:spacing w:after="0"/>
        <w:ind w:left="0"/>
        <w:jc w:val="both"/>
      </w:pPr>
      <w:r>
        <w:rPr>
          <w:rFonts w:ascii="Times New Roman"/>
          <w:b w:val="false"/>
          <w:i w:val="false"/>
          <w:color w:val="000000"/>
          <w:sz w:val="28"/>
        </w:rPr>
        <w:t>
      3580. Газовыпускные трубопроводы дизель-генераторов с дистанционным и автоматическим запуском оборудуются неотключаемыми дренажными устройствами, предотвращающими попадание воды в двигатель. Устройства располагаются в легкодоступных для обслуживания местах и имеют возможность для их очистки. Внутренний диаметр спускных труб этих устройств должен быть не менее 25 мм.</w:t>
      </w:r>
    </w:p>
    <w:bookmarkEnd w:id="9986"/>
    <w:bookmarkStart w:name="z10041" w:id="9987"/>
    <w:p>
      <w:pPr>
        <w:spacing w:after="0"/>
        <w:ind w:left="0"/>
        <w:jc w:val="both"/>
      </w:pPr>
      <w:r>
        <w:rPr>
          <w:rFonts w:ascii="Times New Roman"/>
          <w:b w:val="false"/>
          <w:i w:val="false"/>
          <w:color w:val="000000"/>
          <w:sz w:val="28"/>
        </w:rPr>
        <w:t>
      3581. Газовыпускные трубы двигателей, котлов и инсинераторов снабжаются тепловыми компенсаторами. Газовыпускные трубопроводы имеют лючки для очистки и в необходимых случаях спускные краны.</w:t>
      </w:r>
    </w:p>
    <w:bookmarkEnd w:id="9987"/>
    <w:bookmarkStart w:name="z10042" w:id="9988"/>
    <w:p>
      <w:pPr>
        <w:spacing w:after="0"/>
        <w:ind w:left="0"/>
        <w:jc w:val="both"/>
      </w:pPr>
      <w:r>
        <w:rPr>
          <w:rFonts w:ascii="Times New Roman"/>
          <w:b w:val="false"/>
          <w:i w:val="false"/>
          <w:color w:val="000000"/>
          <w:sz w:val="28"/>
        </w:rPr>
        <w:t>
      3582. При использовании утилизационных котлов предусматривают конструктивные меры, исключающие попадание воды в газоходы двигателей внутреннего сгорания при их промывке. Спускные трубы для отвода промывочной воды направляются в льяла машинного отделения и снабжаются гидравлическими затворами.</w:t>
      </w:r>
    </w:p>
    <w:bookmarkEnd w:id="9988"/>
    <w:bookmarkStart w:name="z10043" w:id="9989"/>
    <w:p>
      <w:pPr>
        <w:spacing w:after="0"/>
        <w:ind w:left="0"/>
        <w:jc w:val="left"/>
      </w:pPr>
      <w:r>
        <w:rPr>
          <w:rFonts w:ascii="Times New Roman"/>
          <w:b/>
          <w:i w:val="false"/>
          <w:color w:val="000000"/>
        </w:rPr>
        <w:t xml:space="preserve"> Глава 287. Глушители и искрогасители</w:t>
      </w:r>
    </w:p>
    <w:bookmarkEnd w:id="9989"/>
    <w:p>
      <w:pPr>
        <w:spacing w:after="0"/>
        <w:ind w:left="0"/>
        <w:jc w:val="both"/>
      </w:pPr>
      <w:r>
        <w:rPr>
          <w:rFonts w:ascii="Times New Roman"/>
          <w:b w:val="false"/>
          <w:i w:val="false"/>
          <w:color w:val="ff0000"/>
          <w:sz w:val="28"/>
        </w:rPr>
        <w:t xml:space="preserve">
      Сноска. Заголовок главы 287 -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44" w:id="9990"/>
    <w:p>
      <w:pPr>
        <w:spacing w:after="0"/>
        <w:ind w:left="0"/>
        <w:jc w:val="both"/>
      </w:pPr>
      <w:r>
        <w:rPr>
          <w:rFonts w:ascii="Times New Roman"/>
          <w:b w:val="false"/>
          <w:i w:val="false"/>
          <w:color w:val="000000"/>
          <w:sz w:val="28"/>
        </w:rPr>
        <w:t>
      3583. Глушители и искрогасители располагают таким образом, чтобы обеспечивалась возможность их очистки. Для этой цели они оборудуются лючками, спускными кранами или пробками.</w:t>
      </w:r>
    </w:p>
    <w:bookmarkEnd w:id="9990"/>
    <w:bookmarkStart w:name="z10045" w:id="9991"/>
    <w:p>
      <w:pPr>
        <w:spacing w:after="0"/>
        <w:ind w:left="0"/>
        <w:jc w:val="both"/>
      </w:pPr>
      <w:r>
        <w:rPr>
          <w:rFonts w:ascii="Times New Roman"/>
          <w:b w:val="false"/>
          <w:i w:val="false"/>
          <w:color w:val="000000"/>
          <w:sz w:val="28"/>
        </w:rPr>
        <w:t>
      3584. При использовании искрогасителей мокрого типа выполняются требования пункта 3582 настоящих Правил.</w:t>
      </w:r>
    </w:p>
    <w:bookmarkEnd w:id="9991"/>
    <w:bookmarkStart w:name="z10046" w:id="9992"/>
    <w:p>
      <w:pPr>
        <w:spacing w:after="0"/>
        <w:ind w:left="0"/>
        <w:jc w:val="left"/>
      </w:pPr>
      <w:r>
        <w:rPr>
          <w:rFonts w:ascii="Times New Roman"/>
          <w:b/>
          <w:i w:val="false"/>
          <w:color w:val="000000"/>
        </w:rPr>
        <w:t xml:space="preserve"> Подраздел 12. Система вентиляции</w:t>
      </w:r>
      <w:r>
        <w:br/>
      </w:r>
      <w:r>
        <w:rPr>
          <w:rFonts w:ascii="Times New Roman"/>
          <w:b/>
          <w:i w:val="false"/>
          <w:color w:val="000000"/>
        </w:rPr>
        <w:t>Глава 288. Вентиляционные каналы и головки, приемные отверстия</w:t>
      </w:r>
    </w:p>
    <w:bookmarkEnd w:id="9992"/>
    <w:p>
      <w:pPr>
        <w:spacing w:after="0"/>
        <w:ind w:left="0"/>
        <w:jc w:val="both"/>
      </w:pPr>
      <w:r>
        <w:rPr>
          <w:rFonts w:ascii="Times New Roman"/>
          <w:b w:val="false"/>
          <w:i w:val="false"/>
          <w:color w:val="ff0000"/>
          <w:sz w:val="28"/>
        </w:rPr>
        <w:t xml:space="preserve">
      Сноска. Заголовок главы 288 -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48" w:id="9993"/>
    <w:p>
      <w:pPr>
        <w:spacing w:after="0"/>
        <w:ind w:left="0"/>
        <w:jc w:val="both"/>
      </w:pPr>
      <w:r>
        <w:rPr>
          <w:rFonts w:ascii="Times New Roman"/>
          <w:b w:val="false"/>
          <w:i w:val="false"/>
          <w:color w:val="000000"/>
          <w:sz w:val="28"/>
        </w:rPr>
        <w:t>
      3585. Прокладка вентиляционных каналов через водонепроницаемые переборки ниже палубы переборок, как правило, не допускается. Если избежать прокладки вентиляционных каналов через водонепроницаемые переборки ниже палубы переборок технически невозможно, в местах прохода следует предусмотреть средства закрытия, обеспечивающие водонепроницаемость, равнопрочность местным конструкциям судна и имеющие привод для закрытия из места, расположенного выше палубы переборок. Если вентиляционные каналы проходят через более чем одну водонепроницаемую переборку, средства закрытия таких отверстий имеют привод от источника энергии и возможность закрытия из центрального поста управления, расположенного выше палубы переборок.</w:t>
      </w:r>
    </w:p>
    <w:bookmarkEnd w:id="9993"/>
    <w:bookmarkStart w:name="z10049" w:id="9994"/>
    <w:p>
      <w:pPr>
        <w:spacing w:after="0"/>
        <w:ind w:left="0"/>
        <w:jc w:val="both"/>
      </w:pPr>
      <w:r>
        <w:rPr>
          <w:rFonts w:ascii="Times New Roman"/>
          <w:b w:val="false"/>
          <w:i w:val="false"/>
          <w:color w:val="000000"/>
          <w:sz w:val="28"/>
        </w:rPr>
        <w:t>
      3586. Шахты и вертикальные вентиляционные каналы, проходящие через водонепроницаемые палубы, в пределах одного водонепроницаемого отсека ниже палубы переборок должны быть водонепроницаемыми и равнопрочными местным конструкциям корпуса судна.</w:t>
      </w:r>
    </w:p>
    <w:bookmarkEnd w:id="9994"/>
    <w:bookmarkStart w:name="z10050" w:id="9995"/>
    <w:p>
      <w:pPr>
        <w:spacing w:after="0"/>
        <w:ind w:left="0"/>
        <w:jc w:val="both"/>
      </w:pPr>
      <w:r>
        <w:rPr>
          <w:rFonts w:ascii="Times New Roman"/>
          <w:b w:val="false"/>
          <w:i w:val="false"/>
          <w:color w:val="000000"/>
          <w:sz w:val="28"/>
        </w:rPr>
        <w:t>
      3587. Вентиляционные каналы защищают от коррозии или изготавливают из коррозионно-стойких материалов.</w:t>
      </w:r>
    </w:p>
    <w:bookmarkEnd w:id="9995"/>
    <w:bookmarkStart w:name="z10051" w:id="9996"/>
    <w:p>
      <w:pPr>
        <w:spacing w:after="0"/>
        <w:ind w:left="0"/>
        <w:jc w:val="both"/>
      </w:pPr>
      <w:r>
        <w:rPr>
          <w:rFonts w:ascii="Times New Roman"/>
          <w:b w:val="false"/>
          <w:i w:val="false"/>
          <w:color w:val="000000"/>
          <w:sz w:val="28"/>
        </w:rPr>
        <w:t>
      3588. Вентиляционные каналы, предназначенные для удаления взрыво- и пожароопасных паров и газов, должны быть газонепроницаемыми и не должны соединяться с каналами других помещений.</w:t>
      </w:r>
    </w:p>
    <w:bookmarkEnd w:id="9996"/>
    <w:bookmarkStart w:name="z10052" w:id="9997"/>
    <w:p>
      <w:pPr>
        <w:spacing w:after="0"/>
        <w:ind w:left="0"/>
        <w:jc w:val="both"/>
      </w:pPr>
      <w:r>
        <w:rPr>
          <w:rFonts w:ascii="Times New Roman"/>
          <w:b w:val="false"/>
          <w:i w:val="false"/>
          <w:color w:val="000000"/>
          <w:sz w:val="28"/>
        </w:rPr>
        <w:t>
      3589. Вентиляционные каналы, ведущие к грузовым, машинным и другим помещениям, оборудованным средствами объемного пожаротушения, имеют закрытия согласно пункту 2258 настоящих Правил.</w:t>
      </w:r>
    </w:p>
    <w:bookmarkEnd w:id="9997"/>
    <w:bookmarkStart w:name="z10053" w:id="9998"/>
    <w:p>
      <w:pPr>
        <w:spacing w:after="0"/>
        <w:ind w:left="0"/>
        <w:jc w:val="both"/>
      </w:pPr>
      <w:r>
        <w:rPr>
          <w:rFonts w:ascii="Times New Roman"/>
          <w:b w:val="false"/>
          <w:i w:val="false"/>
          <w:color w:val="000000"/>
          <w:sz w:val="28"/>
        </w:rPr>
        <w:t>
      3590. Вентиляционные каналы изолируются в местах возможного отпотевания, а на участках, где возможно скопление воды, снабжаются спускными пробками.</w:t>
      </w:r>
    </w:p>
    <w:bookmarkEnd w:id="9998"/>
    <w:bookmarkStart w:name="z10054" w:id="9999"/>
    <w:p>
      <w:pPr>
        <w:spacing w:after="0"/>
        <w:ind w:left="0"/>
        <w:jc w:val="both"/>
      </w:pPr>
      <w:r>
        <w:rPr>
          <w:rFonts w:ascii="Times New Roman"/>
          <w:b w:val="false"/>
          <w:i w:val="false"/>
          <w:color w:val="000000"/>
          <w:sz w:val="28"/>
        </w:rPr>
        <w:t>
      Приемные и вытяжные отверстия систем вентиляции имеют приводы для их закрытия из мест, расположенных вне этих помещений.</w:t>
      </w:r>
    </w:p>
    <w:bookmarkEnd w:id="9999"/>
    <w:bookmarkStart w:name="z10055" w:id="10000"/>
    <w:p>
      <w:pPr>
        <w:spacing w:after="0"/>
        <w:ind w:left="0"/>
        <w:jc w:val="both"/>
      </w:pPr>
      <w:r>
        <w:rPr>
          <w:rFonts w:ascii="Times New Roman"/>
          <w:b w:val="false"/>
          <w:i w:val="false"/>
          <w:color w:val="000000"/>
          <w:sz w:val="28"/>
        </w:rPr>
        <w:t>
      3591. Вентиляционные головки приточной вентиляции, а также приемные отверстия системы вентиляции располагаются в таких частях судна, где вероятность забора воздуха, загрязненного газами, парами нефтепродуктов была бы сведена к минимуму и исключалась возможность попадания забортной воды в вентиляционные каналы.</w:t>
      </w:r>
    </w:p>
    <w:bookmarkEnd w:id="10000"/>
    <w:bookmarkStart w:name="z10056" w:id="10001"/>
    <w:p>
      <w:pPr>
        <w:spacing w:after="0"/>
        <w:ind w:left="0"/>
        <w:jc w:val="both"/>
      </w:pPr>
      <w:r>
        <w:rPr>
          <w:rFonts w:ascii="Times New Roman"/>
          <w:b w:val="false"/>
          <w:i w:val="false"/>
          <w:color w:val="000000"/>
          <w:sz w:val="28"/>
        </w:rPr>
        <w:t>
      На ледоколах и судах с ледовыми усилениями каналы приема воздуха защищают от попадания в них снега. Рекомендуется воздухозаборные устройства размещать с обоих бортов и оборудовать обогревом.</w:t>
      </w:r>
    </w:p>
    <w:bookmarkEnd w:id="10001"/>
    <w:bookmarkStart w:name="z10057" w:id="10002"/>
    <w:p>
      <w:pPr>
        <w:spacing w:after="0"/>
        <w:ind w:left="0"/>
        <w:jc w:val="both"/>
      </w:pPr>
      <w:r>
        <w:rPr>
          <w:rFonts w:ascii="Times New Roman"/>
          <w:b w:val="false"/>
          <w:i w:val="false"/>
          <w:color w:val="000000"/>
          <w:sz w:val="28"/>
        </w:rPr>
        <w:t>
      3592. Комингсы вентиляционных труб имеют высоту, определяемую в главе 79 настоящих Правил.</w:t>
      </w:r>
    </w:p>
    <w:bookmarkEnd w:id="10002"/>
    <w:bookmarkStart w:name="z10058" w:id="10003"/>
    <w:p>
      <w:pPr>
        <w:spacing w:after="0"/>
        <w:ind w:left="0"/>
        <w:jc w:val="both"/>
      </w:pPr>
      <w:r>
        <w:rPr>
          <w:rFonts w:ascii="Times New Roman"/>
          <w:b w:val="false"/>
          <w:i w:val="false"/>
          <w:color w:val="000000"/>
          <w:sz w:val="28"/>
        </w:rPr>
        <w:t>
      3593. Расположение вентиляционных головок грузовых помещений, помещений специальной категории, открытых и закрытых помещений накатных судов должно отвечать требованиям пункта 2189 настоящих Правил.</w:t>
      </w:r>
    </w:p>
    <w:bookmarkEnd w:id="10003"/>
    <w:bookmarkStart w:name="z10059" w:id="10004"/>
    <w:p>
      <w:pPr>
        <w:spacing w:after="0"/>
        <w:ind w:left="0"/>
        <w:jc w:val="left"/>
      </w:pPr>
      <w:r>
        <w:rPr>
          <w:rFonts w:ascii="Times New Roman"/>
          <w:b/>
          <w:i w:val="false"/>
          <w:color w:val="000000"/>
        </w:rPr>
        <w:t xml:space="preserve"> Глава 289. Системы вентиляции грузовых судов валовой вместимостью 500 регистровых тонн и более, нефтеналивных и комбинированных судов для перевозки нефтепродуктов с температурой вспышки 60 градусов по Цельсию(°С) и выше, пассажирских судов, перевозящих не более 36 пассажиров, судов специального назначения, на борту которых находится не более 200 человек специального персонала, и стоечных судов</w:t>
      </w:r>
    </w:p>
    <w:bookmarkEnd w:id="10004"/>
    <w:p>
      <w:pPr>
        <w:spacing w:after="0"/>
        <w:ind w:left="0"/>
        <w:jc w:val="both"/>
      </w:pPr>
      <w:r>
        <w:rPr>
          <w:rFonts w:ascii="Times New Roman"/>
          <w:b w:val="false"/>
          <w:i w:val="false"/>
          <w:color w:val="ff0000"/>
          <w:sz w:val="28"/>
        </w:rPr>
        <w:t xml:space="preserve">
      Сноска. Заголовок главы 289 -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60" w:id="10005"/>
    <w:p>
      <w:pPr>
        <w:spacing w:after="0"/>
        <w:ind w:left="0"/>
        <w:jc w:val="both"/>
      </w:pPr>
      <w:r>
        <w:rPr>
          <w:rFonts w:ascii="Times New Roman"/>
          <w:b w:val="false"/>
          <w:i w:val="false"/>
          <w:color w:val="000000"/>
          <w:sz w:val="28"/>
        </w:rPr>
        <w:t>
      3594. Система вентиляции жилых и служебных помещений, а также постов управления должна отвечать требованиям настоящей главы.</w:t>
      </w:r>
    </w:p>
    <w:bookmarkEnd w:id="10005"/>
    <w:bookmarkStart w:name="z10061" w:id="10006"/>
    <w:p>
      <w:pPr>
        <w:spacing w:after="0"/>
        <w:ind w:left="0"/>
        <w:jc w:val="both"/>
      </w:pPr>
      <w:r>
        <w:rPr>
          <w:rFonts w:ascii="Times New Roman"/>
          <w:b w:val="false"/>
          <w:i w:val="false"/>
          <w:color w:val="000000"/>
          <w:sz w:val="28"/>
        </w:rPr>
        <w:t>
      3595. Вентиляционные каналы изготавливают из негорючего материала. Однако участки каналов с поперечным сечением до 0,02 м</w:t>
      </w:r>
      <w:r>
        <w:rPr>
          <w:rFonts w:ascii="Times New Roman"/>
          <w:b w:val="false"/>
          <w:i w:val="false"/>
          <w:color w:val="000000"/>
          <w:vertAlign w:val="superscript"/>
        </w:rPr>
        <w:t>2</w:t>
      </w:r>
      <w:r>
        <w:rPr>
          <w:rFonts w:ascii="Times New Roman"/>
          <w:b w:val="false"/>
          <w:i w:val="false"/>
          <w:color w:val="000000"/>
          <w:sz w:val="28"/>
        </w:rPr>
        <w:t xml:space="preserve"> и длиной до 2 м допускается изготавливать из материала, медленно распространяющего пламя (подпункт 5) пункта 2147 настоящих Правил) если:</w:t>
      </w:r>
    </w:p>
    <w:bookmarkEnd w:id="10006"/>
    <w:bookmarkStart w:name="z10062" w:id="10007"/>
    <w:p>
      <w:pPr>
        <w:spacing w:after="0"/>
        <w:ind w:left="0"/>
        <w:jc w:val="both"/>
      </w:pPr>
      <w:r>
        <w:rPr>
          <w:rFonts w:ascii="Times New Roman"/>
          <w:b w:val="false"/>
          <w:i w:val="false"/>
          <w:color w:val="000000"/>
          <w:sz w:val="28"/>
        </w:rPr>
        <w:t>
      этот канал находится только на концевом участке системы вентиляции;</w:t>
      </w:r>
    </w:p>
    <w:bookmarkEnd w:id="10007"/>
    <w:bookmarkStart w:name="z10063" w:id="10008"/>
    <w:p>
      <w:pPr>
        <w:spacing w:after="0"/>
        <w:ind w:left="0"/>
        <w:jc w:val="both"/>
      </w:pPr>
      <w:r>
        <w:rPr>
          <w:rFonts w:ascii="Times New Roman"/>
          <w:b w:val="false"/>
          <w:i w:val="false"/>
          <w:color w:val="000000"/>
          <w:sz w:val="28"/>
        </w:rPr>
        <w:t>
      канал находится на расстоянии не менее 0,6 м, считая по длине канала, от места пересечения перекрытия конструкций типа А или В (параграф 2 главы 142 настоящих Правил), а также непрерывной подволоки конструкции типа В.</w:t>
      </w:r>
    </w:p>
    <w:bookmarkEnd w:id="10008"/>
    <w:bookmarkStart w:name="z10064" w:id="10009"/>
    <w:p>
      <w:pPr>
        <w:spacing w:after="0"/>
        <w:ind w:left="0"/>
        <w:jc w:val="both"/>
      </w:pPr>
      <w:r>
        <w:rPr>
          <w:rFonts w:ascii="Times New Roman"/>
          <w:b w:val="false"/>
          <w:i w:val="false"/>
          <w:color w:val="000000"/>
          <w:sz w:val="28"/>
        </w:rPr>
        <w:t>
      Допускается использовать колена из гибкого горючего материала для подсоединения вентиляторов к вентиляционным каналам внутри помещений для установок кондиционирования.</w:t>
      </w:r>
    </w:p>
    <w:bookmarkEnd w:id="10009"/>
    <w:bookmarkStart w:name="z10065" w:id="10010"/>
    <w:p>
      <w:pPr>
        <w:spacing w:after="0"/>
        <w:ind w:left="0"/>
        <w:jc w:val="both"/>
      </w:pPr>
      <w:r>
        <w:rPr>
          <w:rFonts w:ascii="Times New Roman"/>
          <w:b w:val="false"/>
          <w:i w:val="false"/>
          <w:color w:val="000000"/>
          <w:sz w:val="28"/>
        </w:rPr>
        <w:t>
      3596. Если вентиляционные каналы с площадью поперечного сечения в свету более 0,02 м</w:t>
      </w:r>
      <w:r>
        <w:rPr>
          <w:rFonts w:ascii="Times New Roman"/>
          <w:b w:val="false"/>
          <w:i w:val="false"/>
          <w:color w:val="000000"/>
          <w:vertAlign w:val="superscript"/>
        </w:rPr>
        <w:t>2</w:t>
      </w:r>
      <w:r>
        <w:rPr>
          <w:rFonts w:ascii="Times New Roman"/>
          <w:b w:val="false"/>
          <w:i w:val="false"/>
          <w:color w:val="000000"/>
          <w:sz w:val="28"/>
        </w:rPr>
        <w:t xml:space="preserve"> проходят через переборки или палубы типа А, в проходе устанавливается стакан из тонколистовой стали, кроме случаев, когда каналы, проходящие через переборки или палубы в районе прохода, изготовлены из стали. Каналы и стаканы в этой части должны отвечать следующим требованиям:</w:t>
      </w:r>
    </w:p>
    <w:bookmarkEnd w:id="10010"/>
    <w:bookmarkStart w:name="z10066" w:id="10011"/>
    <w:p>
      <w:pPr>
        <w:spacing w:after="0"/>
        <w:ind w:left="0"/>
        <w:jc w:val="both"/>
      </w:pPr>
      <w:r>
        <w:rPr>
          <w:rFonts w:ascii="Times New Roman"/>
          <w:b w:val="false"/>
          <w:i w:val="false"/>
          <w:color w:val="000000"/>
          <w:sz w:val="28"/>
        </w:rPr>
        <w:t>
      1) толщина стаканов должна быть не менее 3 мм, а длина — 900 мм. При проходе через переборки эта длина разделяется предпочтительно на участки по 450 мм с каждой стороны переборки. Эти каналы или их стаканы должны иметь противопожарную изоляцию. Изоляция обладает по крайней мере такой же огнестойкостью, как переборка или палуба, через которую проходит канал. Допускается предусматривать равноценную защиту мест прохода, отвечающую требованиям Регистра судоходства;</w:t>
      </w:r>
    </w:p>
    <w:bookmarkEnd w:id="10011"/>
    <w:bookmarkStart w:name="z10067" w:id="10012"/>
    <w:p>
      <w:pPr>
        <w:spacing w:after="0"/>
        <w:ind w:left="0"/>
        <w:jc w:val="both"/>
      </w:pPr>
      <w:r>
        <w:rPr>
          <w:rFonts w:ascii="Times New Roman"/>
          <w:b w:val="false"/>
          <w:i w:val="false"/>
          <w:color w:val="000000"/>
          <w:sz w:val="28"/>
        </w:rPr>
        <w:t>
      2) каналы с площадью поперечного сечения в свету более 0,075 м</w:t>
      </w:r>
      <w:r>
        <w:rPr>
          <w:rFonts w:ascii="Times New Roman"/>
          <w:b w:val="false"/>
          <w:i w:val="false"/>
          <w:color w:val="000000"/>
          <w:vertAlign w:val="superscript"/>
        </w:rPr>
        <w:t>2</w:t>
      </w:r>
      <w:r>
        <w:rPr>
          <w:rFonts w:ascii="Times New Roman"/>
          <w:b w:val="false"/>
          <w:i w:val="false"/>
          <w:color w:val="000000"/>
          <w:sz w:val="28"/>
        </w:rPr>
        <w:t xml:space="preserve"> должны отвечать требованиям подпункта 1) настоящего пункта, и быть снабжены противопожарными заслонками.</w:t>
      </w:r>
    </w:p>
    <w:bookmarkEnd w:id="10012"/>
    <w:bookmarkStart w:name="z10068" w:id="10013"/>
    <w:p>
      <w:pPr>
        <w:spacing w:after="0"/>
        <w:ind w:left="0"/>
        <w:jc w:val="both"/>
      </w:pPr>
      <w:r>
        <w:rPr>
          <w:rFonts w:ascii="Times New Roman"/>
          <w:b w:val="false"/>
          <w:i w:val="false"/>
          <w:color w:val="000000"/>
          <w:sz w:val="28"/>
        </w:rPr>
        <w:t>
      Противопожарная заслонка срабатывает автоматически, а также закрывается вручную с обеих сторон переборки или палубы. Заслонка снабжается указателем, показывающим, открыта она или закрыта. Закрытие вручную с обеих сторон допускается осуществлять механическими средствами или путем дистанционного управления противопожарной заслонкой посредством безотказных электровыключателей либо пневматического привода заслонки путем деблокирования сжатых пружин.</w:t>
      </w:r>
    </w:p>
    <w:bookmarkEnd w:id="10013"/>
    <w:bookmarkStart w:name="z10069" w:id="10014"/>
    <w:p>
      <w:pPr>
        <w:spacing w:after="0"/>
        <w:ind w:left="0"/>
        <w:jc w:val="both"/>
      </w:pPr>
      <w:r>
        <w:rPr>
          <w:rFonts w:ascii="Times New Roman"/>
          <w:b w:val="false"/>
          <w:i w:val="false"/>
          <w:color w:val="000000"/>
          <w:sz w:val="28"/>
        </w:rPr>
        <w:t>
      Противопожарные заслонки должны быть легко доступны. Если они устанавливаются за зашивкой, в последней предусматривается лючок для осмотра, на котором прикрепляется табличка с номером противопожарной заслонки. Такая же табличка с номером должна быть на требуемом устройстве дистанционного управления. Однако противопожарные заслонки не требуются, если каналы проходят через помещения, выгороженные перекрытиями типа А, не обслуживая их, при условии, что эти каналы того же уровня огнестойкости, что и перекрытия, через которые они проходят.</w:t>
      </w:r>
    </w:p>
    <w:bookmarkEnd w:id="10014"/>
    <w:bookmarkStart w:name="z10070" w:id="10015"/>
    <w:p>
      <w:pPr>
        <w:spacing w:after="0"/>
        <w:ind w:left="0"/>
        <w:jc w:val="both"/>
      </w:pPr>
      <w:r>
        <w:rPr>
          <w:rFonts w:ascii="Times New Roman"/>
          <w:b w:val="false"/>
          <w:i w:val="false"/>
          <w:color w:val="000000"/>
          <w:sz w:val="28"/>
        </w:rPr>
        <w:t>
      3597. Системы вентиляции камбузов отделяют от систем вентиляции, обслуживающих прочие помещения. На грузовых судах валовой вместимостью менее 4000 и на пассажирских судах, перевозящих не более 36 пассажиров, приточную вентиляцию камбуза допускается осуществлять по отдельным каналам от вентиляционной установки, общей с другими помещениями, через автоматическую противопожарную заслонку, установленную в вентиляционном канале камбуза поблизости от вентиляционной установки и отсекающую при необходимости все участки вентиляционного канала. Вентиляционные каналы камбуза, проходящие через жилые и служебные помещения и посты управления, должны быть:</w:t>
      </w:r>
    </w:p>
    <w:bookmarkEnd w:id="10015"/>
    <w:bookmarkStart w:name="z10071" w:id="10016"/>
    <w:p>
      <w:pPr>
        <w:spacing w:after="0"/>
        <w:ind w:left="0"/>
        <w:jc w:val="both"/>
      </w:pPr>
      <w:r>
        <w:rPr>
          <w:rFonts w:ascii="Times New Roman"/>
          <w:b w:val="false"/>
          <w:i w:val="false"/>
          <w:color w:val="000000"/>
          <w:sz w:val="28"/>
        </w:rPr>
        <w:t>
      1) изготовлены из стали толщиной 3 мм, если их ширина или диаметр не превышают 300 мм, и 5 мм, если их ширина или диаметр превышают 760 мм. Для ширины или диаметра канала между 300 и 760 мм толщина определяется интерполяцией;</w:t>
      </w:r>
    </w:p>
    <w:bookmarkEnd w:id="10016"/>
    <w:bookmarkStart w:name="z10072" w:id="10017"/>
    <w:p>
      <w:pPr>
        <w:spacing w:after="0"/>
        <w:ind w:left="0"/>
        <w:jc w:val="both"/>
      </w:pPr>
      <w:r>
        <w:rPr>
          <w:rFonts w:ascii="Times New Roman"/>
          <w:b w:val="false"/>
          <w:i w:val="false"/>
          <w:color w:val="000000"/>
          <w:sz w:val="28"/>
        </w:rPr>
        <w:t>
      2) надлежащим способом упрочнены и закреплены;</w:t>
      </w:r>
    </w:p>
    <w:bookmarkEnd w:id="10017"/>
    <w:bookmarkStart w:name="z10073" w:id="10018"/>
    <w:p>
      <w:pPr>
        <w:spacing w:after="0"/>
        <w:ind w:left="0"/>
        <w:jc w:val="both"/>
      </w:pPr>
      <w:r>
        <w:rPr>
          <w:rFonts w:ascii="Times New Roman"/>
          <w:b w:val="false"/>
          <w:i w:val="false"/>
          <w:color w:val="000000"/>
          <w:sz w:val="28"/>
        </w:rPr>
        <w:t>
      3) конструкциями типа А с толщиной стенки согласно подпункту 1) настоящего пункта;</w:t>
      </w:r>
    </w:p>
    <w:bookmarkEnd w:id="10018"/>
    <w:bookmarkStart w:name="z10074" w:id="10019"/>
    <w:p>
      <w:pPr>
        <w:spacing w:after="0"/>
        <w:ind w:left="0"/>
        <w:jc w:val="both"/>
      </w:pPr>
      <w:r>
        <w:rPr>
          <w:rFonts w:ascii="Times New Roman"/>
          <w:b w:val="false"/>
          <w:i w:val="false"/>
          <w:color w:val="000000"/>
          <w:sz w:val="28"/>
        </w:rPr>
        <w:t>
      4) изолированы как конструкции типа А-60 в районе жилых и служебных помещений или постов управления.</w:t>
      </w:r>
    </w:p>
    <w:bookmarkEnd w:id="10019"/>
    <w:bookmarkStart w:name="z10075" w:id="10020"/>
    <w:p>
      <w:pPr>
        <w:spacing w:after="0"/>
        <w:ind w:left="0"/>
        <w:jc w:val="both"/>
      </w:pPr>
      <w:r>
        <w:rPr>
          <w:rFonts w:ascii="Times New Roman"/>
          <w:b w:val="false"/>
          <w:i w:val="false"/>
          <w:color w:val="000000"/>
          <w:sz w:val="28"/>
        </w:rPr>
        <w:t>
      Изложенные выше требования распространяются также на каналы для вентиляции жилых и служебных помещений или постов управления, которые проходят через машинные помещения категории А, камбузов, грузовых помещений накатных судов, помещений на палубах для перевозки автотранспорта или помещений специальной категории. При этом, если вентиляционный канал прокладывается через переборку главной противопожарной вертикальной зоны, выполняются требования пункта 3601 настоящих Правил.</w:t>
      </w:r>
    </w:p>
    <w:bookmarkEnd w:id="10020"/>
    <w:bookmarkStart w:name="z10076" w:id="10021"/>
    <w:p>
      <w:pPr>
        <w:spacing w:after="0"/>
        <w:ind w:left="0"/>
        <w:jc w:val="both"/>
      </w:pPr>
      <w:r>
        <w:rPr>
          <w:rFonts w:ascii="Times New Roman"/>
          <w:b w:val="false"/>
          <w:i w:val="false"/>
          <w:color w:val="000000"/>
          <w:sz w:val="28"/>
        </w:rPr>
        <w:t>
      Системы вентиляции машинных помещений категории А, помещений на автомобильных палубах, грузовых помещений накатных судов, помещений специальной категории и прочих грузовых помещений отделяют друг от друга и от систем вентиляции других помещений. При проходе указанных каналов систем через жилые и служебные помещения или посты управления на них распространяются требования подпунктов 1) - 4) пункта 3597 настоящих Правил.</w:t>
      </w:r>
    </w:p>
    <w:bookmarkEnd w:id="10021"/>
    <w:bookmarkStart w:name="z10077" w:id="10022"/>
    <w:p>
      <w:pPr>
        <w:spacing w:after="0"/>
        <w:ind w:left="0"/>
        <w:jc w:val="both"/>
      </w:pPr>
      <w:r>
        <w:rPr>
          <w:rFonts w:ascii="Times New Roman"/>
          <w:b w:val="false"/>
          <w:i w:val="false"/>
          <w:color w:val="000000"/>
          <w:sz w:val="28"/>
        </w:rPr>
        <w:t>
      3598. Если вентиляционные каналы с поперечным сечением более 0,02 м</w:t>
      </w:r>
      <w:r>
        <w:rPr>
          <w:rFonts w:ascii="Times New Roman"/>
          <w:b w:val="false"/>
          <w:i w:val="false"/>
          <w:color w:val="000000"/>
          <w:vertAlign w:val="superscript"/>
        </w:rPr>
        <w:t>2</w:t>
      </w:r>
      <w:r>
        <w:rPr>
          <w:rFonts w:ascii="Times New Roman"/>
          <w:b w:val="false"/>
          <w:i w:val="false"/>
          <w:color w:val="000000"/>
          <w:sz w:val="28"/>
        </w:rPr>
        <w:t xml:space="preserve"> проходят через конструкции типа В, и если каналы на этом участке в районе конструкции изготовлены не из стали, то отверстия снабжают стальными стаканами длиной 900 мм, причем при проходе через конструкции типа В одна часть стакана длиной 450 мм находится по одну сторону переборки, а вторая — по другую.</w:t>
      </w:r>
    </w:p>
    <w:bookmarkEnd w:id="10022"/>
    <w:bookmarkStart w:name="z10078" w:id="10023"/>
    <w:p>
      <w:pPr>
        <w:spacing w:after="0"/>
        <w:ind w:left="0"/>
        <w:jc w:val="both"/>
      </w:pPr>
      <w:r>
        <w:rPr>
          <w:rFonts w:ascii="Times New Roman"/>
          <w:b w:val="false"/>
          <w:i w:val="false"/>
          <w:color w:val="000000"/>
          <w:sz w:val="28"/>
        </w:rPr>
        <w:t>
      3599. Принимают все необходимые меры для постоянной вентиляции постов управления вне машинных помещений, обеспечивающие видимость и отсутствие дыма в степени, необходимой для нормальной работы всех находящихся в постах управления механизмов, устройств и их обслуживающего персонала.</w:t>
      </w:r>
    </w:p>
    <w:bookmarkEnd w:id="10023"/>
    <w:bookmarkStart w:name="z10079" w:id="10024"/>
    <w:p>
      <w:pPr>
        <w:spacing w:after="0"/>
        <w:ind w:left="0"/>
        <w:jc w:val="both"/>
      </w:pPr>
      <w:r>
        <w:rPr>
          <w:rFonts w:ascii="Times New Roman"/>
          <w:b w:val="false"/>
          <w:i w:val="false"/>
          <w:color w:val="000000"/>
          <w:sz w:val="28"/>
        </w:rPr>
        <w:t>
      Для вентиляции постов следует предусматривать два взаимно заменяемых и независимых средства подачи воздуха. Каналы подачи воздуха оборудуют противопожарными или дымовыми заслонками, которые должны легко закрываться изнутри поста управления, с тем чтобы в случае пожара препятствовать проникновению дыма в помещения.</w:t>
      </w:r>
    </w:p>
    <w:bookmarkEnd w:id="10024"/>
    <w:bookmarkStart w:name="z10080" w:id="10025"/>
    <w:p>
      <w:pPr>
        <w:spacing w:after="0"/>
        <w:ind w:left="0"/>
        <w:jc w:val="both"/>
      </w:pPr>
      <w:r>
        <w:rPr>
          <w:rFonts w:ascii="Times New Roman"/>
          <w:b w:val="false"/>
          <w:i w:val="false"/>
          <w:color w:val="000000"/>
          <w:sz w:val="28"/>
        </w:rPr>
        <w:t>
      Эти требования допускается не предъявлять к постам управления, расположенным на открытой палубе и имеющим на нее непосредственный выход, или там, где имеются одинаково эффективные местные закрытия постов управления.</w:t>
      </w:r>
    </w:p>
    <w:bookmarkEnd w:id="10025"/>
    <w:bookmarkStart w:name="z10081" w:id="10026"/>
    <w:p>
      <w:pPr>
        <w:spacing w:after="0"/>
        <w:ind w:left="0"/>
        <w:jc w:val="both"/>
      </w:pPr>
      <w:r>
        <w:rPr>
          <w:rFonts w:ascii="Times New Roman"/>
          <w:b w:val="false"/>
          <w:i w:val="false"/>
          <w:color w:val="000000"/>
          <w:sz w:val="28"/>
        </w:rPr>
        <w:t>
      3600. Системы вентиляции камбузов не соединяются с системами вентиляции, обслуживающими другие помещения.</w:t>
      </w:r>
    </w:p>
    <w:bookmarkEnd w:id="10026"/>
    <w:bookmarkStart w:name="z10082" w:id="10027"/>
    <w:p>
      <w:pPr>
        <w:spacing w:after="0"/>
        <w:ind w:left="0"/>
        <w:jc w:val="both"/>
      </w:pPr>
      <w:r>
        <w:rPr>
          <w:rFonts w:ascii="Times New Roman"/>
          <w:b w:val="false"/>
          <w:i w:val="false"/>
          <w:color w:val="000000"/>
          <w:sz w:val="28"/>
        </w:rPr>
        <w:t>
      Каналы вытяжной вентиляции от камбузных плит выполняются как конструкции типа А, если они проходят через жилые помещения или помещения, в которых имеются горючие материалы.</w:t>
      </w:r>
    </w:p>
    <w:bookmarkEnd w:id="10027"/>
    <w:bookmarkStart w:name="z10083" w:id="10028"/>
    <w:p>
      <w:pPr>
        <w:spacing w:after="0"/>
        <w:ind w:left="0"/>
        <w:jc w:val="both"/>
      </w:pPr>
      <w:r>
        <w:rPr>
          <w:rFonts w:ascii="Times New Roman"/>
          <w:b w:val="false"/>
          <w:i w:val="false"/>
          <w:color w:val="000000"/>
          <w:sz w:val="28"/>
        </w:rPr>
        <w:t>
      Каждый канал вентиляции камбуза, проходящий через жилые помещения или другие помещения, имеющие горючие материалы, снабжается:</w:t>
      </w:r>
    </w:p>
    <w:bookmarkEnd w:id="10028"/>
    <w:bookmarkStart w:name="z10084" w:id="10029"/>
    <w:p>
      <w:pPr>
        <w:spacing w:after="0"/>
        <w:ind w:left="0"/>
        <w:jc w:val="both"/>
      </w:pPr>
      <w:r>
        <w:rPr>
          <w:rFonts w:ascii="Times New Roman"/>
          <w:b w:val="false"/>
          <w:i w:val="false"/>
          <w:color w:val="000000"/>
          <w:sz w:val="28"/>
        </w:rPr>
        <w:t>
      легкоснимаемой коробкой, предназначенной для сбора жира;</w:t>
      </w:r>
    </w:p>
    <w:bookmarkEnd w:id="10029"/>
    <w:bookmarkStart w:name="z10085" w:id="10030"/>
    <w:p>
      <w:pPr>
        <w:spacing w:after="0"/>
        <w:ind w:left="0"/>
        <w:jc w:val="both"/>
      </w:pPr>
      <w:r>
        <w:rPr>
          <w:rFonts w:ascii="Times New Roman"/>
          <w:b w:val="false"/>
          <w:i w:val="false"/>
          <w:color w:val="000000"/>
          <w:sz w:val="28"/>
        </w:rPr>
        <w:t>
      пожарной заслонкой, расположенной в нижнем конце канала;</w:t>
      </w:r>
    </w:p>
    <w:bookmarkEnd w:id="10030"/>
    <w:bookmarkStart w:name="z10086" w:id="10031"/>
    <w:p>
      <w:pPr>
        <w:spacing w:after="0"/>
        <w:ind w:left="0"/>
        <w:jc w:val="both"/>
      </w:pPr>
      <w:r>
        <w:rPr>
          <w:rFonts w:ascii="Times New Roman"/>
          <w:b w:val="false"/>
          <w:i w:val="false"/>
          <w:color w:val="000000"/>
          <w:sz w:val="28"/>
        </w:rPr>
        <w:t>
      стационарными средствами для тушения пожара внутри канала; и средствами выключения вытяжного вентилятора, управляемого из камбуза (пункт 5016 настоящих Правил).</w:t>
      </w:r>
    </w:p>
    <w:bookmarkEnd w:id="10031"/>
    <w:bookmarkStart w:name="z10087" w:id="10032"/>
    <w:p>
      <w:pPr>
        <w:spacing w:after="0"/>
        <w:ind w:left="0"/>
        <w:jc w:val="both"/>
      </w:pPr>
      <w:r>
        <w:rPr>
          <w:rFonts w:ascii="Times New Roman"/>
          <w:b w:val="false"/>
          <w:i w:val="false"/>
          <w:color w:val="000000"/>
          <w:sz w:val="28"/>
        </w:rPr>
        <w:t>
      3601. На пассажирских судах, при необходимости прокладки вентиляционного канала через переборку главной противопожарной вертикальной зоны, вблизи нее устанавливается противопожарная заслонка, снабженная устройством для автоматического закрытия, сохраняющим работоспособность в случае повреждения. Заслонка также закрывается вручную с обеих сторон переборки. Типы средств ручного закрытия — подпункт 2) пункта 3596 настоящих Правил. Необходимо чтобы место управления заслонкой было легкодоступным и отмечено красной светоотражающей краской. Канал между переборкой и заслонкой должен быть из стали или равноценного материала и имееть изоляцию, соответствующую степени огнестойкости переборки. По крайней мере с одной стороны переборки заслонка снабжается хорошо видимым указателем, показывающим положение заслонки.</w:t>
      </w:r>
    </w:p>
    <w:bookmarkEnd w:id="10032"/>
    <w:bookmarkStart w:name="z10088" w:id="10033"/>
    <w:p>
      <w:pPr>
        <w:spacing w:after="0"/>
        <w:ind w:left="0"/>
        <w:jc w:val="both"/>
      </w:pPr>
      <w:r>
        <w:rPr>
          <w:rFonts w:ascii="Times New Roman"/>
          <w:b w:val="false"/>
          <w:i w:val="false"/>
          <w:color w:val="000000"/>
          <w:sz w:val="28"/>
        </w:rPr>
        <w:t>
      3602. Предусматривается возможность закрытия приемных и выпускных отверстий всех систем вентиляции помещений вне вентилируемых помещений. Средства закрытия должны быть легко доступны, и на них наносится несмываемая, хорошо видимая маркировка, показывающая, открыт канал или закрыт.</w:t>
      </w:r>
    </w:p>
    <w:bookmarkEnd w:id="10033"/>
    <w:bookmarkStart w:name="z10089" w:id="10034"/>
    <w:p>
      <w:pPr>
        <w:spacing w:after="0"/>
        <w:ind w:left="0"/>
        <w:jc w:val="both"/>
      </w:pPr>
      <w:r>
        <w:rPr>
          <w:rFonts w:ascii="Times New Roman"/>
          <w:b w:val="false"/>
          <w:i w:val="false"/>
          <w:color w:val="000000"/>
          <w:sz w:val="28"/>
        </w:rPr>
        <w:t>
      3603. Вентиляционные каналы и их проходы через конструкции типов А и В на судах валовой вместимостью менее 500 должны, как правило, выполняются согласно требованиям настоящей главы. Отступления от этих требований являются в каждом случае предметом специального рассмотрения Регистром судоходства.</w:t>
      </w:r>
    </w:p>
    <w:bookmarkEnd w:id="10034"/>
    <w:bookmarkStart w:name="z10090" w:id="10035"/>
    <w:p>
      <w:pPr>
        <w:spacing w:after="0"/>
        <w:ind w:left="0"/>
        <w:jc w:val="both"/>
      </w:pPr>
      <w:r>
        <w:rPr>
          <w:rFonts w:ascii="Times New Roman"/>
          <w:b w:val="false"/>
          <w:i w:val="false"/>
          <w:color w:val="000000"/>
          <w:sz w:val="28"/>
        </w:rPr>
        <w:t>
      3604. Искусственная вентиляция имеет органы управления, сгруппированные таким образом, чтобы все вентиляторы могли выключаться из двух мест, расположенных как можно дальше друг от друга. Органы управления искусственной вентиляцией машинных помещений группируют таким образом, чтобы управление могло осуществляться с двух мест, одно из которых расположено вне машинных помещении. Вентиляторы, обслуживающие системы искусственной вентиляции грузовых помещений, выключаются с безопасного места вне таких помещений (пункты 5015-5017 настоящих Правил).</w:t>
      </w:r>
    </w:p>
    <w:bookmarkEnd w:id="10035"/>
    <w:bookmarkStart w:name="z10091" w:id="10036"/>
    <w:p>
      <w:pPr>
        <w:spacing w:after="0"/>
        <w:ind w:left="0"/>
        <w:jc w:val="both"/>
      </w:pPr>
      <w:r>
        <w:rPr>
          <w:rFonts w:ascii="Times New Roman"/>
          <w:b w:val="false"/>
          <w:i w:val="false"/>
          <w:color w:val="000000"/>
          <w:sz w:val="28"/>
        </w:rPr>
        <w:t>
      3605. Следующие устройства подвергаются испытаниям в соответствии с Кодексом процедур огневых испытаний (глава 138 настоящих Правил):</w:t>
      </w:r>
    </w:p>
    <w:bookmarkEnd w:id="10036"/>
    <w:bookmarkStart w:name="z10092" w:id="10037"/>
    <w:p>
      <w:pPr>
        <w:spacing w:after="0"/>
        <w:ind w:left="0"/>
        <w:jc w:val="both"/>
      </w:pPr>
      <w:r>
        <w:rPr>
          <w:rFonts w:ascii="Times New Roman"/>
          <w:b w:val="false"/>
          <w:i w:val="false"/>
          <w:color w:val="000000"/>
          <w:sz w:val="28"/>
        </w:rPr>
        <w:t>
      1) противопожарные заслонки, включая соответствующие средства управления ими; и</w:t>
      </w:r>
    </w:p>
    <w:bookmarkEnd w:id="10037"/>
    <w:bookmarkStart w:name="z10093" w:id="10038"/>
    <w:p>
      <w:pPr>
        <w:spacing w:after="0"/>
        <w:ind w:left="0"/>
        <w:jc w:val="both"/>
      </w:pPr>
      <w:r>
        <w:rPr>
          <w:rFonts w:ascii="Times New Roman"/>
          <w:b w:val="false"/>
          <w:i w:val="false"/>
          <w:color w:val="000000"/>
          <w:sz w:val="28"/>
        </w:rPr>
        <w:t>
      2) каналы, проходящие через перекрытия класса А. Там, где стальные стаканы прямо подсоединены к каналам вентиляции посредством фланца, закрепленного заклепками, винтами или сваркой, испытание не требуется.</w:t>
      </w:r>
    </w:p>
    <w:bookmarkEnd w:id="10038"/>
    <w:bookmarkStart w:name="z10094" w:id="10039"/>
    <w:p>
      <w:pPr>
        <w:spacing w:after="0"/>
        <w:ind w:left="0"/>
        <w:jc w:val="both"/>
      </w:pPr>
      <w:r>
        <w:rPr>
          <w:rFonts w:ascii="Times New Roman"/>
          <w:b w:val="false"/>
          <w:i w:val="false"/>
          <w:color w:val="000000"/>
          <w:sz w:val="28"/>
        </w:rPr>
        <w:t>
      3606. В вентиляционных каналах, выполненных как огнестойкие конструкции типа А, а также в любых вентиляционных каналах, проходящих через огнестойкие конструкции типов А и В в пределах 600 мм от отверстия, считая по длине канала, не допускается применение уплотнительных прокладок фланцевых соединений из горючего материала.</w:t>
      </w:r>
    </w:p>
    <w:bookmarkEnd w:id="10039"/>
    <w:bookmarkStart w:name="z10095" w:id="10040"/>
    <w:p>
      <w:pPr>
        <w:spacing w:after="0"/>
        <w:ind w:left="0"/>
        <w:jc w:val="both"/>
      </w:pPr>
      <w:r>
        <w:rPr>
          <w:rFonts w:ascii="Times New Roman"/>
          <w:b w:val="false"/>
          <w:i w:val="false"/>
          <w:color w:val="000000"/>
          <w:sz w:val="28"/>
        </w:rPr>
        <w:t>
      3607. Противопожарные заслонки, установленные на вентиляционных каналах от камбузных плит согласно пунктам 3599 и 3613 настоящих Правил, допускается не подвергать испытаниям в соответствии с Резолюцией ИМО А754(18), но изготавливают из стали и должны при необходимости полностью прекращать воздушный поток. Требование о выполнении каналов вытяжной вентиляции от камбузных плит как конструкция типа А применимо только к расположенным вне камбузов частям каналов.</w:t>
      </w:r>
    </w:p>
    <w:bookmarkEnd w:id="10040"/>
    <w:bookmarkStart w:name="z10096" w:id="10041"/>
    <w:p>
      <w:pPr>
        <w:spacing w:after="0"/>
        <w:ind w:left="0"/>
        <w:jc w:val="left"/>
      </w:pPr>
      <w:r>
        <w:rPr>
          <w:rFonts w:ascii="Times New Roman"/>
          <w:b/>
          <w:i w:val="false"/>
          <w:color w:val="000000"/>
        </w:rPr>
        <w:t xml:space="preserve"> Глава 290. Системы вентиляции пассажирских судов, перевозящих более 36 пассажиров, и судов специального назначения, на борту которых находится более 200 человек специального персонала</w:t>
      </w:r>
    </w:p>
    <w:bookmarkEnd w:id="10041"/>
    <w:p>
      <w:pPr>
        <w:spacing w:after="0"/>
        <w:ind w:left="0"/>
        <w:jc w:val="both"/>
      </w:pPr>
      <w:r>
        <w:rPr>
          <w:rFonts w:ascii="Times New Roman"/>
          <w:b w:val="false"/>
          <w:i w:val="false"/>
          <w:color w:val="ff0000"/>
          <w:sz w:val="28"/>
        </w:rPr>
        <w:t xml:space="preserve">
      Сноска. Заголовок главы 290 -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097" w:id="10042"/>
    <w:p>
      <w:pPr>
        <w:spacing w:after="0"/>
        <w:ind w:left="0"/>
        <w:jc w:val="both"/>
      </w:pPr>
      <w:r>
        <w:rPr>
          <w:rFonts w:ascii="Times New Roman"/>
          <w:b w:val="false"/>
          <w:i w:val="false"/>
          <w:color w:val="000000"/>
          <w:sz w:val="28"/>
        </w:rPr>
        <w:t>
      3608. Системы вентиляции жилых и хозяйственных помещений, а также постов управления должны отвечать требованиям главы 289 настоящих Правил и дополнительно также требованиям настоящей главы.</w:t>
      </w:r>
    </w:p>
    <w:bookmarkEnd w:id="10042"/>
    <w:bookmarkStart w:name="z10098" w:id="10043"/>
    <w:p>
      <w:pPr>
        <w:spacing w:after="0"/>
        <w:ind w:left="0"/>
        <w:jc w:val="both"/>
      </w:pPr>
      <w:r>
        <w:rPr>
          <w:rFonts w:ascii="Times New Roman"/>
          <w:b w:val="false"/>
          <w:i w:val="false"/>
          <w:color w:val="000000"/>
          <w:sz w:val="28"/>
        </w:rPr>
        <w:t>
      3609. Как правило, вентиляторы и вентиляционные каналы располагаются в пределах одной главной вертикальной противопожарной зоны, которую они обслуживают.</w:t>
      </w:r>
    </w:p>
    <w:bookmarkEnd w:id="10043"/>
    <w:bookmarkStart w:name="z10099" w:id="10044"/>
    <w:p>
      <w:pPr>
        <w:spacing w:after="0"/>
        <w:ind w:left="0"/>
        <w:jc w:val="both"/>
      </w:pPr>
      <w:r>
        <w:rPr>
          <w:rFonts w:ascii="Times New Roman"/>
          <w:b w:val="false"/>
          <w:i w:val="false"/>
          <w:color w:val="000000"/>
          <w:sz w:val="28"/>
        </w:rPr>
        <w:t>
      3610. Если вентиляционные каналы прокладываются через палубы, то принимают меры для уменьшения возможности проникновения дыма и горячих газов из одного междупалубного помещения в другое. При необходимости вертикальные каналы имеют изоляцию, обеспечивающую огнестойкость и отвечающую требованиям пункт 2199 настоящих Правил.</w:t>
      </w:r>
    </w:p>
    <w:bookmarkEnd w:id="10044"/>
    <w:bookmarkStart w:name="z10100" w:id="10045"/>
    <w:p>
      <w:pPr>
        <w:spacing w:after="0"/>
        <w:ind w:left="0"/>
        <w:jc w:val="both"/>
      </w:pPr>
      <w:r>
        <w:rPr>
          <w:rFonts w:ascii="Times New Roman"/>
          <w:b w:val="false"/>
          <w:i w:val="false"/>
          <w:color w:val="000000"/>
          <w:sz w:val="28"/>
        </w:rPr>
        <w:t>
      3611. Вентиляционные каналы, кроме каналов грузовых трюмов, изготавливаются из следующих материалов:</w:t>
      </w:r>
    </w:p>
    <w:bookmarkEnd w:id="10045"/>
    <w:bookmarkStart w:name="z10101" w:id="10046"/>
    <w:p>
      <w:pPr>
        <w:spacing w:after="0"/>
        <w:ind w:left="0"/>
        <w:jc w:val="both"/>
      </w:pPr>
      <w:r>
        <w:rPr>
          <w:rFonts w:ascii="Times New Roman"/>
          <w:b w:val="false"/>
          <w:i w:val="false"/>
          <w:color w:val="000000"/>
          <w:sz w:val="28"/>
        </w:rPr>
        <w:t>
      1) каналы с поперечным сечением более 0,075 м</w:t>
      </w:r>
      <w:r>
        <w:rPr>
          <w:rFonts w:ascii="Times New Roman"/>
          <w:b w:val="false"/>
          <w:i w:val="false"/>
          <w:color w:val="000000"/>
          <w:vertAlign w:val="superscript"/>
        </w:rPr>
        <w:t>2</w:t>
      </w:r>
      <w:r>
        <w:rPr>
          <w:rFonts w:ascii="Times New Roman"/>
          <w:b w:val="false"/>
          <w:i w:val="false"/>
          <w:color w:val="000000"/>
          <w:sz w:val="28"/>
        </w:rPr>
        <w:t>, а также все вертикальные каналы, обслуживающие более чем одно междупалубное пространство, — из стали или равноценного материала;</w:t>
      </w:r>
    </w:p>
    <w:bookmarkEnd w:id="10046"/>
    <w:bookmarkStart w:name="z10102" w:id="10047"/>
    <w:p>
      <w:pPr>
        <w:spacing w:after="0"/>
        <w:ind w:left="0"/>
        <w:jc w:val="both"/>
      </w:pPr>
      <w:r>
        <w:rPr>
          <w:rFonts w:ascii="Times New Roman"/>
          <w:b w:val="false"/>
          <w:i w:val="false"/>
          <w:color w:val="000000"/>
          <w:sz w:val="28"/>
        </w:rPr>
        <w:t>
      2) каналы с поперечным сечением менее 0,075 м</w:t>
      </w:r>
      <w:r>
        <w:rPr>
          <w:rFonts w:ascii="Times New Roman"/>
          <w:b w:val="false"/>
          <w:i w:val="false"/>
          <w:color w:val="000000"/>
          <w:vertAlign w:val="superscript"/>
        </w:rPr>
        <w:t>2</w:t>
      </w:r>
      <w:r>
        <w:rPr>
          <w:rFonts w:ascii="Times New Roman"/>
          <w:b w:val="false"/>
          <w:i w:val="false"/>
          <w:color w:val="000000"/>
          <w:sz w:val="28"/>
        </w:rPr>
        <w:t>, другие, чем вертикальные, упомянутые в подпункте 1) настоящего пункта, — из негорючих материалов; если такие каналы прокладываются через переборки типа А или В, должны быть сохранены противопожарные свойства этой переборки;</w:t>
      </w:r>
    </w:p>
    <w:bookmarkEnd w:id="10047"/>
    <w:bookmarkStart w:name="z10103" w:id="10048"/>
    <w:p>
      <w:pPr>
        <w:spacing w:after="0"/>
        <w:ind w:left="0"/>
        <w:jc w:val="both"/>
      </w:pPr>
      <w:r>
        <w:rPr>
          <w:rFonts w:ascii="Times New Roman"/>
          <w:b w:val="false"/>
          <w:i w:val="false"/>
          <w:color w:val="000000"/>
          <w:sz w:val="28"/>
        </w:rPr>
        <w:t>
      3) короткие участки каналов, как правило, с поперечным сечением до 0,02 м</w:t>
      </w:r>
      <w:r>
        <w:rPr>
          <w:rFonts w:ascii="Times New Roman"/>
          <w:b w:val="false"/>
          <w:i w:val="false"/>
          <w:color w:val="000000"/>
          <w:vertAlign w:val="superscript"/>
        </w:rPr>
        <w:t>2</w:t>
      </w:r>
      <w:r>
        <w:rPr>
          <w:rFonts w:ascii="Times New Roman"/>
          <w:b w:val="false"/>
          <w:i w:val="false"/>
          <w:color w:val="000000"/>
          <w:sz w:val="28"/>
        </w:rPr>
        <w:t xml:space="preserve"> и длиной до 2 м — из материалов, указанных в пункте 3595 настоящих Правил.</w:t>
      </w:r>
    </w:p>
    <w:bookmarkEnd w:id="10048"/>
    <w:bookmarkStart w:name="z10104" w:id="10049"/>
    <w:p>
      <w:pPr>
        <w:spacing w:after="0"/>
        <w:ind w:left="0"/>
        <w:jc w:val="both"/>
      </w:pPr>
      <w:r>
        <w:rPr>
          <w:rFonts w:ascii="Times New Roman"/>
          <w:b w:val="false"/>
          <w:i w:val="false"/>
          <w:color w:val="000000"/>
          <w:sz w:val="28"/>
        </w:rPr>
        <w:t>
      3612. Вентиляционные системы, предназначенные для вентиляции выгородок трапов, должны быть независимыми от других систем.</w:t>
      </w:r>
    </w:p>
    <w:bookmarkEnd w:id="10049"/>
    <w:bookmarkStart w:name="z10105" w:id="10050"/>
    <w:p>
      <w:pPr>
        <w:spacing w:after="0"/>
        <w:ind w:left="0"/>
        <w:jc w:val="both"/>
      </w:pPr>
      <w:r>
        <w:rPr>
          <w:rFonts w:ascii="Times New Roman"/>
          <w:b w:val="false"/>
          <w:i w:val="false"/>
          <w:color w:val="000000"/>
          <w:sz w:val="28"/>
        </w:rPr>
        <w:t>
      3613. Каждый вытяжной канал вентиляции от камбузных плит, в котором скапливается грязь и жир, должен отвечать требованиям пункта 3597 настоящих Правил и снабжен:</w:t>
      </w:r>
    </w:p>
    <w:bookmarkEnd w:id="10050"/>
    <w:bookmarkStart w:name="z10106" w:id="10051"/>
    <w:p>
      <w:pPr>
        <w:spacing w:after="0"/>
        <w:ind w:left="0"/>
        <w:jc w:val="both"/>
      </w:pPr>
      <w:r>
        <w:rPr>
          <w:rFonts w:ascii="Times New Roman"/>
          <w:b w:val="false"/>
          <w:i w:val="false"/>
          <w:color w:val="000000"/>
          <w:sz w:val="28"/>
        </w:rPr>
        <w:t>
      1) жироуловителями, легкоснимающимися при чистке, если не предусмотрена другая одобренная Регистром судоходства система удаления жира;</w:t>
      </w:r>
    </w:p>
    <w:bookmarkEnd w:id="10051"/>
    <w:bookmarkStart w:name="z10107" w:id="10052"/>
    <w:p>
      <w:pPr>
        <w:spacing w:after="0"/>
        <w:ind w:left="0"/>
        <w:jc w:val="both"/>
      </w:pPr>
      <w:r>
        <w:rPr>
          <w:rFonts w:ascii="Times New Roman"/>
          <w:b w:val="false"/>
          <w:i w:val="false"/>
          <w:color w:val="000000"/>
          <w:sz w:val="28"/>
        </w:rPr>
        <w:t>
      2) противопожарными заслонками, расположенными в нижнем конце канала, автоматически и дистанционно управляемыми, и, кроме того, дистанционно управляемой противопожарной заслонкой, расположенной в выходном конце канала (нижний конец канала означает положение соединения канала с вытяжным кожухом в районе камбузной плиты; верхний конец канала — положение закрытия на выходе канала из камбуза);</w:t>
      </w:r>
    </w:p>
    <w:bookmarkEnd w:id="10052"/>
    <w:bookmarkStart w:name="z10108" w:id="10053"/>
    <w:p>
      <w:pPr>
        <w:spacing w:after="0"/>
        <w:ind w:left="0"/>
        <w:jc w:val="both"/>
      </w:pPr>
      <w:r>
        <w:rPr>
          <w:rFonts w:ascii="Times New Roman"/>
          <w:b w:val="false"/>
          <w:i w:val="false"/>
          <w:color w:val="000000"/>
          <w:sz w:val="28"/>
        </w:rPr>
        <w:t>
      3) стационарными средствами для тушения пожара внутри канала;</w:t>
      </w:r>
    </w:p>
    <w:bookmarkEnd w:id="10053"/>
    <w:bookmarkStart w:name="z10109" w:id="10054"/>
    <w:p>
      <w:pPr>
        <w:spacing w:after="0"/>
        <w:ind w:left="0"/>
        <w:jc w:val="both"/>
      </w:pPr>
      <w:r>
        <w:rPr>
          <w:rFonts w:ascii="Times New Roman"/>
          <w:b w:val="false"/>
          <w:i w:val="false"/>
          <w:color w:val="000000"/>
          <w:sz w:val="28"/>
        </w:rPr>
        <w:t>
      4) дистанционными средствами для выключения вытяжных и нагнетательных вентиляторов и для управления противопожарными заслонками, упомянутыми в подпункте 2) пункта 3613 настоящих Правил, и системой пожаротушения, которые располагают в непосредственной близости от входа на камбуз. Если установлена многоканальная система вентиляции, предусматриваются средства для закрытия всех отводов, ведущих в один и тот же главный канал вентиляции, до пуска огнетушащего вещества в систему;</w:t>
      </w:r>
    </w:p>
    <w:bookmarkEnd w:id="10054"/>
    <w:bookmarkStart w:name="z10110" w:id="10055"/>
    <w:p>
      <w:pPr>
        <w:spacing w:after="0"/>
        <w:ind w:left="0"/>
        <w:jc w:val="both"/>
      </w:pPr>
      <w:r>
        <w:rPr>
          <w:rFonts w:ascii="Times New Roman"/>
          <w:b w:val="false"/>
          <w:i w:val="false"/>
          <w:color w:val="000000"/>
          <w:sz w:val="28"/>
        </w:rPr>
        <w:t>
      5) лючками для проверки и чистки, расположенными поблизости от противопожарных заслонок. Один лючок находится около вытяжного вентилятора, другие лючки — в нижней части каналов.</w:t>
      </w:r>
    </w:p>
    <w:bookmarkEnd w:id="10055"/>
    <w:bookmarkStart w:name="z10111" w:id="10056"/>
    <w:p>
      <w:pPr>
        <w:spacing w:after="0"/>
        <w:ind w:left="0"/>
        <w:jc w:val="both"/>
      </w:pPr>
      <w:r>
        <w:rPr>
          <w:rFonts w:ascii="Times New Roman"/>
          <w:b w:val="false"/>
          <w:i w:val="false"/>
          <w:color w:val="000000"/>
          <w:sz w:val="28"/>
        </w:rPr>
        <w:t>
      3614. Если общественные помещения занимают три и более открытых палубы и содержат воспламеняющиеся предметы, такие как мебель, то они, а также закрытые помещения, такие как магазины, бары и рестораны, оборудуют системой вентиляции, срабатывающей от системы обнаружения дыма и обеспечивающей вентиляцию помещений в полном объеме за время не более 10 мин Предусматривается также ручное управление вентиляторами.</w:t>
      </w:r>
    </w:p>
    <w:bookmarkEnd w:id="10056"/>
    <w:bookmarkStart w:name="z10112" w:id="10057"/>
    <w:p>
      <w:pPr>
        <w:spacing w:after="0"/>
        <w:ind w:left="0"/>
        <w:jc w:val="both"/>
      </w:pPr>
      <w:r>
        <w:rPr>
          <w:rFonts w:ascii="Times New Roman"/>
          <w:b w:val="false"/>
          <w:i w:val="false"/>
          <w:color w:val="000000"/>
          <w:sz w:val="28"/>
        </w:rPr>
        <w:t>
      3615. На отключение вентиляторов кондиционеров не распространяется требование пункта 3604 настоящих Правил, если они не подают наружный воздух в обслуживаемые помещения.</w:t>
      </w:r>
    </w:p>
    <w:bookmarkEnd w:id="10057"/>
    <w:bookmarkStart w:name="z10113" w:id="10058"/>
    <w:p>
      <w:pPr>
        <w:spacing w:after="0"/>
        <w:ind w:left="0"/>
        <w:jc w:val="left"/>
      </w:pPr>
      <w:r>
        <w:rPr>
          <w:rFonts w:ascii="Times New Roman"/>
          <w:b/>
          <w:i w:val="false"/>
          <w:color w:val="000000"/>
        </w:rPr>
        <w:t xml:space="preserve"> Глава 291. Системы вентиляции нефтеналивных и комбинированных судов для перевозки сырой нефти и нефтепродуктов с температурой вспышки 60 градусов по Цельсию(°С) и ниже</w:t>
      </w:r>
    </w:p>
    <w:bookmarkEnd w:id="10058"/>
    <w:p>
      <w:pPr>
        <w:spacing w:after="0"/>
        <w:ind w:left="0"/>
        <w:jc w:val="both"/>
      </w:pPr>
      <w:r>
        <w:rPr>
          <w:rFonts w:ascii="Times New Roman"/>
          <w:b w:val="false"/>
          <w:i w:val="false"/>
          <w:color w:val="ff0000"/>
          <w:sz w:val="28"/>
        </w:rPr>
        <w:t xml:space="preserve">
      Сноска. Заголовок главы 291 -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14" w:id="10059"/>
    <w:p>
      <w:pPr>
        <w:spacing w:after="0"/>
        <w:ind w:left="0"/>
        <w:jc w:val="both"/>
      </w:pPr>
      <w:r>
        <w:rPr>
          <w:rFonts w:ascii="Times New Roman"/>
          <w:b w:val="false"/>
          <w:i w:val="false"/>
          <w:color w:val="000000"/>
          <w:sz w:val="28"/>
        </w:rPr>
        <w:t>
      3616. В дополнение к требованиям глав 288, 289, 293 и 295 настоящих Правил, системы вентиляции должны отвечать требованиям настоящей главы.</w:t>
      </w:r>
    </w:p>
    <w:bookmarkEnd w:id="10059"/>
    <w:bookmarkStart w:name="z10115" w:id="10060"/>
    <w:p>
      <w:pPr>
        <w:spacing w:after="0"/>
        <w:ind w:left="0"/>
        <w:jc w:val="both"/>
      </w:pPr>
      <w:r>
        <w:rPr>
          <w:rFonts w:ascii="Times New Roman"/>
          <w:b w:val="false"/>
          <w:i w:val="false"/>
          <w:color w:val="000000"/>
          <w:sz w:val="28"/>
        </w:rPr>
        <w:t>
      3617. Приемные отверстия вентиляции жилых и служебных помещений, а также постов управления располагаются на поперечной кормовой переборке надстроек или рубок, не обращенной в сторону грузовых танков, или на бортовой стороне надстройки или рубки на расстоянии, равном по меньшей мере 4 % длины судна, но не менее 3 м от оконечности надстройки или рубки, обращенной в сторону грузовых танков. Это расстояние, однако, может не превышать 5 м.</w:t>
      </w:r>
    </w:p>
    <w:bookmarkEnd w:id="10060"/>
    <w:bookmarkStart w:name="z10116" w:id="10061"/>
    <w:p>
      <w:pPr>
        <w:spacing w:after="0"/>
        <w:ind w:left="0"/>
        <w:jc w:val="both"/>
      </w:pPr>
      <w:r>
        <w:rPr>
          <w:rFonts w:ascii="Times New Roman"/>
          <w:b w:val="false"/>
          <w:i w:val="false"/>
          <w:color w:val="000000"/>
          <w:sz w:val="28"/>
        </w:rPr>
        <w:t>
      Приемные и выходные отверстия вентиляционных каналов машинных помещений располагаются как можно дальше в корму судна. Особое внимание следует обратить на размещение этих отверстий на нефтеналивных судах, приспособленных для погрузки и выгрузки с кормы.</w:t>
      </w:r>
    </w:p>
    <w:bookmarkEnd w:id="10061"/>
    <w:bookmarkStart w:name="z10117" w:id="10062"/>
    <w:p>
      <w:pPr>
        <w:spacing w:after="0"/>
        <w:ind w:left="0"/>
        <w:jc w:val="both"/>
      </w:pPr>
      <w:r>
        <w:rPr>
          <w:rFonts w:ascii="Times New Roman"/>
          <w:b w:val="false"/>
          <w:i w:val="false"/>
          <w:color w:val="000000"/>
          <w:sz w:val="28"/>
        </w:rPr>
        <w:t>
      3618. Грузовые насосные отделения должны иметь принудительную вентиляцию, а выходные отверстия вытяжных вентиляторов выведены в безопасное место на открытой палубе. Производительность системы вентиляции этих помещений должна быть достаточной для того, чтобы свести к минимуму возможность скопления легковоспламеняющихся паров. Число воздухообменов должно быть не менее 20 в час, исходя из валового объема помещения. Необходимо чтобы расположение вентиляционных каналов обеспечивали эффективную вентиляцию всего помещения. Вытяжная вентиляция должна быть принудительной, с использованием вентиляторов искробезопасного типа. Приточная вентиляция может быть естественной. Освещение должно быть сблокировано с вентиляцией согласно пункту 5760 настоящих Правил.</w:t>
      </w:r>
    </w:p>
    <w:bookmarkEnd w:id="10062"/>
    <w:bookmarkStart w:name="z10118" w:id="10063"/>
    <w:p>
      <w:pPr>
        <w:spacing w:after="0"/>
        <w:ind w:left="0"/>
        <w:jc w:val="both"/>
      </w:pPr>
      <w:r>
        <w:rPr>
          <w:rFonts w:ascii="Times New Roman"/>
          <w:b w:val="false"/>
          <w:i w:val="false"/>
          <w:color w:val="000000"/>
          <w:sz w:val="28"/>
        </w:rPr>
        <w:t>
      3619. Приемные отверстия вытяжных каналов располагаются таким образом, чтобы обеспечивалось удаление воздуха из-под настила. При этом днищевой набор, а также настил и площадки насосного помещения не должны препятствовать свободному поступлению воздуха к местам расположения приемных отверстий.</w:t>
      </w:r>
    </w:p>
    <w:bookmarkEnd w:id="10063"/>
    <w:bookmarkStart w:name="z10119" w:id="10064"/>
    <w:p>
      <w:pPr>
        <w:spacing w:after="0"/>
        <w:ind w:left="0"/>
        <w:jc w:val="both"/>
      </w:pPr>
      <w:r>
        <w:rPr>
          <w:rFonts w:ascii="Times New Roman"/>
          <w:b w:val="false"/>
          <w:i w:val="false"/>
          <w:color w:val="000000"/>
          <w:sz w:val="28"/>
        </w:rPr>
        <w:t>
      Эти каналы вне помещения насосов должны быть газонепроницаемыми и, как правило, не соединяются с вентиляционными каналами других помещений.</w:t>
      </w:r>
    </w:p>
    <w:bookmarkEnd w:id="10064"/>
    <w:bookmarkStart w:name="z10120" w:id="10065"/>
    <w:p>
      <w:pPr>
        <w:spacing w:after="0"/>
        <w:ind w:left="0"/>
        <w:jc w:val="both"/>
      </w:pPr>
      <w:r>
        <w:rPr>
          <w:rFonts w:ascii="Times New Roman"/>
          <w:b w:val="false"/>
          <w:i w:val="false"/>
          <w:color w:val="000000"/>
          <w:sz w:val="28"/>
        </w:rPr>
        <w:t>
      Предусматривается также аварийная вентиляция помещения насосов на случай затопления приемных отверстий, расположенных под настилом. Для этой цели на вытяжном канале на высоте около 2 м от нижних решеток предусматривается приемное отверстие, оборудованное заслонкой, которая управляется с главной палубы и с нижних решеток помещения. Заслонку допускается не устанавливать, если сечения приемных отверстий будут выбраны таким образом, чтобы через нижние приемные отверстия обеспечивался не менее чем 20-кратный обмен воздуха в час и через верхнее отверстие — по крайней мере 15-кратный обмен воздуха в час при затоплении нижних приемных отверстий.</w:t>
      </w:r>
    </w:p>
    <w:bookmarkEnd w:id="10065"/>
    <w:bookmarkStart w:name="z10121" w:id="10066"/>
    <w:p>
      <w:pPr>
        <w:spacing w:after="0"/>
        <w:ind w:left="0"/>
        <w:jc w:val="both"/>
      </w:pPr>
      <w:r>
        <w:rPr>
          <w:rFonts w:ascii="Times New Roman"/>
          <w:b w:val="false"/>
          <w:i w:val="false"/>
          <w:color w:val="000000"/>
          <w:sz w:val="28"/>
        </w:rPr>
        <w:t>
      Если система вентиляции помещения насосов используется для вентиляции грузового трубопровода и через него — грузовых танков, то в местах присоединения вентиляционного канала к грузовому трубопроводу устанавливается двойная запорная арматура.</w:t>
      </w:r>
    </w:p>
    <w:bookmarkEnd w:id="10066"/>
    <w:bookmarkStart w:name="z10122" w:id="10067"/>
    <w:p>
      <w:pPr>
        <w:spacing w:after="0"/>
        <w:ind w:left="0"/>
        <w:jc w:val="both"/>
      </w:pPr>
      <w:r>
        <w:rPr>
          <w:rFonts w:ascii="Times New Roman"/>
          <w:b w:val="false"/>
          <w:i w:val="false"/>
          <w:color w:val="000000"/>
          <w:sz w:val="28"/>
        </w:rPr>
        <w:t>
      3620. Конструкция вентиляторов помещений грузовых насосов должна отвечать требованиям главы 368 настоящих Правил, а расположение их приводных двигателей — требованиям пункта 2733 настоящих Правил.</w:t>
      </w:r>
    </w:p>
    <w:bookmarkEnd w:id="10067"/>
    <w:bookmarkStart w:name="z10123" w:id="10068"/>
    <w:p>
      <w:pPr>
        <w:spacing w:after="0"/>
        <w:ind w:left="0"/>
        <w:jc w:val="both"/>
      </w:pPr>
      <w:r>
        <w:rPr>
          <w:rFonts w:ascii="Times New Roman"/>
          <w:b w:val="false"/>
          <w:i w:val="false"/>
          <w:color w:val="000000"/>
          <w:sz w:val="28"/>
        </w:rPr>
        <w:t>
      3621. Наружные отверстия вытяжных каналов вентиляции помещений грузовых насосов должны отстоять не менее чем на 2 м от любого отверстия, идущего внутрь судна в места, в которых может содержаться источник воспламенения паров нефтепродуктов, и располагаются по отношению к приемным отверстиям приточных каналов вентиляции так, чтобы исключалась возможность загрязнения приточного воздуха.</w:t>
      </w:r>
    </w:p>
    <w:bookmarkEnd w:id="10068"/>
    <w:bookmarkStart w:name="z10124" w:id="10069"/>
    <w:p>
      <w:pPr>
        <w:spacing w:after="0"/>
        <w:ind w:left="0"/>
        <w:jc w:val="both"/>
      </w:pPr>
      <w:r>
        <w:rPr>
          <w:rFonts w:ascii="Times New Roman"/>
          <w:b w:val="false"/>
          <w:i w:val="false"/>
          <w:color w:val="000000"/>
          <w:sz w:val="28"/>
        </w:rPr>
        <w:t>
      Наружные отверстия вытяжных вентиляционных каналов снабжают пламепрерывающей арматурой.</w:t>
      </w:r>
    </w:p>
    <w:bookmarkEnd w:id="10069"/>
    <w:bookmarkStart w:name="z10125" w:id="10070"/>
    <w:p>
      <w:pPr>
        <w:spacing w:after="0"/>
        <w:ind w:left="0"/>
        <w:jc w:val="both"/>
      </w:pPr>
      <w:r>
        <w:rPr>
          <w:rFonts w:ascii="Times New Roman"/>
          <w:b w:val="false"/>
          <w:i w:val="false"/>
          <w:color w:val="000000"/>
          <w:sz w:val="28"/>
        </w:rPr>
        <w:t>
      Приемные отверствия приточной вентиляции должны отстоять не менее, чем на 2,4 м от грузовой палубы и не менее, чем на 5 м от любых отверстий грузовых танков и выходных отверстий дыхательных клапанов, а от выходных концов газоотводных труб при свободном выходе смесей паров и от выходных концов газоотводных труб, снабженных высокоскоростными устройствами, — не менее, чем на 10 м.</w:t>
      </w:r>
    </w:p>
    <w:bookmarkEnd w:id="10070"/>
    <w:bookmarkStart w:name="z10126" w:id="10071"/>
    <w:p>
      <w:pPr>
        <w:spacing w:after="0"/>
        <w:ind w:left="0"/>
        <w:jc w:val="both"/>
      </w:pPr>
      <w:r>
        <w:rPr>
          <w:rFonts w:ascii="Times New Roman"/>
          <w:b w:val="false"/>
          <w:i w:val="false"/>
          <w:color w:val="000000"/>
          <w:sz w:val="28"/>
        </w:rPr>
        <w:t>
      3622. На комбинированных судах все грузовые помещения и все закрытые пространства, смежные с грузовыми помещениями, приспосабливают к искусственной вентиляции. Допускается чтобы эта вентиляция осуществлялась переносными вентиляторами.</w:t>
      </w:r>
    </w:p>
    <w:bookmarkEnd w:id="10071"/>
    <w:bookmarkStart w:name="z10127" w:id="10072"/>
    <w:p>
      <w:pPr>
        <w:spacing w:after="0"/>
        <w:ind w:left="0"/>
        <w:jc w:val="both"/>
      </w:pPr>
      <w:r>
        <w:rPr>
          <w:rFonts w:ascii="Times New Roman"/>
          <w:b w:val="false"/>
          <w:i w:val="false"/>
          <w:color w:val="000000"/>
          <w:sz w:val="28"/>
        </w:rPr>
        <w:t>
      3623. На нефтеналивных судах:</w:t>
      </w:r>
    </w:p>
    <w:bookmarkEnd w:id="10072"/>
    <w:bookmarkStart w:name="z10128" w:id="10073"/>
    <w:p>
      <w:pPr>
        <w:spacing w:after="0"/>
        <w:ind w:left="0"/>
        <w:jc w:val="both"/>
      </w:pPr>
      <w:r>
        <w:rPr>
          <w:rFonts w:ascii="Times New Roman"/>
          <w:b w:val="false"/>
          <w:i w:val="false"/>
          <w:color w:val="000000"/>
          <w:sz w:val="28"/>
        </w:rPr>
        <w:t>
      1) пространства двойного корпуса и двойного дна оборудуют соединениями для подачи воздуха;</w:t>
      </w:r>
    </w:p>
    <w:bookmarkEnd w:id="10073"/>
    <w:bookmarkStart w:name="z10129" w:id="10074"/>
    <w:p>
      <w:pPr>
        <w:spacing w:after="0"/>
        <w:ind w:left="0"/>
        <w:jc w:val="both"/>
      </w:pPr>
      <w:r>
        <w:rPr>
          <w:rFonts w:ascii="Times New Roman"/>
          <w:b w:val="false"/>
          <w:i w:val="false"/>
          <w:color w:val="000000"/>
          <w:sz w:val="28"/>
        </w:rPr>
        <w:t>
      2) если требуется система инертного газа, то пространства, указанные в подпункте 1) настоящего пункта, подсоединяют к стационарным системам распределения инертных газов, также предусматриваются средства, предотвращающие утечку углеводородных газов из грузовых танков в такие пространства через систему распределения инертного газа.</w:t>
      </w:r>
    </w:p>
    <w:bookmarkEnd w:id="10074"/>
    <w:bookmarkStart w:name="z10130" w:id="10075"/>
    <w:p>
      <w:pPr>
        <w:spacing w:after="0"/>
        <w:ind w:left="0"/>
        <w:jc w:val="both"/>
      </w:pPr>
      <w:r>
        <w:rPr>
          <w:rFonts w:ascii="Times New Roman"/>
          <w:b w:val="false"/>
          <w:i w:val="false"/>
          <w:color w:val="000000"/>
          <w:sz w:val="28"/>
        </w:rPr>
        <w:t>
      Там, где такие пространства не подсоединены постоянно к источникам распределения инертного газа, предусматривают средства, обеспечивающие их подсоединение;</w:t>
      </w:r>
    </w:p>
    <w:bookmarkEnd w:id="10075"/>
    <w:bookmarkStart w:name="z10131" w:id="10076"/>
    <w:p>
      <w:pPr>
        <w:spacing w:after="0"/>
        <w:ind w:left="0"/>
        <w:jc w:val="both"/>
      </w:pPr>
      <w:r>
        <w:rPr>
          <w:rFonts w:ascii="Times New Roman"/>
          <w:b w:val="false"/>
          <w:i w:val="false"/>
          <w:color w:val="000000"/>
          <w:sz w:val="28"/>
        </w:rPr>
        <w:t>
      3) обеспечивается возможность замера концентрации кислорода и воспламеняющихся паров в пространствах двойного корпуса. Для этого допускается использовать стационарные трубопроводы или гибкие шланги для забора проб атмосферы, а также переносные приборы;</w:t>
      </w:r>
    </w:p>
    <w:bookmarkEnd w:id="10076"/>
    <w:bookmarkStart w:name="z10132" w:id="10077"/>
    <w:p>
      <w:pPr>
        <w:spacing w:after="0"/>
        <w:ind w:left="0"/>
        <w:jc w:val="both"/>
      </w:pPr>
      <w:r>
        <w:rPr>
          <w:rFonts w:ascii="Times New Roman"/>
          <w:b w:val="false"/>
          <w:i w:val="false"/>
          <w:color w:val="000000"/>
          <w:sz w:val="28"/>
        </w:rPr>
        <w:t>
      4) внутренний диаметр стационарных труб для забора проб атмосферы, их прокладка, а также материалы должны быть такими, чтобы исключить их закупорку. Если материалом служит пластик, он должен быть электропроводящим, а трубы должны быть надежно заземлены.</w:t>
      </w:r>
    </w:p>
    <w:bookmarkEnd w:id="10077"/>
    <w:bookmarkStart w:name="z10133" w:id="10078"/>
    <w:p>
      <w:pPr>
        <w:spacing w:after="0"/>
        <w:ind w:left="0"/>
        <w:jc w:val="left"/>
      </w:pPr>
      <w:r>
        <w:rPr>
          <w:rFonts w:ascii="Times New Roman"/>
          <w:b/>
          <w:i w:val="false"/>
          <w:color w:val="000000"/>
        </w:rPr>
        <w:t xml:space="preserve"> Глава 292. Вентиляция машинных помещений и туннелей</w:t>
      </w:r>
    </w:p>
    <w:bookmarkEnd w:id="10078"/>
    <w:p>
      <w:pPr>
        <w:spacing w:after="0"/>
        <w:ind w:left="0"/>
        <w:jc w:val="both"/>
      </w:pPr>
      <w:r>
        <w:rPr>
          <w:rFonts w:ascii="Times New Roman"/>
          <w:b w:val="false"/>
          <w:i w:val="false"/>
          <w:color w:val="ff0000"/>
          <w:sz w:val="28"/>
        </w:rPr>
        <w:t xml:space="preserve">
      Сноска. Заголовок главы 292 -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34" w:id="10079"/>
    <w:p>
      <w:pPr>
        <w:spacing w:after="0"/>
        <w:ind w:left="0"/>
        <w:jc w:val="both"/>
      </w:pPr>
      <w:r>
        <w:rPr>
          <w:rFonts w:ascii="Times New Roman"/>
          <w:b w:val="false"/>
          <w:i w:val="false"/>
          <w:color w:val="000000"/>
          <w:sz w:val="28"/>
        </w:rPr>
        <w:t>
      3624. Вентиляция машинных помещений категории А обеспечивает во всех условиях эксплуатации, включая штормовые условия, достаточный приток воздуха, необходимый для работы с полной мощностью механизмов и котлов, а также для безопасности и удобства обслуживающего персонала.</w:t>
      </w:r>
    </w:p>
    <w:bookmarkEnd w:id="10079"/>
    <w:bookmarkStart w:name="z10135" w:id="10080"/>
    <w:p>
      <w:pPr>
        <w:spacing w:after="0"/>
        <w:ind w:left="0"/>
        <w:jc w:val="both"/>
      </w:pPr>
      <w:r>
        <w:rPr>
          <w:rFonts w:ascii="Times New Roman"/>
          <w:b w:val="false"/>
          <w:i w:val="false"/>
          <w:color w:val="000000"/>
          <w:sz w:val="28"/>
        </w:rPr>
        <w:t>
      Вентиляция обеспечивает удаление газов тяжелее воздуха из нижних частей помещений, из-под настила, из мест, в которых находится оборудование топливной системы, отстойные и расходные цистерны.</w:t>
      </w:r>
    </w:p>
    <w:bookmarkEnd w:id="10080"/>
    <w:bookmarkStart w:name="z10136" w:id="10081"/>
    <w:p>
      <w:pPr>
        <w:spacing w:after="0"/>
        <w:ind w:left="0"/>
        <w:jc w:val="both"/>
      </w:pPr>
      <w:r>
        <w:rPr>
          <w:rFonts w:ascii="Times New Roman"/>
          <w:b w:val="false"/>
          <w:i w:val="false"/>
          <w:color w:val="000000"/>
          <w:sz w:val="28"/>
        </w:rPr>
        <w:t>
      Вентиляция других машинных помещений определяется в соответствии с их назначением.</w:t>
      </w:r>
    </w:p>
    <w:bookmarkEnd w:id="10081"/>
    <w:bookmarkStart w:name="z10137" w:id="10082"/>
    <w:p>
      <w:pPr>
        <w:spacing w:after="0"/>
        <w:ind w:left="0"/>
        <w:jc w:val="both"/>
      </w:pPr>
      <w:r>
        <w:rPr>
          <w:rFonts w:ascii="Times New Roman"/>
          <w:b w:val="false"/>
          <w:i w:val="false"/>
          <w:color w:val="000000"/>
          <w:sz w:val="28"/>
        </w:rPr>
        <w:t>
      Требования к вентиляции машинных помещений холодильных машин изложены в пунктах 5975 и 5976 настоящих Правил.</w:t>
      </w:r>
    </w:p>
    <w:bookmarkEnd w:id="10082"/>
    <w:bookmarkStart w:name="z10138" w:id="10083"/>
    <w:p>
      <w:pPr>
        <w:spacing w:after="0"/>
        <w:ind w:left="0"/>
        <w:jc w:val="both"/>
      </w:pPr>
      <w:r>
        <w:rPr>
          <w:rFonts w:ascii="Times New Roman"/>
          <w:b w:val="false"/>
          <w:i w:val="false"/>
          <w:color w:val="000000"/>
          <w:sz w:val="28"/>
        </w:rPr>
        <w:t>
      3625. Туннели валопроводов должны иметь вентиляцию. Туннели трубопроводов, прокладываемые в междудонном пространстве, оборудуют искусственной вытяжной вентиляцией.</w:t>
      </w:r>
    </w:p>
    <w:bookmarkEnd w:id="10083"/>
    <w:bookmarkStart w:name="z10139" w:id="10084"/>
    <w:p>
      <w:pPr>
        <w:spacing w:after="0"/>
        <w:ind w:left="0"/>
        <w:jc w:val="both"/>
      </w:pPr>
      <w:r>
        <w:rPr>
          <w:rFonts w:ascii="Times New Roman"/>
          <w:b w:val="false"/>
          <w:i w:val="false"/>
          <w:color w:val="000000"/>
          <w:sz w:val="28"/>
        </w:rPr>
        <w:t>
      3626. Помещение аварийного дизель-генератора (с автоматическим пуском) оборудуется автоматическим устройством, обеспечивающим достаточный приток воздуха для работы дизель-генератора с полной нагрузкой во всех условиях эксплуатации при закрытом помещении.</w:t>
      </w:r>
    </w:p>
    <w:bookmarkEnd w:id="10084"/>
    <w:bookmarkStart w:name="z10140" w:id="10085"/>
    <w:p>
      <w:pPr>
        <w:spacing w:after="0"/>
        <w:ind w:left="0"/>
        <w:jc w:val="both"/>
      </w:pPr>
      <w:r>
        <w:rPr>
          <w:rFonts w:ascii="Times New Roman"/>
          <w:b w:val="false"/>
          <w:i w:val="false"/>
          <w:color w:val="000000"/>
          <w:sz w:val="28"/>
        </w:rPr>
        <w:t>
      3627. Помещения, указанные в пункте 2735 настоящих Правил, оборудуются независимой искусственной вытяжной вентиляцией или вентиляционным устройством, которое допускается изолировать от вентиляции машинного помещения. Конструкция вентиляторов должна отвечать требованиям главы 368 настоящих Правил.</w:t>
      </w:r>
    </w:p>
    <w:bookmarkEnd w:id="10085"/>
    <w:bookmarkStart w:name="z10141" w:id="10086"/>
    <w:p>
      <w:pPr>
        <w:spacing w:after="0"/>
        <w:ind w:left="0"/>
        <w:jc w:val="left"/>
      </w:pPr>
      <w:r>
        <w:rPr>
          <w:rFonts w:ascii="Times New Roman"/>
          <w:b/>
          <w:i w:val="false"/>
          <w:color w:val="000000"/>
        </w:rPr>
        <w:t xml:space="preserve"> Глава 293. Вентиляция помещений специальной категории и грузовых помещений, предназначенных для перевозки автотранспорта с топливом в баках, а также закрытых помещений на накатных судах</w:t>
      </w:r>
    </w:p>
    <w:bookmarkEnd w:id="10086"/>
    <w:p>
      <w:pPr>
        <w:spacing w:after="0"/>
        <w:ind w:left="0"/>
        <w:jc w:val="both"/>
      </w:pPr>
      <w:r>
        <w:rPr>
          <w:rFonts w:ascii="Times New Roman"/>
          <w:b w:val="false"/>
          <w:i w:val="false"/>
          <w:color w:val="ff0000"/>
          <w:sz w:val="28"/>
        </w:rPr>
        <w:t xml:space="preserve">
      Сноска. Заголовок главы 293 -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42" w:id="10087"/>
    <w:p>
      <w:pPr>
        <w:spacing w:after="0"/>
        <w:ind w:left="0"/>
        <w:jc w:val="both"/>
      </w:pPr>
      <w:r>
        <w:rPr>
          <w:rFonts w:ascii="Times New Roman"/>
          <w:b w:val="false"/>
          <w:i w:val="false"/>
          <w:color w:val="000000"/>
          <w:sz w:val="28"/>
        </w:rPr>
        <w:t>
      3628. Эти помещения оборудуются системой вытяжной искусственной вентиляции, не зависимой от других систем вентиляции, которая работает на протяжении всего периода нахождения в таких помещениях транспортных средств.</w:t>
      </w:r>
    </w:p>
    <w:bookmarkEnd w:id="10087"/>
    <w:p>
      <w:pPr>
        <w:spacing w:after="0"/>
        <w:ind w:left="0"/>
        <w:jc w:val="both"/>
      </w:pPr>
      <w:r>
        <w:rPr>
          <w:rFonts w:ascii="Times New Roman"/>
          <w:b w:val="false"/>
          <w:i w:val="false"/>
          <w:color w:val="000000"/>
          <w:sz w:val="28"/>
        </w:rPr>
        <w:t>
      Если отдельные помещения имеют эффективные закрытия, каналы вентиляции должны быть отдельными для каждого из них. Вентиляторы управляются извне обслуживающих помещений и обеспечивают, по крайней мере, следующую кратность вентиляции:</w:t>
      </w:r>
    </w:p>
    <w:p>
      <w:pPr>
        <w:spacing w:after="0"/>
        <w:ind w:left="0"/>
        <w:jc w:val="both"/>
      </w:pPr>
      <w:r>
        <w:rPr>
          <w:rFonts w:ascii="Times New Roman"/>
          <w:b w:val="false"/>
          <w:i w:val="false"/>
          <w:color w:val="000000"/>
          <w:sz w:val="28"/>
        </w:rPr>
        <w:t>
      1) 10 воздухообменов в час:</w:t>
      </w:r>
    </w:p>
    <w:p>
      <w:pPr>
        <w:spacing w:after="0"/>
        <w:ind w:left="0"/>
        <w:jc w:val="both"/>
      </w:pPr>
      <w:r>
        <w:rPr>
          <w:rFonts w:ascii="Times New Roman"/>
          <w:b w:val="false"/>
          <w:i w:val="false"/>
          <w:color w:val="000000"/>
          <w:sz w:val="28"/>
        </w:rPr>
        <w:t>
      в грузовых помещениях для перевозки автотранспорта с топливом в баках — на пассажирских судах с числом пассажиров более 36 человек;</w:t>
      </w:r>
    </w:p>
    <w:p>
      <w:pPr>
        <w:spacing w:after="0"/>
        <w:ind w:left="0"/>
        <w:jc w:val="both"/>
      </w:pPr>
      <w:r>
        <w:rPr>
          <w:rFonts w:ascii="Times New Roman"/>
          <w:b w:val="false"/>
          <w:i w:val="false"/>
          <w:color w:val="000000"/>
          <w:sz w:val="28"/>
        </w:rPr>
        <w:t>
      в помещениях специальной категории — на всех пассажирских судах;</w:t>
      </w:r>
    </w:p>
    <w:p>
      <w:pPr>
        <w:spacing w:after="0"/>
        <w:ind w:left="0"/>
        <w:jc w:val="both"/>
      </w:pPr>
      <w:r>
        <w:rPr>
          <w:rFonts w:ascii="Times New Roman"/>
          <w:b w:val="false"/>
          <w:i w:val="false"/>
          <w:color w:val="000000"/>
          <w:sz w:val="28"/>
        </w:rPr>
        <w:t>
      в закрытых грузовых помещениях с горизонтальным способом погрузки с электрооборудованием, отвечающим требованиям параграфа 4 главы 533 настоящих Правил - на всех судах;</w:t>
      </w:r>
    </w:p>
    <w:p>
      <w:pPr>
        <w:spacing w:after="0"/>
        <w:ind w:left="0"/>
        <w:jc w:val="both"/>
      </w:pPr>
      <w:r>
        <w:rPr>
          <w:rFonts w:ascii="Times New Roman"/>
          <w:b w:val="false"/>
          <w:i w:val="false"/>
          <w:color w:val="000000"/>
          <w:sz w:val="28"/>
        </w:rPr>
        <w:t>
      2) 6 воздухообменов в час на всех прочих судах.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3628 -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49" w:id="10088"/>
    <w:p>
      <w:pPr>
        <w:spacing w:after="0"/>
        <w:ind w:left="0"/>
        <w:jc w:val="both"/>
      </w:pPr>
      <w:r>
        <w:rPr>
          <w:rFonts w:ascii="Times New Roman"/>
          <w:b w:val="false"/>
          <w:i w:val="false"/>
          <w:color w:val="000000"/>
          <w:sz w:val="28"/>
        </w:rPr>
        <w:t>
      3629. Вентиляция обеспечивает равномерный воздухообмен и отсутствие застойных зон.</w:t>
      </w:r>
    </w:p>
    <w:bookmarkEnd w:id="10088"/>
    <w:bookmarkStart w:name="z10150" w:id="10089"/>
    <w:p>
      <w:pPr>
        <w:spacing w:after="0"/>
        <w:ind w:left="0"/>
        <w:jc w:val="both"/>
      </w:pPr>
      <w:r>
        <w:rPr>
          <w:rFonts w:ascii="Times New Roman"/>
          <w:b w:val="false"/>
          <w:i w:val="false"/>
          <w:color w:val="000000"/>
          <w:sz w:val="28"/>
        </w:rPr>
        <w:t>
      3630. Система оборудуется приборами, контролирующими подачу и работу вентиляторов. Приборы устанавливаются в рулевой рубке.</w:t>
      </w:r>
    </w:p>
    <w:bookmarkEnd w:id="10089"/>
    <w:bookmarkStart w:name="z10151" w:id="10090"/>
    <w:p>
      <w:pPr>
        <w:spacing w:after="0"/>
        <w:ind w:left="0"/>
        <w:jc w:val="both"/>
      </w:pPr>
      <w:r>
        <w:rPr>
          <w:rFonts w:ascii="Times New Roman"/>
          <w:b w:val="false"/>
          <w:i w:val="false"/>
          <w:color w:val="000000"/>
          <w:sz w:val="28"/>
        </w:rPr>
        <w:t>
      Взамен указанных приборов допускается предусматривать следующие меры:</w:t>
      </w:r>
    </w:p>
    <w:bookmarkEnd w:id="10090"/>
    <w:bookmarkStart w:name="z10152" w:id="10091"/>
    <w:p>
      <w:pPr>
        <w:spacing w:after="0"/>
        <w:ind w:left="0"/>
        <w:jc w:val="both"/>
      </w:pPr>
      <w:r>
        <w:rPr>
          <w:rFonts w:ascii="Times New Roman"/>
          <w:b w:val="false"/>
          <w:i w:val="false"/>
          <w:color w:val="000000"/>
          <w:sz w:val="28"/>
        </w:rPr>
        <w:t>
      1) световая сигнализация о работе каждого вентилятора;</w:t>
      </w:r>
    </w:p>
    <w:bookmarkEnd w:id="10091"/>
    <w:bookmarkStart w:name="z10153" w:id="10092"/>
    <w:p>
      <w:pPr>
        <w:spacing w:after="0"/>
        <w:ind w:left="0"/>
        <w:jc w:val="both"/>
      </w:pPr>
      <w:r>
        <w:rPr>
          <w:rFonts w:ascii="Times New Roman"/>
          <w:b w:val="false"/>
          <w:i w:val="false"/>
          <w:color w:val="000000"/>
          <w:sz w:val="28"/>
        </w:rPr>
        <w:t>
      2) блокировка, согласно которой пуск электродвигателя вентилятора возможен только при открытой крышке вентиляционного канала;</w:t>
      </w:r>
    </w:p>
    <w:bookmarkEnd w:id="10092"/>
    <w:bookmarkStart w:name="z10154" w:id="10093"/>
    <w:p>
      <w:pPr>
        <w:spacing w:after="0"/>
        <w:ind w:left="0"/>
        <w:jc w:val="both"/>
      </w:pPr>
      <w:r>
        <w:rPr>
          <w:rFonts w:ascii="Times New Roman"/>
          <w:b w:val="false"/>
          <w:i w:val="false"/>
          <w:color w:val="000000"/>
          <w:sz w:val="28"/>
        </w:rPr>
        <w:t>
      3) звуковая сигнализация о самопроизвольной остановке электродвигателя вентилятора.</w:t>
      </w:r>
    </w:p>
    <w:bookmarkEnd w:id="10093"/>
    <w:bookmarkStart w:name="z10155" w:id="10094"/>
    <w:p>
      <w:pPr>
        <w:spacing w:after="0"/>
        <w:ind w:left="0"/>
        <w:jc w:val="both"/>
      </w:pPr>
      <w:r>
        <w:rPr>
          <w:rFonts w:ascii="Times New Roman"/>
          <w:b w:val="false"/>
          <w:i w:val="false"/>
          <w:color w:val="000000"/>
          <w:sz w:val="28"/>
        </w:rPr>
        <w:t>
      3631.Конструкция вентиляторов должна отвечать требованиям главы 368 настоящих Правил.</w:t>
      </w:r>
    </w:p>
    <w:bookmarkEnd w:id="10094"/>
    <w:bookmarkStart w:name="z10156" w:id="10095"/>
    <w:p>
      <w:pPr>
        <w:spacing w:after="0"/>
        <w:ind w:left="0"/>
        <w:jc w:val="both"/>
      </w:pPr>
      <w:r>
        <w:rPr>
          <w:rFonts w:ascii="Times New Roman"/>
          <w:b w:val="false"/>
          <w:i w:val="false"/>
          <w:color w:val="000000"/>
          <w:sz w:val="28"/>
        </w:rPr>
        <w:t>
      3632. Предусматриваются устройства для надежного закрытия системы вентиляции при пожаре.</w:t>
      </w:r>
    </w:p>
    <w:bookmarkEnd w:id="10095"/>
    <w:bookmarkStart w:name="z10157" w:id="10096"/>
    <w:p>
      <w:pPr>
        <w:spacing w:after="0"/>
        <w:ind w:left="0"/>
        <w:jc w:val="both"/>
      </w:pPr>
      <w:r>
        <w:rPr>
          <w:rFonts w:ascii="Times New Roman"/>
          <w:b w:val="false"/>
          <w:i w:val="false"/>
          <w:color w:val="000000"/>
          <w:sz w:val="28"/>
        </w:rPr>
        <w:t>
      3633. Вентиляционные каналы и их закрытия изготавливаются из стали.</w:t>
      </w:r>
    </w:p>
    <w:bookmarkEnd w:id="10096"/>
    <w:bookmarkStart w:name="z10158" w:id="10097"/>
    <w:p>
      <w:pPr>
        <w:spacing w:after="0"/>
        <w:ind w:left="0"/>
        <w:jc w:val="both"/>
      </w:pPr>
      <w:r>
        <w:rPr>
          <w:rFonts w:ascii="Times New Roman"/>
          <w:b w:val="false"/>
          <w:i w:val="false"/>
          <w:color w:val="000000"/>
          <w:sz w:val="28"/>
        </w:rPr>
        <w:t>
      3634. Вентиляционные каналы помещений специальных категорий, проходящие через другие помещения специальных категорий, изготавливают из стали. Если такие вентиляционные каналы проходят через помещения специальных категорий, которые не являются частью той же горизонтальной зоны, то предусматривается их изоляция типа А-60. Вентиляционные каналы не должны проходить через машинные помещения, если они не являются конструкцией типа А-60.</w:t>
      </w:r>
    </w:p>
    <w:bookmarkEnd w:id="10097"/>
    <w:bookmarkStart w:name="z10159" w:id="10098"/>
    <w:p>
      <w:pPr>
        <w:spacing w:after="0"/>
        <w:ind w:left="0"/>
        <w:jc w:val="left"/>
      </w:pPr>
      <w:r>
        <w:rPr>
          <w:rFonts w:ascii="Times New Roman"/>
          <w:b/>
          <w:i w:val="false"/>
          <w:color w:val="000000"/>
        </w:rPr>
        <w:t xml:space="preserve"> Глава 294. Вентиляция грузовых помещений, приспособленных для перевозки опасных грузов1</w:t>
      </w:r>
    </w:p>
    <w:bookmarkEnd w:id="10098"/>
    <w:p>
      <w:pPr>
        <w:spacing w:after="0"/>
        <w:ind w:left="0"/>
        <w:jc w:val="both"/>
      </w:pPr>
      <w:r>
        <w:rPr>
          <w:rFonts w:ascii="Times New Roman"/>
          <w:b w:val="false"/>
          <w:i w:val="false"/>
          <w:color w:val="ff0000"/>
          <w:sz w:val="28"/>
        </w:rPr>
        <w:t xml:space="preserve">
      Сноска. Заголовок главы 294 -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60" w:id="10099"/>
    <w:p>
      <w:pPr>
        <w:spacing w:after="0"/>
        <w:ind w:left="0"/>
        <w:jc w:val="both"/>
      </w:pPr>
      <w:r>
        <w:rPr>
          <w:rFonts w:ascii="Times New Roman"/>
          <w:b w:val="false"/>
          <w:i w:val="false"/>
          <w:color w:val="000000"/>
          <w:sz w:val="28"/>
        </w:rPr>
        <w:t>
      3635. Закрытые грузовые помещения в случаях, оговоренных в пункте 2628 настоящих Правил, оборудуют отдельной для каждого помещения искусственной вытяжной вентиляцией кратностью не менее 6 воздухообменов в час по объему порожнего грузового помещения.</w:t>
      </w:r>
    </w:p>
    <w:bookmarkEnd w:id="10099"/>
    <w:bookmarkStart w:name="z10161" w:id="10100"/>
    <w:p>
      <w:pPr>
        <w:spacing w:after="0"/>
        <w:ind w:left="0"/>
        <w:jc w:val="both"/>
      </w:pPr>
      <w:r>
        <w:rPr>
          <w:rFonts w:ascii="Times New Roman"/>
          <w:b w:val="false"/>
          <w:i w:val="false"/>
          <w:color w:val="000000"/>
          <w:sz w:val="28"/>
        </w:rPr>
        <w:t>
      Приточная вентиляция этих помещений может быть естественной.</w:t>
      </w:r>
    </w:p>
    <w:bookmarkEnd w:id="10100"/>
    <w:bookmarkStart w:name="z10162" w:id="10101"/>
    <w:p>
      <w:pPr>
        <w:spacing w:after="0"/>
        <w:ind w:left="0"/>
        <w:jc w:val="both"/>
      </w:pPr>
      <w:r>
        <w:rPr>
          <w:rFonts w:ascii="Times New Roman"/>
          <w:b w:val="false"/>
          <w:i w:val="false"/>
          <w:color w:val="000000"/>
          <w:sz w:val="28"/>
        </w:rPr>
        <w:t>
      По согласованию с Регистром судоходства допускается искусственная приточная и естественная вытяжная вентиляция.</w:t>
      </w:r>
    </w:p>
    <w:bookmarkEnd w:id="10101"/>
    <w:bookmarkStart w:name="z10163" w:id="10102"/>
    <w:p>
      <w:pPr>
        <w:spacing w:after="0"/>
        <w:ind w:left="0"/>
        <w:jc w:val="both"/>
      </w:pPr>
      <w:r>
        <w:rPr>
          <w:rFonts w:ascii="Times New Roman"/>
          <w:b w:val="false"/>
          <w:i w:val="false"/>
          <w:color w:val="000000"/>
          <w:sz w:val="28"/>
        </w:rPr>
        <w:t>
      Кратность вентиляции допускается уменьшать с учетом способа перевозки (примечание 1 к приложению 284 настоящих Правил).</w:t>
      </w:r>
    </w:p>
    <w:bookmarkEnd w:id="10102"/>
    <w:bookmarkStart w:name="z10164" w:id="10103"/>
    <w:p>
      <w:pPr>
        <w:spacing w:after="0"/>
        <w:ind w:left="0"/>
        <w:jc w:val="both"/>
      </w:pPr>
      <w:r>
        <w:rPr>
          <w:rFonts w:ascii="Times New Roman"/>
          <w:b w:val="false"/>
          <w:i w:val="false"/>
          <w:color w:val="000000"/>
          <w:sz w:val="28"/>
        </w:rPr>
        <w:t>
      3636. Для закрытых грузовых помещений, предназначенных для перевозки опасных грузов навалом, требуется, по крайней мере, естественная вентиляция согласно подпункту 3) пункта 2632 настоящих Правил.</w:t>
      </w:r>
    </w:p>
    <w:bookmarkEnd w:id="10103"/>
    <w:bookmarkStart w:name="z10165" w:id="10104"/>
    <w:p>
      <w:pPr>
        <w:spacing w:after="0"/>
        <w:ind w:left="0"/>
        <w:jc w:val="both"/>
      </w:pPr>
      <w:r>
        <w:rPr>
          <w:rFonts w:ascii="Times New Roman"/>
          <w:b w:val="false"/>
          <w:i w:val="false"/>
          <w:color w:val="000000"/>
          <w:sz w:val="28"/>
        </w:rPr>
        <w:t>
      Однако, когда по условиям перевозки необходимо иметь искусственную систему вентиляции, установку стационарной системы допускается не предусматривать, если используется переносная вентиляционная установка, обеспечивающая необходимую эффективность вентиляции.</w:t>
      </w:r>
    </w:p>
    <w:bookmarkEnd w:id="10104"/>
    <w:bookmarkStart w:name="z10166" w:id="10105"/>
    <w:p>
      <w:pPr>
        <w:spacing w:after="0"/>
        <w:ind w:left="0"/>
        <w:jc w:val="both"/>
      </w:pPr>
      <w:r>
        <w:rPr>
          <w:rFonts w:ascii="Times New Roman"/>
          <w:b w:val="false"/>
          <w:i w:val="false"/>
          <w:color w:val="000000"/>
          <w:sz w:val="28"/>
        </w:rPr>
        <w:t>
      3637. Вентиляция обеспечивает равномерный воздухообмен в грузовом помещении и отсутствие застойных зон.</w:t>
      </w:r>
    </w:p>
    <w:bookmarkEnd w:id="10105"/>
    <w:bookmarkStart w:name="z10167" w:id="10106"/>
    <w:p>
      <w:pPr>
        <w:spacing w:after="0"/>
        <w:ind w:left="0"/>
        <w:jc w:val="both"/>
      </w:pPr>
      <w:r>
        <w:rPr>
          <w:rFonts w:ascii="Times New Roman"/>
          <w:b w:val="false"/>
          <w:i w:val="false"/>
          <w:color w:val="000000"/>
          <w:sz w:val="28"/>
        </w:rPr>
        <w:t>
      Система вентиляции обеспечивает удаление паров опасных грузов из верхней или нижней части грузового помещения в зависимости от плотности паров груза относительно воздуха.</w:t>
      </w:r>
    </w:p>
    <w:bookmarkEnd w:id="10106"/>
    <w:bookmarkStart w:name="z10168" w:id="10107"/>
    <w:p>
      <w:pPr>
        <w:spacing w:after="0"/>
        <w:ind w:left="0"/>
        <w:jc w:val="both"/>
      </w:pPr>
      <w:r>
        <w:rPr>
          <w:rFonts w:ascii="Times New Roman"/>
          <w:b w:val="false"/>
          <w:i w:val="false"/>
          <w:color w:val="000000"/>
          <w:sz w:val="28"/>
        </w:rPr>
        <w:t>
      3638. Конструкция вентиляторов должна отвечать требованиям главы 368 настоящих Правил.</w:t>
      </w:r>
    </w:p>
    <w:bookmarkEnd w:id="10107"/>
    <w:bookmarkStart w:name="z10169" w:id="10108"/>
    <w:p>
      <w:pPr>
        <w:spacing w:after="0"/>
        <w:ind w:left="0"/>
        <w:jc w:val="both"/>
      </w:pPr>
      <w:r>
        <w:rPr>
          <w:rFonts w:ascii="Times New Roman"/>
          <w:b w:val="false"/>
          <w:i w:val="false"/>
          <w:color w:val="000000"/>
          <w:sz w:val="28"/>
        </w:rPr>
        <w:t>
      Электродвигатели вентиляторов должны быть взрывозащищенного исполнения. Размещение их в потоке вытяжных газов не рекомендуется.</w:t>
      </w:r>
    </w:p>
    <w:bookmarkEnd w:id="10108"/>
    <w:bookmarkStart w:name="z10170" w:id="10109"/>
    <w:p>
      <w:pPr>
        <w:spacing w:after="0"/>
        <w:ind w:left="0"/>
        <w:jc w:val="both"/>
      </w:pPr>
      <w:r>
        <w:rPr>
          <w:rFonts w:ascii="Times New Roman"/>
          <w:b w:val="false"/>
          <w:i w:val="false"/>
          <w:color w:val="000000"/>
          <w:sz w:val="28"/>
        </w:rPr>
        <w:t>
      Приемные и выходные вентиляционные отверстия ограждают сеткой размером ячеи 13 х 13 мм.</w:t>
      </w:r>
    </w:p>
    <w:bookmarkEnd w:id="10109"/>
    <w:bookmarkStart w:name="z10171" w:id="10110"/>
    <w:p>
      <w:pPr>
        <w:spacing w:after="0"/>
        <w:ind w:left="0"/>
        <w:jc w:val="both"/>
      </w:pPr>
      <w:r>
        <w:rPr>
          <w:rFonts w:ascii="Times New Roman"/>
          <w:b w:val="false"/>
          <w:i w:val="false"/>
          <w:color w:val="000000"/>
          <w:sz w:val="28"/>
        </w:rPr>
        <w:t>
      3639. Вентиляционные головки вытяжной вентиляции грузовых помещений, приспособленных для перевозки опасных грузов, выделяющих легковоспламеняющиеся и токсичные пары или газы, располагают так, чтобы выходящие через них пары или газы не попадали в другие судовые помещения.</w:t>
      </w:r>
    </w:p>
    <w:bookmarkEnd w:id="10110"/>
    <w:bookmarkStart w:name="z10172" w:id="10111"/>
    <w:p>
      <w:pPr>
        <w:spacing w:after="0"/>
        <w:ind w:left="0"/>
        <w:jc w:val="both"/>
      </w:pPr>
      <w:r>
        <w:rPr>
          <w:rFonts w:ascii="Times New Roman"/>
          <w:b w:val="false"/>
          <w:i w:val="false"/>
          <w:color w:val="000000"/>
          <w:sz w:val="28"/>
        </w:rPr>
        <w:t>
      3640. Помещения осушительных насосов, обслуживающих грузовые помещения для перевозки опасных грузов, оборудуют отдельной искусственной вытяжкой вентиляцией, кратностью не менее 6 воздухообменов в час.</w:t>
      </w:r>
    </w:p>
    <w:bookmarkEnd w:id="10111"/>
    <w:bookmarkStart w:name="z10173" w:id="10112"/>
    <w:p>
      <w:pPr>
        <w:spacing w:after="0"/>
        <w:ind w:left="0"/>
        <w:jc w:val="both"/>
      </w:pPr>
      <w:r>
        <w:rPr>
          <w:rFonts w:ascii="Times New Roman"/>
          <w:b w:val="false"/>
          <w:i w:val="false"/>
          <w:color w:val="000000"/>
          <w:sz w:val="28"/>
        </w:rPr>
        <w:t>
      3641. При перевозке грузов, способных образовывать взрывоопасные смеси с воздухом, и грузов, подверженных самопроизвольному возгоранию, устанавливается два стационарных или переносных вентилятора взрывобезопасного исполнения общей производительностью, равной 6 воздухообменам в час.</w:t>
      </w:r>
    </w:p>
    <w:bookmarkEnd w:id="10112"/>
    <w:bookmarkStart w:name="z10174" w:id="10113"/>
    <w:p>
      <w:pPr>
        <w:spacing w:after="0"/>
        <w:ind w:left="0"/>
        <w:jc w:val="both"/>
      </w:pPr>
      <w:r>
        <w:rPr>
          <w:rFonts w:ascii="Times New Roman"/>
          <w:b w:val="false"/>
          <w:i w:val="false"/>
          <w:color w:val="000000"/>
          <w:sz w:val="28"/>
        </w:rPr>
        <w:t>
      3642. Система вентиляции судов, перевозящих упакованное отработавшее ядерное топливо, плутоний и высокорадиоактивные отходы (грузы ОЯТ — пункт 2624 настоящих Правил), должна отвечать следующим требованиям:</w:t>
      </w:r>
    </w:p>
    <w:bookmarkEnd w:id="10113"/>
    <w:bookmarkStart w:name="z10175" w:id="10114"/>
    <w:p>
      <w:pPr>
        <w:spacing w:after="0"/>
        <w:ind w:left="0"/>
        <w:jc w:val="both"/>
      </w:pPr>
      <w:r>
        <w:rPr>
          <w:rFonts w:ascii="Times New Roman"/>
          <w:b w:val="false"/>
          <w:i w:val="false"/>
          <w:color w:val="000000"/>
          <w:sz w:val="28"/>
        </w:rPr>
        <w:t xml:space="preserve">
      1) предусматривается достаточная вентиляция или охлаждение закрытых грузовых помещений, с тем, чтобы в любое время средняя температура окружающей среды в этих помещениях не превышала 55 </w:t>
      </w:r>
      <w:r>
        <w:rPr>
          <w:rFonts w:ascii="Times New Roman"/>
          <w:b w:val="false"/>
          <w:i w:val="false"/>
          <w:color w:val="000000"/>
          <w:vertAlign w:val="superscript"/>
        </w:rPr>
        <w:t>о</w:t>
      </w:r>
      <w:r>
        <w:rPr>
          <w:rFonts w:ascii="Times New Roman"/>
          <w:b w:val="false"/>
          <w:i w:val="false"/>
          <w:color w:val="000000"/>
          <w:sz w:val="28"/>
        </w:rPr>
        <w:t>С;</w:t>
      </w:r>
    </w:p>
    <w:bookmarkEnd w:id="10114"/>
    <w:bookmarkStart w:name="z10176" w:id="10115"/>
    <w:p>
      <w:pPr>
        <w:spacing w:after="0"/>
        <w:ind w:left="0"/>
        <w:jc w:val="both"/>
      </w:pPr>
      <w:r>
        <w:rPr>
          <w:rFonts w:ascii="Times New Roman"/>
          <w:b w:val="false"/>
          <w:i w:val="false"/>
          <w:color w:val="000000"/>
          <w:sz w:val="28"/>
        </w:rPr>
        <w:t>
      2) системы вентиляции или охлаждения, обслуживающие грузовые помещения, предназначенные для перевозки груза ОЯТ, должны быть независимыми от аналогичных систем, обслуживающих другие помещения; и</w:t>
      </w:r>
    </w:p>
    <w:bookmarkEnd w:id="10115"/>
    <w:bookmarkStart w:name="z10177" w:id="10116"/>
    <w:p>
      <w:pPr>
        <w:spacing w:after="0"/>
        <w:ind w:left="0"/>
        <w:jc w:val="both"/>
      </w:pPr>
      <w:r>
        <w:rPr>
          <w:rFonts w:ascii="Times New Roman"/>
          <w:b w:val="false"/>
          <w:i w:val="false"/>
          <w:color w:val="000000"/>
          <w:sz w:val="28"/>
        </w:rPr>
        <w:t>
      3) необходимое для эксплуатации оборудование, такое как вентиляторы, компрессоры, теплообменные аппараты, системы подачи охлаждающей жидкости, дублируются для каждого грузового помещения.</w:t>
      </w:r>
    </w:p>
    <w:bookmarkEnd w:id="10116"/>
    <w:bookmarkStart w:name="z10178" w:id="10117"/>
    <w:p>
      <w:pPr>
        <w:spacing w:after="0"/>
        <w:ind w:left="0"/>
        <w:jc w:val="both"/>
      </w:pPr>
      <w:r>
        <w:rPr>
          <w:rFonts w:ascii="Times New Roman"/>
          <w:b w:val="false"/>
          <w:i w:val="false"/>
          <w:color w:val="000000"/>
          <w:sz w:val="28"/>
        </w:rPr>
        <w:t>
      3643. Искусственная вентиляция открытых контейнерных трюмов должна осуществляется с помощью специальных каналов из нижних частей грузовых трюмов. Кратность вентиляции должна быть не менее 2 воздухообменов в час, исходя из объема пустого трюма ниже верхней палубы.</w:t>
      </w:r>
    </w:p>
    <w:bookmarkEnd w:id="10117"/>
    <w:bookmarkStart w:name="z10179" w:id="101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Опасные грузы – определение приведено в пункте 6 настоящих Правил.</w:t>
      </w:r>
    </w:p>
    <w:bookmarkEnd w:id="10118"/>
    <w:bookmarkStart w:name="z10180" w:id="10119"/>
    <w:p>
      <w:pPr>
        <w:spacing w:after="0"/>
        <w:ind w:left="0"/>
        <w:jc w:val="left"/>
      </w:pPr>
      <w:r>
        <w:rPr>
          <w:rFonts w:ascii="Times New Roman"/>
          <w:b/>
          <w:i w:val="false"/>
          <w:color w:val="000000"/>
        </w:rPr>
        <w:t xml:space="preserve"> Глава 295. Вентиляция охлаждаемых помещений, станций пенотушения</w:t>
      </w:r>
    </w:p>
    <w:bookmarkEnd w:id="10119"/>
    <w:p>
      <w:pPr>
        <w:spacing w:after="0"/>
        <w:ind w:left="0"/>
        <w:jc w:val="both"/>
      </w:pPr>
      <w:r>
        <w:rPr>
          <w:rFonts w:ascii="Times New Roman"/>
          <w:b w:val="false"/>
          <w:i w:val="false"/>
          <w:color w:val="ff0000"/>
          <w:sz w:val="28"/>
        </w:rPr>
        <w:t xml:space="preserve">
      Сноска. Заголовок главы 295 -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81" w:id="10120"/>
    <w:p>
      <w:pPr>
        <w:spacing w:after="0"/>
        <w:ind w:left="0"/>
        <w:jc w:val="both"/>
      </w:pPr>
      <w:r>
        <w:rPr>
          <w:rFonts w:ascii="Times New Roman"/>
          <w:b w:val="false"/>
          <w:i w:val="false"/>
          <w:color w:val="000000"/>
          <w:sz w:val="28"/>
        </w:rPr>
        <w:t>
      3644. Требования к вентиляции охлаждаемых помещений приведены в пунктах 5987 – 5990 настоящих Правил.</w:t>
      </w:r>
    </w:p>
    <w:bookmarkEnd w:id="10120"/>
    <w:bookmarkStart w:name="z10182" w:id="10121"/>
    <w:p>
      <w:pPr>
        <w:spacing w:after="0"/>
        <w:ind w:left="0"/>
        <w:jc w:val="both"/>
      </w:pPr>
      <w:r>
        <w:rPr>
          <w:rFonts w:ascii="Times New Roman"/>
          <w:b w:val="false"/>
          <w:i w:val="false"/>
          <w:color w:val="000000"/>
          <w:sz w:val="28"/>
        </w:rPr>
        <w:t>
      3645. Станции пенотушения и объемного тушения, расположенные под верхней палубой или в которые не обеспечен доступ с открытой палубы, оборудуют эффективной независимой вентиляцией производительностью не менее 6 обменов в час.</w:t>
      </w:r>
    </w:p>
    <w:bookmarkEnd w:id="10121"/>
    <w:bookmarkStart w:name="z10183" w:id="10122"/>
    <w:p>
      <w:pPr>
        <w:spacing w:after="0"/>
        <w:ind w:left="0"/>
        <w:jc w:val="both"/>
      </w:pPr>
      <w:r>
        <w:rPr>
          <w:rFonts w:ascii="Times New Roman"/>
          <w:b w:val="false"/>
          <w:i w:val="false"/>
          <w:color w:val="000000"/>
          <w:sz w:val="28"/>
        </w:rPr>
        <w:t>
      Станции тушения углекислым газом оборудуются независимой системой вытяжной и приточной вентиляции. Приемные отверстия вытяжных каналов располагаются в нижних зонах помещений станций.</w:t>
      </w:r>
    </w:p>
    <w:bookmarkEnd w:id="10122"/>
    <w:bookmarkStart w:name="z10184" w:id="10123"/>
    <w:p>
      <w:pPr>
        <w:spacing w:after="0"/>
        <w:ind w:left="0"/>
        <w:jc w:val="both"/>
      </w:pPr>
      <w:r>
        <w:rPr>
          <w:rFonts w:ascii="Times New Roman"/>
          <w:b w:val="false"/>
          <w:i w:val="false"/>
          <w:color w:val="000000"/>
          <w:sz w:val="28"/>
        </w:rPr>
        <w:t>
      3646. Станции системы высокократного пенотушения оборудуют устройством, обеспечивающим поступление воздуха в количестве, достаточном для работы пеногенераторов.</w:t>
      </w:r>
    </w:p>
    <w:bookmarkEnd w:id="10123"/>
    <w:bookmarkStart w:name="z10762" w:id="10124"/>
    <w:p>
      <w:pPr>
        <w:spacing w:after="0"/>
        <w:ind w:left="0"/>
        <w:jc w:val="left"/>
      </w:pPr>
      <w:r>
        <w:rPr>
          <w:rFonts w:ascii="Times New Roman"/>
          <w:b/>
          <w:i w:val="false"/>
          <w:color w:val="000000"/>
        </w:rPr>
        <w:t xml:space="preserve"> Глава 296. Вентиляция аккумуляторных помещений и ящиков</w:t>
      </w:r>
    </w:p>
    <w:bookmarkEnd w:id="10124"/>
    <w:p>
      <w:pPr>
        <w:spacing w:after="0"/>
        <w:ind w:left="0"/>
        <w:jc w:val="both"/>
      </w:pPr>
      <w:r>
        <w:rPr>
          <w:rFonts w:ascii="Times New Roman"/>
          <w:b w:val="false"/>
          <w:i w:val="false"/>
          <w:color w:val="ff0000"/>
          <w:sz w:val="28"/>
        </w:rPr>
        <w:t xml:space="preserve">
      Сноска. Заголовок главы 296 -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85" w:id="10125"/>
    <w:p>
      <w:pPr>
        <w:spacing w:after="0"/>
        <w:ind w:left="0"/>
        <w:jc w:val="both"/>
      </w:pPr>
      <w:r>
        <w:rPr>
          <w:rFonts w:ascii="Times New Roman"/>
          <w:b w:val="false"/>
          <w:i w:val="false"/>
          <w:color w:val="000000"/>
          <w:sz w:val="28"/>
        </w:rPr>
        <w:t>
      3647. Система вентиляции аккумуляторных помещений и ящиков должна быть независимой и обеспечивать удаление воздуха из верхней зоны вентилируемых помещений.</w:t>
      </w:r>
    </w:p>
    <w:bookmarkEnd w:id="10125"/>
    <w:bookmarkStart w:name="z10186" w:id="10126"/>
    <w:p>
      <w:pPr>
        <w:spacing w:after="0"/>
        <w:ind w:left="0"/>
        <w:jc w:val="both"/>
      </w:pPr>
      <w:r>
        <w:rPr>
          <w:rFonts w:ascii="Times New Roman"/>
          <w:b w:val="false"/>
          <w:i w:val="false"/>
          <w:color w:val="000000"/>
          <w:sz w:val="28"/>
        </w:rPr>
        <w:t>
      Каналы вытяжной вентиляции должны быть газонепроницаемыми.</w:t>
      </w:r>
    </w:p>
    <w:bookmarkEnd w:id="10126"/>
    <w:bookmarkStart w:name="z10187" w:id="10127"/>
    <w:p>
      <w:pPr>
        <w:spacing w:after="0"/>
        <w:ind w:left="0"/>
        <w:jc w:val="both"/>
      </w:pPr>
      <w:r>
        <w:rPr>
          <w:rFonts w:ascii="Times New Roman"/>
          <w:b w:val="false"/>
          <w:i w:val="false"/>
          <w:color w:val="000000"/>
          <w:sz w:val="28"/>
        </w:rPr>
        <w:t>
      3648. Приточный воздух подводится в нижнюю зону вентилируемого помещения.</w:t>
      </w:r>
    </w:p>
    <w:bookmarkEnd w:id="10127"/>
    <w:bookmarkStart w:name="z10188" w:id="10128"/>
    <w:p>
      <w:pPr>
        <w:spacing w:after="0"/>
        <w:ind w:left="0"/>
        <w:jc w:val="both"/>
      </w:pPr>
      <w:r>
        <w:rPr>
          <w:rFonts w:ascii="Times New Roman"/>
          <w:b w:val="false"/>
          <w:i w:val="false"/>
          <w:color w:val="000000"/>
          <w:sz w:val="28"/>
        </w:rPr>
        <w:t>
      3649. Наружные концы каналов выполняются таким образом, чтобы исключалась возможность попадания в них морской воды, атмосферных осадков и твердых тел.</w:t>
      </w:r>
    </w:p>
    <w:bookmarkEnd w:id="10128"/>
    <w:bookmarkStart w:name="z10189" w:id="10129"/>
    <w:p>
      <w:pPr>
        <w:spacing w:after="0"/>
        <w:ind w:left="0"/>
        <w:jc w:val="both"/>
      </w:pPr>
      <w:r>
        <w:rPr>
          <w:rFonts w:ascii="Times New Roman"/>
          <w:b w:val="false"/>
          <w:i w:val="false"/>
          <w:color w:val="000000"/>
          <w:sz w:val="28"/>
        </w:rPr>
        <w:t>
      Пламепрерывающая арматура не устанавливается.</w:t>
      </w:r>
    </w:p>
    <w:bookmarkEnd w:id="10129"/>
    <w:bookmarkStart w:name="z10190" w:id="10130"/>
    <w:p>
      <w:pPr>
        <w:spacing w:after="0"/>
        <w:ind w:left="0"/>
        <w:jc w:val="both"/>
      </w:pPr>
      <w:r>
        <w:rPr>
          <w:rFonts w:ascii="Times New Roman"/>
          <w:b w:val="false"/>
          <w:i w:val="false"/>
          <w:color w:val="000000"/>
          <w:sz w:val="28"/>
        </w:rPr>
        <w:t>
      Отверстия вытяжных вентиляционных каналов выводятся в места, где выходящие газы не представляют пожарной опасности.</w:t>
      </w:r>
    </w:p>
    <w:bookmarkEnd w:id="10130"/>
    <w:bookmarkStart w:name="z10191" w:id="10131"/>
    <w:p>
      <w:pPr>
        <w:spacing w:after="0"/>
        <w:ind w:left="0"/>
        <w:jc w:val="both"/>
      </w:pPr>
      <w:r>
        <w:rPr>
          <w:rFonts w:ascii="Times New Roman"/>
          <w:b w:val="false"/>
          <w:i w:val="false"/>
          <w:color w:val="000000"/>
          <w:sz w:val="28"/>
        </w:rPr>
        <w:t>
      3650. Вентиляция аккумуляторных ящиков зарядной мощностью батарей, не превышающей 2,0-10</w:t>
      </w:r>
      <w:r>
        <w:rPr>
          <w:rFonts w:ascii="Times New Roman"/>
          <w:b w:val="false"/>
          <w:i w:val="false"/>
          <w:color w:val="000000"/>
          <w:vertAlign w:val="superscript"/>
        </w:rPr>
        <w:t>2</w:t>
      </w:r>
      <w:r>
        <w:rPr>
          <w:rFonts w:ascii="Times New Roman"/>
          <w:b w:val="false"/>
          <w:i w:val="false"/>
          <w:color w:val="000000"/>
          <w:sz w:val="28"/>
        </w:rPr>
        <w:t xml:space="preserve"> Вт, допускается осуществлять через отверстия в нижней и верхней частях ящика, обеспечивающие удаление газов.</w:t>
      </w:r>
    </w:p>
    <w:bookmarkEnd w:id="10131"/>
    <w:bookmarkStart w:name="z10192" w:id="10132"/>
    <w:p>
      <w:pPr>
        <w:spacing w:after="0"/>
        <w:ind w:left="0"/>
        <w:jc w:val="both"/>
      </w:pPr>
      <w:r>
        <w:rPr>
          <w:rFonts w:ascii="Times New Roman"/>
          <w:b w:val="false"/>
          <w:i w:val="false"/>
          <w:color w:val="000000"/>
          <w:sz w:val="28"/>
        </w:rPr>
        <w:t xml:space="preserve">
      3651. Расход воздуха </w:t>
      </w:r>
    </w:p>
    <w:bookmarkEnd w:id="10132"/>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3"/>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 при вентиляции аккумуляторного помещения или ящика должен быть не менее определяемого по формуле</w:t>
      </w:r>
      <w:r>
        <w:br/>
      </w:r>
      <w:r>
        <w:rPr>
          <w:rFonts w:ascii="Times New Roman"/>
          <w:b w:val="false"/>
          <w:i w:val="false"/>
          <w:color w:val="000000"/>
          <w:sz w:val="28"/>
        </w:rPr>
        <w:t>
</w:t>
      </w:r>
      <w:r>
        <w:br/>
      </w:r>
    </w:p>
    <w:p>
      <w:pPr>
        <w:spacing w:after="0"/>
        <w:ind w:left="0"/>
        <w:jc w:val="both"/>
      </w:pPr>
      <w:r>
        <w:drawing>
          <wp:inline distT="0" distB="0" distL="0" distR="0">
            <wp:extent cx="1384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4"/>
                    <a:stretch>
                      <a:fillRect/>
                    </a:stretch>
                  </pic:blipFill>
                  <pic:spPr>
                    <a:xfrm>
                      <a:off x="0" y="0"/>
                      <a:ext cx="1384300" cy="279400"/>
                    </a:xfrm>
                    <a:prstGeom prst="rect">
                      <a:avLst/>
                    </a:prstGeom>
                  </pic:spPr>
                </pic:pic>
              </a:graphicData>
            </a:graphic>
          </wp:inline>
        </w:drawing>
      </w:r>
    </w:p>
    <w:p>
      <w:pPr>
        <w:spacing w:after="0"/>
        <w:ind w:left="0"/>
        <w:jc w:val="left"/>
      </w:pPr>
      <w:r>
        <w:rPr>
          <w:rFonts w:ascii="Times New Roman"/>
          <w:b w:val="false"/>
          <w:i w:val="false"/>
          <w:color w:val="000000"/>
          <w:sz w:val="28"/>
        </w:rPr>
        <w:t>,                      (774)</w:t>
      </w:r>
      <w:r>
        <w:br/>
      </w:r>
      <w:r>
        <w:rPr>
          <w:rFonts w:ascii="Times New Roman"/>
          <w:b w:val="false"/>
          <w:i w:val="false"/>
          <w:color w:val="000000"/>
          <w:sz w:val="28"/>
        </w:rPr>
        <w:t>
</w:t>
      </w:r>
    </w:p>
    <w:bookmarkStart w:name="z10193" w:id="10133"/>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sz w:val="28"/>
        </w:rPr>
        <w:t xml:space="preserve"> — максимальный зарядный ток во время выделения газов, но не менее 0,25 максимального тока зарядного устройства, А; </w:t>
      </w:r>
    </w:p>
    <w:bookmarkEnd w:id="10133"/>
    <w:bookmarkStart w:name="z10194" w:id="1013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элементов батареи.</w:t>
      </w:r>
    </w:p>
    <w:bookmarkEnd w:id="10134"/>
    <w:bookmarkStart w:name="z10195" w:id="10135"/>
    <w:p>
      <w:pPr>
        <w:spacing w:after="0"/>
        <w:ind w:left="0"/>
        <w:jc w:val="both"/>
      </w:pPr>
      <w:r>
        <w:rPr>
          <w:rFonts w:ascii="Times New Roman"/>
          <w:b w:val="false"/>
          <w:i w:val="false"/>
          <w:color w:val="000000"/>
          <w:sz w:val="28"/>
        </w:rPr>
        <w:t xml:space="preserve">
      3652. Сечение канала </w:t>
      </w:r>
      <w:r>
        <w:rPr>
          <w:rFonts w:ascii="Times New Roman"/>
          <w:b w:val="false"/>
          <w:i/>
          <w:color w:val="000000"/>
          <w:sz w:val="28"/>
        </w:rPr>
        <w:t>F</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естественной вытяжной вентиляции аккумуляторных помещений и ящиков должно быть не менее определяемого по формуле</w:t>
      </w:r>
    </w:p>
    <w:bookmarkEnd w:id="10135"/>
    <w:p>
      <w:pPr>
        <w:spacing w:after="0"/>
        <w:ind w:left="0"/>
        <w:jc w:val="both"/>
      </w:pPr>
      <w:r>
        <w:rPr>
          <w:rFonts w:ascii="Times New Roman"/>
          <w:b w:val="false"/>
          <w:i w:val="false"/>
          <w:color w:val="000000"/>
          <w:sz w:val="28"/>
        </w:rPr>
        <w:t>
      F=l,04</w:t>
      </w:r>
    </w:p>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5"/>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(775)</w:t>
      </w:r>
      <w:r>
        <w:br/>
      </w:r>
      <w:r>
        <w:rPr>
          <w:rFonts w:ascii="Times New Roman"/>
          <w:b w:val="false"/>
          <w:i w:val="false"/>
          <w:color w:val="000000"/>
          <w:sz w:val="28"/>
        </w:rPr>
        <w:t>
</w:t>
      </w:r>
    </w:p>
    <w:bookmarkStart w:name="z10196" w:id="10136"/>
    <w:p>
      <w:pPr>
        <w:spacing w:after="0"/>
        <w:ind w:left="0"/>
        <w:jc w:val="both"/>
      </w:pPr>
      <w:r>
        <w:rPr>
          <w:rFonts w:ascii="Times New Roman"/>
          <w:b w:val="false"/>
          <w:i w:val="false"/>
          <w:color w:val="000000"/>
          <w:sz w:val="28"/>
        </w:rPr>
        <w:t xml:space="preserve">
      где </w:t>
      </w:r>
    </w:p>
    <w:bookmarkEnd w:id="10136"/>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6"/>
                    <a:stretch>
                      <a:fillRect/>
                    </a:stretch>
                  </pic:blipFill>
                  <pic:spPr>
                    <a:xfrm>
                      <a:off x="0" y="0"/>
                      <a:ext cx="177800" cy="266700"/>
                    </a:xfrm>
                    <a:prstGeom prst="rect">
                      <a:avLst/>
                    </a:prstGeom>
                  </pic:spPr>
                </pic:pic>
              </a:graphicData>
            </a:graphic>
          </wp:inline>
        </w:drawing>
      </w:r>
    </w:p>
    <w:p>
      <w:pPr>
        <w:spacing w:after="0"/>
        <w:ind w:left="0"/>
        <w:jc w:val="left"/>
      </w:pPr>
      <w:r>
        <w:rPr>
          <w:rFonts w:ascii="Times New Roman"/>
          <w:b w:val="false"/>
          <w:i w:val="false"/>
          <w:color w:val="000000"/>
          <w:sz w:val="28"/>
        </w:rPr>
        <w:t>— расход воздуха, определенный по формуле (774) настоящих Правил, но не менее 0,004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10197" w:id="10137"/>
    <w:p>
      <w:pPr>
        <w:spacing w:after="0"/>
        <w:ind w:left="0"/>
        <w:jc w:val="both"/>
      </w:pPr>
      <w:r>
        <w:rPr>
          <w:rFonts w:ascii="Times New Roman"/>
          <w:b w:val="false"/>
          <w:i w:val="false"/>
          <w:color w:val="000000"/>
          <w:sz w:val="28"/>
        </w:rPr>
        <w:t>
      3653. Естественную вентиляцию помещений допускается применять, если:</w:t>
      </w:r>
    </w:p>
    <w:bookmarkEnd w:id="10137"/>
    <w:bookmarkStart w:name="z10198" w:id="10138"/>
    <w:p>
      <w:pPr>
        <w:spacing w:after="0"/>
        <w:ind w:left="0"/>
        <w:jc w:val="both"/>
      </w:pPr>
      <w:r>
        <w:rPr>
          <w:rFonts w:ascii="Times New Roman"/>
          <w:b w:val="false"/>
          <w:i w:val="false"/>
          <w:color w:val="000000"/>
          <w:sz w:val="28"/>
        </w:rPr>
        <w:t>
      1) необходимый расход воздуха, вычисленный по формуле (774) настоящих Правил, составляет менее 2,36 х 10=</w:t>
      </w:r>
      <w:r>
        <w:rPr>
          <w:rFonts w:ascii="Times New Roman"/>
          <w:b w:val="false"/>
          <w:i w:val="false"/>
          <w:color w:val="000000"/>
          <w:vertAlign w:val="superscript"/>
        </w:rPr>
        <w:t>2</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w:t>
      </w:r>
    </w:p>
    <w:bookmarkEnd w:id="10138"/>
    <w:bookmarkStart w:name="z10199" w:id="10139"/>
    <w:p>
      <w:pPr>
        <w:spacing w:after="0"/>
        <w:ind w:left="0"/>
        <w:jc w:val="both"/>
      </w:pPr>
      <w:r>
        <w:rPr>
          <w:rFonts w:ascii="Times New Roman"/>
          <w:b w:val="false"/>
          <w:i w:val="false"/>
          <w:color w:val="000000"/>
          <w:sz w:val="28"/>
        </w:rPr>
        <w:t>
      2) угол отклонения вентиляционного канала от вертикали составляет менее 45</w:t>
      </w:r>
      <w:r>
        <w:rPr>
          <w:rFonts w:ascii="Times New Roman"/>
          <w:b w:val="false"/>
          <w:i w:val="false"/>
          <w:color w:val="000000"/>
          <w:vertAlign w:val="superscript"/>
        </w:rPr>
        <w:t>о</w:t>
      </w:r>
      <w:r>
        <w:rPr>
          <w:rFonts w:ascii="Times New Roman"/>
          <w:b w:val="false"/>
          <w:i w:val="false"/>
          <w:color w:val="000000"/>
          <w:sz w:val="28"/>
        </w:rPr>
        <w:t>;</w:t>
      </w:r>
    </w:p>
    <w:bookmarkEnd w:id="10139"/>
    <w:bookmarkStart w:name="z10200" w:id="10140"/>
    <w:p>
      <w:pPr>
        <w:spacing w:after="0"/>
        <w:ind w:left="0"/>
        <w:jc w:val="both"/>
      </w:pPr>
      <w:r>
        <w:rPr>
          <w:rFonts w:ascii="Times New Roman"/>
          <w:b w:val="false"/>
          <w:i w:val="false"/>
          <w:color w:val="000000"/>
          <w:sz w:val="28"/>
        </w:rPr>
        <w:t>
      3) число колен канала не больше двух;</w:t>
      </w:r>
    </w:p>
    <w:bookmarkEnd w:id="10140"/>
    <w:bookmarkStart w:name="z10201" w:id="10141"/>
    <w:p>
      <w:pPr>
        <w:spacing w:after="0"/>
        <w:ind w:left="0"/>
        <w:jc w:val="both"/>
      </w:pPr>
      <w:r>
        <w:rPr>
          <w:rFonts w:ascii="Times New Roman"/>
          <w:b w:val="false"/>
          <w:i w:val="false"/>
          <w:color w:val="000000"/>
          <w:sz w:val="28"/>
        </w:rPr>
        <w:t>
      4) длина вентиляционного канала не превышает 5 м;</w:t>
      </w:r>
    </w:p>
    <w:bookmarkEnd w:id="10141"/>
    <w:bookmarkStart w:name="z10202" w:id="10142"/>
    <w:p>
      <w:pPr>
        <w:spacing w:after="0"/>
        <w:ind w:left="0"/>
        <w:jc w:val="both"/>
      </w:pPr>
      <w:r>
        <w:rPr>
          <w:rFonts w:ascii="Times New Roman"/>
          <w:b w:val="false"/>
          <w:i w:val="false"/>
          <w:color w:val="000000"/>
          <w:sz w:val="28"/>
        </w:rPr>
        <w:t>
      5) действие вентиляции не зависит от направления ветра;</w:t>
      </w:r>
    </w:p>
    <w:bookmarkEnd w:id="10142"/>
    <w:bookmarkStart w:name="z10203" w:id="10143"/>
    <w:p>
      <w:pPr>
        <w:spacing w:after="0"/>
        <w:ind w:left="0"/>
        <w:jc w:val="both"/>
      </w:pPr>
      <w:r>
        <w:rPr>
          <w:rFonts w:ascii="Times New Roman"/>
          <w:b w:val="false"/>
          <w:i w:val="false"/>
          <w:color w:val="000000"/>
          <w:sz w:val="28"/>
        </w:rPr>
        <w:t>
      6) сечение вентиляционного канала принимается не менее определенного по формуле (775) настоящих Правил.</w:t>
      </w:r>
    </w:p>
    <w:bookmarkEnd w:id="10143"/>
    <w:bookmarkStart w:name="z10204" w:id="10144"/>
    <w:p>
      <w:pPr>
        <w:spacing w:after="0"/>
        <w:ind w:left="0"/>
        <w:jc w:val="both"/>
      </w:pPr>
      <w:r>
        <w:rPr>
          <w:rFonts w:ascii="Times New Roman"/>
          <w:b w:val="false"/>
          <w:i w:val="false"/>
          <w:color w:val="000000"/>
          <w:sz w:val="28"/>
        </w:rPr>
        <w:t>
      3654. Если расход воздуха, вычисленный по формуле (776) настоящих Правил, составляет 2,36-10</w:t>
      </w:r>
      <w:r>
        <w:rPr>
          <w:rFonts w:ascii="Times New Roman"/>
          <w:b w:val="false"/>
          <w:i w:val="false"/>
          <w:color w:val="000000"/>
          <w:vertAlign w:val="superscript"/>
        </w:rPr>
        <w:t>-2</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/с и более, аккумуляторное помещение оборудуется системой искусственной вытяжной вентиляции.</w:t>
      </w:r>
    </w:p>
    <w:bookmarkEnd w:id="10144"/>
    <w:bookmarkStart w:name="z10205" w:id="10145"/>
    <w:p>
      <w:pPr>
        <w:spacing w:after="0"/>
        <w:ind w:left="0"/>
        <w:jc w:val="both"/>
      </w:pPr>
      <w:r>
        <w:rPr>
          <w:rFonts w:ascii="Times New Roman"/>
          <w:b w:val="false"/>
          <w:i w:val="false"/>
          <w:color w:val="000000"/>
          <w:sz w:val="28"/>
        </w:rPr>
        <w:t>
      3655. Внутренние поверхности вытяжных каналов и вентиляторы защищают от действия паров электролита.</w:t>
      </w:r>
    </w:p>
    <w:bookmarkEnd w:id="10145"/>
    <w:bookmarkStart w:name="z10206" w:id="10146"/>
    <w:p>
      <w:pPr>
        <w:spacing w:after="0"/>
        <w:ind w:left="0"/>
        <w:jc w:val="both"/>
      </w:pPr>
      <w:r>
        <w:rPr>
          <w:rFonts w:ascii="Times New Roman"/>
          <w:b w:val="false"/>
          <w:i w:val="false"/>
          <w:color w:val="000000"/>
          <w:sz w:val="28"/>
        </w:rPr>
        <w:t>
      3656. Двигатели вентиляторов не размещаются в потоке вытяжных газов.</w:t>
      </w:r>
    </w:p>
    <w:bookmarkEnd w:id="10146"/>
    <w:bookmarkStart w:name="z10207" w:id="10147"/>
    <w:p>
      <w:pPr>
        <w:spacing w:after="0"/>
        <w:ind w:left="0"/>
        <w:jc w:val="both"/>
      </w:pPr>
      <w:r>
        <w:rPr>
          <w:rFonts w:ascii="Times New Roman"/>
          <w:b w:val="false"/>
          <w:i w:val="false"/>
          <w:color w:val="000000"/>
          <w:sz w:val="28"/>
        </w:rPr>
        <w:t>
      Конструкция вентиляторов должна отвечать требованиям главы 368 настоящих Правил.</w:t>
      </w:r>
    </w:p>
    <w:bookmarkEnd w:id="10147"/>
    <w:bookmarkStart w:name="z10208" w:id="10148"/>
    <w:p>
      <w:pPr>
        <w:spacing w:after="0"/>
        <w:ind w:left="0"/>
        <w:jc w:val="left"/>
      </w:pPr>
      <w:r>
        <w:rPr>
          <w:rFonts w:ascii="Times New Roman"/>
          <w:b/>
          <w:i w:val="false"/>
          <w:color w:val="000000"/>
        </w:rPr>
        <w:t xml:space="preserve"> Глава 297. Вентиляция помещений нефтесборных судов</w:t>
      </w:r>
    </w:p>
    <w:bookmarkEnd w:id="10148"/>
    <w:p>
      <w:pPr>
        <w:spacing w:after="0"/>
        <w:ind w:left="0"/>
        <w:jc w:val="both"/>
      </w:pPr>
      <w:r>
        <w:rPr>
          <w:rFonts w:ascii="Times New Roman"/>
          <w:b w:val="false"/>
          <w:i w:val="false"/>
          <w:color w:val="ff0000"/>
          <w:sz w:val="28"/>
        </w:rPr>
        <w:t xml:space="preserve">
      Сноска. Заголовок главы 297 -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09" w:id="10149"/>
    <w:p>
      <w:pPr>
        <w:spacing w:after="0"/>
        <w:ind w:left="0"/>
        <w:jc w:val="both"/>
      </w:pPr>
      <w:r>
        <w:rPr>
          <w:rFonts w:ascii="Times New Roman"/>
          <w:b w:val="false"/>
          <w:i w:val="false"/>
          <w:color w:val="000000"/>
          <w:sz w:val="28"/>
        </w:rPr>
        <w:t>
      3657. Системы вентиляции, обслуживающие взрывоопасные и безопасные помещения, должны быть независимыми друг от друга. Помещения зон разной классификации, указанных в параграфе 2 главы 532 настоящих Правил, обслуживаются отдельными системами.</w:t>
      </w:r>
    </w:p>
    <w:bookmarkEnd w:id="10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3657 -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10" w:id="10150"/>
    <w:p>
      <w:pPr>
        <w:spacing w:after="0"/>
        <w:ind w:left="0"/>
        <w:jc w:val="both"/>
      </w:pPr>
      <w:r>
        <w:rPr>
          <w:rFonts w:ascii="Times New Roman"/>
          <w:b w:val="false"/>
          <w:i w:val="false"/>
          <w:color w:val="000000"/>
          <w:sz w:val="28"/>
        </w:rPr>
        <w:t>
      3658. Безопасные помещения и воздушные шлюзы оборудуются искусственной приточной вентиляцией, обеспечивающей избыточное давление в них по сравнению с давлением в смежных взрывоопасных помещениях.</w:t>
      </w:r>
    </w:p>
    <w:bookmarkEnd w:id="10150"/>
    <w:bookmarkStart w:name="z10211" w:id="10151"/>
    <w:p>
      <w:pPr>
        <w:spacing w:after="0"/>
        <w:ind w:left="0"/>
        <w:jc w:val="both"/>
      </w:pPr>
      <w:r>
        <w:rPr>
          <w:rFonts w:ascii="Times New Roman"/>
          <w:b w:val="false"/>
          <w:i w:val="false"/>
          <w:color w:val="000000"/>
          <w:sz w:val="28"/>
        </w:rPr>
        <w:t>
      3659. Предусматривается автоматическое включение вентиляторов и сигнализации по падению избыточного давления в безопасных помещениях и воздушных шлюзах. Взамен указанного допускается предусматривать:</w:t>
      </w:r>
    </w:p>
    <w:bookmarkEnd w:id="10151"/>
    <w:bookmarkStart w:name="z10212" w:id="10152"/>
    <w:p>
      <w:pPr>
        <w:spacing w:after="0"/>
        <w:ind w:left="0"/>
        <w:jc w:val="both"/>
      </w:pPr>
      <w:r>
        <w:rPr>
          <w:rFonts w:ascii="Times New Roman"/>
          <w:b w:val="false"/>
          <w:i w:val="false"/>
          <w:color w:val="000000"/>
          <w:sz w:val="28"/>
        </w:rPr>
        <w:t>
      1) световую сигнализацию о работе каждого вентилятора;</w:t>
      </w:r>
    </w:p>
    <w:bookmarkEnd w:id="10152"/>
    <w:bookmarkStart w:name="z10213" w:id="10153"/>
    <w:p>
      <w:pPr>
        <w:spacing w:after="0"/>
        <w:ind w:left="0"/>
        <w:jc w:val="both"/>
      </w:pPr>
      <w:r>
        <w:rPr>
          <w:rFonts w:ascii="Times New Roman"/>
          <w:b w:val="false"/>
          <w:i w:val="false"/>
          <w:color w:val="000000"/>
          <w:sz w:val="28"/>
        </w:rPr>
        <w:t>
      2) блокировку, обеспечивающая возможность пуска электродвигателя вентилятора только при открытой крышке вентиляционного канала;</w:t>
      </w:r>
    </w:p>
    <w:bookmarkEnd w:id="10153"/>
    <w:bookmarkStart w:name="z10214" w:id="10154"/>
    <w:p>
      <w:pPr>
        <w:spacing w:after="0"/>
        <w:ind w:left="0"/>
        <w:jc w:val="both"/>
      </w:pPr>
      <w:r>
        <w:rPr>
          <w:rFonts w:ascii="Times New Roman"/>
          <w:b w:val="false"/>
          <w:i w:val="false"/>
          <w:color w:val="000000"/>
          <w:sz w:val="28"/>
        </w:rPr>
        <w:t>
      3) звуковую сигнализацию о самопроизвольной остановке электродвигателя вентилятора.</w:t>
      </w:r>
    </w:p>
    <w:bookmarkEnd w:id="10154"/>
    <w:bookmarkStart w:name="z10215" w:id="10155"/>
    <w:p>
      <w:pPr>
        <w:spacing w:after="0"/>
        <w:ind w:left="0"/>
        <w:jc w:val="both"/>
      </w:pPr>
      <w:r>
        <w:rPr>
          <w:rFonts w:ascii="Times New Roman"/>
          <w:b w:val="false"/>
          <w:i w:val="false"/>
          <w:color w:val="000000"/>
          <w:sz w:val="28"/>
        </w:rPr>
        <w:t>
      3660. Приемные отверстия каналов приточной вентиляции располагаются вне взрывоопасных пространств на открытых палубах.</w:t>
      </w:r>
    </w:p>
    <w:bookmarkEnd w:id="10155"/>
    <w:bookmarkStart w:name="z10216" w:id="10156"/>
    <w:p>
      <w:pPr>
        <w:spacing w:after="0"/>
        <w:ind w:left="0"/>
        <w:jc w:val="both"/>
      </w:pPr>
      <w:r>
        <w:rPr>
          <w:rFonts w:ascii="Times New Roman"/>
          <w:b w:val="false"/>
          <w:i w:val="false"/>
          <w:color w:val="000000"/>
          <w:sz w:val="28"/>
        </w:rPr>
        <w:t>
      3661. Отверстия вытяжных каналов располагаются вне взрывоопасных пространств на открытой палубе.</w:t>
      </w:r>
    </w:p>
    <w:bookmarkEnd w:id="10156"/>
    <w:bookmarkStart w:name="z10217" w:id="10157"/>
    <w:p>
      <w:pPr>
        <w:spacing w:after="0"/>
        <w:ind w:left="0"/>
        <w:jc w:val="both"/>
      </w:pPr>
      <w:r>
        <w:rPr>
          <w:rFonts w:ascii="Times New Roman"/>
          <w:b w:val="false"/>
          <w:i w:val="false"/>
          <w:color w:val="000000"/>
          <w:sz w:val="28"/>
        </w:rPr>
        <w:t xml:space="preserve">
      3662. Взрывоопасные помещения, расположенные в зоне 1, оборудуются искусственной вытяжной вентиляцией кратностью не менее 20 воздухообменов в час. Допускается применение систем вентиляции кратностью 10 воздухообменов в час при условии оборудования ее автоматическим переключением вентиляторов на кратность 20 воздухообменов в час при достижении в воздушной среде помещения концентрации газа (20 </w:t>
      </w:r>
      <w:r>
        <w:rPr>
          <w:rFonts w:ascii="Times New Roman"/>
          <w:b w:val="false"/>
          <w:i w:val="false"/>
          <w:color w:val="000000"/>
          <w:sz w:val="28"/>
          <w:u w:val="single"/>
        </w:rPr>
        <w:t>+</w:t>
      </w:r>
      <w:r>
        <w:rPr>
          <w:rFonts w:ascii="Times New Roman"/>
          <w:b w:val="false"/>
          <w:i w:val="false"/>
          <w:color w:val="000000"/>
          <w:sz w:val="28"/>
        </w:rPr>
        <w:t xml:space="preserve"> 10) % от нижнего предела взрываемости.</w:t>
      </w:r>
    </w:p>
    <w:bookmarkEnd w:id="10157"/>
    <w:bookmarkStart w:name="z10218" w:id="10158"/>
    <w:p>
      <w:pPr>
        <w:spacing w:after="0"/>
        <w:ind w:left="0"/>
        <w:jc w:val="both"/>
      </w:pPr>
      <w:r>
        <w:rPr>
          <w:rFonts w:ascii="Times New Roman"/>
          <w:b w:val="false"/>
          <w:i w:val="false"/>
          <w:color w:val="000000"/>
          <w:sz w:val="28"/>
        </w:rPr>
        <w:t>
      Взрывоопасные помещения зоны 2 оборудуются вентиляцией кратностью не менее 10 воздухообменов в час.</w:t>
      </w:r>
    </w:p>
    <w:bookmarkEnd w:id="10158"/>
    <w:bookmarkStart w:name="z10219" w:id="10159"/>
    <w:p>
      <w:pPr>
        <w:spacing w:after="0"/>
        <w:ind w:left="0"/>
        <w:jc w:val="both"/>
      </w:pPr>
      <w:r>
        <w:rPr>
          <w:rFonts w:ascii="Times New Roman"/>
          <w:b w:val="false"/>
          <w:i w:val="false"/>
          <w:color w:val="000000"/>
          <w:sz w:val="28"/>
        </w:rPr>
        <w:t>
      3663. Каналы вытяжной вентиляции взрывоопасных помещений должны быть газонепроницаемыми, иметь достаточную жесткость и не должны проходить через безопасные помещения (кроме случаев, когда каналы вентиляции проходят через безопасные помещения в газонепроницаемом туннеле).</w:t>
      </w:r>
    </w:p>
    <w:bookmarkEnd w:id="10159"/>
    <w:bookmarkStart w:name="z10220" w:id="10160"/>
    <w:p>
      <w:pPr>
        <w:spacing w:after="0"/>
        <w:ind w:left="0"/>
        <w:jc w:val="both"/>
      </w:pPr>
      <w:r>
        <w:rPr>
          <w:rFonts w:ascii="Times New Roman"/>
          <w:b w:val="false"/>
          <w:i w:val="false"/>
          <w:color w:val="000000"/>
          <w:sz w:val="28"/>
        </w:rPr>
        <w:t>
      3664. Системы вентиляции помещений и воздушных шлюзов оборудуются приборами, контролирующими работу вентиляторов и других устройств, указанных в пунктах 3659 и 3662 настоящих Правил.</w:t>
      </w:r>
    </w:p>
    <w:bookmarkEnd w:id="10160"/>
    <w:bookmarkStart w:name="z10221" w:id="10161"/>
    <w:p>
      <w:pPr>
        <w:spacing w:after="0"/>
        <w:ind w:left="0"/>
        <w:jc w:val="left"/>
      </w:pPr>
      <w:r>
        <w:rPr>
          <w:rFonts w:ascii="Times New Roman"/>
          <w:b/>
          <w:i w:val="false"/>
          <w:color w:val="000000"/>
        </w:rPr>
        <w:t xml:space="preserve"> Глава298. Вентиляция помещений, предназначенных для установки оборудования системы инертного газа</w:t>
      </w:r>
    </w:p>
    <w:bookmarkEnd w:id="10161"/>
    <w:p>
      <w:pPr>
        <w:spacing w:after="0"/>
        <w:ind w:left="0"/>
        <w:jc w:val="both"/>
      </w:pPr>
      <w:r>
        <w:rPr>
          <w:rFonts w:ascii="Times New Roman"/>
          <w:b w:val="false"/>
          <w:i w:val="false"/>
          <w:color w:val="ff0000"/>
          <w:sz w:val="28"/>
        </w:rPr>
        <w:t xml:space="preserve">
      Сноска. Заголовок главы 298 -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22" w:id="10162"/>
    <w:p>
      <w:pPr>
        <w:spacing w:after="0"/>
        <w:ind w:left="0"/>
        <w:jc w:val="both"/>
      </w:pPr>
      <w:r>
        <w:rPr>
          <w:rFonts w:ascii="Times New Roman"/>
          <w:b w:val="false"/>
          <w:i w:val="false"/>
          <w:color w:val="000000"/>
          <w:sz w:val="28"/>
        </w:rPr>
        <w:t>
      3665. Помещения, предназначенные для установки оборудования системы инертного газа грузовых танков, включая генераторы, скрубберы, вентиляторы, а также их арматуру, оборудуются искусственной вытяжной вентиляцией, обеспечивающей не менее чем 6-кратный обмен воздуха в час по объему порожнего помещения.</w:t>
      </w:r>
    </w:p>
    <w:bookmarkEnd w:id="10162"/>
    <w:bookmarkStart w:name="z10223" w:id="10163"/>
    <w:p>
      <w:pPr>
        <w:spacing w:after="0"/>
        <w:ind w:left="0"/>
        <w:jc w:val="both"/>
      </w:pPr>
      <w:r>
        <w:rPr>
          <w:rFonts w:ascii="Times New Roman"/>
          <w:b w:val="false"/>
          <w:i w:val="false"/>
          <w:color w:val="000000"/>
          <w:sz w:val="28"/>
        </w:rPr>
        <w:t>
      Приточная вентиляция может быть естественной.</w:t>
      </w:r>
    </w:p>
    <w:bookmarkEnd w:id="10163"/>
    <w:bookmarkStart w:name="z10224" w:id="10164"/>
    <w:p>
      <w:pPr>
        <w:spacing w:after="0"/>
        <w:ind w:left="0"/>
        <w:jc w:val="both"/>
      </w:pPr>
      <w:r>
        <w:rPr>
          <w:rFonts w:ascii="Times New Roman"/>
          <w:b w:val="false"/>
          <w:i w:val="false"/>
          <w:color w:val="000000"/>
          <w:sz w:val="28"/>
        </w:rPr>
        <w:t>
      При установке указанного выше оборудования в машинных помещениях выполняются требования главы 306 настоящих Правил.</w:t>
      </w:r>
    </w:p>
    <w:bookmarkEnd w:id="10164"/>
    <w:bookmarkStart w:name="z10225" w:id="10165"/>
    <w:p>
      <w:pPr>
        <w:spacing w:after="0"/>
        <w:ind w:left="0"/>
        <w:jc w:val="both"/>
      </w:pPr>
      <w:r>
        <w:rPr>
          <w:rFonts w:ascii="Times New Roman"/>
          <w:b w:val="false"/>
          <w:i w:val="false"/>
          <w:color w:val="000000"/>
          <w:sz w:val="28"/>
        </w:rPr>
        <w:t>
      3666. Для вентиляции помещений, указанных в пункте 3497 настоящих Правил, предусматривается искусственная приточная вентиляция, кратность обмена которой должна быть не менее указанной в пункте 3665 настоящих Правил.</w:t>
      </w:r>
    </w:p>
    <w:bookmarkEnd w:id="10165"/>
    <w:bookmarkStart w:name="z10226" w:id="10166"/>
    <w:p>
      <w:pPr>
        <w:spacing w:after="0"/>
        <w:ind w:left="0"/>
        <w:jc w:val="left"/>
      </w:pPr>
      <w:r>
        <w:rPr>
          <w:rFonts w:ascii="Times New Roman"/>
          <w:b/>
          <w:i w:val="false"/>
          <w:color w:val="000000"/>
        </w:rPr>
        <w:t xml:space="preserve"> Подраздел 13. Топливная система</w:t>
      </w:r>
      <w:r>
        <w:br/>
      </w:r>
      <w:r>
        <w:rPr>
          <w:rFonts w:ascii="Times New Roman"/>
          <w:b/>
          <w:i w:val="false"/>
          <w:color w:val="000000"/>
        </w:rPr>
        <w:t>Глава 299. Насосы</w:t>
      </w:r>
    </w:p>
    <w:bookmarkEnd w:id="10166"/>
    <w:p>
      <w:pPr>
        <w:spacing w:after="0"/>
        <w:ind w:left="0"/>
        <w:jc w:val="both"/>
      </w:pPr>
      <w:r>
        <w:rPr>
          <w:rFonts w:ascii="Times New Roman"/>
          <w:b w:val="false"/>
          <w:i w:val="false"/>
          <w:color w:val="ff0000"/>
          <w:sz w:val="28"/>
        </w:rPr>
        <w:t xml:space="preserve">
      Сноска. Заголовок главы 299 -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28" w:id="10167"/>
    <w:p>
      <w:pPr>
        <w:spacing w:after="0"/>
        <w:ind w:left="0"/>
        <w:jc w:val="both"/>
      </w:pPr>
      <w:r>
        <w:rPr>
          <w:rFonts w:ascii="Times New Roman"/>
          <w:b w:val="false"/>
          <w:i w:val="false"/>
          <w:color w:val="000000"/>
          <w:sz w:val="28"/>
        </w:rPr>
        <w:t>
      3667. Для перекачки топлива предусматривается не менее двух насосов с механическим приводом, один их которых является резервным.</w:t>
      </w:r>
    </w:p>
    <w:bookmarkEnd w:id="10167"/>
    <w:bookmarkStart w:name="z10229" w:id="10168"/>
    <w:p>
      <w:pPr>
        <w:spacing w:after="0"/>
        <w:ind w:left="0"/>
        <w:jc w:val="both"/>
      </w:pPr>
      <w:r>
        <w:rPr>
          <w:rFonts w:ascii="Times New Roman"/>
          <w:b w:val="false"/>
          <w:i w:val="false"/>
          <w:color w:val="000000"/>
          <w:sz w:val="28"/>
        </w:rPr>
        <w:t>
      В качестве резервного насоса допускается использовать любой пригодный для этой цели насос, в том числе насос сепаратора топлива.</w:t>
      </w:r>
    </w:p>
    <w:bookmarkEnd w:id="10168"/>
    <w:bookmarkStart w:name="z10230" w:id="10169"/>
    <w:p>
      <w:pPr>
        <w:spacing w:after="0"/>
        <w:ind w:left="0"/>
        <w:jc w:val="both"/>
      </w:pPr>
      <w:r>
        <w:rPr>
          <w:rFonts w:ascii="Times New Roman"/>
          <w:b w:val="false"/>
          <w:i w:val="false"/>
          <w:color w:val="000000"/>
          <w:sz w:val="28"/>
        </w:rPr>
        <w:t>
      На грузовых судах валовой вместимостью менее 500 ограниченных районов плавания R2, R2-RSN, R3-RSN и R3 резервный насос не требуется.</w:t>
      </w:r>
    </w:p>
    <w:bookmarkEnd w:id="10169"/>
    <w:bookmarkStart w:name="z10231" w:id="10170"/>
    <w:p>
      <w:pPr>
        <w:spacing w:after="0"/>
        <w:ind w:left="0"/>
        <w:jc w:val="both"/>
      </w:pPr>
      <w:r>
        <w:rPr>
          <w:rFonts w:ascii="Times New Roman"/>
          <w:b w:val="false"/>
          <w:i w:val="false"/>
          <w:color w:val="000000"/>
          <w:sz w:val="28"/>
        </w:rPr>
        <w:t>
      На судах с суточным расходом топлива менее 1 т допускается устанавливать один ручной насос.</w:t>
      </w:r>
    </w:p>
    <w:bookmarkEnd w:id="10170"/>
    <w:bookmarkStart w:name="z10232" w:id="10171"/>
    <w:p>
      <w:pPr>
        <w:spacing w:after="0"/>
        <w:ind w:left="0"/>
        <w:jc w:val="both"/>
      </w:pPr>
      <w:r>
        <w:rPr>
          <w:rFonts w:ascii="Times New Roman"/>
          <w:b w:val="false"/>
          <w:i w:val="false"/>
          <w:color w:val="000000"/>
          <w:sz w:val="28"/>
        </w:rPr>
        <w:t>
      3668. Если топливные цистерны, в том числе диптанки, систематически используются в качестве балластных цистерн, предусматриваются надежные устройства, отключающие балластную систему от этих цистерн при нахождении в них топлива, а также топливную систему при нахождении в них балласта.</w:t>
      </w:r>
    </w:p>
    <w:bookmarkEnd w:id="10171"/>
    <w:bookmarkStart w:name="z10233" w:id="10172"/>
    <w:p>
      <w:pPr>
        <w:spacing w:after="0"/>
        <w:ind w:left="0"/>
        <w:jc w:val="both"/>
      </w:pPr>
      <w:r>
        <w:rPr>
          <w:rFonts w:ascii="Times New Roman"/>
          <w:b w:val="false"/>
          <w:i w:val="false"/>
          <w:color w:val="000000"/>
          <w:sz w:val="28"/>
        </w:rPr>
        <w:t>
      Кроме того, выполняются требования Правил по предотвращению загрязнения с судов.</w:t>
      </w:r>
    </w:p>
    <w:bookmarkEnd w:id="10172"/>
    <w:bookmarkStart w:name="z10234" w:id="10173"/>
    <w:p>
      <w:pPr>
        <w:spacing w:after="0"/>
        <w:ind w:left="0"/>
        <w:jc w:val="both"/>
      </w:pPr>
      <w:r>
        <w:rPr>
          <w:rFonts w:ascii="Times New Roman"/>
          <w:b w:val="false"/>
          <w:i w:val="false"/>
          <w:color w:val="000000"/>
          <w:sz w:val="28"/>
        </w:rPr>
        <w:t>
      3669. Топливоперекачивающие и маслоперекачивающие насосы, а также насосы сепараторов кроме местного управления имеют средства для их остановки из всегда доступных мест вне помещений, в которых они установлены.</w:t>
      </w:r>
    </w:p>
    <w:bookmarkEnd w:id="10173"/>
    <w:bookmarkStart w:name="z10235" w:id="10174"/>
    <w:p>
      <w:pPr>
        <w:spacing w:after="0"/>
        <w:ind w:left="0"/>
        <w:jc w:val="both"/>
      </w:pPr>
      <w:r>
        <w:rPr>
          <w:rFonts w:ascii="Times New Roman"/>
          <w:b w:val="false"/>
          <w:i w:val="false"/>
          <w:color w:val="000000"/>
          <w:sz w:val="28"/>
        </w:rPr>
        <w:t>
      3670. С нагнетательной и приемной сторон топливных и масляных насосов устанавливаются запорные клапаны.</w:t>
      </w:r>
    </w:p>
    <w:bookmarkEnd w:id="10174"/>
    <w:bookmarkStart w:name="z10236" w:id="10175"/>
    <w:p>
      <w:pPr>
        <w:spacing w:after="0"/>
        <w:ind w:left="0"/>
        <w:jc w:val="both"/>
      </w:pPr>
      <w:r>
        <w:rPr>
          <w:rFonts w:ascii="Times New Roman"/>
          <w:b w:val="false"/>
          <w:i w:val="false"/>
          <w:color w:val="000000"/>
          <w:sz w:val="28"/>
        </w:rPr>
        <w:t>
      На приемных трубопроводах топливных насосов рекомендуется предусматривать устройства для замера температуры топлива.</w:t>
      </w:r>
    </w:p>
    <w:bookmarkEnd w:id="10175"/>
    <w:bookmarkStart w:name="z10237" w:id="10176"/>
    <w:p>
      <w:pPr>
        <w:spacing w:after="0"/>
        <w:ind w:left="0"/>
        <w:jc w:val="both"/>
      </w:pPr>
      <w:r>
        <w:rPr>
          <w:rFonts w:ascii="Times New Roman"/>
          <w:b w:val="false"/>
          <w:i w:val="false"/>
          <w:color w:val="000000"/>
          <w:sz w:val="28"/>
        </w:rPr>
        <w:t xml:space="preserve">
      Настоящее требование является обязательным в установках с температурой вспышки топлива менее 60 </w:t>
      </w:r>
      <w:r>
        <w:rPr>
          <w:rFonts w:ascii="Times New Roman"/>
          <w:b w:val="false"/>
          <w:i w:val="false"/>
          <w:color w:val="000000"/>
          <w:vertAlign w:val="superscript"/>
        </w:rPr>
        <w:t>о</w:t>
      </w:r>
      <w:r>
        <w:rPr>
          <w:rFonts w:ascii="Times New Roman"/>
          <w:b w:val="false"/>
          <w:i w:val="false"/>
          <w:color w:val="000000"/>
          <w:sz w:val="28"/>
        </w:rPr>
        <w:t>С.</w:t>
      </w:r>
    </w:p>
    <w:bookmarkEnd w:id="10176"/>
    <w:bookmarkStart w:name="z10238" w:id="10177"/>
    <w:p>
      <w:pPr>
        <w:spacing w:after="0"/>
        <w:ind w:left="0"/>
        <w:jc w:val="left"/>
      </w:pPr>
      <w:r>
        <w:rPr>
          <w:rFonts w:ascii="Times New Roman"/>
          <w:b/>
          <w:i w:val="false"/>
          <w:color w:val="000000"/>
        </w:rPr>
        <w:t xml:space="preserve"> Глава 300. Прокладка трубопроводов</w:t>
      </w:r>
    </w:p>
    <w:bookmarkEnd w:id="10177"/>
    <w:p>
      <w:pPr>
        <w:spacing w:after="0"/>
        <w:ind w:left="0"/>
        <w:jc w:val="both"/>
      </w:pPr>
      <w:r>
        <w:rPr>
          <w:rFonts w:ascii="Times New Roman"/>
          <w:b w:val="false"/>
          <w:i w:val="false"/>
          <w:color w:val="ff0000"/>
          <w:sz w:val="28"/>
        </w:rPr>
        <w:t xml:space="preserve">
      Сноска. Заголовок главы 300 -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39" w:id="10178"/>
    <w:p>
      <w:pPr>
        <w:spacing w:after="0"/>
        <w:ind w:left="0"/>
        <w:jc w:val="both"/>
      </w:pPr>
      <w:r>
        <w:rPr>
          <w:rFonts w:ascii="Times New Roman"/>
          <w:b w:val="false"/>
          <w:i w:val="false"/>
          <w:color w:val="000000"/>
          <w:sz w:val="28"/>
        </w:rPr>
        <w:t>
      3671. Топливные трубопроводы, как правило, отделяют от трубопроводов других систем. При замещении топливных цистерн балластом выполняются требования пункта 3668 настоящих Правил.</w:t>
      </w:r>
    </w:p>
    <w:bookmarkEnd w:id="10178"/>
    <w:bookmarkStart w:name="z10240" w:id="10179"/>
    <w:p>
      <w:pPr>
        <w:spacing w:after="0"/>
        <w:ind w:left="0"/>
        <w:jc w:val="both"/>
      </w:pPr>
      <w:r>
        <w:rPr>
          <w:rFonts w:ascii="Times New Roman"/>
          <w:b w:val="false"/>
          <w:i w:val="false"/>
          <w:color w:val="000000"/>
          <w:sz w:val="28"/>
        </w:rPr>
        <w:t xml:space="preserve">
      3672. При монтаже трубопроводов жидкого топлива с температурой вспышки менее 60 </w:t>
      </w:r>
      <w:r>
        <w:rPr>
          <w:rFonts w:ascii="Times New Roman"/>
          <w:b w:val="false"/>
          <w:i w:val="false"/>
          <w:color w:val="000000"/>
          <w:vertAlign w:val="superscript"/>
        </w:rPr>
        <w:t>о</w:t>
      </w:r>
      <w:r>
        <w:rPr>
          <w:rFonts w:ascii="Times New Roman"/>
          <w:b w:val="false"/>
          <w:i w:val="false"/>
          <w:color w:val="000000"/>
          <w:sz w:val="28"/>
        </w:rPr>
        <w:t xml:space="preserve">С, а также топлива, нагретого свыше 60 </w:t>
      </w:r>
      <w:r>
        <w:rPr>
          <w:rFonts w:ascii="Times New Roman"/>
          <w:b w:val="false"/>
          <w:i w:val="false"/>
          <w:color w:val="000000"/>
          <w:vertAlign w:val="superscript"/>
        </w:rPr>
        <w:t>о</w:t>
      </w:r>
      <w:r>
        <w:rPr>
          <w:rFonts w:ascii="Times New Roman"/>
          <w:b w:val="false"/>
          <w:i w:val="false"/>
          <w:color w:val="000000"/>
          <w:sz w:val="28"/>
        </w:rPr>
        <w:t>С, преимущественно используются сварные соединения, при этом число разъемных соединений сводят к минимуму. Такие трубопроводы, находящиеся под давлением 0,18 Н/мм</w:t>
      </w:r>
      <w:r>
        <w:rPr>
          <w:rFonts w:ascii="Times New Roman"/>
          <w:b w:val="false"/>
          <w:i w:val="false"/>
          <w:color w:val="000000"/>
          <w:vertAlign w:val="superscript"/>
        </w:rPr>
        <w:t>2</w:t>
      </w:r>
      <w:r>
        <w:rPr>
          <w:rFonts w:ascii="Times New Roman"/>
          <w:b w:val="false"/>
          <w:i w:val="false"/>
          <w:color w:val="000000"/>
          <w:sz w:val="28"/>
        </w:rPr>
        <w:t xml:space="preserve"> и более, располагаются в открытых, легко доступных, освещенных местах.</w:t>
      </w:r>
    </w:p>
    <w:bookmarkEnd w:id="10179"/>
    <w:bookmarkStart w:name="z10241" w:id="10180"/>
    <w:p>
      <w:pPr>
        <w:spacing w:after="0"/>
        <w:ind w:left="0"/>
        <w:jc w:val="both"/>
      </w:pPr>
      <w:r>
        <w:rPr>
          <w:rFonts w:ascii="Times New Roman"/>
          <w:b w:val="false"/>
          <w:i w:val="false"/>
          <w:color w:val="000000"/>
          <w:sz w:val="28"/>
        </w:rPr>
        <w:t>
      3673. Топливные трубопроводы не прокладываются над двигателями внутреннего сгорания, турбинами, газовыпускными трубопроводами, паропроводами (за исключением паропроводов для подогрева топлива), паровыми котлами и их дымоходами. В исключительных случаях допускается прокладка топливных трубопроводов над указанным выше оборудованием при условии, что в этих районах трубопроводы не будут иметь разъемных соединений, или они должны быть экранированы, и в соответствующих местах установлены поддоны, предотвращающие попадание топлива на указанное оборудование или другие источники воспламенения.</w:t>
      </w:r>
    </w:p>
    <w:bookmarkEnd w:id="10180"/>
    <w:bookmarkStart w:name="z10242" w:id="10181"/>
    <w:p>
      <w:pPr>
        <w:spacing w:after="0"/>
        <w:ind w:left="0"/>
        <w:jc w:val="both"/>
      </w:pPr>
      <w:r>
        <w:rPr>
          <w:rFonts w:ascii="Times New Roman"/>
          <w:b w:val="false"/>
          <w:i w:val="false"/>
          <w:color w:val="000000"/>
          <w:sz w:val="28"/>
        </w:rPr>
        <w:t>
      3674. Приемные трубопроводы топлива от цистерн вместимостью более 500 л, а также трубопроводы, предназначенные для выравнивания уровня жидкости в цистернах, если такие цистерны расположены вне междудонного пространства, снабжаются запорными клапанами, установленными непосредственно на цистернах, с дистанционными закрытиями из всегда доступных мест, расположенных вне того помещения, в котором находятся цистерны. Дистанционный привод запорного клапана на расходной топливной цистерне аварийного дизель-генератора располагается в отдельном месте от привода других цистерн.</w:t>
      </w:r>
    </w:p>
    <w:bookmarkEnd w:id="10181"/>
    <w:bookmarkStart w:name="z10243" w:id="10182"/>
    <w:p>
      <w:pPr>
        <w:spacing w:after="0"/>
        <w:ind w:left="0"/>
        <w:jc w:val="both"/>
      </w:pPr>
      <w:r>
        <w:rPr>
          <w:rFonts w:ascii="Times New Roman"/>
          <w:b w:val="false"/>
          <w:i w:val="false"/>
          <w:color w:val="000000"/>
          <w:sz w:val="28"/>
        </w:rPr>
        <w:t>
      Если топливные цистерны расположены выше второго дна и примыкают к туннелям валопроводов или трубопроводов, а также к другим подобным помещениям, то допускается чтобы клапаны на этих цистернах были с местным управлением, но на трубопроводе предусматривается дополнительно клапан в доступном месте вне указанных помещений. Если такой дополнительный клапан устанавливается в машинном помещении, предусматривается возможность его дистанционного закрытия вне этого помещения.</w:t>
      </w:r>
    </w:p>
    <w:bookmarkEnd w:id="10182"/>
    <w:bookmarkStart w:name="z10244" w:id="10183"/>
    <w:p>
      <w:pPr>
        <w:spacing w:after="0"/>
        <w:ind w:left="0"/>
        <w:jc w:val="both"/>
      </w:pPr>
      <w:r>
        <w:rPr>
          <w:rFonts w:ascii="Times New Roman"/>
          <w:b w:val="false"/>
          <w:i w:val="false"/>
          <w:color w:val="000000"/>
          <w:sz w:val="28"/>
        </w:rPr>
        <w:t>
      На расходных цистернах рекомендуются клапаны быстрозапорного типа.</w:t>
      </w:r>
    </w:p>
    <w:bookmarkEnd w:id="10183"/>
    <w:bookmarkStart w:name="z10245" w:id="10184"/>
    <w:p>
      <w:pPr>
        <w:spacing w:after="0"/>
        <w:ind w:left="0"/>
        <w:jc w:val="left"/>
      </w:pPr>
      <w:r>
        <w:rPr>
          <w:rFonts w:ascii="Times New Roman"/>
          <w:b/>
          <w:i w:val="false"/>
          <w:color w:val="000000"/>
        </w:rPr>
        <w:t xml:space="preserve"> Глава 301. Устройства для подогрева топлива</w:t>
      </w:r>
    </w:p>
    <w:bookmarkEnd w:id="10184"/>
    <w:p>
      <w:pPr>
        <w:spacing w:after="0"/>
        <w:ind w:left="0"/>
        <w:jc w:val="both"/>
      </w:pPr>
      <w:r>
        <w:rPr>
          <w:rFonts w:ascii="Times New Roman"/>
          <w:b w:val="false"/>
          <w:i w:val="false"/>
          <w:color w:val="ff0000"/>
          <w:sz w:val="28"/>
        </w:rPr>
        <w:t xml:space="preserve">
      Сноска. Заголовок главы 301 -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46" w:id="10185"/>
    <w:p>
      <w:pPr>
        <w:spacing w:after="0"/>
        <w:ind w:left="0"/>
        <w:jc w:val="both"/>
      </w:pPr>
      <w:r>
        <w:rPr>
          <w:rFonts w:ascii="Times New Roman"/>
          <w:b w:val="false"/>
          <w:i w:val="false"/>
          <w:color w:val="000000"/>
          <w:sz w:val="28"/>
        </w:rPr>
        <w:t>
      3675. Для подогрева жидкого топлива допускается применять теплоносители, перечисленные в пункте 3368 настоящих Правил. При применении электронагревательных устройств для подогрева топлива выполняются требования главы 505 настоящих Правил.</w:t>
      </w:r>
    </w:p>
    <w:bookmarkEnd w:id="10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3675 -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47" w:id="10186"/>
    <w:p>
      <w:pPr>
        <w:spacing w:after="0"/>
        <w:ind w:left="0"/>
        <w:jc w:val="both"/>
      </w:pPr>
      <w:r>
        <w:rPr>
          <w:rFonts w:ascii="Times New Roman"/>
          <w:b w:val="false"/>
          <w:i w:val="false"/>
          <w:color w:val="000000"/>
          <w:sz w:val="28"/>
        </w:rPr>
        <w:t>
      3676. Змеевики подогрева и элементы подогрева электронагревателей располагаются в наиболее низких частях цистерн.</w:t>
      </w:r>
    </w:p>
    <w:bookmarkEnd w:id="10186"/>
    <w:bookmarkStart w:name="z10248" w:id="10187"/>
    <w:p>
      <w:pPr>
        <w:spacing w:after="0"/>
        <w:ind w:left="0"/>
        <w:jc w:val="both"/>
      </w:pPr>
      <w:r>
        <w:rPr>
          <w:rFonts w:ascii="Times New Roman"/>
          <w:b w:val="false"/>
          <w:i w:val="false"/>
          <w:color w:val="000000"/>
          <w:sz w:val="28"/>
        </w:rPr>
        <w:t>
      3677. Концы приемных топливных труб в расходных и отстойных цистернах располагаются над змеевиками подогрева и элементами электронагревателей так, чтобы по возможности змеевики и элементы не оголялись.</w:t>
      </w:r>
    </w:p>
    <w:bookmarkEnd w:id="10187"/>
    <w:bookmarkStart w:name="z10249" w:id="10188"/>
    <w:p>
      <w:pPr>
        <w:spacing w:after="0"/>
        <w:ind w:left="0"/>
        <w:jc w:val="both"/>
      </w:pPr>
      <w:r>
        <w:rPr>
          <w:rFonts w:ascii="Times New Roman"/>
          <w:b w:val="false"/>
          <w:i w:val="false"/>
          <w:color w:val="000000"/>
          <w:sz w:val="28"/>
        </w:rPr>
        <w:t>
      3678. При использовании паровых подогревателей топлива и масла или подогревателей с другой греющей средой, исключая случаи, когда температура подогреваемой среды не достигает температуры вспышки, система оборудуется сигнализацией по высокой температуре или падению потока в дополнение к системе температурного контроля.</w:t>
      </w:r>
    </w:p>
    <w:bookmarkEnd w:id="10188"/>
    <w:bookmarkStart w:name="z10250" w:id="10189"/>
    <w:p>
      <w:pPr>
        <w:spacing w:after="0"/>
        <w:ind w:left="0"/>
        <w:jc w:val="both"/>
      </w:pPr>
      <w:r>
        <w:rPr>
          <w:rFonts w:ascii="Times New Roman"/>
          <w:b w:val="false"/>
          <w:i w:val="false"/>
          <w:color w:val="000000"/>
          <w:sz w:val="28"/>
        </w:rPr>
        <w:t xml:space="preserve">
      3679. Максимальная температура подогрева топлива в цистернах запаса должна быть на 15 </w:t>
      </w:r>
      <w:r>
        <w:rPr>
          <w:rFonts w:ascii="Times New Roman"/>
          <w:b w:val="false"/>
          <w:i w:val="false"/>
          <w:color w:val="000000"/>
          <w:vertAlign w:val="superscript"/>
        </w:rPr>
        <w:t>о</w:t>
      </w:r>
      <w:r>
        <w:rPr>
          <w:rFonts w:ascii="Times New Roman"/>
          <w:b w:val="false"/>
          <w:i w:val="false"/>
          <w:color w:val="000000"/>
          <w:sz w:val="28"/>
        </w:rPr>
        <w:t>С ниже температуры вспышки топлива.</w:t>
      </w:r>
    </w:p>
    <w:bookmarkEnd w:id="10189"/>
    <w:bookmarkStart w:name="z10251" w:id="10190"/>
    <w:p>
      <w:pPr>
        <w:spacing w:after="0"/>
        <w:ind w:left="0"/>
        <w:jc w:val="both"/>
      </w:pPr>
      <w:r>
        <w:rPr>
          <w:rFonts w:ascii="Times New Roman"/>
          <w:b w:val="false"/>
          <w:i w:val="false"/>
          <w:color w:val="000000"/>
          <w:sz w:val="28"/>
        </w:rPr>
        <w:t>
      Допускается подогрев топлива в расходных, отстойных и других цистернах систем подачи топлива к двигателям и котлам до температуры, превышающей вышеуказанный уровень, при следующих условиях:</w:t>
      </w:r>
    </w:p>
    <w:bookmarkEnd w:id="10190"/>
    <w:bookmarkStart w:name="z10252" w:id="10191"/>
    <w:p>
      <w:pPr>
        <w:spacing w:after="0"/>
        <w:ind w:left="0"/>
        <w:jc w:val="both"/>
      </w:pPr>
      <w:r>
        <w:rPr>
          <w:rFonts w:ascii="Times New Roman"/>
          <w:b w:val="false"/>
          <w:i w:val="false"/>
          <w:color w:val="000000"/>
          <w:sz w:val="28"/>
        </w:rPr>
        <w:t xml:space="preserve">
      1) длина воздушных труб этих цистерн или применение охлаждающих устройств позволяют снизить температуру выходящих паров ниже 60 </w:t>
      </w:r>
      <w:r>
        <w:rPr>
          <w:rFonts w:ascii="Times New Roman"/>
          <w:b w:val="false"/>
          <w:i w:val="false"/>
          <w:color w:val="000000"/>
          <w:vertAlign w:val="superscript"/>
        </w:rPr>
        <w:t>о</w:t>
      </w:r>
      <w:r>
        <w:rPr>
          <w:rFonts w:ascii="Times New Roman"/>
          <w:b w:val="false"/>
          <w:i w:val="false"/>
          <w:color w:val="000000"/>
          <w:sz w:val="28"/>
        </w:rPr>
        <w:t>С, или выходные концы воздушных труб отстоят от источников воспламенения на расстоянии не менее 3 м;</w:t>
      </w:r>
    </w:p>
    <w:bookmarkEnd w:id="10191"/>
    <w:bookmarkStart w:name="z10253" w:id="10192"/>
    <w:p>
      <w:pPr>
        <w:spacing w:after="0"/>
        <w:ind w:left="0"/>
        <w:jc w:val="both"/>
      </w:pPr>
      <w:r>
        <w:rPr>
          <w:rFonts w:ascii="Times New Roman"/>
          <w:b w:val="false"/>
          <w:i w:val="false"/>
          <w:color w:val="000000"/>
          <w:sz w:val="28"/>
        </w:rPr>
        <w:t>
      2) электрическое оборудование не искробезопасного исполнения не располагается в паровом пространстве топливных цистерн;</w:t>
      </w:r>
    </w:p>
    <w:bookmarkEnd w:id="10192"/>
    <w:bookmarkStart w:name="z10254" w:id="10193"/>
    <w:p>
      <w:pPr>
        <w:spacing w:after="0"/>
        <w:ind w:left="0"/>
        <w:jc w:val="both"/>
      </w:pPr>
      <w:r>
        <w:rPr>
          <w:rFonts w:ascii="Times New Roman"/>
          <w:b w:val="false"/>
          <w:i w:val="false"/>
          <w:color w:val="000000"/>
          <w:sz w:val="28"/>
        </w:rPr>
        <w:t>
      3) будет исключена возможность проникновения паров из верхней части цистерны и воздушного трубопровода в машинные помещения;</w:t>
      </w:r>
    </w:p>
    <w:bookmarkEnd w:id="10193"/>
    <w:bookmarkStart w:name="z10255" w:id="10194"/>
    <w:p>
      <w:pPr>
        <w:spacing w:after="0"/>
        <w:ind w:left="0"/>
        <w:jc w:val="both"/>
      </w:pPr>
      <w:r>
        <w:rPr>
          <w:rFonts w:ascii="Times New Roman"/>
          <w:b w:val="false"/>
          <w:i w:val="false"/>
          <w:color w:val="000000"/>
          <w:sz w:val="28"/>
        </w:rPr>
        <w:t>
      4) закрытые пространства не будут располагаться непосредственно выше этих топливных цистерн, за исключением хорошо вентилируемых коффердамов;</w:t>
      </w:r>
    </w:p>
    <w:bookmarkEnd w:id="10194"/>
    <w:bookmarkStart w:name="z10256" w:id="10195"/>
    <w:p>
      <w:pPr>
        <w:spacing w:after="0"/>
        <w:ind w:left="0"/>
        <w:jc w:val="both"/>
      </w:pPr>
      <w:r>
        <w:rPr>
          <w:rFonts w:ascii="Times New Roman"/>
          <w:b w:val="false"/>
          <w:i w:val="false"/>
          <w:color w:val="000000"/>
          <w:sz w:val="28"/>
        </w:rPr>
        <w:t>
      5) концы воздушных труб будут оборудованы пламепрерывающими сетками.</w:t>
      </w:r>
    </w:p>
    <w:bookmarkEnd w:id="10195"/>
    <w:bookmarkStart w:name="z10257" w:id="10196"/>
    <w:p>
      <w:pPr>
        <w:spacing w:after="0"/>
        <w:ind w:left="0"/>
        <w:jc w:val="left"/>
      </w:pPr>
      <w:r>
        <w:rPr>
          <w:rFonts w:ascii="Times New Roman"/>
          <w:b/>
          <w:i w:val="false"/>
          <w:color w:val="000000"/>
        </w:rPr>
        <w:t xml:space="preserve"> Глава 302. Устройства для удаления воды из топливных цистерн. Устройства для сбора утечек топлива</w:t>
      </w:r>
    </w:p>
    <w:bookmarkEnd w:id="10196"/>
    <w:p>
      <w:pPr>
        <w:spacing w:after="0"/>
        <w:ind w:left="0"/>
        <w:jc w:val="both"/>
      </w:pPr>
      <w:r>
        <w:rPr>
          <w:rFonts w:ascii="Times New Roman"/>
          <w:b w:val="false"/>
          <w:i w:val="false"/>
          <w:color w:val="ff0000"/>
          <w:sz w:val="28"/>
        </w:rPr>
        <w:t xml:space="preserve">
      Сноска. Заголовок главы 302 -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58" w:id="10197"/>
    <w:p>
      <w:pPr>
        <w:spacing w:after="0"/>
        <w:ind w:left="0"/>
        <w:jc w:val="both"/>
      </w:pPr>
      <w:r>
        <w:rPr>
          <w:rFonts w:ascii="Times New Roman"/>
          <w:b w:val="false"/>
          <w:i w:val="false"/>
          <w:color w:val="000000"/>
          <w:sz w:val="28"/>
        </w:rPr>
        <w:t>
      3680. Для удаления воды из расходных и отстойных цистерн предусматриваются клапаны самозапорного типа и трубопроводы к сточным цистернам.</w:t>
      </w:r>
    </w:p>
    <w:bookmarkEnd w:id="10197"/>
    <w:bookmarkStart w:name="z10259" w:id="10198"/>
    <w:p>
      <w:pPr>
        <w:spacing w:after="0"/>
        <w:ind w:left="0"/>
        <w:jc w:val="both"/>
      </w:pPr>
      <w:r>
        <w:rPr>
          <w:rFonts w:ascii="Times New Roman"/>
          <w:b w:val="false"/>
          <w:i w:val="false"/>
          <w:color w:val="000000"/>
          <w:sz w:val="28"/>
        </w:rPr>
        <w:t>
      На сточных трубопроводах устанавливаются смотровые стекла. При наличии поддонов вместо стекол допускается применение открытых воронок.</w:t>
      </w:r>
    </w:p>
    <w:bookmarkEnd w:id="10198"/>
    <w:bookmarkStart w:name="z10260" w:id="10199"/>
    <w:p>
      <w:pPr>
        <w:spacing w:after="0"/>
        <w:ind w:left="0"/>
        <w:jc w:val="both"/>
      </w:pPr>
      <w:r>
        <w:rPr>
          <w:rFonts w:ascii="Times New Roman"/>
          <w:b w:val="false"/>
          <w:i w:val="false"/>
          <w:color w:val="000000"/>
          <w:sz w:val="28"/>
        </w:rPr>
        <w:t>
      3681. Цистерны, насосы, фильтры и другое оборудование в местах возможной утечки топлива снабжаются поддонами.</w:t>
      </w:r>
    </w:p>
    <w:bookmarkEnd w:id="10199"/>
    <w:bookmarkStart w:name="z10261" w:id="10200"/>
    <w:p>
      <w:pPr>
        <w:spacing w:after="0"/>
        <w:ind w:left="0"/>
        <w:jc w:val="both"/>
      </w:pPr>
      <w:r>
        <w:rPr>
          <w:rFonts w:ascii="Times New Roman"/>
          <w:b w:val="false"/>
          <w:i w:val="false"/>
          <w:color w:val="000000"/>
          <w:sz w:val="28"/>
        </w:rPr>
        <w:t>
      3682. Сточные трубы от поддонов отводятся в сточные цистерны.</w:t>
      </w:r>
    </w:p>
    <w:bookmarkEnd w:id="10200"/>
    <w:bookmarkStart w:name="z10262" w:id="10201"/>
    <w:p>
      <w:pPr>
        <w:spacing w:after="0"/>
        <w:ind w:left="0"/>
        <w:jc w:val="both"/>
      </w:pPr>
      <w:r>
        <w:rPr>
          <w:rFonts w:ascii="Times New Roman"/>
          <w:b w:val="false"/>
          <w:i w:val="false"/>
          <w:color w:val="000000"/>
          <w:sz w:val="28"/>
        </w:rPr>
        <w:t>
      Отвод сточных труб в льяла и переливные цистерны не допускается.</w:t>
      </w:r>
    </w:p>
    <w:bookmarkEnd w:id="10201"/>
    <w:bookmarkStart w:name="z10263" w:id="10202"/>
    <w:p>
      <w:pPr>
        <w:spacing w:after="0"/>
        <w:ind w:left="0"/>
        <w:jc w:val="both"/>
      </w:pPr>
      <w:r>
        <w:rPr>
          <w:rFonts w:ascii="Times New Roman"/>
          <w:b w:val="false"/>
          <w:i w:val="false"/>
          <w:color w:val="000000"/>
          <w:sz w:val="28"/>
        </w:rPr>
        <w:t>
      3683. Внутренний диаметр сточных труб должен быть не менее 25 мм.</w:t>
      </w:r>
    </w:p>
    <w:bookmarkEnd w:id="10202"/>
    <w:bookmarkStart w:name="z10264" w:id="10203"/>
    <w:p>
      <w:pPr>
        <w:spacing w:after="0"/>
        <w:ind w:left="0"/>
        <w:jc w:val="both"/>
      </w:pPr>
      <w:r>
        <w:rPr>
          <w:rFonts w:ascii="Times New Roman"/>
          <w:b w:val="false"/>
          <w:i w:val="false"/>
          <w:color w:val="000000"/>
          <w:sz w:val="28"/>
        </w:rPr>
        <w:t>
      3684. Сточные трубы доводятся до днища цистерны с зазором не менее 1/4 внутреннего диаметра трубы.</w:t>
      </w:r>
    </w:p>
    <w:bookmarkEnd w:id="10203"/>
    <w:bookmarkStart w:name="z10265" w:id="10204"/>
    <w:p>
      <w:pPr>
        <w:spacing w:after="0"/>
        <w:ind w:left="0"/>
        <w:jc w:val="both"/>
      </w:pPr>
      <w:r>
        <w:rPr>
          <w:rFonts w:ascii="Times New Roman"/>
          <w:b w:val="false"/>
          <w:i w:val="false"/>
          <w:color w:val="000000"/>
          <w:sz w:val="28"/>
        </w:rPr>
        <w:t>
      При расположении сточной цистерны в междудонном пространстве принимают конструктивные меры, предотвращающие поступление воды в машинные помещения через открытые концы сточных труб в случае повреждения наружной обшивки.</w:t>
      </w:r>
    </w:p>
    <w:bookmarkEnd w:id="10204"/>
    <w:bookmarkStart w:name="z10266" w:id="10205"/>
    <w:p>
      <w:pPr>
        <w:spacing w:after="0"/>
        <w:ind w:left="0"/>
        <w:jc w:val="both"/>
      </w:pPr>
      <w:r>
        <w:rPr>
          <w:rFonts w:ascii="Times New Roman"/>
          <w:b w:val="false"/>
          <w:i w:val="false"/>
          <w:color w:val="000000"/>
          <w:sz w:val="28"/>
        </w:rPr>
        <w:t>
      Предусматривается предупредительная сигнализация по верхнему предельному уровню в сточных цистернах.</w:t>
      </w:r>
    </w:p>
    <w:bookmarkEnd w:id="10205"/>
    <w:bookmarkStart w:name="z10267" w:id="10206"/>
    <w:p>
      <w:pPr>
        <w:spacing w:after="0"/>
        <w:ind w:left="0"/>
        <w:jc w:val="both"/>
      </w:pPr>
      <w:r>
        <w:rPr>
          <w:rFonts w:ascii="Times New Roman"/>
          <w:b w:val="false"/>
          <w:i w:val="false"/>
          <w:color w:val="000000"/>
          <w:sz w:val="28"/>
        </w:rPr>
        <w:t>
      3685. Если сточная цистерна является общей для сточных труб от поддонов, расположенных в разных водонепроницаемых отсеках, то предусматриваются конструктивные меры, предотвращающие перелив воды из одного затопленного отсека в другой через открытые концы сточных труб.</w:t>
      </w:r>
    </w:p>
    <w:bookmarkEnd w:id="10206"/>
    <w:bookmarkStart w:name="z10268" w:id="10207"/>
    <w:p>
      <w:pPr>
        <w:spacing w:after="0"/>
        <w:ind w:left="0"/>
        <w:jc w:val="left"/>
      </w:pPr>
      <w:r>
        <w:rPr>
          <w:rFonts w:ascii="Times New Roman"/>
          <w:b/>
          <w:i w:val="false"/>
          <w:color w:val="000000"/>
        </w:rPr>
        <w:t xml:space="preserve"> Глава 303. Наполнение цистерн запаса топлива</w:t>
      </w:r>
    </w:p>
    <w:bookmarkEnd w:id="10207"/>
    <w:p>
      <w:pPr>
        <w:spacing w:after="0"/>
        <w:ind w:left="0"/>
        <w:jc w:val="both"/>
      </w:pPr>
      <w:r>
        <w:rPr>
          <w:rFonts w:ascii="Times New Roman"/>
          <w:b w:val="false"/>
          <w:i w:val="false"/>
          <w:color w:val="ff0000"/>
          <w:sz w:val="28"/>
        </w:rPr>
        <w:t xml:space="preserve">
      Сноска. Заголовок главы 303 -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69" w:id="10208"/>
    <w:p>
      <w:pPr>
        <w:spacing w:after="0"/>
        <w:ind w:left="0"/>
        <w:jc w:val="both"/>
      </w:pPr>
      <w:r>
        <w:rPr>
          <w:rFonts w:ascii="Times New Roman"/>
          <w:b w:val="false"/>
          <w:i w:val="false"/>
          <w:color w:val="000000"/>
          <w:sz w:val="28"/>
        </w:rPr>
        <w:t>
      3686. Прием жидкого топлива на судно производится через постоянный трубопровод, снабженный арматурой, обеспечивающей подачу топлива во все цистерны основного запаса.</w:t>
      </w:r>
    </w:p>
    <w:bookmarkEnd w:id="10208"/>
    <w:bookmarkStart w:name="z10270" w:id="10209"/>
    <w:p>
      <w:pPr>
        <w:spacing w:after="0"/>
        <w:ind w:left="0"/>
        <w:jc w:val="both"/>
      </w:pPr>
      <w:r>
        <w:rPr>
          <w:rFonts w:ascii="Times New Roman"/>
          <w:b w:val="false"/>
          <w:i w:val="false"/>
          <w:color w:val="000000"/>
          <w:sz w:val="28"/>
        </w:rPr>
        <w:t>
      Приемные трубопроводы топлива на судах катамаранного типа позволяют заполнение топливных цистерн любого корпуса судна, а также перекачку топлива из цистерн одного корпуса в цистерны другого.</w:t>
      </w:r>
    </w:p>
    <w:bookmarkEnd w:id="10209"/>
    <w:bookmarkStart w:name="z10271" w:id="10210"/>
    <w:p>
      <w:pPr>
        <w:spacing w:after="0"/>
        <w:ind w:left="0"/>
        <w:jc w:val="both"/>
      </w:pPr>
      <w:r>
        <w:rPr>
          <w:rFonts w:ascii="Times New Roman"/>
          <w:b w:val="false"/>
          <w:i w:val="false"/>
          <w:color w:val="000000"/>
          <w:sz w:val="28"/>
        </w:rPr>
        <w:t>
      Трубопровод наполнения топлива доводится до днища цистерны с зазором не менее 1/4 внутреннего диаметра трубы.</w:t>
      </w:r>
    </w:p>
    <w:bookmarkEnd w:id="10210"/>
    <w:bookmarkStart w:name="z10272" w:id="10211"/>
    <w:p>
      <w:pPr>
        <w:spacing w:after="0"/>
        <w:ind w:left="0"/>
        <w:jc w:val="both"/>
      </w:pPr>
      <w:r>
        <w:rPr>
          <w:rFonts w:ascii="Times New Roman"/>
          <w:b w:val="false"/>
          <w:i w:val="false"/>
          <w:color w:val="000000"/>
          <w:sz w:val="28"/>
        </w:rPr>
        <w:t>
      3687. На пассажирских судах для приема топлива предусматриваются специальные приемные станции, отделенные от других помещений и оборудованные сточными трубами, идущими в сточные топливные цистерны.</w:t>
      </w:r>
    </w:p>
    <w:bookmarkEnd w:id="10211"/>
    <w:bookmarkStart w:name="z10273" w:id="10212"/>
    <w:p>
      <w:pPr>
        <w:spacing w:after="0"/>
        <w:ind w:left="0"/>
        <w:jc w:val="both"/>
      </w:pPr>
      <w:r>
        <w:rPr>
          <w:rFonts w:ascii="Times New Roman"/>
          <w:b w:val="false"/>
          <w:i w:val="false"/>
          <w:color w:val="000000"/>
          <w:sz w:val="28"/>
        </w:rPr>
        <w:t>
      3688. Наполнительные трубопроводы цистерн, расположенных выше двойного дна, присоединяются к верхним частям цистерн.</w:t>
      </w:r>
    </w:p>
    <w:bookmarkEnd w:id="10212"/>
    <w:bookmarkStart w:name="z10274" w:id="10213"/>
    <w:p>
      <w:pPr>
        <w:spacing w:after="0"/>
        <w:ind w:left="0"/>
        <w:jc w:val="both"/>
      </w:pPr>
      <w:r>
        <w:rPr>
          <w:rFonts w:ascii="Times New Roman"/>
          <w:b w:val="false"/>
          <w:i w:val="false"/>
          <w:color w:val="000000"/>
          <w:sz w:val="28"/>
        </w:rPr>
        <w:t>
      Если это осуществить нельзя, наполнительные трубы должны иметь невозвратные клапаны, устанавливаемые непосредственно на цистернах.</w:t>
      </w:r>
    </w:p>
    <w:bookmarkEnd w:id="10213"/>
    <w:bookmarkStart w:name="z10275" w:id="10214"/>
    <w:p>
      <w:pPr>
        <w:spacing w:after="0"/>
        <w:ind w:left="0"/>
        <w:jc w:val="both"/>
      </w:pPr>
      <w:r>
        <w:rPr>
          <w:rFonts w:ascii="Times New Roman"/>
          <w:b w:val="false"/>
          <w:i w:val="false"/>
          <w:color w:val="000000"/>
          <w:sz w:val="28"/>
        </w:rPr>
        <w:t>
      Когда наполнительная труба используется в качестве приемной, вместо невозвратного клапана следует устанавливать запорный клапан с дистанционным закрытием, выведенным в доступное место за пределами помещения, в котором находится цистерна.</w:t>
      </w:r>
    </w:p>
    <w:bookmarkEnd w:id="10214"/>
    <w:bookmarkStart w:name="z10276" w:id="10215"/>
    <w:p>
      <w:pPr>
        <w:spacing w:after="0"/>
        <w:ind w:left="0"/>
        <w:jc w:val="left"/>
      </w:pPr>
      <w:r>
        <w:rPr>
          <w:rFonts w:ascii="Times New Roman"/>
          <w:b/>
          <w:i w:val="false"/>
          <w:color w:val="000000"/>
        </w:rPr>
        <w:t xml:space="preserve"> Глава 304. Топливные цистерны</w:t>
      </w:r>
    </w:p>
    <w:bookmarkEnd w:id="10215"/>
    <w:p>
      <w:pPr>
        <w:spacing w:after="0"/>
        <w:ind w:left="0"/>
        <w:jc w:val="both"/>
      </w:pPr>
      <w:r>
        <w:rPr>
          <w:rFonts w:ascii="Times New Roman"/>
          <w:b w:val="false"/>
          <w:i w:val="false"/>
          <w:color w:val="ff0000"/>
          <w:sz w:val="28"/>
        </w:rPr>
        <w:t xml:space="preserve">
      Сноска. Заголовок главы 304 -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77" w:id="10216"/>
    <w:p>
      <w:pPr>
        <w:spacing w:after="0"/>
        <w:ind w:left="0"/>
        <w:jc w:val="both"/>
      </w:pPr>
      <w:r>
        <w:rPr>
          <w:rFonts w:ascii="Times New Roman"/>
          <w:b w:val="false"/>
          <w:i w:val="false"/>
          <w:color w:val="000000"/>
          <w:sz w:val="28"/>
        </w:rPr>
        <w:t>
      3689. Конструктивные элементы топливных цистерн должны отвечать требованиям раздела 4 настоящих Правил.</w:t>
      </w:r>
    </w:p>
    <w:bookmarkEnd w:id="10216"/>
    <w:bookmarkStart w:name="z10278" w:id="10217"/>
    <w:p>
      <w:pPr>
        <w:spacing w:after="0"/>
        <w:ind w:left="0"/>
        <w:jc w:val="both"/>
      </w:pPr>
      <w:r>
        <w:rPr>
          <w:rFonts w:ascii="Times New Roman"/>
          <w:b w:val="false"/>
          <w:i w:val="false"/>
          <w:color w:val="000000"/>
          <w:sz w:val="28"/>
        </w:rPr>
        <w:t>
      3690. Расположение топливных цистерн в машинных помещениях должно отвечать требованиям главы 183 настоящих Правил.</w:t>
      </w:r>
    </w:p>
    <w:bookmarkEnd w:id="10217"/>
    <w:bookmarkStart w:name="z10279" w:id="10218"/>
    <w:p>
      <w:pPr>
        <w:spacing w:after="0"/>
        <w:ind w:left="0"/>
        <w:jc w:val="both"/>
      </w:pPr>
      <w:r>
        <w:rPr>
          <w:rFonts w:ascii="Times New Roman"/>
          <w:b w:val="false"/>
          <w:i w:val="false"/>
          <w:color w:val="000000"/>
          <w:sz w:val="28"/>
        </w:rPr>
        <w:t>
      3691. Топливные цистерны, расположенные на открытых палубах и надстройках, а также в других местах, подверженных влиянию атмосферы, защищают от воздействия солнечных лучей.</w:t>
      </w:r>
    </w:p>
    <w:bookmarkEnd w:id="10218"/>
    <w:bookmarkStart w:name="z10280" w:id="10219"/>
    <w:p>
      <w:pPr>
        <w:spacing w:after="0"/>
        <w:ind w:left="0"/>
        <w:jc w:val="both"/>
      </w:pPr>
      <w:r>
        <w:rPr>
          <w:rFonts w:ascii="Times New Roman"/>
          <w:b w:val="false"/>
          <w:i w:val="false"/>
          <w:color w:val="000000"/>
          <w:sz w:val="28"/>
        </w:rPr>
        <w:t>
      3692. На судах из стеклопластика (глава 721 настоящих Правил) топливные цистерны не должны непосредственно примыкать к жилым помещениям. Воздушное пространство между топливной цистерной и жилым помещением должно эффективно вентилироваться.</w:t>
      </w:r>
    </w:p>
    <w:bookmarkEnd w:id="10219"/>
    <w:bookmarkStart w:name="z10281" w:id="10220"/>
    <w:p>
      <w:pPr>
        <w:spacing w:after="0"/>
        <w:ind w:left="0"/>
        <w:jc w:val="both"/>
      </w:pPr>
      <w:r>
        <w:rPr>
          <w:rFonts w:ascii="Times New Roman"/>
          <w:b w:val="false"/>
          <w:i w:val="false"/>
          <w:color w:val="000000"/>
          <w:sz w:val="28"/>
        </w:rPr>
        <w:t>
      Как правило, топливные цистерны не располагаются в машинных отделениях. При размещении их в машинном отделении они выполняются из стали или равноценного материала (глава 138 настоящих Правил).</w:t>
      </w:r>
    </w:p>
    <w:bookmarkEnd w:id="10220"/>
    <w:bookmarkStart w:name="z10282" w:id="10221"/>
    <w:p>
      <w:pPr>
        <w:spacing w:after="0"/>
        <w:ind w:left="0"/>
        <w:jc w:val="both"/>
      </w:pPr>
      <w:r>
        <w:rPr>
          <w:rFonts w:ascii="Times New Roman"/>
          <w:b w:val="false"/>
          <w:i w:val="false"/>
          <w:color w:val="000000"/>
          <w:sz w:val="28"/>
        </w:rPr>
        <w:t>
      3693. Топливные цистерны отделяют от цистерн питательной воды и растительного масла коффердамами, конструктивные элементы которых отвечают требованиям раздела 4 настоящих Правил.</w:t>
      </w:r>
    </w:p>
    <w:bookmarkEnd w:id="10221"/>
    <w:bookmarkStart w:name="z10283" w:id="10222"/>
    <w:p>
      <w:pPr>
        <w:spacing w:after="0"/>
        <w:ind w:left="0"/>
        <w:jc w:val="both"/>
      </w:pPr>
      <w:r>
        <w:rPr>
          <w:rFonts w:ascii="Times New Roman"/>
          <w:b w:val="false"/>
          <w:i w:val="false"/>
          <w:color w:val="000000"/>
          <w:sz w:val="28"/>
        </w:rPr>
        <w:t>
      3694. На судах валовой вместимостью 400 и более отсеки, расположенные впереди таранной переборки, не используются для перевозки топлива или других жидких воспламеняющихся веществ.</w:t>
      </w:r>
    </w:p>
    <w:bookmarkEnd w:id="10222"/>
    <w:bookmarkStart w:name="z10284" w:id="10223"/>
    <w:p>
      <w:pPr>
        <w:spacing w:after="0"/>
        <w:ind w:left="0"/>
        <w:jc w:val="both"/>
      </w:pPr>
      <w:r>
        <w:rPr>
          <w:rFonts w:ascii="Times New Roman"/>
          <w:b w:val="false"/>
          <w:i w:val="false"/>
          <w:color w:val="000000"/>
          <w:sz w:val="28"/>
        </w:rPr>
        <w:t>
      3695. На судах, имеющих в символе класса знак борьбы с пожаром на других судах, топливные цистерны включают запасы топлива для обеспечения работы насосов специальных систем пожаротушения в течение 24 ч для судов со знаком FF3WS и 72 ч для судов со знаками FF1, FF1WS, FF2 или FF2WS.</w:t>
      </w:r>
    </w:p>
    <w:bookmarkEnd w:id="10223"/>
    <w:bookmarkStart w:name="z10285" w:id="10224"/>
    <w:p>
      <w:pPr>
        <w:spacing w:after="0"/>
        <w:ind w:left="0"/>
        <w:jc w:val="left"/>
      </w:pPr>
      <w:r>
        <w:rPr>
          <w:rFonts w:ascii="Times New Roman"/>
          <w:b/>
          <w:i w:val="false"/>
          <w:color w:val="000000"/>
        </w:rPr>
        <w:t xml:space="preserve"> Глава 305. Подвод топлива к двигателям внутреннего сгорания</w:t>
      </w:r>
    </w:p>
    <w:bookmarkEnd w:id="10224"/>
    <w:p>
      <w:pPr>
        <w:spacing w:after="0"/>
        <w:ind w:left="0"/>
        <w:jc w:val="both"/>
      </w:pPr>
      <w:r>
        <w:rPr>
          <w:rFonts w:ascii="Times New Roman"/>
          <w:b w:val="false"/>
          <w:i w:val="false"/>
          <w:color w:val="ff0000"/>
          <w:sz w:val="28"/>
        </w:rPr>
        <w:t xml:space="preserve">
      Сноска. Заголовок главы 305 -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86" w:id="10225"/>
    <w:p>
      <w:pPr>
        <w:spacing w:after="0"/>
        <w:ind w:left="0"/>
        <w:jc w:val="both"/>
      </w:pPr>
      <w:r>
        <w:rPr>
          <w:rFonts w:ascii="Times New Roman"/>
          <w:b w:val="false"/>
          <w:i w:val="false"/>
          <w:color w:val="000000"/>
          <w:sz w:val="28"/>
        </w:rPr>
        <w:t>
      3696. Оборудование топливной системы обеспечивает подвод топлива, надлежащим образом подготовленного и очищенного в степени, требуемой для данного двигателя.</w:t>
      </w:r>
    </w:p>
    <w:bookmarkEnd w:id="10225"/>
    <w:bookmarkStart w:name="z10287" w:id="10226"/>
    <w:p>
      <w:pPr>
        <w:spacing w:after="0"/>
        <w:ind w:left="0"/>
        <w:jc w:val="both"/>
      </w:pPr>
      <w:r>
        <w:rPr>
          <w:rFonts w:ascii="Times New Roman"/>
          <w:b w:val="false"/>
          <w:i w:val="false"/>
          <w:color w:val="000000"/>
          <w:sz w:val="28"/>
        </w:rPr>
        <w:t>
      Подвод топлива к главным и вспомогательным двигателям производится от двух расходных цистерн для каждого рода топлива.</w:t>
      </w:r>
    </w:p>
    <w:bookmarkEnd w:id="10226"/>
    <w:bookmarkStart w:name="z10288" w:id="10227"/>
    <w:p>
      <w:pPr>
        <w:spacing w:after="0"/>
        <w:ind w:left="0"/>
        <w:jc w:val="both"/>
      </w:pPr>
      <w:r>
        <w:rPr>
          <w:rFonts w:ascii="Times New Roman"/>
          <w:b w:val="false"/>
          <w:i w:val="false"/>
          <w:color w:val="000000"/>
          <w:sz w:val="28"/>
        </w:rPr>
        <w:t>
      Под расходной цистерной следует понимать цистерну, содержащую только топливо, подготовленное для использования, то есть топливо, марка и свойства которого отвечают требованиям, указанным производителем оборудования. Расходная цистерна, предназначенная для определенного сорта топлива, маркируется соответствующим образом и не допускается использование для других целей.</w:t>
      </w:r>
    </w:p>
    <w:bookmarkEnd w:id="10227"/>
    <w:bookmarkStart w:name="z10289" w:id="10228"/>
    <w:p>
      <w:pPr>
        <w:spacing w:after="0"/>
        <w:ind w:left="0"/>
        <w:jc w:val="both"/>
      </w:pPr>
      <w:r>
        <w:rPr>
          <w:rFonts w:ascii="Times New Roman"/>
          <w:b w:val="false"/>
          <w:i w:val="false"/>
          <w:color w:val="000000"/>
          <w:sz w:val="28"/>
        </w:rPr>
        <w:t>
      Вместимость каждой цистерны должна быть достаточной для 8-часовой работы главных и вспомогательных двигателей и котлов на максимальной эксплуатационной нагрузке.</w:t>
      </w:r>
    </w:p>
    <w:bookmarkEnd w:id="10228"/>
    <w:bookmarkStart w:name="z10290" w:id="10229"/>
    <w:p>
      <w:pPr>
        <w:spacing w:after="0"/>
        <w:ind w:left="0"/>
        <w:jc w:val="both"/>
      </w:pPr>
      <w:r>
        <w:rPr>
          <w:rFonts w:ascii="Times New Roman"/>
          <w:b w:val="false"/>
          <w:i w:val="false"/>
          <w:color w:val="000000"/>
          <w:sz w:val="28"/>
        </w:rPr>
        <w:t>
      Использование отстойной цистерны в качестве расходной не допускается.</w:t>
      </w:r>
    </w:p>
    <w:bookmarkEnd w:id="10229"/>
    <w:bookmarkStart w:name="z10291" w:id="10230"/>
    <w:p>
      <w:pPr>
        <w:spacing w:after="0"/>
        <w:ind w:left="0"/>
        <w:jc w:val="both"/>
      </w:pPr>
      <w:r>
        <w:rPr>
          <w:rFonts w:ascii="Times New Roman"/>
          <w:b w:val="false"/>
          <w:i w:val="false"/>
          <w:color w:val="000000"/>
          <w:sz w:val="28"/>
        </w:rPr>
        <w:t>
      Оборудование топливной системы двумя расходными цистернами для каждого рода топлива и эквивалентные замены, отвечающие требованиям для большинства широко используемых топливных систем, указаны в приложениях 354 и 355 настоящих Правил.</w:t>
      </w:r>
    </w:p>
    <w:bookmarkEnd w:id="10230"/>
    <w:bookmarkStart w:name="z10292" w:id="10231"/>
    <w:p>
      <w:pPr>
        <w:spacing w:after="0"/>
        <w:ind w:left="0"/>
        <w:jc w:val="both"/>
      </w:pPr>
      <w:r>
        <w:rPr>
          <w:rFonts w:ascii="Times New Roman"/>
          <w:b w:val="false"/>
          <w:i w:val="false"/>
          <w:color w:val="000000"/>
          <w:sz w:val="28"/>
        </w:rPr>
        <w:t>
      Схема б), указанная в приложении 354 настоящих Правил, применима в случаях, когда главный и вспомогательный двигатели могут на всех нагрузках эксплуатироваться на тяжелом топливе, а применительно к главным двигателям — тяжелое топливо может быть использовано при пусках и реверсах.</w:t>
      </w:r>
    </w:p>
    <w:bookmarkEnd w:id="10231"/>
    <w:bookmarkStart w:name="z10293" w:id="10232"/>
    <w:p>
      <w:pPr>
        <w:spacing w:after="0"/>
        <w:ind w:left="0"/>
        <w:jc w:val="both"/>
      </w:pPr>
      <w:r>
        <w:rPr>
          <w:rFonts w:ascii="Times New Roman"/>
          <w:b w:val="false"/>
          <w:i w:val="false"/>
          <w:color w:val="000000"/>
          <w:sz w:val="28"/>
        </w:rPr>
        <w:t>
      Схемы б), указанные в приложении 354 и 355 настоящих Правил, применимы только в случаях, когда используются устройства и системы, позволяющие произвести быстрый переход с одного вида топлива на другой и способные эксплуатироваться в море на двух видах топлива во всех нормальных условиях эксплуатации.</w:t>
      </w:r>
    </w:p>
    <w:bookmarkEnd w:id="10232"/>
    <w:bookmarkStart w:name="z10294" w:id="10233"/>
    <w:p>
      <w:pPr>
        <w:spacing w:after="0"/>
        <w:ind w:left="0"/>
        <w:jc w:val="both"/>
      </w:pPr>
      <w:r>
        <w:rPr>
          <w:rFonts w:ascii="Times New Roman"/>
          <w:b w:val="false"/>
          <w:i w:val="false"/>
          <w:color w:val="000000"/>
          <w:sz w:val="28"/>
        </w:rPr>
        <w:t>
      Отступление от этих требований допускается Регистром судоходства для рыболовных судов, судов валовой вместимостью менее 500, а также для судов технического флота, для судов длиной менее 24 м и стоечных судов.</w:t>
      </w:r>
    </w:p>
    <w:bookmarkEnd w:id="10233"/>
    <w:bookmarkStart w:name="z10295" w:id="10234"/>
    <w:p>
      <w:pPr>
        <w:spacing w:after="0"/>
        <w:ind w:left="0"/>
        <w:jc w:val="both"/>
      </w:pPr>
      <w:r>
        <w:rPr>
          <w:rFonts w:ascii="Times New Roman"/>
          <w:b w:val="false"/>
          <w:i w:val="false"/>
          <w:color w:val="000000"/>
          <w:sz w:val="28"/>
        </w:rPr>
        <w:t>
      3697. Топливные фильтры, устанавливаемые на трубопроводах подвода топлива к двигателям, обеспечивают их очистку без прекращения работы двигателя. Конструкция фильтров отвечает требованиям главы 243 настоящих Правил.</w:t>
      </w:r>
    </w:p>
    <w:bookmarkEnd w:id="10234"/>
    <w:bookmarkStart w:name="z10296" w:id="10235"/>
    <w:p>
      <w:pPr>
        <w:spacing w:after="0"/>
        <w:ind w:left="0"/>
        <w:jc w:val="both"/>
      </w:pPr>
      <w:r>
        <w:rPr>
          <w:rFonts w:ascii="Times New Roman"/>
          <w:b w:val="false"/>
          <w:i w:val="false"/>
          <w:color w:val="000000"/>
          <w:sz w:val="28"/>
        </w:rPr>
        <w:t>
      3698. При подводе топлива к двигателям выполняются следующие требования:</w:t>
      </w:r>
    </w:p>
    <w:bookmarkEnd w:id="10235"/>
    <w:bookmarkStart w:name="z10297" w:id="10236"/>
    <w:p>
      <w:pPr>
        <w:spacing w:after="0"/>
        <w:ind w:left="0"/>
        <w:jc w:val="both"/>
      </w:pPr>
      <w:r>
        <w:rPr>
          <w:rFonts w:ascii="Times New Roman"/>
          <w:b w:val="false"/>
          <w:i w:val="false"/>
          <w:color w:val="000000"/>
          <w:sz w:val="28"/>
        </w:rPr>
        <w:t>
      1) в топливной системе, имеющей подкачивающий насос, за исключением установок с двумя и более двигателями, каждый из которых оборудован собственным подкачивающим насосом, предусматривают средства, обеспечивающие подачу топлива к двигателям при выходе из строя подкачивающего насоса;</w:t>
      </w:r>
    </w:p>
    <w:bookmarkEnd w:id="10236"/>
    <w:bookmarkStart w:name="z10298" w:id="10237"/>
    <w:p>
      <w:pPr>
        <w:spacing w:after="0"/>
        <w:ind w:left="0"/>
        <w:jc w:val="both"/>
      </w:pPr>
      <w:r>
        <w:rPr>
          <w:rFonts w:ascii="Times New Roman"/>
          <w:b w:val="false"/>
          <w:i w:val="false"/>
          <w:color w:val="000000"/>
          <w:sz w:val="28"/>
        </w:rPr>
        <w:t>
      2) в топливной системе двигателей, входящих в состав установок с двумя и более главными двигателями, имеющими общий источник подачи топлива, предусматриваются средства отключения подачи топлива к каждому отдельному двигателю. Управление отсекающей арматурой осуществляется дистанционно с поста управления (подпункт 11) пункта 2708 настоящих Правил).</w:t>
      </w:r>
    </w:p>
    <w:bookmarkEnd w:id="10237"/>
    <w:bookmarkStart w:name="z10299" w:id="10238"/>
    <w:p>
      <w:pPr>
        <w:spacing w:after="0"/>
        <w:ind w:left="0"/>
        <w:jc w:val="both"/>
      </w:pPr>
      <w:r>
        <w:rPr>
          <w:rFonts w:ascii="Times New Roman"/>
          <w:b w:val="false"/>
          <w:i w:val="false"/>
          <w:color w:val="000000"/>
          <w:sz w:val="28"/>
        </w:rPr>
        <w:t>
      Отступление от вышеперечисленных требований допускается Регистром судоходства для грузовых судов валовой вместимостью менее 500 ограниченных районов плавания R2, R2-RSN, R3-RSN и R3.</w:t>
      </w:r>
    </w:p>
    <w:bookmarkEnd w:id="10238"/>
    <w:bookmarkStart w:name="z10300" w:id="10239"/>
    <w:p>
      <w:pPr>
        <w:spacing w:after="0"/>
        <w:ind w:left="0"/>
        <w:jc w:val="both"/>
      </w:pPr>
      <w:r>
        <w:rPr>
          <w:rFonts w:ascii="Times New Roman"/>
          <w:b w:val="false"/>
          <w:i w:val="false"/>
          <w:color w:val="000000"/>
          <w:sz w:val="28"/>
        </w:rPr>
        <w:t>
      3699. При работе двигателей на разных сортах топлива принимают меры, исключающие поступление к вспомогательным двигателям и другим потребителям непригодного для их работы топлива.</w:t>
      </w:r>
    </w:p>
    <w:bookmarkEnd w:id="10239"/>
    <w:bookmarkStart w:name="z10301" w:id="10240"/>
    <w:p>
      <w:pPr>
        <w:spacing w:after="0"/>
        <w:ind w:left="0"/>
        <w:jc w:val="both"/>
      </w:pPr>
      <w:r>
        <w:rPr>
          <w:rFonts w:ascii="Times New Roman"/>
          <w:b w:val="false"/>
          <w:i w:val="false"/>
          <w:color w:val="000000"/>
          <w:sz w:val="28"/>
        </w:rPr>
        <w:t>
      3700. Подвод топлива к дизель-генераторам, предназначенным для использования в качестве аварийных, осуществляется от автономной расходной цистерны, расположенной в помещении аварийного дизель-генератора. Не допускается расходование топлива из этой цистерны другими потребителями, за исключением случаев, предусмотренных пунктов 5241 настоящих Правил и при соблюдении требований пункта 3975 настоящих Правил. Объем цистерны обеспечивает работу аварийного дизель-генератора в течение времени, указанного в пункте 5231 и 5729 настоящих Правил. При использовании аварийного дизель-генератора в период стоянки судна для питания неаварийных потребителей, а также в случае использования его в качестве средства, обеспечивающего ввод в действие механизмов при неработающем состоянии (пункт 2678 настоящих Правил), необходимо обеспечить автоматическое пополнение расходной топливной цистерны аварийного дизель-генератора и сигнализацию по нижнему уровню топлива, который соответствует объему расходной цистерны аварийного дизельгенератора.</w:t>
      </w:r>
    </w:p>
    <w:bookmarkEnd w:id="10240"/>
    <w:bookmarkStart w:name="z10302" w:id="10241"/>
    <w:p>
      <w:pPr>
        <w:spacing w:after="0"/>
        <w:ind w:left="0"/>
        <w:jc w:val="both"/>
      </w:pPr>
      <w:r>
        <w:rPr>
          <w:rFonts w:ascii="Times New Roman"/>
          <w:b w:val="false"/>
          <w:i w:val="false"/>
          <w:color w:val="000000"/>
          <w:sz w:val="28"/>
        </w:rPr>
        <w:t>
      3701. Топливная система оборудуется контрольно-измерительными приборами в соответствии с главой 354 настоящих Правил. Смотровые стекла на трубопроводах должны быть жаростойкими.</w:t>
      </w:r>
    </w:p>
    <w:bookmarkEnd w:id="10241"/>
    <w:bookmarkStart w:name="z10303" w:id="10242"/>
    <w:p>
      <w:pPr>
        <w:spacing w:after="0"/>
        <w:ind w:left="0"/>
        <w:jc w:val="both"/>
      </w:pPr>
      <w:r>
        <w:rPr>
          <w:rFonts w:ascii="Times New Roman"/>
          <w:b w:val="false"/>
          <w:i w:val="false"/>
          <w:color w:val="000000"/>
          <w:sz w:val="28"/>
        </w:rPr>
        <w:t>
      3702. Элементы топливной системы и соединения в топливных трубопроводах применяются с учетом максимального пикового давления, которое ожидается в эксплуатации, включая пульсирующее давление и гидравлические удары, производимые топливными насосами и передаваемые в приемный трубопровод топлива и трубопровод сбора протечек.</w:t>
      </w:r>
    </w:p>
    <w:bookmarkEnd w:id="10242"/>
    <w:bookmarkStart w:name="z10304" w:id="10243"/>
    <w:p>
      <w:pPr>
        <w:spacing w:after="0"/>
        <w:ind w:left="0"/>
        <w:jc w:val="left"/>
      </w:pPr>
      <w:r>
        <w:rPr>
          <w:rFonts w:ascii="Times New Roman"/>
          <w:b/>
          <w:i w:val="false"/>
          <w:color w:val="000000"/>
        </w:rPr>
        <w:t xml:space="preserve"> Глава 306. Подвод топлива к котлам</w:t>
      </w:r>
    </w:p>
    <w:bookmarkEnd w:id="10243"/>
    <w:p>
      <w:pPr>
        <w:spacing w:after="0"/>
        <w:ind w:left="0"/>
        <w:jc w:val="both"/>
      </w:pPr>
      <w:r>
        <w:rPr>
          <w:rFonts w:ascii="Times New Roman"/>
          <w:b w:val="false"/>
          <w:i w:val="false"/>
          <w:color w:val="ff0000"/>
          <w:sz w:val="28"/>
        </w:rPr>
        <w:t xml:space="preserve">
      Сноска. Заголовок главы 306 -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05" w:id="10244"/>
    <w:p>
      <w:pPr>
        <w:spacing w:after="0"/>
        <w:ind w:left="0"/>
        <w:jc w:val="both"/>
      </w:pPr>
      <w:r>
        <w:rPr>
          <w:rFonts w:ascii="Times New Roman"/>
          <w:b w:val="false"/>
          <w:i w:val="false"/>
          <w:color w:val="000000"/>
          <w:sz w:val="28"/>
        </w:rPr>
        <w:t>
      3703. Система подачи жидкого топлива с механическим распыливанием к главным котлам и вспомогательным котлам ответственного назначения (глава 6 настоящих Правил) оборудуется не менее чем двумя комплектами топливных насосов, фильтров на приемном и напорном трубопроводах.</w:t>
      </w:r>
    </w:p>
    <w:bookmarkEnd w:id="10244"/>
    <w:bookmarkStart w:name="z10306" w:id="10245"/>
    <w:p>
      <w:pPr>
        <w:spacing w:after="0"/>
        <w:ind w:left="0"/>
        <w:jc w:val="both"/>
      </w:pPr>
      <w:r>
        <w:rPr>
          <w:rFonts w:ascii="Times New Roman"/>
          <w:b w:val="false"/>
          <w:i w:val="false"/>
          <w:color w:val="000000"/>
          <w:sz w:val="28"/>
        </w:rPr>
        <w:t>
      Каждый комплект рассчитывают на полную паропроизводительность обслуживаемых котлов.</w:t>
      </w:r>
    </w:p>
    <w:bookmarkEnd w:id="10245"/>
    <w:bookmarkStart w:name="z10307" w:id="10246"/>
    <w:p>
      <w:pPr>
        <w:spacing w:after="0"/>
        <w:ind w:left="0"/>
        <w:jc w:val="both"/>
      </w:pPr>
      <w:r>
        <w:rPr>
          <w:rFonts w:ascii="Times New Roman"/>
          <w:b w:val="false"/>
          <w:i w:val="false"/>
          <w:color w:val="000000"/>
          <w:sz w:val="28"/>
        </w:rPr>
        <w:t>
      Топливные насосы помимо местного управления имеют средства для остановки их из легкодоступных мест вне помещения, в котором они расположены.</w:t>
      </w:r>
    </w:p>
    <w:bookmarkEnd w:id="10246"/>
    <w:bookmarkStart w:name="z10308" w:id="10247"/>
    <w:p>
      <w:pPr>
        <w:spacing w:after="0"/>
        <w:ind w:left="0"/>
        <w:jc w:val="both"/>
      </w:pPr>
      <w:r>
        <w:rPr>
          <w:rFonts w:ascii="Times New Roman"/>
          <w:b w:val="false"/>
          <w:i w:val="false"/>
          <w:color w:val="000000"/>
          <w:sz w:val="28"/>
        </w:rPr>
        <w:t>
      Подвод топлива к главным котлам производится, как правило, от двух цистерн.</w:t>
      </w:r>
    </w:p>
    <w:bookmarkEnd w:id="10247"/>
    <w:bookmarkStart w:name="z10309" w:id="10248"/>
    <w:p>
      <w:pPr>
        <w:spacing w:after="0"/>
        <w:ind w:left="0"/>
        <w:jc w:val="both"/>
      </w:pPr>
      <w:r>
        <w:rPr>
          <w:rFonts w:ascii="Times New Roman"/>
          <w:b w:val="false"/>
          <w:i w:val="false"/>
          <w:color w:val="000000"/>
          <w:sz w:val="28"/>
        </w:rPr>
        <w:t>
      3704. Насосы, обслуживающие систему подачи топлива к котлам, не допускается использовать для других целей.</w:t>
      </w:r>
    </w:p>
    <w:bookmarkEnd w:id="10248"/>
    <w:bookmarkStart w:name="z10310" w:id="10249"/>
    <w:p>
      <w:pPr>
        <w:spacing w:after="0"/>
        <w:ind w:left="0"/>
        <w:jc w:val="both"/>
      </w:pPr>
      <w:r>
        <w:rPr>
          <w:rFonts w:ascii="Times New Roman"/>
          <w:b w:val="false"/>
          <w:i w:val="false"/>
          <w:color w:val="000000"/>
          <w:sz w:val="28"/>
        </w:rPr>
        <w:t>
      3705. На трубопроводе, подающем топливо к форсункам каждого котла, следует устанавливать быстрозапорный клапан с местным ручным управлением.</w:t>
      </w:r>
    </w:p>
    <w:bookmarkEnd w:id="10249"/>
    <w:bookmarkStart w:name="z10311" w:id="10250"/>
    <w:p>
      <w:pPr>
        <w:spacing w:after="0"/>
        <w:ind w:left="0"/>
        <w:jc w:val="both"/>
      </w:pPr>
      <w:r>
        <w:rPr>
          <w:rFonts w:ascii="Times New Roman"/>
          <w:b w:val="false"/>
          <w:i w:val="false"/>
          <w:color w:val="000000"/>
          <w:sz w:val="28"/>
        </w:rPr>
        <w:t>
      Это требование относится к котлам с ручным розжигом, а также к котлам с гравитационной системой подачи топлива к форсункам.</w:t>
      </w:r>
    </w:p>
    <w:bookmarkEnd w:id="10250"/>
    <w:bookmarkStart w:name="z10312" w:id="10251"/>
    <w:p>
      <w:pPr>
        <w:spacing w:after="0"/>
        <w:ind w:left="0"/>
        <w:jc w:val="both"/>
      </w:pPr>
      <w:r>
        <w:rPr>
          <w:rFonts w:ascii="Times New Roman"/>
          <w:b w:val="false"/>
          <w:i w:val="false"/>
          <w:color w:val="000000"/>
          <w:sz w:val="28"/>
        </w:rPr>
        <w:t>
      3706. При гравитационной системе подачи топлива к котлам на трубопроводе, подающем топливо к форсункам, предусматривается фильтр.</w:t>
      </w:r>
    </w:p>
    <w:bookmarkEnd w:id="10251"/>
    <w:bookmarkStart w:name="z10313" w:id="10252"/>
    <w:p>
      <w:pPr>
        <w:spacing w:after="0"/>
        <w:ind w:left="0"/>
        <w:jc w:val="both"/>
      </w:pPr>
      <w:r>
        <w:rPr>
          <w:rFonts w:ascii="Times New Roman"/>
          <w:b w:val="false"/>
          <w:i w:val="false"/>
          <w:color w:val="000000"/>
          <w:sz w:val="28"/>
        </w:rPr>
        <w:t>
      3707. Обеспечивается возможность ввода в действие главных котлов без снабжения их энергией извне судна.</w:t>
      </w:r>
    </w:p>
    <w:bookmarkEnd w:id="10252"/>
    <w:bookmarkStart w:name="z10314" w:id="10253"/>
    <w:p>
      <w:pPr>
        <w:spacing w:after="0"/>
        <w:ind w:left="0"/>
        <w:jc w:val="both"/>
      </w:pPr>
      <w:r>
        <w:rPr>
          <w:rFonts w:ascii="Times New Roman"/>
          <w:b w:val="false"/>
          <w:i w:val="false"/>
          <w:color w:val="000000"/>
          <w:sz w:val="28"/>
        </w:rPr>
        <w:t>
      3708. Если топливные цистерны для главных котлов и вспомогательных котлов ответственного назначения используются в качестве балластных, следует предусматривать отстойные цистерны.</w:t>
      </w:r>
    </w:p>
    <w:bookmarkEnd w:id="10253"/>
    <w:bookmarkStart w:name="z10315" w:id="10254"/>
    <w:p>
      <w:pPr>
        <w:spacing w:after="0"/>
        <w:ind w:left="0"/>
        <w:jc w:val="both"/>
      </w:pPr>
      <w:r>
        <w:rPr>
          <w:rFonts w:ascii="Times New Roman"/>
          <w:b w:val="false"/>
          <w:i w:val="false"/>
          <w:color w:val="000000"/>
          <w:sz w:val="28"/>
        </w:rPr>
        <w:t>
      При наличии двух расходных цистерн отстойные цистерны допускается не предусматривать.</w:t>
      </w:r>
    </w:p>
    <w:bookmarkEnd w:id="10254"/>
    <w:bookmarkStart w:name="z10316" w:id="10255"/>
    <w:p>
      <w:pPr>
        <w:spacing w:after="0"/>
        <w:ind w:left="0"/>
        <w:jc w:val="both"/>
      </w:pPr>
      <w:r>
        <w:rPr>
          <w:rFonts w:ascii="Times New Roman"/>
          <w:b w:val="false"/>
          <w:i w:val="false"/>
          <w:color w:val="000000"/>
          <w:sz w:val="28"/>
        </w:rPr>
        <w:t>
      3709. Топочные устройства котлов должны отвечать требованиям раздела 5 настоящих Правил.</w:t>
      </w:r>
    </w:p>
    <w:bookmarkEnd w:id="10255"/>
    <w:bookmarkStart w:name="z10317" w:id="10256"/>
    <w:p>
      <w:pPr>
        <w:spacing w:after="0"/>
        <w:ind w:left="0"/>
        <w:jc w:val="both"/>
      </w:pPr>
      <w:r>
        <w:rPr>
          <w:rFonts w:ascii="Times New Roman"/>
          <w:b w:val="false"/>
          <w:i w:val="false"/>
          <w:color w:val="000000"/>
          <w:sz w:val="28"/>
        </w:rPr>
        <w:t>
      3710. На трубопроводах, подающих топливо к форсункам, в соответствующих местах следует предусматривать термометры и манометры.</w:t>
      </w:r>
    </w:p>
    <w:bookmarkEnd w:id="10256"/>
    <w:bookmarkStart w:name="z10318" w:id="10257"/>
    <w:p>
      <w:pPr>
        <w:spacing w:after="0"/>
        <w:ind w:left="0"/>
        <w:jc w:val="left"/>
      </w:pPr>
      <w:r>
        <w:rPr>
          <w:rFonts w:ascii="Times New Roman"/>
          <w:b/>
          <w:i w:val="false"/>
          <w:color w:val="000000"/>
        </w:rPr>
        <w:t xml:space="preserve"> Глава 307. Подвод топлива к газотурбинным установкам</w:t>
      </w:r>
    </w:p>
    <w:bookmarkEnd w:id="10257"/>
    <w:p>
      <w:pPr>
        <w:spacing w:after="0"/>
        <w:ind w:left="0"/>
        <w:jc w:val="both"/>
      </w:pPr>
      <w:r>
        <w:rPr>
          <w:rFonts w:ascii="Times New Roman"/>
          <w:b w:val="false"/>
          <w:i w:val="false"/>
          <w:color w:val="ff0000"/>
          <w:sz w:val="28"/>
        </w:rPr>
        <w:t xml:space="preserve">
      Сноска. Заголовок главы 307 -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19" w:id="10258"/>
    <w:p>
      <w:pPr>
        <w:spacing w:after="0"/>
        <w:ind w:left="0"/>
        <w:jc w:val="both"/>
      </w:pPr>
      <w:r>
        <w:rPr>
          <w:rFonts w:ascii="Times New Roman"/>
          <w:b w:val="false"/>
          <w:i w:val="false"/>
          <w:color w:val="000000"/>
          <w:sz w:val="28"/>
        </w:rPr>
        <w:t>
      3711. Главный ГТД имеет не менее двух топливоподкачивающих насосов — основного и резервного, один из которых может иметь привод от ГТД. Подача резервного насоса должна быть не меньше подачи основного.</w:t>
      </w:r>
    </w:p>
    <w:bookmarkEnd w:id="10258"/>
    <w:bookmarkStart w:name="z10320" w:id="10259"/>
    <w:p>
      <w:pPr>
        <w:spacing w:after="0"/>
        <w:ind w:left="0"/>
        <w:jc w:val="both"/>
      </w:pPr>
      <w:r>
        <w:rPr>
          <w:rFonts w:ascii="Times New Roman"/>
          <w:b w:val="false"/>
          <w:i w:val="false"/>
          <w:color w:val="000000"/>
          <w:sz w:val="28"/>
        </w:rPr>
        <w:t>
      При двух и более ГТД достаточно иметь один резервный насос.</w:t>
      </w:r>
    </w:p>
    <w:bookmarkEnd w:id="10259"/>
    <w:bookmarkStart w:name="z10321" w:id="10260"/>
    <w:p>
      <w:pPr>
        <w:spacing w:after="0"/>
        <w:ind w:left="0"/>
        <w:jc w:val="both"/>
      </w:pPr>
      <w:r>
        <w:rPr>
          <w:rFonts w:ascii="Times New Roman"/>
          <w:b w:val="false"/>
          <w:i w:val="false"/>
          <w:color w:val="000000"/>
          <w:sz w:val="28"/>
        </w:rPr>
        <w:t>
      3712. Топливная система ГТД должна отвечать требованиям глав 305 и 381 настоящих Правил.</w:t>
      </w:r>
    </w:p>
    <w:bookmarkEnd w:id="10260"/>
    <w:bookmarkStart w:name="z10322" w:id="10261"/>
    <w:p>
      <w:pPr>
        <w:spacing w:after="0"/>
        <w:ind w:left="0"/>
        <w:jc w:val="left"/>
      </w:pPr>
      <w:r>
        <w:rPr>
          <w:rFonts w:ascii="Times New Roman"/>
          <w:b/>
          <w:i w:val="false"/>
          <w:color w:val="000000"/>
        </w:rPr>
        <w:t xml:space="preserve"> Глава 308. Применение сырой нефти и остатков нефтяного груза в качестве топлива для котлов на нефтеналивных судах</w:t>
      </w:r>
    </w:p>
    <w:bookmarkEnd w:id="10261"/>
    <w:p>
      <w:pPr>
        <w:spacing w:after="0"/>
        <w:ind w:left="0"/>
        <w:jc w:val="both"/>
      </w:pPr>
      <w:r>
        <w:rPr>
          <w:rFonts w:ascii="Times New Roman"/>
          <w:b w:val="false"/>
          <w:i w:val="false"/>
          <w:color w:val="ff0000"/>
          <w:sz w:val="28"/>
        </w:rPr>
        <w:t xml:space="preserve">
      Сноска. Заголовок главы 308 -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23" w:id="10262"/>
    <w:p>
      <w:pPr>
        <w:spacing w:after="0"/>
        <w:ind w:left="0"/>
        <w:jc w:val="both"/>
      </w:pPr>
      <w:r>
        <w:rPr>
          <w:rFonts w:ascii="Times New Roman"/>
          <w:b w:val="false"/>
          <w:i w:val="false"/>
          <w:color w:val="000000"/>
          <w:sz w:val="28"/>
        </w:rPr>
        <w:t>
      3713. На нефтеналивных судах в качестве топлива для главных и вспомогательных котлов допускается использовать сырую нефть или остатки груза в соответствии с требованиями, изложенными в настоящей главе.</w:t>
      </w:r>
    </w:p>
    <w:bookmarkEnd w:id="10262"/>
    <w:bookmarkStart w:name="z10324" w:id="10263"/>
    <w:p>
      <w:pPr>
        <w:spacing w:after="0"/>
        <w:ind w:left="0"/>
        <w:jc w:val="both"/>
      </w:pPr>
      <w:r>
        <w:rPr>
          <w:rFonts w:ascii="Times New Roman"/>
          <w:b w:val="false"/>
          <w:i w:val="false"/>
          <w:color w:val="000000"/>
          <w:sz w:val="28"/>
        </w:rPr>
        <w:t>
      Для этого представляют Регистру судоходства на одобрение чертежи общего расположения установки со схемой трубопроводов и предохранительных устройств.</w:t>
      </w:r>
    </w:p>
    <w:bookmarkEnd w:id="10263"/>
    <w:bookmarkStart w:name="z10325" w:id="10264"/>
    <w:p>
      <w:pPr>
        <w:spacing w:after="0"/>
        <w:ind w:left="0"/>
        <w:jc w:val="both"/>
      </w:pPr>
      <w:r>
        <w:rPr>
          <w:rFonts w:ascii="Times New Roman"/>
          <w:b w:val="false"/>
          <w:i w:val="false"/>
          <w:color w:val="000000"/>
          <w:sz w:val="28"/>
        </w:rPr>
        <w:t>
      3714. Прием сырой нефти или остатков груза производится из грузовых или специальных танков, установленных в районе грузовых танков. Они отделяются от газобезопасных районов коффердамами с газонепроницаемыми переборками.</w:t>
      </w:r>
    </w:p>
    <w:bookmarkEnd w:id="10264"/>
    <w:bookmarkStart w:name="z10326" w:id="10265"/>
    <w:p>
      <w:pPr>
        <w:spacing w:after="0"/>
        <w:ind w:left="0"/>
        <w:jc w:val="both"/>
      </w:pPr>
      <w:r>
        <w:rPr>
          <w:rFonts w:ascii="Times New Roman"/>
          <w:b w:val="false"/>
          <w:i w:val="false"/>
          <w:color w:val="000000"/>
          <w:sz w:val="28"/>
        </w:rPr>
        <w:t>
      3715. Необходимо доказать пригодность конструкции котлов и форсунок для работы на сырой нефти.</w:t>
      </w:r>
    </w:p>
    <w:bookmarkEnd w:id="10265"/>
    <w:bookmarkStart w:name="z10327" w:id="10266"/>
    <w:p>
      <w:pPr>
        <w:spacing w:after="0"/>
        <w:ind w:left="0"/>
        <w:jc w:val="both"/>
      </w:pPr>
      <w:r>
        <w:rPr>
          <w:rFonts w:ascii="Times New Roman"/>
          <w:b w:val="false"/>
          <w:i w:val="false"/>
          <w:color w:val="000000"/>
          <w:sz w:val="28"/>
        </w:rPr>
        <w:t>
      Наружный кожух котлов должен быть газонепроницаемым по отношению к машинному отделению.</w:t>
      </w:r>
    </w:p>
    <w:bookmarkEnd w:id="10266"/>
    <w:bookmarkStart w:name="z10328" w:id="10267"/>
    <w:p>
      <w:pPr>
        <w:spacing w:after="0"/>
        <w:ind w:left="0"/>
        <w:jc w:val="both"/>
      </w:pPr>
      <w:r>
        <w:rPr>
          <w:rFonts w:ascii="Times New Roman"/>
          <w:b w:val="false"/>
          <w:i w:val="false"/>
          <w:color w:val="000000"/>
          <w:sz w:val="28"/>
        </w:rPr>
        <w:t>
      Сами котлы испытывают на газонепроницаемость до ввода их в эксплуатацию.</w:t>
      </w:r>
    </w:p>
    <w:bookmarkEnd w:id="10267"/>
    <w:bookmarkStart w:name="z10329" w:id="10268"/>
    <w:p>
      <w:pPr>
        <w:spacing w:after="0"/>
        <w:ind w:left="0"/>
        <w:jc w:val="both"/>
      </w:pPr>
      <w:r>
        <w:rPr>
          <w:rFonts w:ascii="Times New Roman"/>
          <w:b w:val="false"/>
          <w:i w:val="false"/>
          <w:color w:val="000000"/>
          <w:sz w:val="28"/>
        </w:rPr>
        <w:t>
      Вся система насосов, фильтров, сепараторов и подогревателей, если таковые имеются, устанавливается в грузовом насосном помещении или каком-либо другом помещении, которое считается опасным и отделяется от машинно-котельного отделения газонепроницаемыми переборками.</w:t>
      </w:r>
    </w:p>
    <w:bookmarkEnd w:id="10268"/>
    <w:bookmarkStart w:name="z10330" w:id="10269"/>
    <w:p>
      <w:pPr>
        <w:spacing w:after="0"/>
        <w:ind w:left="0"/>
        <w:jc w:val="both"/>
      </w:pPr>
      <w:r>
        <w:rPr>
          <w:rFonts w:ascii="Times New Roman"/>
          <w:b w:val="false"/>
          <w:i w:val="false"/>
          <w:color w:val="000000"/>
          <w:sz w:val="28"/>
        </w:rPr>
        <w:t>
      Если предусматривается подогрев сырой нефти с помощью пара или горячей воды, отводные трубы греющих змеевиков выводятся в отдельную контрольную цистерну, установленную вместе с упомянутым выше оборудованием.</w:t>
      </w:r>
    </w:p>
    <w:bookmarkEnd w:id="10269"/>
    <w:bookmarkStart w:name="z10331" w:id="10270"/>
    <w:p>
      <w:pPr>
        <w:spacing w:after="0"/>
        <w:ind w:left="0"/>
        <w:jc w:val="both"/>
      </w:pPr>
      <w:r>
        <w:rPr>
          <w:rFonts w:ascii="Times New Roman"/>
          <w:b w:val="false"/>
          <w:i w:val="false"/>
          <w:color w:val="000000"/>
          <w:sz w:val="28"/>
        </w:rPr>
        <w:t>
      Эта контрольная цистерна снабжается воздушной трубой, выведенной на открытую палубу в безопасное место в соответствии с требованиями пункта 3534 настоящих Правил, предъявляемыми к нефтеналивным судам. Выходное отверстие воздушной трубы оборудуется легкосъемной пламепрерывающей арматурой.</w:t>
      </w:r>
    </w:p>
    <w:bookmarkEnd w:id="10270"/>
    <w:bookmarkStart w:name="z10332" w:id="10271"/>
    <w:p>
      <w:pPr>
        <w:spacing w:after="0"/>
        <w:ind w:left="0"/>
        <w:jc w:val="both"/>
      </w:pPr>
      <w:r>
        <w:rPr>
          <w:rFonts w:ascii="Times New Roman"/>
          <w:b w:val="false"/>
          <w:i w:val="false"/>
          <w:color w:val="000000"/>
          <w:sz w:val="28"/>
        </w:rPr>
        <w:t>
      3716. Расположение приводных двигателей насосов, сепараторов должно отвечать требованиям, изложенным в пункте 2733 настоящих Правил.</w:t>
      </w:r>
    </w:p>
    <w:bookmarkEnd w:id="10271"/>
    <w:bookmarkStart w:name="z10333" w:id="10272"/>
    <w:p>
      <w:pPr>
        <w:spacing w:after="0"/>
        <w:ind w:left="0"/>
        <w:jc w:val="both"/>
      </w:pPr>
      <w:r>
        <w:rPr>
          <w:rFonts w:ascii="Times New Roman"/>
          <w:b w:val="false"/>
          <w:i w:val="false"/>
          <w:color w:val="000000"/>
          <w:sz w:val="28"/>
        </w:rPr>
        <w:t>
      3717. Насосы оборудуются предохранительными клапанами с отводом нефти во всасывающую полость насоса или всасывающую часть трубопровода.</w:t>
      </w:r>
    </w:p>
    <w:bookmarkEnd w:id="10272"/>
    <w:bookmarkStart w:name="z10334" w:id="10273"/>
    <w:p>
      <w:pPr>
        <w:spacing w:after="0"/>
        <w:ind w:left="0"/>
        <w:jc w:val="both"/>
      </w:pPr>
      <w:r>
        <w:rPr>
          <w:rFonts w:ascii="Times New Roman"/>
          <w:b w:val="false"/>
          <w:i w:val="false"/>
          <w:color w:val="000000"/>
          <w:sz w:val="28"/>
        </w:rPr>
        <w:t>
      Предусматривается возможность дистанционной остановки насоса с поста, расположенного вблизи фронта котлов или из ЦПУ, а также извне машинного отделения.</w:t>
      </w:r>
    </w:p>
    <w:bookmarkEnd w:id="10273"/>
    <w:bookmarkStart w:name="z10335" w:id="10274"/>
    <w:p>
      <w:pPr>
        <w:spacing w:after="0"/>
        <w:ind w:left="0"/>
        <w:jc w:val="both"/>
      </w:pPr>
      <w:r>
        <w:rPr>
          <w:rFonts w:ascii="Times New Roman"/>
          <w:b w:val="false"/>
          <w:i w:val="false"/>
          <w:color w:val="000000"/>
          <w:sz w:val="28"/>
        </w:rPr>
        <w:t>
      3718. При необходимости подогрева сырой нефти или остатков груза их температура автоматически регулируется, при этом устанавливают сигнализатор превышения температуры.</w:t>
      </w:r>
    </w:p>
    <w:bookmarkEnd w:id="10274"/>
    <w:bookmarkStart w:name="z10336" w:id="10275"/>
    <w:p>
      <w:pPr>
        <w:spacing w:after="0"/>
        <w:ind w:left="0"/>
        <w:jc w:val="both"/>
      </w:pPr>
      <w:r>
        <w:rPr>
          <w:rFonts w:ascii="Times New Roman"/>
          <w:b w:val="false"/>
          <w:i w:val="false"/>
          <w:color w:val="000000"/>
          <w:sz w:val="28"/>
        </w:rPr>
        <w:t>
      3719. Толщины стенок трубопровода сырой нефти или остатков груза, а также сточных труб от поддонов, указанных в пункте 3721 настоящих Правил, должны соответствовать приведенным в графе 5 приложения 339 настоящих Правил.</w:t>
      </w:r>
    </w:p>
    <w:bookmarkEnd w:id="10275"/>
    <w:bookmarkStart w:name="z10337" w:id="10276"/>
    <w:p>
      <w:pPr>
        <w:spacing w:after="0"/>
        <w:ind w:left="0"/>
        <w:jc w:val="both"/>
      </w:pPr>
      <w:r>
        <w:rPr>
          <w:rFonts w:ascii="Times New Roman"/>
          <w:b w:val="false"/>
          <w:i w:val="false"/>
          <w:color w:val="000000"/>
          <w:sz w:val="28"/>
        </w:rPr>
        <w:t>
      Число соединений этих труб должно быть минимальным.</w:t>
      </w:r>
    </w:p>
    <w:bookmarkEnd w:id="10276"/>
    <w:bookmarkStart w:name="z10338" w:id="10277"/>
    <w:p>
      <w:pPr>
        <w:spacing w:after="0"/>
        <w:ind w:left="0"/>
        <w:jc w:val="both"/>
      </w:pPr>
      <w:r>
        <w:rPr>
          <w:rFonts w:ascii="Times New Roman"/>
          <w:b w:val="false"/>
          <w:i w:val="false"/>
          <w:color w:val="000000"/>
          <w:sz w:val="28"/>
        </w:rPr>
        <w:t>
      Разъемные соединения труб должны быть фланцевого типа и должны отвечать требованиям приложения 341 настоящих Правил для трубопроводов класса I.</w:t>
      </w:r>
    </w:p>
    <w:bookmarkEnd w:id="10277"/>
    <w:bookmarkStart w:name="z10339" w:id="10278"/>
    <w:p>
      <w:pPr>
        <w:spacing w:after="0"/>
        <w:ind w:left="0"/>
        <w:jc w:val="both"/>
      </w:pPr>
      <w:r>
        <w:rPr>
          <w:rFonts w:ascii="Times New Roman"/>
          <w:b w:val="false"/>
          <w:i w:val="false"/>
          <w:color w:val="000000"/>
          <w:sz w:val="28"/>
        </w:rPr>
        <w:t>
      Указанные выше трубопроводы по всей их длине в районе машинного и котельного помещений прокладывают в металлическом канале, который должен быть газонепроницаемым и плотно присоединяется к переборке насосного отделения и к упомянутому выше поддону.</w:t>
      </w:r>
    </w:p>
    <w:bookmarkEnd w:id="10278"/>
    <w:bookmarkStart w:name="z10340" w:id="10279"/>
    <w:p>
      <w:pPr>
        <w:spacing w:after="0"/>
        <w:ind w:left="0"/>
        <w:jc w:val="both"/>
      </w:pPr>
      <w:r>
        <w:rPr>
          <w:rFonts w:ascii="Times New Roman"/>
          <w:b w:val="false"/>
          <w:i w:val="false"/>
          <w:color w:val="000000"/>
          <w:sz w:val="28"/>
        </w:rPr>
        <w:t>
      Такой канал с проходящим внутри трубопроводом имеет подъем в сторону котла, чтобы при падении давления подачи топлива или его утечке топливо самотеком возвращалось в насосное отделение.</w:t>
      </w:r>
    </w:p>
    <w:bookmarkEnd w:id="10279"/>
    <w:bookmarkStart w:name="z10341" w:id="10280"/>
    <w:p>
      <w:pPr>
        <w:spacing w:after="0"/>
        <w:ind w:left="0"/>
        <w:jc w:val="both"/>
      </w:pPr>
      <w:r>
        <w:rPr>
          <w:rFonts w:ascii="Times New Roman"/>
          <w:b w:val="false"/>
          <w:i w:val="false"/>
          <w:color w:val="000000"/>
          <w:sz w:val="28"/>
        </w:rPr>
        <w:t>
      Кроме того, канал устанавливают от внутренней обшивки борта на расстоянии не менее одной пятой (20 %) ширины судна на миделе.</w:t>
      </w:r>
    </w:p>
    <w:bookmarkEnd w:id="10280"/>
    <w:bookmarkStart w:name="z10342" w:id="10281"/>
    <w:p>
      <w:pPr>
        <w:spacing w:after="0"/>
        <w:ind w:left="0"/>
        <w:jc w:val="both"/>
      </w:pPr>
      <w:r>
        <w:rPr>
          <w:rFonts w:ascii="Times New Roman"/>
          <w:b w:val="false"/>
          <w:i w:val="false"/>
          <w:color w:val="000000"/>
          <w:sz w:val="28"/>
        </w:rPr>
        <w:t>
      Канал имеет газонепроницаемые смотровые устройства с газонепроницаемыми крышками в районе соединений труб, расположенных внутри канала, а также автоматически закрывающееся устройство осушения, расположенное в насосном отделении и установленное так, чтобы при возможной протечке сырая нефть направлялась в насосное отделение.</w:t>
      </w:r>
    </w:p>
    <w:bookmarkEnd w:id="10281"/>
    <w:bookmarkStart w:name="z10343" w:id="10282"/>
    <w:p>
      <w:pPr>
        <w:spacing w:after="0"/>
        <w:ind w:left="0"/>
        <w:jc w:val="both"/>
      </w:pPr>
      <w:r>
        <w:rPr>
          <w:rFonts w:ascii="Times New Roman"/>
          <w:b w:val="false"/>
          <w:i w:val="false"/>
          <w:color w:val="000000"/>
          <w:sz w:val="28"/>
        </w:rPr>
        <w:t>
      Сточная цистерна, указанная в пункте 3721 настоящих Правил, снабжается указателями уровня с соответствующей сигнализацией о появлении протечек.</w:t>
      </w:r>
    </w:p>
    <w:bookmarkEnd w:id="10282"/>
    <w:bookmarkStart w:name="z10344" w:id="10283"/>
    <w:p>
      <w:pPr>
        <w:spacing w:after="0"/>
        <w:ind w:left="0"/>
        <w:jc w:val="both"/>
      </w:pPr>
      <w:r>
        <w:rPr>
          <w:rFonts w:ascii="Times New Roman"/>
          <w:b w:val="false"/>
          <w:i w:val="false"/>
          <w:color w:val="000000"/>
          <w:sz w:val="28"/>
        </w:rPr>
        <w:t>
      Кроме того, в самой верхней части этого канала устанавливается воздушная труба, выведенная на открытую палубу в безопасное место в соответствии с требованиями пункте 3534 настоящих Правил, предъявляемыми к нефтеналивным судам. Выходное отверстие воздушной трубы оборудуется легкосъемной пламепрерывающей арматурой.</w:t>
      </w:r>
    </w:p>
    <w:bookmarkEnd w:id="10283"/>
    <w:bookmarkStart w:name="z10345" w:id="10284"/>
    <w:p>
      <w:pPr>
        <w:spacing w:after="0"/>
        <w:ind w:left="0"/>
        <w:jc w:val="both"/>
      </w:pPr>
      <w:r>
        <w:rPr>
          <w:rFonts w:ascii="Times New Roman"/>
          <w:b w:val="false"/>
          <w:i w:val="false"/>
          <w:color w:val="000000"/>
          <w:sz w:val="28"/>
        </w:rPr>
        <w:t>
      Канал должен быть постоянно подключен к системе инертного газа или системе пара с тем, чтобы была обеспечена возможность:</w:t>
      </w:r>
    </w:p>
    <w:bookmarkEnd w:id="10284"/>
    <w:bookmarkStart w:name="z10346" w:id="10285"/>
    <w:p>
      <w:pPr>
        <w:spacing w:after="0"/>
        <w:ind w:left="0"/>
        <w:jc w:val="both"/>
      </w:pPr>
      <w:r>
        <w:rPr>
          <w:rFonts w:ascii="Times New Roman"/>
          <w:b w:val="false"/>
          <w:i w:val="false"/>
          <w:color w:val="000000"/>
          <w:sz w:val="28"/>
        </w:rPr>
        <w:t>
      ввода инертного газа или пара в случае пожара или утечки;</w:t>
      </w:r>
    </w:p>
    <w:bookmarkEnd w:id="10285"/>
    <w:bookmarkStart w:name="z10347" w:id="10286"/>
    <w:p>
      <w:pPr>
        <w:spacing w:after="0"/>
        <w:ind w:left="0"/>
        <w:jc w:val="both"/>
      </w:pPr>
      <w:r>
        <w:rPr>
          <w:rFonts w:ascii="Times New Roman"/>
          <w:b w:val="false"/>
          <w:i w:val="false"/>
          <w:color w:val="000000"/>
          <w:sz w:val="28"/>
        </w:rPr>
        <w:t>
      продувки канала до начала работы в случае утечки топлива.</w:t>
      </w:r>
    </w:p>
    <w:bookmarkEnd w:id="10286"/>
    <w:bookmarkStart w:name="z10348" w:id="10287"/>
    <w:p>
      <w:pPr>
        <w:spacing w:after="0"/>
        <w:ind w:left="0"/>
        <w:jc w:val="both"/>
      </w:pPr>
      <w:r>
        <w:rPr>
          <w:rFonts w:ascii="Times New Roman"/>
          <w:b w:val="false"/>
          <w:i w:val="false"/>
          <w:color w:val="000000"/>
          <w:sz w:val="28"/>
        </w:rPr>
        <w:t>
      3720. Трубопроводы подачи и возврата нефти в районе переборки, к которой присоединяется канал, упомянутый в пункте 3719 настоящих Правил, оборудуется со стороны насосного отделения запорными клапанами с дистанционным управлением с поста вблизи фронта котлов или ЦПУ.</w:t>
      </w:r>
    </w:p>
    <w:bookmarkEnd w:id="10287"/>
    <w:bookmarkStart w:name="z10349" w:id="10288"/>
    <w:p>
      <w:pPr>
        <w:spacing w:after="0"/>
        <w:ind w:left="0"/>
        <w:jc w:val="both"/>
      </w:pPr>
      <w:r>
        <w:rPr>
          <w:rFonts w:ascii="Times New Roman"/>
          <w:b w:val="false"/>
          <w:i w:val="false"/>
          <w:color w:val="000000"/>
          <w:sz w:val="28"/>
        </w:rPr>
        <w:t>
      Эти клапаны должны быть сблокированы с вытяжными вентиляторами канала, упомянутыми в пункте 3722 настоящих Правил, для обеспечения работы вентиляторов в период подачи сырой нефти.</w:t>
      </w:r>
    </w:p>
    <w:bookmarkEnd w:id="10288"/>
    <w:bookmarkStart w:name="z10350" w:id="10289"/>
    <w:p>
      <w:pPr>
        <w:spacing w:after="0"/>
        <w:ind w:left="0"/>
        <w:jc w:val="both"/>
      </w:pPr>
      <w:r>
        <w:rPr>
          <w:rFonts w:ascii="Times New Roman"/>
          <w:b w:val="false"/>
          <w:i w:val="false"/>
          <w:color w:val="000000"/>
          <w:sz w:val="28"/>
        </w:rPr>
        <w:t>
      3721. Котлы снабжают поддонами или сточными желобами высотой не менее 200 мм, расположенными таким образом, чтобы в них собирались все возможные утечки топлива от форсунок, клапанов и соединений.</w:t>
      </w:r>
    </w:p>
    <w:bookmarkEnd w:id="10289"/>
    <w:bookmarkStart w:name="z10351" w:id="10290"/>
    <w:p>
      <w:pPr>
        <w:spacing w:after="0"/>
        <w:ind w:left="0"/>
        <w:jc w:val="both"/>
      </w:pPr>
      <w:r>
        <w:rPr>
          <w:rFonts w:ascii="Times New Roman"/>
          <w:b w:val="false"/>
          <w:i w:val="false"/>
          <w:color w:val="000000"/>
          <w:sz w:val="28"/>
        </w:rPr>
        <w:t>
      Поддоны и сточные желоба оборудуют в верхней части легкосъемной пламепрерывающей арматурой.</w:t>
      </w:r>
    </w:p>
    <w:bookmarkEnd w:id="10290"/>
    <w:bookmarkStart w:name="z10352" w:id="10291"/>
    <w:p>
      <w:pPr>
        <w:spacing w:after="0"/>
        <w:ind w:left="0"/>
        <w:jc w:val="both"/>
      </w:pPr>
      <w:r>
        <w:rPr>
          <w:rFonts w:ascii="Times New Roman"/>
          <w:b w:val="false"/>
          <w:i w:val="false"/>
          <w:color w:val="000000"/>
          <w:sz w:val="28"/>
        </w:rPr>
        <w:t>
      Трубы подачи и возврата топлива проходят через поддон или сточный желоб с непроницаемым уплотнением и затем присоединяются к топливным коллекторам.</w:t>
      </w:r>
    </w:p>
    <w:bookmarkEnd w:id="10291"/>
    <w:bookmarkStart w:name="z10353" w:id="10292"/>
    <w:p>
      <w:pPr>
        <w:spacing w:after="0"/>
        <w:ind w:left="0"/>
        <w:jc w:val="both"/>
      </w:pPr>
      <w:r>
        <w:rPr>
          <w:rFonts w:ascii="Times New Roman"/>
          <w:b w:val="false"/>
          <w:i w:val="false"/>
          <w:color w:val="000000"/>
          <w:sz w:val="28"/>
        </w:rPr>
        <w:t>
      На трубопроводе к каждому коллектору устанавливают быстрозапорный контрольный клапан.</w:t>
      </w:r>
    </w:p>
    <w:bookmarkEnd w:id="10292"/>
    <w:bookmarkStart w:name="z10354" w:id="10293"/>
    <w:p>
      <w:pPr>
        <w:spacing w:after="0"/>
        <w:ind w:left="0"/>
        <w:jc w:val="both"/>
      </w:pPr>
      <w:r>
        <w:rPr>
          <w:rFonts w:ascii="Times New Roman"/>
          <w:b w:val="false"/>
          <w:i w:val="false"/>
          <w:color w:val="000000"/>
          <w:sz w:val="28"/>
        </w:rPr>
        <w:t>
      Поддон или сточный желоб оборудуют сточной трубой для отвода топлива в сточную цистерну в насосном отделении. Эта цистерна снабжается воздушной трубой, выведенной на открытую палубу в безопасное место. Выходное отверстие воздушной трубы оборудуется легкосъемной пламепрерывающей арматурой.</w:t>
      </w:r>
    </w:p>
    <w:bookmarkEnd w:id="10293"/>
    <w:bookmarkStart w:name="z10355" w:id="10294"/>
    <w:p>
      <w:pPr>
        <w:spacing w:after="0"/>
        <w:ind w:left="0"/>
        <w:jc w:val="both"/>
      </w:pPr>
      <w:r>
        <w:rPr>
          <w:rFonts w:ascii="Times New Roman"/>
          <w:b w:val="false"/>
          <w:i w:val="false"/>
          <w:color w:val="000000"/>
          <w:sz w:val="28"/>
        </w:rPr>
        <w:t>
      Упомянутая выше сточная труба имеет устройство, исключающее возврат топлива в котельное или машинное помещение.</w:t>
      </w:r>
    </w:p>
    <w:bookmarkEnd w:id="10294"/>
    <w:bookmarkStart w:name="z10356" w:id="10295"/>
    <w:p>
      <w:pPr>
        <w:spacing w:after="0"/>
        <w:ind w:left="0"/>
        <w:jc w:val="both"/>
      </w:pPr>
      <w:r>
        <w:rPr>
          <w:rFonts w:ascii="Times New Roman"/>
          <w:b w:val="false"/>
          <w:i w:val="false"/>
          <w:color w:val="000000"/>
          <w:sz w:val="28"/>
        </w:rPr>
        <w:t>
      3722. Котлы снабжают соответствующим кожухом, установленным таким образом, чтобы он в максимальной степени заключал в себя форсунки, клапаны и топливные трубы, не препятствуя при этом подводу воздуха к соплам форсунки.</w:t>
      </w:r>
    </w:p>
    <w:bookmarkEnd w:id="10295"/>
    <w:bookmarkStart w:name="z10357" w:id="10296"/>
    <w:p>
      <w:pPr>
        <w:spacing w:after="0"/>
        <w:ind w:left="0"/>
        <w:jc w:val="both"/>
      </w:pPr>
      <w:r>
        <w:rPr>
          <w:rFonts w:ascii="Times New Roman"/>
          <w:b w:val="false"/>
          <w:i w:val="false"/>
          <w:color w:val="000000"/>
          <w:sz w:val="28"/>
        </w:rPr>
        <w:t>
      В случае необходимости кожух имеет устройства для осмотра и доступа к топливным трубам и клапанам, расположенным за ним.</w:t>
      </w:r>
    </w:p>
    <w:bookmarkEnd w:id="10296"/>
    <w:bookmarkStart w:name="z10358" w:id="10297"/>
    <w:p>
      <w:pPr>
        <w:spacing w:after="0"/>
        <w:ind w:left="0"/>
        <w:jc w:val="both"/>
      </w:pPr>
      <w:r>
        <w:rPr>
          <w:rFonts w:ascii="Times New Roman"/>
          <w:b w:val="false"/>
          <w:i w:val="false"/>
          <w:color w:val="000000"/>
          <w:sz w:val="28"/>
        </w:rPr>
        <w:t>
      Кожух имеет канал, выведенный в безопасное место на открытую палубу и снабженный легкосъемной пламепрерывающей арматурой.</w:t>
      </w:r>
    </w:p>
    <w:bookmarkEnd w:id="10297"/>
    <w:bookmarkStart w:name="z10359" w:id="10298"/>
    <w:p>
      <w:pPr>
        <w:spacing w:after="0"/>
        <w:ind w:left="0"/>
        <w:jc w:val="both"/>
      </w:pPr>
      <w:r>
        <w:rPr>
          <w:rFonts w:ascii="Times New Roman"/>
          <w:b w:val="false"/>
          <w:i w:val="false"/>
          <w:color w:val="000000"/>
          <w:sz w:val="28"/>
        </w:rPr>
        <w:t>
      Предусматривается не менее двух вытяжных вентиляторов с механическим приводом, имеющих искробезопасные крылатки и предназначенных для поддержания внутри кожуха более низкого давления, чем в котельном помещении.</w:t>
      </w:r>
    </w:p>
    <w:bookmarkEnd w:id="10298"/>
    <w:bookmarkStart w:name="z10360" w:id="10299"/>
    <w:p>
      <w:pPr>
        <w:spacing w:after="0"/>
        <w:ind w:left="0"/>
        <w:jc w:val="both"/>
      </w:pPr>
      <w:r>
        <w:rPr>
          <w:rFonts w:ascii="Times New Roman"/>
          <w:b w:val="false"/>
          <w:i w:val="false"/>
          <w:color w:val="000000"/>
          <w:sz w:val="28"/>
        </w:rPr>
        <w:t>
      Указанные вытяжные вентиляторы оборудуют автоматическим устройством, обеспечивающим включение другого вентилятора на случай остановки или выхода из строя работающего.</w:t>
      </w:r>
    </w:p>
    <w:bookmarkEnd w:id="10299"/>
    <w:bookmarkStart w:name="z10361" w:id="10300"/>
    <w:p>
      <w:pPr>
        <w:spacing w:after="0"/>
        <w:ind w:left="0"/>
        <w:jc w:val="both"/>
      </w:pPr>
      <w:r>
        <w:rPr>
          <w:rFonts w:ascii="Times New Roman"/>
          <w:b w:val="false"/>
          <w:i w:val="false"/>
          <w:color w:val="000000"/>
          <w:sz w:val="28"/>
        </w:rPr>
        <w:t>
      Двигатели вытяжных вентиляторов размещаются вне канала, а для валов предусматривают газонепроницаемое уплотнение.</w:t>
      </w:r>
    </w:p>
    <w:bookmarkEnd w:id="10300"/>
    <w:bookmarkStart w:name="z10362" w:id="10301"/>
    <w:p>
      <w:pPr>
        <w:spacing w:after="0"/>
        <w:ind w:left="0"/>
        <w:jc w:val="both"/>
      </w:pPr>
      <w:r>
        <w:rPr>
          <w:rFonts w:ascii="Times New Roman"/>
          <w:b w:val="false"/>
          <w:i w:val="false"/>
          <w:color w:val="000000"/>
          <w:sz w:val="28"/>
        </w:rPr>
        <w:t>
      Электрооборудование, устанавливаемое в газоопасных районах или районах, которые могут стать опасными (например, внутри кожуха или канала для трубопроводов сырой нефти), должно быть взрывозащищенного исполнения.</w:t>
      </w:r>
    </w:p>
    <w:bookmarkEnd w:id="10301"/>
    <w:bookmarkStart w:name="z10363" w:id="10302"/>
    <w:p>
      <w:pPr>
        <w:spacing w:after="0"/>
        <w:ind w:left="0"/>
        <w:jc w:val="both"/>
      </w:pPr>
      <w:r>
        <w:rPr>
          <w:rFonts w:ascii="Times New Roman"/>
          <w:b w:val="false"/>
          <w:i w:val="false"/>
          <w:color w:val="000000"/>
          <w:sz w:val="28"/>
        </w:rPr>
        <w:t>
      3723. Предусматривается возможность подачи к котлам и возврата от них котельного топлива, в связи с чем в котельном помещении устанавливают оборудование в соответствии с требованиями главы 306 и подраздела 5 раздела 12 настоящих Правил.</w:t>
      </w:r>
    </w:p>
    <w:bookmarkEnd w:id="10302"/>
    <w:bookmarkStart w:name="z10364" w:id="10303"/>
    <w:p>
      <w:pPr>
        <w:spacing w:after="0"/>
        <w:ind w:left="0"/>
        <w:jc w:val="both"/>
      </w:pPr>
      <w:r>
        <w:rPr>
          <w:rFonts w:ascii="Times New Roman"/>
          <w:b w:val="false"/>
          <w:i w:val="false"/>
          <w:color w:val="000000"/>
          <w:sz w:val="28"/>
        </w:rPr>
        <w:t>
      Подача котельного топлива к форсункам и возврат от них осуществляется с помощью механического блокирующего устройства, автоматически исключающего подачу котельного топлива при работе на сырой нефти и наоборот.</w:t>
      </w:r>
    </w:p>
    <w:bookmarkEnd w:id="10303"/>
    <w:bookmarkStart w:name="z10365" w:id="10304"/>
    <w:p>
      <w:pPr>
        <w:spacing w:after="0"/>
        <w:ind w:left="0"/>
        <w:jc w:val="both"/>
      </w:pPr>
      <w:r>
        <w:rPr>
          <w:rFonts w:ascii="Times New Roman"/>
          <w:b w:val="false"/>
          <w:i w:val="false"/>
          <w:color w:val="000000"/>
          <w:sz w:val="28"/>
        </w:rPr>
        <w:t>
      3724. Помещения, в которых находятся котлы, оборудуются принудительной вентиляцией, спроектированной таким образом, чтобы избежать образования застойных зон. Вентиляция должна быть особенно эффективна в районе установки электрооборудования, механизмов и других устройств, которые могут быть источником искрообразования. Эта вентиляция отделяется от вентиляции других помещений и должна отвечать требованиям главы 297 настоящих Правил.</w:t>
      </w:r>
    </w:p>
    <w:bookmarkEnd w:id="10304"/>
    <w:bookmarkStart w:name="z10366" w:id="10305"/>
    <w:p>
      <w:pPr>
        <w:spacing w:after="0"/>
        <w:ind w:left="0"/>
        <w:jc w:val="both"/>
      </w:pPr>
      <w:r>
        <w:rPr>
          <w:rFonts w:ascii="Times New Roman"/>
          <w:b w:val="false"/>
          <w:i w:val="false"/>
          <w:color w:val="000000"/>
          <w:sz w:val="28"/>
        </w:rPr>
        <w:t>
      3725. Предусматривается устройство обнаружения утечек, снабженное датчиками, установленными в канале, указанном в пункте 3719 настоящих Правил, на кожухе закрытия фронта котлов, в струе от вытяжных вентиляторов и во всех зонах, имеющих возможное снижение эффективности вентиляции.</w:t>
      </w:r>
    </w:p>
    <w:bookmarkEnd w:id="10305"/>
    <w:bookmarkStart w:name="z10367" w:id="10306"/>
    <w:p>
      <w:pPr>
        <w:spacing w:after="0"/>
        <w:ind w:left="0"/>
        <w:jc w:val="both"/>
      </w:pPr>
      <w:r>
        <w:rPr>
          <w:rFonts w:ascii="Times New Roman"/>
          <w:b w:val="false"/>
          <w:i w:val="false"/>
          <w:color w:val="000000"/>
          <w:sz w:val="28"/>
        </w:rPr>
        <w:t>
      Вблизи фронта котлов, в машинном помещении и в ЦПУ устанавливают световые и звуковые предупредительные устройства.</w:t>
      </w:r>
    </w:p>
    <w:bookmarkEnd w:id="10306"/>
    <w:bookmarkStart w:name="z10368" w:id="10307"/>
    <w:p>
      <w:pPr>
        <w:spacing w:after="0"/>
        <w:ind w:left="0"/>
        <w:jc w:val="both"/>
      </w:pPr>
      <w:r>
        <w:rPr>
          <w:rFonts w:ascii="Times New Roman"/>
          <w:b w:val="false"/>
          <w:i w:val="false"/>
          <w:color w:val="000000"/>
          <w:sz w:val="28"/>
        </w:rPr>
        <w:t>
      3726. Предусматриваются средства для автоматической продувки котла перед его розжигом.</w:t>
      </w:r>
    </w:p>
    <w:bookmarkEnd w:id="10307"/>
    <w:bookmarkStart w:name="z10369" w:id="10308"/>
    <w:p>
      <w:pPr>
        <w:spacing w:after="0"/>
        <w:ind w:left="0"/>
        <w:jc w:val="both"/>
      </w:pPr>
      <w:r>
        <w:rPr>
          <w:rFonts w:ascii="Times New Roman"/>
          <w:b w:val="false"/>
          <w:i w:val="false"/>
          <w:color w:val="000000"/>
          <w:sz w:val="28"/>
        </w:rPr>
        <w:t>
      3727. Независимо от стационарной противопожарной системы, требуемой в соответствии с Правилами для машинных помещений, предусматривается дополнительная противопожарная установка (пункт 2263 настоящих Правил), обеспечивающая возможность непосредственной подачи одобренного огнегасительного состава к фронту котлов и на поддон, указанный в пункте 3721 настоящих Правил.</w:t>
      </w:r>
    </w:p>
    <w:bookmarkEnd w:id="10308"/>
    <w:bookmarkStart w:name="z10370" w:id="10309"/>
    <w:p>
      <w:pPr>
        <w:spacing w:after="0"/>
        <w:ind w:left="0"/>
        <w:jc w:val="both"/>
      </w:pPr>
      <w:r>
        <w:rPr>
          <w:rFonts w:ascii="Times New Roman"/>
          <w:b w:val="false"/>
          <w:i w:val="false"/>
          <w:color w:val="000000"/>
          <w:sz w:val="28"/>
        </w:rPr>
        <w:t>
      Подача огнегасительного состава автоматически вызывает остановку вытяжных вентиляторов кожуха котла (пункт 3720 настоящих Правил).</w:t>
      </w:r>
    </w:p>
    <w:bookmarkEnd w:id="10309"/>
    <w:bookmarkStart w:name="z10371" w:id="10310"/>
    <w:p>
      <w:pPr>
        <w:spacing w:after="0"/>
        <w:ind w:left="0"/>
        <w:jc w:val="both"/>
      </w:pPr>
      <w:r>
        <w:rPr>
          <w:rFonts w:ascii="Times New Roman"/>
          <w:b w:val="false"/>
          <w:i w:val="false"/>
          <w:color w:val="000000"/>
          <w:sz w:val="28"/>
        </w:rPr>
        <w:t>
      3728. В хорошо видимом месте вблизи фронта котлов устанавливается предупредительная табличка, на которой указывается, что при наличии взрывоопасных смесей, о чем подается сигнал, указанный в пункте 3725 настоящих Правил, обслуживающий персонал немедленно отключает дистанционно управляемые клапаны, установленные в насосном отделении на трубопроводах подачи и возврата сырой нефти, останавливает соответствующие насосы, подать инертный газ в канал, указанный в пункте 3719 настоящих Правил, и переключает котлы на работу на обычном топливе.</w:t>
      </w:r>
    </w:p>
    <w:bookmarkEnd w:id="10310"/>
    <w:bookmarkStart w:name="z10372" w:id="10311"/>
    <w:p>
      <w:pPr>
        <w:spacing w:after="0"/>
        <w:ind w:left="0"/>
        <w:jc w:val="both"/>
      </w:pPr>
      <w:r>
        <w:rPr>
          <w:rFonts w:ascii="Times New Roman"/>
          <w:b w:val="false"/>
          <w:i w:val="false"/>
          <w:color w:val="000000"/>
          <w:sz w:val="28"/>
        </w:rPr>
        <w:t>
      3729. Регистр судоходства требует установки запальной форсунки в дополнение к обычному управлению горением.</w:t>
      </w:r>
    </w:p>
    <w:bookmarkEnd w:id="10311"/>
    <w:bookmarkStart w:name="z10373" w:id="10312"/>
    <w:p>
      <w:pPr>
        <w:spacing w:after="0"/>
        <w:ind w:left="0"/>
        <w:jc w:val="left"/>
      </w:pPr>
      <w:r>
        <w:rPr>
          <w:rFonts w:ascii="Times New Roman"/>
          <w:b/>
          <w:i w:val="false"/>
          <w:color w:val="000000"/>
        </w:rPr>
        <w:t xml:space="preserve"> Глава 309. Применение природного газа (метана) в качестве топлива</w:t>
      </w:r>
    </w:p>
    <w:bookmarkEnd w:id="10312"/>
    <w:p>
      <w:pPr>
        <w:spacing w:after="0"/>
        <w:ind w:left="0"/>
        <w:jc w:val="both"/>
      </w:pPr>
      <w:r>
        <w:rPr>
          <w:rFonts w:ascii="Times New Roman"/>
          <w:b w:val="false"/>
          <w:i w:val="false"/>
          <w:color w:val="ff0000"/>
          <w:sz w:val="28"/>
        </w:rPr>
        <w:t xml:space="preserve">
      Сноска. Заголовок главы 309 -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74" w:id="10313"/>
    <w:p>
      <w:pPr>
        <w:spacing w:after="0"/>
        <w:ind w:left="0"/>
        <w:jc w:val="both"/>
      </w:pPr>
      <w:r>
        <w:rPr>
          <w:rFonts w:ascii="Times New Roman"/>
          <w:b w:val="false"/>
          <w:i w:val="false"/>
          <w:color w:val="000000"/>
          <w:sz w:val="28"/>
        </w:rPr>
        <w:t>
      3730. Трубопроводы газового топлива не прокладываются через посты управления, жилые и служебные помещения.</w:t>
      </w:r>
    </w:p>
    <w:bookmarkEnd w:id="10313"/>
    <w:bookmarkStart w:name="z10375" w:id="10314"/>
    <w:p>
      <w:pPr>
        <w:spacing w:after="0"/>
        <w:ind w:left="0"/>
        <w:jc w:val="both"/>
      </w:pPr>
      <w:r>
        <w:rPr>
          <w:rFonts w:ascii="Times New Roman"/>
          <w:b w:val="false"/>
          <w:i w:val="false"/>
          <w:color w:val="000000"/>
          <w:sz w:val="28"/>
        </w:rPr>
        <w:t>
      Прокладка трубопроводов газового топлива через другие помещения допускается при выполнении требований пунктов 3731 или 3732 настоящих Правил.</w:t>
      </w:r>
    </w:p>
    <w:bookmarkEnd w:id="10314"/>
    <w:bookmarkStart w:name="z10376" w:id="10315"/>
    <w:p>
      <w:pPr>
        <w:spacing w:after="0"/>
        <w:ind w:left="0"/>
        <w:jc w:val="both"/>
      </w:pPr>
      <w:r>
        <w:rPr>
          <w:rFonts w:ascii="Times New Roman"/>
          <w:b w:val="false"/>
          <w:i w:val="false"/>
          <w:color w:val="000000"/>
          <w:sz w:val="28"/>
        </w:rPr>
        <w:t>
      3731. Трубопровод представляет собой трубопроводную систему с двойными стенками, содержащую газовое топливо во внутренней трубе. При этом выполняются следующие условия:</w:t>
      </w:r>
    </w:p>
    <w:bookmarkEnd w:id="10315"/>
    <w:bookmarkStart w:name="z10377" w:id="10316"/>
    <w:p>
      <w:pPr>
        <w:spacing w:after="0"/>
        <w:ind w:left="0"/>
        <w:jc w:val="both"/>
      </w:pPr>
      <w:r>
        <w:rPr>
          <w:rFonts w:ascii="Times New Roman"/>
          <w:b w:val="false"/>
          <w:i w:val="false"/>
          <w:color w:val="000000"/>
          <w:sz w:val="28"/>
        </w:rPr>
        <w:t>
      1) пространство между стенками заполняется инертным газом под давлением, превышающим давление топлива;</w:t>
      </w:r>
    </w:p>
    <w:bookmarkEnd w:id="10316"/>
    <w:bookmarkStart w:name="z10378" w:id="10317"/>
    <w:p>
      <w:pPr>
        <w:spacing w:after="0"/>
        <w:ind w:left="0"/>
        <w:jc w:val="both"/>
      </w:pPr>
      <w:r>
        <w:rPr>
          <w:rFonts w:ascii="Times New Roman"/>
          <w:b w:val="false"/>
          <w:i w:val="false"/>
          <w:color w:val="000000"/>
          <w:sz w:val="28"/>
        </w:rPr>
        <w:t>
      2) давление инертного газа постоянно контролируется системой сигнализации;</w:t>
      </w:r>
    </w:p>
    <w:bookmarkEnd w:id="10317"/>
    <w:bookmarkStart w:name="z10379" w:id="10318"/>
    <w:p>
      <w:pPr>
        <w:spacing w:after="0"/>
        <w:ind w:left="0"/>
        <w:jc w:val="both"/>
      </w:pPr>
      <w:r>
        <w:rPr>
          <w:rFonts w:ascii="Times New Roman"/>
          <w:b w:val="false"/>
          <w:i w:val="false"/>
          <w:color w:val="000000"/>
          <w:sz w:val="28"/>
        </w:rPr>
        <w:t>
      3) при срабатывании системы сигнализации автоматические клапаны, указанные в пункте 3734 настоящих Правил, и главный газовый клапан, указанный в пункте 3735 настоящих Правил, должны автоматически закрываться, прежде чем давление инертного газа понизится ниже давления газового топлива, а клапан вентиляции, указанный в пункте 3734 настоящих Правил, должен автоматически открываться;</w:t>
      </w:r>
    </w:p>
    <w:bookmarkEnd w:id="10318"/>
    <w:bookmarkStart w:name="z10380" w:id="10319"/>
    <w:p>
      <w:pPr>
        <w:spacing w:after="0"/>
        <w:ind w:left="0"/>
        <w:jc w:val="both"/>
      </w:pPr>
      <w:r>
        <w:rPr>
          <w:rFonts w:ascii="Times New Roman"/>
          <w:b w:val="false"/>
          <w:i w:val="false"/>
          <w:color w:val="000000"/>
          <w:sz w:val="28"/>
        </w:rPr>
        <w:t>
      4) система устраивается так, чтобы внутренняя часть трубопровода подачи газового топлива между главным газовым клапаном и двигателем автоматически продувалась инертным газом, когда главный газовый клапан закрыт.</w:t>
      </w:r>
    </w:p>
    <w:bookmarkEnd w:id="10319"/>
    <w:bookmarkStart w:name="z10381" w:id="10320"/>
    <w:p>
      <w:pPr>
        <w:spacing w:after="0"/>
        <w:ind w:left="0"/>
        <w:jc w:val="both"/>
      </w:pPr>
      <w:r>
        <w:rPr>
          <w:rFonts w:ascii="Times New Roman"/>
          <w:b w:val="false"/>
          <w:i w:val="false"/>
          <w:color w:val="000000"/>
          <w:sz w:val="28"/>
        </w:rPr>
        <w:t>
      3732. Трубопроводы газового топлива устанавливают в трубе или канале с искусственной вытяжной вентиляцией пространства между ними, производительность которой определяется из расчета скорости потока газового топлива, конструкции и расположения защитных труб или каналов и обеспечивать не менее 30 воздухообменов в час.</w:t>
      </w:r>
    </w:p>
    <w:bookmarkEnd w:id="10320"/>
    <w:bookmarkStart w:name="z10382" w:id="10321"/>
    <w:p>
      <w:pPr>
        <w:spacing w:after="0"/>
        <w:ind w:left="0"/>
        <w:jc w:val="both"/>
      </w:pPr>
      <w:r>
        <w:rPr>
          <w:rFonts w:ascii="Times New Roman"/>
          <w:b w:val="false"/>
          <w:i w:val="false"/>
          <w:color w:val="000000"/>
          <w:sz w:val="28"/>
        </w:rPr>
        <w:t>
      При этом выполняются следующие условия:</w:t>
      </w:r>
    </w:p>
    <w:bookmarkEnd w:id="10321"/>
    <w:bookmarkStart w:name="z10383" w:id="10322"/>
    <w:p>
      <w:pPr>
        <w:spacing w:after="0"/>
        <w:ind w:left="0"/>
        <w:jc w:val="both"/>
      </w:pPr>
      <w:r>
        <w:rPr>
          <w:rFonts w:ascii="Times New Roman"/>
          <w:b w:val="false"/>
          <w:i w:val="false"/>
          <w:color w:val="000000"/>
          <w:sz w:val="28"/>
        </w:rPr>
        <w:t>
      1) давление в пространстве между наружной и внутренней стенками трубопроводов или каналов поддерживается ниже атмосферного;</w:t>
      </w:r>
    </w:p>
    <w:bookmarkEnd w:id="10322"/>
    <w:bookmarkStart w:name="z10384" w:id="10323"/>
    <w:p>
      <w:pPr>
        <w:spacing w:after="0"/>
        <w:ind w:left="0"/>
        <w:jc w:val="both"/>
      </w:pPr>
      <w:r>
        <w:rPr>
          <w:rFonts w:ascii="Times New Roman"/>
          <w:b w:val="false"/>
          <w:i w:val="false"/>
          <w:color w:val="000000"/>
          <w:sz w:val="28"/>
        </w:rPr>
        <w:t>
      2) предусматривается устройство обнаружения утечек газа и прекращение его подачи в машинное помещение;</w:t>
      </w:r>
    </w:p>
    <w:bookmarkEnd w:id="10323"/>
    <w:bookmarkStart w:name="z10385" w:id="10324"/>
    <w:p>
      <w:pPr>
        <w:spacing w:after="0"/>
        <w:ind w:left="0"/>
        <w:jc w:val="both"/>
      </w:pPr>
      <w:r>
        <w:rPr>
          <w:rFonts w:ascii="Times New Roman"/>
          <w:b w:val="false"/>
          <w:i w:val="false"/>
          <w:color w:val="000000"/>
          <w:sz w:val="28"/>
        </w:rPr>
        <w:t>
      3) электродвигатели должны быть взрывозащищенного исполнения и размещаться вне труб или каналов;</w:t>
      </w:r>
    </w:p>
    <w:bookmarkEnd w:id="10324"/>
    <w:bookmarkStart w:name="z10386" w:id="10325"/>
    <w:p>
      <w:pPr>
        <w:spacing w:after="0"/>
        <w:ind w:left="0"/>
        <w:jc w:val="both"/>
      </w:pPr>
      <w:r>
        <w:rPr>
          <w:rFonts w:ascii="Times New Roman"/>
          <w:b w:val="false"/>
          <w:i w:val="false"/>
          <w:color w:val="000000"/>
          <w:sz w:val="28"/>
        </w:rPr>
        <w:t>
      4) если требуемый поток воздуха не поддерживается системой вентиляции, то главный газовый клапан, указанный в пункте 3735 настоящих Правил, должен автоматически закрываться. Вентиляция действует всегда, когда по трубопроводу подается газ;</w:t>
      </w:r>
    </w:p>
    <w:bookmarkEnd w:id="10325"/>
    <w:bookmarkStart w:name="z10387" w:id="10326"/>
    <w:p>
      <w:pPr>
        <w:spacing w:after="0"/>
        <w:ind w:left="0"/>
        <w:jc w:val="both"/>
      </w:pPr>
      <w:r>
        <w:rPr>
          <w:rFonts w:ascii="Times New Roman"/>
          <w:b w:val="false"/>
          <w:i w:val="false"/>
          <w:color w:val="000000"/>
          <w:sz w:val="28"/>
        </w:rPr>
        <w:t>
      5) воздухозаборники системы вентиляции оборудуются невозвратными устройствами. Указанные требования не являются обязательными, если в воздухозаборниках установлены датчики обнаружения газа;</w:t>
      </w:r>
    </w:p>
    <w:bookmarkEnd w:id="10326"/>
    <w:bookmarkStart w:name="z10388" w:id="10327"/>
    <w:p>
      <w:pPr>
        <w:spacing w:after="0"/>
        <w:ind w:left="0"/>
        <w:jc w:val="both"/>
      </w:pPr>
      <w:r>
        <w:rPr>
          <w:rFonts w:ascii="Times New Roman"/>
          <w:b w:val="false"/>
          <w:i w:val="false"/>
          <w:color w:val="000000"/>
          <w:sz w:val="28"/>
        </w:rPr>
        <w:t>
      6) предусматривается инертизация и дегазация той части системы трубопроводов газового топлива, которая расположена в машинном помещении.</w:t>
      </w:r>
    </w:p>
    <w:bookmarkEnd w:id="10327"/>
    <w:bookmarkStart w:name="z10389" w:id="10328"/>
    <w:p>
      <w:pPr>
        <w:spacing w:after="0"/>
        <w:ind w:left="0"/>
        <w:jc w:val="both"/>
      </w:pPr>
      <w:r>
        <w:rPr>
          <w:rFonts w:ascii="Times New Roman"/>
          <w:b w:val="false"/>
          <w:i w:val="false"/>
          <w:color w:val="000000"/>
          <w:sz w:val="28"/>
        </w:rPr>
        <w:t>
      3733. Для машинных помещений категории А, в которых используется газовое топливо, кроме требований 3731 или 3732 настоящих Правил, выполняются дополнительные требования к вентиляции:</w:t>
      </w:r>
    </w:p>
    <w:bookmarkEnd w:id="10328"/>
    <w:bookmarkStart w:name="z10390" w:id="10329"/>
    <w:p>
      <w:pPr>
        <w:spacing w:after="0"/>
        <w:ind w:left="0"/>
        <w:jc w:val="both"/>
      </w:pPr>
      <w:r>
        <w:rPr>
          <w:rFonts w:ascii="Times New Roman"/>
          <w:b w:val="false"/>
          <w:i w:val="false"/>
          <w:color w:val="000000"/>
          <w:sz w:val="28"/>
        </w:rPr>
        <w:t>
      1) машинные помещения оборудуются системой вентиляции, исключающей наличие застойных зон. Вентиляция должна быть особо эффективной в районе установки электрооборудования, механизмов или других возможных источников искрообразования.</w:t>
      </w:r>
    </w:p>
    <w:bookmarkEnd w:id="10329"/>
    <w:bookmarkStart w:name="z10391" w:id="10330"/>
    <w:p>
      <w:pPr>
        <w:spacing w:after="0"/>
        <w:ind w:left="0"/>
        <w:jc w:val="both"/>
      </w:pPr>
      <w:r>
        <w:rPr>
          <w:rFonts w:ascii="Times New Roman"/>
          <w:b w:val="false"/>
          <w:i w:val="false"/>
          <w:color w:val="000000"/>
          <w:sz w:val="28"/>
        </w:rPr>
        <w:t>
      Система вентиляции отделяется от вентиляции других помещений и отвечает требованиям главы 292 настоящих Правил;</w:t>
      </w:r>
    </w:p>
    <w:bookmarkEnd w:id="10330"/>
    <w:bookmarkStart w:name="z10392" w:id="10331"/>
    <w:p>
      <w:pPr>
        <w:spacing w:after="0"/>
        <w:ind w:left="0"/>
        <w:jc w:val="both"/>
      </w:pPr>
      <w:r>
        <w:rPr>
          <w:rFonts w:ascii="Times New Roman"/>
          <w:b w:val="false"/>
          <w:i w:val="false"/>
          <w:color w:val="000000"/>
          <w:sz w:val="28"/>
        </w:rPr>
        <w:t>
      2) машинные помещения оборудуются эффективной системой обнаружения газа в местах его возможного скопления и утечек. При достижении концентрации газа 30 % нижнего предела воспламеняемости срабатывает световая и звуковая сигнализация, а при достижении концентрации 60 % нижнего предела воспламеняемости подача газового топлива в машинное помещение прекращается.</w:t>
      </w:r>
    </w:p>
    <w:bookmarkEnd w:id="10331"/>
    <w:bookmarkStart w:name="z10393" w:id="10332"/>
    <w:p>
      <w:pPr>
        <w:spacing w:after="0"/>
        <w:ind w:left="0"/>
        <w:jc w:val="both"/>
      </w:pPr>
      <w:r>
        <w:rPr>
          <w:rFonts w:ascii="Times New Roman"/>
          <w:b w:val="false"/>
          <w:i w:val="false"/>
          <w:color w:val="000000"/>
          <w:sz w:val="28"/>
        </w:rPr>
        <w:t>
      3734. Система подачи газового топлива оборудуется тремя автоматическими клапанами. Два из них устанавливаются последовательно в системе подвода газового топлива к двигателю. Третий клапан (вентиляции) устанавливается для отвода газа из части трубы, расположенной между двумя последовательно установленными автоматическими клапанами, безопасное место на открытой палубе. Система устраивается так, чтобы при отклонении давления в трубопроводе подачи газового топлива от установленных значений, потере энергии для привода клапанов, нарушении условий, указанных в пунктах 3731 и 3732 настоящих Правил, а также остановке двигателя по какой-либо причине автоматически закрывались два последовательно расположенных клапана и автоматически открывался третий клапан (вентиляции).</w:t>
      </w:r>
    </w:p>
    <w:bookmarkEnd w:id="10332"/>
    <w:bookmarkStart w:name="z10394" w:id="10333"/>
    <w:p>
      <w:pPr>
        <w:spacing w:after="0"/>
        <w:ind w:left="0"/>
        <w:jc w:val="both"/>
      </w:pPr>
      <w:r>
        <w:rPr>
          <w:rFonts w:ascii="Times New Roman"/>
          <w:b w:val="false"/>
          <w:i w:val="false"/>
          <w:color w:val="000000"/>
          <w:sz w:val="28"/>
        </w:rPr>
        <w:t>
      Как альтернатива, один их двух последовательно установленных клапанов и клапан вентиляции допускается объединять в одном корпусе при условии выполнения ими функций, указанных выше.</w:t>
      </w:r>
    </w:p>
    <w:bookmarkEnd w:id="10333"/>
    <w:bookmarkStart w:name="z10395" w:id="10334"/>
    <w:p>
      <w:pPr>
        <w:spacing w:after="0"/>
        <w:ind w:left="0"/>
        <w:jc w:val="both"/>
      </w:pPr>
      <w:r>
        <w:rPr>
          <w:rFonts w:ascii="Times New Roman"/>
          <w:b w:val="false"/>
          <w:i w:val="false"/>
          <w:color w:val="000000"/>
          <w:sz w:val="28"/>
        </w:rPr>
        <w:t>
      Все три клапана имеют ручное управление.</w:t>
      </w:r>
    </w:p>
    <w:bookmarkEnd w:id="10334"/>
    <w:bookmarkStart w:name="z10396" w:id="10335"/>
    <w:p>
      <w:pPr>
        <w:spacing w:after="0"/>
        <w:ind w:left="0"/>
        <w:jc w:val="both"/>
      </w:pPr>
      <w:r>
        <w:rPr>
          <w:rFonts w:ascii="Times New Roman"/>
          <w:b w:val="false"/>
          <w:i w:val="false"/>
          <w:color w:val="000000"/>
          <w:sz w:val="28"/>
        </w:rPr>
        <w:t>
      3735. Главный газовый клапан устанавливается вне машинного помещения и имеет дистанционный привод для его закрытия из машинного помещения.</w:t>
      </w:r>
    </w:p>
    <w:bookmarkEnd w:id="10335"/>
    <w:bookmarkStart w:name="z10397" w:id="10336"/>
    <w:p>
      <w:pPr>
        <w:spacing w:after="0"/>
        <w:ind w:left="0"/>
        <w:jc w:val="both"/>
      </w:pPr>
      <w:r>
        <w:rPr>
          <w:rFonts w:ascii="Times New Roman"/>
          <w:b w:val="false"/>
          <w:i w:val="false"/>
          <w:color w:val="000000"/>
          <w:sz w:val="28"/>
        </w:rPr>
        <w:t>
      Он должен автоматически закрываться при:</w:t>
      </w:r>
    </w:p>
    <w:bookmarkEnd w:id="10336"/>
    <w:bookmarkStart w:name="z10398" w:id="10337"/>
    <w:p>
      <w:pPr>
        <w:spacing w:after="0"/>
        <w:ind w:left="0"/>
        <w:jc w:val="both"/>
      </w:pPr>
      <w:r>
        <w:rPr>
          <w:rFonts w:ascii="Times New Roman"/>
          <w:b w:val="false"/>
          <w:i w:val="false"/>
          <w:color w:val="000000"/>
          <w:sz w:val="28"/>
        </w:rPr>
        <w:t>
      наличии утечки газового топлива;</w:t>
      </w:r>
    </w:p>
    <w:bookmarkEnd w:id="10337"/>
    <w:bookmarkStart w:name="z10399" w:id="10338"/>
    <w:p>
      <w:pPr>
        <w:spacing w:after="0"/>
        <w:ind w:left="0"/>
        <w:jc w:val="both"/>
      </w:pPr>
      <w:r>
        <w:rPr>
          <w:rFonts w:ascii="Times New Roman"/>
          <w:b w:val="false"/>
          <w:i w:val="false"/>
          <w:color w:val="000000"/>
          <w:sz w:val="28"/>
        </w:rPr>
        <w:t>
      нарушении условий, указанных в пунктах 3731 и 3732 настоящих Правил;</w:t>
      </w:r>
    </w:p>
    <w:bookmarkEnd w:id="10338"/>
    <w:bookmarkStart w:name="z10400" w:id="10339"/>
    <w:p>
      <w:pPr>
        <w:spacing w:after="0"/>
        <w:ind w:left="0"/>
        <w:jc w:val="both"/>
      </w:pPr>
      <w:r>
        <w:rPr>
          <w:rFonts w:ascii="Times New Roman"/>
          <w:b w:val="false"/>
          <w:i w:val="false"/>
          <w:color w:val="000000"/>
          <w:sz w:val="28"/>
        </w:rPr>
        <w:t>
      срабатывании датчика концентрации масляного тумана в картере двигателя или системы контроля температуры подшипников двигателя.</w:t>
      </w:r>
    </w:p>
    <w:bookmarkEnd w:id="10339"/>
    <w:bookmarkStart w:name="z10401" w:id="10340"/>
    <w:p>
      <w:pPr>
        <w:spacing w:after="0"/>
        <w:ind w:left="0"/>
        <w:jc w:val="both"/>
      </w:pPr>
      <w:r>
        <w:rPr>
          <w:rFonts w:ascii="Times New Roman"/>
          <w:b w:val="false"/>
          <w:i w:val="false"/>
          <w:color w:val="000000"/>
          <w:sz w:val="28"/>
        </w:rPr>
        <w:t>
      Рекомендуется, чтобы главный газовый клапан автоматически закрывался при срабатывании сблокированных газовых клапанов (приложение 404 настоящих Правил).</w:t>
      </w:r>
    </w:p>
    <w:bookmarkEnd w:id="10340"/>
    <w:bookmarkStart w:name="z10402" w:id="10341"/>
    <w:p>
      <w:pPr>
        <w:spacing w:after="0"/>
        <w:ind w:left="0"/>
        <w:jc w:val="both"/>
      </w:pPr>
      <w:r>
        <w:rPr>
          <w:rFonts w:ascii="Times New Roman"/>
          <w:b w:val="false"/>
          <w:i w:val="false"/>
          <w:color w:val="000000"/>
          <w:sz w:val="28"/>
        </w:rPr>
        <w:t>
      3736. Газопроводы имеют достаточную конструктивную прочность с учетом напряжений, вызванных массой трубопровода, внутренним давлением, нагрузками, вызванными изгибами корпуса судна, и ускорениями.</w:t>
      </w:r>
    </w:p>
    <w:bookmarkEnd w:id="10341"/>
    <w:bookmarkStart w:name="z10403" w:id="10342"/>
    <w:p>
      <w:pPr>
        <w:spacing w:after="0"/>
        <w:ind w:left="0"/>
        <w:jc w:val="both"/>
      </w:pPr>
      <w:r>
        <w:rPr>
          <w:rFonts w:ascii="Times New Roman"/>
          <w:b w:val="false"/>
          <w:i w:val="false"/>
          <w:color w:val="000000"/>
          <w:sz w:val="28"/>
        </w:rPr>
        <w:t>
      3737. Конструкция защитных труб или каналов системы вентиляции, указанных в пунктах 3731 и 3732 настоящих Правил, имеет прочность, достаточную для того, чтобы выдерживать быстрое нарастание давления в случае разрыва газопровода. Число разъемных соединений в защитных трубах или каналах должно быть минимальным.</w:t>
      </w:r>
    </w:p>
    <w:bookmarkEnd w:id="10342"/>
    <w:bookmarkStart w:name="z10404" w:id="10343"/>
    <w:p>
      <w:pPr>
        <w:spacing w:after="0"/>
        <w:ind w:left="0"/>
        <w:jc w:val="both"/>
      </w:pPr>
      <w:r>
        <w:rPr>
          <w:rFonts w:ascii="Times New Roman"/>
          <w:b w:val="false"/>
          <w:i w:val="false"/>
          <w:color w:val="000000"/>
          <w:sz w:val="28"/>
        </w:rPr>
        <w:t>
      3738. Соединения газопроводов должны быть, как правило, стыковые сварные с полным проваром и специальными мерами по обеспечению качества корня шва и полностью радиографированы.</w:t>
      </w:r>
    </w:p>
    <w:bookmarkEnd w:id="10343"/>
    <w:bookmarkStart w:name="z10405" w:id="10344"/>
    <w:p>
      <w:pPr>
        <w:spacing w:after="0"/>
        <w:ind w:left="0"/>
        <w:jc w:val="both"/>
      </w:pPr>
      <w:r>
        <w:rPr>
          <w:rFonts w:ascii="Times New Roman"/>
          <w:b w:val="false"/>
          <w:i w:val="false"/>
          <w:color w:val="000000"/>
          <w:sz w:val="28"/>
        </w:rPr>
        <w:t>
      Все стыковые сварные соединения после сварки подвергаются термической обработке в зависимости от материала.</w:t>
      </w:r>
    </w:p>
    <w:bookmarkEnd w:id="10344"/>
    <w:bookmarkStart w:name="z10406" w:id="10345"/>
    <w:p>
      <w:pPr>
        <w:spacing w:after="0"/>
        <w:ind w:left="0"/>
        <w:jc w:val="both"/>
      </w:pPr>
      <w:r>
        <w:rPr>
          <w:rFonts w:ascii="Times New Roman"/>
          <w:b w:val="false"/>
          <w:i w:val="false"/>
          <w:color w:val="000000"/>
          <w:sz w:val="28"/>
        </w:rPr>
        <w:t>
      Применение других соединений является в каждом случае предметом специального рассмотрения Регистром судоходства.</w:t>
      </w:r>
    </w:p>
    <w:bookmarkEnd w:id="10345"/>
    <w:bookmarkStart w:name="z10407" w:id="10346"/>
    <w:p>
      <w:pPr>
        <w:spacing w:after="0"/>
        <w:ind w:left="0"/>
        <w:jc w:val="both"/>
      </w:pPr>
      <w:r>
        <w:rPr>
          <w:rFonts w:ascii="Times New Roman"/>
          <w:b w:val="false"/>
          <w:i w:val="false"/>
          <w:color w:val="000000"/>
          <w:sz w:val="28"/>
        </w:rPr>
        <w:t>
      3739. Установка для подачи газового топлива и сосуды для его хранения отвечают следующим требованиям:</w:t>
      </w:r>
    </w:p>
    <w:bookmarkEnd w:id="10346"/>
    <w:bookmarkStart w:name="z10408" w:id="10347"/>
    <w:p>
      <w:pPr>
        <w:spacing w:after="0"/>
        <w:ind w:left="0"/>
        <w:jc w:val="both"/>
      </w:pPr>
      <w:r>
        <w:rPr>
          <w:rFonts w:ascii="Times New Roman"/>
          <w:b w:val="false"/>
          <w:i w:val="false"/>
          <w:color w:val="000000"/>
          <w:sz w:val="28"/>
        </w:rPr>
        <w:t>
      1) конструкция, система управления и безопасности газовых компрессоров, сосудов под давлением и теплообменных аппаратов, входящих в состав системы подачи газового топлива, — требованиям соответствующих частей Правил;</w:t>
      </w:r>
    </w:p>
    <w:bookmarkEnd w:id="10347"/>
    <w:bookmarkStart w:name="z10409" w:id="10348"/>
    <w:p>
      <w:pPr>
        <w:spacing w:after="0"/>
        <w:ind w:left="0"/>
        <w:jc w:val="both"/>
      </w:pPr>
      <w:r>
        <w:rPr>
          <w:rFonts w:ascii="Times New Roman"/>
          <w:b w:val="false"/>
          <w:i w:val="false"/>
          <w:color w:val="000000"/>
          <w:sz w:val="28"/>
        </w:rPr>
        <w:t>
      2) при проектировании, расчетах следует принимать во внимание возможность усталостного разрушения.</w:t>
      </w:r>
    </w:p>
    <w:bookmarkEnd w:id="10348"/>
    <w:bookmarkStart w:name="z10410" w:id="10349"/>
    <w:p>
      <w:pPr>
        <w:spacing w:after="0"/>
        <w:ind w:left="0"/>
        <w:jc w:val="both"/>
      </w:pPr>
      <w:r>
        <w:rPr>
          <w:rFonts w:ascii="Times New Roman"/>
          <w:b w:val="false"/>
          <w:i w:val="false"/>
          <w:color w:val="000000"/>
          <w:sz w:val="28"/>
        </w:rPr>
        <w:t>
      газопроводов от вибрации, а также от пульсации давления при подаче газового топлива компрессорами.</w:t>
      </w:r>
    </w:p>
    <w:bookmarkEnd w:id="10349"/>
    <w:bookmarkStart w:name="z10411" w:id="10350"/>
    <w:p>
      <w:pPr>
        <w:spacing w:after="0"/>
        <w:ind w:left="0"/>
        <w:jc w:val="both"/>
      </w:pPr>
      <w:r>
        <w:rPr>
          <w:rFonts w:ascii="Times New Roman"/>
          <w:b w:val="false"/>
          <w:i w:val="false"/>
          <w:color w:val="000000"/>
          <w:sz w:val="28"/>
        </w:rPr>
        <w:t>
      3740. Подвод газового топлива к двухтопливным двигателям и ГТД должен отвечать требованиям глав 386 и 390 настоящих Правил.</w:t>
      </w:r>
    </w:p>
    <w:bookmarkEnd w:id="10350"/>
    <w:bookmarkStart w:name="z10412" w:id="10351"/>
    <w:p>
      <w:pPr>
        <w:spacing w:after="0"/>
        <w:ind w:left="0"/>
        <w:jc w:val="left"/>
      </w:pPr>
      <w:r>
        <w:rPr>
          <w:rFonts w:ascii="Times New Roman"/>
          <w:b/>
          <w:i w:val="false"/>
          <w:color w:val="000000"/>
        </w:rPr>
        <w:t xml:space="preserve"> Глава 310. Системы заправки топливом вертолетов</w:t>
      </w:r>
    </w:p>
    <w:bookmarkEnd w:id="10351"/>
    <w:p>
      <w:pPr>
        <w:spacing w:after="0"/>
        <w:ind w:left="0"/>
        <w:jc w:val="both"/>
      </w:pPr>
      <w:r>
        <w:rPr>
          <w:rFonts w:ascii="Times New Roman"/>
          <w:b w:val="false"/>
          <w:i w:val="false"/>
          <w:color w:val="ff0000"/>
          <w:sz w:val="28"/>
        </w:rPr>
        <w:t xml:space="preserve">
      Сноска. Заголовок главы 310 -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13" w:id="10352"/>
    <w:p>
      <w:pPr>
        <w:spacing w:after="0"/>
        <w:ind w:left="0"/>
        <w:jc w:val="both"/>
      </w:pPr>
      <w:r>
        <w:rPr>
          <w:rFonts w:ascii="Times New Roman"/>
          <w:b w:val="false"/>
          <w:i w:val="false"/>
          <w:color w:val="000000"/>
          <w:sz w:val="28"/>
        </w:rPr>
        <w:t xml:space="preserve">
      3741. Система топлива, предназначенная для снабжения других судов и вертолетов топливом с температурой вспышки ниже 43 </w:t>
      </w:r>
      <w:r>
        <w:rPr>
          <w:rFonts w:ascii="Times New Roman"/>
          <w:b w:val="false"/>
          <w:i w:val="false"/>
          <w:color w:val="000000"/>
          <w:vertAlign w:val="superscript"/>
        </w:rPr>
        <w:t>о</w:t>
      </w:r>
      <w:r>
        <w:rPr>
          <w:rFonts w:ascii="Times New Roman"/>
          <w:b w:val="false"/>
          <w:i w:val="false"/>
          <w:color w:val="000000"/>
          <w:sz w:val="28"/>
        </w:rPr>
        <w:t>С, должна отвечать требованиям настоящей части.</w:t>
      </w:r>
    </w:p>
    <w:bookmarkEnd w:id="10352"/>
    <w:bookmarkStart w:name="z10414" w:id="10353"/>
    <w:p>
      <w:pPr>
        <w:spacing w:after="0"/>
        <w:ind w:left="0"/>
        <w:jc w:val="both"/>
      </w:pPr>
      <w:r>
        <w:rPr>
          <w:rFonts w:ascii="Times New Roman"/>
          <w:b w:val="false"/>
          <w:i w:val="false"/>
          <w:color w:val="000000"/>
          <w:sz w:val="28"/>
        </w:rPr>
        <w:t>
      3742. Топливный насос одновременно забирает топливо только из одной цистерны. Трубопроводы изготавливают из стали или равноценного материала, по возможности короткими и защищенными от повреждений.</w:t>
      </w:r>
    </w:p>
    <w:bookmarkEnd w:id="10353"/>
    <w:bookmarkStart w:name="z10415" w:id="10354"/>
    <w:p>
      <w:pPr>
        <w:spacing w:after="0"/>
        <w:ind w:left="0"/>
        <w:jc w:val="both"/>
      </w:pPr>
      <w:r>
        <w:rPr>
          <w:rFonts w:ascii="Times New Roman"/>
          <w:b w:val="false"/>
          <w:i w:val="false"/>
          <w:color w:val="000000"/>
          <w:sz w:val="28"/>
        </w:rPr>
        <w:t>
      3743. Топливные насосы имеют средства остановки из удаленного безопасного места. Расходные цистерны снабжают быстрозапорными клапанами с приводом извне места расположения цистерн.</w:t>
      </w:r>
    </w:p>
    <w:bookmarkEnd w:id="10354"/>
    <w:bookmarkStart w:name="z10416" w:id="10355"/>
    <w:p>
      <w:pPr>
        <w:spacing w:after="0"/>
        <w:ind w:left="0"/>
        <w:jc w:val="both"/>
      </w:pPr>
      <w:r>
        <w:rPr>
          <w:rFonts w:ascii="Times New Roman"/>
          <w:b w:val="false"/>
          <w:i w:val="false"/>
          <w:color w:val="000000"/>
          <w:sz w:val="28"/>
        </w:rPr>
        <w:t>
      3744. В трубопроводе заправки предусматривается предохранительное устройство, предотвращающее превышение давления в заправочном топливном шланге выше допустимого.</w:t>
      </w:r>
    </w:p>
    <w:bookmarkEnd w:id="10355"/>
    <w:bookmarkStart w:name="z10417" w:id="10356"/>
    <w:p>
      <w:pPr>
        <w:spacing w:after="0"/>
        <w:ind w:left="0"/>
        <w:jc w:val="both"/>
      </w:pPr>
      <w:r>
        <w:rPr>
          <w:rFonts w:ascii="Times New Roman"/>
          <w:b w:val="false"/>
          <w:i w:val="false"/>
          <w:color w:val="000000"/>
          <w:sz w:val="28"/>
        </w:rPr>
        <w:t>
      3745. Все трубопроводы и оборудование системы приема, хранения и заправки должны быть электрически непрерывны и надежно заземлены на корпус судна.</w:t>
      </w:r>
    </w:p>
    <w:bookmarkEnd w:id="10356"/>
    <w:bookmarkStart w:name="z10418" w:id="10357"/>
    <w:p>
      <w:pPr>
        <w:spacing w:after="0"/>
        <w:ind w:left="0"/>
        <w:jc w:val="both"/>
      </w:pPr>
      <w:r>
        <w:rPr>
          <w:rFonts w:ascii="Times New Roman"/>
          <w:b w:val="false"/>
          <w:i w:val="false"/>
          <w:color w:val="000000"/>
          <w:sz w:val="28"/>
        </w:rPr>
        <w:t>
      3746. Каждая топливная цистерна имеет наполнительную, расходную, измерительную и воздушную трубы. Конец наполнительной трубы располагается не выше 300 мм от днища цистерны. Рекомендуется устанавливать уровнемеры закрытого типа. Измерительная труба оканчивается, не доходя до днища цистерны на 30 — 50 мм, и выводится на открытую палубу.</w:t>
      </w:r>
    </w:p>
    <w:bookmarkEnd w:id="10357"/>
    <w:bookmarkStart w:name="z10419" w:id="10358"/>
    <w:p>
      <w:pPr>
        <w:spacing w:after="0"/>
        <w:ind w:left="0"/>
        <w:jc w:val="both"/>
      </w:pPr>
      <w:r>
        <w:rPr>
          <w:rFonts w:ascii="Times New Roman"/>
          <w:b w:val="false"/>
          <w:i w:val="false"/>
          <w:color w:val="000000"/>
          <w:sz w:val="28"/>
        </w:rPr>
        <w:t>
      3747. Воздушные трубы от топливных цистерн выводят на высоту не менее 2,4 м над открытой палубой. Открытые концы труб отстоят на расстоянии не менее 10 м от мест забора воздуха и отверстий, ведущих в закрытые помещения, где находятся источники воспламенения, а также от палубных механизмов и оборудования, которые могут создать опасность воспламенения, и снабжаются пламепрерывающими сетками или другой арматурой, одобренной Регистром судоходства.</w:t>
      </w:r>
    </w:p>
    <w:bookmarkEnd w:id="10358"/>
    <w:bookmarkStart w:name="z10420" w:id="10359"/>
    <w:p>
      <w:pPr>
        <w:spacing w:after="0"/>
        <w:ind w:left="0"/>
        <w:jc w:val="left"/>
      </w:pPr>
      <w:r>
        <w:rPr>
          <w:rFonts w:ascii="Times New Roman"/>
          <w:b/>
          <w:i w:val="false"/>
          <w:color w:val="000000"/>
        </w:rPr>
        <w:t xml:space="preserve"> Глава 311. Системы сжиженного газа для хозяйственных нужд</w:t>
      </w:r>
    </w:p>
    <w:bookmarkEnd w:id="10359"/>
    <w:p>
      <w:pPr>
        <w:spacing w:after="0"/>
        <w:ind w:left="0"/>
        <w:jc w:val="both"/>
      </w:pPr>
      <w:r>
        <w:rPr>
          <w:rFonts w:ascii="Times New Roman"/>
          <w:b w:val="false"/>
          <w:i w:val="false"/>
          <w:color w:val="ff0000"/>
          <w:sz w:val="28"/>
        </w:rPr>
        <w:t xml:space="preserve">
      Сноска. Заголовок главы 311 -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21" w:id="10360"/>
    <w:p>
      <w:pPr>
        <w:spacing w:after="0"/>
        <w:ind w:left="0"/>
        <w:jc w:val="both"/>
      </w:pPr>
      <w:r>
        <w:rPr>
          <w:rFonts w:ascii="Times New Roman"/>
          <w:b w:val="false"/>
          <w:i w:val="false"/>
          <w:color w:val="000000"/>
          <w:sz w:val="28"/>
        </w:rPr>
        <w:t>
      3748. Допускается к применению газ, соответствующий требованиям действующих национальных стандартов.</w:t>
      </w:r>
    </w:p>
    <w:bookmarkEnd w:id="10360"/>
    <w:bookmarkStart w:name="z10422" w:id="10361"/>
    <w:p>
      <w:pPr>
        <w:spacing w:after="0"/>
        <w:ind w:left="0"/>
        <w:jc w:val="both"/>
      </w:pPr>
      <w:r>
        <w:rPr>
          <w:rFonts w:ascii="Times New Roman"/>
          <w:b w:val="false"/>
          <w:i w:val="false"/>
          <w:color w:val="000000"/>
          <w:sz w:val="28"/>
        </w:rPr>
        <w:t>
      3749. Сжиженный газ допускается использовать для камбузных плит, а также для приточных обогревателей жидкости, потребляющих не более 1 кг/ч сжиженного газа.</w:t>
      </w:r>
    </w:p>
    <w:bookmarkEnd w:id="10361"/>
    <w:bookmarkStart w:name="z10423" w:id="10362"/>
    <w:p>
      <w:pPr>
        <w:spacing w:after="0"/>
        <w:ind w:left="0"/>
        <w:jc w:val="both"/>
      </w:pPr>
      <w:r>
        <w:rPr>
          <w:rFonts w:ascii="Times New Roman"/>
          <w:b w:val="false"/>
          <w:i w:val="false"/>
          <w:color w:val="000000"/>
          <w:sz w:val="28"/>
        </w:rPr>
        <w:t>
      Применение сжиженного газа на пассажирских и нефтеналивных судах является в каждом случае предметом специального рассмотрения Регистром судоходства.</w:t>
      </w:r>
    </w:p>
    <w:bookmarkEnd w:id="10362"/>
    <w:bookmarkStart w:name="z10424" w:id="10363"/>
    <w:p>
      <w:pPr>
        <w:spacing w:after="0"/>
        <w:ind w:left="0"/>
        <w:jc w:val="both"/>
      </w:pPr>
      <w:r>
        <w:rPr>
          <w:rFonts w:ascii="Times New Roman"/>
          <w:b w:val="false"/>
          <w:i w:val="false"/>
          <w:color w:val="000000"/>
          <w:sz w:val="28"/>
        </w:rPr>
        <w:t>
      3750. К установке на судно допускаются только стандартные баллоны и потребители газа, одобренного компетентными органами технического надзора типа.</w:t>
      </w:r>
    </w:p>
    <w:bookmarkEnd w:id="10363"/>
    <w:bookmarkStart w:name="z10425" w:id="10364"/>
    <w:p>
      <w:pPr>
        <w:spacing w:after="0"/>
        <w:ind w:left="0"/>
        <w:jc w:val="both"/>
      </w:pPr>
      <w:r>
        <w:rPr>
          <w:rFonts w:ascii="Times New Roman"/>
          <w:b w:val="false"/>
          <w:i w:val="false"/>
          <w:color w:val="000000"/>
          <w:sz w:val="28"/>
        </w:rPr>
        <w:t>
      3751. Потребители сжиженного газа должны иметь автоматическое устройство прекращения подачи газа, если пламя горелки погасло.</w:t>
      </w:r>
    </w:p>
    <w:bookmarkEnd w:id="10364"/>
    <w:bookmarkStart w:name="z10426" w:id="10365"/>
    <w:p>
      <w:pPr>
        <w:spacing w:after="0"/>
        <w:ind w:left="0"/>
        <w:jc w:val="both"/>
      </w:pPr>
      <w:r>
        <w:rPr>
          <w:rFonts w:ascii="Times New Roman"/>
          <w:b w:val="false"/>
          <w:i w:val="false"/>
          <w:color w:val="000000"/>
          <w:sz w:val="28"/>
        </w:rPr>
        <w:t>
      Для прямоточных обогревателей это устройство должно иметь контрольное пламя.</w:t>
      </w:r>
    </w:p>
    <w:bookmarkEnd w:id="10365"/>
    <w:bookmarkStart w:name="z10427" w:id="10366"/>
    <w:p>
      <w:pPr>
        <w:spacing w:after="0"/>
        <w:ind w:left="0"/>
        <w:jc w:val="both"/>
      </w:pPr>
      <w:r>
        <w:rPr>
          <w:rFonts w:ascii="Times New Roman"/>
          <w:b w:val="false"/>
          <w:i w:val="false"/>
          <w:color w:val="000000"/>
          <w:sz w:val="28"/>
        </w:rPr>
        <w:t>
      3752. Для хранения баллонов предусматривается специальное помещение на открытой палубе, отвечающее требованиям пункта 2191 настоящих Правил, с выходом непосредственно на открытую палубу.</w:t>
      </w:r>
    </w:p>
    <w:bookmarkEnd w:id="10366"/>
    <w:p>
      <w:pPr>
        <w:spacing w:after="0"/>
        <w:ind w:left="0"/>
        <w:jc w:val="both"/>
      </w:pPr>
      <w:r>
        <w:rPr>
          <w:rFonts w:ascii="Times New Roman"/>
          <w:b w:val="false"/>
          <w:i w:val="false"/>
          <w:color w:val="000000"/>
          <w:sz w:val="28"/>
        </w:rPr>
        <w:t>
      Если предусматривается хранение не более двух баллонов, допускается их располагать в закрытой нише, выгороженной в надстройке или рубке, либо в стальном шкафу.</w:t>
      </w:r>
    </w:p>
    <w:p>
      <w:pPr>
        <w:spacing w:after="0"/>
        <w:ind w:left="0"/>
        <w:jc w:val="both"/>
      </w:pPr>
      <w:r>
        <w:rPr>
          <w:rFonts w:ascii="Times New Roman"/>
          <w:b w:val="false"/>
          <w:i w:val="false"/>
          <w:color w:val="000000"/>
          <w:sz w:val="28"/>
        </w:rPr>
        <w:t>
      Кроме того, помещение для хранения баллонов должно отвечать следующим требованиям:</w:t>
      </w:r>
    </w:p>
    <w:p>
      <w:pPr>
        <w:spacing w:after="0"/>
        <w:ind w:left="0"/>
        <w:jc w:val="both"/>
      </w:pPr>
      <w:r>
        <w:rPr>
          <w:rFonts w:ascii="Times New Roman"/>
          <w:b w:val="false"/>
          <w:i w:val="false"/>
          <w:color w:val="000000"/>
          <w:sz w:val="28"/>
        </w:rPr>
        <w:t>
      1) должна быть обеспечена эффективная естественная вентиляция с учетом требований пунктов 3588 и 3621 настоящих Правил. В дополнение к естественной вентиляции допускается применять искусственную вентиляцию с учетом требования пункта 3588 настоящих Правил;</w:t>
      </w:r>
    </w:p>
    <w:p>
      <w:pPr>
        <w:spacing w:after="0"/>
        <w:ind w:left="0"/>
        <w:jc w:val="both"/>
      </w:pPr>
      <w:r>
        <w:rPr>
          <w:rFonts w:ascii="Times New Roman"/>
          <w:b w:val="false"/>
          <w:i w:val="false"/>
          <w:color w:val="000000"/>
          <w:sz w:val="28"/>
        </w:rPr>
        <w:t>
      2) в необходимых случаях предусматриваются конструктивные меры для поддержания температуры внутри помещения не выше 50 °С;</w:t>
      </w:r>
    </w:p>
    <w:p>
      <w:pPr>
        <w:spacing w:after="0"/>
        <w:ind w:left="0"/>
        <w:jc w:val="both"/>
      </w:pPr>
      <w:r>
        <w:rPr>
          <w:rFonts w:ascii="Times New Roman"/>
          <w:b w:val="false"/>
          <w:i w:val="false"/>
          <w:color w:val="000000"/>
          <w:sz w:val="28"/>
        </w:rPr>
        <w:t>
      3) электрическое освещение помещения и электрическое оборудование на расстоянии до 2 метров от отверстий в помещении должны отвечать требованиям главы 438 настоящих Правил;</w:t>
      </w:r>
    </w:p>
    <w:p>
      <w:pPr>
        <w:spacing w:after="0"/>
        <w:ind w:left="0"/>
        <w:jc w:val="both"/>
      </w:pPr>
      <w:r>
        <w:rPr>
          <w:rFonts w:ascii="Times New Roman"/>
          <w:b w:val="false"/>
          <w:i w:val="false"/>
          <w:color w:val="000000"/>
          <w:sz w:val="28"/>
        </w:rPr>
        <w:t>
      4) на двери имеется надпись, предупреждающая об опасности взрыва и запрещающая применение открытого огня и курение.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3752 -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34" w:id="10367"/>
    <w:p>
      <w:pPr>
        <w:spacing w:after="0"/>
        <w:ind w:left="0"/>
        <w:jc w:val="both"/>
      </w:pPr>
      <w:r>
        <w:rPr>
          <w:rFonts w:ascii="Times New Roman"/>
          <w:b w:val="false"/>
          <w:i w:val="false"/>
          <w:color w:val="000000"/>
          <w:sz w:val="28"/>
        </w:rPr>
        <w:t>
      3753. Установка баллонов должна отвечать следующим требованиям:</w:t>
      </w:r>
    </w:p>
    <w:bookmarkEnd w:id="10367"/>
    <w:bookmarkStart w:name="z10435" w:id="10368"/>
    <w:p>
      <w:pPr>
        <w:spacing w:after="0"/>
        <w:ind w:left="0"/>
        <w:jc w:val="both"/>
      </w:pPr>
      <w:r>
        <w:rPr>
          <w:rFonts w:ascii="Times New Roman"/>
          <w:b w:val="false"/>
          <w:i w:val="false"/>
          <w:color w:val="000000"/>
          <w:sz w:val="28"/>
        </w:rPr>
        <w:t>
      1) баллоны устанавливаются клапанами вверх и крепятся быстроразъемными соединениями. Предусматриваются также другие меры для быстрого освобождения баллонов;</w:t>
      </w:r>
    </w:p>
    <w:bookmarkEnd w:id="10368"/>
    <w:bookmarkStart w:name="z10436" w:id="10369"/>
    <w:p>
      <w:pPr>
        <w:spacing w:after="0"/>
        <w:ind w:left="0"/>
        <w:jc w:val="both"/>
      </w:pPr>
      <w:r>
        <w:rPr>
          <w:rFonts w:ascii="Times New Roman"/>
          <w:b w:val="false"/>
          <w:i w:val="false"/>
          <w:color w:val="000000"/>
          <w:sz w:val="28"/>
        </w:rPr>
        <w:t>
      2) на головке баллона, как правило, устанавливают редукционный клапан. В этом случае для присоединения редукционного клапана к трубопроводу сжиженного газа допускается применять гибкий шланг одобренного типа;</w:t>
      </w:r>
    </w:p>
    <w:bookmarkEnd w:id="10369"/>
    <w:bookmarkStart w:name="z10437" w:id="10370"/>
    <w:p>
      <w:pPr>
        <w:spacing w:after="0"/>
        <w:ind w:left="0"/>
        <w:jc w:val="both"/>
      </w:pPr>
      <w:r>
        <w:rPr>
          <w:rFonts w:ascii="Times New Roman"/>
          <w:b w:val="false"/>
          <w:i w:val="false"/>
          <w:color w:val="000000"/>
          <w:sz w:val="28"/>
        </w:rPr>
        <w:t>
      3) если предусматривается присоединение группы баллонов к коллектору, то допускается предусматривать только один редукционный клапан, установленный на коллекторе. В этом случае соединение баллонов с коллектором выполняется медными трубками;</w:t>
      </w:r>
    </w:p>
    <w:bookmarkEnd w:id="10370"/>
    <w:bookmarkStart w:name="z10438" w:id="10371"/>
    <w:p>
      <w:pPr>
        <w:spacing w:after="0"/>
        <w:ind w:left="0"/>
        <w:jc w:val="both"/>
      </w:pPr>
      <w:r>
        <w:rPr>
          <w:rFonts w:ascii="Times New Roman"/>
          <w:b w:val="false"/>
          <w:i w:val="false"/>
          <w:color w:val="000000"/>
          <w:sz w:val="28"/>
        </w:rPr>
        <w:t>
      4) если предусматривается присоединение к коллектору более чем одного баллона, то между каждым баллоном и коллектором устанавливается запорный клапан или кран, а в помещении должна быть надпись, запрещающая одновременное использование более чем одного баллона.</w:t>
      </w:r>
    </w:p>
    <w:bookmarkEnd w:id="10371"/>
    <w:bookmarkStart w:name="z10439" w:id="10372"/>
    <w:p>
      <w:pPr>
        <w:spacing w:after="0"/>
        <w:ind w:left="0"/>
        <w:jc w:val="both"/>
      </w:pPr>
      <w:r>
        <w:rPr>
          <w:rFonts w:ascii="Times New Roman"/>
          <w:b w:val="false"/>
          <w:i w:val="false"/>
          <w:color w:val="000000"/>
          <w:sz w:val="28"/>
        </w:rPr>
        <w:t>
      3754. Помещения, в которых устанавливаются потребители газа, оборудуются в соответствии с пунктом 2191 настоящих Правил и отвечают следующим требованиям:</w:t>
      </w:r>
    </w:p>
    <w:bookmarkEnd w:id="10372"/>
    <w:bookmarkStart w:name="z10440" w:id="10373"/>
    <w:p>
      <w:pPr>
        <w:spacing w:after="0"/>
        <w:ind w:left="0"/>
        <w:jc w:val="both"/>
      </w:pPr>
      <w:r>
        <w:rPr>
          <w:rFonts w:ascii="Times New Roman"/>
          <w:b w:val="false"/>
          <w:i w:val="false"/>
          <w:color w:val="000000"/>
          <w:sz w:val="28"/>
        </w:rPr>
        <w:t>
      1) размещаются, как правило, не ниже верхней палубы и снабжены эффективной естественной вентиляцией для удаления продуктов сгорания и забора воздуха из нижней части помещения;</w:t>
      </w:r>
    </w:p>
    <w:bookmarkEnd w:id="10373"/>
    <w:bookmarkStart w:name="z10441" w:id="10374"/>
    <w:p>
      <w:pPr>
        <w:spacing w:after="0"/>
        <w:ind w:left="0"/>
        <w:jc w:val="both"/>
      </w:pPr>
      <w:r>
        <w:rPr>
          <w:rFonts w:ascii="Times New Roman"/>
          <w:b w:val="false"/>
          <w:i w:val="false"/>
          <w:color w:val="000000"/>
          <w:sz w:val="28"/>
        </w:rPr>
        <w:t>
      2) если помещение находится хотя бы частично ниже открытой палубы, оно снабжается искусственной вентиляцией;</w:t>
      </w:r>
    </w:p>
    <w:bookmarkEnd w:id="10374"/>
    <w:bookmarkStart w:name="z10442" w:id="10375"/>
    <w:p>
      <w:pPr>
        <w:spacing w:after="0"/>
        <w:ind w:left="0"/>
        <w:jc w:val="both"/>
      </w:pPr>
      <w:r>
        <w:rPr>
          <w:rFonts w:ascii="Times New Roman"/>
          <w:b w:val="false"/>
          <w:i w:val="false"/>
          <w:color w:val="000000"/>
          <w:sz w:val="28"/>
        </w:rPr>
        <w:t>
      3) проточные потребители газа снабжаются отдельными каналами для отвода продуктов сгорания.</w:t>
      </w:r>
    </w:p>
    <w:bookmarkEnd w:id="10375"/>
    <w:bookmarkStart w:name="z10443" w:id="10376"/>
    <w:p>
      <w:pPr>
        <w:spacing w:after="0"/>
        <w:ind w:left="0"/>
        <w:jc w:val="both"/>
      </w:pPr>
      <w:r>
        <w:rPr>
          <w:rFonts w:ascii="Times New Roman"/>
          <w:b w:val="false"/>
          <w:i w:val="false"/>
          <w:color w:val="000000"/>
          <w:sz w:val="28"/>
        </w:rPr>
        <w:t>
      3755. Трубопроводы выполняют из бесшовных стальных или медных труб. Стальные трубы защищают от коррозии.</w:t>
      </w:r>
    </w:p>
    <w:bookmarkEnd w:id="10376"/>
    <w:bookmarkStart w:name="z10444" w:id="10377"/>
    <w:p>
      <w:pPr>
        <w:spacing w:after="0"/>
        <w:ind w:left="0"/>
        <w:jc w:val="both"/>
      </w:pPr>
      <w:r>
        <w:rPr>
          <w:rFonts w:ascii="Times New Roman"/>
          <w:b w:val="false"/>
          <w:i w:val="false"/>
          <w:color w:val="000000"/>
          <w:sz w:val="28"/>
        </w:rPr>
        <w:t>
      3756. Толщина стенок трубопроводов должна отвечать требованиям графы 2 или 8 приложения 339 настоящих Правил.</w:t>
      </w:r>
    </w:p>
    <w:bookmarkEnd w:id="10377"/>
    <w:bookmarkStart w:name="z10445" w:id="10378"/>
    <w:p>
      <w:pPr>
        <w:spacing w:after="0"/>
        <w:ind w:left="0"/>
        <w:jc w:val="both"/>
      </w:pPr>
      <w:r>
        <w:rPr>
          <w:rFonts w:ascii="Times New Roman"/>
          <w:b w:val="false"/>
          <w:i w:val="false"/>
          <w:color w:val="000000"/>
          <w:sz w:val="28"/>
        </w:rPr>
        <w:t>
      3757. Трубопроводы от баллонов до мест потребления газа прокладывают по открытой палубе и защищают от механических повреждений.</w:t>
      </w:r>
    </w:p>
    <w:bookmarkEnd w:id="10378"/>
    <w:bookmarkStart w:name="z10446" w:id="10379"/>
    <w:p>
      <w:pPr>
        <w:spacing w:after="0"/>
        <w:ind w:left="0"/>
        <w:jc w:val="both"/>
      </w:pPr>
      <w:r>
        <w:rPr>
          <w:rFonts w:ascii="Times New Roman"/>
          <w:b w:val="false"/>
          <w:i w:val="false"/>
          <w:color w:val="000000"/>
          <w:sz w:val="28"/>
        </w:rPr>
        <w:t>
      3758. Соединения трубопроводов должны быть сварными. Резьбовые или фланцевые соединения допускаются только в местах присоединения контрольно-измерительных приборов, потребителей газа и арматуры.</w:t>
      </w:r>
    </w:p>
    <w:bookmarkEnd w:id="10379"/>
    <w:bookmarkStart w:name="z10447" w:id="10380"/>
    <w:p>
      <w:pPr>
        <w:spacing w:after="0"/>
        <w:ind w:left="0"/>
        <w:jc w:val="both"/>
      </w:pPr>
      <w:r>
        <w:rPr>
          <w:rFonts w:ascii="Times New Roman"/>
          <w:b w:val="false"/>
          <w:i w:val="false"/>
          <w:color w:val="000000"/>
          <w:sz w:val="28"/>
        </w:rPr>
        <w:t>
      3759. У выхода из помещения для баллонов на трубопроводе устанавливается запорный кран или клапан, управляемый извне помещения. Этот кран или клапан имеет ограничитель поворота и указатель положения.</w:t>
      </w:r>
    </w:p>
    <w:bookmarkEnd w:id="10380"/>
    <w:bookmarkStart w:name="z10448" w:id="10381"/>
    <w:p>
      <w:pPr>
        <w:spacing w:after="0"/>
        <w:ind w:left="0"/>
        <w:jc w:val="both"/>
      </w:pPr>
      <w:r>
        <w:rPr>
          <w:rFonts w:ascii="Times New Roman"/>
          <w:b w:val="false"/>
          <w:i w:val="false"/>
          <w:color w:val="000000"/>
          <w:sz w:val="28"/>
        </w:rPr>
        <w:t>
      3760. Если на судне предусматривается установка более одного потребителя, на ответвлениях от общего трубопровода к каждому потребителю устанавливается запорный кран или клапан, снабженный ограничителем поворота и указателем положения.</w:t>
      </w:r>
    </w:p>
    <w:bookmarkEnd w:id="10381"/>
    <w:bookmarkStart w:name="z10449" w:id="10382"/>
    <w:p>
      <w:pPr>
        <w:spacing w:after="0"/>
        <w:ind w:left="0"/>
        <w:jc w:val="both"/>
      </w:pPr>
      <w:r>
        <w:rPr>
          <w:rFonts w:ascii="Times New Roman"/>
          <w:b w:val="false"/>
          <w:i w:val="false"/>
          <w:color w:val="000000"/>
          <w:sz w:val="28"/>
        </w:rPr>
        <w:t>
      При установке таких кранов или клапанов в помещении для хранения баллонов обеспечивается возможность их управления извне помещения, при этом наличие крана или клапана на общем трубопроводе не требуется (пункт 3759 настоящих Правил).</w:t>
      </w:r>
    </w:p>
    <w:bookmarkEnd w:id="10382"/>
    <w:bookmarkStart w:name="z10450" w:id="10383"/>
    <w:p>
      <w:pPr>
        <w:spacing w:after="0"/>
        <w:ind w:left="0"/>
        <w:jc w:val="both"/>
      </w:pPr>
      <w:r>
        <w:rPr>
          <w:rFonts w:ascii="Times New Roman"/>
          <w:b w:val="false"/>
          <w:i w:val="false"/>
          <w:color w:val="000000"/>
          <w:sz w:val="28"/>
        </w:rPr>
        <w:t>
      3761. Редукционный клапан должен обеспечивать давление в системе не более 5 кПа.</w:t>
      </w:r>
    </w:p>
    <w:bookmarkEnd w:id="10383"/>
    <w:bookmarkStart w:name="z10451" w:id="10384"/>
    <w:p>
      <w:pPr>
        <w:spacing w:after="0"/>
        <w:ind w:left="0"/>
        <w:jc w:val="both"/>
      </w:pPr>
      <w:r>
        <w:rPr>
          <w:rFonts w:ascii="Times New Roman"/>
          <w:b w:val="false"/>
          <w:i w:val="false"/>
          <w:color w:val="000000"/>
          <w:sz w:val="28"/>
        </w:rPr>
        <w:t>
      3762. Редукционный клапан или трубопровод после него должны снабжаться предохранительным клапаном, отрегулированным на давление до 7 кПа, с отводом газа на открытую палубу в безопасное место.</w:t>
      </w:r>
    </w:p>
    <w:bookmarkEnd w:id="10384"/>
    <w:bookmarkStart w:name="z10452" w:id="10385"/>
    <w:p>
      <w:pPr>
        <w:spacing w:after="0"/>
        <w:ind w:left="0"/>
        <w:jc w:val="both"/>
      </w:pPr>
      <w:r>
        <w:rPr>
          <w:rFonts w:ascii="Times New Roman"/>
          <w:b w:val="false"/>
          <w:i w:val="false"/>
          <w:color w:val="000000"/>
          <w:sz w:val="28"/>
        </w:rPr>
        <w:t>
      Если редукционный клапан сконструирован так, что при разрыве или повреждении мембраны будет закрываться выход газа в трубопровод низкого давления, установка предохранительного клапана не обязательна.</w:t>
      </w:r>
    </w:p>
    <w:bookmarkEnd w:id="10385"/>
    <w:bookmarkStart w:name="z10453" w:id="10386"/>
    <w:p>
      <w:pPr>
        <w:spacing w:after="0"/>
        <w:ind w:left="0"/>
        <w:jc w:val="both"/>
      </w:pPr>
      <w:r>
        <w:rPr>
          <w:rFonts w:ascii="Times New Roman"/>
          <w:b w:val="false"/>
          <w:i w:val="false"/>
          <w:color w:val="000000"/>
          <w:sz w:val="28"/>
        </w:rPr>
        <w:t>
      3763. Арматура изготавливается из бронзы, латуни или другого коррозионно-стойкого материала.</w:t>
      </w:r>
    </w:p>
    <w:bookmarkEnd w:id="10386"/>
    <w:bookmarkStart w:name="z10454" w:id="10387"/>
    <w:p>
      <w:pPr>
        <w:spacing w:after="0"/>
        <w:ind w:left="0"/>
        <w:jc w:val="both"/>
      </w:pPr>
      <w:r>
        <w:rPr>
          <w:rFonts w:ascii="Times New Roman"/>
          <w:b w:val="false"/>
          <w:i w:val="false"/>
          <w:color w:val="000000"/>
          <w:sz w:val="28"/>
        </w:rPr>
        <w:t>
      3764. Трубопроводы сжиженного газа от баллонов до редукционных клапанов должны испытываться:</w:t>
      </w:r>
    </w:p>
    <w:bookmarkEnd w:id="10387"/>
    <w:bookmarkStart w:name="z10455" w:id="10388"/>
    <w:p>
      <w:pPr>
        <w:spacing w:after="0"/>
        <w:ind w:left="0"/>
        <w:jc w:val="both"/>
      </w:pPr>
      <w:r>
        <w:rPr>
          <w:rFonts w:ascii="Times New Roman"/>
          <w:b w:val="false"/>
          <w:i w:val="false"/>
          <w:color w:val="000000"/>
          <w:sz w:val="28"/>
        </w:rPr>
        <w:t>
      в цехе — гидравлическим давлением 2,5 МПа;</w:t>
      </w:r>
    </w:p>
    <w:bookmarkEnd w:id="10388"/>
    <w:bookmarkStart w:name="z10456" w:id="10389"/>
    <w:p>
      <w:pPr>
        <w:spacing w:after="0"/>
        <w:ind w:left="0"/>
        <w:jc w:val="both"/>
      </w:pPr>
      <w:r>
        <w:rPr>
          <w:rFonts w:ascii="Times New Roman"/>
          <w:b w:val="false"/>
          <w:i w:val="false"/>
          <w:color w:val="000000"/>
          <w:sz w:val="28"/>
        </w:rPr>
        <w:t>
      на судне — давлением воздуха 1,7 МПа.</w:t>
      </w:r>
    </w:p>
    <w:bookmarkEnd w:id="10389"/>
    <w:bookmarkStart w:name="z10457" w:id="10390"/>
    <w:p>
      <w:pPr>
        <w:spacing w:after="0"/>
        <w:ind w:left="0"/>
        <w:jc w:val="both"/>
      </w:pPr>
      <w:r>
        <w:rPr>
          <w:rFonts w:ascii="Times New Roman"/>
          <w:b w:val="false"/>
          <w:i w:val="false"/>
          <w:color w:val="000000"/>
          <w:sz w:val="28"/>
        </w:rPr>
        <w:t>
      Трубопроводы сжиженного газа от редукционных клапанов до потребителей газа после монтажа на судне должны испытываться на плотность воздухом давлением 0,02 МПа.</w:t>
      </w:r>
    </w:p>
    <w:bookmarkEnd w:id="10390"/>
    <w:bookmarkStart w:name="z10458" w:id="10391"/>
    <w:p>
      <w:pPr>
        <w:spacing w:after="0"/>
        <w:ind w:left="0"/>
        <w:jc w:val="left"/>
      </w:pPr>
      <w:r>
        <w:rPr>
          <w:rFonts w:ascii="Times New Roman"/>
          <w:b/>
          <w:i w:val="false"/>
          <w:color w:val="000000"/>
        </w:rPr>
        <w:t xml:space="preserve"> Глава 312. Система подачи топлива для камбузного оборудования</w:t>
      </w:r>
    </w:p>
    <w:bookmarkEnd w:id="10391"/>
    <w:p>
      <w:pPr>
        <w:spacing w:after="0"/>
        <w:ind w:left="0"/>
        <w:jc w:val="both"/>
      </w:pPr>
      <w:r>
        <w:rPr>
          <w:rFonts w:ascii="Times New Roman"/>
          <w:b w:val="false"/>
          <w:i w:val="false"/>
          <w:color w:val="ff0000"/>
          <w:sz w:val="28"/>
        </w:rPr>
        <w:t xml:space="preserve">
      Сноска. Заголовок главы 312 -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59" w:id="10392"/>
    <w:p>
      <w:pPr>
        <w:spacing w:after="0"/>
        <w:ind w:left="0"/>
        <w:jc w:val="both"/>
      </w:pPr>
      <w:r>
        <w:rPr>
          <w:rFonts w:ascii="Times New Roman"/>
          <w:b w:val="false"/>
          <w:i w:val="false"/>
          <w:color w:val="000000"/>
          <w:sz w:val="28"/>
        </w:rPr>
        <w:t xml:space="preserve">
      3765. Для работы камбузного оборудования допускается использование топлива с температурой вспышки не ниже 60 </w:t>
      </w:r>
      <w:r>
        <w:rPr>
          <w:rFonts w:ascii="Times New Roman"/>
          <w:b w:val="false"/>
          <w:i w:val="false"/>
          <w:color w:val="000000"/>
          <w:vertAlign w:val="superscript"/>
        </w:rPr>
        <w:t>о</w:t>
      </w:r>
      <w:r>
        <w:rPr>
          <w:rFonts w:ascii="Times New Roman"/>
          <w:b w:val="false"/>
          <w:i w:val="false"/>
          <w:color w:val="000000"/>
          <w:sz w:val="28"/>
        </w:rPr>
        <w:t>С.</w:t>
      </w:r>
    </w:p>
    <w:bookmarkEnd w:id="10392"/>
    <w:bookmarkStart w:name="z10460" w:id="10393"/>
    <w:p>
      <w:pPr>
        <w:spacing w:after="0"/>
        <w:ind w:left="0"/>
        <w:jc w:val="both"/>
      </w:pPr>
      <w:r>
        <w:rPr>
          <w:rFonts w:ascii="Times New Roman"/>
          <w:b w:val="false"/>
          <w:i w:val="false"/>
          <w:color w:val="000000"/>
          <w:sz w:val="28"/>
        </w:rPr>
        <w:t>
      3766. Вместимость расходных топливных цистерн, установленных в помещении камбуза, рассчитывается не более чем на суточную потребность.</w:t>
      </w:r>
    </w:p>
    <w:bookmarkEnd w:id="10393"/>
    <w:bookmarkStart w:name="z10461" w:id="10394"/>
    <w:p>
      <w:pPr>
        <w:spacing w:after="0"/>
        <w:ind w:left="0"/>
        <w:jc w:val="both"/>
      </w:pPr>
      <w:r>
        <w:rPr>
          <w:rFonts w:ascii="Times New Roman"/>
          <w:b w:val="false"/>
          <w:i w:val="false"/>
          <w:color w:val="000000"/>
          <w:sz w:val="28"/>
        </w:rPr>
        <w:t>
      3767. Запорный клапан на расходном трубопроводе имеет дистанционное управление из доступного места вне камбуза. Рекомендуется применять клапаны быстрозапорного типа.</w:t>
      </w:r>
    </w:p>
    <w:bookmarkEnd w:id="10394"/>
    <w:bookmarkStart w:name="z10462" w:id="10395"/>
    <w:p>
      <w:pPr>
        <w:spacing w:after="0"/>
        <w:ind w:left="0"/>
        <w:jc w:val="both"/>
      </w:pPr>
      <w:r>
        <w:rPr>
          <w:rFonts w:ascii="Times New Roman"/>
          <w:b w:val="false"/>
          <w:i w:val="false"/>
          <w:color w:val="000000"/>
          <w:sz w:val="28"/>
        </w:rPr>
        <w:t>
      3768. Расстояние от цистерн, топливных насосов и подогревателей до ближайшей точки теплового оборудования должно быть не менее 2 м, а в плане помещения – не менее 0,5 м.</w:t>
      </w:r>
    </w:p>
    <w:bookmarkEnd w:id="10395"/>
    <w:bookmarkStart w:name="z10463" w:id="10396"/>
    <w:p>
      <w:pPr>
        <w:spacing w:after="0"/>
        <w:ind w:left="0"/>
        <w:jc w:val="both"/>
      </w:pPr>
      <w:r>
        <w:rPr>
          <w:rFonts w:ascii="Times New Roman"/>
          <w:b w:val="false"/>
          <w:i w:val="false"/>
          <w:color w:val="000000"/>
          <w:sz w:val="28"/>
        </w:rPr>
        <w:t>
      3769. Если позволяют размеры камбуза, топливные цистерны, насосы и прочие устройства топливной системы размещаются в специальных выгородках.</w:t>
      </w:r>
    </w:p>
    <w:bookmarkEnd w:id="10396"/>
    <w:bookmarkStart w:name="z10464" w:id="10397"/>
    <w:p>
      <w:pPr>
        <w:spacing w:after="0"/>
        <w:ind w:left="0"/>
        <w:jc w:val="both"/>
      </w:pPr>
      <w:r>
        <w:rPr>
          <w:rFonts w:ascii="Times New Roman"/>
          <w:b w:val="false"/>
          <w:i w:val="false"/>
          <w:color w:val="000000"/>
          <w:sz w:val="28"/>
        </w:rPr>
        <w:t>
      3770. Все оборудование, работающее на жидком топливе, включая форсунки, имеет снизу поддоны (или ограждение делают непосредственно на стальной палубе) с ограждающими буртиками высотой не менее 75 мм, выступающими за габариты оборудования не менее чем на 100 мм.</w:t>
      </w:r>
    </w:p>
    <w:bookmarkEnd w:id="10397"/>
    <w:bookmarkStart w:name="z10465" w:id="10398"/>
    <w:p>
      <w:pPr>
        <w:spacing w:after="0"/>
        <w:ind w:left="0"/>
        <w:jc w:val="left"/>
      </w:pPr>
      <w:r>
        <w:rPr>
          <w:rFonts w:ascii="Times New Roman"/>
          <w:b/>
          <w:i w:val="false"/>
          <w:color w:val="000000"/>
        </w:rPr>
        <w:t xml:space="preserve"> Подраздел 14. Система смазочного масла</w:t>
      </w:r>
      <w:r>
        <w:br/>
      </w:r>
      <w:r>
        <w:rPr>
          <w:rFonts w:ascii="Times New Roman"/>
          <w:b/>
          <w:i w:val="false"/>
          <w:color w:val="000000"/>
        </w:rPr>
        <w:t>Глава 313. Масляные насосы двигателей внутреннего сгорания, передач и муфт</w:t>
      </w:r>
    </w:p>
    <w:bookmarkEnd w:id="10398"/>
    <w:p>
      <w:pPr>
        <w:spacing w:after="0"/>
        <w:ind w:left="0"/>
        <w:jc w:val="both"/>
      </w:pPr>
      <w:r>
        <w:rPr>
          <w:rFonts w:ascii="Times New Roman"/>
          <w:b w:val="false"/>
          <w:i w:val="false"/>
          <w:color w:val="ff0000"/>
          <w:sz w:val="28"/>
        </w:rPr>
        <w:t xml:space="preserve">
      Сноска. Заголовок главы 313 -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67" w:id="10399"/>
    <w:p>
      <w:pPr>
        <w:spacing w:after="0"/>
        <w:ind w:left="0"/>
        <w:jc w:val="both"/>
      </w:pPr>
      <w:r>
        <w:rPr>
          <w:rFonts w:ascii="Times New Roman"/>
          <w:b w:val="false"/>
          <w:i w:val="false"/>
          <w:color w:val="000000"/>
          <w:sz w:val="28"/>
        </w:rPr>
        <w:t>
      3771. При одном главном двигателе должно быть не менее двух насосов циркуляционной смазки равной подачи — основного и резервного, один из которых может иметь привод от двигателя.</w:t>
      </w:r>
    </w:p>
    <w:bookmarkEnd w:id="10399"/>
    <w:bookmarkStart w:name="z10468" w:id="10400"/>
    <w:p>
      <w:pPr>
        <w:spacing w:after="0"/>
        <w:ind w:left="0"/>
        <w:jc w:val="both"/>
      </w:pPr>
      <w:r>
        <w:rPr>
          <w:rFonts w:ascii="Times New Roman"/>
          <w:b w:val="false"/>
          <w:i w:val="false"/>
          <w:color w:val="000000"/>
          <w:sz w:val="28"/>
        </w:rPr>
        <w:t>
      3772. При наличии двух и более главных двигателей достаточно предусмотреть по одному масляному насосу для каждого двигателя и один резервный насос с независимым приводом и подачей, достаточной для обеспечения работы каждого из двигателей.</w:t>
      </w:r>
    </w:p>
    <w:bookmarkEnd w:id="10400"/>
    <w:bookmarkStart w:name="z10469" w:id="10401"/>
    <w:p>
      <w:pPr>
        <w:spacing w:after="0"/>
        <w:ind w:left="0"/>
        <w:jc w:val="both"/>
      </w:pPr>
      <w:r>
        <w:rPr>
          <w:rFonts w:ascii="Times New Roman"/>
          <w:b w:val="false"/>
          <w:i w:val="false"/>
          <w:color w:val="000000"/>
          <w:sz w:val="28"/>
        </w:rPr>
        <w:t>
      Допускается иметь на судне запасной насос в качестве резервного при условии доступности его к монтажу в судовых условиях.</w:t>
      </w:r>
    </w:p>
    <w:bookmarkEnd w:id="10401"/>
    <w:bookmarkStart w:name="z10470" w:id="10402"/>
    <w:p>
      <w:pPr>
        <w:spacing w:after="0"/>
        <w:ind w:left="0"/>
        <w:jc w:val="both"/>
      </w:pPr>
      <w:r>
        <w:rPr>
          <w:rFonts w:ascii="Times New Roman"/>
          <w:b w:val="false"/>
          <w:i w:val="false"/>
          <w:color w:val="000000"/>
          <w:sz w:val="28"/>
        </w:rPr>
        <w:t>
      Объединение систем смазочного масла главных двигателей является в каждом случае предметом специального рассмотрения Регистром судоходства.</w:t>
      </w:r>
    </w:p>
    <w:bookmarkEnd w:id="10402"/>
    <w:bookmarkStart w:name="z10471" w:id="10403"/>
    <w:p>
      <w:pPr>
        <w:spacing w:after="0"/>
        <w:ind w:left="0"/>
        <w:jc w:val="both"/>
      </w:pPr>
      <w:r>
        <w:rPr>
          <w:rFonts w:ascii="Times New Roman"/>
          <w:b w:val="false"/>
          <w:i w:val="false"/>
          <w:color w:val="000000"/>
          <w:sz w:val="28"/>
        </w:rPr>
        <w:t>
      3773. При наличии трех и более главных двигателей число и подача насосов являются в каждом случае предметом специального рассмотрения Регистром судоходства.</w:t>
      </w:r>
    </w:p>
    <w:bookmarkEnd w:id="10403"/>
    <w:bookmarkStart w:name="z10472" w:id="10404"/>
    <w:p>
      <w:pPr>
        <w:spacing w:after="0"/>
        <w:ind w:left="0"/>
        <w:jc w:val="both"/>
      </w:pPr>
      <w:r>
        <w:rPr>
          <w:rFonts w:ascii="Times New Roman"/>
          <w:b w:val="false"/>
          <w:i w:val="false"/>
          <w:color w:val="000000"/>
          <w:sz w:val="28"/>
        </w:rPr>
        <w:t>
      3774. На грузовых судах валовой вместимостью менее 500 ограниченных районов плавания R2, R2-RSN, R3-RSN и R3 независимо от числа главных двигателей резервные насосы допускается не предусматривать.</w:t>
      </w:r>
    </w:p>
    <w:bookmarkEnd w:id="10404"/>
    <w:bookmarkStart w:name="z10473" w:id="10405"/>
    <w:p>
      <w:pPr>
        <w:spacing w:after="0"/>
        <w:ind w:left="0"/>
        <w:jc w:val="both"/>
      </w:pPr>
      <w:r>
        <w:rPr>
          <w:rFonts w:ascii="Times New Roman"/>
          <w:b w:val="false"/>
          <w:i w:val="false"/>
          <w:color w:val="000000"/>
          <w:sz w:val="28"/>
        </w:rPr>
        <w:t>
      Это исключение не распространяется на следующие суда ограниченного района плавания R2:</w:t>
      </w:r>
    </w:p>
    <w:bookmarkEnd w:id="10405"/>
    <w:bookmarkStart w:name="z10474" w:id="10406"/>
    <w:p>
      <w:pPr>
        <w:spacing w:after="0"/>
        <w:ind w:left="0"/>
        <w:jc w:val="both"/>
      </w:pPr>
      <w:r>
        <w:rPr>
          <w:rFonts w:ascii="Times New Roman"/>
          <w:b w:val="false"/>
          <w:i w:val="false"/>
          <w:color w:val="000000"/>
          <w:sz w:val="28"/>
        </w:rPr>
        <w:t>
      буксиры с одним главным двигателем;</w:t>
      </w:r>
    </w:p>
    <w:bookmarkEnd w:id="10406"/>
    <w:bookmarkStart w:name="z10475" w:id="10407"/>
    <w:p>
      <w:pPr>
        <w:spacing w:after="0"/>
        <w:ind w:left="0"/>
        <w:jc w:val="both"/>
      </w:pPr>
      <w:r>
        <w:rPr>
          <w:rFonts w:ascii="Times New Roman"/>
          <w:b w:val="false"/>
          <w:i w:val="false"/>
          <w:color w:val="000000"/>
          <w:sz w:val="28"/>
        </w:rPr>
        <w:t>
      пассажирские суда с одним главным двигателем.</w:t>
      </w:r>
    </w:p>
    <w:bookmarkEnd w:id="10407"/>
    <w:bookmarkStart w:name="z10476" w:id="10408"/>
    <w:p>
      <w:pPr>
        <w:spacing w:after="0"/>
        <w:ind w:left="0"/>
        <w:jc w:val="both"/>
      </w:pPr>
      <w:r>
        <w:rPr>
          <w:rFonts w:ascii="Times New Roman"/>
          <w:b w:val="false"/>
          <w:i w:val="false"/>
          <w:color w:val="000000"/>
          <w:sz w:val="28"/>
        </w:rPr>
        <w:t>
      3775. В системе смазочного масла турбонагнетателей главных двигателей с автономным электроприводным насосом следует предусматривать установку резервного насоса с равной подачей и гравитационную цистерну масла вместимостью, достаточной для смазки турбонагнетателей в течение свободного выбега при внезапной остановке масляного насоса</w:t>
      </w:r>
    </w:p>
    <w:bookmarkEnd w:id="10408"/>
    <w:bookmarkStart w:name="z10477" w:id="10409"/>
    <w:p>
      <w:pPr>
        <w:spacing w:after="0"/>
        <w:ind w:left="0"/>
        <w:jc w:val="both"/>
      </w:pPr>
      <w:r>
        <w:rPr>
          <w:rFonts w:ascii="Times New Roman"/>
          <w:b w:val="false"/>
          <w:i w:val="false"/>
          <w:color w:val="000000"/>
          <w:sz w:val="28"/>
        </w:rPr>
        <w:t>
      Предусматривается сигнализация по допускаемому низшему уровню в цистерне и автоматический пуск резервного насоса при остановке работающего.</w:t>
      </w:r>
    </w:p>
    <w:bookmarkEnd w:id="10409"/>
    <w:bookmarkStart w:name="z10478" w:id="10410"/>
    <w:p>
      <w:pPr>
        <w:spacing w:after="0"/>
        <w:ind w:left="0"/>
        <w:jc w:val="both"/>
      </w:pPr>
      <w:r>
        <w:rPr>
          <w:rFonts w:ascii="Times New Roman"/>
          <w:b w:val="false"/>
          <w:i w:val="false"/>
          <w:color w:val="000000"/>
          <w:sz w:val="28"/>
        </w:rPr>
        <w:t>
      Следует предусматривать средства контроля протока масла в подшипниках турбонагнетателей.</w:t>
      </w:r>
    </w:p>
    <w:bookmarkEnd w:id="10410"/>
    <w:bookmarkStart w:name="z10479" w:id="10411"/>
    <w:p>
      <w:pPr>
        <w:spacing w:after="0"/>
        <w:ind w:left="0"/>
        <w:jc w:val="both"/>
      </w:pPr>
      <w:r>
        <w:rPr>
          <w:rFonts w:ascii="Times New Roman"/>
          <w:b w:val="false"/>
          <w:i w:val="false"/>
          <w:color w:val="000000"/>
          <w:sz w:val="28"/>
        </w:rPr>
        <w:t>
      3776. Насосы смазочного масла главных зубчатых передач, а также насосы для наполнения главных гидромуфт должны отвечать требованиям пунктов 3771 – 3774 настоящих Правил для главных двигателей.</w:t>
      </w:r>
    </w:p>
    <w:bookmarkEnd w:id="10411"/>
    <w:bookmarkStart w:name="z10480" w:id="10412"/>
    <w:p>
      <w:pPr>
        <w:spacing w:after="0"/>
        <w:ind w:left="0"/>
        <w:jc w:val="both"/>
      </w:pPr>
      <w:r>
        <w:rPr>
          <w:rFonts w:ascii="Times New Roman"/>
          <w:b w:val="false"/>
          <w:i w:val="false"/>
          <w:color w:val="000000"/>
          <w:sz w:val="28"/>
        </w:rPr>
        <w:t>
      3777. Каждый вспомогательный двигатель, а также двигатель аварийного дизель-генератора (пункт 3974 настоящих Правил) имеет независимую систему смазочного масла.</w:t>
      </w:r>
    </w:p>
    <w:bookmarkEnd w:id="10412"/>
    <w:bookmarkStart w:name="z10481" w:id="10413"/>
    <w:p>
      <w:pPr>
        <w:spacing w:after="0"/>
        <w:ind w:left="0"/>
        <w:jc w:val="both"/>
      </w:pPr>
      <w:r>
        <w:rPr>
          <w:rFonts w:ascii="Times New Roman"/>
          <w:b w:val="false"/>
          <w:i w:val="false"/>
          <w:color w:val="000000"/>
          <w:sz w:val="28"/>
        </w:rPr>
        <w:t>
      Объединение систем для вспомогательных двигателей является в каждом случае предметом специального рассмотрения Регистром судоходства.</w:t>
      </w:r>
    </w:p>
    <w:bookmarkEnd w:id="10413"/>
    <w:bookmarkStart w:name="z10482" w:id="10414"/>
    <w:p>
      <w:pPr>
        <w:spacing w:after="0"/>
        <w:ind w:left="0"/>
        <w:jc w:val="both"/>
      </w:pPr>
      <w:r>
        <w:rPr>
          <w:rFonts w:ascii="Times New Roman"/>
          <w:b w:val="false"/>
          <w:i w:val="false"/>
          <w:color w:val="000000"/>
          <w:sz w:val="28"/>
        </w:rPr>
        <w:t>
      3778. Смазка дейдвудных подшипников, работающих на масляной смазке, должна отвечать требованиям пунктов 2813 и 2814 настоящих Правил.</w:t>
      </w:r>
    </w:p>
    <w:bookmarkEnd w:id="10414"/>
    <w:bookmarkStart w:name="z10483" w:id="10415"/>
    <w:p>
      <w:pPr>
        <w:spacing w:after="0"/>
        <w:ind w:left="0"/>
        <w:jc w:val="left"/>
      </w:pPr>
      <w:r>
        <w:rPr>
          <w:rFonts w:ascii="Times New Roman"/>
          <w:b/>
          <w:i w:val="false"/>
          <w:color w:val="000000"/>
        </w:rPr>
        <w:t xml:space="preserve"> Глава 314. Подвод смазочного масла к двигателям внутреннего сгорания и передачам</w:t>
      </w:r>
    </w:p>
    <w:bookmarkEnd w:id="10415"/>
    <w:p>
      <w:pPr>
        <w:spacing w:after="0"/>
        <w:ind w:left="0"/>
        <w:jc w:val="both"/>
      </w:pPr>
      <w:r>
        <w:rPr>
          <w:rFonts w:ascii="Times New Roman"/>
          <w:b w:val="false"/>
          <w:i w:val="false"/>
          <w:color w:val="ff0000"/>
          <w:sz w:val="28"/>
        </w:rPr>
        <w:t xml:space="preserve">
      Сноска. Заголовок главы 314 -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84" w:id="10416"/>
    <w:p>
      <w:pPr>
        <w:spacing w:after="0"/>
        <w:ind w:left="0"/>
        <w:jc w:val="both"/>
      </w:pPr>
      <w:r>
        <w:rPr>
          <w:rFonts w:ascii="Times New Roman"/>
          <w:b w:val="false"/>
          <w:i w:val="false"/>
          <w:color w:val="000000"/>
          <w:sz w:val="28"/>
        </w:rPr>
        <w:t>
      3779. Конструкция сточно-циркуляционной цистерны смазки и рабочий уровень масла в ней, а также расположение всасывающих патрубков насосов должны быть такими, чтобы исключался срыв подачи масла при максимально возможных для данного типа судна динамических и статических углах крена и дифферента. Концы сливных труб из картера двигателя в сточно-циркуляционную цистерну располагают в ней таким образом, чтобы во время работы двигателя они были постоянно погружены в масло. Сливные трубы двух и более двигателей не соединяются между собой.</w:t>
      </w:r>
    </w:p>
    <w:bookmarkEnd w:id="10416"/>
    <w:bookmarkStart w:name="z10485" w:id="10417"/>
    <w:p>
      <w:pPr>
        <w:spacing w:after="0"/>
        <w:ind w:left="0"/>
        <w:jc w:val="both"/>
      </w:pPr>
      <w:r>
        <w:rPr>
          <w:rFonts w:ascii="Times New Roman"/>
          <w:b w:val="false"/>
          <w:i w:val="false"/>
          <w:color w:val="000000"/>
          <w:sz w:val="28"/>
        </w:rPr>
        <w:t>
      3780. Трубопроводы системы смазочного масла не соединяются с трубопроводами другого назначения, за исключением присоединения к сепараторам, которые могут использоваться для сепарирования топлива при наличии надежных устройств, предотвращающих смешение топлива и масла.</w:t>
      </w:r>
    </w:p>
    <w:bookmarkEnd w:id="10417"/>
    <w:bookmarkStart w:name="z10486" w:id="10418"/>
    <w:p>
      <w:pPr>
        <w:spacing w:after="0"/>
        <w:ind w:left="0"/>
        <w:jc w:val="both"/>
      </w:pPr>
      <w:r>
        <w:rPr>
          <w:rFonts w:ascii="Times New Roman"/>
          <w:b w:val="false"/>
          <w:i w:val="false"/>
          <w:color w:val="000000"/>
          <w:sz w:val="28"/>
        </w:rPr>
        <w:t>
      При сепарировании масла необходимо предусмотреть меры, исключающие возможность смешения разных марок масел.</w:t>
      </w:r>
    </w:p>
    <w:bookmarkEnd w:id="10418"/>
    <w:bookmarkStart w:name="z10487" w:id="10419"/>
    <w:p>
      <w:pPr>
        <w:spacing w:after="0"/>
        <w:ind w:left="0"/>
        <w:jc w:val="both"/>
      </w:pPr>
      <w:r>
        <w:rPr>
          <w:rFonts w:ascii="Times New Roman"/>
          <w:b w:val="false"/>
          <w:i w:val="false"/>
          <w:color w:val="000000"/>
          <w:sz w:val="28"/>
        </w:rPr>
        <w:t>
      3781. В системе циркуляционной смазки предусматривается эффективная очистка масла; при этом устанавливают:</w:t>
      </w:r>
    </w:p>
    <w:bookmarkEnd w:id="10419"/>
    <w:bookmarkStart w:name="z10488" w:id="10420"/>
    <w:p>
      <w:pPr>
        <w:spacing w:after="0"/>
        <w:ind w:left="0"/>
        <w:jc w:val="both"/>
      </w:pPr>
      <w:r>
        <w:rPr>
          <w:rFonts w:ascii="Times New Roman"/>
          <w:b w:val="false"/>
          <w:i w:val="false"/>
          <w:color w:val="000000"/>
          <w:sz w:val="28"/>
        </w:rPr>
        <w:t>
      1) на всасывающем трубопроводе насоса зубчатых передач, как правило, — магнитный фильтр;</w:t>
      </w:r>
    </w:p>
    <w:bookmarkEnd w:id="10420"/>
    <w:bookmarkStart w:name="z10489" w:id="10421"/>
    <w:p>
      <w:pPr>
        <w:spacing w:after="0"/>
        <w:ind w:left="0"/>
        <w:jc w:val="both"/>
      </w:pPr>
      <w:r>
        <w:rPr>
          <w:rFonts w:ascii="Times New Roman"/>
          <w:b w:val="false"/>
          <w:i w:val="false"/>
          <w:color w:val="000000"/>
          <w:sz w:val="28"/>
        </w:rPr>
        <w:t>
      2) на всасывающем трубопроводе насосов главного двигателя — один фильтр грубой очистки (сетка); на нагнетательном трубопроводе насосов главного двигателя — два параллельных фильтра, или один сдвоенный переключаемый фильтр, или один самоочищающийся фильтр. Необходимо чтобы конструкция фильтра соответствовала требованиям главы 259 и пункта 3697 настоящих Правил.</w:t>
      </w:r>
    </w:p>
    <w:bookmarkEnd w:id="10421"/>
    <w:bookmarkStart w:name="z10490" w:id="10422"/>
    <w:p>
      <w:pPr>
        <w:spacing w:after="0"/>
        <w:ind w:left="0"/>
        <w:jc w:val="both"/>
      </w:pPr>
      <w:r>
        <w:rPr>
          <w:rFonts w:ascii="Times New Roman"/>
          <w:b w:val="false"/>
          <w:i w:val="false"/>
          <w:color w:val="000000"/>
          <w:sz w:val="28"/>
        </w:rPr>
        <w:t>
      3782. Пропускная способность каждого масляного фильтра должна превышать на 10 % наибольшую подачу насоса.</w:t>
      </w:r>
    </w:p>
    <w:bookmarkEnd w:id="10422"/>
    <w:bookmarkStart w:name="z10491" w:id="10423"/>
    <w:p>
      <w:pPr>
        <w:spacing w:after="0"/>
        <w:ind w:left="0"/>
        <w:jc w:val="both"/>
      </w:pPr>
      <w:r>
        <w:rPr>
          <w:rFonts w:ascii="Times New Roman"/>
          <w:b w:val="false"/>
          <w:i w:val="false"/>
          <w:color w:val="000000"/>
          <w:sz w:val="28"/>
        </w:rPr>
        <w:t>
      3783. Система смазочного масла снабжается контрольно-измерительными приборами в соответствии с главой 354 настоящих Правил.</w:t>
      </w:r>
    </w:p>
    <w:bookmarkEnd w:id="10423"/>
    <w:bookmarkStart w:name="z10492" w:id="10424"/>
    <w:p>
      <w:pPr>
        <w:spacing w:after="0"/>
        <w:ind w:left="0"/>
        <w:jc w:val="both"/>
      </w:pPr>
      <w:r>
        <w:rPr>
          <w:rFonts w:ascii="Times New Roman"/>
          <w:b w:val="false"/>
          <w:i w:val="false"/>
          <w:color w:val="000000"/>
          <w:sz w:val="28"/>
        </w:rPr>
        <w:t>
      Манометр, показывающий давление масла за маслоохладителем, выносят на пост управления.</w:t>
      </w:r>
    </w:p>
    <w:bookmarkEnd w:id="10424"/>
    <w:bookmarkStart w:name="z10493" w:id="10425"/>
    <w:p>
      <w:pPr>
        <w:spacing w:after="0"/>
        <w:ind w:left="0"/>
        <w:jc w:val="left"/>
      </w:pPr>
      <w:r>
        <w:rPr>
          <w:rFonts w:ascii="Times New Roman"/>
          <w:b/>
          <w:i w:val="false"/>
          <w:color w:val="000000"/>
        </w:rPr>
        <w:t xml:space="preserve"> Глава 315. Масляные насосы паровых турбин и передач</w:t>
      </w:r>
    </w:p>
    <w:bookmarkEnd w:id="10425"/>
    <w:p>
      <w:pPr>
        <w:spacing w:after="0"/>
        <w:ind w:left="0"/>
        <w:jc w:val="both"/>
      </w:pPr>
      <w:r>
        <w:rPr>
          <w:rFonts w:ascii="Times New Roman"/>
          <w:b w:val="false"/>
          <w:i w:val="false"/>
          <w:color w:val="ff0000"/>
          <w:sz w:val="28"/>
        </w:rPr>
        <w:t xml:space="preserve">
      Сноска. Заголовок главы 315 -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94" w:id="10426"/>
    <w:p>
      <w:pPr>
        <w:spacing w:after="0"/>
        <w:ind w:left="0"/>
        <w:jc w:val="both"/>
      </w:pPr>
      <w:r>
        <w:rPr>
          <w:rFonts w:ascii="Times New Roman"/>
          <w:b w:val="false"/>
          <w:i w:val="false"/>
          <w:color w:val="000000"/>
          <w:sz w:val="28"/>
        </w:rPr>
        <w:t>
      3784. Масляная система главного турбоагрегата обслуживается двумя масляными насосами, подача каждого из которых обеспечивает смазку турбоагрегата на режиме максимальной мощности. По крайней мере один из насосов имеет независимый привод.</w:t>
      </w:r>
    </w:p>
    <w:bookmarkEnd w:id="10426"/>
    <w:bookmarkStart w:name="z10495" w:id="10427"/>
    <w:p>
      <w:pPr>
        <w:spacing w:after="0"/>
        <w:ind w:left="0"/>
        <w:jc w:val="both"/>
      </w:pPr>
      <w:r>
        <w:rPr>
          <w:rFonts w:ascii="Times New Roman"/>
          <w:b w:val="false"/>
          <w:i w:val="false"/>
          <w:color w:val="000000"/>
          <w:sz w:val="28"/>
        </w:rPr>
        <w:t>
      При расположении двух главных турбоагрегатов в одном машинном отделении допускается установка одного резервного насоса с независимым приводом на оба турбоагрегата.</w:t>
      </w:r>
    </w:p>
    <w:bookmarkEnd w:id="10427"/>
    <w:bookmarkStart w:name="z10496" w:id="10428"/>
    <w:p>
      <w:pPr>
        <w:spacing w:after="0"/>
        <w:ind w:left="0"/>
        <w:jc w:val="both"/>
      </w:pPr>
      <w:r>
        <w:rPr>
          <w:rFonts w:ascii="Times New Roman"/>
          <w:b w:val="false"/>
          <w:i w:val="false"/>
          <w:color w:val="000000"/>
          <w:sz w:val="28"/>
        </w:rPr>
        <w:t>
      3785. Конструкция и расположение насосов обеспечивают безотказный пуск их без предварительного заливания.</w:t>
      </w:r>
    </w:p>
    <w:bookmarkEnd w:id="10428"/>
    <w:bookmarkStart w:name="z10497" w:id="10429"/>
    <w:p>
      <w:pPr>
        <w:spacing w:after="0"/>
        <w:ind w:left="0"/>
        <w:jc w:val="both"/>
      </w:pPr>
      <w:r>
        <w:rPr>
          <w:rFonts w:ascii="Times New Roman"/>
          <w:b w:val="false"/>
          <w:i w:val="false"/>
          <w:color w:val="000000"/>
          <w:sz w:val="28"/>
        </w:rPr>
        <w:t>
      3786. Система смазочного масла главных турбоагрегатов должна быть, как правило, гравитационной. При этом принимают все необходимые меры для обеспечения подачи смазочного масла в главный турбоагрегат при выходе из строя главного масляного насоса и во время свободного выбега турбин при прекращении подачи энергии к двигателям масляных насосов от основных источников питания.</w:t>
      </w:r>
    </w:p>
    <w:bookmarkEnd w:id="10429"/>
    <w:bookmarkStart w:name="z10498" w:id="10430"/>
    <w:p>
      <w:pPr>
        <w:spacing w:after="0"/>
        <w:ind w:left="0"/>
        <w:jc w:val="both"/>
      </w:pPr>
      <w:r>
        <w:rPr>
          <w:rFonts w:ascii="Times New Roman"/>
          <w:b w:val="false"/>
          <w:i w:val="false"/>
          <w:color w:val="000000"/>
          <w:sz w:val="28"/>
        </w:rPr>
        <w:t>
      Применение напорной системы смазочного масла является в каждом случае предметом специального рассмотрения Регистром судоходства.</w:t>
      </w:r>
    </w:p>
    <w:bookmarkEnd w:id="10430"/>
    <w:bookmarkStart w:name="z10499" w:id="10431"/>
    <w:p>
      <w:pPr>
        <w:spacing w:after="0"/>
        <w:ind w:left="0"/>
        <w:jc w:val="left"/>
      </w:pPr>
      <w:r>
        <w:rPr>
          <w:rFonts w:ascii="Times New Roman"/>
          <w:b/>
          <w:i w:val="false"/>
          <w:color w:val="000000"/>
        </w:rPr>
        <w:t xml:space="preserve"> Глава 316. Подвод смазочного масла к паровым турбинам и передачам</w:t>
      </w:r>
    </w:p>
    <w:bookmarkEnd w:id="10431"/>
    <w:p>
      <w:pPr>
        <w:spacing w:after="0"/>
        <w:ind w:left="0"/>
        <w:jc w:val="both"/>
      </w:pPr>
      <w:r>
        <w:rPr>
          <w:rFonts w:ascii="Times New Roman"/>
          <w:b w:val="false"/>
          <w:i w:val="false"/>
          <w:color w:val="ff0000"/>
          <w:sz w:val="28"/>
        </w:rPr>
        <w:t xml:space="preserve">
      Сноска. Заголовок главы 316 -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00" w:id="10432"/>
    <w:p>
      <w:pPr>
        <w:spacing w:after="0"/>
        <w:ind w:left="0"/>
        <w:jc w:val="both"/>
      </w:pPr>
      <w:r>
        <w:rPr>
          <w:rFonts w:ascii="Times New Roman"/>
          <w:b w:val="false"/>
          <w:i w:val="false"/>
          <w:color w:val="000000"/>
          <w:sz w:val="28"/>
        </w:rPr>
        <w:t>
      3787. Циркуляционный трубопровод со всеми ответвлениями к потребителям изготавливается из медных, биметаллических, медно-никелевых или эквивалентных им труб.</w:t>
      </w:r>
    </w:p>
    <w:bookmarkEnd w:id="10432"/>
    <w:bookmarkStart w:name="z10501" w:id="10433"/>
    <w:p>
      <w:pPr>
        <w:spacing w:after="0"/>
        <w:ind w:left="0"/>
        <w:jc w:val="both"/>
      </w:pPr>
      <w:r>
        <w:rPr>
          <w:rFonts w:ascii="Times New Roman"/>
          <w:b w:val="false"/>
          <w:i w:val="false"/>
          <w:color w:val="000000"/>
          <w:sz w:val="28"/>
        </w:rPr>
        <w:t>
      3788. От системы смазочного масла главного турбоагрегата допускается производить отбор масла только на управление, регулирование и органы защиты, а также на смазку главного упорного подшипника.</w:t>
      </w:r>
    </w:p>
    <w:bookmarkEnd w:id="10433"/>
    <w:bookmarkStart w:name="z10502" w:id="10434"/>
    <w:p>
      <w:pPr>
        <w:spacing w:after="0"/>
        <w:ind w:left="0"/>
        <w:jc w:val="both"/>
      </w:pPr>
      <w:r>
        <w:rPr>
          <w:rFonts w:ascii="Times New Roman"/>
          <w:b w:val="false"/>
          <w:i w:val="false"/>
          <w:color w:val="000000"/>
          <w:sz w:val="28"/>
        </w:rPr>
        <w:t>
      3789. Каждая система смазочного масла имеет аварийно-предупредительную звуковую и световую сигнализацию, срабатывающую при падении давления масла и выведенную в пост управления главного турбоагрегата. В гравитационной системе сигнализация действует при таком уровне масла в напорной цистерне, чтобы в оставшееся до опорожнения цистерны время органы защиты могли включить резервный насос.</w:t>
      </w:r>
    </w:p>
    <w:bookmarkEnd w:id="10434"/>
    <w:bookmarkStart w:name="z10503" w:id="10435"/>
    <w:p>
      <w:pPr>
        <w:spacing w:after="0"/>
        <w:ind w:left="0"/>
        <w:jc w:val="both"/>
      </w:pPr>
      <w:r>
        <w:rPr>
          <w:rFonts w:ascii="Times New Roman"/>
          <w:b w:val="false"/>
          <w:i w:val="false"/>
          <w:color w:val="000000"/>
          <w:sz w:val="28"/>
        </w:rPr>
        <w:t>
      3790. Вместимость напорной цистерны в гравитационной системе смазки должна быть не менее 5-минутного расхода масла на режиме расчетной мощности турбоагрегата.</w:t>
      </w:r>
    </w:p>
    <w:bookmarkEnd w:id="10435"/>
    <w:bookmarkStart w:name="z10504" w:id="10436"/>
    <w:p>
      <w:pPr>
        <w:spacing w:after="0"/>
        <w:ind w:left="0"/>
        <w:jc w:val="both"/>
      </w:pPr>
      <w:r>
        <w:rPr>
          <w:rFonts w:ascii="Times New Roman"/>
          <w:b w:val="false"/>
          <w:i w:val="false"/>
          <w:color w:val="000000"/>
          <w:sz w:val="28"/>
        </w:rPr>
        <w:t>
      Цистерна оборудуется переливной трубой со смотровым стеклом, хорошо освещаемым и видимым с поста управления. Площадь сечения трубы должна быть не менее 1,25 площади сечения напорного трубопровода от насоса.</w:t>
      </w:r>
    </w:p>
    <w:bookmarkEnd w:id="10436"/>
    <w:bookmarkStart w:name="z10505" w:id="10437"/>
    <w:p>
      <w:pPr>
        <w:spacing w:after="0"/>
        <w:ind w:left="0"/>
        <w:jc w:val="both"/>
      </w:pPr>
      <w:r>
        <w:rPr>
          <w:rFonts w:ascii="Times New Roman"/>
          <w:b w:val="false"/>
          <w:i w:val="false"/>
          <w:color w:val="000000"/>
          <w:sz w:val="28"/>
        </w:rPr>
        <w:t>
      Предусматривается возможность подачи масла от насоса к потребителям помимо цистерны.</w:t>
      </w:r>
    </w:p>
    <w:bookmarkEnd w:id="10437"/>
    <w:bookmarkStart w:name="z10506" w:id="10438"/>
    <w:p>
      <w:pPr>
        <w:spacing w:after="0"/>
        <w:ind w:left="0"/>
        <w:jc w:val="both"/>
      </w:pPr>
      <w:r>
        <w:rPr>
          <w:rFonts w:ascii="Times New Roman"/>
          <w:b w:val="false"/>
          <w:i w:val="false"/>
          <w:color w:val="000000"/>
          <w:sz w:val="28"/>
        </w:rPr>
        <w:t>
      3791. Система смазочного масла главного турбоагрегата имеет два маслоохладителя, один из которых резервный.</w:t>
      </w:r>
    </w:p>
    <w:bookmarkEnd w:id="10438"/>
    <w:bookmarkStart w:name="z10507" w:id="10439"/>
    <w:p>
      <w:pPr>
        <w:spacing w:after="0"/>
        <w:ind w:left="0"/>
        <w:jc w:val="both"/>
      </w:pPr>
      <w:r>
        <w:rPr>
          <w:rFonts w:ascii="Times New Roman"/>
          <w:b w:val="false"/>
          <w:i w:val="false"/>
          <w:color w:val="000000"/>
          <w:sz w:val="28"/>
        </w:rPr>
        <w:t>
      При расположении в одном машинном отделении двух турбоагрегатов допускается установка одного резервного маслоохладителя на оба турбоагрегата.</w:t>
      </w:r>
    </w:p>
    <w:bookmarkEnd w:id="10439"/>
    <w:bookmarkStart w:name="z10508" w:id="10440"/>
    <w:p>
      <w:pPr>
        <w:spacing w:after="0"/>
        <w:ind w:left="0"/>
        <w:jc w:val="both"/>
      </w:pPr>
      <w:r>
        <w:rPr>
          <w:rFonts w:ascii="Times New Roman"/>
          <w:b w:val="false"/>
          <w:i w:val="false"/>
          <w:color w:val="000000"/>
          <w:sz w:val="28"/>
        </w:rPr>
        <w:t>
      Система охлаждения маслоохладителей должна отвечать требованиям пункта 3808 настоящих Правил.</w:t>
      </w:r>
    </w:p>
    <w:bookmarkEnd w:id="10440"/>
    <w:bookmarkStart w:name="z10509" w:id="10441"/>
    <w:p>
      <w:pPr>
        <w:spacing w:after="0"/>
        <w:ind w:left="0"/>
        <w:jc w:val="both"/>
      </w:pPr>
      <w:r>
        <w:rPr>
          <w:rFonts w:ascii="Times New Roman"/>
          <w:b w:val="false"/>
          <w:i w:val="false"/>
          <w:color w:val="000000"/>
          <w:sz w:val="28"/>
        </w:rPr>
        <w:t>
      3792. Система смазочного масла главных турбогенераторов и их передач должна также отвечать требованиям пунктов 3776, 3781 и 3783 настоящих Правил.</w:t>
      </w:r>
    </w:p>
    <w:bookmarkEnd w:id="10441"/>
    <w:bookmarkStart w:name="z10510" w:id="10442"/>
    <w:p>
      <w:pPr>
        <w:spacing w:after="0"/>
        <w:ind w:left="0"/>
        <w:jc w:val="both"/>
      </w:pPr>
      <w:r>
        <w:rPr>
          <w:rFonts w:ascii="Times New Roman"/>
          <w:b w:val="false"/>
          <w:i w:val="false"/>
          <w:color w:val="000000"/>
          <w:sz w:val="28"/>
        </w:rPr>
        <w:t>
      3793. На ответвлениях циркуляционного трубопровода устанавливаются дроссельные клапаны, позволяющие регулировать количество масла, поступающего к каждому потребителю.</w:t>
      </w:r>
    </w:p>
    <w:bookmarkEnd w:id="10442"/>
    <w:bookmarkStart w:name="z10511" w:id="10443"/>
    <w:p>
      <w:pPr>
        <w:spacing w:after="0"/>
        <w:ind w:left="0"/>
        <w:jc w:val="left"/>
      </w:pPr>
      <w:r>
        <w:rPr>
          <w:rFonts w:ascii="Times New Roman"/>
          <w:b/>
          <w:i w:val="false"/>
          <w:color w:val="000000"/>
        </w:rPr>
        <w:t xml:space="preserve"> Глава 317. Масляные цистерны</w:t>
      </w:r>
    </w:p>
    <w:bookmarkEnd w:id="10443"/>
    <w:p>
      <w:pPr>
        <w:spacing w:after="0"/>
        <w:ind w:left="0"/>
        <w:jc w:val="both"/>
      </w:pPr>
      <w:r>
        <w:rPr>
          <w:rFonts w:ascii="Times New Roman"/>
          <w:b w:val="false"/>
          <w:i w:val="false"/>
          <w:color w:val="ff0000"/>
          <w:sz w:val="28"/>
        </w:rPr>
        <w:t xml:space="preserve">
      Сноска. Заголовок главы 317 -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12" w:id="10444"/>
    <w:p>
      <w:pPr>
        <w:spacing w:after="0"/>
        <w:ind w:left="0"/>
        <w:jc w:val="both"/>
      </w:pPr>
      <w:r>
        <w:rPr>
          <w:rFonts w:ascii="Times New Roman"/>
          <w:b w:val="false"/>
          <w:i w:val="false"/>
          <w:color w:val="000000"/>
          <w:sz w:val="28"/>
        </w:rPr>
        <w:t>
      3794. Масляные цистерны отделяют от цистерн питательной воды и растительного масла коффердамами, конструктивные элементы которых отвечают требованиям части 2 настоящих Правил.</w:t>
      </w:r>
    </w:p>
    <w:bookmarkEnd w:id="10444"/>
    <w:bookmarkStart w:name="z10513" w:id="10445"/>
    <w:p>
      <w:pPr>
        <w:spacing w:after="0"/>
        <w:ind w:left="0"/>
        <w:jc w:val="both"/>
      </w:pPr>
      <w:r>
        <w:rPr>
          <w:rFonts w:ascii="Times New Roman"/>
          <w:b w:val="false"/>
          <w:i w:val="false"/>
          <w:color w:val="000000"/>
          <w:sz w:val="28"/>
        </w:rPr>
        <w:t>
      3795. Сточно-циркуляционные цистерны на судах с турбинными установками во всех случаях отделяются от наружной обшивки днища коффердамом, конструктивные элементы которого отвечают требованиям части 2 настоящих Правил.</w:t>
      </w:r>
    </w:p>
    <w:bookmarkEnd w:id="10445"/>
    <w:bookmarkStart w:name="z10514" w:id="10446"/>
    <w:p>
      <w:pPr>
        <w:spacing w:after="0"/>
        <w:ind w:left="0"/>
        <w:jc w:val="both"/>
      </w:pPr>
      <w:r>
        <w:rPr>
          <w:rFonts w:ascii="Times New Roman"/>
          <w:b w:val="false"/>
          <w:i w:val="false"/>
          <w:color w:val="000000"/>
          <w:sz w:val="28"/>
        </w:rPr>
        <w:t>
      Для остальных судов устройство таких коффердамов рекомендуется.</w:t>
      </w:r>
    </w:p>
    <w:bookmarkEnd w:id="10446"/>
    <w:bookmarkStart w:name="z10515" w:id="10447"/>
    <w:p>
      <w:pPr>
        <w:spacing w:after="0"/>
        <w:ind w:left="0"/>
        <w:jc w:val="both"/>
      </w:pPr>
      <w:r>
        <w:rPr>
          <w:rFonts w:ascii="Times New Roman"/>
          <w:b w:val="false"/>
          <w:i w:val="false"/>
          <w:color w:val="000000"/>
          <w:sz w:val="28"/>
        </w:rPr>
        <w:t>
      При отсутствии коффердамов на сливных трубах из картеров двигателей устанавливаются невозвратные или запорные клапаны с приводами, выведенными над настилом машинного отделения.</w:t>
      </w:r>
    </w:p>
    <w:bookmarkEnd w:id="10447"/>
    <w:bookmarkStart w:name="z10516" w:id="10448"/>
    <w:p>
      <w:pPr>
        <w:spacing w:after="0"/>
        <w:ind w:left="0"/>
        <w:jc w:val="both"/>
      </w:pPr>
      <w:r>
        <w:rPr>
          <w:rFonts w:ascii="Times New Roman"/>
          <w:b w:val="false"/>
          <w:i w:val="false"/>
          <w:color w:val="000000"/>
          <w:sz w:val="28"/>
        </w:rPr>
        <w:t>
      В этих случаях система оборудуется соответствующими трубопроводами с арматурой для аварийного приема масла насосами из картеров двигателей в случае пробоины в цистернах.</w:t>
      </w:r>
    </w:p>
    <w:bookmarkEnd w:id="10448"/>
    <w:bookmarkStart w:name="z10517" w:id="10449"/>
    <w:p>
      <w:pPr>
        <w:spacing w:after="0"/>
        <w:ind w:left="0"/>
        <w:jc w:val="both"/>
      </w:pPr>
      <w:r>
        <w:rPr>
          <w:rFonts w:ascii="Times New Roman"/>
          <w:b w:val="false"/>
          <w:i w:val="false"/>
          <w:color w:val="000000"/>
          <w:sz w:val="28"/>
        </w:rPr>
        <w:t>
      Клапаны имеют приводы, выведенные над настилом машинного отделения.</w:t>
      </w:r>
    </w:p>
    <w:bookmarkEnd w:id="10449"/>
    <w:bookmarkStart w:name="z10518" w:id="10450"/>
    <w:p>
      <w:pPr>
        <w:spacing w:after="0"/>
        <w:ind w:left="0"/>
        <w:jc w:val="both"/>
      </w:pPr>
      <w:r>
        <w:rPr>
          <w:rFonts w:ascii="Times New Roman"/>
          <w:b w:val="false"/>
          <w:i w:val="false"/>
          <w:color w:val="000000"/>
          <w:sz w:val="28"/>
        </w:rPr>
        <w:t>
      3796. Предусматривается запасная цистерна вместимостью, достаточной для заполнения системы маслом до рабочего состояния.</w:t>
      </w:r>
    </w:p>
    <w:bookmarkEnd w:id="10450"/>
    <w:bookmarkStart w:name="z10519" w:id="10451"/>
    <w:p>
      <w:pPr>
        <w:spacing w:after="0"/>
        <w:ind w:left="0"/>
        <w:jc w:val="both"/>
      </w:pPr>
      <w:r>
        <w:rPr>
          <w:rFonts w:ascii="Times New Roman"/>
          <w:b w:val="false"/>
          <w:i w:val="false"/>
          <w:color w:val="000000"/>
          <w:sz w:val="28"/>
        </w:rPr>
        <w:t>
      Цистерну рекомендуется располагать вне двойного дна.</w:t>
      </w:r>
    </w:p>
    <w:bookmarkEnd w:id="10451"/>
    <w:bookmarkStart w:name="z10520" w:id="10452"/>
    <w:p>
      <w:pPr>
        <w:spacing w:after="0"/>
        <w:ind w:left="0"/>
        <w:jc w:val="both"/>
      </w:pPr>
      <w:r>
        <w:rPr>
          <w:rFonts w:ascii="Times New Roman"/>
          <w:b w:val="false"/>
          <w:i w:val="false"/>
          <w:color w:val="000000"/>
          <w:sz w:val="28"/>
        </w:rPr>
        <w:t>
      На судах ограниченных районов плавания R2 и R3 запасную цистерну допускается не предусматривать.</w:t>
      </w:r>
    </w:p>
    <w:bookmarkEnd w:id="10452"/>
    <w:bookmarkStart w:name="z10521" w:id="10453"/>
    <w:p>
      <w:pPr>
        <w:spacing w:after="0"/>
        <w:ind w:left="0"/>
        <w:jc w:val="both"/>
      </w:pPr>
      <w:r>
        <w:rPr>
          <w:rFonts w:ascii="Times New Roman"/>
          <w:b w:val="false"/>
          <w:i w:val="false"/>
          <w:color w:val="000000"/>
          <w:sz w:val="28"/>
        </w:rPr>
        <w:t>
      3797. Приемные трубопроводы от цистерн, расположенных вне двойного дна, снабжают запорными клапанами, установленными непосредственно на цистернах.</w:t>
      </w:r>
    </w:p>
    <w:bookmarkEnd w:id="10453"/>
    <w:bookmarkStart w:name="z10522" w:id="10454"/>
    <w:p>
      <w:pPr>
        <w:spacing w:after="0"/>
        <w:ind w:left="0"/>
        <w:jc w:val="both"/>
      </w:pPr>
      <w:r>
        <w:rPr>
          <w:rFonts w:ascii="Times New Roman"/>
          <w:b w:val="false"/>
          <w:i w:val="false"/>
          <w:color w:val="000000"/>
          <w:sz w:val="28"/>
        </w:rPr>
        <w:t>
      Такие клапаны, установленные на цистернах вместимостью более 500 л, которые в нормальных условиях эксплуатации находятся в открытом состоянии, за исключением цистерн в системах гравитационной смазки, имеют дистанционное закрытие с постоянно доступных мест, расположенных вне того помещения, в котором находится цистерна.</w:t>
      </w:r>
    </w:p>
    <w:bookmarkEnd w:id="10454"/>
    <w:bookmarkStart w:name="z10523" w:id="10455"/>
    <w:p>
      <w:pPr>
        <w:spacing w:after="0"/>
        <w:ind w:left="0"/>
        <w:jc w:val="both"/>
      </w:pPr>
      <w:r>
        <w:rPr>
          <w:rFonts w:ascii="Times New Roman"/>
          <w:b w:val="false"/>
          <w:i w:val="false"/>
          <w:color w:val="000000"/>
          <w:sz w:val="28"/>
        </w:rPr>
        <w:t>
      3798. Устройство подогрева масла должно отвечать требованиям главы 316 настоящих Правил.</w:t>
      </w:r>
    </w:p>
    <w:bookmarkEnd w:id="10455"/>
    <w:bookmarkStart w:name="z10524" w:id="10456"/>
    <w:p>
      <w:pPr>
        <w:spacing w:after="0"/>
        <w:ind w:left="0"/>
        <w:jc w:val="both"/>
      </w:pPr>
      <w:r>
        <w:rPr>
          <w:rFonts w:ascii="Times New Roman"/>
          <w:b w:val="false"/>
          <w:i w:val="false"/>
          <w:color w:val="000000"/>
          <w:sz w:val="28"/>
        </w:rPr>
        <w:t>
      3799. Для масляных цистерн, расположенных в машинных помещениях категории А (главы 187 настоящих Правил) и, насколько это осуществимо, в других машинных помещениях, выполняются требования глав 300, 318, пунктов 3681, 2741, 2742 настоящих Правил в отношении размещения масляных цистерн над нагретыми поверхностями машин и механизмов.</w:t>
      </w:r>
    </w:p>
    <w:bookmarkEnd w:id="10456"/>
    <w:bookmarkStart w:name="z10525" w:id="10457"/>
    <w:p>
      <w:pPr>
        <w:spacing w:after="0"/>
        <w:ind w:left="0"/>
        <w:jc w:val="both"/>
      </w:pPr>
      <w:r>
        <w:rPr>
          <w:rFonts w:ascii="Times New Roman"/>
          <w:b w:val="false"/>
          <w:i w:val="false"/>
          <w:color w:val="000000"/>
          <w:sz w:val="28"/>
        </w:rPr>
        <w:t>
      3800. На устройства для сбора утечек смазочного масла распространяются требования главы 302 настоящих Правил.</w:t>
      </w:r>
    </w:p>
    <w:bookmarkEnd w:id="10457"/>
    <w:bookmarkStart w:name="z10526" w:id="10458"/>
    <w:p>
      <w:pPr>
        <w:spacing w:after="0"/>
        <w:ind w:left="0"/>
        <w:jc w:val="both"/>
      </w:pPr>
      <w:r>
        <w:rPr>
          <w:rFonts w:ascii="Times New Roman"/>
          <w:b w:val="false"/>
          <w:i w:val="false"/>
          <w:color w:val="000000"/>
          <w:sz w:val="28"/>
        </w:rPr>
        <w:t>
      3801. Система смазочного масла ГТУ должна отвечать требованиям глав 313-317 настоящих Правил в той мере, в какой эти требования применимы к данной установке.</w:t>
      </w:r>
    </w:p>
    <w:bookmarkEnd w:id="10458"/>
    <w:bookmarkStart w:name="z10527" w:id="10459"/>
    <w:p>
      <w:pPr>
        <w:spacing w:after="0"/>
        <w:ind w:left="0"/>
        <w:jc w:val="left"/>
      </w:pPr>
      <w:r>
        <w:rPr>
          <w:rFonts w:ascii="Times New Roman"/>
          <w:b/>
          <w:i w:val="false"/>
          <w:color w:val="000000"/>
        </w:rPr>
        <w:t xml:space="preserve"> Подраздел 15. Система водяного охлаждения</w:t>
      </w:r>
      <w:r>
        <w:br/>
      </w:r>
      <w:r>
        <w:rPr>
          <w:rFonts w:ascii="Times New Roman"/>
          <w:b/>
          <w:i w:val="false"/>
          <w:color w:val="000000"/>
        </w:rPr>
        <w:t>Глава 318. Насосы</w:t>
      </w:r>
    </w:p>
    <w:bookmarkEnd w:id="10459"/>
    <w:p>
      <w:pPr>
        <w:spacing w:after="0"/>
        <w:ind w:left="0"/>
        <w:jc w:val="both"/>
      </w:pPr>
      <w:r>
        <w:rPr>
          <w:rFonts w:ascii="Times New Roman"/>
          <w:b w:val="false"/>
          <w:i w:val="false"/>
          <w:color w:val="ff0000"/>
          <w:sz w:val="28"/>
        </w:rPr>
        <w:t xml:space="preserve">
      Сноска. Заголовок главы 318 -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29" w:id="10460"/>
    <w:p>
      <w:pPr>
        <w:spacing w:after="0"/>
        <w:ind w:left="0"/>
        <w:jc w:val="both"/>
      </w:pPr>
      <w:r>
        <w:rPr>
          <w:rFonts w:ascii="Times New Roman"/>
          <w:b w:val="false"/>
          <w:i w:val="false"/>
          <w:color w:val="000000"/>
          <w:sz w:val="28"/>
        </w:rPr>
        <w:t>
      3802. Системы водяного охлаждения главных двигателей должны отвечать следующим требованиям:</w:t>
      </w:r>
    </w:p>
    <w:bookmarkEnd w:id="10460"/>
    <w:bookmarkStart w:name="z10530" w:id="10461"/>
    <w:p>
      <w:pPr>
        <w:spacing w:after="0"/>
        <w:ind w:left="0"/>
        <w:jc w:val="both"/>
      </w:pPr>
      <w:r>
        <w:rPr>
          <w:rFonts w:ascii="Times New Roman"/>
          <w:b w:val="false"/>
          <w:i w:val="false"/>
          <w:color w:val="000000"/>
          <w:sz w:val="28"/>
        </w:rPr>
        <w:t>
      1) система охлаждения забортной водой одного главного двигателя оборудуется двумя насосами, один из которых является резервным. Подача резервного насоса должна быть не менее подачи основного насоса. По крайней мере один из насосов имеет независимый привод.</w:t>
      </w:r>
    </w:p>
    <w:bookmarkEnd w:id="10461"/>
    <w:bookmarkStart w:name="z10531" w:id="10462"/>
    <w:p>
      <w:pPr>
        <w:spacing w:after="0"/>
        <w:ind w:left="0"/>
        <w:jc w:val="both"/>
      </w:pPr>
      <w:r>
        <w:rPr>
          <w:rFonts w:ascii="Times New Roman"/>
          <w:b w:val="false"/>
          <w:i w:val="false"/>
          <w:color w:val="000000"/>
          <w:sz w:val="28"/>
        </w:rPr>
        <w:t>
      Система охлаждения главного двигателя пресной водой должна отвечать этим же требованиям.</w:t>
      </w:r>
    </w:p>
    <w:bookmarkEnd w:id="10462"/>
    <w:bookmarkStart w:name="z10532" w:id="10463"/>
    <w:p>
      <w:pPr>
        <w:spacing w:after="0"/>
        <w:ind w:left="0"/>
        <w:jc w:val="both"/>
      </w:pPr>
      <w:r>
        <w:rPr>
          <w:rFonts w:ascii="Times New Roman"/>
          <w:b w:val="false"/>
          <w:i w:val="false"/>
          <w:color w:val="000000"/>
          <w:sz w:val="28"/>
        </w:rPr>
        <w:t>
      Допускается иметь один общий резервный насос с независимым приводом для пресной и забортной воды, подача которого должна быть не менее подачи основных насосов; при этом принимают меры, не допускающие смешения забортной и пресной воды;</w:t>
      </w:r>
    </w:p>
    <w:bookmarkEnd w:id="10463"/>
    <w:bookmarkStart w:name="z10533" w:id="10464"/>
    <w:p>
      <w:pPr>
        <w:spacing w:after="0"/>
        <w:ind w:left="0"/>
        <w:jc w:val="both"/>
      </w:pPr>
      <w:r>
        <w:rPr>
          <w:rFonts w:ascii="Times New Roman"/>
          <w:b w:val="false"/>
          <w:i w:val="false"/>
          <w:color w:val="000000"/>
          <w:sz w:val="28"/>
        </w:rPr>
        <w:t>
      2) в системе охлаждения забортной водой двух и более главных двигателей, обслуживаемых каждый отдельным насосом охлаждения, устанавливается один резервный насос с независимым приводом, обеспечивающий работу каждого из двигателей на максимальной нагрузке.</w:t>
      </w:r>
    </w:p>
    <w:bookmarkEnd w:id="10464"/>
    <w:bookmarkStart w:name="z10534" w:id="10465"/>
    <w:p>
      <w:pPr>
        <w:spacing w:after="0"/>
        <w:ind w:left="0"/>
        <w:jc w:val="both"/>
      </w:pPr>
      <w:r>
        <w:rPr>
          <w:rFonts w:ascii="Times New Roman"/>
          <w:b w:val="false"/>
          <w:i w:val="false"/>
          <w:color w:val="000000"/>
          <w:sz w:val="28"/>
        </w:rPr>
        <w:t>
      Резервный насос допускается не предусматривать при наличии на судне запасного насоса, доступного к монтажу в судовых условиях.</w:t>
      </w:r>
    </w:p>
    <w:bookmarkEnd w:id="10465"/>
    <w:bookmarkStart w:name="z10535" w:id="10466"/>
    <w:p>
      <w:pPr>
        <w:spacing w:after="0"/>
        <w:ind w:left="0"/>
        <w:jc w:val="both"/>
      </w:pPr>
      <w:r>
        <w:rPr>
          <w:rFonts w:ascii="Times New Roman"/>
          <w:b w:val="false"/>
          <w:i w:val="false"/>
          <w:color w:val="000000"/>
          <w:sz w:val="28"/>
        </w:rPr>
        <w:t>
      Система охлаждения пресной водой должна отвечать этим же требованиям.</w:t>
      </w:r>
    </w:p>
    <w:bookmarkEnd w:id="10466"/>
    <w:bookmarkStart w:name="z10536" w:id="10467"/>
    <w:p>
      <w:pPr>
        <w:spacing w:after="0"/>
        <w:ind w:left="0"/>
        <w:jc w:val="both"/>
      </w:pPr>
      <w:r>
        <w:rPr>
          <w:rFonts w:ascii="Times New Roman"/>
          <w:b w:val="false"/>
          <w:i w:val="false"/>
          <w:color w:val="000000"/>
          <w:sz w:val="28"/>
        </w:rPr>
        <w:t>
      Допускается устанавливать один общий резервный насос с независимым приводом, подача которого обеспечивает охлаждение пресной или забортной водой любого из двигателей; при этом принимают меры, не допускающие смешения забортной и пресной воды;</w:t>
      </w:r>
    </w:p>
    <w:bookmarkEnd w:id="10467"/>
    <w:bookmarkStart w:name="z10537" w:id="10468"/>
    <w:p>
      <w:pPr>
        <w:spacing w:after="0"/>
        <w:ind w:left="0"/>
        <w:jc w:val="both"/>
      </w:pPr>
      <w:r>
        <w:rPr>
          <w:rFonts w:ascii="Times New Roman"/>
          <w:b w:val="false"/>
          <w:i w:val="false"/>
          <w:color w:val="000000"/>
          <w:sz w:val="28"/>
        </w:rPr>
        <w:t>
      3) охлаждение нескольких двигателей допускается производить одним насосом с независимым приводом. В этом случае подача насоса должна быть достаточной для одновременного охлаждения всех двигателей при работе их на максимальной нагрузке. При этом предусматривается один резервный насос, подача которого должна быть не менее подачи основного насоса, охлаждающего одновременно все двигатели.</w:t>
      </w:r>
    </w:p>
    <w:bookmarkEnd w:id="10468"/>
    <w:bookmarkStart w:name="z10538" w:id="10469"/>
    <w:p>
      <w:pPr>
        <w:spacing w:after="0"/>
        <w:ind w:left="0"/>
        <w:jc w:val="both"/>
      </w:pPr>
      <w:r>
        <w:rPr>
          <w:rFonts w:ascii="Times New Roman"/>
          <w:b w:val="false"/>
          <w:i w:val="false"/>
          <w:color w:val="000000"/>
          <w:sz w:val="28"/>
        </w:rPr>
        <w:t>
      На охлаждающем трубопроводе перед каждым двигателем предусматривается клапан для регулирования количества охлаждающей воды;</w:t>
      </w:r>
    </w:p>
    <w:bookmarkEnd w:id="10469"/>
    <w:bookmarkStart w:name="z10539" w:id="10470"/>
    <w:p>
      <w:pPr>
        <w:spacing w:after="0"/>
        <w:ind w:left="0"/>
        <w:jc w:val="both"/>
      </w:pPr>
      <w:r>
        <w:rPr>
          <w:rFonts w:ascii="Times New Roman"/>
          <w:b w:val="false"/>
          <w:i w:val="false"/>
          <w:color w:val="000000"/>
          <w:sz w:val="28"/>
        </w:rPr>
        <w:t>
      4) в установках со знаком автоматизации в символе класса предусматриваются отдельные резервные насосы охлаждения для пресной и забортной воды, подача которых должна быть не менее подачи основных насосов;</w:t>
      </w:r>
    </w:p>
    <w:bookmarkEnd w:id="10470"/>
    <w:bookmarkStart w:name="z10540" w:id="10471"/>
    <w:p>
      <w:pPr>
        <w:spacing w:after="0"/>
        <w:ind w:left="0"/>
        <w:jc w:val="both"/>
      </w:pPr>
      <w:r>
        <w:rPr>
          <w:rFonts w:ascii="Times New Roman"/>
          <w:b w:val="false"/>
          <w:i w:val="false"/>
          <w:color w:val="000000"/>
          <w:sz w:val="28"/>
        </w:rPr>
        <w:t>
      5) на судах ограниченных районов плавания установка специальных резервных средств не является обязательной, однако предусматривается возможность непосредственного охлаждения двигателя забортной водой.</w:t>
      </w:r>
    </w:p>
    <w:bookmarkEnd w:id="10471"/>
    <w:bookmarkStart w:name="z10541" w:id="10472"/>
    <w:p>
      <w:pPr>
        <w:spacing w:after="0"/>
        <w:ind w:left="0"/>
        <w:jc w:val="both"/>
      </w:pPr>
      <w:r>
        <w:rPr>
          <w:rFonts w:ascii="Times New Roman"/>
          <w:b w:val="false"/>
          <w:i w:val="false"/>
          <w:color w:val="000000"/>
          <w:sz w:val="28"/>
        </w:rPr>
        <w:t>
      На судах ограниченных районов плавания R2, R2-RSN, R3-RSN и R3, оборудованных двумя и более главными двигателями, непосредственное резервное охлаждение забортной водой не является обязательным.</w:t>
      </w:r>
    </w:p>
    <w:bookmarkEnd w:id="10472"/>
    <w:bookmarkStart w:name="z10542" w:id="10473"/>
    <w:p>
      <w:pPr>
        <w:spacing w:after="0"/>
        <w:ind w:left="0"/>
        <w:jc w:val="both"/>
      </w:pPr>
      <w:r>
        <w:rPr>
          <w:rFonts w:ascii="Times New Roman"/>
          <w:b w:val="false"/>
          <w:i w:val="false"/>
          <w:color w:val="000000"/>
          <w:sz w:val="28"/>
        </w:rPr>
        <w:t>
      3803. Масло- и воздухоохладители гребных электродвигателей имеют резервные средства охлаждения, эквивалентные основным.</w:t>
      </w:r>
    </w:p>
    <w:bookmarkEnd w:id="10473"/>
    <w:bookmarkStart w:name="z10543" w:id="10474"/>
    <w:p>
      <w:pPr>
        <w:spacing w:after="0"/>
        <w:ind w:left="0"/>
        <w:jc w:val="both"/>
      </w:pPr>
      <w:r>
        <w:rPr>
          <w:rFonts w:ascii="Times New Roman"/>
          <w:b w:val="false"/>
          <w:i w:val="false"/>
          <w:color w:val="000000"/>
          <w:sz w:val="28"/>
        </w:rPr>
        <w:t>
      3804. Если каждый из вспомогательных двигателей имеет самостоятельный насос водяного охлаждения, резервные насосы для этих двигателей не требуются.</w:t>
      </w:r>
    </w:p>
    <w:bookmarkEnd w:id="10474"/>
    <w:bookmarkStart w:name="z10544" w:id="10475"/>
    <w:p>
      <w:pPr>
        <w:spacing w:after="0"/>
        <w:ind w:left="0"/>
        <w:jc w:val="both"/>
      </w:pPr>
      <w:r>
        <w:rPr>
          <w:rFonts w:ascii="Times New Roman"/>
          <w:b w:val="false"/>
          <w:i w:val="false"/>
          <w:color w:val="000000"/>
          <w:sz w:val="28"/>
        </w:rPr>
        <w:t>
      Если для группы вспомогательных двигателей предусматривается общая система охлаждения, достаточно иметь один резервный насос для систем пресной и забортной воды.</w:t>
      </w:r>
    </w:p>
    <w:bookmarkEnd w:id="10475"/>
    <w:bookmarkStart w:name="z10545" w:id="10476"/>
    <w:p>
      <w:pPr>
        <w:spacing w:after="0"/>
        <w:ind w:left="0"/>
        <w:jc w:val="both"/>
      </w:pPr>
      <w:r>
        <w:rPr>
          <w:rFonts w:ascii="Times New Roman"/>
          <w:b w:val="false"/>
          <w:i w:val="false"/>
          <w:color w:val="000000"/>
          <w:sz w:val="28"/>
        </w:rPr>
        <w:t>
      В объединенной системе охлаждения главных и вспомогательных двигателей резервные насосы для охлаждения вспомогательных двигателей не требуются.</w:t>
      </w:r>
    </w:p>
    <w:bookmarkEnd w:id="10476"/>
    <w:bookmarkStart w:name="z10546" w:id="10477"/>
    <w:p>
      <w:pPr>
        <w:spacing w:after="0"/>
        <w:ind w:left="0"/>
        <w:jc w:val="both"/>
      </w:pPr>
      <w:r>
        <w:rPr>
          <w:rFonts w:ascii="Times New Roman"/>
          <w:b w:val="false"/>
          <w:i w:val="false"/>
          <w:color w:val="000000"/>
          <w:sz w:val="28"/>
        </w:rPr>
        <w:t>
      Для дизель-генераторов, находящихся в постоянной готовности (горячем резерве), при необходимости предусматривается постоянная прокачка их горячей водой.</w:t>
      </w:r>
    </w:p>
    <w:bookmarkEnd w:id="10477"/>
    <w:bookmarkStart w:name="z10547" w:id="10478"/>
    <w:p>
      <w:pPr>
        <w:spacing w:after="0"/>
        <w:ind w:left="0"/>
        <w:jc w:val="both"/>
      </w:pPr>
      <w:r>
        <w:rPr>
          <w:rFonts w:ascii="Times New Roman"/>
          <w:b w:val="false"/>
          <w:i w:val="false"/>
          <w:color w:val="000000"/>
          <w:sz w:val="28"/>
        </w:rPr>
        <w:t>
      3805. В качестве резервных охлаждающих насосов допускается применять балластные, осушительные или другие насосы общесудового назначения, используемые только для чистой воды.</w:t>
      </w:r>
    </w:p>
    <w:bookmarkEnd w:id="10478"/>
    <w:bookmarkStart w:name="z10548" w:id="10479"/>
    <w:p>
      <w:pPr>
        <w:spacing w:after="0"/>
        <w:ind w:left="0"/>
        <w:jc w:val="both"/>
      </w:pPr>
      <w:r>
        <w:rPr>
          <w:rFonts w:ascii="Times New Roman"/>
          <w:b w:val="false"/>
          <w:i w:val="false"/>
          <w:color w:val="000000"/>
          <w:sz w:val="28"/>
        </w:rPr>
        <w:t>
      Применение для этой цели пожарных насосов допускается при условии выполнения требования пункта 2301 настоящих Правил.</w:t>
      </w:r>
    </w:p>
    <w:bookmarkEnd w:id="10479"/>
    <w:bookmarkStart w:name="z10549" w:id="10480"/>
    <w:p>
      <w:pPr>
        <w:spacing w:after="0"/>
        <w:ind w:left="0"/>
        <w:jc w:val="both"/>
      </w:pPr>
      <w:r>
        <w:rPr>
          <w:rFonts w:ascii="Times New Roman"/>
          <w:b w:val="false"/>
          <w:i w:val="false"/>
          <w:color w:val="000000"/>
          <w:sz w:val="28"/>
        </w:rPr>
        <w:t>
      3806. В независимой системе охлаждения поршней предусматривается резервный насос подачей не менее подачи основного насоса.</w:t>
      </w:r>
    </w:p>
    <w:bookmarkEnd w:id="10480"/>
    <w:bookmarkStart w:name="z10550" w:id="10481"/>
    <w:p>
      <w:pPr>
        <w:spacing w:after="0"/>
        <w:ind w:left="0"/>
        <w:jc w:val="both"/>
      </w:pPr>
      <w:r>
        <w:rPr>
          <w:rFonts w:ascii="Times New Roman"/>
          <w:b w:val="false"/>
          <w:i w:val="false"/>
          <w:color w:val="000000"/>
          <w:sz w:val="28"/>
        </w:rPr>
        <w:t>
      3807 В независимой системе охлаждения форсунок предусматривается резервный насос подачей не менее подачи основного насоса.</w:t>
      </w:r>
    </w:p>
    <w:bookmarkEnd w:id="10481"/>
    <w:bookmarkStart w:name="z10551" w:id="10482"/>
    <w:p>
      <w:pPr>
        <w:spacing w:after="0"/>
        <w:ind w:left="0"/>
        <w:jc w:val="both"/>
      </w:pPr>
      <w:r>
        <w:rPr>
          <w:rFonts w:ascii="Times New Roman"/>
          <w:b w:val="false"/>
          <w:i w:val="false"/>
          <w:color w:val="000000"/>
          <w:sz w:val="28"/>
        </w:rPr>
        <w:t>
      3808. Маслоохладители главных турбоагрегатов, как правило, обслуживаются циркуляционными насосами главных конденсаторов.</w:t>
      </w:r>
    </w:p>
    <w:bookmarkEnd w:id="10482"/>
    <w:bookmarkStart w:name="z10552" w:id="10483"/>
    <w:p>
      <w:pPr>
        <w:spacing w:after="0"/>
        <w:ind w:left="0"/>
        <w:jc w:val="both"/>
      </w:pPr>
      <w:r>
        <w:rPr>
          <w:rFonts w:ascii="Times New Roman"/>
          <w:b w:val="false"/>
          <w:i w:val="false"/>
          <w:color w:val="000000"/>
          <w:sz w:val="28"/>
        </w:rPr>
        <w:t>
      Если для обслуживания маслоохладителей предусмотрен отдельный автономный циркуляционный насос, то, помимо него, следует предусмотреть резервный насос подачей не менее 0,66 расхода циркуляционной воды на маслоохладитель в режиме расчетной мощности турбоагрегата.</w:t>
      </w:r>
    </w:p>
    <w:bookmarkEnd w:id="10483"/>
    <w:bookmarkStart w:name="z10553" w:id="10484"/>
    <w:p>
      <w:pPr>
        <w:spacing w:after="0"/>
        <w:ind w:left="0"/>
        <w:jc w:val="both"/>
      </w:pPr>
      <w:r>
        <w:rPr>
          <w:rFonts w:ascii="Times New Roman"/>
          <w:b w:val="false"/>
          <w:i w:val="false"/>
          <w:color w:val="000000"/>
          <w:sz w:val="28"/>
        </w:rPr>
        <w:t>
      В качестве резервного насоса допускается использовать любой насос общесудового назначения.</w:t>
      </w:r>
    </w:p>
    <w:bookmarkEnd w:id="10484"/>
    <w:bookmarkStart w:name="z10554" w:id="10485"/>
    <w:p>
      <w:pPr>
        <w:spacing w:after="0"/>
        <w:ind w:left="0"/>
        <w:jc w:val="both"/>
      </w:pPr>
      <w:r>
        <w:rPr>
          <w:rFonts w:ascii="Times New Roman"/>
          <w:b w:val="false"/>
          <w:i w:val="false"/>
          <w:color w:val="000000"/>
          <w:sz w:val="28"/>
        </w:rPr>
        <w:t>
      3809. В независимой системе охлаждения и смазки дейдвудных подшипников забортной водой предусматривается резервный насос с подачей не менее подачи основного насоса В качестве резервного насоса допускается использовать насос забортной воды общесудового назначения, указанный в пункте 3805 настоящих Правил.</w:t>
      </w:r>
    </w:p>
    <w:bookmarkEnd w:id="10485"/>
    <w:bookmarkStart w:name="z10555" w:id="10486"/>
    <w:p>
      <w:pPr>
        <w:spacing w:after="0"/>
        <w:ind w:left="0"/>
        <w:jc w:val="left"/>
      </w:pPr>
      <w:r>
        <w:rPr>
          <w:rFonts w:ascii="Times New Roman"/>
          <w:b/>
          <w:i w:val="false"/>
          <w:color w:val="000000"/>
        </w:rPr>
        <w:t xml:space="preserve"> Глава 319. Прокладка трубопроводов</w:t>
      </w:r>
    </w:p>
    <w:bookmarkEnd w:id="10486"/>
    <w:p>
      <w:pPr>
        <w:spacing w:after="0"/>
        <w:ind w:left="0"/>
        <w:jc w:val="both"/>
      </w:pPr>
      <w:r>
        <w:rPr>
          <w:rFonts w:ascii="Times New Roman"/>
          <w:b w:val="false"/>
          <w:i w:val="false"/>
          <w:color w:val="ff0000"/>
          <w:sz w:val="28"/>
        </w:rPr>
        <w:t xml:space="preserve">
      Сноска. Заголовок главы 319 -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56" w:id="10487"/>
    <w:p>
      <w:pPr>
        <w:spacing w:after="0"/>
        <w:ind w:left="0"/>
        <w:jc w:val="both"/>
      </w:pPr>
      <w:r>
        <w:rPr>
          <w:rFonts w:ascii="Times New Roman"/>
          <w:b w:val="false"/>
          <w:i w:val="false"/>
          <w:color w:val="000000"/>
          <w:sz w:val="28"/>
        </w:rPr>
        <w:t>
      3810. Система охлаждающей воды обслуживается не менее чем двумя кингстонами — днищевым и бортовым, расположенными в машинном отделении и соединенными между собой. На грузовых судах валовой вместимостью менее 500 ограниченных районов плавания R2, R2-RSN, R3-RSN и R3 число кингстонов является в каждом случае предметом специального рассмотрения Регистром судоходства.</w:t>
      </w:r>
    </w:p>
    <w:bookmarkEnd w:id="10487"/>
    <w:bookmarkStart w:name="z10557" w:id="10488"/>
    <w:p>
      <w:pPr>
        <w:spacing w:after="0"/>
        <w:ind w:left="0"/>
        <w:jc w:val="both"/>
      </w:pPr>
      <w:r>
        <w:rPr>
          <w:rFonts w:ascii="Times New Roman"/>
          <w:b w:val="false"/>
          <w:i w:val="false"/>
          <w:color w:val="000000"/>
          <w:sz w:val="28"/>
        </w:rPr>
        <w:t>
      3811. В системах охлаждения вспомогательных двигателей и конденсаторов вспомогательных турбин рекомендуется предусматривать самостоятельные кингстоны. При этом в случае расположения этих кингстонов в машинном отделении приемные трубопроводы этих систем через разобщительные клапаны присоединяются к общей приемной магистрали от кингстонов, указанных в пункте 3810 настоящих Правил.</w:t>
      </w:r>
    </w:p>
    <w:bookmarkEnd w:id="10488"/>
    <w:bookmarkStart w:name="z10558" w:id="10489"/>
    <w:p>
      <w:pPr>
        <w:spacing w:after="0"/>
        <w:ind w:left="0"/>
        <w:jc w:val="both"/>
      </w:pPr>
      <w:r>
        <w:rPr>
          <w:rFonts w:ascii="Times New Roman"/>
          <w:b w:val="false"/>
          <w:i w:val="false"/>
          <w:color w:val="000000"/>
          <w:sz w:val="28"/>
        </w:rPr>
        <w:t>
      3812. Требования к устройству кингстонных и ледовых ящиков судов с ледовыми усилениями и ледоколов изложены в параграфе 1 главы 244 настоящих Правил.</w:t>
      </w:r>
    </w:p>
    <w:bookmarkEnd w:id="10489"/>
    <w:bookmarkStart w:name="z10559" w:id="10490"/>
    <w:p>
      <w:pPr>
        <w:spacing w:after="0"/>
        <w:ind w:left="0"/>
        <w:jc w:val="left"/>
      </w:pPr>
      <w:r>
        <w:rPr>
          <w:rFonts w:ascii="Times New Roman"/>
          <w:b/>
          <w:i w:val="false"/>
          <w:color w:val="000000"/>
        </w:rPr>
        <w:t xml:space="preserve"> Глава 320. Фильтры охлаждающей воды. Охлаждение двигателей внутреннего сгорания</w:t>
      </w:r>
    </w:p>
    <w:bookmarkEnd w:id="10490"/>
    <w:p>
      <w:pPr>
        <w:spacing w:after="0"/>
        <w:ind w:left="0"/>
        <w:jc w:val="both"/>
      </w:pPr>
      <w:r>
        <w:rPr>
          <w:rFonts w:ascii="Times New Roman"/>
          <w:b w:val="false"/>
          <w:i w:val="false"/>
          <w:color w:val="ff0000"/>
          <w:sz w:val="28"/>
        </w:rPr>
        <w:t xml:space="preserve">
      Сноска. Заголовок главы 320 -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60" w:id="10491"/>
    <w:p>
      <w:pPr>
        <w:spacing w:after="0"/>
        <w:ind w:left="0"/>
        <w:jc w:val="both"/>
      </w:pPr>
      <w:r>
        <w:rPr>
          <w:rFonts w:ascii="Times New Roman"/>
          <w:b w:val="false"/>
          <w:i w:val="false"/>
          <w:color w:val="000000"/>
          <w:sz w:val="28"/>
        </w:rPr>
        <w:t>
      3813. На приемных магистралях охлаждающей забортной воды главных и вспомогательных двигателей внутреннего сгорания следует устанавливать фильтры. Фильтры оборудуются устройством, позволяющим убедиться перед их вскрытием в отсутствии давления. Предусматривается возможность очистки фильтров без прекращения работы охлаждающих насосов.</w:t>
      </w:r>
    </w:p>
    <w:bookmarkEnd w:id="10491"/>
    <w:bookmarkStart w:name="z10561" w:id="10492"/>
    <w:p>
      <w:pPr>
        <w:spacing w:after="0"/>
        <w:ind w:left="0"/>
        <w:jc w:val="both"/>
      </w:pPr>
      <w:r>
        <w:rPr>
          <w:rFonts w:ascii="Times New Roman"/>
          <w:b w:val="false"/>
          <w:i w:val="false"/>
          <w:color w:val="000000"/>
          <w:sz w:val="28"/>
        </w:rPr>
        <w:t>
      Установка фильтров в системе охлаждающей воды турбинных установок рекомендуется.</w:t>
      </w:r>
    </w:p>
    <w:bookmarkEnd w:id="10492"/>
    <w:bookmarkStart w:name="z10562" w:id="10493"/>
    <w:p>
      <w:pPr>
        <w:spacing w:after="0"/>
        <w:ind w:left="0"/>
        <w:jc w:val="both"/>
      </w:pPr>
      <w:r>
        <w:rPr>
          <w:rFonts w:ascii="Times New Roman"/>
          <w:b w:val="false"/>
          <w:i w:val="false"/>
          <w:color w:val="000000"/>
          <w:sz w:val="28"/>
        </w:rPr>
        <w:t>
      3814. В системе охлаждения двигателя пресной водой предусматривается расширительная цистерна, уровень воды в которой должен быть выше максимального уровня воды в двигателе. Расширительная цистерна присоединяется к приемным трубопроводам насосов и может быть общей в системе охлаждения нескольких двигателей.</w:t>
      </w:r>
    </w:p>
    <w:bookmarkEnd w:id="10493"/>
    <w:bookmarkStart w:name="z10563" w:id="10494"/>
    <w:p>
      <w:pPr>
        <w:spacing w:after="0"/>
        <w:ind w:left="0"/>
        <w:jc w:val="both"/>
      </w:pPr>
      <w:r>
        <w:rPr>
          <w:rFonts w:ascii="Times New Roman"/>
          <w:b w:val="false"/>
          <w:i w:val="false"/>
          <w:color w:val="000000"/>
          <w:sz w:val="28"/>
        </w:rPr>
        <w:t>
      Цистерна оборудуется устройством контроля уровня жидкости.</w:t>
      </w:r>
    </w:p>
    <w:bookmarkEnd w:id="10494"/>
    <w:bookmarkStart w:name="z10564" w:id="10495"/>
    <w:p>
      <w:pPr>
        <w:spacing w:after="0"/>
        <w:ind w:left="0"/>
        <w:jc w:val="both"/>
      </w:pPr>
      <w:r>
        <w:rPr>
          <w:rFonts w:ascii="Times New Roman"/>
          <w:b w:val="false"/>
          <w:i w:val="false"/>
          <w:color w:val="000000"/>
          <w:sz w:val="28"/>
        </w:rPr>
        <w:t>
      В системе охлаждения двигателей расположение отливного трубопровода забортной воды обеспечивает заполнение водой самых высоких охлаждаемых полостей двигателей, водо- и маслоохладителей, а также исключает образование застойных зон.</w:t>
      </w:r>
    </w:p>
    <w:bookmarkEnd w:id="10495"/>
    <w:bookmarkStart w:name="z10565" w:id="10496"/>
    <w:p>
      <w:pPr>
        <w:spacing w:after="0"/>
        <w:ind w:left="0"/>
        <w:jc w:val="both"/>
      </w:pPr>
      <w:r>
        <w:rPr>
          <w:rFonts w:ascii="Times New Roman"/>
          <w:b w:val="false"/>
          <w:i w:val="false"/>
          <w:color w:val="000000"/>
          <w:sz w:val="28"/>
        </w:rPr>
        <w:t>
      3815. Система охлаждения оборудуется термометрами и устройством для регулирования температуры охлаждающей воды.</w:t>
      </w:r>
    </w:p>
    <w:bookmarkEnd w:id="10496"/>
    <w:bookmarkStart w:name="z10566" w:id="10497"/>
    <w:p>
      <w:pPr>
        <w:spacing w:after="0"/>
        <w:ind w:left="0"/>
        <w:jc w:val="both"/>
      </w:pPr>
      <w:r>
        <w:rPr>
          <w:rFonts w:ascii="Times New Roman"/>
          <w:b w:val="false"/>
          <w:i w:val="false"/>
          <w:color w:val="000000"/>
          <w:sz w:val="28"/>
        </w:rPr>
        <w:t>
      Рекомендуется оборудовать систему охлаждения предупредительной сигнализацией предельной температуры охлаждающей воды (главы 370 настоящих Правил.</w:t>
      </w:r>
    </w:p>
    <w:bookmarkEnd w:id="10497"/>
    <w:bookmarkStart w:name="z10567" w:id="10498"/>
    <w:p>
      <w:pPr>
        <w:spacing w:after="0"/>
        <w:ind w:left="0"/>
        <w:jc w:val="both"/>
      </w:pPr>
      <w:r>
        <w:rPr>
          <w:rFonts w:ascii="Times New Roman"/>
          <w:b w:val="false"/>
          <w:i w:val="false"/>
          <w:color w:val="000000"/>
          <w:sz w:val="28"/>
        </w:rPr>
        <w:t>
      3816. Система охлаждения двигателя, предназначенного для использования в качестве аварийного, должна отвечать требованиям пункта 3974 настоящих Правил.</w:t>
      </w:r>
    </w:p>
    <w:bookmarkEnd w:id="10498"/>
    <w:bookmarkStart w:name="z10568" w:id="10499"/>
    <w:p>
      <w:pPr>
        <w:spacing w:after="0"/>
        <w:ind w:left="0"/>
        <w:jc w:val="both"/>
      </w:pPr>
      <w:r>
        <w:rPr>
          <w:rFonts w:ascii="Times New Roman"/>
          <w:b w:val="false"/>
          <w:i w:val="false"/>
          <w:color w:val="000000"/>
          <w:sz w:val="28"/>
        </w:rPr>
        <w:t>
      3817. Если в системах охлаждения форсунок или поршней используется топливо или масло, эти системы должны отвечать требованиям подразделов 13 или 14 раздела 10 настоящих Правил, соответственно.</w:t>
      </w:r>
    </w:p>
    <w:bookmarkEnd w:id="10499"/>
    <w:bookmarkStart w:name="z10569" w:id="10500"/>
    <w:p>
      <w:pPr>
        <w:spacing w:after="0"/>
        <w:ind w:left="0"/>
        <w:jc w:val="left"/>
      </w:pPr>
      <w:r>
        <w:rPr>
          <w:rFonts w:ascii="Times New Roman"/>
          <w:b/>
          <w:i w:val="false"/>
          <w:color w:val="000000"/>
        </w:rPr>
        <w:t xml:space="preserve"> Глава 321. Охлаждение газотурбинных установок</w:t>
      </w:r>
    </w:p>
    <w:bookmarkEnd w:id="10500"/>
    <w:p>
      <w:pPr>
        <w:spacing w:after="0"/>
        <w:ind w:left="0"/>
        <w:jc w:val="both"/>
      </w:pPr>
      <w:r>
        <w:rPr>
          <w:rFonts w:ascii="Times New Roman"/>
          <w:b w:val="false"/>
          <w:i w:val="false"/>
          <w:color w:val="ff0000"/>
          <w:sz w:val="28"/>
        </w:rPr>
        <w:t xml:space="preserve">
      Сноска. Заголовок главы 321 -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70" w:id="10501"/>
    <w:p>
      <w:pPr>
        <w:spacing w:after="0"/>
        <w:ind w:left="0"/>
        <w:jc w:val="both"/>
      </w:pPr>
      <w:r>
        <w:rPr>
          <w:rFonts w:ascii="Times New Roman"/>
          <w:b w:val="false"/>
          <w:i w:val="false"/>
          <w:color w:val="000000"/>
          <w:sz w:val="28"/>
        </w:rPr>
        <w:t>
      3818. Система охлаждения корпусов турбин должна отвечать требованиям главы 320 настоящих Правил.</w:t>
      </w:r>
    </w:p>
    <w:bookmarkEnd w:id="10501"/>
    <w:bookmarkStart w:name="z10571" w:id="10502"/>
    <w:p>
      <w:pPr>
        <w:spacing w:after="0"/>
        <w:ind w:left="0"/>
        <w:jc w:val="both"/>
      </w:pPr>
      <w:r>
        <w:rPr>
          <w:rFonts w:ascii="Times New Roman"/>
          <w:b w:val="false"/>
          <w:i w:val="false"/>
          <w:color w:val="000000"/>
          <w:sz w:val="28"/>
        </w:rPr>
        <w:t>
      3819. Водяное охлаждение корпусов турбин осуществляется пресной водой.</w:t>
      </w:r>
    </w:p>
    <w:bookmarkEnd w:id="10502"/>
    <w:bookmarkStart w:name="z10572" w:id="10503"/>
    <w:p>
      <w:pPr>
        <w:spacing w:after="0"/>
        <w:ind w:left="0"/>
        <w:jc w:val="both"/>
      </w:pPr>
      <w:r>
        <w:rPr>
          <w:rFonts w:ascii="Times New Roman"/>
          <w:b w:val="false"/>
          <w:i w:val="false"/>
          <w:color w:val="000000"/>
          <w:sz w:val="28"/>
        </w:rPr>
        <w:t>
      В аварийных случаях допускается охлаждение забортной водой.</w:t>
      </w:r>
    </w:p>
    <w:bookmarkEnd w:id="10503"/>
    <w:bookmarkStart w:name="z10573" w:id="10504"/>
    <w:p>
      <w:pPr>
        <w:spacing w:after="0"/>
        <w:ind w:left="0"/>
        <w:jc w:val="both"/>
      </w:pPr>
      <w:r>
        <w:rPr>
          <w:rFonts w:ascii="Times New Roman"/>
          <w:b w:val="false"/>
          <w:i w:val="false"/>
          <w:color w:val="000000"/>
          <w:sz w:val="28"/>
        </w:rPr>
        <w:t>
      3820. Система охлаждения воздухоохладителя должна отвечать требованиям пунктов 3877, 3879 и 3881 настоящих Правил.</w:t>
      </w:r>
    </w:p>
    <w:bookmarkEnd w:id="10504"/>
    <w:bookmarkStart w:name="z10574" w:id="10505"/>
    <w:p>
      <w:pPr>
        <w:spacing w:after="0"/>
        <w:ind w:left="0"/>
        <w:jc w:val="both"/>
      </w:pPr>
      <w:r>
        <w:rPr>
          <w:rFonts w:ascii="Times New Roman"/>
          <w:b w:val="false"/>
          <w:i w:val="false"/>
          <w:color w:val="000000"/>
          <w:sz w:val="28"/>
        </w:rPr>
        <w:t>
      Резервный насос допускается не предусматривать, если при прекращении подачи воды в воздухоохладители обеспечивается 30-процентная расчетная мощность ГТУ.</w:t>
      </w:r>
    </w:p>
    <w:bookmarkEnd w:id="10505"/>
    <w:bookmarkStart w:name="z10575" w:id="10506"/>
    <w:p>
      <w:pPr>
        <w:spacing w:after="0"/>
        <w:ind w:left="0"/>
        <w:jc w:val="left"/>
      </w:pPr>
      <w:r>
        <w:rPr>
          <w:rFonts w:ascii="Times New Roman"/>
          <w:b/>
          <w:i w:val="false"/>
          <w:color w:val="000000"/>
        </w:rPr>
        <w:t xml:space="preserve"> Глава 322. Килевые системы охлаждения</w:t>
      </w:r>
    </w:p>
    <w:bookmarkEnd w:id="10506"/>
    <w:p>
      <w:pPr>
        <w:spacing w:after="0"/>
        <w:ind w:left="0"/>
        <w:jc w:val="both"/>
      </w:pPr>
      <w:r>
        <w:rPr>
          <w:rFonts w:ascii="Times New Roman"/>
          <w:b w:val="false"/>
          <w:i w:val="false"/>
          <w:color w:val="ff0000"/>
          <w:sz w:val="28"/>
        </w:rPr>
        <w:t xml:space="preserve">
      Сноска. Заголовок главы 322 -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76" w:id="10507"/>
    <w:p>
      <w:pPr>
        <w:spacing w:after="0"/>
        <w:ind w:left="0"/>
        <w:jc w:val="both"/>
      </w:pPr>
      <w:r>
        <w:rPr>
          <w:rFonts w:ascii="Times New Roman"/>
          <w:b w:val="false"/>
          <w:i w:val="false"/>
          <w:color w:val="000000"/>
          <w:sz w:val="28"/>
        </w:rPr>
        <w:t>
      3821. Килевые системы охлаждения двигателей внутреннего сгорания допускается применять на судах, исключая ледоколы и суда с ледовыми усилениями категорий Агс4 — Агс5. Применение килевых систем на судах ограниченного района плавания с такими категориями ледовых усилений является в каждом случае предметом специального рассмотрения Регистром судоходства.</w:t>
      </w:r>
    </w:p>
    <w:bookmarkEnd w:id="10507"/>
    <w:bookmarkStart w:name="z10577" w:id="10508"/>
    <w:p>
      <w:pPr>
        <w:spacing w:after="0"/>
        <w:ind w:left="0"/>
        <w:jc w:val="both"/>
      </w:pPr>
      <w:r>
        <w:rPr>
          <w:rFonts w:ascii="Times New Roman"/>
          <w:b w:val="false"/>
          <w:i w:val="false"/>
          <w:color w:val="000000"/>
          <w:sz w:val="28"/>
        </w:rPr>
        <w:t>
      3822. Для судов, имеющих один главный двигатель, предусматривается не менее двух забортных охладителей, один из которых является резервным.</w:t>
      </w:r>
    </w:p>
    <w:bookmarkEnd w:id="10508"/>
    <w:bookmarkStart w:name="z10578" w:id="10509"/>
    <w:p>
      <w:pPr>
        <w:spacing w:after="0"/>
        <w:ind w:left="0"/>
        <w:jc w:val="both"/>
      </w:pPr>
      <w:r>
        <w:rPr>
          <w:rFonts w:ascii="Times New Roman"/>
          <w:b w:val="false"/>
          <w:i w:val="false"/>
          <w:color w:val="000000"/>
          <w:sz w:val="28"/>
        </w:rPr>
        <w:t>
      3823. Для судов, имеющих два и более главных двигателя, предусматривается один резервный охладитель, обеспечивающий работу каждого из двигателей. Для судов ограниченных районов плавания, имеющих два и более главных двигателя, резервный охладитель допускается не устанавливать.</w:t>
      </w:r>
    </w:p>
    <w:bookmarkEnd w:id="10509"/>
    <w:bookmarkStart w:name="z10579" w:id="10510"/>
    <w:p>
      <w:pPr>
        <w:spacing w:after="0"/>
        <w:ind w:left="0"/>
        <w:jc w:val="both"/>
      </w:pPr>
      <w:r>
        <w:rPr>
          <w:rFonts w:ascii="Times New Roman"/>
          <w:b w:val="false"/>
          <w:i w:val="false"/>
          <w:color w:val="000000"/>
          <w:sz w:val="28"/>
        </w:rPr>
        <w:t>
      3824. Каждый охладитель оборудуется устройством для отвода воздуха.</w:t>
      </w:r>
    </w:p>
    <w:bookmarkEnd w:id="10510"/>
    <w:bookmarkStart w:name="z10580" w:id="10511"/>
    <w:p>
      <w:pPr>
        <w:spacing w:after="0"/>
        <w:ind w:left="0"/>
        <w:jc w:val="both"/>
      </w:pPr>
      <w:r>
        <w:rPr>
          <w:rFonts w:ascii="Times New Roman"/>
          <w:b w:val="false"/>
          <w:i w:val="false"/>
          <w:color w:val="000000"/>
          <w:sz w:val="28"/>
        </w:rPr>
        <w:t>
      3825. На трубопроводах подвода и отвода охлаждаемой среды к охладителям устанавливаются запорные клапаны.</w:t>
      </w:r>
    </w:p>
    <w:bookmarkEnd w:id="10511"/>
    <w:bookmarkStart w:name="z10581" w:id="10512"/>
    <w:p>
      <w:pPr>
        <w:spacing w:after="0"/>
        <w:ind w:left="0"/>
        <w:jc w:val="both"/>
      </w:pPr>
      <w:r>
        <w:rPr>
          <w:rFonts w:ascii="Times New Roman"/>
          <w:b w:val="false"/>
          <w:i w:val="false"/>
          <w:color w:val="000000"/>
          <w:sz w:val="28"/>
        </w:rPr>
        <w:t>
      3826. Предусматривается возможность осушения или продувания охладителя.</w:t>
      </w:r>
    </w:p>
    <w:bookmarkEnd w:id="10512"/>
    <w:bookmarkStart w:name="z10582" w:id="10513"/>
    <w:p>
      <w:pPr>
        <w:spacing w:after="0"/>
        <w:ind w:left="0"/>
        <w:jc w:val="left"/>
      </w:pPr>
      <w:r>
        <w:rPr>
          <w:rFonts w:ascii="Times New Roman"/>
          <w:b/>
          <w:i w:val="false"/>
          <w:color w:val="000000"/>
        </w:rPr>
        <w:t xml:space="preserve"> Подраздел 16. Система сжатого воздуха</w:t>
      </w:r>
      <w:r>
        <w:br/>
      </w:r>
      <w:r>
        <w:rPr>
          <w:rFonts w:ascii="Times New Roman"/>
          <w:b/>
          <w:i w:val="false"/>
          <w:color w:val="000000"/>
        </w:rPr>
        <w:t>Глава 323. Число воздухохранителей и запас пускового воздуха</w:t>
      </w:r>
    </w:p>
    <w:bookmarkEnd w:id="10513"/>
    <w:p>
      <w:pPr>
        <w:spacing w:after="0"/>
        <w:ind w:left="0"/>
        <w:jc w:val="both"/>
      </w:pPr>
      <w:r>
        <w:rPr>
          <w:rFonts w:ascii="Times New Roman"/>
          <w:b w:val="false"/>
          <w:i w:val="false"/>
          <w:color w:val="ff0000"/>
          <w:sz w:val="28"/>
        </w:rPr>
        <w:t xml:space="preserve">
      Сноска. Заголовок главы 323 -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84" w:id="10514"/>
    <w:p>
      <w:pPr>
        <w:spacing w:after="0"/>
        <w:ind w:left="0"/>
        <w:jc w:val="both"/>
      </w:pPr>
      <w:r>
        <w:rPr>
          <w:rFonts w:ascii="Times New Roman"/>
          <w:b w:val="false"/>
          <w:i w:val="false"/>
          <w:color w:val="000000"/>
          <w:sz w:val="28"/>
        </w:rPr>
        <w:t>
      3827. Система сжатого воздуха главных двигателей обеспечивает одновременный пуск и реверсирование всех главных двигателей, а пусковые устройства должны отвечать требованиям главы 352 настоящих Правил.</w:t>
      </w:r>
    </w:p>
    <w:bookmarkEnd w:id="10514"/>
    <w:bookmarkStart w:name="z10585" w:id="10515"/>
    <w:p>
      <w:pPr>
        <w:spacing w:after="0"/>
        <w:ind w:left="0"/>
        <w:jc w:val="both"/>
      </w:pPr>
      <w:r>
        <w:rPr>
          <w:rFonts w:ascii="Times New Roman"/>
          <w:b w:val="false"/>
          <w:i w:val="false"/>
          <w:color w:val="000000"/>
          <w:sz w:val="28"/>
        </w:rPr>
        <w:t>
      Требования к системе сжатого воздуха ГТД изложены в главе 377 настоящих Правил.</w:t>
      </w:r>
    </w:p>
    <w:bookmarkEnd w:id="10515"/>
    <w:bookmarkStart w:name="z10586" w:id="10516"/>
    <w:p>
      <w:pPr>
        <w:spacing w:after="0"/>
        <w:ind w:left="0"/>
        <w:jc w:val="both"/>
      </w:pPr>
      <w:r>
        <w:rPr>
          <w:rFonts w:ascii="Times New Roman"/>
          <w:b w:val="false"/>
          <w:i w:val="false"/>
          <w:color w:val="000000"/>
          <w:sz w:val="28"/>
        </w:rPr>
        <w:t>
      3828. Запас сжатого воздуха для пуска главных двигателей и работы систем управления двигателями хранится не менее чем в двух воздухохранителях или в двух группах воздухохранителей, установленных так, чтобы пользование ими было независимым; при этом в каждом из этих двух воздухохранителей или в каждой группе воздухохранителей хранится запас сжатого воздуха в количестве не менее половины требуемого в пунктах 3829 и 3830 (пункт 3832 настоящих Правил).</w:t>
      </w:r>
    </w:p>
    <w:bookmarkEnd w:id="10516"/>
    <w:bookmarkStart w:name="z10587" w:id="10517"/>
    <w:p>
      <w:pPr>
        <w:spacing w:after="0"/>
        <w:ind w:left="0"/>
        <w:jc w:val="both"/>
      </w:pPr>
      <w:r>
        <w:rPr>
          <w:rFonts w:ascii="Times New Roman"/>
          <w:b w:val="false"/>
          <w:i w:val="false"/>
          <w:color w:val="000000"/>
          <w:sz w:val="28"/>
        </w:rPr>
        <w:t>
      На судах ограниченных районов плавания R2 и R3, если применяется электротифон, допускается установка одного воздухохранителя вместимостью, отвечающей требованиям 3829 и 3830 настоящих Правил.</w:t>
      </w:r>
    </w:p>
    <w:bookmarkEnd w:id="10517"/>
    <w:bookmarkStart w:name="z10588" w:id="10518"/>
    <w:p>
      <w:pPr>
        <w:spacing w:after="0"/>
        <w:ind w:left="0"/>
        <w:jc w:val="both"/>
      </w:pPr>
      <w:r>
        <w:rPr>
          <w:rFonts w:ascii="Times New Roman"/>
          <w:b w:val="false"/>
          <w:i w:val="false"/>
          <w:color w:val="000000"/>
          <w:sz w:val="28"/>
        </w:rPr>
        <w:t>
      3829. Запас сжатого воздуха во всех воздухохранителях, предназначенный для пуска и реверсирования главных двигателей, должен обеспечивать не менее 12 пусков попеременно на передний и задний ход каждого двигателя, подготовленного к действию, но не работавшего, а также действие систем управления двигателями.</w:t>
      </w:r>
    </w:p>
    <w:bookmarkEnd w:id="10518"/>
    <w:bookmarkStart w:name="z10589" w:id="10519"/>
    <w:p>
      <w:pPr>
        <w:spacing w:after="0"/>
        <w:ind w:left="0"/>
        <w:jc w:val="both"/>
      </w:pPr>
      <w:r>
        <w:rPr>
          <w:rFonts w:ascii="Times New Roman"/>
          <w:b w:val="false"/>
          <w:i w:val="false"/>
          <w:color w:val="000000"/>
          <w:sz w:val="28"/>
        </w:rPr>
        <w:t>
      3830. Общий запас сжатого воздуха для пуска главных двигателей, соединенных с винтом регулируемого шага или с другими механизмами, обеспечивающими возможность пуска двигателя без нагрузки, должен быть достаточным для выполнения не менее чем шести пусков каждого двигателя, подготовленного к действию, но не работавшего, а при наличии более двух двигателей — не менее трех пусков каждого двигателя. При этом обеспечивается также работа систем управления двигателями.</w:t>
      </w:r>
    </w:p>
    <w:bookmarkEnd w:id="10519"/>
    <w:bookmarkStart w:name="z10590" w:id="10520"/>
    <w:p>
      <w:pPr>
        <w:spacing w:after="0"/>
        <w:ind w:left="0"/>
        <w:jc w:val="both"/>
      </w:pPr>
      <w:r>
        <w:rPr>
          <w:rFonts w:ascii="Times New Roman"/>
          <w:b w:val="false"/>
          <w:i w:val="false"/>
          <w:color w:val="000000"/>
          <w:sz w:val="28"/>
        </w:rPr>
        <w:t>
      3831. Для пуска вспомогательных двигателей предусматривается по крайней мере один воздухохранитель вместимостью, достаточной для выполнения шести пусков подготовленного к действию одного двигателя наибольшей мощности.</w:t>
      </w:r>
    </w:p>
    <w:bookmarkEnd w:id="10520"/>
    <w:bookmarkStart w:name="z10591" w:id="10521"/>
    <w:p>
      <w:pPr>
        <w:spacing w:after="0"/>
        <w:ind w:left="0"/>
        <w:jc w:val="both"/>
      </w:pPr>
      <w:r>
        <w:rPr>
          <w:rFonts w:ascii="Times New Roman"/>
          <w:b w:val="false"/>
          <w:i w:val="false"/>
          <w:color w:val="000000"/>
          <w:sz w:val="28"/>
        </w:rPr>
        <w:t>
      По согласованию с Регистром судоходства судоходства такой воздухохранитель допускается не устанавливать.</w:t>
      </w:r>
    </w:p>
    <w:bookmarkEnd w:id="10521"/>
    <w:bookmarkStart w:name="z10592" w:id="10522"/>
    <w:p>
      <w:pPr>
        <w:spacing w:after="0"/>
        <w:ind w:left="0"/>
        <w:jc w:val="both"/>
      </w:pPr>
      <w:r>
        <w:rPr>
          <w:rFonts w:ascii="Times New Roman"/>
          <w:b w:val="false"/>
          <w:i w:val="false"/>
          <w:color w:val="000000"/>
          <w:sz w:val="28"/>
        </w:rPr>
        <w:t>
      В этом случае предусматривается возможность пуска вспомогательных двигателей от одного воздухохранителя или одной группы воздухохранителей главных двигателей.</w:t>
      </w:r>
    </w:p>
    <w:bookmarkEnd w:id="10522"/>
    <w:bookmarkStart w:name="z10593" w:id="10523"/>
    <w:p>
      <w:pPr>
        <w:spacing w:after="0"/>
        <w:ind w:left="0"/>
        <w:jc w:val="both"/>
      </w:pPr>
      <w:r>
        <w:rPr>
          <w:rFonts w:ascii="Times New Roman"/>
          <w:b w:val="false"/>
          <w:i w:val="false"/>
          <w:color w:val="000000"/>
          <w:sz w:val="28"/>
        </w:rPr>
        <w:t>
      3832. Допускается использование запаса пускового воздуха из одного воздухохранителя или одной группы воздухохранителей главных двигателей, указанных в пункте 3828 настоящих Правил, для работы тифона и на хозяйственные нужды. Это допускается при условии увеличения вместимости воздухохранителя на величину, предусмотренную для специального воздухохранителя тифона или при наличии автоматической подкачки воздухохранителя или сигнализации, включающихся при падении давления в воздухохранителе не более чем на 0,49 МПа ниже рабочего.</w:t>
      </w:r>
    </w:p>
    <w:bookmarkEnd w:id="10523"/>
    <w:bookmarkStart w:name="z10594" w:id="10524"/>
    <w:p>
      <w:pPr>
        <w:spacing w:after="0"/>
        <w:ind w:left="0"/>
        <w:jc w:val="both"/>
      </w:pPr>
      <w:r>
        <w:rPr>
          <w:rFonts w:ascii="Times New Roman"/>
          <w:b w:val="false"/>
          <w:i w:val="false"/>
          <w:color w:val="000000"/>
          <w:sz w:val="28"/>
        </w:rPr>
        <w:t>
      При установке специального воздухохранителя для тифона его вместимость определяется из условия непрерывного действия тифона в течение 2 мин; при этом часовая подача компрессора должна быть не менее требуемой для непрерывного действия тифона в течение 8 мин.</w:t>
      </w:r>
    </w:p>
    <w:bookmarkEnd w:id="10524"/>
    <w:bookmarkStart w:name="z10595" w:id="10525"/>
    <w:p>
      <w:pPr>
        <w:spacing w:after="0"/>
        <w:ind w:left="0"/>
        <w:jc w:val="both"/>
      </w:pPr>
      <w:r>
        <w:rPr>
          <w:rFonts w:ascii="Times New Roman"/>
          <w:b w:val="false"/>
          <w:i w:val="false"/>
          <w:color w:val="000000"/>
          <w:sz w:val="28"/>
        </w:rPr>
        <w:t>
      Если устанавливается воздухохранитель, предназначенный для действия тифона и использования его для других потребителей, вместимость его увеличивается по сравнению с расчетной для тифона; при этом предусматривается автоматическая подкачка воздухохранителя или сигнализация, включающиеся, когда в воздухохранителе содержится требуемый только для тифона запас воздуха.</w:t>
      </w:r>
    </w:p>
    <w:bookmarkEnd w:id="10525"/>
    <w:bookmarkStart w:name="z10596" w:id="10526"/>
    <w:p>
      <w:pPr>
        <w:spacing w:after="0"/>
        <w:ind w:left="0"/>
        <w:jc w:val="both"/>
      </w:pPr>
      <w:r>
        <w:rPr>
          <w:rFonts w:ascii="Times New Roman"/>
          <w:b w:val="false"/>
          <w:i w:val="false"/>
          <w:color w:val="000000"/>
          <w:sz w:val="28"/>
        </w:rPr>
        <w:t>
      На судах, имеющих знак автоматизации, заполнение воздухохранителей должно производиться в соответствии с главой 673 настоящих Правил.</w:t>
      </w:r>
    </w:p>
    <w:bookmarkEnd w:id="10526"/>
    <w:bookmarkStart w:name="z10597" w:id="10527"/>
    <w:p>
      <w:pPr>
        <w:spacing w:after="0"/>
        <w:ind w:left="0"/>
        <w:jc w:val="both"/>
      </w:pPr>
      <w:r>
        <w:rPr>
          <w:rFonts w:ascii="Times New Roman"/>
          <w:b w:val="false"/>
          <w:i w:val="false"/>
          <w:color w:val="000000"/>
          <w:sz w:val="28"/>
        </w:rPr>
        <w:t>
      3833. Воздухохранители вспомогательных двигателей, указанные в 3831 настоящих Правил, допускается пополнять воздухом из воздухохранителей главных двигателей, указанных в 3832 настоящих Правил; при этом должна исключаться возможность перепуска воздуха в обратном направлении.</w:t>
      </w:r>
    </w:p>
    <w:bookmarkEnd w:id="10527"/>
    <w:bookmarkStart w:name="z10598" w:id="10528"/>
    <w:p>
      <w:pPr>
        <w:spacing w:after="0"/>
        <w:ind w:left="0"/>
        <w:jc w:val="both"/>
      </w:pPr>
      <w:r>
        <w:rPr>
          <w:rFonts w:ascii="Times New Roman"/>
          <w:b w:val="false"/>
          <w:i w:val="false"/>
          <w:color w:val="000000"/>
          <w:sz w:val="28"/>
        </w:rPr>
        <w:t>
      3834. Пусковые устройства аварийного дизель-генератора должны отвечать требованиям главы 482 настоящих Правил.</w:t>
      </w:r>
    </w:p>
    <w:bookmarkEnd w:id="10528"/>
    <w:p>
      <w:pPr>
        <w:spacing w:after="0"/>
        <w:ind w:left="0"/>
        <w:jc w:val="both"/>
      </w:pPr>
      <w:r>
        <w:rPr>
          <w:rFonts w:ascii="Times New Roman"/>
          <w:b w:val="false"/>
          <w:i w:val="false"/>
          <w:color w:val="000000"/>
          <w:sz w:val="28"/>
        </w:rPr>
        <w:t>
      При применении системы сжатого воздуха в качестве одного из средств пуска аварийного дизель-генератора заполнение воздухохранителя может быть произведено от пусковых воздухохранителей главных и вспомогательных двигателей через невозвратный клапан, установленный внутри помещения аварийного двигателя, или от электрокомпрессора, питаемого от аварийного распределительного щита.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3834 - в редакции приказа Министра индустрии и инфраструктурного развития РК от 26.01.2022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00" w:id="10529"/>
    <w:p>
      <w:pPr>
        <w:spacing w:after="0"/>
        <w:ind w:left="0"/>
        <w:jc w:val="left"/>
      </w:pPr>
      <w:r>
        <w:rPr>
          <w:rFonts w:ascii="Times New Roman"/>
          <w:b/>
          <w:i w:val="false"/>
          <w:color w:val="000000"/>
        </w:rPr>
        <w:t xml:space="preserve"> Глава 324. Компрессоры</w:t>
      </w:r>
    </w:p>
    <w:bookmarkEnd w:id="10529"/>
    <w:p>
      <w:pPr>
        <w:spacing w:after="0"/>
        <w:ind w:left="0"/>
        <w:jc w:val="both"/>
      </w:pPr>
      <w:r>
        <w:rPr>
          <w:rFonts w:ascii="Times New Roman"/>
          <w:b w:val="false"/>
          <w:i w:val="false"/>
          <w:color w:val="ff0000"/>
          <w:sz w:val="28"/>
        </w:rPr>
        <w:t xml:space="preserve">
      Сноска. Заголовок главы 324 -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01" w:id="10530"/>
    <w:p>
      <w:pPr>
        <w:spacing w:after="0"/>
        <w:ind w:left="0"/>
        <w:jc w:val="both"/>
      </w:pPr>
      <w:r>
        <w:rPr>
          <w:rFonts w:ascii="Times New Roman"/>
          <w:b w:val="false"/>
          <w:i w:val="false"/>
          <w:color w:val="000000"/>
          <w:sz w:val="28"/>
        </w:rPr>
        <w:t>
      3835. Число основных компрессоров на судах должно быть не менее двух. Общая подача основных компрессоров должна быть достаточной для заполнения в течение 1 ч воздухохранителей для пуска главных двигателей, начиная от атмосферного давления до давления, необходимого для выполнения числа пусков и реверсов, указанных в пунктах 3829 и 3830 настоящих Правил. Для судов, главные двигатели которых пускаются без нагрузки, один из основных компрессоров может быть навешенным. Подача отдельных основных компрессоров должна быть приблизительно одинаковой. Подача компрессоров с независимым приводом должна быть не менее 50 % требуемой подачи всех основных компрессоров, но не менее расхода воздуха на тифон в соответствии с пунктом 3832 настоящих Правил.</w:t>
      </w:r>
    </w:p>
    <w:bookmarkEnd w:id="10530"/>
    <w:bookmarkStart w:name="z10602" w:id="10531"/>
    <w:p>
      <w:pPr>
        <w:spacing w:after="0"/>
        <w:ind w:left="0"/>
        <w:jc w:val="both"/>
      </w:pPr>
      <w:r>
        <w:rPr>
          <w:rFonts w:ascii="Times New Roman"/>
          <w:b w:val="false"/>
          <w:i w:val="false"/>
          <w:color w:val="000000"/>
          <w:sz w:val="28"/>
        </w:rPr>
        <w:t>
      3836. На грузовых судах ограниченных районов плавания R3 и R3-RSN валовой вместимостью менее 500 с реверсивными главными двигателями допускается установка одного компрессора с независимым приводом, а с нереверсивными главными двигателями — одного навешенного компрессора. Для указанных судов, имеющих комбинированные системы пуска, допускается установка одного навешенного компрессора. Подача компрессоров должна отвечать требованиям пункта 3835 настоящих Правил.</w:t>
      </w:r>
    </w:p>
    <w:bookmarkEnd w:id="10531"/>
    <w:bookmarkStart w:name="z10603" w:id="10532"/>
    <w:p>
      <w:pPr>
        <w:spacing w:after="0"/>
        <w:ind w:left="0"/>
        <w:jc w:val="both"/>
      </w:pPr>
      <w:r>
        <w:rPr>
          <w:rFonts w:ascii="Times New Roman"/>
          <w:b w:val="false"/>
          <w:i w:val="false"/>
          <w:color w:val="000000"/>
          <w:sz w:val="28"/>
        </w:rPr>
        <w:t>
      3837. На судах, главные и вспомогательные двигатели которых пускаются сжатым воздухом, в случае обесточивания судна предусматриваются устройства, обеспечивающие возможность пуска основных пусковых компрессоров в течение не более 1 ч. Для этой цели допускается применять ручной компрессор или дизель-компрессор с ручным пуском двигателя, заполняющие отдельный воздухохранитель вместимостью, достаточной для трехкратного пуска одного из дизель-генераторов или одного из основных компрессоров, если он приводится в действие двигателем внутреннего сгорания.</w:t>
      </w:r>
    </w:p>
    <w:bookmarkEnd w:id="10532"/>
    <w:bookmarkStart w:name="z10604" w:id="10533"/>
    <w:p>
      <w:pPr>
        <w:spacing w:after="0"/>
        <w:ind w:left="0"/>
        <w:jc w:val="both"/>
      </w:pPr>
      <w:r>
        <w:rPr>
          <w:rFonts w:ascii="Times New Roman"/>
          <w:b w:val="false"/>
          <w:i w:val="false"/>
          <w:color w:val="000000"/>
          <w:sz w:val="28"/>
        </w:rPr>
        <w:t>
      Отдельный воздухохранитель допускается не устанавливать, если дизель-компрессор или ручной компрессор может заполнить в указанный период времени наименьший из воздухохранителеи, предусмотренных в пункте 3831 настоящих Правил.</w:t>
      </w:r>
    </w:p>
    <w:bookmarkEnd w:id="10533"/>
    <w:bookmarkStart w:name="z10605" w:id="10534"/>
    <w:p>
      <w:pPr>
        <w:spacing w:after="0"/>
        <w:ind w:left="0"/>
        <w:jc w:val="both"/>
      </w:pPr>
      <w:r>
        <w:rPr>
          <w:rFonts w:ascii="Times New Roman"/>
          <w:b w:val="false"/>
          <w:i w:val="false"/>
          <w:color w:val="000000"/>
          <w:sz w:val="28"/>
        </w:rPr>
        <w:t>
      При возможности питания от аварийного дизель-генератора электродвигателя компрессора, который может заполнить один из указанных в настоящем пункте воздухохранителей, установку такого устройства допускается не предусматривать.</w:t>
      </w:r>
    </w:p>
    <w:bookmarkEnd w:id="10534"/>
    <w:bookmarkStart w:name="z10606" w:id="10535"/>
    <w:p>
      <w:pPr>
        <w:spacing w:after="0"/>
        <w:ind w:left="0"/>
        <w:jc w:val="both"/>
      </w:pPr>
      <w:r>
        <w:rPr>
          <w:rFonts w:ascii="Times New Roman"/>
          <w:b w:val="false"/>
          <w:i w:val="false"/>
          <w:color w:val="000000"/>
          <w:sz w:val="28"/>
        </w:rPr>
        <w:t>
      Указанное требование не распространяется на грузовые суда валовой вместимостью менее 500 ограниченных районов плавания R2, R2-RSN, R3-RSN и R3.</w:t>
      </w:r>
    </w:p>
    <w:bookmarkEnd w:id="10535"/>
    <w:bookmarkStart w:name="z10607" w:id="10536"/>
    <w:p>
      <w:pPr>
        <w:spacing w:after="0"/>
        <w:ind w:left="0"/>
        <w:jc w:val="left"/>
      </w:pPr>
      <w:r>
        <w:rPr>
          <w:rFonts w:ascii="Times New Roman"/>
          <w:b/>
          <w:i w:val="false"/>
          <w:color w:val="000000"/>
        </w:rPr>
        <w:t xml:space="preserve"> Глава 325. Прокладка трубопроводов</w:t>
      </w:r>
    </w:p>
    <w:bookmarkEnd w:id="10536"/>
    <w:p>
      <w:pPr>
        <w:spacing w:after="0"/>
        <w:ind w:left="0"/>
        <w:jc w:val="both"/>
      </w:pPr>
      <w:r>
        <w:rPr>
          <w:rFonts w:ascii="Times New Roman"/>
          <w:b w:val="false"/>
          <w:i w:val="false"/>
          <w:color w:val="ff0000"/>
          <w:sz w:val="28"/>
        </w:rPr>
        <w:t xml:space="preserve">
      Сноска. Заголовок главы 325 -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08" w:id="10537"/>
    <w:p>
      <w:pPr>
        <w:spacing w:after="0"/>
        <w:ind w:left="0"/>
        <w:jc w:val="both"/>
      </w:pPr>
      <w:r>
        <w:rPr>
          <w:rFonts w:ascii="Times New Roman"/>
          <w:b w:val="false"/>
          <w:i w:val="false"/>
          <w:color w:val="000000"/>
          <w:sz w:val="28"/>
        </w:rPr>
        <w:t>
      3838. Нагнетательные трубопроводы от компрессоров пускового воздуха должны идти непосредственно к воздухохранителям, а трубопроводы пускового воздуха от воздухохранителей к главным и вспомогательным двигателям прокладываются независимо от нагнетательных трубопроводов компрессора.</w:t>
      </w:r>
    </w:p>
    <w:bookmarkEnd w:id="10537"/>
    <w:bookmarkStart w:name="z10609" w:id="10538"/>
    <w:p>
      <w:pPr>
        <w:spacing w:after="0"/>
        <w:ind w:left="0"/>
        <w:jc w:val="both"/>
      </w:pPr>
      <w:r>
        <w:rPr>
          <w:rFonts w:ascii="Times New Roman"/>
          <w:b w:val="false"/>
          <w:i w:val="false"/>
          <w:color w:val="000000"/>
          <w:sz w:val="28"/>
        </w:rPr>
        <w:t>
      3839. Каждый из пусковых воздухохранителеи, указанных в главе 323 настоящих Правил, должен иметь возможность заполнения от каждого основного компрессора, предусмотренного в главе 324 настоящих Правил. Об условиях перепуска воздуха — пункт 3833 настоящих Правил.</w:t>
      </w:r>
    </w:p>
    <w:bookmarkEnd w:id="10538"/>
    <w:bookmarkStart w:name="z10610" w:id="10539"/>
    <w:p>
      <w:pPr>
        <w:spacing w:after="0"/>
        <w:ind w:left="0"/>
        <w:jc w:val="both"/>
      </w:pPr>
      <w:r>
        <w:rPr>
          <w:rFonts w:ascii="Times New Roman"/>
          <w:b w:val="false"/>
          <w:i w:val="false"/>
          <w:color w:val="000000"/>
          <w:sz w:val="28"/>
        </w:rPr>
        <w:t>
      3840. На трубопроводе после каждого компрессора устанавливают невозвратно-запорные клапаны.</w:t>
      </w:r>
    </w:p>
    <w:bookmarkEnd w:id="10539"/>
    <w:bookmarkStart w:name="z10611" w:id="10540"/>
    <w:p>
      <w:pPr>
        <w:spacing w:after="0"/>
        <w:ind w:left="0"/>
        <w:jc w:val="both"/>
      </w:pPr>
      <w:r>
        <w:rPr>
          <w:rFonts w:ascii="Times New Roman"/>
          <w:b w:val="false"/>
          <w:i w:val="false"/>
          <w:color w:val="000000"/>
          <w:sz w:val="28"/>
        </w:rPr>
        <w:t>
      На трубопроводе, подающем воздух к каждому двигателю, перед его пусковым клапаном устанавливают невозвратный клапан.</w:t>
      </w:r>
    </w:p>
    <w:bookmarkEnd w:id="10540"/>
    <w:bookmarkStart w:name="z10612" w:id="10541"/>
    <w:p>
      <w:pPr>
        <w:spacing w:after="0"/>
        <w:ind w:left="0"/>
        <w:jc w:val="both"/>
      </w:pPr>
      <w:r>
        <w:rPr>
          <w:rFonts w:ascii="Times New Roman"/>
          <w:b w:val="false"/>
          <w:i w:val="false"/>
          <w:color w:val="000000"/>
          <w:sz w:val="28"/>
        </w:rPr>
        <w:t>
      Если в конструкции двигателя предусматриваются устройства, предотвращающие распространение взрыва, установка такого клапана необязательна (пункт 4033 настоящих Правил).</w:t>
      </w:r>
    </w:p>
    <w:bookmarkEnd w:id="10541"/>
    <w:bookmarkStart w:name="z10613" w:id="10542"/>
    <w:p>
      <w:pPr>
        <w:spacing w:after="0"/>
        <w:ind w:left="0"/>
        <w:jc w:val="both"/>
      </w:pPr>
      <w:r>
        <w:rPr>
          <w:rFonts w:ascii="Times New Roman"/>
          <w:b w:val="false"/>
          <w:i w:val="false"/>
          <w:color w:val="000000"/>
          <w:sz w:val="28"/>
        </w:rPr>
        <w:t xml:space="preserve">
      3841. Температура воздуха, поступающего в воздухохранитель, не должна превышать 90 </w:t>
      </w:r>
      <w:r>
        <w:rPr>
          <w:rFonts w:ascii="Times New Roman"/>
          <w:b w:val="false"/>
          <w:i w:val="false"/>
          <w:color w:val="000000"/>
          <w:vertAlign w:val="superscript"/>
        </w:rPr>
        <w:t>о</w:t>
      </w:r>
      <w:r>
        <w:rPr>
          <w:rFonts w:ascii="Times New Roman"/>
          <w:b w:val="false"/>
          <w:i w:val="false"/>
          <w:color w:val="000000"/>
          <w:sz w:val="28"/>
        </w:rPr>
        <w:t>С. В необходимых случаях предусматриваются охладители.</w:t>
      </w:r>
    </w:p>
    <w:bookmarkEnd w:id="10542"/>
    <w:bookmarkStart w:name="z10614" w:id="10543"/>
    <w:p>
      <w:pPr>
        <w:spacing w:after="0"/>
        <w:ind w:left="0"/>
        <w:jc w:val="both"/>
      </w:pPr>
      <w:r>
        <w:rPr>
          <w:rFonts w:ascii="Times New Roman"/>
          <w:b w:val="false"/>
          <w:i w:val="false"/>
          <w:color w:val="000000"/>
          <w:sz w:val="28"/>
        </w:rPr>
        <w:t>
      3842. Трубопроводы прокладываются по возможности прямолинейно с небольшим уклоном в направлении от главного пускового клапана двигателя для спуска воды.</w:t>
      </w:r>
    </w:p>
    <w:bookmarkEnd w:id="10543"/>
    <w:bookmarkStart w:name="z10615" w:id="10544"/>
    <w:p>
      <w:pPr>
        <w:spacing w:after="0"/>
        <w:ind w:left="0"/>
        <w:jc w:val="both"/>
      </w:pPr>
      <w:r>
        <w:rPr>
          <w:rFonts w:ascii="Times New Roman"/>
          <w:b w:val="false"/>
          <w:i w:val="false"/>
          <w:color w:val="000000"/>
          <w:sz w:val="28"/>
        </w:rPr>
        <w:t>
      3843. На трубопроводах между компрессорами и воздухохранителями предусматриваются устройства для удаления воды и масла, если они отсутствуют на самих компрессорах.</w:t>
      </w:r>
    </w:p>
    <w:bookmarkEnd w:id="10544"/>
    <w:bookmarkStart w:name="z10616" w:id="10545"/>
    <w:p>
      <w:pPr>
        <w:spacing w:after="0"/>
        <w:ind w:left="0"/>
        <w:jc w:val="both"/>
      </w:pPr>
      <w:r>
        <w:rPr>
          <w:rFonts w:ascii="Times New Roman"/>
          <w:b w:val="false"/>
          <w:i w:val="false"/>
          <w:color w:val="000000"/>
          <w:sz w:val="28"/>
        </w:rPr>
        <w:t>
      3844. Если от предохранительных клапанов, установленных на воздухохранителях, сжатый воздух выводится вне машинных помещений, площадь поперечного сечения трубопроводов должна быть не менее площади двукратного сечения предохранительных клапанов;</w:t>
      </w:r>
    </w:p>
    <w:bookmarkEnd w:id="10545"/>
    <w:bookmarkStart w:name="z10617" w:id="10546"/>
    <w:p>
      <w:pPr>
        <w:spacing w:after="0"/>
        <w:ind w:left="0"/>
        <w:jc w:val="both"/>
      </w:pPr>
      <w:r>
        <w:rPr>
          <w:rFonts w:ascii="Times New Roman"/>
          <w:b w:val="false"/>
          <w:i w:val="false"/>
          <w:color w:val="000000"/>
          <w:sz w:val="28"/>
        </w:rPr>
        <w:t>
      на трубопроводах предусматривают устройства для удаления воды.</w:t>
      </w:r>
    </w:p>
    <w:bookmarkEnd w:id="10546"/>
    <w:bookmarkStart w:name="z10618" w:id="10547"/>
    <w:p>
      <w:pPr>
        <w:spacing w:after="0"/>
        <w:ind w:left="0"/>
        <w:jc w:val="left"/>
      </w:pPr>
      <w:r>
        <w:rPr>
          <w:rFonts w:ascii="Times New Roman"/>
          <w:b/>
          <w:i w:val="false"/>
          <w:color w:val="000000"/>
        </w:rPr>
        <w:t xml:space="preserve"> Подраздел 17. Системы питательной воды</w:t>
      </w:r>
      <w:r>
        <w:br/>
      </w:r>
      <w:r>
        <w:rPr>
          <w:rFonts w:ascii="Times New Roman"/>
          <w:b/>
          <w:i w:val="false"/>
          <w:color w:val="000000"/>
        </w:rPr>
        <w:t>Глава 326. Насосы</w:t>
      </w:r>
    </w:p>
    <w:bookmarkEnd w:id="10547"/>
    <w:p>
      <w:pPr>
        <w:spacing w:after="0"/>
        <w:ind w:left="0"/>
        <w:jc w:val="both"/>
      </w:pPr>
      <w:r>
        <w:rPr>
          <w:rFonts w:ascii="Times New Roman"/>
          <w:b w:val="false"/>
          <w:i w:val="false"/>
          <w:color w:val="ff0000"/>
          <w:sz w:val="28"/>
        </w:rPr>
        <w:t xml:space="preserve">
      Сноска. Заголовок главы 326 -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20" w:id="10548"/>
    <w:p>
      <w:pPr>
        <w:spacing w:after="0"/>
        <w:ind w:left="0"/>
        <w:jc w:val="both"/>
      </w:pPr>
      <w:r>
        <w:rPr>
          <w:rFonts w:ascii="Times New Roman"/>
          <w:b w:val="false"/>
          <w:i w:val="false"/>
          <w:color w:val="000000"/>
          <w:sz w:val="28"/>
        </w:rPr>
        <w:t>
      3845. Каждый главный котел и вспомогательный котел ответственного назначения или группа котлов имеют не менее двух питательных насосов с независимым механическим приводом.</w:t>
      </w:r>
    </w:p>
    <w:bookmarkEnd w:id="10548"/>
    <w:bookmarkStart w:name="z10621" w:id="10549"/>
    <w:p>
      <w:pPr>
        <w:spacing w:after="0"/>
        <w:ind w:left="0"/>
        <w:jc w:val="both"/>
      </w:pPr>
      <w:r>
        <w:rPr>
          <w:rFonts w:ascii="Times New Roman"/>
          <w:b w:val="false"/>
          <w:i w:val="false"/>
          <w:color w:val="000000"/>
          <w:sz w:val="28"/>
        </w:rPr>
        <w:t>
      Для питания вспомогательных котлов неответственного назначения, а также утилизационных котлов, конструкция которых позволяет им находиться без воды при обогреве выхлопными газами, достаточно предусматривать один питательный насос.</w:t>
      </w:r>
    </w:p>
    <w:bookmarkEnd w:id="10549"/>
    <w:bookmarkStart w:name="z10622" w:id="10550"/>
    <w:p>
      <w:pPr>
        <w:spacing w:after="0"/>
        <w:ind w:left="0"/>
        <w:jc w:val="both"/>
      </w:pPr>
      <w:r>
        <w:rPr>
          <w:rFonts w:ascii="Times New Roman"/>
          <w:b w:val="false"/>
          <w:i w:val="false"/>
          <w:color w:val="000000"/>
          <w:sz w:val="28"/>
        </w:rPr>
        <w:t>
      Для котлов с ручным регулированием питания подача каждого насоса должна быть не менее 1,50 расчетной производительности котлов, а для котлов с автоматическим регулированием — не менее 1,15 их расчетной производительности.</w:t>
      </w:r>
    </w:p>
    <w:bookmarkEnd w:id="10550"/>
    <w:bookmarkStart w:name="z10623" w:id="10551"/>
    <w:p>
      <w:pPr>
        <w:spacing w:after="0"/>
        <w:ind w:left="0"/>
        <w:jc w:val="both"/>
      </w:pPr>
      <w:r>
        <w:rPr>
          <w:rFonts w:ascii="Times New Roman"/>
          <w:b w:val="false"/>
          <w:i w:val="false"/>
          <w:color w:val="000000"/>
          <w:sz w:val="28"/>
        </w:rPr>
        <w:t>
      При числе питательных насосов более двух подача насосов выбирается из условия, что при выходе из строя любого насоса суммарная подача оставшихся насосов будет не менее указанной выше подачи одного насоса.</w:t>
      </w:r>
    </w:p>
    <w:bookmarkEnd w:id="10551"/>
    <w:bookmarkStart w:name="z10624" w:id="10552"/>
    <w:p>
      <w:pPr>
        <w:spacing w:after="0"/>
        <w:ind w:left="0"/>
        <w:jc w:val="both"/>
      </w:pPr>
      <w:r>
        <w:rPr>
          <w:rFonts w:ascii="Times New Roman"/>
          <w:b w:val="false"/>
          <w:i w:val="false"/>
          <w:color w:val="000000"/>
          <w:sz w:val="28"/>
        </w:rPr>
        <w:t>
      Подача каждого питательного насоса прямоточного котла должна быть не менее расчетной.</w:t>
      </w:r>
    </w:p>
    <w:bookmarkEnd w:id="10552"/>
    <w:bookmarkStart w:name="z10625" w:id="10553"/>
    <w:p>
      <w:pPr>
        <w:spacing w:after="0"/>
        <w:ind w:left="0"/>
        <w:jc w:val="both"/>
      </w:pPr>
      <w:r>
        <w:rPr>
          <w:rFonts w:ascii="Times New Roman"/>
          <w:b w:val="false"/>
          <w:i w:val="false"/>
          <w:color w:val="000000"/>
          <w:sz w:val="28"/>
        </w:rPr>
        <w:t>
      3846. Питательные насосы с паровым приводом имеют отдельный трубопровод свежего пара, к которому подводится пар от всех обслуживаемых ими котлов.</w:t>
      </w:r>
    </w:p>
    <w:bookmarkEnd w:id="10553"/>
    <w:bookmarkStart w:name="z10626" w:id="10554"/>
    <w:p>
      <w:pPr>
        <w:spacing w:after="0"/>
        <w:ind w:left="0"/>
        <w:jc w:val="both"/>
      </w:pPr>
      <w:r>
        <w:rPr>
          <w:rFonts w:ascii="Times New Roman"/>
          <w:b w:val="false"/>
          <w:i w:val="false"/>
          <w:color w:val="000000"/>
          <w:sz w:val="28"/>
        </w:rPr>
        <w:t xml:space="preserve">
      3847. Главные и вспомогательные котлы ответственного назначения с принудительной циркуляцией, а также утилизационные котлы, подключаемые к газовыпускным системам двухтактных дизелей с температурой газов на входе 270 </w:t>
      </w:r>
      <w:r>
        <w:rPr>
          <w:rFonts w:ascii="Times New Roman"/>
          <w:b w:val="false"/>
          <w:i w:val="false"/>
          <w:color w:val="000000"/>
          <w:vertAlign w:val="superscript"/>
        </w:rPr>
        <w:t>о</w:t>
      </w:r>
      <w:r>
        <w:rPr>
          <w:rFonts w:ascii="Times New Roman"/>
          <w:b w:val="false"/>
          <w:i w:val="false"/>
          <w:color w:val="000000"/>
          <w:sz w:val="28"/>
        </w:rPr>
        <w:t>С и ниже, обслуживаются не менее чем двумя циркуляционными насосами, один из которых является резервным.</w:t>
      </w:r>
    </w:p>
    <w:bookmarkEnd w:id="10554"/>
    <w:bookmarkStart w:name="z10627" w:id="10555"/>
    <w:p>
      <w:pPr>
        <w:spacing w:after="0"/>
        <w:ind w:left="0"/>
        <w:jc w:val="left"/>
      </w:pPr>
      <w:r>
        <w:rPr>
          <w:rFonts w:ascii="Times New Roman"/>
          <w:b/>
          <w:i w:val="false"/>
          <w:color w:val="000000"/>
        </w:rPr>
        <w:t xml:space="preserve"> Глава 327. Прокладка трубопроводов, цистерны</w:t>
      </w:r>
    </w:p>
    <w:bookmarkEnd w:id="10555"/>
    <w:p>
      <w:pPr>
        <w:spacing w:after="0"/>
        <w:ind w:left="0"/>
        <w:jc w:val="both"/>
      </w:pPr>
      <w:r>
        <w:rPr>
          <w:rFonts w:ascii="Times New Roman"/>
          <w:b w:val="false"/>
          <w:i w:val="false"/>
          <w:color w:val="ff0000"/>
          <w:sz w:val="28"/>
        </w:rPr>
        <w:t xml:space="preserve">
      Сноска. Заголовок главы 327 -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28" w:id="10556"/>
    <w:p>
      <w:pPr>
        <w:spacing w:after="0"/>
        <w:ind w:left="0"/>
        <w:jc w:val="both"/>
      </w:pPr>
      <w:r>
        <w:rPr>
          <w:rFonts w:ascii="Times New Roman"/>
          <w:b w:val="false"/>
          <w:i w:val="false"/>
          <w:color w:val="000000"/>
          <w:sz w:val="28"/>
        </w:rPr>
        <w:t>
      3848. При открытой системе питания питательные насосы имеют возможность приема воды из теплого ящика и из запасных цистерн питательной воды.</w:t>
      </w:r>
    </w:p>
    <w:bookmarkEnd w:id="10556"/>
    <w:bookmarkStart w:name="z10629" w:id="10557"/>
    <w:p>
      <w:pPr>
        <w:spacing w:after="0"/>
        <w:ind w:left="0"/>
        <w:jc w:val="both"/>
      </w:pPr>
      <w:r>
        <w:rPr>
          <w:rFonts w:ascii="Times New Roman"/>
          <w:b w:val="false"/>
          <w:i w:val="false"/>
          <w:color w:val="000000"/>
          <w:sz w:val="28"/>
        </w:rPr>
        <w:t>
      3849. Система питания каждого главного котла и вспомогательного котла ответственного назначения выполняется таким образом, чтобы обеспечивалась возможность питания котла или группы котлов каждым из питательных насосов через два не зависимых друг от друга питательных трубопровода — главного и вспомогательного.</w:t>
      </w:r>
    </w:p>
    <w:bookmarkEnd w:id="10557"/>
    <w:bookmarkStart w:name="z10630" w:id="10558"/>
    <w:p>
      <w:pPr>
        <w:spacing w:after="0"/>
        <w:ind w:left="0"/>
        <w:jc w:val="both"/>
      </w:pPr>
      <w:r>
        <w:rPr>
          <w:rFonts w:ascii="Times New Roman"/>
          <w:b w:val="false"/>
          <w:i w:val="false"/>
          <w:color w:val="000000"/>
          <w:sz w:val="28"/>
        </w:rPr>
        <w:t>
      Для вспомогательных котлов неответственного назначения достаточно иметь один трубопровод питательной воды.</w:t>
      </w:r>
    </w:p>
    <w:bookmarkEnd w:id="10558"/>
    <w:bookmarkStart w:name="z10631" w:id="10559"/>
    <w:p>
      <w:pPr>
        <w:spacing w:after="0"/>
        <w:ind w:left="0"/>
        <w:jc w:val="both"/>
      </w:pPr>
      <w:r>
        <w:rPr>
          <w:rFonts w:ascii="Times New Roman"/>
          <w:b w:val="false"/>
          <w:i w:val="false"/>
          <w:color w:val="000000"/>
          <w:sz w:val="28"/>
        </w:rPr>
        <w:t>
      3850. Принимаются конструктивные меры, исключающие попадание масла и нефтепродуктов в систему питательной воды.</w:t>
      </w:r>
    </w:p>
    <w:bookmarkEnd w:id="10559"/>
    <w:bookmarkStart w:name="z10632" w:id="10560"/>
    <w:p>
      <w:pPr>
        <w:spacing w:after="0"/>
        <w:ind w:left="0"/>
        <w:jc w:val="both"/>
      </w:pPr>
      <w:r>
        <w:rPr>
          <w:rFonts w:ascii="Times New Roman"/>
          <w:b w:val="false"/>
          <w:i w:val="false"/>
          <w:color w:val="000000"/>
          <w:sz w:val="28"/>
        </w:rPr>
        <w:t>
      3851. Система питательной воды главных котлов и вспомогательных котлов ответственного назначения оборудуется автоматическими устройствами контроля солености питательной воды.</w:t>
      </w:r>
    </w:p>
    <w:bookmarkEnd w:id="10560"/>
    <w:bookmarkStart w:name="z10633" w:id="10561"/>
    <w:p>
      <w:pPr>
        <w:spacing w:after="0"/>
        <w:ind w:left="0"/>
        <w:jc w:val="both"/>
      </w:pPr>
      <w:r>
        <w:rPr>
          <w:rFonts w:ascii="Times New Roman"/>
          <w:b w:val="false"/>
          <w:i w:val="false"/>
          <w:color w:val="000000"/>
          <w:sz w:val="28"/>
        </w:rPr>
        <w:t>
      3852. Для утилизационных котлов с принудительной циркуляцией, упомянутых в пункте 3847 настоящих Правил, обеспечивается расход циркуляционной воды, соответствующий не менее чем пятикратной расчетной паропроизводительности котла для снятия избыточных тепловыделений в случае воспламенения отложений. Для этой цели допускается использование резервного циркуляционного насоса утилизационного котла или другого подходящего по параметрам насоса.</w:t>
      </w:r>
    </w:p>
    <w:bookmarkEnd w:id="10561"/>
    <w:bookmarkStart w:name="z10634" w:id="10562"/>
    <w:p>
      <w:pPr>
        <w:spacing w:after="0"/>
        <w:ind w:left="0"/>
        <w:jc w:val="both"/>
      </w:pPr>
      <w:r>
        <w:rPr>
          <w:rFonts w:ascii="Times New Roman"/>
          <w:b w:val="false"/>
          <w:i w:val="false"/>
          <w:color w:val="000000"/>
          <w:sz w:val="28"/>
        </w:rPr>
        <w:t>
      3853. Каждый газотрубный утилизационный котел обеспечивается средствами водоподготовки, подогрева и деаэрации питательной воды для обеспечения соответствия ее качества требованиям изготовителя.</w:t>
      </w:r>
    </w:p>
    <w:bookmarkEnd w:id="10562"/>
    <w:bookmarkStart w:name="z10635" w:id="10563"/>
    <w:p>
      <w:pPr>
        <w:spacing w:after="0"/>
        <w:ind w:left="0"/>
        <w:jc w:val="both"/>
      </w:pPr>
      <w:r>
        <w:rPr>
          <w:rFonts w:ascii="Times New Roman"/>
          <w:b w:val="false"/>
          <w:i w:val="false"/>
          <w:color w:val="000000"/>
          <w:sz w:val="28"/>
        </w:rPr>
        <w:t>
      3854. Цистерны питательной воды отделяют от цистерн жидкого топлива, смазочного и растительного масла коффердамами, конструктивные элементы которых отвечают требованиям раздела 4 настоящих Правил.</w:t>
      </w:r>
    </w:p>
    <w:bookmarkEnd w:id="10563"/>
    <w:bookmarkStart w:name="z10636" w:id="10564"/>
    <w:p>
      <w:pPr>
        <w:spacing w:after="0"/>
        <w:ind w:left="0"/>
        <w:jc w:val="left"/>
      </w:pPr>
      <w:r>
        <w:rPr>
          <w:rFonts w:ascii="Times New Roman"/>
          <w:b/>
          <w:i w:val="false"/>
          <w:color w:val="000000"/>
        </w:rPr>
        <w:t xml:space="preserve"> Подраздел 18. Паропроводы и трубопроводы продувания</w:t>
      </w:r>
    </w:p>
    <w:bookmarkEnd w:id="10564"/>
    <w:p>
      <w:pPr>
        <w:spacing w:after="0"/>
        <w:ind w:left="0"/>
        <w:jc w:val="both"/>
      </w:pPr>
      <w:r>
        <w:rPr>
          <w:rFonts w:ascii="Times New Roman"/>
          <w:b w:val="false"/>
          <w:i w:val="false"/>
          <w:color w:val="ff0000"/>
          <w:sz w:val="28"/>
        </w:rPr>
        <w:t xml:space="preserve">
      Сноска. Заголовок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37" w:id="10565"/>
    <w:p>
      <w:pPr>
        <w:spacing w:after="0"/>
        <w:ind w:left="0"/>
        <w:jc w:val="left"/>
      </w:pPr>
      <w:r>
        <w:rPr>
          <w:rFonts w:ascii="Times New Roman"/>
          <w:b/>
          <w:i w:val="false"/>
          <w:color w:val="000000"/>
        </w:rPr>
        <w:t xml:space="preserve"> Глава 328. Прокладка и продувание трубопроводов</w:t>
      </w:r>
    </w:p>
    <w:bookmarkEnd w:id="10565"/>
    <w:p>
      <w:pPr>
        <w:spacing w:after="0"/>
        <w:ind w:left="0"/>
        <w:jc w:val="both"/>
      </w:pPr>
      <w:r>
        <w:rPr>
          <w:rFonts w:ascii="Times New Roman"/>
          <w:b w:val="false"/>
          <w:i w:val="false"/>
          <w:color w:val="ff0000"/>
          <w:sz w:val="28"/>
        </w:rPr>
        <w:t xml:space="preserve">
      Сноска. Заголовок главы 328 -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38" w:id="10566"/>
    <w:p>
      <w:pPr>
        <w:spacing w:after="0"/>
        <w:ind w:left="0"/>
        <w:jc w:val="both"/>
      </w:pPr>
      <w:r>
        <w:rPr>
          <w:rFonts w:ascii="Times New Roman"/>
          <w:b w:val="false"/>
          <w:i w:val="false"/>
          <w:color w:val="000000"/>
          <w:sz w:val="28"/>
        </w:rPr>
        <w:t>
      3855. При двух и более котлах, соединенных между собой, на паропроводе каждого котла до соединения с общей магистралью устанавливают невозвратные клапаны.</w:t>
      </w:r>
    </w:p>
    <w:bookmarkEnd w:id="10566"/>
    <w:bookmarkStart w:name="z10639" w:id="10567"/>
    <w:p>
      <w:pPr>
        <w:spacing w:after="0"/>
        <w:ind w:left="0"/>
        <w:jc w:val="both"/>
      </w:pPr>
      <w:r>
        <w:rPr>
          <w:rFonts w:ascii="Times New Roman"/>
          <w:b w:val="false"/>
          <w:i w:val="false"/>
          <w:color w:val="000000"/>
          <w:sz w:val="28"/>
        </w:rPr>
        <w:t>
      Эти клапаны допускается не устанавливать, если стопорные клапаны, установленные на котлах, невозвратно-запорного типа.</w:t>
      </w:r>
    </w:p>
    <w:bookmarkEnd w:id="10567"/>
    <w:bookmarkStart w:name="z10640" w:id="10568"/>
    <w:p>
      <w:pPr>
        <w:spacing w:after="0"/>
        <w:ind w:left="0"/>
        <w:jc w:val="both"/>
      </w:pPr>
      <w:r>
        <w:rPr>
          <w:rFonts w:ascii="Times New Roman"/>
          <w:b w:val="false"/>
          <w:i w:val="false"/>
          <w:color w:val="000000"/>
          <w:sz w:val="28"/>
        </w:rPr>
        <w:t>
      3856. Клапаны нижнего и верхнего продувания двух и более котлов могут иметь общий отводящий трубопровод при условии установки на трубопроводе продувания каждого котла до соединения с общим трубопроводом невозвратно-запорного клапана.</w:t>
      </w:r>
    </w:p>
    <w:bookmarkEnd w:id="10568"/>
    <w:bookmarkStart w:name="z10641" w:id="10569"/>
    <w:p>
      <w:pPr>
        <w:spacing w:after="0"/>
        <w:ind w:left="0"/>
        <w:jc w:val="both"/>
      </w:pPr>
      <w:r>
        <w:rPr>
          <w:rFonts w:ascii="Times New Roman"/>
          <w:b w:val="false"/>
          <w:i w:val="false"/>
          <w:color w:val="000000"/>
          <w:sz w:val="28"/>
        </w:rPr>
        <w:t>
      3857. Механизмы, связанные с паропроводами, должны быть разгружены от напряжений, вызываемых тепловыми расширениями трубопровода, за счет самокомпенсации (изгиба трубопровода) или путем установки в соответствующих местах компенсаторов.</w:t>
      </w:r>
    </w:p>
    <w:bookmarkEnd w:id="10569"/>
    <w:bookmarkStart w:name="z10642" w:id="10570"/>
    <w:p>
      <w:pPr>
        <w:spacing w:after="0"/>
        <w:ind w:left="0"/>
        <w:jc w:val="both"/>
      </w:pPr>
      <w:r>
        <w:rPr>
          <w:rFonts w:ascii="Times New Roman"/>
          <w:b w:val="false"/>
          <w:i w:val="false"/>
          <w:color w:val="000000"/>
          <w:sz w:val="28"/>
        </w:rPr>
        <w:t>
      3858. На паропроводах, подводящих пар к механизмам и устройствам, рассчитанным на давление меньше котельного, устанавливают редукционные клапаны и выполняют требования параграфа 4 главы 230 настоящих Правил.</w:t>
      </w:r>
    </w:p>
    <w:bookmarkEnd w:id="10570"/>
    <w:bookmarkStart w:name="z10643" w:id="10571"/>
    <w:p>
      <w:pPr>
        <w:spacing w:after="0"/>
        <w:ind w:left="0"/>
        <w:jc w:val="both"/>
      </w:pPr>
      <w:r>
        <w:rPr>
          <w:rFonts w:ascii="Times New Roman"/>
          <w:b w:val="false"/>
          <w:i w:val="false"/>
          <w:color w:val="000000"/>
          <w:sz w:val="28"/>
        </w:rPr>
        <w:t>
      3859. Если предусматривается система трубопроводов пропаривания топливных цистерн и танков для жидкого груза, устанавливаются невозвратно-запорные клапаны у каждой цистерны.</w:t>
      </w:r>
    </w:p>
    <w:bookmarkEnd w:id="10571"/>
    <w:bookmarkStart w:name="z10644" w:id="10572"/>
    <w:p>
      <w:pPr>
        <w:spacing w:after="0"/>
        <w:ind w:left="0"/>
        <w:jc w:val="both"/>
      </w:pPr>
      <w:r>
        <w:rPr>
          <w:rFonts w:ascii="Times New Roman"/>
          <w:b w:val="false"/>
          <w:i w:val="false"/>
          <w:color w:val="000000"/>
          <w:sz w:val="28"/>
        </w:rPr>
        <w:t>
      3860. Паропроводы в машинных и котельных помещениях прокладываются по возможности в верхних частях этих помещений в местах, доступных для наблюдения и обслуживания.</w:t>
      </w:r>
    </w:p>
    <w:bookmarkEnd w:id="10572"/>
    <w:bookmarkStart w:name="z10645" w:id="10573"/>
    <w:p>
      <w:pPr>
        <w:spacing w:after="0"/>
        <w:ind w:left="0"/>
        <w:jc w:val="both"/>
      </w:pPr>
      <w:r>
        <w:rPr>
          <w:rFonts w:ascii="Times New Roman"/>
          <w:b w:val="false"/>
          <w:i w:val="false"/>
          <w:color w:val="000000"/>
          <w:sz w:val="28"/>
        </w:rPr>
        <w:t>
      Прокладка паропроводов под настилом машинных и котельных помещений, за исключением трубопроводов продувания котлов и обогрева, не допускается.</w:t>
      </w:r>
    </w:p>
    <w:bookmarkEnd w:id="10573"/>
    <w:bookmarkStart w:name="z10646" w:id="10574"/>
    <w:p>
      <w:pPr>
        <w:spacing w:after="0"/>
        <w:ind w:left="0"/>
        <w:jc w:val="both"/>
      </w:pPr>
      <w:r>
        <w:rPr>
          <w:rFonts w:ascii="Times New Roman"/>
          <w:b w:val="false"/>
          <w:i w:val="false"/>
          <w:color w:val="000000"/>
          <w:sz w:val="28"/>
        </w:rPr>
        <w:t>
      Паропроводы не прокладываются вблизи топливных цистерн.</w:t>
      </w:r>
    </w:p>
    <w:bookmarkEnd w:id="10574"/>
    <w:bookmarkStart w:name="z10647" w:id="10575"/>
    <w:p>
      <w:pPr>
        <w:spacing w:after="0"/>
        <w:ind w:left="0"/>
        <w:jc w:val="both"/>
      </w:pPr>
      <w:r>
        <w:rPr>
          <w:rFonts w:ascii="Times New Roman"/>
          <w:b w:val="false"/>
          <w:i w:val="false"/>
          <w:color w:val="000000"/>
          <w:sz w:val="28"/>
        </w:rPr>
        <w:t>
      Паропроводы не прокладываются в помещениях для перевозки легковоспламеняющихся веществ и малярных.</w:t>
      </w:r>
    </w:p>
    <w:bookmarkEnd w:id="10575"/>
    <w:bookmarkStart w:name="z10648" w:id="10576"/>
    <w:p>
      <w:pPr>
        <w:spacing w:after="0"/>
        <w:ind w:left="0"/>
        <w:jc w:val="both"/>
      </w:pPr>
      <w:r>
        <w:rPr>
          <w:rFonts w:ascii="Times New Roman"/>
          <w:b w:val="false"/>
          <w:i w:val="false"/>
          <w:color w:val="000000"/>
          <w:sz w:val="28"/>
        </w:rPr>
        <w:t xml:space="preserve">
      Прокладка паропроводов с температурой пара выше 220 </w:t>
      </w:r>
      <w:r>
        <w:rPr>
          <w:rFonts w:ascii="Times New Roman"/>
          <w:b w:val="false"/>
          <w:i w:val="false"/>
          <w:color w:val="000000"/>
          <w:vertAlign w:val="superscript"/>
        </w:rPr>
        <w:t>о</w:t>
      </w:r>
      <w:r>
        <w:rPr>
          <w:rFonts w:ascii="Times New Roman"/>
          <w:b w:val="false"/>
          <w:i w:val="false"/>
          <w:color w:val="000000"/>
          <w:sz w:val="28"/>
        </w:rPr>
        <w:t>С в грузовых насосных отделениях нефтеналивных судов не допускается.</w:t>
      </w:r>
    </w:p>
    <w:bookmarkEnd w:id="10576"/>
    <w:bookmarkStart w:name="z10649" w:id="10577"/>
    <w:p>
      <w:pPr>
        <w:spacing w:after="0"/>
        <w:ind w:left="0"/>
        <w:jc w:val="both"/>
      </w:pPr>
      <w:r>
        <w:rPr>
          <w:rFonts w:ascii="Times New Roman"/>
          <w:b w:val="false"/>
          <w:i w:val="false"/>
          <w:color w:val="000000"/>
          <w:sz w:val="28"/>
        </w:rPr>
        <w:t>
      3861. При прокладке паропроводов соблюдается минимальное расстояние от изоляции трубопроводов:</w:t>
      </w:r>
    </w:p>
    <w:bookmarkEnd w:id="10577"/>
    <w:bookmarkStart w:name="z10650" w:id="10578"/>
    <w:p>
      <w:pPr>
        <w:spacing w:after="0"/>
        <w:ind w:left="0"/>
        <w:jc w:val="both"/>
      </w:pPr>
      <w:r>
        <w:rPr>
          <w:rFonts w:ascii="Times New Roman"/>
          <w:b w:val="false"/>
          <w:i w:val="false"/>
          <w:color w:val="000000"/>
          <w:sz w:val="28"/>
        </w:rPr>
        <w:t>
      до корпусных конструкций — 50 мм;</w:t>
      </w:r>
    </w:p>
    <w:bookmarkEnd w:id="10578"/>
    <w:bookmarkStart w:name="z10651" w:id="10579"/>
    <w:p>
      <w:pPr>
        <w:spacing w:after="0"/>
        <w:ind w:left="0"/>
        <w:jc w:val="both"/>
      </w:pPr>
      <w:r>
        <w:rPr>
          <w:rFonts w:ascii="Times New Roman"/>
          <w:b w:val="false"/>
          <w:i w:val="false"/>
          <w:color w:val="000000"/>
          <w:sz w:val="28"/>
        </w:rPr>
        <w:t>
      до кабельных трасс — 150 мм.</w:t>
      </w:r>
    </w:p>
    <w:bookmarkEnd w:id="10579"/>
    <w:bookmarkStart w:name="z10652" w:id="10580"/>
    <w:p>
      <w:pPr>
        <w:spacing w:after="0"/>
        <w:ind w:left="0"/>
        <w:jc w:val="both"/>
      </w:pPr>
      <w:r>
        <w:rPr>
          <w:rFonts w:ascii="Times New Roman"/>
          <w:b w:val="false"/>
          <w:i w:val="false"/>
          <w:color w:val="000000"/>
          <w:sz w:val="28"/>
        </w:rPr>
        <w:t>
      3862. Грелки парового отопления устанавливаются на расстоянии не менее 50 мм от корпусных конструкций. Если конструкции обшиты горючим материалом, то участки, расположенные напротив нагревательных элементов, защищают тепловой изоляцией из негорючего материала. Если тепловая изоляция отсутствует, нагревательные элементы располагают от горючей зашивки не менее чем на 150 мм.</w:t>
      </w:r>
    </w:p>
    <w:bookmarkEnd w:id="10580"/>
    <w:bookmarkStart w:name="z10653" w:id="10581"/>
    <w:p>
      <w:pPr>
        <w:spacing w:after="0"/>
        <w:ind w:left="0"/>
        <w:jc w:val="both"/>
      </w:pPr>
      <w:r>
        <w:rPr>
          <w:rFonts w:ascii="Times New Roman"/>
          <w:b w:val="false"/>
          <w:i w:val="false"/>
          <w:color w:val="000000"/>
          <w:sz w:val="28"/>
        </w:rPr>
        <w:t>
      3863. На паропроводах свежего пара для предохранения механизмов от гидравлических ударов следует предусматривать устройства для отвода конденсата.</w:t>
      </w:r>
    </w:p>
    <w:bookmarkEnd w:id="10581"/>
    <w:bookmarkStart w:name="z10654" w:id="10582"/>
    <w:p>
      <w:pPr>
        <w:spacing w:after="0"/>
        <w:ind w:left="0"/>
        <w:jc w:val="both"/>
      </w:pPr>
      <w:r>
        <w:rPr>
          <w:rFonts w:ascii="Times New Roman"/>
          <w:b w:val="false"/>
          <w:i w:val="false"/>
          <w:color w:val="000000"/>
          <w:sz w:val="28"/>
        </w:rPr>
        <w:t>
      3864. Открытые концы труб продувания паропроводов выводятся ниже настила машинного и котельного отделений (пункт 3190 настоящих Правил).</w:t>
      </w:r>
    </w:p>
    <w:bookmarkEnd w:id="10582"/>
    <w:bookmarkStart w:name="z10655" w:id="10583"/>
    <w:p>
      <w:pPr>
        <w:spacing w:after="0"/>
        <w:ind w:left="0"/>
        <w:jc w:val="left"/>
      </w:pPr>
      <w:r>
        <w:rPr>
          <w:rFonts w:ascii="Times New Roman"/>
          <w:b/>
          <w:i w:val="false"/>
          <w:color w:val="000000"/>
        </w:rPr>
        <w:t xml:space="preserve"> Глава 329. Расчет паропровода на тепловые расширения</w:t>
      </w:r>
    </w:p>
    <w:bookmarkEnd w:id="10583"/>
    <w:p>
      <w:pPr>
        <w:spacing w:after="0"/>
        <w:ind w:left="0"/>
        <w:jc w:val="both"/>
      </w:pPr>
      <w:r>
        <w:rPr>
          <w:rFonts w:ascii="Times New Roman"/>
          <w:b w:val="false"/>
          <w:i w:val="false"/>
          <w:color w:val="ff0000"/>
          <w:sz w:val="28"/>
        </w:rPr>
        <w:t xml:space="preserve">
      Сноска. Заголовок главы 329 -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56" w:id="10584"/>
    <w:p>
      <w:pPr>
        <w:spacing w:after="0"/>
        <w:ind w:left="0"/>
        <w:jc w:val="both"/>
      </w:pPr>
      <w:r>
        <w:rPr>
          <w:rFonts w:ascii="Times New Roman"/>
          <w:b w:val="false"/>
          <w:i w:val="false"/>
          <w:color w:val="000000"/>
          <w:sz w:val="28"/>
        </w:rPr>
        <w:t>
      3865. Расчет паропровода на тепловые расширения основывается на общепринятых методах строительной механики стержневых систем. По согласованию с Регистром судоходства расчет допускается выполнять на ЭВМ или методом моделирования.</w:t>
      </w:r>
    </w:p>
    <w:bookmarkEnd w:id="10584"/>
    <w:bookmarkStart w:name="z10657" w:id="10585"/>
    <w:p>
      <w:pPr>
        <w:spacing w:after="0"/>
        <w:ind w:left="0"/>
        <w:jc w:val="both"/>
      </w:pPr>
      <w:r>
        <w:rPr>
          <w:rFonts w:ascii="Times New Roman"/>
          <w:b w:val="false"/>
          <w:i w:val="false"/>
          <w:color w:val="000000"/>
          <w:sz w:val="28"/>
        </w:rPr>
        <w:t>
      3866. Расчет паропровода на тепловые расширения содержит сводную таблицу напряжений и запасов прочности для всех рассчитанных участков паропровода.</w:t>
      </w:r>
    </w:p>
    <w:bookmarkEnd w:id="10585"/>
    <w:bookmarkStart w:name="z10658" w:id="10586"/>
    <w:p>
      <w:pPr>
        <w:spacing w:after="0"/>
        <w:ind w:left="0"/>
        <w:jc w:val="both"/>
      </w:pPr>
      <w:r>
        <w:rPr>
          <w:rFonts w:ascii="Times New Roman"/>
          <w:b w:val="false"/>
          <w:i w:val="false"/>
          <w:color w:val="000000"/>
          <w:sz w:val="28"/>
        </w:rPr>
        <w:t>
      Паропроводы, работающие при температурах, не вызывающих релаксации напряжений, рассчитываются на тепловые расширения, как правило, с учетом монтажных растягов и в холодном состоянии на монтажные растяги.</w:t>
      </w:r>
    </w:p>
    <w:bookmarkEnd w:id="10586"/>
    <w:bookmarkStart w:name="z10659" w:id="10587"/>
    <w:p>
      <w:pPr>
        <w:spacing w:after="0"/>
        <w:ind w:left="0"/>
        <w:jc w:val="both"/>
      </w:pPr>
      <w:r>
        <w:rPr>
          <w:rFonts w:ascii="Times New Roman"/>
          <w:b w:val="false"/>
          <w:i w:val="false"/>
          <w:color w:val="000000"/>
          <w:sz w:val="28"/>
        </w:rPr>
        <w:t>
      Паропроводы, работающие в условиях релаксации напряжений, рассчитываются в холодном состоянии на 100-процентные монтажные растяги, равные перемещениям (включая и перемещения опор), но с противоположным знаком. Если такой паропровод воспринимает перемещения в горячем состоянии, он рассчитывается на эти перемещения в горячем состоянии, а затем — на 100-процентные монтажные растяги (включая и перемещения опор) в холодном состоянии.</w:t>
      </w:r>
    </w:p>
    <w:bookmarkEnd w:id="10587"/>
    <w:bookmarkStart w:name="z10660" w:id="10588"/>
    <w:p>
      <w:pPr>
        <w:spacing w:after="0"/>
        <w:ind w:left="0"/>
        <w:jc w:val="both"/>
      </w:pPr>
      <w:r>
        <w:rPr>
          <w:rFonts w:ascii="Times New Roman"/>
          <w:b w:val="false"/>
          <w:i w:val="false"/>
          <w:color w:val="000000"/>
          <w:sz w:val="28"/>
        </w:rPr>
        <w:t>
      Примечание. Температуры, при которых паропровод оказывается работающим в условиях релаксации и напряжений, следующие:</w:t>
      </w:r>
    </w:p>
    <w:bookmarkEnd w:id="10588"/>
    <w:bookmarkStart w:name="z10661" w:id="10589"/>
    <w:p>
      <w:pPr>
        <w:spacing w:after="0"/>
        <w:ind w:left="0"/>
        <w:jc w:val="both"/>
      </w:pPr>
      <w:r>
        <w:rPr>
          <w:rFonts w:ascii="Times New Roman"/>
          <w:b w:val="false"/>
          <w:i w:val="false"/>
          <w:color w:val="000000"/>
          <w:sz w:val="28"/>
        </w:rPr>
        <w:t xml:space="preserve">
      350 </w:t>
      </w:r>
      <w:r>
        <w:rPr>
          <w:rFonts w:ascii="Times New Roman"/>
          <w:b w:val="false"/>
          <w:i w:val="false"/>
          <w:color w:val="000000"/>
          <w:vertAlign w:val="superscript"/>
        </w:rPr>
        <w:t>о</w:t>
      </w:r>
      <w:r>
        <w:rPr>
          <w:rFonts w:ascii="Times New Roman"/>
          <w:b w:val="false"/>
          <w:i w:val="false"/>
          <w:color w:val="000000"/>
          <w:sz w:val="28"/>
        </w:rPr>
        <w:t>С и выше — для труб из углеродистых сталей;</w:t>
      </w:r>
    </w:p>
    <w:bookmarkEnd w:id="10589"/>
    <w:bookmarkStart w:name="z10662" w:id="10590"/>
    <w:p>
      <w:pPr>
        <w:spacing w:after="0"/>
        <w:ind w:left="0"/>
        <w:jc w:val="both"/>
      </w:pPr>
      <w:r>
        <w:rPr>
          <w:rFonts w:ascii="Times New Roman"/>
          <w:b w:val="false"/>
          <w:i w:val="false"/>
          <w:color w:val="000000"/>
          <w:sz w:val="28"/>
        </w:rPr>
        <w:t xml:space="preserve">
      420 </w:t>
      </w:r>
      <w:r>
        <w:rPr>
          <w:rFonts w:ascii="Times New Roman"/>
          <w:b w:val="false"/>
          <w:i w:val="false"/>
          <w:color w:val="000000"/>
          <w:vertAlign w:val="superscript"/>
        </w:rPr>
        <w:t>о</w:t>
      </w:r>
      <w:r>
        <w:rPr>
          <w:rFonts w:ascii="Times New Roman"/>
          <w:b w:val="false"/>
          <w:i w:val="false"/>
          <w:color w:val="000000"/>
          <w:sz w:val="28"/>
        </w:rPr>
        <w:t>С и выше — для труб из легированных сталей.</w:t>
      </w:r>
    </w:p>
    <w:bookmarkEnd w:id="10590"/>
    <w:bookmarkStart w:name="z10663" w:id="10591"/>
    <w:p>
      <w:pPr>
        <w:spacing w:after="0"/>
        <w:ind w:left="0"/>
        <w:jc w:val="both"/>
      </w:pPr>
      <w:r>
        <w:rPr>
          <w:rFonts w:ascii="Times New Roman"/>
          <w:b w:val="false"/>
          <w:i w:val="false"/>
          <w:color w:val="000000"/>
          <w:sz w:val="28"/>
        </w:rPr>
        <w:t>
      3867. При расчете на тепловые расширения арматура и фасонные элементы (колена, тройники) могут приниматься абсолютно жесткими и в расчет гибкости не вводиться.</w:t>
      </w:r>
    </w:p>
    <w:bookmarkEnd w:id="10591"/>
    <w:bookmarkStart w:name="z10664" w:id="10592"/>
    <w:p>
      <w:pPr>
        <w:spacing w:after="0"/>
        <w:ind w:left="0"/>
        <w:jc w:val="both"/>
      </w:pPr>
      <w:r>
        <w:rPr>
          <w:rFonts w:ascii="Times New Roman"/>
          <w:b w:val="false"/>
          <w:i w:val="false"/>
          <w:color w:val="000000"/>
          <w:sz w:val="28"/>
        </w:rPr>
        <w:t>
      3868. Расчетные усилия в паропроводе определяются по размерам поперечных сечений труб с учетом положительного прокатного допуска на толщину стенки. По этим же размерам труб определяются напряжения от воспринимаемых перемещений. Напряжения от внутреннего давления определяются по размерам поперечных сечений труб с учетом отрицательного прокатного допуска на толщину стенки.</w:t>
      </w:r>
    </w:p>
    <w:bookmarkEnd w:id="10592"/>
    <w:bookmarkStart w:name="z10665" w:id="10593"/>
    <w:p>
      <w:pPr>
        <w:spacing w:after="0"/>
        <w:ind w:left="0"/>
        <w:jc w:val="both"/>
      </w:pPr>
      <w:r>
        <w:rPr>
          <w:rFonts w:ascii="Times New Roman"/>
          <w:b w:val="false"/>
          <w:i w:val="false"/>
          <w:color w:val="000000"/>
          <w:sz w:val="28"/>
        </w:rPr>
        <w:t>
      3869. Для всех видов стыковых швов паропроводных труб, подвариваемых со стороны корня шва, стыковых швов с двусторонним проваром и выполненных автоматической дуговой электросваркой под слоем флюса, а также шва, выполненного на удаляемом подкладном кольце, с зачисткой поверхности, коэффициент ослабления в формуле для расчета напряжений в паропроводе может приниматься равным единице (</w:t>
      </w:r>
    </w:p>
    <w:bookmarkEnd w:id="10593"/>
    <w:p>
      <w:pPr>
        <w:spacing w:after="0"/>
        <w:ind w:left="0"/>
        <w:jc w:val="both"/>
      </w:pPr>
      <w:r>
        <w:drawing>
          <wp:inline distT="0" distB="0" distL="0" distR="0">
            <wp:extent cx="152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7"/>
                    <a:stretch>
                      <a:fillRect/>
                    </a:stretch>
                  </pic:blipFill>
                  <pic:spPr>
                    <a:xfrm>
                      <a:off x="0" y="0"/>
                      <a:ext cx="152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w:t>
      </w:r>
      <w:r>
        <w:br/>
      </w:r>
      <w:r>
        <w:rPr>
          <w:rFonts w:ascii="Times New Roman"/>
          <w:b w:val="false"/>
          <w:i w:val="false"/>
          <w:color w:val="000000"/>
          <w:sz w:val="28"/>
        </w:rPr>
        <w:t>
</w:t>
      </w:r>
    </w:p>
    <w:bookmarkStart w:name="z10666" w:id="10594"/>
    <w:p>
      <w:pPr>
        <w:spacing w:after="0"/>
        <w:ind w:left="0"/>
        <w:jc w:val="both"/>
      </w:pPr>
      <w:r>
        <w:rPr>
          <w:rFonts w:ascii="Times New Roman"/>
          <w:b w:val="false"/>
          <w:i w:val="false"/>
          <w:color w:val="000000"/>
          <w:sz w:val="28"/>
        </w:rPr>
        <w:t>
      3870. При расчете три составляющие реакции в общем случае для плоского участка и шесть — для пространственного определяются по известному в строительной механике стержневых систем методу сил. При определении составляющих реакций пространственный участок паропровода приводится к трем заменяющим плоским участкам паропровода. Для снижения погрешности приведения пространственного участка к трем заменяющим участкам оси координат, в которых рассматривается участок паропровода, следует располагать параллельно (или перпендикулярно) наиболее длинным прямолинейным отрезкам этого участка, и чтобы его дуговые отрезки проецировались на координатные плоскости по возможности без искажения или в виде прямых отрезков.</w:t>
      </w:r>
    </w:p>
    <w:bookmarkEnd w:id="10594"/>
    <w:bookmarkStart w:name="z10667" w:id="10595"/>
    <w:p>
      <w:pPr>
        <w:spacing w:after="0"/>
        <w:ind w:left="0"/>
        <w:jc w:val="both"/>
      </w:pPr>
      <w:r>
        <w:rPr>
          <w:rFonts w:ascii="Times New Roman"/>
          <w:b w:val="false"/>
          <w:i w:val="false"/>
          <w:color w:val="000000"/>
          <w:sz w:val="28"/>
        </w:rPr>
        <w:t>
      3871. Коэффициент гибкости к дугового отрезка определяется по формулам:</w:t>
      </w:r>
    </w:p>
    <w:bookmarkEnd w:id="105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8"/>
                    <a:stretch>
                      <a:fillRect/>
                    </a:stretch>
                  </pic:blipFill>
                  <pic:spPr>
                    <a:xfrm>
                      <a:off x="0" y="0"/>
                      <a:ext cx="1206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9"/>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0,4                   (775)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w:t>
      </w:r>
      <w:r>
        <w:rPr>
          <w:rFonts w:ascii="Times New Roman"/>
          <w:b w:val="false"/>
          <w:i/>
          <w:color w:val="000000"/>
          <w:sz w:val="28"/>
        </w:rPr>
        <w:t>K</w:t>
      </w:r>
      <w:r>
        <w:rPr>
          <w:rFonts w:ascii="Times New Roman"/>
          <w:b w:val="false"/>
          <w:i w:val="false"/>
          <w:color w:val="000000"/>
          <w:sz w:val="28"/>
        </w:rPr>
        <w:t xml:space="preserve"> = 1,65/</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0"/>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для 0,2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1"/>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0,4,                (776)</w:t>
      </w:r>
      <w:r>
        <w:br/>
      </w:r>
      <w:r>
        <w:rPr>
          <w:rFonts w:ascii="Times New Roman"/>
          <w:b w:val="false"/>
          <w:i w:val="false"/>
          <w:color w:val="000000"/>
          <w:sz w:val="28"/>
        </w:rPr>
        <w:t>
</w:t>
      </w:r>
    </w:p>
    <w:bookmarkStart w:name="z10668" w:id="10596"/>
    <w:p>
      <w:pPr>
        <w:spacing w:after="0"/>
        <w:ind w:left="0"/>
        <w:jc w:val="both"/>
      </w:pPr>
      <w:r>
        <w:rPr>
          <w:rFonts w:ascii="Times New Roman"/>
          <w:b w:val="false"/>
          <w:i w:val="false"/>
          <w:color w:val="000000"/>
          <w:sz w:val="28"/>
        </w:rPr>
        <w:t xml:space="preserve">
      где </w:t>
      </w:r>
    </w:p>
    <w:bookmarkEnd w:id="10596"/>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2"/>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геометрический коэффициент изогнутой трубы, равный </w:t>
      </w:r>
      <w:r>
        <w:rPr>
          <w:rFonts w:ascii="Times New Roman"/>
          <w:b w:val="false"/>
          <w:i/>
          <w:color w:val="000000"/>
          <w:sz w:val="28"/>
        </w:rPr>
        <w:t>sR/r</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10669" w:id="1059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толщина стенки прямой трубы, мм;</w:t>
      </w:r>
    </w:p>
    <w:bookmarkEnd w:id="10597"/>
    <w:bookmarkStart w:name="z10670" w:id="1059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кривизны дугового отрезка, мм;</w:t>
      </w:r>
    </w:p>
    <w:bookmarkEnd w:id="10598"/>
    <w:bookmarkStart w:name="z10671" w:id="1059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средний радиус поперечного сечения прямой трубы, мм.</w:t>
      </w:r>
    </w:p>
    <w:bookmarkEnd w:id="10599"/>
    <w:bookmarkStart w:name="z10672" w:id="10600"/>
    <w:p>
      <w:pPr>
        <w:spacing w:after="0"/>
        <w:ind w:left="0"/>
        <w:jc w:val="both"/>
      </w:pPr>
      <w:r>
        <w:rPr>
          <w:rFonts w:ascii="Times New Roman"/>
          <w:b w:val="false"/>
          <w:i w:val="false"/>
          <w:color w:val="000000"/>
          <w:sz w:val="28"/>
        </w:rPr>
        <w:t>
      3872. При расчете паропровода на тепловые расширения определяются следующие наибольшие напряжения:</w:t>
      </w:r>
    </w:p>
    <w:bookmarkEnd w:id="10600"/>
    <w:bookmarkStart w:name="z10673" w:id="10601"/>
    <w:p>
      <w:pPr>
        <w:spacing w:after="0"/>
        <w:ind w:left="0"/>
        <w:jc w:val="both"/>
      </w:pPr>
      <w:r>
        <w:rPr>
          <w:rFonts w:ascii="Times New Roman"/>
          <w:b w:val="false"/>
          <w:i w:val="false"/>
          <w:color w:val="000000"/>
          <w:sz w:val="28"/>
        </w:rPr>
        <w:t>
      приведенное напряжение в прямой трубе в горячем паропроводе при рабочем давлении и в холодном паропроводе без внутреннего давления;</w:t>
      </w:r>
    </w:p>
    <w:bookmarkEnd w:id="10601"/>
    <w:bookmarkStart w:name="z10674" w:id="10602"/>
    <w:p>
      <w:pPr>
        <w:spacing w:after="0"/>
        <w:ind w:left="0"/>
        <w:jc w:val="both"/>
      </w:pPr>
      <w:r>
        <w:rPr>
          <w:rFonts w:ascii="Times New Roman"/>
          <w:b w:val="false"/>
          <w:i w:val="false"/>
          <w:color w:val="000000"/>
          <w:sz w:val="28"/>
        </w:rPr>
        <w:t>
      суммарное местное напряжение на внутренней поверхности изогнутой трубы в горячем паропроводе при рабочем давлении, а также в холодном паропроводе без внутреннего давления.</w:t>
      </w:r>
    </w:p>
    <w:bookmarkEnd w:id="10602"/>
    <w:bookmarkStart w:name="z10675" w:id="10603"/>
    <w:p>
      <w:pPr>
        <w:spacing w:after="0"/>
        <w:ind w:left="0"/>
        <w:jc w:val="both"/>
      </w:pPr>
      <w:r>
        <w:rPr>
          <w:rFonts w:ascii="Times New Roman"/>
          <w:b w:val="false"/>
          <w:i w:val="false"/>
          <w:color w:val="000000"/>
          <w:sz w:val="28"/>
        </w:rPr>
        <w:t xml:space="preserve">
      При определении приведенного напряжения кривые трубы с </w:t>
      </w:r>
    </w:p>
    <w:bookmarkEnd w:id="10603"/>
    <w:p>
      <w:pPr>
        <w:spacing w:after="0"/>
        <w:ind w:left="0"/>
        <w:jc w:val="both"/>
      </w:pP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3"/>
                    <a:stretch>
                      <a:fillRect/>
                    </a:stretch>
                  </pic:blipFill>
                  <pic:spPr>
                    <a:xfrm>
                      <a:off x="0" y="0"/>
                      <a:ext cx="127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1,44 допускается рассматривать как прямые, и суммарное местное напряжение для них не определяется.</w:t>
      </w:r>
      <w:r>
        <w:br/>
      </w:r>
      <w:r>
        <w:rPr>
          <w:rFonts w:ascii="Times New Roman"/>
          <w:b w:val="false"/>
          <w:i w:val="false"/>
          <w:color w:val="000000"/>
          <w:sz w:val="28"/>
        </w:rPr>
        <w:t>
</w:t>
      </w:r>
    </w:p>
    <w:bookmarkStart w:name="z10676" w:id="10604"/>
    <w:p>
      <w:pPr>
        <w:spacing w:after="0"/>
        <w:ind w:left="0"/>
        <w:jc w:val="both"/>
      </w:pPr>
      <w:r>
        <w:rPr>
          <w:rFonts w:ascii="Times New Roman"/>
          <w:b w:val="false"/>
          <w:i w:val="false"/>
          <w:color w:val="000000"/>
          <w:sz w:val="28"/>
        </w:rPr>
        <w:t>
      При гидравлических испытаниях паропровода в сборе на судне также определяются приведенные напряжения в холодном паропроводе при пробном гидравлическом давлении.</w:t>
      </w:r>
    </w:p>
    <w:bookmarkEnd w:id="10604"/>
    <w:bookmarkStart w:name="z10677" w:id="10605"/>
    <w:p>
      <w:pPr>
        <w:spacing w:after="0"/>
        <w:ind w:left="0"/>
        <w:jc w:val="both"/>
      </w:pPr>
      <w:r>
        <w:rPr>
          <w:rFonts w:ascii="Times New Roman"/>
          <w:b w:val="false"/>
          <w:i w:val="false"/>
          <w:color w:val="000000"/>
          <w:sz w:val="28"/>
        </w:rPr>
        <w:t>
      3873. Приведенное напряжение ус в прямой трубе, находящейся под действием внутреннего давления, а также под действием изгибающего и крутящего моментов, определяется по формуле</w:t>
      </w:r>
    </w:p>
    <w:bookmarkEnd w:id="106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4"/>
                    <a:stretch>
                      <a:fillRect/>
                    </a:stretch>
                  </pic:blipFill>
                  <pic:spPr>
                    <a:xfrm>
                      <a:off x="0" y="0"/>
                      <a:ext cx="3898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(777)</w:t>
      </w:r>
      <w:r>
        <w:br/>
      </w:r>
      <w:r>
        <w:rPr>
          <w:rFonts w:ascii="Times New Roman"/>
          <w:b w:val="false"/>
          <w:i w:val="false"/>
          <w:color w:val="000000"/>
          <w:sz w:val="28"/>
        </w:rPr>
        <w:t>
</w:t>
      </w:r>
    </w:p>
    <w:bookmarkStart w:name="z10678" w:id="10606"/>
    <w:p>
      <w:pPr>
        <w:spacing w:after="0"/>
        <w:ind w:left="0"/>
        <w:jc w:val="both"/>
      </w:pPr>
      <w:r>
        <w:rPr>
          <w:rFonts w:ascii="Times New Roman"/>
          <w:b w:val="false"/>
          <w:i w:val="false"/>
          <w:color w:val="000000"/>
          <w:sz w:val="28"/>
        </w:rPr>
        <w:t xml:space="preserve">
      где </w:t>
      </w:r>
    </w:p>
    <w:bookmarkEnd w:id="10606"/>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5"/>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суммарное продольное напряжение от изгиба и внутреннего давления, МПа;</w:t>
      </w:r>
      <w:r>
        <w:br/>
      </w:r>
      <w:r>
        <w:rPr>
          <w:rFonts w:ascii="Times New Roman"/>
          <w:b w:val="false"/>
          <w:i w:val="false"/>
          <w:color w:val="000000"/>
          <w:sz w:val="28"/>
        </w:rPr>
        <w:t>
</w:t>
      </w:r>
    </w:p>
    <w:bookmarkStart w:name="z10679" w:id="10607"/>
    <w:p>
      <w:pPr>
        <w:spacing w:after="0"/>
        <w:ind w:left="0"/>
        <w:jc w:val="both"/>
      </w:pPr>
      <w:r>
        <w:rPr>
          <w:rFonts w:ascii="Times New Roman"/>
          <w:b w:val="false"/>
          <w:i w:val="false"/>
          <w:color w:val="000000"/>
          <w:sz w:val="28"/>
        </w:rPr>
        <w:t xml:space="preserve">
      </w:t>
      </w:r>
    </w:p>
    <w:bookmarkEnd w:id="10607"/>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6"/>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кольцевое напряжение от внутреннего давления, МПа;</w:t>
      </w:r>
      <w:r>
        <w:br/>
      </w:r>
      <w:r>
        <w:rPr>
          <w:rFonts w:ascii="Times New Roman"/>
          <w:b w:val="false"/>
          <w:i w:val="false"/>
          <w:color w:val="000000"/>
          <w:sz w:val="28"/>
        </w:rPr>
        <w:t>
</w:t>
      </w:r>
    </w:p>
    <w:bookmarkStart w:name="z10680" w:id="10608"/>
    <w:p>
      <w:pPr>
        <w:spacing w:after="0"/>
        <w:ind w:left="0"/>
        <w:jc w:val="both"/>
      </w:pPr>
      <w:r>
        <w:rPr>
          <w:rFonts w:ascii="Times New Roman"/>
          <w:b w:val="false"/>
          <w:i w:val="false"/>
          <w:color w:val="000000"/>
          <w:sz w:val="28"/>
        </w:rPr>
        <w:t xml:space="preserve">
      </w:t>
      </w:r>
    </w:p>
    <w:bookmarkEnd w:id="10608"/>
    <w:p>
      <w:pPr>
        <w:spacing w:after="0"/>
        <w:ind w:left="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7"/>
                    <a:stretch>
                      <a:fillRect/>
                    </a:stretch>
                  </pic:blipFill>
                  <pic:spPr>
                    <a:xfrm>
                      <a:off x="0" y="0"/>
                      <a:ext cx="2032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радиальное напряжение от внутреннего давления, МПа;</w:t>
      </w:r>
      <w:r>
        <w:br/>
      </w:r>
      <w:r>
        <w:rPr>
          <w:rFonts w:ascii="Times New Roman"/>
          <w:b w:val="false"/>
          <w:i w:val="false"/>
          <w:color w:val="000000"/>
          <w:sz w:val="28"/>
        </w:rPr>
        <w:t>
</w:t>
      </w:r>
    </w:p>
    <w:bookmarkStart w:name="z10681" w:id="10609"/>
    <w:p>
      <w:pPr>
        <w:spacing w:after="0"/>
        <w:ind w:left="0"/>
        <w:jc w:val="both"/>
      </w:pPr>
      <w:r>
        <w:rPr>
          <w:rFonts w:ascii="Times New Roman"/>
          <w:b w:val="false"/>
          <w:i w:val="false"/>
          <w:color w:val="000000"/>
          <w:sz w:val="28"/>
        </w:rPr>
        <w:t xml:space="preserve">
      </w:t>
      </w:r>
    </w:p>
    <w:bookmarkEnd w:id="10609"/>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напряжение кручения, МПа.</w:t>
      </w:r>
      <w:r>
        <w:br/>
      </w:r>
      <w:r>
        <w:rPr>
          <w:rFonts w:ascii="Times New Roman"/>
          <w:b w:val="false"/>
          <w:i w:val="false"/>
          <w:color w:val="000000"/>
          <w:sz w:val="28"/>
        </w:rPr>
        <w:t>
</w:t>
      </w:r>
    </w:p>
    <w:bookmarkStart w:name="z10682" w:id="10610"/>
    <w:p>
      <w:pPr>
        <w:spacing w:after="0"/>
        <w:ind w:left="0"/>
        <w:jc w:val="both"/>
      </w:pPr>
      <w:r>
        <w:rPr>
          <w:rFonts w:ascii="Times New Roman"/>
          <w:b w:val="false"/>
          <w:i w:val="false"/>
          <w:color w:val="000000"/>
          <w:sz w:val="28"/>
        </w:rPr>
        <w:t>
      3874. Суммарное местное напряжение на внутренней поверхности изогнутой трубы определяется при всех видах изгиба (плоском, нормальном к плоскости кривизны изогнутой трубы и косом) как сумма изгибных напряжений и кольцевого напряжения от внутреннего давления.</w:t>
      </w:r>
    </w:p>
    <w:bookmarkEnd w:id="10610"/>
    <w:bookmarkStart w:name="z10683" w:id="10611"/>
    <w:p>
      <w:pPr>
        <w:spacing w:after="0"/>
        <w:ind w:left="0"/>
        <w:jc w:val="both"/>
      </w:pPr>
      <w:r>
        <w:rPr>
          <w:rFonts w:ascii="Times New Roman"/>
          <w:b w:val="false"/>
          <w:i w:val="false"/>
          <w:color w:val="000000"/>
          <w:sz w:val="28"/>
        </w:rPr>
        <w:t>
      3875. Запасы прочности относительно предела текучести или предела длительной прочности для приведенных и суммарных местных напряжений принимаются:</w:t>
      </w:r>
    </w:p>
    <w:bookmarkEnd w:id="10611"/>
    <w:bookmarkStart w:name="z10684" w:id="10612"/>
    <w:p>
      <w:pPr>
        <w:spacing w:after="0"/>
        <w:ind w:left="0"/>
        <w:jc w:val="both"/>
      </w:pPr>
      <w:r>
        <w:rPr>
          <w:rFonts w:ascii="Times New Roman"/>
          <w:b w:val="false"/>
          <w:i w:val="false"/>
          <w:color w:val="000000"/>
          <w:sz w:val="28"/>
        </w:rPr>
        <w:t>
      1,2 — для плоских участков паропровода;</w:t>
      </w:r>
    </w:p>
    <w:bookmarkEnd w:id="10612"/>
    <w:bookmarkStart w:name="z10685" w:id="10613"/>
    <w:p>
      <w:pPr>
        <w:spacing w:after="0"/>
        <w:ind w:left="0"/>
        <w:jc w:val="both"/>
      </w:pPr>
      <w:r>
        <w:rPr>
          <w:rFonts w:ascii="Times New Roman"/>
          <w:b w:val="false"/>
          <w:i w:val="false"/>
          <w:color w:val="000000"/>
          <w:sz w:val="28"/>
        </w:rPr>
        <w:t>
      1,5 — для пространственных участков паропровода.</w:t>
      </w:r>
    </w:p>
    <w:bookmarkEnd w:id="10613"/>
    <w:bookmarkStart w:name="z10686" w:id="10614"/>
    <w:p>
      <w:pPr>
        <w:spacing w:after="0"/>
        <w:ind w:left="0"/>
        <w:jc w:val="left"/>
      </w:pPr>
      <w:r>
        <w:rPr>
          <w:rFonts w:ascii="Times New Roman"/>
          <w:b/>
          <w:i w:val="false"/>
          <w:color w:val="000000"/>
        </w:rPr>
        <w:t xml:space="preserve"> Подраздел 19. Конденсационные установки</w:t>
      </w:r>
      <w:r>
        <w:br/>
      </w:r>
      <w:r>
        <w:rPr>
          <w:rFonts w:ascii="Times New Roman"/>
          <w:b/>
          <w:i w:val="false"/>
          <w:color w:val="000000"/>
        </w:rPr>
        <w:t>Глава 330. Общие положения. Насосы</w:t>
      </w:r>
    </w:p>
    <w:bookmarkEnd w:id="10614"/>
    <w:p>
      <w:pPr>
        <w:spacing w:after="0"/>
        <w:ind w:left="0"/>
        <w:jc w:val="both"/>
      </w:pPr>
      <w:r>
        <w:rPr>
          <w:rFonts w:ascii="Times New Roman"/>
          <w:b w:val="false"/>
          <w:i w:val="false"/>
          <w:color w:val="ff0000"/>
          <w:sz w:val="28"/>
        </w:rPr>
        <w:t xml:space="preserve">
      Сноска. Заголовок главы 330 -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688" w:id="10615"/>
    <w:p>
      <w:pPr>
        <w:spacing w:after="0"/>
        <w:ind w:left="0"/>
        <w:jc w:val="both"/>
      </w:pPr>
      <w:r>
        <w:rPr>
          <w:rFonts w:ascii="Times New Roman"/>
          <w:b w:val="false"/>
          <w:i w:val="false"/>
          <w:color w:val="000000"/>
          <w:sz w:val="28"/>
        </w:rPr>
        <w:t>
      3876. Каждый главный турбоагрегат имеет автономную конденсационную установку, обеспечивающую устойчивый вакуум на всех расчетных режимах работы.</w:t>
      </w:r>
    </w:p>
    <w:bookmarkEnd w:id="10615"/>
    <w:bookmarkStart w:name="z10689" w:id="10616"/>
    <w:p>
      <w:pPr>
        <w:spacing w:after="0"/>
        <w:ind w:left="0"/>
        <w:jc w:val="both"/>
      </w:pPr>
      <w:r>
        <w:rPr>
          <w:rFonts w:ascii="Times New Roman"/>
          <w:b w:val="false"/>
          <w:i w:val="false"/>
          <w:color w:val="000000"/>
          <w:sz w:val="28"/>
        </w:rPr>
        <w:t>
      Вспомогательные турбины могут иметь общую конденсационную установку. В ходовом режиме отработавший пар от вспомогательных турбогенераторов допускается отводить в главный конденсатор или в ступени главного турбоагрегата.</w:t>
      </w:r>
    </w:p>
    <w:bookmarkEnd w:id="10616"/>
    <w:bookmarkStart w:name="z10690" w:id="10617"/>
    <w:p>
      <w:pPr>
        <w:spacing w:after="0"/>
        <w:ind w:left="0"/>
        <w:jc w:val="both"/>
      </w:pPr>
      <w:r>
        <w:rPr>
          <w:rFonts w:ascii="Times New Roman"/>
          <w:b w:val="false"/>
          <w:i w:val="false"/>
          <w:color w:val="000000"/>
          <w:sz w:val="28"/>
        </w:rPr>
        <w:t>
      3877. Главный конденсатор обслуживается двумя циркуляционными насосами охлаждения, один из которых является резервным.</w:t>
      </w:r>
    </w:p>
    <w:bookmarkEnd w:id="10617"/>
    <w:bookmarkStart w:name="z10691" w:id="10618"/>
    <w:p>
      <w:pPr>
        <w:spacing w:after="0"/>
        <w:ind w:left="0"/>
        <w:jc w:val="both"/>
      </w:pPr>
      <w:r>
        <w:rPr>
          <w:rFonts w:ascii="Times New Roman"/>
          <w:b w:val="false"/>
          <w:i w:val="false"/>
          <w:color w:val="000000"/>
          <w:sz w:val="28"/>
        </w:rPr>
        <w:t>
      Подача резервного насоса должна быть не менее 30 % расчетного расхода циркуляционной воды охлаждения на все потребители.</w:t>
      </w:r>
    </w:p>
    <w:bookmarkEnd w:id="10618"/>
    <w:bookmarkStart w:name="z10692" w:id="10619"/>
    <w:p>
      <w:pPr>
        <w:spacing w:after="0"/>
        <w:ind w:left="0"/>
        <w:jc w:val="both"/>
      </w:pPr>
      <w:r>
        <w:rPr>
          <w:rFonts w:ascii="Times New Roman"/>
          <w:b w:val="false"/>
          <w:i w:val="false"/>
          <w:color w:val="000000"/>
          <w:sz w:val="28"/>
        </w:rPr>
        <w:t>
      В качестве резервного допускается использовать насос достаточной подачи (пункт 3805 настоящих Правил).</w:t>
      </w:r>
    </w:p>
    <w:bookmarkEnd w:id="10619"/>
    <w:bookmarkStart w:name="z10693" w:id="10620"/>
    <w:p>
      <w:pPr>
        <w:spacing w:after="0"/>
        <w:ind w:left="0"/>
        <w:jc w:val="both"/>
      </w:pPr>
      <w:r>
        <w:rPr>
          <w:rFonts w:ascii="Times New Roman"/>
          <w:b w:val="false"/>
          <w:i w:val="false"/>
          <w:color w:val="000000"/>
          <w:sz w:val="28"/>
        </w:rPr>
        <w:t>
      На судах с двухвальными установками допускается один резервный циркуляционный насос на оба турбоагрегата.</w:t>
      </w:r>
    </w:p>
    <w:bookmarkEnd w:id="10620"/>
    <w:bookmarkStart w:name="z10694" w:id="10621"/>
    <w:p>
      <w:pPr>
        <w:spacing w:after="0"/>
        <w:ind w:left="0"/>
        <w:jc w:val="both"/>
      </w:pPr>
      <w:r>
        <w:rPr>
          <w:rFonts w:ascii="Times New Roman"/>
          <w:b w:val="false"/>
          <w:i w:val="false"/>
          <w:color w:val="000000"/>
          <w:sz w:val="28"/>
        </w:rPr>
        <w:t>
      Если для обслуживания главного конденсатора предусматривается одновременная работа двух насосов, подача каждого из них должна быть не менее 50 % расчетного расхода циркуляционной воды на все потребители; при этом резервный циркуляционный насос не требуется.</w:t>
      </w:r>
    </w:p>
    <w:bookmarkEnd w:id="10621"/>
    <w:bookmarkStart w:name="z10695" w:id="10622"/>
    <w:p>
      <w:pPr>
        <w:spacing w:after="0"/>
        <w:ind w:left="0"/>
        <w:jc w:val="both"/>
      </w:pPr>
      <w:r>
        <w:rPr>
          <w:rFonts w:ascii="Times New Roman"/>
          <w:b w:val="false"/>
          <w:i w:val="false"/>
          <w:color w:val="000000"/>
          <w:sz w:val="28"/>
        </w:rPr>
        <w:t>
      3878. Если вспомогательный конденсатор является общим для всех турбогенераторов, он обслуживается двумя циркуляционными насосами охлаждения, один из которых служит резервным.</w:t>
      </w:r>
    </w:p>
    <w:bookmarkEnd w:id="10622"/>
    <w:bookmarkStart w:name="z10696" w:id="10623"/>
    <w:p>
      <w:pPr>
        <w:spacing w:after="0"/>
        <w:ind w:left="0"/>
        <w:jc w:val="both"/>
      </w:pPr>
      <w:r>
        <w:rPr>
          <w:rFonts w:ascii="Times New Roman"/>
          <w:b w:val="false"/>
          <w:i w:val="false"/>
          <w:color w:val="000000"/>
          <w:sz w:val="28"/>
        </w:rPr>
        <w:t>
      В качестве резервного допускается использовать любой насос достаточной подачи.</w:t>
      </w:r>
    </w:p>
    <w:bookmarkEnd w:id="10623"/>
    <w:bookmarkStart w:name="z10697" w:id="10624"/>
    <w:p>
      <w:pPr>
        <w:spacing w:after="0"/>
        <w:ind w:left="0"/>
        <w:jc w:val="both"/>
      </w:pPr>
      <w:r>
        <w:rPr>
          <w:rFonts w:ascii="Times New Roman"/>
          <w:b w:val="false"/>
          <w:i w:val="false"/>
          <w:color w:val="000000"/>
          <w:sz w:val="28"/>
        </w:rPr>
        <w:t>
      3879. Самопроточная циркуляция охлаждающей воды допускается при условии установки циркуляционного насоса подачей, достаточной для обеспечения режима полного заднего хода. При этом резервный циркуляционный насос должен отвечать требованиям пункта 3877 настоящих Правил.</w:t>
      </w:r>
    </w:p>
    <w:bookmarkEnd w:id="10624"/>
    <w:bookmarkStart w:name="z10698" w:id="10625"/>
    <w:p>
      <w:pPr>
        <w:spacing w:after="0"/>
        <w:ind w:left="0"/>
        <w:jc w:val="both"/>
      </w:pPr>
      <w:r>
        <w:rPr>
          <w:rFonts w:ascii="Times New Roman"/>
          <w:b w:val="false"/>
          <w:i w:val="false"/>
          <w:color w:val="000000"/>
          <w:sz w:val="28"/>
        </w:rPr>
        <w:t>
      3880. Конденсатная система паротурбинных установок обслуживается двумя конденсатными насосами. Подача каждого насоса не менее чем на 25 % должна превышать максимальное расчетное количество пара и конденсата, поступающих в конденсатор. В установках с двумя главными конденсаторами, размещенными в одном машинном отделении, допускается чтобы резервный конденсатный насос был общим для обоих конденсаторов.</w:t>
      </w:r>
    </w:p>
    <w:bookmarkEnd w:id="10625"/>
    <w:bookmarkStart w:name="z10699" w:id="10626"/>
    <w:p>
      <w:pPr>
        <w:spacing w:after="0"/>
        <w:ind w:left="0"/>
        <w:jc w:val="left"/>
      </w:pPr>
      <w:r>
        <w:rPr>
          <w:rFonts w:ascii="Times New Roman"/>
          <w:b/>
          <w:i w:val="false"/>
          <w:color w:val="000000"/>
        </w:rPr>
        <w:t xml:space="preserve"> Глава 331. Прокладка трубопроводов. Контрольно-измерительные приборы</w:t>
      </w:r>
    </w:p>
    <w:bookmarkEnd w:id="10626"/>
    <w:p>
      <w:pPr>
        <w:spacing w:after="0"/>
        <w:ind w:left="0"/>
        <w:jc w:val="both"/>
      </w:pPr>
      <w:r>
        <w:rPr>
          <w:rFonts w:ascii="Times New Roman"/>
          <w:b w:val="false"/>
          <w:i w:val="false"/>
          <w:color w:val="ff0000"/>
          <w:sz w:val="28"/>
        </w:rPr>
        <w:t xml:space="preserve">
      Сноска. Заголовок главы 331 - в редакции приказа Министра индустрии и инфраструктурного развития РК от 26.01.2022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00" w:id="10627"/>
    <w:p>
      <w:pPr>
        <w:spacing w:after="0"/>
        <w:ind w:left="0"/>
        <w:jc w:val="both"/>
      </w:pPr>
      <w:r>
        <w:rPr>
          <w:rFonts w:ascii="Times New Roman"/>
          <w:b w:val="false"/>
          <w:i w:val="false"/>
          <w:color w:val="000000"/>
          <w:sz w:val="28"/>
        </w:rPr>
        <w:t>
      3881. Прокладка трубопроводов и их присоединения должны отвечать требованиям главы 319 настоящих Правил.</w:t>
      </w:r>
    </w:p>
    <w:bookmarkEnd w:id="10627"/>
    <w:bookmarkStart w:name="z10701" w:id="10628"/>
    <w:p>
      <w:pPr>
        <w:spacing w:after="0"/>
        <w:ind w:left="0"/>
        <w:jc w:val="both"/>
      </w:pPr>
      <w:r>
        <w:rPr>
          <w:rFonts w:ascii="Times New Roman"/>
          <w:b w:val="false"/>
          <w:i w:val="false"/>
          <w:color w:val="000000"/>
          <w:sz w:val="28"/>
        </w:rPr>
        <w:t>
      3882. Сборник конденсата, отводной патрубок и конденсатный насос располагают таким образом, чтобы исключалось затопление нижних рядов трубок и обеспечивались необходимый подпор и плавный подвод конденсата к насосу.</w:t>
      </w:r>
    </w:p>
    <w:bookmarkEnd w:id="10628"/>
    <w:bookmarkStart w:name="z10702" w:id="10629"/>
    <w:p>
      <w:pPr>
        <w:spacing w:after="0"/>
        <w:ind w:left="0"/>
        <w:jc w:val="both"/>
      </w:pPr>
      <w:r>
        <w:rPr>
          <w:rFonts w:ascii="Times New Roman"/>
          <w:b w:val="false"/>
          <w:i w:val="false"/>
          <w:color w:val="000000"/>
          <w:sz w:val="28"/>
        </w:rPr>
        <w:t>
      Предусматривается горловина для очистки сборника конденсата.</w:t>
      </w:r>
    </w:p>
    <w:bookmarkEnd w:id="10629"/>
    <w:bookmarkStart w:name="z10703" w:id="10630"/>
    <w:p>
      <w:pPr>
        <w:spacing w:after="0"/>
        <w:ind w:left="0"/>
        <w:jc w:val="both"/>
      </w:pPr>
      <w:r>
        <w:rPr>
          <w:rFonts w:ascii="Times New Roman"/>
          <w:b w:val="false"/>
          <w:i w:val="false"/>
          <w:color w:val="000000"/>
          <w:sz w:val="28"/>
        </w:rPr>
        <w:t>
      3883. Сопла эжекторов конденсационных установок предохраняются от повреждений и засорения. Для этой цели на паропроводе следует устанавливать защитную металлическую сетку.</w:t>
      </w:r>
    </w:p>
    <w:bookmarkEnd w:id="10630"/>
    <w:bookmarkStart w:name="z10704" w:id="10631"/>
    <w:p>
      <w:pPr>
        <w:spacing w:after="0"/>
        <w:ind w:left="0"/>
        <w:jc w:val="both"/>
      </w:pPr>
      <w:r>
        <w:rPr>
          <w:rFonts w:ascii="Times New Roman"/>
          <w:b w:val="false"/>
          <w:i w:val="false"/>
          <w:color w:val="000000"/>
          <w:sz w:val="28"/>
        </w:rPr>
        <w:t>
      3884. Конденсационная установка оборудуется контрольно-измерительными приборами и аварийно-предупредительной сигнализацией, в том числе:</w:t>
      </w:r>
    </w:p>
    <w:bookmarkEnd w:id="10631"/>
    <w:bookmarkStart w:name="z10705" w:id="10632"/>
    <w:p>
      <w:pPr>
        <w:spacing w:after="0"/>
        <w:ind w:left="0"/>
        <w:jc w:val="both"/>
      </w:pPr>
      <w:r>
        <w:rPr>
          <w:rFonts w:ascii="Times New Roman"/>
          <w:b w:val="false"/>
          <w:i w:val="false"/>
          <w:color w:val="000000"/>
          <w:sz w:val="28"/>
        </w:rPr>
        <w:t>
      1) указателем уровня конденсата в конденсаторе;</w:t>
      </w:r>
    </w:p>
    <w:bookmarkEnd w:id="10632"/>
    <w:bookmarkStart w:name="z10706" w:id="10633"/>
    <w:p>
      <w:pPr>
        <w:spacing w:after="0"/>
        <w:ind w:left="0"/>
        <w:jc w:val="both"/>
      </w:pPr>
      <w:r>
        <w:rPr>
          <w:rFonts w:ascii="Times New Roman"/>
          <w:b w:val="false"/>
          <w:i w:val="false"/>
          <w:color w:val="000000"/>
          <w:sz w:val="28"/>
        </w:rPr>
        <w:t>
      2) вакуумметрами и мановакуумметрами на конденсаторе и охладителях эжекторов;</w:t>
      </w:r>
    </w:p>
    <w:bookmarkEnd w:id="10633"/>
    <w:bookmarkStart w:name="z10707" w:id="10634"/>
    <w:p>
      <w:pPr>
        <w:spacing w:after="0"/>
        <w:ind w:left="0"/>
        <w:jc w:val="both"/>
      </w:pPr>
      <w:r>
        <w:rPr>
          <w:rFonts w:ascii="Times New Roman"/>
          <w:b w:val="false"/>
          <w:i w:val="false"/>
          <w:color w:val="000000"/>
          <w:sz w:val="28"/>
        </w:rPr>
        <w:t>
      3) манометром на паропроводе к эжектору;</w:t>
      </w:r>
    </w:p>
    <w:bookmarkEnd w:id="10634"/>
    <w:bookmarkStart w:name="z10708" w:id="10635"/>
    <w:p>
      <w:pPr>
        <w:spacing w:after="0"/>
        <w:ind w:left="0"/>
        <w:jc w:val="both"/>
      </w:pPr>
      <w:r>
        <w:rPr>
          <w:rFonts w:ascii="Times New Roman"/>
          <w:b w:val="false"/>
          <w:i w:val="false"/>
          <w:color w:val="000000"/>
          <w:sz w:val="28"/>
        </w:rPr>
        <w:t>
      4) термометрами на отводящих патрубках охлаждающей воды конденсатора и охладителей эжекторов;</w:t>
      </w:r>
    </w:p>
    <w:bookmarkEnd w:id="10635"/>
    <w:bookmarkStart w:name="z10709" w:id="10636"/>
    <w:p>
      <w:pPr>
        <w:spacing w:after="0"/>
        <w:ind w:left="0"/>
        <w:jc w:val="both"/>
      </w:pPr>
      <w:r>
        <w:rPr>
          <w:rFonts w:ascii="Times New Roman"/>
          <w:b w:val="false"/>
          <w:i w:val="false"/>
          <w:color w:val="000000"/>
          <w:sz w:val="28"/>
        </w:rPr>
        <w:t>
      5) соленомерами со световой и звуковой сигнализацией солености конденсата.</w:t>
      </w:r>
    </w:p>
    <w:bookmarkEnd w:id="10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color w:val="ff0000"/>
          <w:sz w:val="28"/>
        </w:rPr>
        <w:t xml:space="preserve">См. </w:t>
      </w:r>
      <w:r>
        <w:rPr>
          <w:rFonts w:ascii="Times New Roman"/>
          <w:b w:val="false"/>
          <w:i w:val="false"/>
          <w:color w:val="ff0000"/>
          <w:sz w:val="28"/>
        </w:rPr>
        <w:t xml:space="preserve"> продолжение</w:t>
      </w:r>
      <w:r>
        <w:rPr>
          <w:rFonts w:ascii="Times New Roman"/>
          <w:b w:val="false"/>
          <w:i w:val="false"/>
          <w:color w:val="ff0000"/>
          <w:sz w:val="28"/>
        </w:rPr>
        <w:t xml:space="preserve"> V11006982_2</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 Target="media/document_image_rId1909.jpeg" Type="http://schemas.openxmlformats.org/officeDocument/2006/relationships/image" Id="rId1909"/><Relationship Target="media/document_image_rId1910.jpeg" Type="http://schemas.openxmlformats.org/officeDocument/2006/relationships/image" Id="rId1910"/><Relationship Target="media/document_image_rId1911.jpeg" Type="http://schemas.openxmlformats.org/officeDocument/2006/relationships/image" Id="rId1911"/><Relationship Target="media/document_image_rId1912.jpeg" Type="http://schemas.openxmlformats.org/officeDocument/2006/relationships/image" Id="rId1912"/><Relationship Target="media/document_image_rId1913.jpeg" Type="http://schemas.openxmlformats.org/officeDocument/2006/relationships/image" Id="rId1913"/><Relationship Target="media/document_image_rId1914.jpeg" Type="http://schemas.openxmlformats.org/officeDocument/2006/relationships/image" Id="rId1914"/><Relationship Target="media/document_image_rId1915.jpeg" Type="http://schemas.openxmlformats.org/officeDocument/2006/relationships/image" Id="rId1915"/><Relationship Target="media/document_image_rId1916.jpeg" Type="http://schemas.openxmlformats.org/officeDocument/2006/relationships/image" Id="rId1916"/><Relationship Target="media/document_image_rId1917.jpeg" Type="http://schemas.openxmlformats.org/officeDocument/2006/relationships/image" Id="rId1917"/><Relationship Target="media/document_image_rId1918.jpeg" Type="http://schemas.openxmlformats.org/officeDocument/2006/relationships/image" Id="rId1918"/><Relationship Target="media/document_image_rId1919.jpeg" Type="http://schemas.openxmlformats.org/officeDocument/2006/relationships/image" Id="rId1919"/><Relationship Target="media/document_image_rId1920.jpeg" Type="http://schemas.openxmlformats.org/officeDocument/2006/relationships/image" Id="rId1920"/><Relationship Target="media/document_image_rId1921.jpeg" Type="http://schemas.openxmlformats.org/officeDocument/2006/relationships/image" Id="rId1921"/><Relationship Target="media/document_image_rId1922.jpeg" Type="http://schemas.openxmlformats.org/officeDocument/2006/relationships/image" Id="rId1922"/><Relationship Target="media/document_image_rId1923.jpeg" Type="http://schemas.openxmlformats.org/officeDocument/2006/relationships/image" Id="rId1923"/><Relationship Target="media/document_image_rId1924.jpeg" Type="http://schemas.openxmlformats.org/officeDocument/2006/relationships/image" Id="rId1924"/><Relationship Target="media/document_image_rId1925.jpeg" Type="http://schemas.openxmlformats.org/officeDocument/2006/relationships/image" Id="rId1925"/><Relationship Target="media/document_image_rId1926.jpeg" Type="http://schemas.openxmlformats.org/officeDocument/2006/relationships/image" Id="rId1926"/><Relationship Target="media/document_image_rId1927.jpeg" Type="http://schemas.openxmlformats.org/officeDocument/2006/relationships/image" Id="rId1927"/><Relationship Target="media/document_image_rId1928.jpeg" Type="http://schemas.openxmlformats.org/officeDocument/2006/relationships/image" Id="rId1928"/><Relationship Target="media/document_image_rId1929.jpeg" Type="http://schemas.openxmlformats.org/officeDocument/2006/relationships/image" Id="rId1929"/><Relationship Target="media/document_image_rId1930.jpeg" Type="http://schemas.openxmlformats.org/officeDocument/2006/relationships/image" Id="rId1930"/><Relationship Target="media/document_image_rId1931.jpeg" Type="http://schemas.openxmlformats.org/officeDocument/2006/relationships/image" Id="rId1931"/><Relationship Target="media/document_image_rId1932.jpeg" Type="http://schemas.openxmlformats.org/officeDocument/2006/relationships/image" Id="rId1932"/><Relationship Target="media/document_image_rId1933.jpeg" Type="http://schemas.openxmlformats.org/officeDocument/2006/relationships/image" Id="rId1933"/><Relationship Target="media/document_image_rId1934.jpeg" Type="http://schemas.openxmlformats.org/officeDocument/2006/relationships/image" Id="rId1934"/><Relationship Target="media/document_image_rId1935.jpeg" Type="http://schemas.openxmlformats.org/officeDocument/2006/relationships/image" Id="rId1935"/><Relationship Target="media/document_image_rId1936.jpeg" Type="http://schemas.openxmlformats.org/officeDocument/2006/relationships/image" Id="rId1936"/><Relationship Target="media/document_image_rId1937.jpeg" Type="http://schemas.openxmlformats.org/officeDocument/2006/relationships/image" Id="rId1937"/><Relationship Target="media/document_image_rId1938.jpeg" Type="http://schemas.openxmlformats.org/officeDocument/2006/relationships/image" Id="rId1938"/><Relationship Target="media/document_image_rId1939.jpeg" Type="http://schemas.openxmlformats.org/officeDocument/2006/relationships/image" Id="rId1939"/><Relationship Target="media/document_image_rId1940.jpeg" Type="http://schemas.openxmlformats.org/officeDocument/2006/relationships/image" Id="rId1940"/><Relationship Target="media/document_image_rId1941.jpeg" Type="http://schemas.openxmlformats.org/officeDocument/2006/relationships/image" Id="rId1941"/><Relationship Target="media/document_image_rId1942.jpeg" Type="http://schemas.openxmlformats.org/officeDocument/2006/relationships/image" Id="rId1942"/><Relationship Target="media/document_image_rId1943.jpeg" Type="http://schemas.openxmlformats.org/officeDocument/2006/relationships/image" Id="rId1943"/><Relationship Target="media/document_image_rId1944.jpeg" Type="http://schemas.openxmlformats.org/officeDocument/2006/relationships/image" Id="rId1944"/><Relationship Target="media/document_image_rId1945.jpeg" Type="http://schemas.openxmlformats.org/officeDocument/2006/relationships/image" Id="rId1945"/><Relationship Target="media/document_image_rId1946.jpeg" Type="http://schemas.openxmlformats.org/officeDocument/2006/relationships/image" Id="rId1946"/><Relationship Target="media/document_image_rId1947.jpeg" Type="http://schemas.openxmlformats.org/officeDocument/2006/relationships/image" Id="rId1947"/><Relationship Target="media/document_image_rId1948.jpeg" Type="http://schemas.openxmlformats.org/officeDocument/2006/relationships/image" Id="rId1948"/><Relationship Target="media/document_image_rId1949.jpeg" Type="http://schemas.openxmlformats.org/officeDocument/2006/relationships/image" Id="rId1949"/><Relationship Target="media/document_image_rId1950.jpeg" Type="http://schemas.openxmlformats.org/officeDocument/2006/relationships/image" Id="rId1950"/><Relationship Target="media/document_image_rId1951.jpeg" Type="http://schemas.openxmlformats.org/officeDocument/2006/relationships/image" Id="rId1951"/><Relationship Target="media/document_image_rId1952.jpeg" Type="http://schemas.openxmlformats.org/officeDocument/2006/relationships/image" Id="rId1952"/><Relationship Target="media/document_image_rId1953.jpeg" Type="http://schemas.openxmlformats.org/officeDocument/2006/relationships/image" Id="rId1953"/><Relationship Target="media/document_image_rId1954.jpeg" Type="http://schemas.openxmlformats.org/officeDocument/2006/relationships/image" Id="rId1954"/><Relationship Target="media/document_image_rId1955.jpeg" Type="http://schemas.openxmlformats.org/officeDocument/2006/relationships/image" Id="rId1955"/><Relationship Target="media/document_image_rId1956.jpeg" Type="http://schemas.openxmlformats.org/officeDocument/2006/relationships/image" Id="rId1956"/><Relationship Target="media/document_image_rId1957.jpeg" Type="http://schemas.openxmlformats.org/officeDocument/2006/relationships/image" Id="rId1957"/><Relationship Target="media/document_image_rId1958.jpeg" Type="http://schemas.openxmlformats.org/officeDocument/2006/relationships/image" Id="rId1958"/><Relationship Target="media/document_image_rId1959.jpeg" Type="http://schemas.openxmlformats.org/officeDocument/2006/relationships/image" Id="rId1959"/><Relationship Target="media/document_image_rId1960.jpeg" Type="http://schemas.openxmlformats.org/officeDocument/2006/relationships/image" Id="rId1960"/><Relationship Target="media/document_image_rId1961.jpeg" Type="http://schemas.openxmlformats.org/officeDocument/2006/relationships/image" Id="rId1961"/><Relationship Target="media/document_image_rId1962.jpeg" Type="http://schemas.openxmlformats.org/officeDocument/2006/relationships/image" Id="rId1962"/><Relationship Target="media/document_image_rId1963.jpeg" Type="http://schemas.openxmlformats.org/officeDocument/2006/relationships/image" Id="rId1963"/><Relationship Target="media/document_image_rId1964.jpeg" Type="http://schemas.openxmlformats.org/officeDocument/2006/relationships/image" Id="rId1964"/><Relationship Target="media/document_image_rId1965.jpeg" Type="http://schemas.openxmlformats.org/officeDocument/2006/relationships/image" Id="rId1965"/><Relationship Target="media/document_image_rId1966.jpeg" Type="http://schemas.openxmlformats.org/officeDocument/2006/relationships/image" Id="rId1966"/><Relationship Target="media/document_image_rId1967.jpeg" Type="http://schemas.openxmlformats.org/officeDocument/2006/relationships/image" Id="rId1967"/><Relationship Target="media/document_image_rId1968.jpeg" Type="http://schemas.openxmlformats.org/officeDocument/2006/relationships/image" Id="rId1968"/><Relationship Target="media/document_image_rId1969.jpeg" Type="http://schemas.openxmlformats.org/officeDocument/2006/relationships/image" Id="rId1969"/><Relationship Target="media/document_image_rId1970.jpeg" Type="http://schemas.openxmlformats.org/officeDocument/2006/relationships/image" Id="rId1970"/><Relationship Target="media/document_image_rId1971.jpeg" Type="http://schemas.openxmlformats.org/officeDocument/2006/relationships/image" Id="rId1971"/><Relationship Target="media/document_image_rId1972.jpeg" Type="http://schemas.openxmlformats.org/officeDocument/2006/relationships/image" Id="rId1972"/><Relationship Target="media/document_image_rId1973.jpeg" Type="http://schemas.openxmlformats.org/officeDocument/2006/relationships/image" Id="rId1973"/><Relationship Target="media/document_image_rId1974.jpeg" Type="http://schemas.openxmlformats.org/officeDocument/2006/relationships/image" Id="rId1974"/><Relationship Target="media/document_image_rId1975.jpeg" Type="http://schemas.openxmlformats.org/officeDocument/2006/relationships/image" Id="rId1975"/><Relationship Target="media/document_image_rId1976.jpeg" Type="http://schemas.openxmlformats.org/officeDocument/2006/relationships/image" Id="rId1976"/><Relationship Target="media/document_image_rId1977.jpeg" Type="http://schemas.openxmlformats.org/officeDocument/2006/relationships/image" Id="rId1977"/><Relationship Target="media/document_image_rId1978.jpeg" Type="http://schemas.openxmlformats.org/officeDocument/2006/relationships/image" Id="rId1978"/><Relationship Target="media/document_image_rId1979.jpeg" Type="http://schemas.openxmlformats.org/officeDocument/2006/relationships/image" Id="rId1979"/><Relationship Target="media/document_image_rId1980.jpeg" Type="http://schemas.openxmlformats.org/officeDocument/2006/relationships/image" Id="rId1980"/><Relationship Target="media/document_image_rId1981.jpeg" Type="http://schemas.openxmlformats.org/officeDocument/2006/relationships/image" Id="rId1981"/><Relationship Target="media/document_image_rId1982.jpeg" Type="http://schemas.openxmlformats.org/officeDocument/2006/relationships/image" Id="rId1982"/><Relationship Target="media/document_image_rId1983.jpeg" Type="http://schemas.openxmlformats.org/officeDocument/2006/relationships/image" Id="rId1983"/><Relationship Target="media/document_image_rId1984.jpeg" Type="http://schemas.openxmlformats.org/officeDocument/2006/relationships/image" Id="rId1984"/><Relationship Target="media/document_image_rId1985.jpeg" Type="http://schemas.openxmlformats.org/officeDocument/2006/relationships/image" Id="rId1985"/><Relationship Target="media/document_image_rId1986.jpeg" Type="http://schemas.openxmlformats.org/officeDocument/2006/relationships/image" Id="rId1986"/><Relationship Target="media/document_image_rId1987.jpeg" Type="http://schemas.openxmlformats.org/officeDocument/2006/relationships/image" Id="rId1987"/><Relationship Target="media/document_image_rId1988.jpeg" Type="http://schemas.openxmlformats.org/officeDocument/2006/relationships/image" Id="rId1988"/><Relationship Target="media/document_image_rId1989.jpeg" Type="http://schemas.openxmlformats.org/officeDocument/2006/relationships/image" Id="rId1989"/><Relationship Target="media/document_image_rId1990.jpeg" Type="http://schemas.openxmlformats.org/officeDocument/2006/relationships/image" Id="rId1990"/><Relationship Target="media/document_image_rId1991.jpeg" Type="http://schemas.openxmlformats.org/officeDocument/2006/relationships/image" Id="rId1991"/><Relationship Target="media/document_image_rId1992.jpeg" Type="http://schemas.openxmlformats.org/officeDocument/2006/relationships/image" Id="rId1992"/><Relationship Target="media/document_image_rId1993.jpeg" Type="http://schemas.openxmlformats.org/officeDocument/2006/relationships/image" Id="rId1993"/><Relationship Target="media/document_image_rId1994.jpeg" Type="http://schemas.openxmlformats.org/officeDocument/2006/relationships/image" Id="rId1994"/><Relationship Target="media/document_image_rId1995.jpeg" Type="http://schemas.openxmlformats.org/officeDocument/2006/relationships/image" Id="rId1995"/><Relationship Target="media/document_image_rId1996.jpeg" Type="http://schemas.openxmlformats.org/officeDocument/2006/relationships/image" Id="rId1996"/><Relationship Target="media/document_image_rId1997.jpeg" Type="http://schemas.openxmlformats.org/officeDocument/2006/relationships/image" Id="rId1997"/><Relationship Target="media/document_image_rId1998.jpeg" Type="http://schemas.openxmlformats.org/officeDocument/2006/relationships/image" Id="rId1998"/><Relationship Target="media/document_image_rId1999.jpeg" Type="http://schemas.openxmlformats.org/officeDocument/2006/relationships/image" Id="rId1999"/><Relationship Target="media/document_image_rId2000.jpeg" Type="http://schemas.openxmlformats.org/officeDocument/2006/relationships/image" Id="rId2000"/><Relationship Target="media/document_image_rId2001.jpeg" Type="http://schemas.openxmlformats.org/officeDocument/2006/relationships/image" Id="rId2001"/><Relationship Target="media/document_image_rId2002.jpeg" Type="http://schemas.openxmlformats.org/officeDocument/2006/relationships/image" Id="rId2002"/><Relationship Target="media/document_image_rId2003.jpeg" Type="http://schemas.openxmlformats.org/officeDocument/2006/relationships/image" Id="rId2003"/><Relationship Target="media/document_image_rId2004.jpeg" Type="http://schemas.openxmlformats.org/officeDocument/2006/relationships/image" Id="rId2004"/><Relationship Target="media/document_image_rId2005.jpeg" Type="http://schemas.openxmlformats.org/officeDocument/2006/relationships/image" Id="rId2005"/><Relationship Target="media/document_image_rId2006.jpeg" Type="http://schemas.openxmlformats.org/officeDocument/2006/relationships/image" Id="rId2006"/><Relationship Target="media/document_image_rId2007.jpeg" Type="http://schemas.openxmlformats.org/officeDocument/2006/relationships/image" Id="rId2007"/><Relationship Target="media/document_image_rId2008.jpeg" Type="http://schemas.openxmlformats.org/officeDocument/2006/relationships/image" Id="rId2008"/><Relationship Target="media/document_image_rId2009.jpeg" Type="http://schemas.openxmlformats.org/officeDocument/2006/relationships/image" Id="rId2009"/><Relationship Target="media/document_image_rId2010.jpeg" Type="http://schemas.openxmlformats.org/officeDocument/2006/relationships/image" Id="rId2010"/><Relationship Target="media/document_image_rId2011.jpeg" Type="http://schemas.openxmlformats.org/officeDocument/2006/relationships/image" Id="rId2011"/><Relationship Target="media/document_image_rId2012.jpeg" Type="http://schemas.openxmlformats.org/officeDocument/2006/relationships/image" Id="rId2012"/><Relationship Target="media/document_image_rId2013.jpeg" Type="http://schemas.openxmlformats.org/officeDocument/2006/relationships/image" Id="rId2013"/><Relationship Target="media/document_image_rId2014.jpeg" Type="http://schemas.openxmlformats.org/officeDocument/2006/relationships/image" Id="rId2014"/><Relationship Target="media/document_image_rId2015.jpeg" Type="http://schemas.openxmlformats.org/officeDocument/2006/relationships/image" Id="rId2015"/><Relationship Target="media/document_image_rId2016.jpeg" Type="http://schemas.openxmlformats.org/officeDocument/2006/relationships/image" Id="rId2016"/><Relationship Target="media/document_image_rId2017.jpeg" Type="http://schemas.openxmlformats.org/officeDocument/2006/relationships/image" Id="rId2017"/><Relationship Target="media/document_image_rId2018.jpeg" Type="http://schemas.openxmlformats.org/officeDocument/2006/relationships/image" Id="rId2018"/><Relationship Target="media/document_image_rId2019.jpeg" Type="http://schemas.openxmlformats.org/officeDocument/2006/relationships/image" Id="rId2019"/><Relationship Target="media/document_image_rId2020.jpeg" Type="http://schemas.openxmlformats.org/officeDocument/2006/relationships/image" Id="rId2020"/><Relationship Target="media/document_image_rId2021.jpeg" Type="http://schemas.openxmlformats.org/officeDocument/2006/relationships/image" Id="rId2021"/><Relationship Target="media/document_image_rId2022.jpeg" Type="http://schemas.openxmlformats.org/officeDocument/2006/relationships/image" Id="rId2022"/><Relationship Target="media/document_image_rId2023.jpeg" Type="http://schemas.openxmlformats.org/officeDocument/2006/relationships/image" Id="rId2023"/><Relationship Target="media/document_image_rId2024.jpeg" Type="http://schemas.openxmlformats.org/officeDocument/2006/relationships/image" Id="rId2024"/><Relationship Target="media/document_image_rId2025.jpeg" Type="http://schemas.openxmlformats.org/officeDocument/2006/relationships/image" Id="rId2025"/><Relationship Target="media/document_image_rId2026.jpeg" Type="http://schemas.openxmlformats.org/officeDocument/2006/relationships/image" Id="rId2026"/><Relationship Target="media/document_image_rId2027.jpeg" Type="http://schemas.openxmlformats.org/officeDocument/2006/relationships/image" Id="rId2027"/><Relationship Target="media/document_image_rId2028.jpeg" Type="http://schemas.openxmlformats.org/officeDocument/2006/relationships/image" Id="rId2028"/><Relationship Target="media/document_image_rId2029.jpeg" Type="http://schemas.openxmlformats.org/officeDocument/2006/relationships/image" Id="rId2029"/><Relationship Target="media/document_image_rId2030.jpeg" Type="http://schemas.openxmlformats.org/officeDocument/2006/relationships/image" Id="rId2030"/><Relationship Target="media/document_image_rId2031.jpeg" Type="http://schemas.openxmlformats.org/officeDocument/2006/relationships/image" Id="rId2031"/><Relationship Target="media/document_image_rId2032.jpeg" Type="http://schemas.openxmlformats.org/officeDocument/2006/relationships/image" Id="rId2032"/><Relationship Target="media/document_image_rId2033.jpeg" Type="http://schemas.openxmlformats.org/officeDocument/2006/relationships/image" Id="rId2033"/><Relationship Target="media/document_image_rId2034.jpeg" Type="http://schemas.openxmlformats.org/officeDocument/2006/relationships/image" Id="rId2034"/><Relationship Target="media/document_image_rId2035.jpeg" Type="http://schemas.openxmlformats.org/officeDocument/2006/relationships/image" Id="rId2035"/><Relationship Target="media/document_image_rId2036.jpeg" Type="http://schemas.openxmlformats.org/officeDocument/2006/relationships/image" Id="rId2036"/><Relationship Target="media/document_image_rId2037.jpeg" Type="http://schemas.openxmlformats.org/officeDocument/2006/relationships/image" Id="rId2037"/><Relationship Target="media/document_image_rId2038.jpeg" Type="http://schemas.openxmlformats.org/officeDocument/2006/relationships/image" Id="rId2038"/><Relationship Target="media/document_image_rId2039.jpeg" Type="http://schemas.openxmlformats.org/officeDocument/2006/relationships/image" Id="rId2039"/><Relationship Target="media/document_image_rId2040.jpeg" Type="http://schemas.openxmlformats.org/officeDocument/2006/relationships/image" Id="rId2040"/><Relationship Target="media/document_image_rId2041.jpeg" Type="http://schemas.openxmlformats.org/officeDocument/2006/relationships/image" Id="rId2041"/><Relationship Target="media/document_image_rId2042.jpeg" Type="http://schemas.openxmlformats.org/officeDocument/2006/relationships/image" Id="rId2042"/><Relationship Target="media/document_image_rId2043.jpeg" Type="http://schemas.openxmlformats.org/officeDocument/2006/relationships/image" Id="rId2043"/><Relationship Target="media/document_image_rId2044.jpeg" Type="http://schemas.openxmlformats.org/officeDocument/2006/relationships/image" Id="rId2044"/><Relationship Target="media/document_image_rId2045.jpeg" Type="http://schemas.openxmlformats.org/officeDocument/2006/relationships/image" Id="rId2045"/><Relationship Target="media/document_image_rId2046.jpeg" Type="http://schemas.openxmlformats.org/officeDocument/2006/relationships/image" Id="rId2046"/><Relationship Target="media/document_image_rId2047.jpeg" Type="http://schemas.openxmlformats.org/officeDocument/2006/relationships/image" Id="rId2047"/><Relationship Target="media/document_image_rId2048.jpeg" Type="http://schemas.openxmlformats.org/officeDocument/2006/relationships/image" Id="rId2048"/><Relationship Target="media/document_image_rId2049.jpeg" Type="http://schemas.openxmlformats.org/officeDocument/2006/relationships/image" Id="rId2049"/><Relationship Target="media/document_image_rId2050.jpeg" Type="http://schemas.openxmlformats.org/officeDocument/2006/relationships/image" Id="rId2050"/><Relationship Target="media/document_image_rId2051.jpeg" Type="http://schemas.openxmlformats.org/officeDocument/2006/relationships/image" Id="rId2051"/><Relationship Target="media/document_image_rId2052.jpeg" Type="http://schemas.openxmlformats.org/officeDocument/2006/relationships/image" Id="rId2052"/><Relationship Target="media/document_image_rId2053.jpeg" Type="http://schemas.openxmlformats.org/officeDocument/2006/relationships/image" Id="rId2053"/><Relationship Target="media/document_image_rId2054.jpeg" Type="http://schemas.openxmlformats.org/officeDocument/2006/relationships/image" Id="rId2054"/><Relationship Target="media/document_image_rId2055.jpeg" Type="http://schemas.openxmlformats.org/officeDocument/2006/relationships/image" Id="rId2055"/><Relationship Target="media/document_image_rId2056.jpeg" Type="http://schemas.openxmlformats.org/officeDocument/2006/relationships/image" Id="rId2056"/><Relationship Target="media/document_image_rId2057.jpeg" Type="http://schemas.openxmlformats.org/officeDocument/2006/relationships/image" Id="rId2057"/><Relationship Target="media/document_image_rId2058.jpeg" Type="http://schemas.openxmlformats.org/officeDocument/2006/relationships/image" Id="rId2058"/><Relationship Target="media/document_image_rId2059.jpeg" Type="http://schemas.openxmlformats.org/officeDocument/2006/relationships/image" Id="rId2059"/><Relationship Target="media/document_image_rId2060.jpeg" Type="http://schemas.openxmlformats.org/officeDocument/2006/relationships/image" Id="rId2060"/><Relationship Target="media/document_image_rId2061.jpeg" Type="http://schemas.openxmlformats.org/officeDocument/2006/relationships/image" Id="rId2061"/><Relationship Target="media/document_image_rId2062.jpeg" Type="http://schemas.openxmlformats.org/officeDocument/2006/relationships/image" Id="rId2062"/><Relationship Target="media/document_image_rId2063.jpeg" Type="http://schemas.openxmlformats.org/officeDocument/2006/relationships/image" Id="rId2063"/><Relationship Target="media/document_image_rId2064.jpeg" Type="http://schemas.openxmlformats.org/officeDocument/2006/relationships/image" Id="rId2064"/><Relationship Target="media/document_image_rId2065.jpeg" Type="http://schemas.openxmlformats.org/officeDocument/2006/relationships/image" Id="rId2065"/><Relationship Target="media/document_image_rId2066.jpeg" Type="http://schemas.openxmlformats.org/officeDocument/2006/relationships/image" Id="rId2066"/><Relationship Target="media/document_image_rId2067.jpeg" Type="http://schemas.openxmlformats.org/officeDocument/2006/relationships/image" Id="rId2067"/><Relationship Target="media/document_image_rId2068.jpeg" Type="http://schemas.openxmlformats.org/officeDocument/2006/relationships/image" Id="rId2068"/><Relationship Target="media/document_image_rId2069.jpeg" Type="http://schemas.openxmlformats.org/officeDocument/2006/relationships/image" Id="rId2069"/><Relationship Target="media/document_image_rId2070.jpeg" Type="http://schemas.openxmlformats.org/officeDocument/2006/relationships/image" Id="rId2070"/><Relationship Target="media/document_image_rId2071.jpeg" Type="http://schemas.openxmlformats.org/officeDocument/2006/relationships/image" Id="rId2071"/><Relationship Target="media/document_image_rId2072.jpeg" Type="http://schemas.openxmlformats.org/officeDocument/2006/relationships/image" Id="rId2072"/><Relationship Target="media/document_image_rId2073.jpeg" Type="http://schemas.openxmlformats.org/officeDocument/2006/relationships/image" Id="rId2073"/><Relationship Target="media/document_image_rId2074.jpeg" Type="http://schemas.openxmlformats.org/officeDocument/2006/relationships/image" Id="rId2074"/><Relationship Target="media/document_image_rId2075.jpeg" Type="http://schemas.openxmlformats.org/officeDocument/2006/relationships/image" Id="rId2075"/><Relationship Target="media/document_image_rId2076.jpeg" Type="http://schemas.openxmlformats.org/officeDocument/2006/relationships/image" Id="rId2076"/><Relationship Target="media/document_image_rId2077.jpeg" Type="http://schemas.openxmlformats.org/officeDocument/2006/relationships/image" Id="rId2077"/><Relationship Target="media/document_image_rId2078.jpeg" Type="http://schemas.openxmlformats.org/officeDocument/2006/relationships/image" Id="rId2078"/><Relationship Target="media/document_image_rId2079.jpeg" Type="http://schemas.openxmlformats.org/officeDocument/2006/relationships/image" Id="rId2079"/><Relationship Target="media/document_image_rId2080.jpeg" Type="http://schemas.openxmlformats.org/officeDocument/2006/relationships/image" Id="rId2080"/><Relationship Target="media/document_image_rId2081.jpeg" Type="http://schemas.openxmlformats.org/officeDocument/2006/relationships/image" Id="rId2081"/><Relationship Target="media/document_image_rId2082.jpeg" Type="http://schemas.openxmlformats.org/officeDocument/2006/relationships/image" Id="rId2082"/><Relationship Target="media/document_image_rId2083.jpeg" Type="http://schemas.openxmlformats.org/officeDocument/2006/relationships/image" Id="rId2083"/><Relationship Target="media/document_image_rId2084.jpeg" Type="http://schemas.openxmlformats.org/officeDocument/2006/relationships/image" Id="rId2084"/><Relationship Target="media/document_image_rId2085.jpeg" Type="http://schemas.openxmlformats.org/officeDocument/2006/relationships/image" Id="rId2085"/><Relationship Target="media/document_image_rId2086.jpeg" Type="http://schemas.openxmlformats.org/officeDocument/2006/relationships/image" Id="rId2086"/><Relationship Target="media/document_image_rId2087.jpeg" Type="http://schemas.openxmlformats.org/officeDocument/2006/relationships/image" Id="rId2087"/><Relationship Target="media/document_image_rId2088.jpeg" Type="http://schemas.openxmlformats.org/officeDocument/2006/relationships/image" Id="rId2088"/><Relationship Target="media/document_image_rId2089.jpeg" Type="http://schemas.openxmlformats.org/officeDocument/2006/relationships/image" Id="rId2089"/><Relationship Target="media/document_image_rId2090.jpeg" Type="http://schemas.openxmlformats.org/officeDocument/2006/relationships/image" Id="rId2090"/><Relationship Target="media/document_image_rId2091.jpeg" Type="http://schemas.openxmlformats.org/officeDocument/2006/relationships/image" Id="rId2091"/><Relationship Target="media/document_image_rId2092.jpeg" Type="http://schemas.openxmlformats.org/officeDocument/2006/relationships/image" Id="rId2092"/><Relationship Target="media/document_image_rId2093.jpeg" Type="http://schemas.openxmlformats.org/officeDocument/2006/relationships/image" Id="rId2093"/><Relationship Target="media/document_image_rId2094.jpeg" Type="http://schemas.openxmlformats.org/officeDocument/2006/relationships/image" Id="rId2094"/><Relationship Target="media/document_image_rId2095.jpeg" Type="http://schemas.openxmlformats.org/officeDocument/2006/relationships/image" Id="rId2095"/><Relationship Target="media/document_image_rId2096.jpeg" Type="http://schemas.openxmlformats.org/officeDocument/2006/relationships/image" Id="rId2096"/><Relationship Target="media/document_image_rId2097.jpeg" Type="http://schemas.openxmlformats.org/officeDocument/2006/relationships/image" Id="rId2097"/><Relationship Target="media/document_image_rId2098.jpeg" Type="http://schemas.openxmlformats.org/officeDocument/2006/relationships/image" Id="rId2098"/><Relationship Target="media/document_image_rId2099.jpeg" Type="http://schemas.openxmlformats.org/officeDocument/2006/relationships/image" Id="rId2099"/><Relationship Target="media/document_image_rId2100.jpeg" Type="http://schemas.openxmlformats.org/officeDocument/2006/relationships/image" Id="rId2100"/><Relationship Target="media/document_image_rId2101.jpeg" Type="http://schemas.openxmlformats.org/officeDocument/2006/relationships/image" Id="rId2101"/><Relationship Target="media/document_image_rId2102.jpeg" Type="http://schemas.openxmlformats.org/officeDocument/2006/relationships/image" Id="rId2102"/><Relationship Target="media/document_image_rId2103.jpeg" Type="http://schemas.openxmlformats.org/officeDocument/2006/relationships/image" Id="rId2103"/><Relationship Target="media/document_image_rId2104.jpeg" Type="http://schemas.openxmlformats.org/officeDocument/2006/relationships/image" Id="rId2104"/><Relationship Target="media/document_image_rId2105.jpeg" Type="http://schemas.openxmlformats.org/officeDocument/2006/relationships/image" Id="rId2105"/><Relationship Target="media/document_image_rId2106.jpeg" Type="http://schemas.openxmlformats.org/officeDocument/2006/relationships/image" Id="rId2106"/><Relationship Target="media/document_image_rId2107.jpeg" Type="http://schemas.openxmlformats.org/officeDocument/2006/relationships/image" Id="rId2107"/><Relationship Target="media/document_image_rId2108.jpeg" Type="http://schemas.openxmlformats.org/officeDocument/2006/relationships/image" Id="rId2108"/><Relationship Target="media/document_image_rId2109.jpeg" Type="http://schemas.openxmlformats.org/officeDocument/2006/relationships/image" Id="rId2109"/><Relationship Target="media/document_image_rId2110.jpeg" Type="http://schemas.openxmlformats.org/officeDocument/2006/relationships/image" Id="rId2110"/><Relationship Target="media/document_image_rId2111.jpeg" Type="http://schemas.openxmlformats.org/officeDocument/2006/relationships/image" Id="rId2111"/><Relationship Target="media/document_image_rId2112.jpeg" Type="http://schemas.openxmlformats.org/officeDocument/2006/relationships/image" Id="rId2112"/><Relationship Target="media/document_image_rId2113.jpeg" Type="http://schemas.openxmlformats.org/officeDocument/2006/relationships/image" Id="rId2113"/><Relationship Target="media/document_image_rId2114.jpeg" Type="http://schemas.openxmlformats.org/officeDocument/2006/relationships/image" Id="rId2114"/><Relationship Target="media/document_image_rId2115.jpeg" Type="http://schemas.openxmlformats.org/officeDocument/2006/relationships/image" Id="rId2115"/><Relationship Target="media/document_image_rId2116.jpeg" Type="http://schemas.openxmlformats.org/officeDocument/2006/relationships/image" Id="rId2116"/><Relationship Target="media/document_image_rId2117.jpeg" Type="http://schemas.openxmlformats.org/officeDocument/2006/relationships/image" Id="rId2117"/><Relationship Target="media/document_image_rId2118.jpeg" Type="http://schemas.openxmlformats.org/officeDocument/2006/relationships/image" Id="rId2118"/><Relationship Target="media/document_image_rId2119.jpeg" Type="http://schemas.openxmlformats.org/officeDocument/2006/relationships/image" Id="rId2119"/><Relationship Target="media/document_image_rId2120.jpeg" Type="http://schemas.openxmlformats.org/officeDocument/2006/relationships/image" Id="rId2120"/><Relationship Target="media/document_image_rId2121.jpeg" Type="http://schemas.openxmlformats.org/officeDocument/2006/relationships/image" Id="rId2121"/><Relationship Target="media/document_image_rId2122.jpeg" Type="http://schemas.openxmlformats.org/officeDocument/2006/relationships/image" Id="rId2122"/><Relationship Target="media/document_image_rId2123.jpeg" Type="http://schemas.openxmlformats.org/officeDocument/2006/relationships/image" Id="rId2123"/><Relationship Target="media/document_image_rId2124.jpeg" Type="http://schemas.openxmlformats.org/officeDocument/2006/relationships/image" Id="rId2124"/><Relationship Target="media/document_image_rId2125.jpeg" Type="http://schemas.openxmlformats.org/officeDocument/2006/relationships/image" Id="rId2125"/><Relationship Target="media/document_image_rId2126.jpeg" Type="http://schemas.openxmlformats.org/officeDocument/2006/relationships/image" Id="rId2126"/><Relationship Target="media/document_image_rId2127.jpeg" Type="http://schemas.openxmlformats.org/officeDocument/2006/relationships/image" Id="rId2127"/><Relationship Target="media/document_image_rId2128.jpeg" Type="http://schemas.openxmlformats.org/officeDocument/2006/relationships/image" Id="rId2128"/><Relationship Target="media/document_image_rId2129.jpeg" Type="http://schemas.openxmlformats.org/officeDocument/2006/relationships/image" Id="rId2129"/><Relationship Target="media/document_image_rId2130.jpeg" Type="http://schemas.openxmlformats.org/officeDocument/2006/relationships/image" Id="rId2130"/><Relationship Target="media/document_image_rId2131.jpeg" Type="http://schemas.openxmlformats.org/officeDocument/2006/relationships/image" Id="rId2131"/><Relationship Target="media/document_image_rId2132.jpeg" Type="http://schemas.openxmlformats.org/officeDocument/2006/relationships/image" Id="rId2132"/><Relationship Target="media/document_image_rId2133.jpeg" Type="http://schemas.openxmlformats.org/officeDocument/2006/relationships/image" Id="rId2133"/><Relationship Target="media/document_image_rId2134.jpeg" Type="http://schemas.openxmlformats.org/officeDocument/2006/relationships/image" Id="rId2134"/><Relationship Target="media/document_image_rId2135.jpeg" Type="http://schemas.openxmlformats.org/officeDocument/2006/relationships/image" Id="rId2135"/><Relationship Target="media/document_image_rId2136.jpeg" Type="http://schemas.openxmlformats.org/officeDocument/2006/relationships/image" Id="rId2136"/><Relationship Target="media/document_image_rId2137.jpeg" Type="http://schemas.openxmlformats.org/officeDocument/2006/relationships/image" Id="rId2137"/><Relationship Target="media/document_image_rId2138.jpeg" Type="http://schemas.openxmlformats.org/officeDocument/2006/relationships/image" Id="rId21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